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7D7F" w14:textId="77777777" w:rsidR="00A20CBD" w:rsidRDefault="00A20CBD" w:rsidP="00855B59">
      <w:pPr>
        <w:ind w:left="2160" w:firstLine="720"/>
        <w:rPr>
          <w:b/>
          <w:sz w:val="24"/>
          <w:szCs w:val="24"/>
        </w:rPr>
      </w:pPr>
    </w:p>
    <w:p w14:paraId="3BFE4C06" w14:textId="77777777"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F7FAE">
        <w:rPr>
          <w:sz w:val="24"/>
          <w:szCs w:val="24"/>
        </w:rPr>
        <w:t>9</w:t>
      </w:r>
      <w:r w:rsidR="00F84AB6">
        <w:rPr>
          <w:sz w:val="24"/>
          <w:szCs w:val="24"/>
        </w:rPr>
        <w:t>6</w:t>
      </w:r>
      <w:r w:rsidR="006F7FAE" w:rsidRPr="006F7FAE">
        <w:rPr>
          <w:sz w:val="24"/>
          <w:szCs w:val="24"/>
          <w:vertAlign w:val="superscript"/>
        </w:rPr>
        <w:t>th</w:t>
      </w:r>
      <w:r w:rsidR="006F7FAE">
        <w:rPr>
          <w:sz w:val="24"/>
          <w:szCs w:val="24"/>
        </w:rPr>
        <w:t xml:space="preserve"> </w:t>
      </w:r>
      <w:r w:rsidRPr="005F3EF0">
        <w:rPr>
          <w:sz w:val="24"/>
          <w:szCs w:val="24"/>
        </w:rPr>
        <w:t xml:space="preserve">meeting on </w:t>
      </w:r>
      <w:r w:rsidR="00E4556A">
        <w:rPr>
          <w:sz w:val="24"/>
          <w:szCs w:val="24"/>
        </w:rPr>
        <w:t xml:space="preserve">the </w:t>
      </w:r>
      <w:r w:rsidR="00F84AB6">
        <w:rPr>
          <w:sz w:val="24"/>
          <w:szCs w:val="24"/>
        </w:rPr>
        <w:t>6</w:t>
      </w:r>
      <w:r w:rsidR="00E4556A" w:rsidRPr="00E4556A">
        <w:rPr>
          <w:sz w:val="24"/>
          <w:szCs w:val="24"/>
          <w:vertAlign w:val="superscript"/>
        </w:rPr>
        <w:t>th</w:t>
      </w:r>
      <w:r w:rsidR="00E4556A">
        <w:rPr>
          <w:sz w:val="24"/>
          <w:szCs w:val="24"/>
        </w:rPr>
        <w:t xml:space="preserve"> of </w:t>
      </w:r>
      <w:r w:rsidR="00F84AB6">
        <w:rPr>
          <w:sz w:val="24"/>
          <w:szCs w:val="24"/>
        </w:rPr>
        <w:t xml:space="preserve">June </w:t>
      </w:r>
      <w:r w:rsidR="00B92105">
        <w:rPr>
          <w:sz w:val="24"/>
          <w:szCs w:val="24"/>
        </w:rPr>
        <w:t>201</w:t>
      </w:r>
      <w:r w:rsidR="00CE18BF">
        <w:rPr>
          <w:sz w:val="24"/>
          <w:szCs w:val="24"/>
        </w:rPr>
        <w:t>9</w:t>
      </w:r>
      <w:r w:rsidRPr="005F3EF0">
        <w:rPr>
          <w:sz w:val="24"/>
          <w:szCs w:val="24"/>
        </w:rPr>
        <w:t>.</w:t>
      </w:r>
    </w:p>
    <w:p w14:paraId="25B768AF" w14:textId="77777777" w:rsidR="003F06C8" w:rsidRDefault="003F06C8" w:rsidP="008B6946">
      <w:pPr>
        <w:tabs>
          <w:tab w:val="left" w:pos="4820"/>
          <w:tab w:val="left" w:pos="8931"/>
          <w:tab w:val="left" w:pos="9028"/>
          <w:tab w:val="left" w:pos="9072"/>
        </w:tabs>
        <w:rPr>
          <w:sz w:val="24"/>
          <w:szCs w:val="24"/>
        </w:rPr>
      </w:pPr>
    </w:p>
    <w:p w14:paraId="0837C7A3"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5EF26552" w14:textId="77777777" w:rsidR="00855B59" w:rsidRDefault="00855B59" w:rsidP="008B6946">
      <w:pPr>
        <w:tabs>
          <w:tab w:val="left" w:pos="4820"/>
          <w:tab w:val="left" w:pos="8931"/>
          <w:tab w:val="left" w:pos="9028"/>
          <w:tab w:val="left" w:pos="9072"/>
        </w:tabs>
        <w:rPr>
          <w:sz w:val="24"/>
          <w:szCs w:val="24"/>
        </w:rPr>
      </w:pPr>
    </w:p>
    <w:p w14:paraId="1425E1F8" w14:textId="54CB11DA"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0C5A9F25" w14:textId="77777777" w:rsidR="00204055" w:rsidRPr="00B12248" w:rsidRDefault="00204055" w:rsidP="00204055">
      <w:pPr>
        <w:rPr>
          <w:sz w:val="24"/>
          <w:szCs w:val="24"/>
        </w:rPr>
      </w:pPr>
    </w:p>
    <w:p w14:paraId="0B97FCD3" w14:textId="77777777" w:rsidR="004566A9" w:rsidRPr="00855B59" w:rsidRDefault="00855B59" w:rsidP="008B6946">
      <w:pPr>
        <w:pStyle w:val="Heading2"/>
      </w:pPr>
      <w:r w:rsidRPr="00855B59">
        <w:t>Su</w:t>
      </w:r>
      <w:r w:rsidR="004566A9" w:rsidRPr="00855B59">
        <w:t>bmissions to the PBAC</w:t>
      </w:r>
    </w:p>
    <w:p w14:paraId="60CAEED6" w14:textId="77777777" w:rsidR="009237FF" w:rsidRDefault="003F06C8" w:rsidP="008B6946">
      <w:pPr>
        <w:rPr>
          <w:sz w:val="24"/>
          <w:szCs w:val="24"/>
        </w:rPr>
      </w:pPr>
      <w:r w:rsidRPr="0035237B">
        <w:rPr>
          <w:sz w:val="24"/>
          <w:szCs w:val="24"/>
        </w:rPr>
        <w:t xml:space="preserve">DUSC noted that </w:t>
      </w:r>
      <w:r w:rsidR="00F84AB6">
        <w:rPr>
          <w:sz w:val="24"/>
          <w:szCs w:val="24"/>
        </w:rPr>
        <w:t>30</w:t>
      </w:r>
      <w:r w:rsidRPr="0035237B">
        <w:rPr>
          <w:sz w:val="24"/>
          <w:szCs w:val="24"/>
        </w:rPr>
        <w:t xml:space="preserve"> major submissions </w:t>
      </w:r>
      <w:proofErr w:type="gramStart"/>
      <w:r w:rsidRPr="0035237B">
        <w:rPr>
          <w:sz w:val="24"/>
          <w:szCs w:val="24"/>
        </w:rPr>
        <w:t>had been received</w:t>
      </w:r>
      <w:proofErr w:type="gramEnd"/>
      <w:r w:rsidRPr="0035237B">
        <w:rPr>
          <w:sz w:val="24"/>
          <w:szCs w:val="24"/>
        </w:rPr>
        <w:t xml:space="preserve"> for the </w:t>
      </w:r>
      <w:r w:rsidR="00F84AB6">
        <w:rPr>
          <w:sz w:val="24"/>
          <w:szCs w:val="24"/>
        </w:rPr>
        <w:t>July</w:t>
      </w:r>
      <w:r w:rsidR="00CE18BF">
        <w:rPr>
          <w:sz w:val="24"/>
          <w:szCs w:val="24"/>
        </w:rPr>
        <w:t xml:space="preserve"> 2019</w:t>
      </w:r>
      <w:r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Pr="0035237B">
        <w:rPr>
          <w:sz w:val="24"/>
          <w:szCs w:val="24"/>
        </w:rPr>
        <w:t xml:space="preserve"> 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F84AB6">
        <w:rPr>
          <w:sz w:val="24"/>
          <w:szCs w:val="24"/>
        </w:rPr>
        <w:t>July</w:t>
      </w:r>
      <w:r w:rsidR="00F2511C" w:rsidRPr="0035237B">
        <w:rPr>
          <w:sz w:val="24"/>
          <w:szCs w:val="24"/>
        </w:rPr>
        <w:t xml:space="preserve"> </w:t>
      </w:r>
      <w:r w:rsidR="00C93804" w:rsidRPr="0035237B">
        <w:rPr>
          <w:sz w:val="24"/>
          <w:szCs w:val="24"/>
        </w:rPr>
        <w:t>201</w:t>
      </w:r>
      <w:r w:rsidR="00CE18BF">
        <w:rPr>
          <w:sz w:val="24"/>
          <w:szCs w:val="24"/>
        </w:rPr>
        <w:t>9</w:t>
      </w:r>
      <w:r w:rsidR="005C053B" w:rsidRPr="0035237B">
        <w:rPr>
          <w:sz w:val="24"/>
          <w:szCs w:val="24"/>
        </w:rPr>
        <w:t xml:space="preserve"> PBAC meeting </w:t>
      </w:r>
      <w:proofErr w:type="gramStart"/>
      <w:r w:rsidR="008F7F63" w:rsidRPr="0035237B">
        <w:rPr>
          <w:sz w:val="24"/>
          <w:szCs w:val="24"/>
        </w:rPr>
        <w:t>can be found</w:t>
      </w:r>
      <w:proofErr w:type="gramEnd"/>
      <w:r w:rsidR="008F7F63" w:rsidRPr="0035237B">
        <w:rPr>
          <w:sz w:val="24"/>
          <w:szCs w:val="24"/>
        </w:rPr>
        <w:t xml:space="preserve">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64396CD2" w14:textId="77777777" w:rsidR="00A453E3" w:rsidRDefault="00A453E3" w:rsidP="008B6946">
      <w:pPr>
        <w:rPr>
          <w:sz w:val="24"/>
          <w:szCs w:val="24"/>
        </w:rPr>
      </w:pPr>
    </w:p>
    <w:p w14:paraId="0A108F68"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5E55EBFC" w14:textId="1E2E3D3E" w:rsidR="00591C2B" w:rsidRPr="00B12248" w:rsidRDefault="00CD4F83" w:rsidP="00D97B8F">
      <w:pPr>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w:t>
      </w:r>
      <w:proofErr w:type="gramStart"/>
      <w:r w:rsidRPr="00B12248">
        <w:rPr>
          <w:sz w:val="24"/>
          <w:szCs w:val="24"/>
        </w:rPr>
        <w:t xml:space="preserve">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highlighted items of interest</w:t>
      </w:r>
      <w:proofErr w:type="gramEnd"/>
      <w:r w:rsidRPr="00B12248">
        <w:rPr>
          <w:sz w:val="24"/>
          <w:szCs w:val="24"/>
        </w:rPr>
        <w:t xml:space="preserve">.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w:t>
      </w:r>
      <w:proofErr w:type="gramStart"/>
      <w:r w:rsidR="001071DA" w:rsidRPr="00B12248">
        <w:rPr>
          <w:sz w:val="24"/>
          <w:szCs w:val="24"/>
        </w:rPr>
        <w:t>be undertaken</w:t>
      </w:r>
      <w:proofErr w:type="gramEnd"/>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w:t>
      </w:r>
      <w:proofErr w:type="gramStart"/>
      <w:r w:rsidR="00591C2B" w:rsidRPr="00B12248">
        <w:rPr>
          <w:sz w:val="24"/>
          <w:szCs w:val="24"/>
        </w:rPr>
        <w:t>be considered</w:t>
      </w:r>
      <w:proofErr w:type="gramEnd"/>
      <w:r w:rsidR="00591C2B" w:rsidRPr="00B12248">
        <w:rPr>
          <w:sz w:val="24"/>
          <w:szCs w:val="24"/>
        </w:rPr>
        <w:t xml:space="preserve">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w:t>
      </w:r>
      <w:proofErr w:type="gramStart"/>
      <w:r w:rsidR="00B0144A" w:rsidRPr="00B12248">
        <w:rPr>
          <w:sz w:val="24"/>
          <w:szCs w:val="24"/>
        </w:rPr>
        <w:t>are subsequently provided</w:t>
      </w:r>
      <w:proofErr w:type="gramEnd"/>
      <w:r w:rsidR="00B0144A" w:rsidRPr="00B12248">
        <w:rPr>
          <w:sz w:val="24"/>
          <w:szCs w:val="24"/>
        </w:rPr>
        <w:t xml:space="preserve"> to the PBAC.</w:t>
      </w:r>
    </w:p>
    <w:p w14:paraId="58B7E5FC" w14:textId="77777777" w:rsidR="00021AF3" w:rsidRPr="00B12248" w:rsidRDefault="00021AF3" w:rsidP="00D97B8F">
      <w:pPr>
        <w:rPr>
          <w:sz w:val="24"/>
          <w:szCs w:val="24"/>
        </w:rPr>
      </w:pPr>
    </w:p>
    <w:p w14:paraId="23C129C8" w14:textId="77777777"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F84AB6">
        <w:rPr>
          <w:sz w:val="24"/>
          <w:szCs w:val="24"/>
        </w:rPr>
        <w:t>June</w:t>
      </w:r>
      <w:r w:rsidR="00F97D62">
        <w:rPr>
          <w:sz w:val="24"/>
          <w:szCs w:val="24"/>
        </w:rPr>
        <w:t xml:space="preserve"> 2019</w:t>
      </w:r>
      <w:r w:rsidRPr="00B12248">
        <w:rPr>
          <w:sz w:val="24"/>
          <w:szCs w:val="24"/>
        </w:rPr>
        <w:t>:</w:t>
      </w:r>
    </w:p>
    <w:p w14:paraId="446C92A1" w14:textId="77777777" w:rsidR="00101877" w:rsidRDefault="00101877" w:rsidP="008B6946">
      <w:pPr>
        <w:rPr>
          <w:sz w:val="24"/>
          <w:szCs w:val="24"/>
        </w:rPr>
      </w:pPr>
    </w:p>
    <w:p w14:paraId="14421471" w14:textId="77777777" w:rsidR="00CA78D9" w:rsidRPr="00BB52B3" w:rsidRDefault="00F84AB6" w:rsidP="008B6946">
      <w:pPr>
        <w:rPr>
          <w:b/>
          <w:sz w:val="24"/>
          <w:szCs w:val="24"/>
        </w:rPr>
      </w:pPr>
      <w:proofErr w:type="spellStart"/>
      <w:r>
        <w:rPr>
          <w:b/>
          <w:sz w:val="24"/>
          <w:szCs w:val="24"/>
        </w:rPr>
        <w:t>Armodafinil</w:t>
      </w:r>
      <w:proofErr w:type="spellEnd"/>
      <w:r>
        <w:rPr>
          <w:b/>
          <w:sz w:val="24"/>
          <w:szCs w:val="24"/>
        </w:rPr>
        <w:t xml:space="preserve"> for narcolepsy</w:t>
      </w:r>
    </w:p>
    <w:p w14:paraId="4616E062" w14:textId="77777777" w:rsidR="00182CE1" w:rsidRDefault="00182CE1" w:rsidP="00182CE1">
      <w:pPr>
        <w:contextualSpacing/>
        <w:rPr>
          <w:rFonts w:eastAsia="MS Mincho"/>
          <w:sz w:val="24"/>
          <w:szCs w:val="24"/>
        </w:rPr>
      </w:pPr>
      <w:r w:rsidRPr="00182CE1">
        <w:rPr>
          <w:rFonts w:eastAsia="MS Mincho"/>
          <w:sz w:val="24"/>
          <w:szCs w:val="24"/>
        </w:rPr>
        <w:t xml:space="preserve">DUSC compared the predicted and actual utilisation of </w:t>
      </w:r>
      <w:proofErr w:type="spellStart"/>
      <w:r w:rsidRPr="00182CE1">
        <w:rPr>
          <w:rFonts w:eastAsia="MS Mincho"/>
          <w:sz w:val="24"/>
          <w:szCs w:val="24"/>
        </w:rPr>
        <w:t>armodafinil</w:t>
      </w:r>
      <w:proofErr w:type="spellEnd"/>
      <w:r w:rsidRPr="00182CE1">
        <w:rPr>
          <w:rFonts w:eastAsia="MS Mincho"/>
          <w:sz w:val="24"/>
          <w:szCs w:val="24"/>
        </w:rPr>
        <w:t xml:space="preserve"> for narcolepsy since it was PBS listed for this indication</w:t>
      </w:r>
      <w:r w:rsidR="006B26D3">
        <w:rPr>
          <w:rFonts w:eastAsia="MS Mincho"/>
          <w:sz w:val="24"/>
          <w:szCs w:val="24"/>
        </w:rPr>
        <w:t xml:space="preserve"> in November 2016</w:t>
      </w:r>
      <w:r w:rsidRPr="00182CE1">
        <w:rPr>
          <w:rFonts w:eastAsia="MS Mincho"/>
          <w:sz w:val="24"/>
          <w:szCs w:val="24"/>
        </w:rPr>
        <w:t>.</w:t>
      </w:r>
      <w:r>
        <w:rPr>
          <w:rFonts w:eastAsia="MS Mincho"/>
          <w:sz w:val="24"/>
          <w:szCs w:val="24"/>
        </w:rPr>
        <w:t xml:space="preserve"> The report </w:t>
      </w:r>
      <w:r w:rsidRPr="00182CE1">
        <w:rPr>
          <w:rFonts w:eastAsia="MS Mincho"/>
          <w:sz w:val="24"/>
          <w:szCs w:val="24"/>
        </w:rPr>
        <w:t>show</w:t>
      </w:r>
      <w:r>
        <w:rPr>
          <w:rFonts w:eastAsia="MS Mincho"/>
          <w:sz w:val="24"/>
          <w:szCs w:val="24"/>
        </w:rPr>
        <w:t>s</w:t>
      </w:r>
      <w:r w:rsidRPr="00182CE1">
        <w:rPr>
          <w:rFonts w:eastAsia="MS Mincho"/>
          <w:sz w:val="24"/>
          <w:szCs w:val="24"/>
        </w:rPr>
        <w:t xml:space="preserve"> the total number of patients and prescriptions of </w:t>
      </w:r>
      <w:proofErr w:type="spellStart"/>
      <w:r w:rsidRPr="00182CE1">
        <w:rPr>
          <w:rFonts w:eastAsia="MS Mincho"/>
          <w:sz w:val="24"/>
          <w:szCs w:val="24"/>
        </w:rPr>
        <w:t>armodafinil</w:t>
      </w:r>
      <w:proofErr w:type="spellEnd"/>
      <w:r w:rsidRPr="00182CE1">
        <w:rPr>
          <w:rFonts w:eastAsia="MS Mincho"/>
          <w:sz w:val="24"/>
          <w:szCs w:val="24"/>
        </w:rPr>
        <w:t xml:space="preserve"> wer</w:t>
      </w:r>
      <w:r w:rsidR="003E7E2E">
        <w:rPr>
          <w:rFonts w:eastAsia="MS Mincho"/>
          <w:sz w:val="24"/>
          <w:szCs w:val="24"/>
        </w:rPr>
        <w:t>e underestimated, resulting in</w:t>
      </w:r>
      <w:r w:rsidRPr="00182CE1">
        <w:rPr>
          <w:rFonts w:eastAsia="MS Mincho"/>
          <w:sz w:val="24"/>
          <w:szCs w:val="24"/>
        </w:rPr>
        <w:t xml:space="preserve"> higher governm</w:t>
      </w:r>
      <w:r>
        <w:rPr>
          <w:rFonts w:eastAsia="MS Mincho"/>
          <w:sz w:val="24"/>
          <w:szCs w:val="24"/>
        </w:rPr>
        <w:t>ent expenditure than predicted.</w:t>
      </w:r>
    </w:p>
    <w:p w14:paraId="76AAE551" w14:textId="77777777" w:rsidR="00182CE1" w:rsidRPr="00182CE1" w:rsidRDefault="00182CE1" w:rsidP="00182CE1">
      <w:pPr>
        <w:contextualSpacing/>
        <w:rPr>
          <w:rFonts w:eastAsia="MS Mincho"/>
          <w:sz w:val="24"/>
          <w:szCs w:val="24"/>
        </w:rPr>
      </w:pPr>
    </w:p>
    <w:p w14:paraId="152C4CD7" w14:textId="77777777" w:rsidR="00EA11C6" w:rsidRDefault="00182CE1" w:rsidP="00EA11C6">
      <w:pPr>
        <w:contextualSpacing/>
        <w:rPr>
          <w:rFonts w:eastAsia="MS Mincho"/>
          <w:sz w:val="24"/>
          <w:szCs w:val="24"/>
        </w:rPr>
      </w:pPr>
      <w:r w:rsidRPr="00182CE1">
        <w:rPr>
          <w:rFonts w:eastAsia="MS Mincho"/>
          <w:sz w:val="24"/>
          <w:szCs w:val="24"/>
        </w:rPr>
        <w:t>The number of patients on</w:t>
      </w:r>
      <w:r w:rsidR="003E7E2E">
        <w:rPr>
          <w:rFonts w:eastAsia="MS Mincho"/>
          <w:sz w:val="24"/>
          <w:szCs w:val="24"/>
        </w:rPr>
        <w:t xml:space="preserve"> PBS-subsidised</w:t>
      </w:r>
      <w:r w:rsidRPr="00182CE1">
        <w:rPr>
          <w:rFonts w:eastAsia="MS Mincho"/>
          <w:sz w:val="24"/>
          <w:szCs w:val="24"/>
        </w:rPr>
        <w:t xml:space="preserve"> therapy for narcolepsy has increased over the last four</w:t>
      </w:r>
      <w:r w:rsidR="003E7E2E">
        <w:rPr>
          <w:rFonts w:eastAsia="MS Mincho"/>
          <w:sz w:val="24"/>
          <w:szCs w:val="24"/>
        </w:rPr>
        <w:t xml:space="preserve"> </w:t>
      </w:r>
      <w:r w:rsidRPr="00182CE1">
        <w:rPr>
          <w:rFonts w:eastAsia="MS Mincho"/>
          <w:sz w:val="24"/>
          <w:szCs w:val="24"/>
        </w:rPr>
        <w:t>year</w:t>
      </w:r>
      <w:r w:rsidR="003E7E2E">
        <w:rPr>
          <w:rFonts w:eastAsia="MS Mincho"/>
          <w:sz w:val="24"/>
          <w:szCs w:val="24"/>
        </w:rPr>
        <w:t>s</w:t>
      </w:r>
      <w:r w:rsidRPr="00182CE1">
        <w:rPr>
          <w:rFonts w:eastAsia="MS Mincho"/>
          <w:sz w:val="24"/>
          <w:szCs w:val="24"/>
        </w:rPr>
        <w:t xml:space="preserve">. </w:t>
      </w:r>
      <w:r w:rsidR="00EA11C6" w:rsidRPr="00182CE1">
        <w:rPr>
          <w:rFonts w:eastAsia="MS Mincho"/>
          <w:sz w:val="24"/>
          <w:szCs w:val="24"/>
        </w:rPr>
        <w:t xml:space="preserve">The listing of </w:t>
      </w:r>
      <w:proofErr w:type="spellStart"/>
      <w:r w:rsidR="00EA11C6" w:rsidRPr="00182CE1">
        <w:rPr>
          <w:rFonts w:eastAsia="MS Mincho"/>
          <w:sz w:val="24"/>
          <w:szCs w:val="24"/>
        </w:rPr>
        <w:t>armodafinil</w:t>
      </w:r>
      <w:proofErr w:type="spellEnd"/>
      <w:r w:rsidR="00EA11C6" w:rsidRPr="00182CE1">
        <w:rPr>
          <w:rFonts w:eastAsia="MS Mincho"/>
          <w:sz w:val="24"/>
          <w:szCs w:val="24"/>
        </w:rPr>
        <w:t xml:space="preserve"> has increased the total narcolepsy market</w:t>
      </w:r>
      <w:r w:rsidR="00EA11C6">
        <w:rPr>
          <w:rFonts w:eastAsia="MS Mincho"/>
          <w:sz w:val="24"/>
          <w:szCs w:val="24"/>
        </w:rPr>
        <w:t xml:space="preserve">. Since the listing of </w:t>
      </w:r>
      <w:proofErr w:type="spellStart"/>
      <w:r w:rsidR="00EA11C6">
        <w:rPr>
          <w:rFonts w:eastAsia="MS Mincho"/>
          <w:sz w:val="24"/>
          <w:szCs w:val="24"/>
        </w:rPr>
        <w:t>armodafinil</w:t>
      </w:r>
      <w:proofErr w:type="spellEnd"/>
      <w:r w:rsidR="00EA11C6">
        <w:rPr>
          <w:rFonts w:eastAsia="MS Mincho"/>
          <w:sz w:val="24"/>
          <w:szCs w:val="24"/>
        </w:rPr>
        <w:t xml:space="preserve"> in 2016, the </w:t>
      </w:r>
      <w:r w:rsidR="00EA11C6" w:rsidRPr="00182CE1">
        <w:rPr>
          <w:rFonts w:eastAsia="MS Mincho"/>
          <w:sz w:val="24"/>
          <w:szCs w:val="24"/>
        </w:rPr>
        <w:t>number of people starting PBS</w:t>
      </w:r>
      <w:r w:rsidR="00EA11C6">
        <w:rPr>
          <w:rFonts w:eastAsia="MS Mincho"/>
          <w:sz w:val="24"/>
          <w:szCs w:val="24"/>
        </w:rPr>
        <w:noBreakHyphen/>
      </w:r>
      <w:r w:rsidR="00EA11C6" w:rsidRPr="00182CE1">
        <w:rPr>
          <w:rFonts w:eastAsia="MS Mincho"/>
          <w:sz w:val="24"/>
          <w:szCs w:val="24"/>
        </w:rPr>
        <w:t xml:space="preserve">subsidised </w:t>
      </w:r>
      <w:proofErr w:type="spellStart"/>
      <w:r w:rsidR="00EA11C6" w:rsidRPr="00182CE1">
        <w:rPr>
          <w:rFonts w:eastAsia="MS Mincho"/>
          <w:sz w:val="24"/>
          <w:szCs w:val="24"/>
        </w:rPr>
        <w:t>armodafinil</w:t>
      </w:r>
      <w:proofErr w:type="spellEnd"/>
      <w:r w:rsidR="00EA11C6" w:rsidRPr="00182CE1">
        <w:rPr>
          <w:rFonts w:eastAsia="MS Mincho"/>
          <w:sz w:val="24"/>
          <w:szCs w:val="24"/>
        </w:rPr>
        <w:t xml:space="preserve"> </w:t>
      </w:r>
      <w:r w:rsidR="00EA11C6">
        <w:rPr>
          <w:rFonts w:eastAsia="MS Mincho"/>
          <w:sz w:val="24"/>
          <w:szCs w:val="24"/>
        </w:rPr>
        <w:t>was</w:t>
      </w:r>
      <w:r w:rsidR="00EA11C6" w:rsidRPr="00182CE1">
        <w:rPr>
          <w:rFonts w:eastAsia="MS Mincho"/>
          <w:sz w:val="24"/>
          <w:szCs w:val="24"/>
        </w:rPr>
        <w:t xml:space="preserve"> higher than the number of </w:t>
      </w:r>
      <w:r w:rsidR="00EA11C6">
        <w:rPr>
          <w:rFonts w:eastAsia="MS Mincho"/>
          <w:sz w:val="24"/>
          <w:szCs w:val="24"/>
        </w:rPr>
        <w:t>people</w:t>
      </w:r>
      <w:r w:rsidR="00EA11C6" w:rsidRPr="00182CE1">
        <w:rPr>
          <w:rFonts w:eastAsia="MS Mincho"/>
          <w:sz w:val="24"/>
          <w:szCs w:val="24"/>
        </w:rPr>
        <w:t xml:space="preserve"> starting </w:t>
      </w:r>
      <w:proofErr w:type="spellStart"/>
      <w:r w:rsidR="00EA11C6" w:rsidRPr="00182CE1">
        <w:rPr>
          <w:rFonts w:eastAsia="MS Mincho"/>
          <w:sz w:val="24"/>
          <w:szCs w:val="24"/>
        </w:rPr>
        <w:t>mod</w:t>
      </w:r>
      <w:r w:rsidR="00EA11C6">
        <w:rPr>
          <w:rFonts w:eastAsia="MS Mincho"/>
          <w:sz w:val="24"/>
          <w:szCs w:val="24"/>
        </w:rPr>
        <w:t>afinil</w:t>
      </w:r>
      <w:proofErr w:type="spellEnd"/>
      <w:r w:rsidR="00EA11C6">
        <w:rPr>
          <w:rFonts w:eastAsia="MS Mincho"/>
          <w:sz w:val="24"/>
          <w:szCs w:val="24"/>
        </w:rPr>
        <w:t xml:space="preserve"> in each quarter</w:t>
      </w:r>
      <w:r w:rsidR="00EA11C6" w:rsidRPr="00182CE1">
        <w:rPr>
          <w:rFonts w:eastAsia="MS Mincho"/>
          <w:sz w:val="24"/>
          <w:szCs w:val="24"/>
        </w:rPr>
        <w:t>.</w:t>
      </w:r>
    </w:p>
    <w:p w14:paraId="5F8C83AF" w14:textId="77777777" w:rsidR="00EA11C6" w:rsidRDefault="00EA11C6" w:rsidP="00182CE1">
      <w:pPr>
        <w:contextualSpacing/>
        <w:rPr>
          <w:rFonts w:eastAsia="MS Mincho"/>
          <w:sz w:val="24"/>
          <w:szCs w:val="24"/>
        </w:rPr>
      </w:pPr>
    </w:p>
    <w:p w14:paraId="2542A186" w14:textId="77777777" w:rsidR="00C74A39" w:rsidRDefault="00C74A39">
      <w:pPr>
        <w:rPr>
          <w:rFonts w:eastAsia="MS Mincho"/>
          <w:sz w:val="24"/>
          <w:szCs w:val="24"/>
        </w:rPr>
      </w:pPr>
      <w:r>
        <w:rPr>
          <w:rFonts w:eastAsia="MS Mincho"/>
          <w:sz w:val="24"/>
          <w:szCs w:val="24"/>
        </w:rPr>
        <w:br w:type="page"/>
      </w:r>
    </w:p>
    <w:p w14:paraId="2CA4B787" w14:textId="645ED5F2" w:rsidR="00182CE1" w:rsidRPr="00182CE1" w:rsidRDefault="00182CE1" w:rsidP="00182CE1">
      <w:pPr>
        <w:contextualSpacing/>
        <w:rPr>
          <w:rFonts w:eastAsia="MS Mincho"/>
          <w:sz w:val="24"/>
          <w:szCs w:val="24"/>
        </w:rPr>
      </w:pPr>
      <w:r w:rsidRPr="00182CE1">
        <w:rPr>
          <w:rFonts w:eastAsia="MS Mincho"/>
          <w:sz w:val="24"/>
          <w:szCs w:val="24"/>
        </w:rPr>
        <w:lastRenderedPageBreak/>
        <w:t>There was a 3</w:t>
      </w:r>
      <w:r w:rsidR="003E7E2E">
        <w:rPr>
          <w:rFonts w:eastAsia="MS Mincho"/>
          <w:sz w:val="24"/>
          <w:szCs w:val="24"/>
        </w:rPr>
        <w:t>6</w:t>
      </w:r>
      <w:r w:rsidRPr="00182CE1">
        <w:rPr>
          <w:rFonts w:eastAsia="MS Mincho"/>
          <w:sz w:val="24"/>
          <w:szCs w:val="24"/>
        </w:rPr>
        <w:t>% increase in patients new to</w:t>
      </w:r>
      <w:r>
        <w:rPr>
          <w:rFonts w:eastAsia="MS Mincho"/>
          <w:sz w:val="24"/>
          <w:szCs w:val="24"/>
        </w:rPr>
        <w:t xml:space="preserve"> therapy </w:t>
      </w:r>
      <w:r w:rsidR="003E7E2E">
        <w:rPr>
          <w:rFonts w:eastAsia="MS Mincho"/>
          <w:sz w:val="24"/>
          <w:szCs w:val="24"/>
        </w:rPr>
        <w:t>from</w:t>
      </w:r>
      <w:r>
        <w:rPr>
          <w:rFonts w:eastAsia="MS Mincho"/>
          <w:sz w:val="24"/>
          <w:szCs w:val="24"/>
        </w:rPr>
        <w:t xml:space="preserve"> 2017 </w:t>
      </w:r>
      <w:r w:rsidR="003E7E2E">
        <w:rPr>
          <w:rFonts w:eastAsia="MS Mincho"/>
          <w:sz w:val="24"/>
          <w:szCs w:val="24"/>
        </w:rPr>
        <w:t>to</w:t>
      </w:r>
      <w:r>
        <w:rPr>
          <w:rFonts w:eastAsia="MS Mincho"/>
          <w:sz w:val="24"/>
          <w:szCs w:val="24"/>
        </w:rPr>
        <w:t xml:space="preserve"> 2018.</w:t>
      </w:r>
      <w:r w:rsidR="00EA11C6">
        <w:rPr>
          <w:rFonts w:eastAsia="MS Mincho"/>
          <w:sz w:val="24"/>
          <w:szCs w:val="24"/>
        </w:rPr>
        <w:t xml:space="preserve"> </w:t>
      </w:r>
      <w:r w:rsidRPr="00182CE1">
        <w:rPr>
          <w:rFonts w:eastAsia="MS Mincho"/>
          <w:sz w:val="24"/>
          <w:szCs w:val="24"/>
        </w:rPr>
        <w:t xml:space="preserve">The number of patients </w:t>
      </w:r>
      <w:r w:rsidR="003E7E2E">
        <w:rPr>
          <w:rFonts w:eastAsia="MS Mincho"/>
          <w:sz w:val="24"/>
          <w:szCs w:val="24"/>
        </w:rPr>
        <w:t>initiating</w:t>
      </w:r>
      <w:r w:rsidRPr="00182CE1">
        <w:rPr>
          <w:rFonts w:eastAsia="MS Mincho"/>
          <w:sz w:val="24"/>
          <w:szCs w:val="24"/>
        </w:rPr>
        <w:t xml:space="preserve"> therapy for narcolepsy with </w:t>
      </w:r>
      <w:proofErr w:type="spellStart"/>
      <w:r w:rsidRPr="00182CE1">
        <w:rPr>
          <w:rFonts w:eastAsia="MS Mincho"/>
          <w:sz w:val="24"/>
          <w:szCs w:val="24"/>
        </w:rPr>
        <w:t>armodafinil</w:t>
      </w:r>
      <w:proofErr w:type="spellEnd"/>
      <w:r w:rsidRPr="00182CE1">
        <w:rPr>
          <w:rFonts w:eastAsia="MS Mincho"/>
          <w:sz w:val="24"/>
          <w:szCs w:val="24"/>
        </w:rPr>
        <w:t xml:space="preserve"> surpassed that for </w:t>
      </w:r>
      <w:proofErr w:type="spellStart"/>
      <w:r w:rsidRPr="00182CE1">
        <w:rPr>
          <w:rFonts w:eastAsia="MS Mincho"/>
          <w:sz w:val="24"/>
          <w:szCs w:val="24"/>
        </w:rPr>
        <w:t>modafinil</w:t>
      </w:r>
      <w:proofErr w:type="spellEnd"/>
      <w:r w:rsidRPr="00182CE1">
        <w:rPr>
          <w:rFonts w:eastAsia="MS Mincho"/>
          <w:sz w:val="24"/>
          <w:szCs w:val="24"/>
        </w:rPr>
        <w:t xml:space="preserve"> in the fourth quarter of 2018, but did not appear to affect the number of people initiating therapy for narcolepsy wi</w:t>
      </w:r>
      <w:r>
        <w:rPr>
          <w:rFonts w:eastAsia="MS Mincho"/>
          <w:sz w:val="24"/>
          <w:szCs w:val="24"/>
        </w:rPr>
        <w:t xml:space="preserve">th </w:t>
      </w:r>
      <w:proofErr w:type="spellStart"/>
      <w:r>
        <w:rPr>
          <w:rFonts w:eastAsia="MS Mincho"/>
          <w:sz w:val="24"/>
          <w:szCs w:val="24"/>
        </w:rPr>
        <w:t>dexamfetamine</w:t>
      </w:r>
      <w:proofErr w:type="spellEnd"/>
      <w:r>
        <w:rPr>
          <w:rFonts w:eastAsia="MS Mincho"/>
          <w:sz w:val="24"/>
          <w:szCs w:val="24"/>
        </w:rPr>
        <w:t xml:space="preserve"> and </w:t>
      </w:r>
      <w:proofErr w:type="spellStart"/>
      <w:r>
        <w:rPr>
          <w:rFonts w:eastAsia="MS Mincho"/>
          <w:sz w:val="24"/>
          <w:szCs w:val="24"/>
        </w:rPr>
        <w:t>modafinil</w:t>
      </w:r>
      <w:proofErr w:type="spellEnd"/>
      <w:r>
        <w:rPr>
          <w:rFonts w:eastAsia="MS Mincho"/>
          <w:sz w:val="24"/>
          <w:szCs w:val="24"/>
        </w:rPr>
        <w:t>.</w:t>
      </w:r>
    </w:p>
    <w:p w14:paraId="46217F8C" w14:textId="77777777" w:rsidR="00E058BC" w:rsidRPr="00E058BC" w:rsidRDefault="00E058BC" w:rsidP="00E058BC">
      <w:pPr>
        <w:contextualSpacing/>
        <w:rPr>
          <w:rFonts w:eastAsia="MS Mincho"/>
          <w:sz w:val="24"/>
          <w:szCs w:val="24"/>
        </w:rPr>
      </w:pPr>
    </w:p>
    <w:p w14:paraId="0E26FEF8" w14:textId="77777777" w:rsidR="00802343" w:rsidRPr="00E058BC" w:rsidRDefault="00E058BC" w:rsidP="00E058BC">
      <w:pPr>
        <w:contextualSpacing/>
        <w:rPr>
          <w:rFonts w:eastAsia="MS Mincho"/>
          <w:sz w:val="24"/>
          <w:szCs w:val="24"/>
        </w:rPr>
      </w:pPr>
      <w:r w:rsidRPr="00E058BC">
        <w:rPr>
          <w:rFonts w:eastAsia="MS Mincho"/>
          <w:sz w:val="24"/>
          <w:szCs w:val="24"/>
        </w:rPr>
        <w:t xml:space="preserve">DUSC requested that the report </w:t>
      </w:r>
      <w:proofErr w:type="gramStart"/>
      <w:r w:rsidRPr="00E058BC">
        <w:rPr>
          <w:rFonts w:eastAsia="MS Mincho"/>
          <w:sz w:val="24"/>
          <w:szCs w:val="24"/>
        </w:rPr>
        <w:t>be provided</w:t>
      </w:r>
      <w:proofErr w:type="gramEnd"/>
      <w:r w:rsidRPr="00E058BC">
        <w:rPr>
          <w:rFonts w:eastAsia="MS Mincho"/>
          <w:sz w:val="24"/>
          <w:szCs w:val="24"/>
        </w:rPr>
        <w:t xml:space="preserve"> to the PBAC.</w:t>
      </w:r>
    </w:p>
    <w:p w14:paraId="09103329" w14:textId="77777777" w:rsidR="00E058BC" w:rsidRDefault="00E058BC" w:rsidP="00692AAD">
      <w:pPr>
        <w:contextualSpacing/>
        <w:rPr>
          <w:rFonts w:eastAsia="MS Mincho"/>
          <w:sz w:val="24"/>
          <w:szCs w:val="24"/>
        </w:rPr>
      </w:pPr>
    </w:p>
    <w:p w14:paraId="4D874ED0" w14:textId="77777777" w:rsidR="00843448" w:rsidRPr="00843448" w:rsidRDefault="00F84AB6" w:rsidP="00843448">
      <w:pPr>
        <w:contextualSpacing/>
        <w:rPr>
          <w:rFonts w:eastAsia="MS Mincho"/>
          <w:b/>
          <w:sz w:val="24"/>
          <w:szCs w:val="24"/>
        </w:rPr>
      </w:pPr>
      <w:r>
        <w:rPr>
          <w:rFonts w:eastAsia="MS Mincho"/>
          <w:b/>
          <w:sz w:val="24"/>
          <w:szCs w:val="24"/>
        </w:rPr>
        <w:t>G</w:t>
      </w:r>
      <w:r w:rsidR="00305306">
        <w:rPr>
          <w:rFonts w:eastAsia="MS Mincho"/>
          <w:b/>
          <w:sz w:val="24"/>
          <w:szCs w:val="24"/>
        </w:rPr>
        <w:t>onadotropin releasing hormone</w:t>
      </w:r>
      <w:r>
        <w:rPr>
          <w:rFonts w:eastAsia="MS Mincho"/>
          <w:b/>
          <w:sz w:val="24"/>
          <w:szCs w:val="24"/>
        </w:rPr>
        <w:t xml:space="preserve"> agonists</w:t>
      </w:r>
      <w:r w:rsidRPr="00F84AB6">
        <w:rPr>
          <w:rFonts w:cs="Calibri"/>
          <w:color w:val="000000"/>
          <w:szCs w:val="24"/>
        </w:rPr>
        <w:t xml:space="preserve"> </w:t>
      </w:r>
      <w:r w:rsidRPr="00F84AB6">
        <w:rPr>
          <w:rFonts w:eastAsia="MS Mincho"/>
          <w:b/>
          <w:sz w:val="24"/>
          <w:szCs w:val="24"/>
        </w:rPr>
        <w:t xml:space="preserve">for the treatment of carcinoma of the prostate, </w:t>
      </w:r>
      <w:r>
        <w:rPr>
          <w:rFonts w:eastAsia="MS Mincho"/>
          <w:b/>
          <w:sz w:val="24"/>
          <w:szCs w:val="24"/>
        </w:rPr>
        <w:t>central precocious puberty</w:t>
      </w:r>
      <w:r w:rsidRPr="00F84AB6">
        <w:rPr>
          <w:rFonts w:eastAsia="MS Mincho"/>
          <w:b/>
          <w:sz w:val="24"/>
          <w:szCs w:val="24"/>
        </w:rPr>
        <w:t>, breast cancer, endometriosis, and anticipated premature ovarian failure</w:t>
      </w:r>
    </w:p>
    <w:p w14:paraId="5AE74DC3" w14:textId="77777777" w:rsidR="00134CAD" w:rsidRPr="00134CAD" w:rsidRDefault="00134CAD" w:rsidP="00134CAD">
      <w:pPr>
        <w:contextualSpacing/>
        <w:rPr>
          <w:rFonts w:cs="Calibri"/>
          <w:sz w:val="24"/>
          <w:szCs w:val="24"/>
        </w:rPr>
      </w:pPr>
      <w:r w:rsidRPr="00134CAD">
        <w:rPr>
          <w:rFonts w:eastAsia="MS Mincho"/>
          <w:sz w:val="24"/>
          <w:szCs w:val="24"/>
        </w:rPr>
        <w:t xml:space="preserve">The </w:t>
      </w:r>
      <w:r w:rsidRPr="00B6182A">
        <w:rPr>
          <w:rFonts w:cs="Calibri"/>
          <w:sz w:val="24"/>
          <w:szCs w:val="24"/>
        </w:rPr>
        <w:t xml:space="preserve">number of prescriptions dispensed for </w:t>
      </w:r>
      <w:r w:rsidR="00305306">
        <w:rPr>
          <w:rFonts w:cs="Calibri"/>
          <w:sz w:val="24"/>
          <w:szCs w:val="24"/>
        </w:rPr>
        <w:t>gonadotropin releasing hormone (</w:t>
      </w:r>
      <w:proofErr w:type="spellStart"/>
      <w:r w:rsidRPr="00B6182A">
        <w:rPr>
          <w:rFonts w:cs="Calibri"/>
          <w:sz w:val="24"/>
          <w:szCs w:val="24"/>
        </w:rPr>
        <w:t>GnRH</w:t>
      </w:r>
      <w:proofErr w:type="spellEnd"/>
      <w:r w:rsidR="00305306">
        <w:rPr>
          <w:rFonts w:cs="Calibri"/>
          <w:sz w:val="24"/>
          <w:szCs w:val="24"/>
        </w:rPr>
        <w:t>)</w:t>
      </w:r>
      <w:r w:rsidRPr="00B6182A">
        <w:rPr>
          <w:rFonts w:cs="Calibri"/>
          <w:sz w:val="24"/>
          <w:szCs w:val="24"/>
        </w:rPr>
        <w:t xml:space="preserve"> agonists is growing</w:t>
      </w:r>
      <w:r w:rsidRPr="00134CAD">
        <w:rPr>
          <w:rFonts w:cs="Calibri"/>
          <w:sz w:val="24"/>
          <w:szCs w:val="24"/>
        </w:rPr>
        <w:t xml:space="preserve">, and although the number of new patients appears stable, the number of treated patients </w:t>
      </w:r>
      <w:proofErr w:type="gramStart"/>
      <w:r w:rsidRPr="00134CAD">
        <w:rPr>
          <w:rFonts w:cs="Calibri"/>
          <w:sz w:val="24"/>
          <w:szCs w:val="24"/>
        </w:rPr>
        <w:t xml:space="preserve">is </w:t>
      </w:r>
      <w:r w:rsidR="001920C5">
        <w:rPr>
          <w:rFonts w:cs="Calibri"/>
          <w:sz w:val="24"/>
          <w:szCs w:val="24"/>
        </w:rPr>
        <w:t>also</w:t>
      </w:r>
      <w:proofErr w:type="gramEnd"/>
      <w:r w:rsidR="001920C5">
        <w:rPr>
          <w:rFonts w:cs="Calibri"/>
          <w:sz w:val="24"/>
          <w:szCs w:val="24"/>
        </w:rPr>
        <w:t xml:space="preserve"> </w:t>
      </w:r>
      <w:r w:rsidRPr="00134CAD">
        <w:rPr>
          <w:rFonts w:cs="Calibri"/>
          <w:sz w:val="24"/>
          <w:szCs w:val="24"/>
        </w:rPr>
        <w:t xml:space="preserve">growing. </w:t>
      </w:r>
      <w:r w:rsidR="001920C5">
        <w:rPr>
          <w:rFonts w:cs="Calibri"/>
          <w:sz w:val="24"/>
          <w:szCs w:val="24"/>
        </w:rPr>
        <w:t xml:space="preserve">The majority of new and treated patients are male; in </w:t>
      </w:r>
      <w:proofErr w:type="gramStart"/>
      <w:r w:rsidR="001920C5">
        <w:rPr>
          <w:rFonts w:cs="Calibri"/>
          <w:sz w:val="24"/>
          <w:szCs w:val="24"/>
        </w:rPr>
        <w:t>2018</w:t>
      </w:r>
      <w:proofErr w:type="gramEnd"/>
      <w:r w:rsidR="001920C5">
        <w:rPr>
          <w:rFonts w:cs="Calibri"/>
          <w:sz w:val="24"/>
          <w:szCs w:val="24"/>
        </w:rPr>
        <w:t xml:space="preserve"> approximately 80% of treated patients were male. </w:t>
      </w:r>
    </w:p>
    <w:p w14:paraId="769F27A0" w14:textId="77777777" w:rsidR="00134CAD" w:rsidRPr="00134CAD" w:rsidRDefault="00134CAD" w:rsidP="00134CAD">
      <w:pPr>
        <w:contextualSpacing/>
        <w:rPr>
          <w:rFonts w:eastAsia="MS Mincho"/>
          <w:sz w:val="24"/>
          <w:szCs w:val="24"/>
        </w:rPr>
      </w:pPr>
    </w:p>
    <w:p w14:paraId="52C013A5" w14:textId="77777777" w:rsidR="00134CAD" w:rsidRPr="00134CAD" w:rsidRDefault="001920C5" w:rsidP="00A86A36">
      <w:pPr>
        <w:contextualSpacing/>
        <w:rPr>
          <w:rFonts w:eastAsia="MS Mincho"/>
          <w:sz w:val="24"/>
          <w:szCs w:val="24"/>
        </w:rPr>
      </w:pPr>
      <w:proofErr w:type="spellStart"/>
      <w:r w:rsidRPr="001920C5">
        <w:rPr>
          <w:rFonts w:eastAsia="MS Mincho"/>
          <w:sz w:val="24"/>
          <w:szCs w:val="24"/>
        </w:rPr>
        <w:t>GnRH</w:t>
      </w:r>
      <w:proofErr w:type="spellEnd"/>
      <w:r w:rsidRPr="001920C5">
        <w:rPr>
          <w:rFonts w:eastAsia="MS Mincho"/>
          <w:sz w:val="24"/>
          <w:szCs w:val="24"/>
        </w:rPr>
        <w:t xml:space="preserve"> agonists </w:t>
      </w:r>
      <w:proofErr w:type="gramStart"/>
      <w:r w:rsidRPr="001920C5">
        <w:rPr>
          <w:rFonts w:eastAsia="MS Mincho"/>
          <w:sz w:val="24"/>
          <w:szCs w:val="24"/>
        </w:rPr>
        <w:t>are mainly used</w:t>
      </w:r>
      <w:proofErr w:type="gramEnd"/>
      <w:r w:rsidRPr="001920C5">
        <w:rPr>
          <w:rFonts w:eastAsia="MS Mincho"/>
          <w:sz w:val="24"/>
          <w:szCs w:val="24"/>
        </w:rPr>
        <w:t xml:space="preserve"> in women aged 15 to 59 years, and in men aged 45 to 99 years.</w:t>
      </w:r>
      <w:r>
        <w:rPr>
          <w:rFonts w:eastAsia="MS Mincho"/>
          <w:sz w:val="24"/>
          <w:szCs w:val="24"/>
        </w:rPr>
        <w:t xml:space="preserve"> </w:t>
      </w:r>
      <w:r w:rsidR="00134CAD" w:rsidRPr="00134CAD">
        <w:rPr>
          <w:rFonts w:eastAsia="MS Mincho"/>
          <w:sz w:val="24"/>
          <w:szCs w:val="24"/>
        </w:rPr>
        <w:t xml:space="preserve">DUSC noted the age at first prescription for female and male patients corresponded with the onset of conditions </w:t>
      </w:r>
      <w:r w:rsidR="00134CAD">
        <w:rPr>
          <w:rFonts w:eastAsia="MS Mincho"/>
          <w:sz w:val="24"/>
          <w:szCs w:val="24"/>
        </w:rPr>
        <w:t xml:space="preserve">listed in the PBS restrictions for </w:t>
      </w:r>
      <w:proofErr w:type="spellStart"/>
      <w:r w:rsidR="00134CAD">
        <w:rPr>
          <w:rFonts w:eastAsia="MS Mincho"/>
          <w:sz w:val="24"/>
          <w:szCs w:val="24"/>
        </w:rPr>
        <w:t>GnRH</w:t>
      </w:r>
      <w:proofErr w:type="spellEnd"/>
      <w:r w:rsidR="00134CAD">
        <w:rPr>
          <w:rFonts w:eastAsia="MS Mincho"/>
          <w:sz w:val="24"/>
          <w:szCs w:val="24"/>
        </w:rPr>
        <w:t xml:space="preserve"> agonists</w:t>
      </w:r>
      <w:r w:rsidR="00134CAD" w:rsidRPr="00134CAD">
        <w:rPr>
          <w:rFonts w:eastAsia="MS Mincho"/>
          <w:sz w:val="24"/>
          <w:szCs w:val="24"/>
        </w:rPr>
        <w:t xml:space="preserve">. </w:t>
      </w:r>
      <w:r>
        <w:rPr>
          <w:rFonts w:eastAsia="MS Mincho"/>
          <w:sz w:val="24"/>
          <w:szCs w:val="24"/>
        </w:rPr>
        <w:t xml:space="preserve">The length of treatment for the various PBS indications did not suggest these medicines </w:t>
      </w:r>
      <w:proofErr w:type="gramStart"/>
      <w:r>
        <w:rPr>
          <w:rFonts w:eastAsia="MS Mincho"/>
          <w:sz w:val="24"/>
          <w:szCs w:val="24"/>
        </w:rPr>
        <w:t>are being used</w:t>
      </w:r>
      <w:proofErr w:type="gramEnd"/>
      <w:r>
        <w:rPr>
          <w:rFonts w:eastAsia="MS Mincho"/>
          <w:sz w:val="24"/>
          <w:szCs w:val="24"/>
        </w:rPr>
        <w:t xml:space="preserve"> outside of the PBS restrictions.</w:t>
      </w:r>
    </w:p>
    <w:p w14:paraId="2DBE77C9" w14:textId="77777777" w:rsidR="00134CAD" w:rsidRPr="00134CAD" w:rsidRDefault="00134CAD" w:rsidP="00A86A36">
      <w:pPr>
        <w:contextualSpacing/>
        <w:rPr>
          <w:rFonts w:eastAsia="MS Mincho"/>
          <w:sz w:val="24"/>
          <w:szCs w:val="24"/>
        </w:rPr>
      </w:pPr>
    </w:p>
    <w:p w14:paraId="7F06217F" w14:textId="77777777" w:rsidR="00A86A36" w:rsidRPr="00846541" w:rsidRDefault="00A86A36" w:rsidP="00A86A36">
      <w:pPr>
        <w:contextualSpacing/>
        <w:rPr>
          <w:rFonts w:eastAsia="MS Mincho"/>
          <w:sz w:val="24"/>
          <w:szCs w:val="24"/>
        </w:rPr>
      </w:pPr>
      <w:r w:rsidRPr="00BB52B3">
        <w:rPr>
          <w:rFonts w:eastAsia="MS Mincho"/>
          <w:sz w:val="24"/>
          <w:szCs w:val="24"/>
        </w:rPr>
        <w:t xml:space="preserve">DUSC requested that the report </w:t>
      </w:r>
      <w:proofErr w:type="gramStart"/>
      <w:r w:rsidRPr="00BB52B3">
        <w:rPr>
          <w:rFonts w:eastAsia="MS Mincho"/>
          <w:sz w:val="24"/>
          <w:szCs w:val="24"/>
        </w:rPr>
        <w:t>be provided</w:t>
      </w:r>
      <w:proofErr w:type="gramEnd"/>
      <w:r w:rsidRPr="00BB52B3">
        <w:rPr>
          <w:rFonts w:eastAsia="MS Mincho"/>
          <w:sz w:val="24"/>
          <w:szCs w:val="24"/>
        </w:rPr>
        <w:t xml:space="preserve"> to the PBAC.</w:t>
      </w:r>
      <w:r>
        <w:rPr>
          <w:rFonts w:eastAsia="MS Mincho"/>
          <w:sz w:val="24"/>
          <w:szCs w:val="24"/>
        </w:rPr>
        <w:t xml:space="preserve"> </w:t>
      </w:r>
    </w:p>
    <w:p w14:paraId="29401048" w14:textId="77777777" w:rsidR="003F0120" w:rsidRDefault="003F0120" w:rsidP="00FA5FD8">
      <w:pPr>
        <w:contextualSpacing/>
        <w:rPr>
          <w:rFonts w:eastAsia="MS Mincho"/>
          <w:sz w:val="24"/>
          <w:szCs w:val="24"/>
          <w:highlight w:val="yellow"/>
        </w:rPr>
      </w:pPr>
    </w:p>
    <w:p w14:paraId="19BD5979" w14:textId="77777777" w:rsidR="00F84AB6" w:rsidRPr="00843448" w:rsidRDefault="00F84AB6" w:rsidP="00F84AB6">
      <w:pPr>
        <w:contextualSpacing/>
        <w:rPr>
          <w:rFonts w:eastAsia="MS Mincho"/>
          <w:b/>
          <w:sz w:val="24"/>
          <w:szCs w:val="24"/>
        </w:rPr>
      </w:pPr>
      <w:proofErr w:type="spellStart"/>
      <w:r>
        <w:rPr>
          <w:rFonts w:eastAsia="MS Mincho"/>
          <w:b/>
          <w:sz w:val="24"/>
          <w:szCs w:val="24"/>
        </w:rPr>
        <w:t>Sapropterin</w:t>
      </w:r>
      <w:proofErr w:type="spellEnd"/>
      <w:r>
        <w:rPr>
          <w:rFonts w:eastAsia="MS Mincho"/>
          <w:b/>
          <w:sz w:val="24"/>
          <w:szCs w:val="24"/>
        </w:rPr>
        <w:t xml:space="preserve"> for </w:t>
      </w:r>
      <w:proofErr w:type="spellStart"/>
      <w:r>
        <w:rPr>
          <w:rFonts w:eastAsia="MS Mincho"/>
          <w:b/>
          <w:sz w:val="24"/>
          <w:szCs w:val="24"/>
        </w:rPr>
        <w:t>hyperphenylalaninaemia</w:t>
      </w:r>
      <w:proofErr w:type="spellEnd"/>
      <w:r>
        <w:rPr>
          <w:rFonts w:eastAsia="MS Mincho"/>
          <w:b/>
          <w:sz w:val="24"/>
          <w:szCs w:val="24"/>
        </w:rPr>
        <w:t xml:space="preserve"> due to BH4 deficiency </w:t>
      </w:r>
    </w:p>
    <w:p w14:paraId="101E3D18" w14:textId="77777777" w:rsidR="002F24C4" w:rsidRPr="002F24C4" w:rsidRDefault="002F24C4" w:rsidP="002F24C4">
      <w:pPr>
        <w:contextualSpacing/>
        <w:rPr>
          <w:rFonts w:eastAsia="MS Mincho"/>
          <w:sz w:val="24"/>
          <w:szCs w:val="24"/>
        </w:rPr>
      </w:pPr>
    </w:p>
    <w:p w14:paraId="731A75CB" w14:textId="545DA9C8" w:rsidR="002F24C4" w:rsidRPr="002F24C4" w:rsidRDefault="002F24C4" w:rsidP="002F24C4">
      <w:pPr>
        <w:contextualSpacing/>
        <w:rPr>
          <w:rFonts w:eastAsia="MS Mincho"/>
          <w:sz w:val="24"/>
          <w:szCs w:val="24"/>
        </w:rPr>
      </w:pPr>
      <w:r w:rsidRPr="002F24C4">
        <w:rPr>
          <w:rFonts w:eastAsia="MS Mincho"/>
          <w:sz w:val="24"/>
          <w:szCs w:val="24"/>
        </w:rPr>
        <w:t xml:space="preserve">DUSC compared the predicted versus actual utilisation of </w:t>
      </w:r>
      <w:proofErr w:type="spellStart"/>
      <w:r w:rsidRPr="002F24C4">
        <w:rPr>
          <w:rFonts w:eastAsia="MS Mincho"/>
          <w:sz w:val="24"/>
          <w:szCs w:val="24"/>
        </w:rPr>
        <w:t>sapropterin</w:t>
      </w:r>
      <w:proofErr w:type="spellEnd"/>
      <w:r w:rsidRPr="002F24C4">
        <w:rPr>
          <w:rFonts w:eastAsia="MS Mincho"/>
          <w:sz w:val="24"/>
          <w:szCs w:val="24"/>
        </w:rPr>
        <w:t xml:space="preserve"> since it first listed on the PBS on 1 May 2014.</w:t>
      </w:r>
      <w:r w:rsidR="00E10B17">
        <w:rPr>
          <w:rFonts w:eastAsia="MS Mincho"/>
          <w:sz w:val="24"/>
          <w:szCs w:val="24"/>
        </w:rPr>
        <w:t xml:space="preserve"> </w:t>
      </w:r>
    </w:p>
    <w:p w14:paraId="5925CFCD" w14:textId="77777777" w:rsidR="002F24C4" w:rsidRPr="002F24C4" w:rsidRDefault="002F24C4" w:rsidP="002F24C4">
      <w:pPr>
        <w:contextualSpacing/>
        <w:rPr>
          <w:rFonts w:eastAsia="MS Mincho"/>
          <w:sz w:val="24"/>
          <w:szCs w:val="24"/>
        </w:rPr>
      </w:pPr>
    </w:p>
    <w:p w14:paraId="1AA1CA69" w14:textId="61C6CE1F" w:rsidR="002F24C4" w:rsidRPr="002F24C4" w:rsidRDefault="002F24C4" w:rsidP="002F24C4">
      <w:pPr>
        <w:contextualSpacing/>
        <w:rPr>
          <w:rFonts w:eastAsia="MS Mincho"/>
          <w:sz w:val="24"/>
          <w:szCs w:val="24"/>
        </w:rPr>
      </w:pPr>
      <w:r w:rsidRPr="002F24C4">
        <w:rPr>
          <w:rFonts w:eastAsia="MS Mincho"/>
          <w:sz w:val="24"/>
          <w:szCs w:val="24"/>
        </w:rPr>
        <w:t xml:space="preserve">The majority of patients (over 90%) who had first initiated on </w:t>
      </w:r>
      <w:proofErr w:type="spellStart"/>
      <w:r w:rsidRPr="002F24C4">
        <w:rPr>
          <w:rFonts w:eastAsia="MS Mincho"/>
          <w:sz w:val="24"/>
          <w:szCs w:val="24"/>
        </w:rPr>
        <w:t>sapropterin</w:t>
      </w:r>
      <w:proofErr w:type="spellEnd"/>
      <w:r w:rsidRPr="002F24C4">
        <w:rPr>
          <w:rFonts w:eastAsia="MS Mincho"/>
          <w:sz w:val="24"/>
          <w:szCs w:val="24"/>
        </w:rPr>
        <w:t xml:space="preserve"> within its first four years of listing were continuing to be supplied </w:t>
      </w:r>
      <w:proofErr w:type="spellStart"/>
      <w:r w:rsidRPr="002F24C4">
        <w:rPr>
          <w:rFonts w:eastAsia="MS Mincho"/>
          <w:sz w:val="24"/>
          <w:szCs w:val="24"/>
        </w:rPr>
        <w:t>sapropterin</w:t>
      </w:r>
      <w:proofErr w:type="spellEnd"/>
      <w:r w:rsidRPr="002F24C4">
        <w:rPr>
          <w:rFonts w:eastAsia="MS Mincho"/>
          <w:sz w:val="24"/>
          <w:szCs w:val="24"/>
        </w:rPr>
        <w:t xml:space="preserve">, including all patients who initiated therapy in the first year of listing. </w:t>
      </w:r>
    </w:p>
    <w:p w14:paraId="4BDED6F1" w14:textId="77777777" w:rsidR="002F24C4" w:rsidRPr="002F24C4" w:rsidRDefault="002F24C4" w:rsidP="002F24C4">
      <w:pPr>
        <w:contextualSpacing/>
        <w:rPr>
          <w:rFonts w:eastAsia="MS Mincho"/>
          <w:sz w:val="24"/>
          <w:szCs w:val="24"/>
        </w:rPr>
      </w:pPr>
    </w:p>
    <w:p w14:paraId="3EE8A940" w14:textId="77777777" w:rsidR="002F24C4" w:rsidRPr="002F24C4" w:rsidRDefault="002F24C4" w:rsidP="002F24C4">
      <w:pPr>
        <w:contextualSpacing/>
        <w:rPr>
          <w:rFonts w:eastAsia="MS Mincho"/>
          <w:sz w:val="24"/>
          <w:szCs w:val="24"/>
        </w:rPr>
      </w:pPr>
      <w:r w:rsidRPr="002F24C4">
        <w:rPr>
          <w:rFonts w:eastAsia="MS Mincho"/>
          <w:sz w:val="24"/>
          <w:szCs w:val="24"/>
        </w:rPr>
        <w:t xml:space="preserve">The number of patients who were supplied </w:t>
      </w:r>
      <w:proofErr w:type="spellStart"/>
      <w:r w:rsidRPr="002F24C4">
        <w:rPr>
          <w:rFonts w:eastAsia="MS Mincho"/>
          <w:sz w:val="24"/>
          <w:szCs w:val="24"/>
        </w:rPr>
        <w:t>sapropterin</w:t>
      </w:r>
      <w:proofErr w:type="spellEnd"/>
      <w:r w:rsidRPr="002F24C4">
        <w:rPr>
          <w:rFonts w:eastAsia="MS Mincho"/>
          <w:sz w:val="24"/>
          <w:szCs w:val="24"/>
        </w:rPr>
        <w:t xml:space="preserve"> was similar to predicted in the first two years of listing, and exceeded predicted levels thereafter.  However the higher than predicted number of patients did not translate to a greater expenditure on </w:t>
      </w:r>
      <w:proofErr w:type="spellStart"/>
      <w:r w:rsidRPr="002F24C4">
        <w:rPr>
          <w:rFonts w:eastAsia="MS Mincho"/>
          <w:sz w:val="24"/>
          <w:szCs w:val="24"/>
        </w:rPr>
        <w:t>sapropterin</w:t>
      </w:r>
      <w:proofErr w:type="spellEnd"/>
      <w:r w:rsidRPr="002F24C4">
        <w:rPr>
          <w:rFonts w:eastAsia="MS Mincho"/>
          <w:sz w:val="24"/>
          <w:szCs w:val="24"/>
        </w:rPr>
        <w:t xml:space="preserve"> than anticipated. This was mainly because of a lower than predicted number of prescriptions dispensed per </w:t>
      </w:r>
      <w:bookmarkStart w:id="0" w:name="_GoBack"/>
      <w:bookmarkEnd w:id="0"/>
      <w:r w:rsidRPr="002F24C4">
        <w:rPr>
          <w:rFonts w:eastAsia="MS Mincho"/>
          <w:sz w:val="24"/>
          <w:szCs w:val="24"/>
        </w:rPr>
        <w:t xml:space="preserve">patient per year.  DUSC considered that this could be due to dose variability resulting from the weight-based dosing regimen of </w:t>
      </w:r>
      <w:proofErr w:type="spellStart"/>
      <w:r w:rsidRPr="002F24C4">
        <w:rPr>
          <w:rFonts w:eastAsia="MS Mincho"/>
          <w:sz w:val="24"/>
          <w:szCs w:val="24"/>
        </w:rPr>
        <w:t>sapropterin</w:t>
      </w:r>
      <w:proofErr w:type="spellEnd"/>
      <w:r w:rsidRPr="002F24C4">
        <w:rPr>
          <w:rFonts w:eastAsia="MS Mincho"/>
          <w:sz w:val="24"/>
          <w:szCs w:val="24"/>
        </w:rPr>
        <w:t>, and the use of different target phenylalanine levels by prescribers for adolescents and adults.</w:t>
      </w:r>
    </w:p>
    <w:p w14:paraId="7EB1E3F2" w14:textId="77777777" w:rsidR="002F24C4" w:rsidRPr="002F24C4" w:rsidRDefault="002F24C4" w:rsidP="002F24C4">
      <w:pPr>
        <w:contextualSpacing/>
        <w:rPr>
          <w:rFonts w:eastAsia="MS Mincho"/>
          <w:sz w:val="24"/>
          <w:szCs w:val="24"/>
        </w:rPr>
      </w:pPr>
    </w:p>
    <w:p w14:paraId="0982CA1B" w14:textId="77777777" w:rsidR="00F84AB6" w:rsidRPr="00846541" w:rsidRDefault="00F84AB6" w:rsidP="00F84AB6">
      <w:pPr>
        <w:contextualSpacing/>
        <w:rPr>
          <w:rFonts w:eastAsia="MS Mincho"/>
          <w:sz w:val="24"/>
          <w:szCs w:val="24"/>
        </w:rPr>
      </w:pPr>
      <w:r w:rsidRPr="00BB52B3">
        <w:rPr>
          <w:rFonts w:eastAsia="MS Mincho"/>
          <w:sz w:val="24"/>
          <w:szCs w:val="24"/>
        </w:rPr>
        <w:t xml:space="preserve">DUSC requested that the report </w:t>
      </w:r>
      <w:proofErr w:type="gramStart"/>
      <w:r w:rsidRPr="00BB52B3">
        <w:rPr>
          <w:rFonts w:eastAsia="MS Mincho"/>
          <w:sz w:val="24"/>
          <w:szCs w:val="24"/>
        </w:rPr>
        <w:t>be provided</w:t>
      </w:r>
      <w:proofErr w:type="gramEnd"/>
      <w:r w:rsidRPr="00BB52B3">
        <w:rPr>
          <w:rFonts w:eastAsia="MS Mincho"/>
          <w:sz w:val="24"/>
          <w:szCs w:val="24"/>
        </w:rPr>
        <w:t xml:space="preserve"> to the PBAC.</w:t>
      </w:r>
      <w:r>
        <w:rPr>
          <w:rFonts w:eastAsia="MS Mincho"/>
          <w:sz w:val="24"/>
          <w:szCs w:val="24"/>
        </w:rPr>
        <w:t xml:space="preserve"> </w:t>
      </w:r>
    </w:p>
    <w:p w14:paraId="799025C7" w14:textId="77777777" w:rsidR="00F84AB6" w:rsidRPr="003F0120" w:rsidRDefault="00F84AB6" w:rsidP="00FA5FD8">
      <w:pPr>
        <w:contextualSpacing/>
        <w:rPr>
          <w:rFonts w:eastAsia="MS Mincho"/>
          <w:sz w:val="24"/>
          <w:szCs w:val="24"/>
          <w:highlight w:val="yellow"/>
        </w:rPr>
      </w:pPr>
    </w:p>
    <w:p w14:paraId="77C6FF52" w14:textId="77777777" w:rsidR="00C74A39" w:rsidRDefault="00C74A39">
      <w:pPr>
        <w:rPr>
          <w:b/>
          <w:sz w:val="28"/>
        </w:rPr>
      </w:pPr>
      <w:r>
        <w:br w:type="page"/>
      </w:r>
    </w:p>
    <w:p w14:paraId="2A06376F" w14:textId="1AA6458D" w:rsidR="00813C07" w:rsidRPr="00144B72" w:rsidRDefault="00EC27B1" w:rsidP="008B6946">
      <w:pPr>
        <w:pStyle w:val="Heading2"/>
      </w:pPr>
      <w:r w:rsidRPr="00144B72">
        <w:lastRenderedPageBreak/>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4B8965C8"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ED127B">
        <w:rPr>
          <w:sz w:val="24"/>
          <w:szCs w:val="24"/>
        </w:rPr>
        <w:t xml:space="preserve"> </w:t>
      </w:r>
      <w:proofErr w:type="gramStart"/>
      <w:r w:rsidR="00ED127B">
        <w:rPr>
          <w:sz w:val="24"/>
          <w:szCs w:val="24"/>
        </w:rPr>
        <w:t>has</w:t>
      </w:r>
      <w:r w:rsidR="00D55ED4" w:rsidRPr="00144B72">
        <w:rPr>
          <w:sz w:val="24"/>
          <w:szCs w:val="24"/>
        </w:rPr>
        <w:t xml:space="preserve"> been </w:t>
      </w:r>
      <w:r w:rsidR="00EC27B1" w:rsidRPr="00144B72">
        <w:rPr>
          <w:sz w:val="24"/>
          <w:szCs w:val="24"/>
        </w:rPr>
        <w:t>selected</w:t>
      </w:r>
      <w:proofErr w:type="gramEnd"/>
      <w:r w:rsidR="00EC27B1" w:rsidRPr="00144B72">
        <w:rPr>
          <w:sz w:val="24"/>
          <w:szCs w:val="24"/>
        </w:rPr>
        <w:t xml:space="preserve">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711275EE" w14:textId="77777777" w:rsidR="00513E5D" w:rsidRPr="0062222D" w:rsidRDefault="00513E5D" w:rsidP="008B6946">
      <w:pPr>
        <w:rPr>
          <w:sz w:val="24"/>
          <w:szCs w:val="24"/>
          <w:highlight w:val="yellow"/>
        </w:rPr>
      </w:pPr>
    </w:p>
    <w:p w14:paraId="6C432837" w14:textId="77777777" w:rsidR="00C3191A" w:rsidRPr="00AA7FC1" w:rsidRDefault="00C3191A" w:rsidP="00C3191A">
      <w:pPr>
        <w:pStyle w:val="ListParagraph"/>
        <w:autoSpaceDE w:val="0"/>
        <w:autoSpaceDN w:val="0"/>
        <w:adjustRightInd w:val="0"/>
        <w:ind w:left="0"/>
        <w:contextualSpacing/>
        <w:rPr>
          <w:b/>
          <w:szCs w:val="24"/>
        </w:rPr>
      </w:pPr>
      <w:r w:rsidRPr="00AA7FC1">
        <w:rPr>
          <w:b/>
          <w:szCs w:val="24"/>
        </w:rPr>
        <w:t>Predicted versus Actual Utilisation Analysis</w:t>
      </w:r>
    </w:p>
    <w:p w14:paraId="676AB074" w14:textId="77777777" w:rsidR="00330ADB" w:rsidRPr="006B6AE0" w:rsidRDefault="006B6AE0" w:rsidP="00F84AB6">
      <w:pPr>
        <w:pStyle w:val="ListParagraph"/>
        <w:numPr>
          <w:ilvl w:val="0"/>
          <w:numId w:val="6"/>
        </w:numPr>
        <w:contextualSpacing/>
        <w:rPr>
          <w:b/>
        </w:rPr>
      </w:pPr>
      <w:proofErr w:type="spellStart"/>
      <w:r>
        <w:t>Evolocumab</w:t>
      </w:r>
      <w:proofErr w:type="spellEnd"/>
      <w:r>
        <w:t xml:space="preserve"> for the treatment of familial homozygous </w:t>
      </w:r>
      <w:proofErr w:type="spellStart"/>
      <w:r>
        <w:t>hypercholesterolaemia</w:t>
      </w:r>
      <w:proofErr w:type="spellEnd"/>
      <w:r>
        <w:t>.</w:t>
      </w:r>
    </w:p>
    <w:p w14:paraId="03003054" w14:textId="77777777" w:rsidR="006B6AE0" w:rsidRPr="006B6AE0" w:rsidRDefault="006B6AE0" w:rsidP="00F84AB6">
      <w:pPr>
        <w:pStyle w:val="ListParagraph"/>
        <w:numPr>
          <w:ilvl w:val="0"/>
          <w:numId w:val="6"/>
        </w:numPr>
        <w:contextualSpacing/>
        <w:rPr>
          <w:b/>
        </w:rPr>
      </w:pPr>
      <w:proofErr w:type="spellStart"/>
      <w:r>
        <w:t>Lenalidomide</w:t>
      </w:r>
      <w:proofErr w:type="spellEnd"/>
      <w:r>
        <w:t xml:space="preserve"> for the treatment of patients who </w:t>
      </w:r>
      <w:proofErr w:type="gramStart"/>
      <w:r>
        <w:t>are newly diagnosed</w:t>
      </w:r>
      <w:proofErr w:type="gramEnd"/>
      <w:r>
        <w:t xml:space="preserve"> with multiple myeloma.</w:t>
      </w:r>
    </w:p>
    <w:p w14:paraId="394AC65B" w14:textId="77777777" w:rsidR="006B6AE0" w:rsidRDefault="006B6AE0" w:rsidP="006B6AE0">
      <w:pPr>
        <w:pStyle w:val="ListParagraph"/>
        <w:contextualSpacing/>
        <w:rPr>
          <w:b/>
        </w:rPr>
      </w:pPr>
    </w:p>
    <w:p w14:paraId="04A8619D" w14:textId="77777777" w:rsidR="00C3191A" w:rsidRPr="00330ADB" w:rsidRDefault="00330ADB" w:rsidP="0099648E">
      <w:pPr>
        <w:pStyle w:val="ListParagraph"/>
        <w:autoSpaceDE w:val="0"/>
        <w:autoSpaceDN w:val="0"/>
        <w:adjustRightInd w:val="0"/>
        <w:ind w:left="0"/>
        <w:contextualSpacing/>
        <w:rPr>
          <w:b/>
        </w:rPr>
      </w:pPr>
      <w:r w:rsidRPr="00330ADB">
        <w:rPr>
          <w:b/>
        </w:rPr>
        <w:t>Analysis of multiple medicines in a treatment area</w:t>
      </w:r>
    </w:p>
    <w:p w14:paraId="4AB57244" w14:textId="77777777" w:rsidR="00491723" w:rsidRDefault="00491723" w:rsidP="00751B88">
      <w:pPr>
        <w:pStyle w:val="ListParagraph"/>
        <w:numPr>
          <w:ilvl w:val="0"/>
          <w:numId w:val="6"/>
        </w:numPr>
        <w:contextualSpacing/>
        <w:rPr>
          <w:szCs w:val="24"/>
        </w:rPr>
      </w:pPr>
      <w:r>
        <w:rPr>
          <w:szCs w:val="24"/>
        </w:rPr>
        <w:t>Humanised monoclonal antibody medicines (</w:t>
      </w:r>
      <w:proofErr w:type="spellStart"/>
      <w:r>
        <w:rPr>
          <w:szCs w:val="24"/>
        </w:rPr>
        <w:t>benralizumab</w:t>
      </w:r>
      <w:proofErr w:type="spellEnd"/>
      <w:r>
        <w:rPr>
          <w:szCs w:val="24"/>
        </w:rPr>
        <w:t xml:space="preserve">, </w:t>
      </w:r>
      <w:proofErr w:type="spellStart"/>
      <w:r>
        <w:rPr>
          <w:szCs w:val="24"/>
        </w:rPr>
        <w:t>omalizumab</w:t>
      </w:r>
      <w:proofErr w:type="spellEnd"/>
      <w:r>
        <w:rPr>
          <w:szCs w:val="24"/>
        </w:rPr>
        <w:t xml:space="preserve"> and </w:t>
      </w:r>
      <w:proofErr w:type="spellStart"/>
      <w:r>
        <w:rPr>
          <w:szCs w:val="24"/>
        </w:rPr>
        <w:t>mepolizumab</w:t>
      </w:r>
      <w:proofErr w:type="spellEnd"/>
      <w:r>
        <w:rPr>
          <w:szCs w:val="24"/>
        </w:rPr>
        <w:t xml:space="preserve">) for the treatment of </w:t>
      </w:r>
      <w:r w:rsidR="002A2676">
        <w:rPr>
          <w:szCs w:val="24"/>
        </w:rPr>
        <w:t xml:space="preserve">uncontrolled </w:t>
      </w:r>
      <w:r>
        <w:rPr>
          <w:szCs w:val="24"/>
        </w:rPr>
        <w:t>severe asthma.</w:t>
      </w:r>
    </w:p>
    <w:p w14:paraId="2DED7751" w14:textId="77777777" w:rsidR="00330ADB" w:rsidRPr="00330ADB" w:rsidRDefault="000B52EE" w:rsidP="00751B88">
      <w:pPr>
        <w:pStyle w:val="ListParagraph"/>
        <w:numPr>
          <w:ilvl w:val="0"/>
          <w:numId w:val="6"/>
        </w:numPr>
        <w:contextualSpacing/>
        <w:rPr>
          <w:szCs w:val="24"/>
        </w:rPr>
      </w:pPr>
      <w:r>
        <w:rPr>
          <w:szCs w:val="24"/>
        </w:rPr>
        <w:t>Tyrosine kinase inhibitors (</w:t>
      </w:r>
      <w:proofErr w:type="spellStart"/>
      <w:r>
        <w:rPr>
          <w:szCs w:val="24"/>
        </w:rPr>
        <w:t>dasatinib</w:t>
      </w:r>
      <w:proofErr w:type="spellEnd"/>
      <w:r>
        <w:rPr>
          <w:szCs w:val="24"/>
        </w:rPr>
        <w:t xml:space="preserve">, </w:t>
      </w:r>
      <w:proofErr w:type="spellStart"/>
      <w:r>
        <w:rPr>
          <w:szCs w:val="24"/>
        </w:rPr>
        <w:t>imatinib</w:t>
      </w:r>
      <w:proofErr w:type="spellEnd"/>
      <w:r>
        <w:rPr>
          <w:szCs w:val="24"/>
        </w:rPr>
        <w:t xml:space="preserve">, </w:t>
      </w:r>
      <w:proofErr w:type="spellStart"/>
      <w:r>
        <w:rPr>
          <w:szCs w:val="24"/>
        </w:rPr>
        <w:t>nilotinib</w:t>
      </w:r>
      <w:proofErr w:type="spellEnd"/>
      <w:r>
        <w:rPr>
          <w:szCs w:val="24"/>
        </w:rPr>
        <w:t xml:space="preserve"> and </w:t>
      </w:r>
      <w:proofErr w:type="spellStart"/>
      <w:r>
        <w:rPr>
          <w:szCs w:val="24"/>
        </w:rPr>
        <w:t>ponatinib</w:t>
      </w:r>
      <w:proofErr w:type="spellEnd"/>
      <w:r>
        <w:rPr>
          <w:szCs w:val="24"/>
        </w:rPr>
        <w:t>) for the treatment of chronic myeloid leukaemia.</w:t>
      </w:r>
    </w:p>
    <w:p w14:paraId="0A072563" w14:textId="77777777" w:rsidR="00330ADB" w:rsidRPr="00225034" w:rsidRDefault="00330ADB" w:rsidP="0099648E">
      <w:pPr>
        <w:pStyle w:val="ListParagraph"/>
        <w:autoSpaceDE w:val="0"/>
        <w:autoSpaceDN w:val="0"/>
        <w:adjustRightInd w:val="0"/>
        <w:ind w:left="0"/>
        <w:contextualSpacing/>
        <w:rPr>
          <w:b/>
          <w:szCs w:val="24"/>
        </w:rPr>
      </w:pPr>
    </w:p>
    <w:p w14:paraId="4F31FAF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4B75B1D1" w14:textId="77777777" w:rsidR="00313B7D" w:rsidRPr="0062222D" w:rsidRDefault="00313B7D" w:rsidP="008B6946">
      <w:pPr>
        <w:rPr>
          <w:sz w:val="24"/>
          <w:szCs w:val="24"/>
          <w:highlight w:val="yellow"/>
        </w:rPr>
      </w:pPr>
    </w:p>
    <w:p w14:paraId="7D3381D4" w14:textId="77777777" w:rsidR="009B25AF" w:rsidRPr="0062222D" w:rsidRDefault="009B25AF" w:rsidP="008B6946">
      <w:pPr>
        <w:rPr>
          <w:sz w:val="24"/>
          <w:szCs w:val="24"/>
          <w:highlight w:val="yellow"/>
        </w:rPr>
      </w:pPr>
    </w:p>
    <w:p w14:paraId="3C08993A" w14:textId="77777777"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14:paraId="30EB1F9C" w14:textId="77777777" w:rsidR="00002AE8" w:rsidRPr="00144B72" w:rsidRDefault="00002AE8" w:rsidP="008B6946">
      <w:pPr>
        <w:rPr>
          <w:sz w:val="24"/>
          <w:szCs w:val="24"/>
        </w:rPr>
      </w:pPr>
      <w:r w:rsidRPr="00144B72">
        <w:rPr>
          <w:sz w:val="24"/>
          <w:szCs w:val="24"/>
        </w:rPr>
        <w:t>Chair</w:t>
      </w:r>
    </w:p>
    <w:p w14:paraId="47287FD5" w14:textId="77777777" w:rsidR="00002AE8" w:rsidRPr="003F06C8" w:rsidRDefault="00C9017B" w:rsidP="008B6946">
      <w:pPr>
        <w:rPr>
          <w:sz w:val="24"/>
          <w:szCs w:val="24"/>
        </w:rPr>
      </w:pPr>
      <w:r w:rsidRPr="00144B72">
        <w:rPr>
          <w:sz w:val="24"/>
          <w:szCs w:val="24"/>
        </w:rPr>
        <w:t>Drug Utilisation Sub-Committee</w:t>
      </w:r>
    </w:p>
    <w:sectPr w:rsidR="00002AE8" w:rsidRPr="003F06C8" w:rsidSect="007166A9">
      <w:footerReference w:type="default" r:id="rId11"/>
      <w:headerReference w:type="first" r:id="rId12"/>
      <w:footerReference w:type="first" r:id="rId13"/>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7068" w14:textId="77777777" w:rsidR="004438C3" w:rsidRDefault="004438C3">
      <w:r>
        <w:separator/>
      </w:r>
    </w:p>
  </w:endnote>
  <w:endnote w:type="continuationSeparator" w:id="0">
    <w:p w14:paraId="75B21E3B" w14:textId="77777777" w:rsidR="004438C3" w:rsidRDefault="0044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7D2B" w14:textId="3669B6C1" w:rsidR="00CA1AA9" w:rsidRDefault="00CA1AA9">
    <w:pPr>
      <w:pStyle w:val="Footer"/>
      <w:jc w:val="center"/>
    </w:pPr>
    <w:r>
      <w:fldChar w:fldCharType="begin"/>
    </w:r>
    <w:r>
      <w:instrText xml:space="preserve"> PAGE   \* MERGEFORMAT </w:instrText>
    </w:r>
    <w:r>
      <w:fldChar w:fldCharType="separate"/>
    </w:r>
    <w:r w:rsidR="00E10B17">
      <w:rPr>
        <w:noProof/>
      </w:rPr>
      <w:t>3</w:t>
    </w:r>
    <w:r>
      <w:rPr>
        <w:noProof/>
      </w:rPr>
      <w:fldChar w:fldCharType="end"/>
    </w:r>
  </w:p>
  <w:p w14:paraId="549CD2A8"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66C0" w14:textId="3905218A" w:rsidR="00CA1AA9" w:rsidRDefault="00CA1AA9">
    <w:pPr>
      <w:pStyle w:val="Footer"/>
      <w:jc w:val="center"/>
    </w:pPr>
    <w:r>
      <w:fldChar w:fldCharType="begin"/>
    </w:r>
    <w:r>
      <w:instrText xml:space="preserve"> PAGE   \* MERGEFORMAT </w:instrText>
    </w:r>
    <w:r>
      <w:fldChar w:fldCharType="separate"/>
    </w:r>
    <w:r w:rsidR="00E10B17">
      <w:rPr>
        <w:noProof/>
      </w:rPr>
      <w:t>1</w:t>
    </w:r>
    <w:r>
      <w:rPr>
        <w:noProof/>
      </w:rPr>
      <w:fldChar w:fldCharType="end"/>
    </w:r>
  </w:p>
  <w:p w14:paraId="4CDDBBE6"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B984" w14:textId="77777777" w:rsidR="004438C3" w:rsidRDefault="004438C3">
      <w:r>
        <w:separator/>
      </w:r>
    </w:p>
  </w:footnote>
  <w:footnote w:type="continuationSeparator" w:id="0">
    <w:p w14:paraId="0AC3B1BD" w14:textId="77777777" w:rsidR="004438C3" w:rsidRDefault="0044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CD34" w14:textId="77777777" w:rsidR="00CA1AA9" w:rsidRDefault="00D562AF">
    <w:pPr>
      <w:pStyle w:val="Header"/>
    </w:pPr>
    <w:r>
      <w:rPr>
        <w:noProof/>
      </w:rPr>
      <w:drawing>
        <wp:inline distT="0" distB="0" distL="0" distR="0" wp14:anchorId="23846E48" wp14:editId="2A877774">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D2A0767" w14:textId="77777777" w:rsidR="00CA1AA9" w:rsidRPr="00CA347D" w:rsidRDefault="00CA1AA9" w:rsidP="00CA347D">
    <w:pPr>
      <w:pStyle w:val="Heading1"/>
      <w:rPr>
        <w:rStyle w:val="Heading1Char"/>
        <w:b/>
      </w:rPr>
    </w:pPr>
    <w:r w:rsidRPr="00CA347D">
      <w:rPr>
        <w:rStyle w:val="Heading1Char"/>
        <w:b/>
      </w:rPr>
      <w:t>Drug Utilisation Sub-Committee</w:t>
    </w:r>
  </w:p>
  <w:p w14:paraId="106AC726" w14:textId="77777777" w:rsidR="00CA1AA9" w:rsidRPr="00CA347D" w:rsidRDefault="00CA1AA9" w:rsidP="00CA347D">
    <w:pPr>
      <w:pStyle w:val="Heading1"/>
    </w:pPr>
    <w:r w:rsidRPr="00CA347D">
      <w:rPr>
        <w:rStyle w:val="Heading1Char"/>
        <w:b/>
      </w:rPr>
      <w:t xml:space="preserve">Outcome Statement </w:t>
    </w:r>
    <w:r w:rsidR="00F84AB6">
      <w:rPr>
        <w:rStyle w:val="Heading1Char"/>
        <w:b/>
      </w:rPr>
      <w:t>6</w:t>
    </w:r>
    <w:r w:rsidR="00E4556A">
      <w:rPr>
        <w:rStyle w:val="Heading1Char"/>
        <w:b/>
      </w:rPr>
      <w:t xml:space="preserve"> </w:t>
    </w:r>
    <w:r w:rsidR="00F84AB6">
      <w:rPr>
        <w:rStyle w:val="Heading1Char"/>
        <w:b/>
      </w:rPr>
      <w:t>June</w:t>
    </w:r>
    <w:r w:rsidR="001F7E8B">
      <w:rPr>
        <w:rStyle w:val="Heading1Char"/>
        <w:b/>
      </w:rPr>
      <w:t xml:space="preserve"> 201</w:t>
    </w:r>
    <w:r w:rsidR="00CE18BF">
      <w:rPr>
        <w:rStyle w:val="Heading1Char"/>
        <w:b/>
      </w:rPr>
      <w:t>9</w:t>
    </w:r>
  </w:p>
  <w:p w14:paraId="6B66BBBE"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5"/>
  </w:num>
  <w:num w:numId="6">
    <w:abstractNumId w:val="2"/>
  </w:num>
  <w:num w:numId="7">
    <w:abstractNumId w:val="0"/>
  </w:num>
  <w:num w:numId="8">
    <w:abstractNumId w:val="7"/>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304CA"/>
    <w:rsid w:val="000308AD"/>
    <w:rsid w:val="00032252"/>
    <w:rsid w:val="0003541E"/>
    <w:rsid w:val="00037A0C"/>
    <w:rsid w:val="00040565"/>
    <w:rsid w:val="0004475E"/>
    <w:rsid w:val="00047105"/>
    <w:rsid w:val="0005073D"/>
    <w:rsid w:val="00054C1A"/>
    <w:rsid w:val="00055BF6"/>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2EE"/>
    <w:rsid w:val="000B5448"/>
    <w:rsid w:val="000C1D0B"/>
    <w:rsid w:val="000C58C8"/>
    <w:rsid w:val="000D6712"/>
    <w:rsid w:val="000E178A"/>
    <w:rsid w:val="000E18F9"/>
    <w:rsid w:val="000F3387"/>
    <w:rsid w:val="000F4968"/>
    <w:rsid w:val="000F5C42"/>
    <w:rsid w:val="000F70AE"/>
    <w:rsid w:val="000F73FB"/>
    <w:rsid w:val="000F7CE1"/>
    <w:rsid w:val="00101877"/>
    <w:rsid w:val="00102579"/>
    <w:rsid w:val="001062BB"/>
    <w:rsid w:val="00106A1B"/>
    <w:rsid w:val="001071DA"/>
    <w:rsid w:val="001145B4"/>
    <w:rsid w:val="001215D4"/>
    <w:rsid w:val="00121F43"/>
    <w:rsid w:val="001223D1"/>
    <w:rsid w:val="00123237"/>
    <w:rsid w:val="00134CAD"/>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9FD"/>
    <w:rsid w:val="00181817"/>
    <w:rsid w:val="00182CE1"/>
    <w:rsid w:val="0018567C"/>
    <w:rsid w:val="00186DD1"/>
    <w:rsid w:val="0018700E"/>
    <w:rsid w:val="001902AC"/>
    <w:rsid w:val="001920C5"/>
    <w:rsid w:val="001933E2"/>
    <w:rsid w:val="0019724B"/>
    <w:rsid w:val="001A10FD"/>
    <w:rsid w:val="001A3F70"/>
    <w:rsid w:val="001A417C"/>
    <w:rsid w:val="001A449F"/>
    <w:rsid w:val="001A4CD7"/>
    <w:rsid w:val="001A5FA2"/>
    <w:rsid w:val="001A7B67"/>
    <w:rsid w:val="001B1949"/>
    <w:rsid w:val="001B19E3"/>
    <w:rsid w:val="001B2A10"/>
    <w:rsid w:val="001B75D9"/>
    <w:rsid w:val="001C0316"/>
    <w:rsid w:val="001C5A7B"/>
    <w:rsid w:val="001C61FD"/>
    <w:rsid w:val="001C7C04"/>
    <w:rsid w:val="001E4D54"/>
    <w:rsid w:val="001E682A"/>
    <w:rsid w:val="001F33DA"/>
    <w:rsid w:val="001F4200"/>
    <w:rsid w:val="001F6850"/>
    <w:rsid w:val="001F7E8B"/>
    <w:rsid w:val="001F7F87"/>
    <w:rsid w:val="00200BA3"/>
    <w:rsid w:val="00203342"/>
    <w:rsid w:val="00203986"/>
    <w:rsid w:val="00204055"/>
    <w:rsid w:val="00206C78"/>
    <w:rsid w:val="00211F6D"/>
    <w:rsid w:val="002123C7"/>
    <w:rsid w:val="00213EAC"/>
    <w:rsid w:val="002168C1"/>
    <w:rsid w:val="00216CE7"/>
    <w:rsid w:val="00220B3C"/>
    <w:rsid w:val="00224079"/>
    <w:rsid w:val="00224DF5"/>
    <w:rsid w:val="00225034"/>
    <w:rsid w:val="00230732"/>
    <w:rsid w:val="00235EF9"/>
    <w:rsid w:val="002362A1"/>
    <w:rsid w:val="00237631"/>
    <w:rsid w:val="00240FA6"/>
    <w:rsid w:val="002421EE"/>
    <w:rsid w:val="00242420"/>
    <w:rsid w:val="00247102"/>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8771A"/>
    <w:rsid w:val="00291D51"/>
    <w:rsid w:val="00292E10"/>
    <w:rsid w:val="00294F3F"/>
    <w:rsid w:val="0029548B"/>
    <w:rsid w:val="002A2278"/>
    <w:rsid w:val="002A2676"/>
    <w:rsid w:val="002A2FEF"/>
    <w:rsid w:val="002A48D7"/>
    <w:rsid w:val="002A6291"/>
    <w:rsid w:val="002A6A51"/>
    <w:rsid w:val="002B0FD1"/>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F20"/>
    <w:rsid w:val="00312E8E"/>
    <w:rsid w:val="00313B7D"/>
    <w:rsid w:val="00313FED"/>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512F6"/>
    <w:rsid w:val="0035237B"/>
    <w:rsid w:val="0035266E"/>
    <w:rsid w:val="00352D12"/>
    <w:rsid w:val="0035418A"/>
    <w:rsid w:val="003555E8"/>
    <w:rsid w:val="00357332"/>
    <w:rsid w:val="0035787B"/>
    <w:rsid w:val="003620F9"/>
    <w:rsid w:val="00362581"/>
    <w:rsid w:val="00371376"/>
    <w:rsid w:val="0037338E"/>
    <w:rsid w:val="00373C2E"/>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3E03"/>
    <w:rsid w:val="003C5342"/>
    <w:rsid w:val="003C7822"/>
    <w:rsid w:val="003C7935"/>
    <w:rsid w:val="003D0574"/>
    <w:rsid w:val="003D6109"/>
    <w:rsid w:val="003D62AA"/>
    <w:rsid w:val="003D6C07"/>
    <w:rsid w:val="003E1ED8"/>
    <w:rsid w:val="003E601F"/>
    <w:rsid w:val="003E60A4"/>
    <w:rsid w:val="003E7E2E"/>
    <w:rsid w:val="003F0120"/>
    <w:rsid w:val="003F021A"/>
    <w:rsid w:val="003F06C8"/>
    <w:rsid w:val="003F1DCA"/>
    <w:rsid w:val="00405743"/>
    <w:rsid w:val="00406FC4"/>
    <w:rsid w:val="00411CB6"/>
    <w:rsid w:val="004131AF"/>
    <w:rsid w:val="00415BE7"/>
    <w:rsid w:val="0042032E"/>
    <w:rsid w:val="00420E99"/>
    <w:rsid w:val="0042129E"/>
    <w:rsid w:val="00421874"/>
    <w:rsid w:val="00423C42"/>
    <w:rsid w:val="00435449"/>
    <w:rsid w:val="004374C3"/>
    <w:rsid w:val="0044076B"/>
    <w:rsid w:val="0044367B"/>
    <w:rsid w:val="004438C3"/>
    <w:rsid w:val="00445679"/>
    <w:rsid w:val="0044713E"/>
    <w:rsid w:val="00451ABF"/>
    <w:rsid w:val="004521E9"/>
    <w:rsid w:val="00455C86"/>
    <w:rsid w:val="004566A9"/>
    <w:rsid w:val="004600DF"/>
    <w:rsid w:val="00461EAF"/>
    <w:rsid w:val="00463497"/>
    <w:rsid w:val="00463B7E"/>
    <w:rsid w:val="00465EED"/>
    <w:rsid w:val="00466242"/>
    <w:rsid w:val="00471240"/>
    <w:rsid w:val="00471899"/>
    <w:rsid w:val="00473DA7"/>
    <w:rsid w:val="00473E7A"/>
    <w:rsid w:val="0047415B"/>
    <w:rsid w:val="00477500"/>
    <w:rsid w:val="00477A9F"/>
    <w:rsid w:val="00477B65"/>
    <w:rsid w:val="004839FE"/>
    <w:rsid w:val="00487B49"/>
    <w:rsid w:val="00491723"/>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60E0"/>
    <w:rsid w:val="004F6113"/>
    <w:rsid w:val="004F6927"/>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1F7"/>
    <w:rsid w:val="00602B28"/>
    <w:rsid w:val="00602DC3"/>
    <w:rsid w:val="00603A1E"/>
    <w:rsid w:val="00605905"/>
    <w:rsid w:val="00605D9C"/>
    <w:rsid w:val="00606F6A"/>
    <w:rsid w:val="00610F72"/>
    <w:rsid w:val="006118CB"/>
    <w:rsid w:val="00613A63"/>
    <w:rsid w:val="006146D0"/>
    <w:rsid w:val="0061504D"/>
    <w:rsid w:val="0062222D"/>
    <w:rsid w:val="00622522"/>
    <w:rsid w:val="006231FB"/>
    <w:rsid w:val="0062459E"/>
    <w:rsid w:val="00626FE7"/>
    <w:rsid w:val="006314E6"/>
    <w:rsid w:val="00635EA5"/>
    <w:rsid w:val="00640199"/>
    <w:rsid w:val="0064252F"/>
    <w:rsid w:val="006431B8"/>
    <w:rsid w:val="00645035"/>
    <w:rsid w:val="00647F2B"/>
    <w:rsid w:val="00651A8E"/>
    <w:rsid w:val="00667381"/>
    <w:rsid w:val="00670BD6"/>
    <w:rsid w:val="00670E22"/>
    <w:rsid w:val="006723D5"/>
    <w:rsid w:val="00676304"/>
    <w:rsid w:val="00677B98"/>
    <w:rsid w:val="0068031D"/>
    <w:rsid w:val="006806A8"/>
    <w:rsid w:val="006826C3"/>
    <w:rsid w:val="00683F49"/>
    <w:rsid w:val="006878A3"/>
    <w:rsid w:val="00692AAD"/>
    <w:rsid w:val="00692B74"/>
    <w:rsid w:val="006946E1"/>
    <w:rsid w:val="00695073"/>
    <w:rsid w:val="00695BF3"/>
    <w:rsid w:val="006969FE"/>
    <w:rsid w:val="00697BC7"/>
    <w:rsid w:val="006A0AB6"/>
    <w:rsid w:val="006A71A2"/>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F5D"/>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6AF7"/>
    <w:rsid w:val="00706F2D"/>
    <w:rsid w:val="0071514B"/>
    <w:rsid w:val="0071558A"/>
    <w:rsid w:val="00715E10"/>
    <w:rsid w:val="007166A9"/>
    <w:rsid w:val="00722564"/>
    <w:rsid w:val="0072634E"/>
    <w:rsid w:val="007327B8"/>
    <w:rsid w:val="00735BBE"/>
    <w:rsid w:val="0073626D"/>
    <w:rsid w:val="007404D8"/>
    <w:rsid w:val="00741108"/>
    <w:rsid w:val="00741B42"/>
    <w:rsid w:val="0074244E"/>
    <w:rsid w:val="0074399F"/>
    <w:rsid w:val="00746212"/>
    <w:rsid w:val="00747495"/>
    <w:rsid w:val="00751B88"/>
    <w:rsid w:val="00753580"/>
    <w:rsid w:val="00753AE8"/>
    <w:rsid w:val="00753D42"/>
    <w:rsid w:val="00755BF3"/>
    <w:rsid w:val="0076008F"/>
    <w:rsid w:val="007605B0"/>
    <w:rsid w:val="00761116"/>
    <w:rsid w:val="00766D92"/>
    <w:rsid w:val="00766DBB"/>
    <w:rsid w:val="007830A6"/>
    <w:rsid w:val="00783E2D"/>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B1F"/>
    <w:rsid w:val="007D29DA"/>
    <w:rsid w:val="007D3A05"/>
    <w:rsid w:val="007D4108"/>
    <w:rsid w:val="007D53F5"/>
    <w:rsid w:val="007D71F4"/>
    <w:rsid w:val="007E0FFA"/>
    <w:rsid w:val="007E3CDE"/>
    <w:rsid w:val="007E3E41"/>
    <w:rsid w:val="007E45EB"/>
    <w:rsid w:val="007E4699"/>
    <w:rsid w:val="007F03B3"/>
    <w:rsid w:val="007F224E"/>
    <w:rsid w:val="007F6799"/>
    <w:rsid w:val="00802343"/>
    <w:rsid w:val="00802954"/>
    <w:rsid w:val="008032CF"/>
    <w:rsid w:val="008032DE"/>
    <w:rsid w:val="00806FF3"/>
    <w:rsid w:val="00812097"/>
    <w:rsid w:val="00812A58"/>
    <w:rsid w:val="00812E43"/>
    <w:rsid w:val="00813C07"/>
    <w:rsid w:val="008226BA"/>
    <w:rsid w:val="008232E9"/>
    <w:rsid w:val="00824D2F"/>
    <w:rsid w:val="00825E26"/>
    <w:rsid w:val="00833148"/>
    <w:rsid w:val="00833909"/>
    <w:rsid w:val="00834AC0"/>
    <w:rsid w:val="008376F6"/>
    <w:rsid w:val="0084274F"/>
    <w:rsid w:val="00843448"/>
    <w:rsid w:val="00844137"/>
    <w:rsid w:val="008443DF"/>
    <w:rsid w:val="00846370"/>
    <w:rsid w:val="00846541"/>
    <w:rsid w:val="00851077"/>
    <w:rsid w:val="00855B59"/>
    <w:rsid w:val="00857960"/>
    <w:rsid w:val="00861B30"/>
    <w:rsid w:val="00865608"/>
    <w:rsid w:val="008671AC"/>
    <w:rsid w:val="008730E5"/>
    <w:rsid w:val="0087516C"/>
    <w:rsid w:val="00885679"/>
    <w:rsid w:val="00886FF7"/>
    <w:rsid w:val="00887242"/>
    <w:rsid w:val="008909B5"/>
    <w:rsid w:val="008933AA"/>
    <w:rsid w:val="00893956"/>
    <w:rsid w:val="008945B1"/>
    <w:rsid w:val="008952FA"/>
    <w:rsid w:val="00896489"/>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D90"/>
    <w:rsid w:val="009E754B"/>
    <w:rsid w:val="009F1A70"/>
    <w:rsid w:val="009F37E6"/>
    <w:rsid w:val="009F44EE"/>
    <w:rsid w:val="009F5D71"/>
    <w:rsid w:val="009F7D69"/>
    <w:rsid w:val="00A02C13"/>
    <w:rsid w:val="00A06FDB"/>
    <w:rsid w:val="00A1378E"/>
    <w:rsid w:val="00A140B4"/>
    <w:rsid w:val="00A20CBD"/>
    <w:rsid w:val="00A23071"/>
    <w:rsid w:val="00A24070"/>
    <w:rsid w:val="00A27FE5"/>
    <w:rsid w:val="00A33086"/>
    <w:rsid w:val="00A340B2"/>
    <w:rsid w:val="00A372EE"/>
    <w:rsid w:val="00A42B7A"/>
    <w:rsid w:val="00A432AE"/>
    <w:rsid w:val="00A453E3"/>
    <w:rsid w:val="00A479B7"/>
    <w:rsid w:val="00A479D4"/>
    <w:rsid w:val="00A5019B"/>
    <w:rsid w:val="00A50646"/>
    <w:rsid w:val="00A50FB6"/>
    <w:rsid w:val="00A50FF8"/>
    <w:rsid w:val="00A52067"/>
    <w:rsid w:val="00A52E9A"/>
    <w:rsid w:val="00A5505E"/>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AC5"/>
    <w:rsid w:val="00B54D25"/>
    <w:rsid w:val="00B561D0"/>
    <w:rsid w:val="00B613BB"/>
    <w:rsid w:val="00B66DA3"/>
    <w:rsid w:val="00B66FD7"/>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52B3"/>
    <w:rsid w:val="00BC71C3"/>
    <w:rsid w:val="00BD43B4"/>
    <w:rsid w:val="00BD606B"/>
    <w:rsid w:val="00BE14B6"/>
    <w:rsid w:val="00BE2B0F"/>
    <w:rsid w:val="00BE2C79"/>
    <w:rsid w:val="00BE786B"/>
    <w:rsid w:val="00BE7AE1"/>
    <w:rsid w:val="00BF1645"/>
    <w:rsid w:val="00BF1737"/>
    <w:rsid w:val="00BF1F11"/>
    <w:rsid w:val="00BF5017"/>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D16"/>
    <w:rsid w:val="00C720BE"/>
    <w:rsid w:val="00C72A99"/>
    <w:rsid w:val="00C73D5B"/>
    <w:rsid w:val="00C74A39"/>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48A"/>
    <w:rsid w:val="00CD7B6B"/>
    <w:rsid w:val="00CE106A"/>
    <w:rsid w:val="00CE18BF"/>
    <w:rsid w:val="00CE2340"/>
    <w:rsid w:val="00CE2E5D"/>
    <w:rsid w:val="00CE3022"/>
    <w:rsid w:val="00CE505F"/>
    <w:rsid w:val="00CE507E"/>
    <w:rsid w:val="00CF2E8F"/>
    <w:rsid w:val="00CF773D"/>
    <w:rsid w:val="00D03704"/>
    <w:rsid w:val="00D06634"/>
    <w:rsid w:val="00D06EDB"/>
    <w:rsid w:val="00D14024"/>
    <w:rsid w:val="00D144A5"/>
    <w:rsid w:val="00D16502"/>
    <w:rsid w:val="00D23DEB"/>
    <w:rsid w:val="00D24CB5"/>
    <w:rsid w:val="00D26F01"/>
    <w:rsid w:val="00D326B4"/>
    <w:rsid w:val="00D3696D"/>
    <w:rsid w:val="00D36D8C"/>
    <w:rsid w:val="00D37EA6"/>
    <w:rsid w:val="00D412C9"/>
    <w:rsid w:val="00D50E3F"/>
    <w:rsid w:val="00D51FE0"/>
    <w:rsid w:val="00D55ED4"/>
    <w:rsid w:val="00D562AF"/>
    <w:rsid w:val="00D5726A"/>
    <w:rsid w:val="00D573C4"/>
    <w:rsid w:val="00D61A07"/>
    <w:rsid w:val="00D61C73"/>
    <w:rsid w:val="00D67AB7"/>
    <w:rsid w:val="00D716A5"/>
    <w:rsid w:val="00D71C86"/>
    <w:rsid w:val="00D73D6C"/>
    <w:rsid w:val="00D74700"/>
    <w:rsid w:val="00D75023"/>
    <w:rsid w:val="00D75B7D"/>
    <w:rsid w:val="00D75B8D"/>
    <w:rsid w:val="00D776E5"/>
    <w:rsid w:val="00D801D7"/>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8BC"/>
    <w:rsid w:val="00E05CA9"/>
    <w:rsid w:val="00E069B9"/>
    <w:rsid w:val="00E06E1E"/>
    <w:rsid w:val="00E1073E"/>
    <w:rsid w:val="00E10B17"/>
    <w:rsid w:val="00E13E1F"/>
    <w:rsid w:val="00E15343"/>
    <w:rsid w:val="00E15D96"/>
    <w:rsid w:val="00E202D8"/>
    <w:rsid w:val="00E219CC"/>
    <w:rsid w:val="00E21AB6"/>
    <w:rsid w:val="00E224FD"/>
    <w:rsid w:val="00E25B12"/>
    <w:rsid w:val="00E2641F"/>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C188E"/>
    <w:rsid w:val="00EC27B1"/>
    <w:rsid w:val="00EC48D1"/>
    <w:rsid w:val="00EC4D9B"/>
    <w:rsid w:val="00EC7AD6"/>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4AD2"/>
    <w:rsid w:val="00F2511C"/>
    <w:rsid w:val="00F254F2"/>
    <w:rsid w:val="00F256FA"/>
    <w:rsid w:val="00F2717C"/>
    <w:rsid w:val="00F31CBF"/>
    <w:rsid w:val="00F328A6"/>
    <w:rsid w:val="00F33165"/>
    <w:rsid w:val="00F33F00"/>
    <w:rsid w:val="00F36509"/>
    <w:rsid w:val="00F429AA"/>
    <w:rsid w:val="00F42F71"/>
    <w:rsid w:val="00F43C06"/>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72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bs.gov.au/info/industry/listing/elements/pbac-meetings/agenda/july-2019-pbac-meeting" TargetMode="External"/><Relationship Id="rId4" Type="http://schemas.openxmlformats.org/officeDocument/2006/relationships/settings" Target="settings.xml"/><Relationship Id="rId9" Type="http://schemas.openxmlformats.org/officeDocument/2006/relationships/hyperlink" Target="http://www.pbs.gov.au/info/industry/listing/elements/pbac-meetings/agenda/july-2019-pbac-mee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7493-7D3F-4511-99C6-4B10E6FE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5228</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6089</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2019-03-01T01:24:00Z</dcterms:created>
  <dcterms:modified xsi:type="dcterms:W3CDTF">2019-07-10T01:29:00Z</dcterms:modified>
</cp:coreProperties>
</file>