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BD" w:rsidRDefault="00A20CBD" w:rsidP="00855B59">
      <w:pPr>
        <w:ind w:left="2160" w:firstLine="720"/>
        <w:rPr>
          <w:b/>
          <w:sz w:val="24"/>
          <w:szCs w:val="24"/>
        </w:rPr>
      </w:pPr>
    </w:p>
    <w:p w:rsidR="003F06C8" w:rsidRPr="005F3EF0" w:rsidRDefault="003F06C8" w:rsidP="00605905">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A453E3">
        <w:rPr>
          <w:sz w:val="24"/>
          <w:szCs w:val="24"/>
        </w:rPr>
        <w:t>80</w:t>
      </w:r>
      <w:r w:rsidRPr="005F3EF0">
        <w:rPr>
          <w:sz w:val="24"/>
          <w:szCs w:val="24"/>
        </w:rPr>
        <w:t xml:space="preserve">th meeting on </w:t>
      </w:r>
      <w:r w:rsidR="00A453E3">
        <w:rPr>
          <w:sz w:val="24"/>
          <w:szCs w:val="24"/>
        </w:rPr>
        <w:t>6</w:t>
      </w:r>
      <w:r w:rsidR="000F7CE1">
        <w:rPr>
          <w:sz w:val="24"/>
          <w:szCs w:val="24"/>
        </w:rPr>
        <w:t xml:space="preserve"> February 201</w:t>
      </w:r>
      <w:r w:rsidR="00A453E3">
        <w:rPr>
          <w:sz w:val="24"/>
          <w:szCs w:val="24"/>
        </w:rPr>
        <w:t>4</w:t>
      </w:r>
      <w:r w:rsidRPr="005F3EF0">
        <w:rPr>
          <w:sz w:val="24"/>
          <w:szCs w:val="24"/>
        </w:rPr>
        <w:t>.</w:t>
      </w:r>
    </w:p>
    <w:p w:rsidR="003F06C8" w:rsidRDefault="003F06C8" w:rsidP="005F3EF0">
      <w:pPr>
        <w:tabs>
          <w:tab w:val="left" w:pos="4820"/>
          <w:tab w:val="left" w:pos="8931"/>
          <w:tab w:val="left" w:pos="9028"/>
          <w:tab w:val="left" w:pos="9072"/>
        </w:tabs>
        <w:rPr>
          <w:sz w:val="24"/>
          <w:szCs w:val="24"/>
        </w:rPr>
      </w:pPr>
    </w:p>
    <w:p w:rsidR="00855B59" w:rsidRDefault="001071DA" w:rsidP="00855B59">
      <w:pPr>
        <w:tabs>
          <w:tab w:val="left" w:pos="4820"/>
          <w:tab w:val="left" w:pos="8931"/>
          <w:tab w:val="left" w:pos="9028"/>
          <w:tab w:val="left" w:pos="9072"/>
        </w:tabs>
        <w:rPr>
          <w:sz w:val="24"/>
          <w:szCs w:val="24"/>
        </w:rPr>
      </w:pPr>
      <w:r w:rsidRPr="001071DA">
        <w:rPr>
          <w:sz w:val="24"/>
          <w:szCs w:val="24"/>
        </w:rPr>
        <w:t>DUSC is a national focus of excellence in collecting, analysing and interpreting data on the utilisation of medicines in Australia</w:t>
      </w:r>
      <w:r w:rsidR="00855B59">
        <w:rPr>
          <w:sz w:val="24"/>
          <w:szCs w:val="24"/>
        </w:rPr>
        <w:t xml:space="preserve"> for use by the PBAC</w:t>
      </w:r>
      <w:r w:rsidRPr="001071DA">
        <w:rPr>
          <w:sz w:val="24"/>
          <w:szCs w:val="24"/>
        </w:rPr>
        <w:t xml:space="preserve">. </w:t>
      </w:r>
      <w:r w:rsidR="003361C9">
        <w:rPr>
          <w:sz w:val="24"/>
          <w:szCs w:val="24"/>
        </w:rPr>
        <w:t>Review of the</w:t>
      </w:r>
      <w:r w:rsidRPr="001071DA">
        <w:rPr>
          <w:sz w:val="24"/>
          <w:szCs w:val="24"/>
        </w:rPr>
        <w:t xml:space="preserve"> </w:t>
      </w:r>
      <w:r w:rsidR="003361C9">
        <w:rPr>
          <w:sz w:val="24"/>
          <w:szCs w:val="24"/>
        </w:rPr>
        <w:t>u</w:t>
      </w:r>
      <w:r w:rsidRPr="001071DA">
        <w:rPr>
          <w:sz w:val="24"/>
          <w:szCs w:val="24"/>
        </w:rPr>
        <w:t>tilisation of medicines is an essential management tool in facilitating the objectives of the National Medicines Policy</w:t>
      </w:r>
      <w:r w:rsidR="00855B59">
        <w:rPr>
          <w:sz w:val="24"/>
          <w:szCs w:val="24"/>
        </w:rPr>
        <w:t xml:space="preserve">. </w:t>
      </w:r>
    </w:p>
    <w:p w:rsidR="00855B59" w:rsidRDefault="00855B59" w:rsidP="00855B59">
      <w:pPr>
        <w:tabs>
          <w:tab w:val="left" w:pos="4820"/>
          <w:tab w:val="left" w:pos="8931"/>
          <w:tab w:val="left" w:pos="9028"/>
          <w:tab w:val="left" w:pos="9072"/>
        </w:tabs>
        <w:rPr>
          <w:sz w:val="24"/>
          <w:szCs w:val="24"/>
        </w:rPr>
      </w:pPr>
    </w:p>
    <w:p w:rsidR="004566A9" w:rsidRPr="00855B59" w:rsidRDefault="00855B59" w:rsidP="00CA347D">
      <w:pPr>
        <w:pStyle w:val="Heading2"/>
      </w:pPr>
      <w:r w:rsidRPr="00855B59">
        <w:t>Su</w:t>
      </w:r>
      <w:r w:rsidR="004566A9" w:rsidRPr="00855B59">
        <w:t>bmissions to the PBAC</w:t>
      </w:r>
    </w:p>
    <w:p w:rsidR="008032DE" w:rsidRDefault="003F06C8" w:rsidP="00C65ECB">
      <w:pPr>
        <w:rPr>
          <w:sz w:val="24"/>
          <w:szCs w:val="24"/>
        </w:rPr>
      </w:pPr>
      <w:r>
        <w:rPr>
          <w:sz w:val="24"/>
          <w:szCs w:val="24"/>
        </w:rPr>
        <w:t xml:space="preserve">DUSC noted that </w:t>
      </w:r>
      <w:r w:rsidR="00A453E3">
        <w:rPr>
          <w:sz w:val="24"/>
          <w:szCs w:val="24"/>
        </w:rPr>
        <w:t>31</w:t>
      </w:r>
      <w:r>
        <w:rPr>
          <w:sz w:val="24"/>
          <w:szCs w:val="24"/>
        </w:rPr>
        <w:t xml:space="preserve"> major submissions had been received for the </w:t>
      </w:r>
      <w:r w:rsidR="000F7CE1">
        <w:rPr>
          <w:sz w:val="24"/>
          <w:szCs w:val="24"/>
        </w:rPr>
        <w:t>March</w:t>
      </w:r>
      <w:r w:rsidR="00DA5030">
        <w:rPr>
          <w:sz w:val="24"/>
          <w:szCs w:val="24"/>
        </w:rPr>
        <w:t xml:space="preserve"> </w:t>
      </w:r>
      <w:r w:rsidR="000F7CE1">
        <w:rPr>
          <w:sz w:val="24"/>
          <w:szCs w:val="24"/>
        </w:rPr>
        <w:t>201</w:t>
      </w:r>
      <w:r w:rsidR="006D29CA">
        <w:rPr>
          <w:sz w:val="24"/>
          <w:szCs w:val="24"/>
        </w:rPr>
        <w:t>4</w:t>
      </w:r>
      <w:r>
        <w:rPr>
          <w:sz w:val="24"/>
          <w:szCs w:val="24"/>
        </w:rPr>
        <w:t xml:space="preserve"> meeting of PBAC. </w:t>
      </w:r>
      <w:r w:rsidR="008F7F63">
        <w:rPr>
          <w:sz w:val="24"/>
          <w:szCs w:val="24"/>
        </w:rPr>
        <w:t xml:space="preserve">DUSC provided detailed advice to the PBAC on </w:t>
      </w:r>
      <w:r w:rsidR="009230A9" w:rsidRPr="009230A9">
        <w:rPr>
          <w:sz w:val="24"/>
          <w:szCs w:val="24"/>
        </w:rPr>
        <w:t xml:space="preserve">projected usage and financial cost for </w:t>
      </w:r>
      <w:r w:rsidR="005C053B">
        <w:rPr>
          <w:sz w:val="24"/>
          <w:szCs w:val="24"/>
        </w:rPr>
        <w:t>major</w:t>
      </w:r>
      <w:r>
        <w:rPr>
          <w:sz w:val="24"/>
          <w:szCs w:val="24"/>
        </w:rPr>
        <w:t xml:space="preserve"> submissions</w:t>
      </w:r>
      <w:r w:rsidR="00C814DC">
        <w:rPr>
          <w:sz w:val="24"/>
          <w:szCs w:val="24"/>
        </w:rPr>
        <w:t xml:space="preserve"> where there is high cost, uncertain utilisation</w:t>
      </w:r>
      <w:r w:rsidR="00FA149F">
        <w:rPr>
          <w:sz w:val="24"/>
          <w:szCs w:val="24"/>
        </w:rPr>
        <w:t xml:space="preserve">, first </w:t>
      </w:r>
      <w:r w:rsidR="007D4108">
        <w:rPr>
          <w:sz w:val="24"/>
          <w:szCs w:val="24"/>
        </w:rPr>
        <w:t xml:space="preserve">medicine </w:t>
      </w:r>
      <w:r w:rsidR="00FA149F">
        <w:rPr>
          <w:sz w:val="24"/>
          <w:szCs w:val="24"/>
        </w:rPr>
        <w:t xml:space="preserve">in class or </w:t>
      </w:r>
      <w:r w:rsidR="003361C9">
        <w:rPr>
          <w:sz w:val="24"/>
          <w:szCs w:val="24"/>
        </w:rPr>
        <w:t>q</w:t>
      </w:r>
      <w:r w:rsidR="00FA149F">
        <w:rPr>
          <w:sz w:val="24"/>
          <w:szCs w:val="24"/>
        </w:rPr>
        <w:t xml:space="preserve">uality </w:t>
      </w:r>
      <w:r w:rsidR="003361C9">
        <w:rPr>
          <w:sz w:val="24"/>
          <w:szCs w:val="24"/>
        </w:rPr>
        <w:t>u</w:t>
      </w:r>
      <w:r w:rsidR="00FA149F">
        <w:rPr>
          <w:sz w:val="24"/>
          <w:szCs w:val="24"/>
        </w:rPr>
        <w:t xml:space="preserve">se of </w:t>
      </w:r>
      <w:r w:rsidR="003361C9">
        <w:rPr>
          <w:sz w:val="24"/>
          <w:szCs w:val="24"/>
        </w:rPr>
        <w:t>m</w:t>
      </w:r>
      <w:r w:rsidR="00FA149F">
        <w:rPr>
          <w:sz w:val="24"/>
          <w:szCs w:val="24"/>
        </w:rPr>
        <w:t xml:space="preserve">edicines </w:t>
      </w:r>
      <w:r w:rsidR="0042129E">
        <w:rPr>
          <w:sz w:val="24"/>
          <w:szCs w:val="24"/>
        </w:rPr>
        <w:t>concerns</w:t>
      </w:r>
      <w:r w:rsidR="005C053B">
        <w:rPr>
          <w:sz w:val="24"/>
          <w:szCs w:val="24"/>
        </w:rPr>
        <w:t xml:space="preserve">. </w:t>
      </w:r>
      <w:r w:rsidR="008F7F63">
        <w:rPr>
          <w:sz w:val="24"/>
          <w:szCs w:val="24"/>
        </w:rPr>
        <w:t xml:space="preserve">The </w:t>
      </w:r>
      <w:r w:rsidR="005C053B">
        <w:rPr>
          <w:sz w:val="24"/>
          <w:szCs w:val="24"/>
        </w:rPr>
        <w:t>a</w:t>
      </w:r>
      <w:r w:rsidR="008F7F63">
        <w:rPr>
          <w:sz w:val="24"/>
          <w:szCs w:val="24"/>
        </w:rPr>
        <w:t xml:space="preserve">genda </w:t>
      </w:r>
      <w:r w:rsidR="005C053B">
        <w:rPr>
          <w:sz w:val="24"/>
          <w:szCs w:val="24"/>
        </w:rPr>
        <w:t xml:space="preserve">for the </w:t>
      </w:r>
      <w:r w:rsidR="000F7CE1">
        <w:rPr>
          <w:sz w:val="24"/>
          <w:szCs w:val="24"/>
        </w:rPr>
        <w:t>March 201</w:t>
      </w:r>
      <w:r w:rsidR="00A453E3">
        <w:rPr>
          <w:sz w:val="24"/>
          <w:szCs w:val="24"/>
        </w:rPr>
        <w:t>4</w:t>
      </w:r>
      <w:r w:rsidR="005C053B">
        <w:rPr>
          <w:sz w:val="24"/>
          <w:szCs w:val="24"/>
        </w:rPr>
        <w:t xml:space="preserve"> PBAC meeting </w:t>
      </w:r>
      <w:r w:rsidR="008F7F63">
        <w:rPr>
          <w:sz w:val="24"/>
          <w:szCs w:val="24"/>
        </w:rPr>
        <w:t xml:space="preserve">can be found at </w:t>
      </w:r>
      <w:hyperlink r:id="rId8" w:history="1">
        <w:r w:rsidR="00A453E3" w:rsidRPr="00B64F7C">
          <w:rPr>
            <w:rStyle w:val="Hyperlink"/>
            <w:sz w:val="24"/>
            <w:szCs w:val="24"/>
          </w:rPr>
          <w:t>http://www.pbs.gov.au/info/industry/listing/elements/pba</w:t>
        </w:r>
        <w:r w:rsidR="00A453E3" w:rsidRPr="00B64F7C">
          <w:rPr>
            <w:rStyle w:val="Hyperlink"/>
            <w:sz w:val="24"/>
            <w:szCs w:val="24"/>
          </w:rPr>
          <w:t>c</w:t>
        </w:r>
        <w:r w:rsidR="00A453E3" w:rsidRPr="00B64F7C">
          <w:rPr>
            <w:rStyle w:val="Hyperlink"/>
            <w:sz w:val="24"/>
            <w:szCs w:val="24"/>
          </w:rPr>
          <w:t>-meetings/agenda/03-2014</w:t>
        </w:r>
      </w:hyperlink>
    </w:p>
    <w:p w:rsidR="00A453E3" w:rsidRDefault="00A453E3" w:rsidP="00C65ECB">
      <w:pPr>
        <w:rPr>
          <w:sz w:val="24"/>
          <w:szCs w:val="24"/>
        </w:rPr>
      </w:pPr>
    </w:p>
    <w:p w:rsidR="004566A9" w:rsidRPr="004566A9" w:rsidRDefault="00DA5030" w:rsidP="00CA347D">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rsidR="00F77C55" w:rsidRDefault="00CD4F83" w:rsidP="00C65ECB">
      <w:pPr>
        <w:rPr>
          <w:sz w:val="24"/>
          <w:szCs w:val="24"/>
        </w:rPr>
      </w:pPr>
      <w:r>
        <w:rPr>
          <w:sz w:val="24"/>
          <w:szCs w:val="24"/>
        </w:rPr>
        <w:t xml:space="preserve">DUSC </w:t>
      </w:r>
      <w:r w:rsidR="001071DA">
        <w:rPr>
          <w:sz w:val="24"/>
          <w:szCs w:val="24"/>
        </w:rPr>
        <w:t xml:space="preserve">regularly </w:t>
      </w:r>
      <w:r w:rsidR="00DA5030">
        <w:rPr>
          <w:sz w:val="24"/>
          <w:szCs w:val="24"/>
        </w:rPr>
        <w:t>examines</w:t>
      </w:r>
      <w:r>
        <w:rPr>
          <w:sz w:val="24"/>
          <w:szCs w:val="24"/>
        </w:rPr>
        <w:t xml:space="preserve"> </w:t>
      </w:r>
      <w:r w:rsidR="00DA5030">
        <w:rPr>
          <w:sz w:val="24"/>
          <w:szCs w:val="24"/>
        </w:rPr>
        <w:t xml:space="preserve">utilisation of </w:t>
      </w:r>
      <w:r w:rsidR="00F77C55">
        <w:rPr>
          <w:sz w:val="24"/>
          <w:szCs w:val="24"/>
        </w:rPr>
        <w:t xml:space="preserve">PBS items when there is at least </w:t>
      </w:r>
      <w:r>
        <w:rPr>
          <w:sz w:val="24"/>
          <w:szCs w:val="24"/>
        </w:rPr>
        <w:t xml:space="preserve">12 months of </w:t>
      </w:r>
      <w:r w:rsidRPr="00BD606B">
        <w:rPr>
          <w:sz w:val="24"/>
          <w:szCs w:val="24"/>
        </w:rPr>
        <w:t xml:space="preserve">prescription data </w:t>
      </w:r>
      <w:r w:rsidR="00F77C55" w:rsidRPr="00BD606B">
        <w:rPr>
          <w:sz w:val="24"/>
          <w:szCs w:val="24"/>
        </w:rPr>
        <w:t xml:space="preserve">available </w:t>
      </w:r>
      <w:r w:rsidRPr="00BD606B">
        <w:rPr>
          <w:sz w:val="24"/>
          <w:szCs w:val="24"/>
        </w:rPr>
        <w:t xml:space="preserve">and where DUSC </w:t>
      </w:r>
      <w:r w:rsidR="00590036" w:rsidRPr="00BD606B">
        <w:rPr>
          <w:sz w:val="24"/>
          <w:szCs w:val="24"/>
        </w:rPr>
        <w:t xml:space="preserve">or the PBAC </w:t>
      </w:r>
      <w:r w:rsidRPr="00BD606B">
        <w:rPr>
          <w:sz w:val="24"/>
          <w:szCs w:val="24"/>
        </w:rPr>
        <w:t>has highlighted items of interest.</w:t>
      </w:r>
      <w:r>
        <w:rPr>
          <w:sz w:val="24"/>
          <w:szCs w:val="24"/>
        </w:rPr>
        <w:t xml:space="preserve"> </w:t>
      </w:r>
      <w:r w:rsidR="00FA149F">
        <w:rPr>
          <w:sz w:val="24"/>
          <w:szCs w:val="24"/>
        </w:rPr>
        <w:t>When a</w:t>
      </w:r>
      <w:r w:rsidR="003D6C07">
        <w:rPr>
          <w:sz w:val="24"/>
          <w:szCs w:val="24"/>
        </w:rPr>
        <w:t>n analysis</w:t>
      </w:r>
      <w:r w:rsidR="00DA5030">
        <w:rPr>
          <w:sz w:val="24"/>
          <w:szCs w:val="24"/>
        </w:rPr>
        <w:t xml:space="preserve"> of u</w:t>
      </w:r>
      <w:r w:rsidR="003D6C07">
        <w:rPr>
          <w:sz w:val="24"/>
          <w:szCs w:val="24"/>
        </w:rPr>
        <w:t>tilisation</w:t>
      </w:r>
      <w:r w:rsidR="001071DA">
        <w:rPr>
          <w:sz w:val="24"/>
          <w:szCs w:val="24"/>
        </w:rPr>
        <w:t xml:space="preserve"> is to be undertaken</w:t>
      </w:r>
      <w:r w:rsidR="00FA149F">
        <w:rPr>
          <w:sz w:val="24"/>
          <w:szCs w:val="24"/>
        </w:rPr>
        <w:t xml:space="preserve"> sponsors are notified,</w:t>
      </w:r>
      <w:r w:rsidR="001071DA">
        <w:rPr>
          <w:sz w:val="24"/>
          <w:szCs w:val="24"/>
        </w:rPr>
        <w:t xml:space="preserve"> </w:t>
      </w:r>
      <w:r w:rsidR="00FA149F">
        <w:rPr>
          <w:sz w:val="24"/>
          <w:szCs w:val="24"/>
        </w:rPr>
        <w:t>provided with a copy of the re</w:t>
      </w:r>
      <w:r w:rsidR="00DA5030">
        <w:rPr>
          <w:sz w:val="24"/>
          <w:szCs w:val="24"/>
        </w:rPr>
        <w:t>port</w:t>
      </w:r>
      <w:r w:rsidR="00FA149F">
        <w:rPr>
          <w:sz w:val="24"/>
          <w:szCs w:val="24"/>
        </w:rPr>
        <w:t xml:space="preserve"> and an opportunity to comment</w:t>
      </w:r>
      <w:r w:rsidR="001071DA">
        <w:rPr>
          <w:sz w:val="24"/>
          <w:szCs w:val="24"/>
        </w:rPr>
        <w:t xml:space="preserve"> prior to the DUSC meeting.</w:t>
      </w:r>
      <w:r w:rsidR="00FA149F">
        <w:rPr>
          <w:sz w:val="24"/>
          <w:szCs w:val="24"/>
        </w:rPr>
        <w:t xml:space="preserve"> </w:t>
      </w:r>
    </w:p>
    <w:p w:rsidR="00FD755C" w:rsidRDefault="00FD755C" w:rsidP="00C65ECB">
      <w:pPr>
        <w:rPr>
          <w:sz w:val="24"/>
          <w:szCs w:val="24"/>
        </w:rPr>
      </w:pPr>
    </w:p>
    <w:p w:rsidR="00FA149F" w:rsidRDefault="00FD755C" w:rsidP="00C65ECB">
      <w:pPr>
        <w:rPr>
          <w:sz w:val="24"/>
          <w:szCs w:val="24"/>
        </w:rPr>
      </w:pPr>
      <w:r>
        <w:rPr>
          <w:sz w:val="24"/>
          <w:szCs w:val="24"/>
        </w:rPr>
        <w:t xml:space="preserve">Full restrictions for PBS listed </w:t>
      </w:r>
      <w:r w:rsidR="007D4108">
        <w:rPr>
          <w:sz w:val="24"/>
          <w:szCs w:val="24"/>
        </w:rPr>
        <w:t xml:space="preserve">medicines </w:t>
      </w:r>
      <w:r>
        <w:rPr>
          <w:sz w:val="24"/>
          <w:szCs w:val="24"/>
        </w:rPr>
        <w:t>are available in the PBS Schedule (</w:t>
      </w:r>
      <w:bookmarkStart w:id="0" w:name="_GoBack"/>
      <w:r w:rsidR="000A53A6">
        <w:rPr>
          <w:sz w:val="24"/>
          <w:szCs w:val="24"/>
        </w:rPr>
        <w:fldChar w:fldCharType="begin"/>
      </w:r>
      <w:r w:rsidR="000A53A6">
        <w:rPr>
          <w:sz w:val="24"/>
          <w:szCs w:val="24"/>
        </w:rPr>
        <w:instrText xml:space="preserve"> HYPERLINK "http://www.pbs.gov.au" </w:instrText>
      </w:r>
      <w:r w:rsidR="000A53A6">
        <w:rPr>
          <w:sz w:val="24"/>
          <w:szCs w:val="24"/>
        </w:rPr>
        <w:fldChar w:fldCharType="separate"/>
      </w:r>
      <w:r w:rsidR="000A53A6" w:rsidRPr="008260C1">
        <w:rPr>
          <w:rStyle w:val="Hyperlink"/>
          <w:sz w:val="24"/>
          <w:szCs w:val="24"/>
        </w:rPr>
        <w:t>www.pbs.gov.au</w:t>
      </w:r>
      <w:r w:rsidR="000A53A6">
        <w:rPr>
          <w:sz w:val="24"/>
          <w:szCs w:val="24"/>
        </w:rPr>
        <w:fldChar w:fldCharType="end"/>
      </w:r>
      <w:bookmarkEnd w:id="0"/>
      <w:r>
        <w:rPr>
          <w:sz w:val="24"/>
          <w:szCs w:val="24"/>
        </w:rPr>
        <w:t>)</w:t>
      </w:r>
    </w:p>
    <w:p w:rsidR="00FD755C" w:rsidRDefault="00FD755C" w:rsidP="00C65ECB">
      <w:pPr>
        <w:rPr>
          <w:sz w:val="24"/>
          <w:szCs w:val="24"/>
        </w:rPr>
      </w:pPr>
    </w:p>
    <w:p w:rsidR="00101877" w:rsidRPr="00CA347D" w:rsidRDefault="00101877" w:rsidP="00C65ECB">
      <w:pPr>
        <w:rPr>
          <w:sz w:val="24"/>
          <w:szCs w:val="24"/>
        </w:rPr>
      </w:pPr>
      <w:r w:rsidRPr="00CA347D">
        <w:rPr>
          <w:sz w:val="24"/>
          <w:szCs w:val="24"/>
        </w:rPr>
        <w:t xml:space="preserve">DUSC </w:t>
      </w:r>
      <w:r w:rsidR="003D6C07" w:rsidRPr="00CA347D">
        <w:rPr>
          <w:sz w:val="24"/>
          <w:szCs w:val="24"/>
        </w:rPr>
        <w:t>reviewed</w:t>
      </w:r>
      <w:r w:rsidRPr="00CA347D">
        <w:rPr>
          <w:sz w:val="24"/>
          <w:szCs w:val="24"/>
        </w:rPr>
        <w:t xml:space="preserve"> the utilisation of the following PBS medicines</w:t>
      </w:r>
      <w:r w:rsidR="00A744EA" w:rsidRPr="00CA347D">
        <w:rPr>
          <w:sz w:val="24"/>
          <w:szCs w:val="24"/>
        </w:rPr>
        <w:t>/groups of medicines</w:t>
      </w:r>
      <w:r w:rsidR="001071DA" w:rsidRPr="00CA347D">
        <w:rPr>
          <w:sz w:val="24"/>
          <w:szCs w:val="24"/>
        </w:rPr>
        <w:t xml:space="preserve"> in </w:t>
      </w:r>
      <w:r w:rsidR="000F7CE1" w:rsidRPr="00CA347D">
        <w:rPr>
          <w:sz w:val="24"/>
          <w:szCs w:val="24"/>
        </w:rPr>
        <w:t>February</w:t>
      </w:r>
      <w:r w:rsidR="00E51946">
        <w:rPr>
          <w:sz w:val="24"/>
          <w:szCs w:val="24"/>
        </w:rPr>
        <w:t> </w:t>
      </w:r>
      <w:r w:rsidR="000F7CE1" w:rsidRPr="00CA347D">
        <w:rPr>
          <w:sz w:val="24"/>
          <w:szCs w:val="24"/>
        </w:rPr>
        <w:t>201</w:t>
      </w:r>
      <w:r w:rsidR="00A453E3">
        <w:rPr>
          <w:sz w:val="24"/>
          <w:szCs w:val="24"/>
        </w:rPr>
        <w:t>4</w:t>
      </w:r>
      <w:r w:rsidRPr="00CA347D">
        <w:rPr>
          <w:sz w:val="24"/>
          <w:szCs w:val="24"/>
        </w:rPr>
        <w:t>:</w:t>
      </w:r>
    </w:p>
    <w:p w:rsidR="00101877" w:rsidRDefault="00101877" w:rsidP="00C65ECB">
      <w:pPr>
        <w:rPr>
          <w:sz w:val="24"/>
          <w:szCs w:val="24"/>
        </w:rPr>
      </w:pPr>
    </w:p>
    <w:p w:rsidR="009112F4" w:rsidRPr="00CA347D" w:rsidRDefault="00A453E3" w:rsidP="00E929BF">
      <w:pPr>
        <w:rPr>
          <w:b/>
          <w:sz w:val="24"/>
          <w:szCs w:val="24"/>
        </w:rPr>
      </w:pPr>
      <w:r>
        <w:rPr>
          <w:b/>
          <w:sz w:val="24"/>
          <w:szCs w:val="24"/>
        </w:rPr>
        <w:t xml:space="preserve">Tyrosine kinase inhibitors (imatinib, dasatinib, nilotinib) </w:t>
      </w:r>
      <w:r w:rsidR="009112F4" w:rsidRPr="00CA347D">
        <w:rPr>
          <w:b/>
          <w:sz w:val="24"/>
          <w:szCs w:val="24"/>
        </w:rPr>
        <w:t xml:space="preserve">for </w:t>
      </w:r>
      <w:r>
        <w:rPr>
          <w:b/>
          <w:sz w:val="24"/>
          <w:szCs w:val="24"/>
        </w:rPr>
        <w:t>chronic myeloid leukaemia</w:t>
      </w:r>
    </w:p>
    <w:p w:rsidR="00A453E3" w:rsidRDefault="007E45EB" w:rsidP="00E929BF">
      <w:pPr>
        <w:rPr>
          <w:sz w:val="24"/>
          <w:szCs w:val="24"/>
        </w:rPr>
      </w:pPr>
      <w:r>
        <w:rPr>
          <w:sz w:val="24"/>
          <w:szCs w:val="24"/>
        </w:rPr>
        <w:t>The number of patients on treatment, number of prescriptions and expenditure for tyrosine kinase inhibitors (TKIs) for chronic myeloid leukaemia</w:t>
      </w:r>
      <w:r w:rsidR="009245B3">
        <w:rPr>
          <w:sz w:val="24"/>
          <w:szCs w:val="24"/>
        </w:rPr>
        <w:t xml:space="preserve"> (CML)</w:t>
      </w:r>
      <w:r>
        <w:rPr>
          <w:sz w:val="24"/>
          <w:szCs w:val="24"/>
        </w:rPr>
        <w:t xml:space="preserve"> has increased steadily over the past 12 year</w:t>
      </w:r>
      <w:r w:rsidR="00AE2C4F">
        <w:rPr>
          <w:sz w:val="24"/>
          <w:szCs w:val="24"/>
        </w:rPr>
        <w:t>s</w:t>
      </w:r>
      <w:r>
        <w:rPr>
          <w:sz w:val="24"/>
          <w:szCs w:val="24"/>
        </w:rPr>
        <w:t>. DUSC considered that this reflects the improved survival of patients with CML and predicted that use of the TKIs will continue to rise steadily for at least the next 10 years.</w:t>
      </w:r>
    </w:p>
    <w:p w:rsidR="007E45EB" w:rsidRPr="007E45EB" w:rsidRDefault="007E45EB" w:rsidP="00E929BF">
      <w:pPr>
        <w:rPr>
          <w:sz w:val="24"/>
          <w:szCs w:val="24"/>
        </w:rPr>
      </w:pPr>
    </w:p>
    <w:p w:rsidR="007E45EB" w:rsidRPr="007E45EB" w:rsidRDefault="007E45EB" w:rsidP="007E45EB">
      <w:pPr>
        <w:spacing w:after="200"/>
        <w:contextualSpacing/>
        <w:rPr>
          <w:bCs/>
          <w:sz w:val="24"/>
          <w:szCs w:val="24"/>
        </w:rPr>
      </w:pPr>
      <w:r w:rsidRPr="007E45EB">
        <w:rPr>
          <w:bCs/>
          <w:sz w:val="24"/>
          <w:szCs w:val="24"/>
        </w:rPr>
        <w:t xml:space="preserve">DUSC requested that the report be provided to the PBAC for information.  </w:t>
      </w:r>
    </w:p>
    <w:p w:rsidR="00A453E3" w:rsidRPr="007E45EB" w:rsidRDefault="00A453E3" w:rsidP="00E929BF">
      <w:pPr>
        <w:rPr>
          <w:sz w:val="24"/>
          <w:szCs w:val="24"/>
          <w:u w:val="single"/>
        </w:rPr>
      </w:pPr>
    </w:p>
    <w:p w:rsidR="007E45EB" w:rsidRPr="007E45EB" w:rsidRDefault="007E45EB" w:rsidP="00E929BF">
      <w:pPr>
        <w:rPr>
          <w:sz w:val="24"/>
          <w:szCs w:val="24"/>
          <w:u w:val="single"/>
        </w:rPr>
      </w:pPr>
      <w:r w:rsidRPr="007E45EB">
        <w:rPr>
          <w:sz w:val="24"/>
          <w:szCs w:val="24"/>
        </w:rPr>
        <w:t xml:space="preserve">DUSC recommended that the report be prepared for publication on </w:t>
      </w:r>
      <w:hyperlink r:id="rId9" w:history="1">
        <w:r w:rsidRPr="007E45EB">
          <w:rPr>
            <w:rStyle w:val="Hyperlink"/>
            <w:sz w:val="24"/>
            <w:szCs w:val="24"/>
          </w:rPr>
          <w:t>www.pbs.gov.au</w:t>
        </w:r>
      </w:hyperlink>
    </w:p>
    <w:p w:rsidR="007E45EB" w:rsidRPr="007E45EB" w:rsidRDefault="007E45EB" w:rsidP="00E929BF">
      <w:pPr>
        <w:rPr>
          <w:sz w:val="24"/>
          <w:szCs w:val="24"/>
          <w:u w:val="single"/>
        </w:rPr>
      </w:pPr>
    </w:p>
    <w:p w:rsidR="009112F4" w:rsidRPr="007D3A05" w:rsidRDefault="00A453E3" w:rsidP="00E929BF">
      <w:pPr>
        <w:rPr>
          <w:b/>
          <w:sz w:val="24"/>
          <w:szCs w:val="24"/>
        </w:rPr>
      </w:pPr>
      <w:r>
        <w:rPr>
          <w:b/>
          <w:sz w:val="24"/>
          <w:szCs w:val="24"/>
        </w:rPr>
        <w:t>Iron chelating drugs</w:t>
      </w:r>
    </w:p>
    <w:p w:rsidR="00A453E3" w:rsidRPr="007E45EB" w:rsidRDefault="007E45EB" w:rsidP="00A453E3">
      <w:pPr>
        <w:rPr>
          <w:sz w:val="24"/>
          <w:szCs w:val="24"/>
        </w:rPr>
      </w:pPr>
      <w:r w:rsidRPr="007E45EB">
        <w:rPr>
          <w:sz w:val="24"/>
          <w:szCs w:val="24"/>
        </w:rPr>
        <w:t>DUSC</w:t>
      </w:r>
      <w:r>
        <w:rPr>
          <w:sz w:val="24"/>
          <w:szCs w:val="24"/>
        </w:rPr>
        <w:t xml:space="preserve"> noted that use of desferrioxamine and deferiprone were declining, while use of deferasirox, </w:t>
      </w:r>
      <w:r w:rsidR="000F3387">
        <w:rPr>
          <w:sz w:val="24"/>
          <w:szCs w:val="24"/>
        </w:rPr>
        <w:t>particularly</w:t>
      </w:r>
      <w:r>
        <w:rPr>
          <w:sz w:val="24"/>
          <w:szCs w:val="24"/>
        </w:rPr>
        <w:t xml:space="preserve"> the </w:t>
      </w:r>
      <w:r w:rsidR="000F3387">
        <w:rPr>
          <w:sz w:val="24"/>
          <w:szCs w:val="24"/>
        </w:rPr>
        <w:t>500mg</w:t>
      </w:r>
      <w:r>
        <w:rPr>
          <w:sz w:val="24"/>
          <w:szCs w:val="24"/>
        </w:rPr>
        <w:t xml:space="preserve"> strength, was increasing. DUSC considered that utilisation of deferasirox for myelodysplastic syndrome </w:t>
      </w:r>
      <w:r w:rsidR="000F3387">
        <w:rPr>
          <w:sz w:val="24"/>
          <w:szCs w:val="24"/>
        </w:rPr>
        <w:t xml:space="preserve">(MDS) </w:t>
      </w:r>
      <w:r>
        <w:rPr>
          <w:sz w:val="24"/>
          <w:szCs w:val="24"/>
        </w:rPr>
        <w:t xml:space="preserve">may be higher than expected at the time of </w:t>
      </w:r>
      <w:r w:rsidR="000F3387">
        <w:rPr>
          <w:sz w:val="24"/>
          <w:szCs w:val="24"/>
        </w:rPr>
        <w:t xml:space="preserve">PBS </w:t>
      </w:r>
      <w:r>
        <w:rPr>
          <w:sz w:val="24"/>
          <w:szCs w:val="24"/>
        </w:rPr>
        <w:t>listing</w:t>
      </w:r>
      <w:r w:rsidR="000F3387">
        <w:rPr>
          <w:sz w:val="24"/>
          <w:szCs w:val="24"/>
        </w:rPr>
        <w:t xml:space="preserve">. Most of the patients on deferasirox treatment are over 55 years of age indicating use for MDS rather than thalassaemia due to the high level of childhood mortality from thalassaemia prior to the 1960s. </w:t>
      </w:r>
      <w:r>
        <w:rPr>
          <w:sz w:val="24"/>
          <w:szCs w:val="24"/>
        </w:rPr>
        <w:t xml:space="preserve"> </w:t>
      </w:r>
    </w:p>
    <w:p w:rsidR="007E45EB" w:rsidRDefault="007E45EB" w:rsidP="00A453E3">
      <w:pPr>
        <w:rPr>
          <w:b/>
          <w:sz w:val="24"/>
          <w:szCs w:val="24"/>
        </w:rPr>
      </w:pPr>
    </w:p>
    <w:p w:rsidR="007E45EB" w:rsidRPr="007E45EB" w:rsidRDefault="007E45EB" w:rsidP="007E45EB">
      <w:pPr>
        <w:spacing w:after="200"/>
        <w:contextualSpacing/>
        <w:rPr>
          <w:bCs/>
          <w:sz w:val="24"/>
          <w:szCs w:val="24"/>
        </w:rPr>
      </w:pPr>
      <w:r w:rsidRPr="007E45EB">
        <w:rPr>
          <w:bCs/>
          <w:sz w:val="24"/>
          <w:szCs w:val="24"/>
        </w:rPr>
        <w:t xml:space="preserve">DUSC requested that the report be provided to the PBAC for information.  </w:t>
      </w:r>
    </w:p>
    <w:p w:rsidR="005A4F6D" w:rsidRDefault="005A4F6D" w:rsidP="009112F4">
      <w:pPr>
        <w:rPr>
          <w:b/>
          <w:sz w:val="24"/>
          <w:szCs w:val="24"/>
        </w:rPr>
      </w:pPr>
    </w:p>
    <w:p w:rsidR="005A4F6D" w:rsidRPr="007E45EB" w:rsidRDefault="005A4F6D" w:rsidP="005A4F6D">
      <w:pPr>
        <w:rPr>
          <w:sz w:val="24"/>
          <w:szCs w:val="24"/>
          <w:u w:val="single"/>
        </w:rPr>
      </w:pPr>
      <w:r w:rsidRPr="007E45EB">
        <w:rPr>
          <w:sz w:val="24"/>
          <w:szCs w:val="24"/>
        </w:rPr>
        <w:t xml:space="preserve">DUSC recommended that the report be prepared for publication on </w:t>
      </w:r>
      <w:hyperlink r:id="rId10" w:history="1">
        <w:r w:rsidRPr="007E45EB">
          <w:rPr>
            <w:rStyle w:val="Hyperlink"/>
            <w:sz w:val="24"/>
            <w:szCs w:val="24"/>
          </w:rPr>
          <w:t>www.pbs.gov.au</w:t>
        </w:r>
      </w:hyperlink>
    </w:p>
    <w:p w:rsidR="00813C07" w:rsidRPr="007166A9" w:rsidRDefault="007166A9" w:rsidP="007166A9">
      <w:pPr>
        <w:rPr>
          <w:b/>
          <w:sz w:val="28"/>
        </w:rPr>
      </w:pPr>
      <w:r>
        <w:rPr>
          <w:b/>
          <w:sz w:val="24"/>
          <w:szCs w:val="24"/>
        </w:rPr>
        <w:br w:type="page"/>
      </w:r>
      <w:r w:rsidR="00EC27B1" w:rsidRPr="007166A9">
        <w:rPr>
          <w:b/>
          <w:sz w:val="28"/>
        </w:rPr>
        <w:lastRenderedPageBreak/>
        <w:t>Upcoming</w:t>
      </w:r>
      <w:r w:rsidR="00813C07" w:rsidRPr="007166A9">
        <w:rPr>
          <w:b/>
          <w:sz w:val="28"/>
        </w:rPr>
        <w:t xml:space="preserve"> </w:t>
      </w:r>
      <w:r w:rsidR="00006EF5" w:rsidRPr="007166A9">
        <w:rPr>
          <w:b/>
          <w:sz w:val="28"/>
        </w:rPr>
        <w:t>U</w:t>
      </w:r>
      <w:r w:rsidR="00E60246" w:rsidRPr="007166A9">
        <w:rPr>
          <w:b/>
          <w:sz w:val="28"/>
        </w:rPr>
        <w:t xml:space="preserve">tilisation </w:t>
      </w:r>
      <w:r w:rsidR="00006EF5" w:rsidRPr="007166A9">
        <w:rPr>
          <w:b/>
          <w:sz w:val="28"/>
        </w:rPr>
        <w:t>A</w:t>
      </w:r>
      <w:r w:rsidR="00E60246" w:rsidRPr="007166A9">
        <w:rPr>
          <w:b/>
          <w:sz w:val="28"/>
        </w:rPr>
        <w:t xml:space="preserve">nalysis </w:t>
      </w:r>
      <w:r w:rsidR="00006EF5" w:rsidRPr="007166A9">
        <w:rPr>
          <w:b/>
          <w:sz w:val="28"/>
        </w:rPr>
        <w:t>of PBS L</w:t>
      </w:r>
      <w:r w:rsidR="00813C07" w:rsidRPr="007166A9">
        <w:rPr>
          <w:b/>
          <w:sz w:val="28"/>
        </w:rPr>
        <w:t xml:space="preserve">isted </w:t>
      </w:r>
      <w:r w:rsidR="007D4108" w:rsidRPr="007166A9">
        <w:rPr>
          <w:b/>
          <w:sz w:val="28"/>
        </w:rPr>
        <w:t>Medicines</w:t>
      </w:r>
    </w:p>
    <w:p w:rsidR="00D06634" w:rsidRDefault="002B7EE2" w:rsidP="00094597">
      <w:pPr>
        <w:rPr>
          <w:sz w:val="24"/>
          <w:szCs w:val="24"/>
        </w:rPr>
      </w:pPr>
      <w:proofErr w:type="gramStart"/>
      <w:r>
        <w:rPr>
          <w:sz w:val="24"/>
          <w:szCs w:val="24"/>
        </w:rPr>
        <w:t xml:space="preserve">Utilisation </w:t>
      </w:r>
      <w:r w:rsidR="00DA5030">
        <w:rPr>
          <w:sz w:val="24"/>
          <w:szCs w:val="24"/>
        </w:rPr>
        <w:t>of t</w:t>
      </w:r>
      <w:r w:rsidR="005E1E28">
        <w:rPr>
          <w:sz w:val="24"/>
          <w:szCs w:val="24"/>
        </w:rPr>
        <w:t xml:space="preserve">he following </w:t>
      </w:r>
      <w:r w:rsidR="007D4108">
        <w:rPr>
          <w:sz w:val="24"/>
          <w:szCs w:val="24"/>
        </w:rPr>
        <w:t xml:space="preserve">medicines </w:t>
      </w:r>
      <w:r w:rsidR="00D55ED4">
        <w:rPr>
          <w:sz w:val="24"/>
          <w:szCs w:val="24"/>
        </w:rPr>
        <w:t>and therapeutic areas have</w:t>
      </w:r>
      <w:proofErr w:type="gramEnd"/>
      <w:r w:rsidR="00D55ED4">
        <w:rPr>
          <w:sz w:val="24"/>
          <w:szCs w:val="24"/>
        </w:rPr>
        <w:t xml:space="preserve"> been </w:t>
      </w:r>
      <w:r w:rsidR="00EC27B1">
        <w:rPr>
          <w:sz w:val="24"/>
          <w:szCs w:val="24"/>
        </w:rPr>
        <w:t>selected for</w:t>
      </w:r>
      <w:r w:rsidR="005E1E28">
        <w:rPr>
          <w:sz w:val="24"/>
          <w:szCs w:val="24"/>
        </w:rPr>
        <w:t xml:space="preserve"> </w:t>
      </w:r>
      <w:r>
        <w:rPr>
          <w:sz w:val="24"/>
          <w:szCs w:val="24"/>
        </w:rPr>
        <w:t xml:space="preserve">consideration </w:t>
      </w:r>
      <w:r w:rsidR="005E1E28">
        <w:rPr>
          <w:sz w:val="24"/>
          <w:szCs w:val="24"/>
        </w:rPr>
        <w:t xml:space="preserve">at </w:t>
      </w:r>
      <w:r w:rsidR="00AE46E7">
        <w:rPr>
          <w:sz w:val="24"/>
          <w:szCs w:val="24"/>
        </w:rPr>
        <w:t xml:space="preserve">future </w:t>
      </w:r>
      <w:r w:rsidR="005E1E28">
        <w:rPr>
          <w:sz w:val="24"/>
          <w:szCs w:val="24"/>
        </w:rPr>
        <w:t>DUSC meetin</w:t>
      </w:r>
      <w:r w:rsidR="00094597">
        <w:rPr>
          <w:sz w:val="24"/>
          <w:szCs w:val="24"/>
        </w:rPr>
        <w:t>g</w:t>
      </w:r>
      <w:r w:rsidR="00AE46E7">
        <w:rPr>
          <w:sz w:val="24"/>
          <w:szCs w:val="24"/>
        </w:rPr>
        <w:t>s.</w:t>
      </w:r>
    </w:p>
    <w:p w:rsidR="001071DA" w:rsidRDefault="001071DA" w:rsidP="00094597">
      <w:pPr>
        <w:rPr>
          <w:sz w:val="24"/>
          <w:szCs w:val="24"/>
          <w:u w:val="single"/>
        </w:rPr>
      </w:pPr>
    </w:p>
    <w:p w:rsidR="00965552" w:rsidRDefault="00A453E3" w:rsidP="00094597">
      <w:pPr>
        <w:rPr>
          <w:b/>
          <w:sz w:val="24"/>
          <w:szCs w:val="24"/>
        </w:rPr>
      </w:pPr>
      <w:r>
        <w:rPr>
          <w:b/>
          <w:sz w:val="24"/>
          <w:szCs w:val="24"/>
        </w:rPr>
        <w:t xml:space="preserve">Predicted versus Actual </w:t>
      </w:r>
      <w:r w:rsidR="00965552" w:rsidRPr="00DC76E4">
        <w:rPr>
          <w:b/>
          <w:sz w:val="24"/>
          <w:szCs w:val="24"/>
        </w:rPr>
        <w:t xml:space="preserve">Utilisation </w:t>
      </w:r>
      <w:r w:rsidR="000F3387">
        <w:rPr>
          <w:b/>
          <w:sz w:val="24"/>
          <w:szCs w:val="24"/>
        </w:rPr>
        <w:t>A</w:t>
      </w:r>
      <w:r w:rsidR="00965552" w:rsidRPr="00DC76E4">
        <w:rPr>
          <w:b/>
          <w:sz w:val="24"/>
          <w:szCs w:val="24"/>
        </w:rPr>
        <w:t>nalysis</w:t>
      </w:r>
    </w:p>
    <w:p w:rsidR="000F3387" w:rsidRDefault="000F3387" w:rsidP="00DC76E4">
      <w:pPr>
        <w:numPr>
          <w:ilvl w:val="0"/>
          <w:numId w:val="11"/>
        </w:numPr>
        <w:rPr>
          <w:sz w:val="24"/>
          <w:szCs w:val="24"/>
        </w:rPr>
      </w:pPr>
      <w:r>
        <w:rPr>
          <w:sz w:val="24"/>
          <w:szCs w:val="24"/>
        </w:rPr>
        <w:t xml:space="preserve">Aflibercept and ranibizumab for age related macular degeneration </w:t>
      </w:r>
    </w:p>
    <w:p w:rsidR="00DC76E4" w:rsidRDefault="00A453E3" w:rsidP="00DC76E4">
      <w:pPr>
        <w:numPr>
          <w:ilvl w:val="0"/>
          <w:numId w:val="11"/>
        </w:numPr>
        <w:rPr>
          <w:sz w:val="24"/>
          <w:szCs w:val="24"/>
        </w:rPr>
      </w:pPr>
      <w:proofErr w:type="spellStart"/>
      <w:r>
        <w:rPr>
          <w:sz w:val="24"/>
          <w:szCs w:val="24"/>
        </w:rPr>
        <w:t>Pazopanib</w:t>
      </w:r>
      <w:proofErr w:type="spellEnd"/>
      <w:r w:rsidR="00DC76E4" w:rsidRPr="00DC76E4">
        <w:rPr>
          <w:sz w:val="24"/>
          <w:szCs w:val="24"/>
        </w:rPr>
        <w:t xml:space="preserve"> </w:t>
      </w:r>
      <w:r w:rsidR="00307F20">
        <w:rPr>
          <w:sz w:val="24"/>
          <w:szCs w:val="24"/>
        </w:rPr>
        <w:t xml:space="preserve">and </w:t>
      </w:r>
      <w:proofErr w:type="spellStart"/>
      <w:r w:rsidR="00307F20">
        <w:rPr>
          <w:sz w:val="24"/>
          <w:szCs w:val="24"/>
        </w:rPr>
        <w:t>sunitinib</w:t>
      </w:r>
      <w:proofErr w:type="spellEnd"/>
      <w:r w:rsidR="00307F20">
        <w:rPr>
          <w:sz w:val="24"/>
          <w:szCs w:val="24"/>
        </w:rPr>
        <w:t xml:space="preserve"> </w:t>
      </w:r>
      <w:r w:rsidR="00CE2E5D">
        <w:rPr>
          <w:sz w:val="24"/>
          <w:szCs w:val="24"/>
        </w:rPr>
        <w:t xml:space="preserve">for renal cell carcinoma. </w:t>
      </w:r>
    </w:p>
    <w:p w:rsidR="000F3387" w:rsidRDefault="000F3387" w:rsidP="00307F20">
      <w:pPr>
        <w:numPr>
          <w:ilvl w:val="0"/>
          <w:numId w:val="11"/>
        </w:numPr>
        <w:rPr>
          <w:sz w:val="24"/>
          <w:szCs w:val="24"/>
        </w:rPr>
      </w:pPr>
      <w:proofErr w:type="spellStart"/>
      <w:r>
        <w:rPr>
          <w:sz w:val="24"/>
          <w:szCs w:val="24"/>
        </w:rPr>
        <w:t>Mannitol</w:t>
      </w:r>
      <w:proofErr w:type="spellEnd"/>
      <w:r w:rsidR="00307F20">
        <w:rPr>
          <w:sz w:val="24"/>
          <w:szCs w:val="24"/>
        </w:rPr>
        <w:t xml:space="preserve">, </w:t>
      </w:r>
      <w:proofErr w:type="spellStart"/>
      <w:r w:rsidR="00307F20" w:rsidRPr="00307F20">
        <w:rPr>
          <w:sz w:val="24"/>
          <w:szCs w:val="24"/>
        </w:rPr>
        <w:t>dornase</w:t>
      </w:r>
      <w:proofErr w:type="spellEnd"/>
      <w:r w:rsidR="00307F20" w:rsidRPr="00307F20">
        <w:rPr>
          <w:sz w:val="24"/>
          <w:szCs w:val="24"/>
        </w:rPr>
        <w:t xml:space="preserve"> </w:t>
      </w:r>
      <w:proofErr w:type="spellStart"/>
      <w:r w:rsidR="00307F20" w:rsidRPr="00307F20">
        <w:rPr>
          <w:sz w:val="24"/>
          <w:szCs w:val="24"/>
        </w:rPr>
        <w:t>alfa</w:t>
      </w:r>
      <w:proofErr w:type="spellEnd"/>
      <w:r>
        <w:rPr>
          <w:sz w:val="24"/>
          <w:szCs w:val="24"/>
        </w:rPr>
        <w:t xml:space="preserve"> </w:t>
      </w:r>
      <w:r w:rsidR="00DE6DED">
        <w:rPr>
          <w:sz w:val="24"/>
          <w:szCs w:val="24"/>
        </w:rPr>
        <w:t xml:space="preserve">and tobramycin </w:t>
      </w:r>
      <w:r>
        <w:rPr>
          <w:sz w:val="24"/>
          <w:szCs w:val="24"/>
        </w:rPr>
        <w:t>for cystic fibrosis</w:t>
      </w:r>
    </w:p>
    <w:p w:rsidR="000F3387" w:rsidRDefault="005A4F6D" w:rsidP="00DC76E4">
      <w:pPr>
        <w:numPr>
          <w:ilvl w:val="0"/>
          <w:numId w:val="11"/>
        </w:numPr>
        <w:rPr>
          <w:sz w:val="24"/>
          <w:szCs w:val="24"/>
        </w:rPr>
      </w:pPr>
      <w:r>
        <w:rPr>
          <w:sz w:val="24"/>
          <w:szCs w:val="24"/>
        </w:rPr>
        <w:t>R</w:t>
      </w:r>
      <w:r w:rsidR="000F3387">
        <w:rPr>
          <w:sz w:val="24"/>
          <w:szCs w:val="24"/>
        </w:rPr>
        <w:t>ivaroxaban for</w:t>
      </w:r>
      <w:r>
        <w:rPr>
          <w:sz w:val="24"/>
          <w:szCs w:val="24"/>
        </w:rPr>
        <w:t xml:space="preserve"> deep vein thrombosis or pulmonary embolism; apixaban for prevention of venous thromboembolism in patients undergoing total knee or total hip replacement.</w:t>
      </w:r>
    </w:p>
    <w:p w:rsidR="00DE6DED" w:rsidRDefault="00DE6DED" w:rsidP="00DC76E4">
      <w:pPr>
        <w:numPr>
          <w:ilvl w:val="0"/>
          <w:numId w:val="11"/>
        </w:numPr>
        <w:rPr>
          <w:sz w:val="24"/>
          <w:szCs w:val="24"/>
        </w:rPr>
      </w:pPr>
      <w:r>
        <w:rPr>
          <w:sz w:val="24"/>
          <w:szCs w:val="24"/>
        </w:rPr>
        <w:t>Omalizumab for severe allergic asthma</w:t>
      </w:r>
    </w:p>
    <w:p w:rsidR="007C4B1F" w:rsidRPr="00965552" w:rsidRDefault="007C4B1F" w:rsidP="00965552">
      <w:pPr>
        <w:rPr>
          <w:sz w:val="24"/>
          <w:szCs w:val="24"/>
          <w:u w:val="single"/>
        </w:rPr>
      </w:pPr>
    </w:p>
    <w:p w:rsidR="00965552" w:rsidRPr="00325C25" w:rsidRDefault="00965552" w:rsidP="00094597">
      <w:pPr>
        <w:rPr>
          <w:b/>
          <w:sz w:val="24"/>
          <w:szCs w:val="24"/>
        </w:rPr>
      </w:pPr>
      <w:r w:rsidRPr="00325C25">
        <w:rPr>
          <w:b/>
          <w:sz w:val="24"/>
          <w:szCs w:val="24"/>
        </w:rPr>
        <w:t xml:space="preserve">Analysis of multiple </w:t>
      </w:r>
      <w:r w:rsidR="007D4108" w:rsidRPr="00325C25">
        <w:rPr>
          <w:b/>
          <w:sz w:val="24"/>
          <w:szCs w:val="24"/>
        </w:rPr>
        <w:t xml:space="preserve">medicines </w:t>
      </w:r>
      <w:r w:rsidRPr="00325C25">
        <w:rPr>
          <w:b/>
          <w:sz w:val="24"/>
          <w:szCs w:val="24"/>
        </w:rPr>
        <w:t>in a treatment area</w:t>
      </w:r>
    </w:p>
    <w:p w:rsidR="0035266E" w:rsidRDefault="00CE2E5D" w:rsidP="00A85479">
      <w:pPr>
        <w:numPr>
          <w:ilvl w:val="0"/>
          <w:numId w:val="11"/>
        </w:numPr>
        <w:spacing w:before="120"/>
        <w:ind w:left="357" w:hanging="357"/>
        <w:rPr>
          <w:sz w:val="24"/>
          <w:szCs w:val="24"/>
        </w:rPr>
      </w:pPr>
      <w:r>
        <w:rPr>
          <w:sz w:val="24"/>
          <w:szCs w:val="24"/>
        </w:rPr>
        <w:t>O</w:t>
      </w:r>
      <w:r w:rsidR="002A2FEF">
        <w:rPr>
          <w:sz w:val="24"/>
          <w:szCs w:val="24"/>
        </w:rPr>
        <w:t>cular lubricants</w:t>
      </w:r>
      <w:r w:rsidR="00307F20">
        <w:rPr>
          <w:sz w:val="24"/>
          <w:szCs w:val="24"/>
        </w:rPr>
        <w:t xml:space="preserve"> for dry eye syndrome</w:t>
      </w:r>
      <w:r>
        <w:rPr>
          <w:sz w:val="24"/>
          <w:szCs w:val="24"/>
        </w:rPr>
        <w:t xml:space="preserve"> </w:t>
      </w:r>
    </w:p>
    <w:p w:rsidR="002A2FEF" w:rsidRDefault="0035266E" w:rsidP="00CA1100">
      <w:pPr>
        <w:numPr>
          <w:ilvl w:val="0"/>
          <w:numId w:val="11"/>
        </w:numPr>
        <w:ind w:left="357" w:hanging="357"/>
        <w:rPr>
          <w:sz w:val="24"/>
          <w:szCs w:val="24"/>
        </w:rPr>
      </w:pPr>
      <w:r>
        <w:rPr>
          <w:sz w:val="24"/>
          <w:szCs w:val="24"/>
        </w:rPr>
        <w:t>Biological treatments (adalimumab, etanercept, infliximab, ustekinumab) for chronic plaque psoriasis</w:t>
      </w:r>
      <w:r w:rsidR="00CE2E5D">
        <w:rPr>
          <w:sz w:val="24"/>
          <w:szCs w:val="24"/>
        </w:rPr>
        <w:t xml:space="preserve"> </w:t>
      </w:r>
    </w:p>
    <w:p w:rsidR="007C4B1F" w:rsidRDefault="007C4B1F" w:rsidP="00C65ECB">
      <w:pPr>
        <w:rPr>
          <w:sz w:val="24"/>
          <w:szCs w:val="24"/>
        </w:rPr>
      </w:pPr>
    </w:p>
    <w:p w:rsidR="007A5016" w:rsidRDefault="007A5016" w:rsidP="00C65ECB">
      <w:pPr>
        <w:rPr>
          <w:sz w:val="24"/>
          <w:szCs w:val="24"/>
        </w:rPr>
      </w:pPr>
    </w:p>
    <w:p w:rsidR="002A2FEF" w:rsidRDefault="002A2FEF" w:rsidP="00451ABF">
      <w:pPr>
        <w:rPr>
          <w:bCs/>
          <w:iCs/>
        </w:rPr>
      </w:pPr>
    </w:p>
    <w:p w:rsidR="00002AE8" w:rsidRDefault="008032DE" w:rsidP="00C65ECB">
      <w:pPr>
        <w:rPr>
          <w:sz w:val="24"/>
          <w:szCs w:val="24"/>
        </w:rPr>
      </w:pPr>
      <w:r>
        <w:rPr>
          <w:sz w:val="24"/>
          <w:szCs w:val="24"/>
        </w:rPr>
        <w:t xml:space="preserve">An outcome statement will be </w:t>
      </w:r>
      <w:r w:rsidR="00002AE8">
        <w:rPr>
          <w:sz w:val="24"/>
          <w:szCs w:val="24"/>
        </w:rPr>
        <w:t>available</w:t>
      </w:r>
      <w:r>
        <w:rPr>
          <w:sz w:val="24"/>
          <w:szCs w:val="24"/>
        </w:rPr>
        <w:t xml:space="preserve"> following each </w:t>
      </w:r>
      <w:r w:rsidR="00002AE8">
        <w:rPr>
          <w:sz w:val="24"/>
          <w:szCs w:val="24"/>
        </w:rPr>
        <w:t xml:space="preserve">meeting of DUSC. </w:t>
      </w:r>
      <w:r w:rsidR="0049403E">
        <w:rPr>
          <w:sz w:val="24"/>
          <w:szCs w:val="24"/>
        </w:rPr>
        <w:t>For further information, please contact</w:t>
      </w:r>
      <w:r w:rsidR="00047105">
        <w:rPr>
          <w:sz w:val="24"/>
          <w:szCs w:val="24"/>
        </w:rPr>
        <w:t xml:space="preserve"> the DUSC Secretariat </w:t>
      </w:r>
      <w:r w:rsidR="004374C3">
        <w:rPr>
          <w:sz w:val="24"/>
          <w:szCs w:val="24"/>
        </w:rPr>
        <w:t xml:space="preserve">at </w:t>
      </w:r>
      <w:r w:rsidR="0052725D">
        <w:rPr>
          <w:sz w:val="24"/>
          <w:szCs w:val="24"/>
        </w:rPr>
        <w:t>DUSC@health.gov.au.</w:t>
      </w:r>
    </w:p>
    <w:p w:rsidR="00CD1FF1" w:rsidRDefault="00CD1FF1" w:rsidP="00C65ECB">
      <w:pPr>
        <w:rPr>
          <w:sz w:val="24"/>
          <w:szCs w:val="24"/>
        </w:rPr>
      </w:pPr>
    </w:p>
    <w:p w:rsidR="00002AE8" w:rsidRDefault="00002AE8" w:rsidP="00C65ECB">
      <w:pPr>
        <w:rPr>
          <w:sz w:val="24"/>
          <w:szCs w:val="24"/>
        </w:rPr>
      </w:pPr>
    </w:p>
    <w:p w:rsidR="00543CD8" w:rsidRDefault="00543CD8" w:rsidP="00C65ECB">
      <w:pPr>
        <w:rPr>
          <w:sz w:val="24"/>
          <w:szCs w:val="24"/>
        </w:rPr>
      </w:pPr>
    </w:p>
    <w:p w:rsidR="00002AE8" w:rsidRDefault="00002AE8" w:rsidP="00C65ECB">
      <w:pPr>
        <w:rPr>
          <w:sz w:val="24"/>
          <w:szCs w:val="24"/>
        </w:rPr>
      </w:pPr>
      <w:r>
        <w:rPr>
          <w:sz w:val="24"/>
          <w:szCs w:val="24"/>
        </w:rPr>
        <w:t xml:space="preserve">Professor </w:t>
      </w:r>
      <w:r w:rsidR="00473DA7">
        <w:rPr>
          <w:sz w:val="24"/>
          <w:szCs w:val="24"/>
        </w:rPr>
        <w:t>Geoff McColl</w:t>
      </w:r>
      <w:r>
        <w:rPr>
          <w:sz w:val="24"/>
          <w:szCs w:val="24"/>
        </w:rPr>
        <w:tab/>
      </w:r>
      <w:r>
        <w:rPr>
          <w:sz w:val="24"/>
          <w:szCs w:val="24"/>
        </w:rPr>
        <w:tab/>
      </w:r>
      <w:r>
        <w:rPr>
          <w:sz w:val="24"/>
          <w:szCs w:val="24"/>
        </w:rPr>
        <w:tab/>
      </w:r>
    </w:p>
    <w:p w:rsidR="00002AE8" w:rsidRDefault="00002AE8" w:rsidP="00C65ECB">
      <w:pPr>
        <w:rPr>
          <w:sz w:val="24"/>
          <w:szCs w:val="24"/>
        </w:rPr>
      </w:pPr>
      <w:r>
        <w:rPr>
          <w:sz w:val="24"/>
          <w:szCs w:val="24"/>
        </w:rPr>
        <w:t>Chair</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002AE8" w:rsidRPr="003F06C8" w:rsidRDefault="00002AE8" w:rsidP="00C65ECB">
      <w:pPr>
        <w:rPr>
          <w:sz w:val="24"/>
          <w:szCs w:val="24"/>
        </w:rPr>
      </w:pPr>
      <w:r>
        <w:rPr>
          <w:sz w:val="24"/>
          <w:szCs w:val="24"/>
        </w:rPr>
        <w:t>Drug Utilisation Sub-Committee</w:t>
      </w:r>
      <w:r>
        <w:rPr>
          <w:sz w:val="24"/>
          <w:szCs w:val="24"/>
        </w:rPr>
        <w:tab/>
      </w:r>
      <w:r>
        <w:rPr>
          <w:sz w:val="24"/>
          <w:szCs w:val="24"/>
        </w:rPr>
        <w:tab/>
      </w:r>
    </w:p>
    <w:sectPr w:rsidR="00002AE8" w:rsidRPr="003F06C8" w:rsidSect="007166A9">
      <w:footerReference w:type="default" r:id="rId11"/>
      <w:headerReference w:type="first" r:id="rId12"/>
      <w:footerReference w:type="first" r:id="rId13"/>
      <w:pgSz w:w="11908" w:h="16833" w:code="9"/>
      <w:pgMar w:top="1134" w:right="1134" w:bottom="1134"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E08" w:rsidRDefault="00474E08">
      <w:r>
        <w:separator/>
      </w:r>
    </w:p>
  </w:endnote>
  <w:endnote w:type="continuationSeparator" w:id="0">
    <w:p w:rsidR="00474E08" w:rsidRDefault="0047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CA1AA9">
    <w:pPr>
      <w:pStyle w:val="Footer"/>
      <w:jc w:val="center"/>
    </w:pPr>
    <w:r>
      <w:fldChar w:fldCharType="begin"/>
    </w:r>
    <w:r>
      <w:instrText xml:space="preserve"> PAGE   \* MERGEFORMAT </w:instrText>
    </w:r>
    <w:r>
      <w:fldChar w:fldCharType="separate"/>
    </w:r>
    <w:r w:rsidR="001732B1">
      <w:rPr>
        <w:noProof/>
      </w:rPr>
      <w:t>2</w:t>
    </w:r>
    <w:r>
      <w:rPr>
        <w:noProof/>
      </w:rPr>
      <w:fldChar w:fldCharType="end"/>
    </w:r>
  </w:p>
  <w:p w:rsidR="00CA1AA9" w:rsidRDefault="00CA1AA9" w:rsidP="00F1203C">
    <w:pPr>
      <w:pStyle w:val="Footer"/>
      <w:tabs>
        <w:tab w:val="clear" w:pos="4153"/>
        <w:tab w:val="clear" w:pos="8306"/>
        <w:tab w:val="center" w:pos="4666"/>
        <w:tab w:val="right" w:pos="933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CA1AA9">
    <w:pPr>
      <w:pStyle w:val="Footer"/>
      <w:jc w:val="center"/>
    </w:pPr>
    <w:r>
      <w:fldChar w:fldCharType="begin"/>
    </w:r>
    <w:r>
      <w:instrText xml:space="preserve"> PAGE   \* MERGEFORMAT </w:instrText>
    </w:r>
    <w:r>
      <w:fldChar w:fldCharType="separate"/>
    </w:r>
    <w:r w:rsidR="001732B1">
      <w:rPr>
        <w:noProof/>
      </w:rPr>
      <w:t>1</w:t>
    </w:r>
    <w:r>
      <w:rPr>
        <w:noProof/>
      </w:rPr>
      <w:fldChar w:fldCharType="end"/>
    </w:r>
  </w:p>
  <w:p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E08" w:rsidRDefault="00474E08">
      <w:r>
        <w:separator/>
      </w:r>
    </w:p>
  </w:footnote>
  <w:footnote w:type="continuationSeparator" w:id="0">
    <w:p w:rsidR="00474E08" w:rsidRDefault="00474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1732B1">
    <w:pPr>
      <w:pStyle w:val="Header"/>
    </w:pPr>
    <w:r>
      <w:rPr>
        <w:noProof/>
      </w:rPr>
      <w:drawing>
        <wp:inline distT="0" distB="0" distL="0" distR="0">
          <wp:extent cx="800100" cy="542925"/>
          <wp:effectExtent l="0" t="0" r="0" b="0"/>
          <wp:docPr id="1" name="Picture 1"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rsidR="00CA1AA9" w:rsidRPr="00CA347D" w:rsidRDefault="00CA1AA9" w:rsidP="00CA347D">
    <w:pPr>
      <w:pStyle w:val="Heading1"/>
      <w:rPr>
        <w:rStyle w:val="Heading1Char"/>
        <w:b/>
      </w:rPr>
    </w:pPr>
    <w:r w:rsidRPr="00CA347D">
      <w:rPr>
        <w:rStyle w:val="Heading1Char"/>
        <w:b/>
      </w:rPr>
      <w:t>Drug Utilisation Sub-Committee</w:t>
    </w:r>
  </w:p>
  <w:p w:rsidR="00CA1AA9" w:rsidRPr="00CA347D" w:rsidRDefault="00CA1AA9" w:rsidP="00CA347D">
    <w:pPr>
      <w:pStyle w:val="Heading1"/>
    </w:pPr>
    <w:r w:rsidRPr="00CA347D">
      <w:rPr>
        <w:rStyle w:val="Heading1Char"/>
        <w:b/>
      </w:rPr>
      <w:t xml:space="preserve">Outcome Statement </w:t>
    </w:r>
    <w:r w:rsidR="00A453E3">
      <w:rPr>
        <w:rStyle w:val="Heading1Char"/>
        <w:b/>
      </w:rPr>
      <w:t>6</w:t>
    </w:r>
    <w:r w:rsidRPr="00CA347D">
      <w:rPr>
        <w:rStyle w:val="Heading1Char"/>
        <w:b/>
      </w:rPr>
      <w:t xml:space="preserve"> February 201</w:t>
    </w:r>
    <w:r w:rsidR="00A453E3">
      <w:rPr>
        <w:rStyle w:val="Heading1Char"/>
        <w:b/>
      </w:rPr>
      <w:t>4</w:t>
    </w:r>
  </w:p>
  <w:p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95DF7"/>
    <w:multiLevelType w:val="hybridMultilevel"/>
    <w:tmpl w:val="59429752"/>
    <w:lvl w:ilvl="0" w:tplc="0C090001">
      <w:start w:val="1"/>
      <w:numFmt w:val="bullet"/>
      <w:lvlText w:val=""/>
      <w:lvlJc w:val="left"/>
      <w:pPr>
        <w:ind w:left="360" w:hanging="360"/>
      </w:pPr>
      <w:rPr>
        <w:rFonts w:ascii="Symbol" w:hAnsi="Symbol" w:hint="default"/>
      </w:rPr>
    </w:lvl>
    <w:lvl w:ilvl="1" w:tplc="CC04598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F6F48F4"/>
    <w:multiLevelType w:val="hybridMultilevel"/>
    <w:tmpl w:val="329E4D24"/>
    <w:lvl w:ilvl="0" w:tplc="18BAF958">
      <w:numFmt w:val="bullet"/>
      <w:lvlText w:val="-"/>
      <w:lvlJc w:val="left"/>
      <w:pPr>
        <w:ind w:left="720" w:hanging="360"/>
      </w:pPr>
      <w:rPr>
        <w:rFonts w:ascii="Times New Roman" w:eastAsia="Calibr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14D62B8"/>
    <w:multiLevelType w:val="hybridMultilevel"/>
    <w:tmpl w:val="471EBBCA"/>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156B52"/>
    <w:multiLevelType w:val="hybridMultilevel"/>
    <w:tmpl w:val="5DAC1872"/>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CF47035"/>
    <w:multiLevelType w:val="hybridMultilevel"/>
    <w:tmpl w:val="87E62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F55357E"/>
    <w:multiLevelType w:val="hybridMultilevel"/>
    <w:tmpl w:val="BF26C3D2"/>
    <w:lvl w:ilvl="0" w:tplc="7632FC2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A6D5B62"/>
    <w:multiLevelType w:val="hybridMultilevel"/>
    <w:tmpl w:val="35044B4C"/>
    <w:lvl w:ilvl="0" w:tplc="CC04598C">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AED6E30"/>
    <w:multiLevelType w:val="hybridMultilevel"/>
    <w:tmpl w:val="DE96B4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057C16"/>
    <w:multiLevelType w:val="hybridMultilevel"/>
    <w:tmpl w:val="7A7C423E"/>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8596E9C"/>
    <w:multiLevelType w:val="hybridMultilevel"/>
    <w:tmpl w:val="661A7242"/>
    <w:lvl w:ilvl="0" w:tplc="7632FC2C">
      <w:numFmt w:val="bullet"/>
      <w:lvlText w:val="-"/>
      <w:lvlJc w:val="left"/>
      <w:pPr>
        <w:ind w:left="1140" w:hanging="360"/>
      </w:pPr>
      <w:rPr>
        <w:rFonts w:ascii="Times New Roman" w:eastAsia="Times New Roman" w:hAnsi="Times New Roman" w:cs="Times New Roman" w:hint="default"/>
      </w:rPr>
    </w:lvl>
    <w:lvl w:ilvl="1" w:tplc="0C090003">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0">
    <w:nsid w:val="3A477C5C"/>
    <w:multiLevelType w:val="hybridMultilevel"/>
    <w:tmpl w:val="40A09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AE51D1A"/>
    <w:multiLevelType w:val="hybridMultilevel"/>
    <w:tmpl w:val="26DAC1C2"/>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EBF61E7"/>
    <w:multiLevelType w:val="hybridMultilevel"/>
    <w:tmpl w:val="4B28D30E"/>
    <w:lvl w:ilvl="0" w:tplc="B60CA06C">
      <w:start w:val="7"/>
      <w:numFmt w:val="bullet"/>
      <w:lvlText w:val="-"/>
      <w:lvlJc w:val="left"/>
      <w:pPr>
        <w:tabs>
          <w:tab w:val="num" w:pos="720"/>
        </w:tabs>
        <w:ind w:left="720" w:hanging="360"/>
      </w:pPr>
      <w:rPr>
        <w:rFonts w:ascii="Times New Roman" w:eastAsia="Times New Roman" w:hAnsi="Times New Roman" w:cs="Times New Roman" w:hint="default"/>
      </w:rPr>
    </w:lvl>
    <w:lvl w:ilvl="1" w:tplc="B60CA06C">
      <w:start w:val="7"/>
      <w:numFmt w:val="bullet"/>
      <w:lvlText w:val="-"/>
      <w:lvlJc w:val="left"/>
      <w:pPr>
        <w:tabs>
          <w:tab w:val="num" w:pos="1740"/>
        </w:tabs>
        <w:ind w:left="1740" w:hanging="360"/>
      </w:pPr>
      <w:rPr>
        <w:rFonts w:ascii="Times New Roman" w:eastAsia="Times New Roman" w:hAnsi="Times New Roman" w:cs="Times New Roman"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3">
    <w:nsid w:val="485E7366"/>
    <w:multiLevelType w:val="hybridMultilevel"/>
    <w:tmpl w:val="0A6A023A"/>
    <w:lvl w:ilvl="0" w:tplc="625837F4">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48E4223C"/>
    <w:multiLevelType w:val="hybridMultilevel"/>
    <w:tmpl w:val="69928E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197594"/>
    <w:multiLevelType w:val="hybridMultilevel"/>
    <w:tmpl w:val="ED9634A0"/>
    <w:lvl w:ilvl="0" w:tplc="69160AEC">
      <w:start w:val="1"/>
      <w:numFmt w:val="bullet"/>
      <w:lvlText w:val="-"/>
      <w:lvlJc w:val="left"/>
      <w:pPr>
        <w:tabs>
          <w:tab w:val="num" w:pos="786"/>
        </w:tabs>
        <w:ind w:left="786" w:hanging="360"/>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97A0C56"/>
    <w:multiLevelType w:val="hybridMultilevel"/>
    <w:tmpl w:val="C312FC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529E2DCE"/>
    <w:multiLevelType w:val="hybridMultilevel"/>
    <w:tmpl w:val="FE7458CE"/>
    <w:lvl w:ilvl="0" w:tplc="7632FC2C">
      <w:numFmt w:val="bullet"/>
      <w:lvlText w:val="-"/>
      <w:lvlJc w:val="left"/>
      <w:pPr>
        <w:tabs>
          <w:tab w:val="num" w:pos="786"/>
        </w:tabs>
        <w:ind w:left="786"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BAB084B"/>
    <w:multiLevelType w:val="hybridMultilevel"/>
    <w:tmpl w:val="EBE09608"/>
    <w:lvl w:ilvl="0" w:tplc="0C090001">
      <w:start w:val="1"/>
      <w:numFmt w:val="bullet"/>
      <w:lvlText w:val=""/>
      <w:lvlJc w:val="left"/>
      <w:pPr>
        <w:tabs>
          <w:tab w:val="num" w:pos="786"/>
        </w:tabs>
        <w:ind w:left="786"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DF67289"/>
    <w:multiLevelType w:val="hybridMultilevel"/>
    <w:tmpl w:val="99804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F255722"/>
    <w:multiLevelType w:val="hybridMultilevel"/>
    <w:tmpl w:val="D878FF54"/>
    <w:lvl w:ilvl="0" w:tplc="0409000F">
      <w:start w:val="1"/>
      <w:numFmt w:val="decimal"/>
      <w:lvlText w:val="%1."/>
      <w:lvlJc w:val="left"/>
      <w:pPr>
        <w:tabs>
          <w:tab w:val="num" w:pos="720"/>
        </w:tabs>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6453585"/>
    <w:multiLevelType w:val="hybridMultilevel"/>
    <w:tmpl w:val="CE52A5EE"/>
    <w:lvl w:ilvl="0" w:tplc="3998DBA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71430CC"/>
    <w:multiLevelType w:val="hybridMultilevel"/>
    <w:tmpl w:val="5F3C15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67F8674D"/>
    <w:multiLevelType w:val="hybridMultilevel"/>
    <w:tmpl w:val="6C743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8D2183E"/>
    <w:multiLevelType w:val="hybridMultilevel"/>
    <w:tmpl w:val="BB288E1A"/>
    <w:lvl w:ilvl="0" w:tplc="7ABE59CE">
      <w:start w:val="7"/>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5">
    <w:nsid w:val="718E2D8D"/>
    <w:multiLevelType w:val="hybridMultilevel"/>
    <w:tmpl w:val="545CB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1B21A2C"/>
    <w:multiLevelType w:val="hybridMultilevel"/>
    <w:tmpl w:val="5D4CACD6"/>
    <w:lvl w:ilvl="0" w:tplc="0C090001">
      <w:start w:val="1"/>
      <w:numFmt w:val="bullet"/>
      <w:lvlText w:val=""/>
      <w:lvlJc w:val="left"/>
      <w:pPr>
        <w:tabs>
          <w:tab w:val="num" w:pos="360"/>
        </w:tabs>
        <w:ind w:left="360" w:hanging="360"/>
      </w:pPr>
      <w:rPr>
        <w:rFonts w:ascii="Symbol" w:hAnsi="Symbol" w:hint="default"/>
      </w:rPr>
    </w:lvl>
    <w:lvl w:ilvl="1" w:tplc="B60CA06C">
      <w:start w:val="7"/>
      <w:numFmt w:val="bullet"/>
      <w:lvlText w:val="-"/>
      <w:lvlJc w:val="left"/>
      <w:pPr>
        <w:tabs>
          <w:tab w:val="num" w:pos="1380"/>
        </w:tabs>
        <w:ind w:left="1380" w:hanging="360"/>
      </w:pPr>
      <w:rPr>
        <w:rFonts w:ascii="Times New Roman" w:eastAsia="Times New Roman" w:hAnsi="Times New Roman" w:cs="Times New Roman"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7">
    <w:nsid w:val="7A265D63"/>
    <w:multiLevelType w:val="hybridMultilevel"/>
    <w:tmpl w:val="BB2642BC"/>
    <w:lvl w:ilvl="0" w:tplc="69160AEC">
      <w:start w:val="1"/>
      <w:numFmt w:val="bullet"/>
      <w:lvlText w:val="-"/>
      <w:lvlJc w:val="left"/>
      <w:pPr>
        <w:tabs>
          <w:tab w:val="num" w:pos="2160"/>
        </w:tabs>
        <w:ind w:left="216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F3E4904"/>
    <w:multiLevelType w:val="hybridMultilevel"/>
    <w:tmpl w:val="BEAC65AA"/>
    <w:lvl w:ilvl="0" w:tplc="7632FC2C">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4"/>
  </w:num>
  <w:num w:numId="4">
    <w:abstractNumId w:val="27"/>
  </w:num>
  <w:num w:numId="5">
    <w:abstractNumId w:val="18"/>
  </w:num>
  <w:num w:numId="6">
    <w:abstractNumId w:val="20"/>
  </w:num>
  <w:num w:numId="7">
    <w:abstractNumId w:val="25"/>
  </w:num>
  <w:num w:numId="8">
    <w:abstractNumId w:val="17"/>
  </w:num>
  <w:num w:numId="9">
    <w:abstractNumId w:val="15"/>
  </w:num>
  <w:num w:numId="10">
    <w:abstractNumId w:val="21"/>
  </w:num>
  <w:num w:numId="11">
    <w:abstractNumId w:val="13"/>
  </w:num>
  <w:num w:numId="12">
    <w:abstractNumId w:val="5"/>
  </w:num>
  <w:num w:numId="13">
    <w:abstractNumId w:val="26"/>
  </w:num>
  <w:num w:numId="14">
    <w:abstractNumId w:val="12"/>
  </w:num>
  <w:num w:numId="15">
    <w:abstractNumId w:val="28"/>
  </w:num>
  <w:num w:numId="16">
    <w:abstractNumId w:val="1"/>
  </w:num>
  <w:num w:numId="17">
    <w:abstractNumId w:val="9"/>
  </w:num>
  <w:num w:numId="18">
    <w:abstractNumId w:val="19"/>
  </w:num>
  <w:num w:numId="19">
    <w:abstractNumId w:val="24"/>
  </w:num>
  <w:num w:numId="20">
    <w:abstractNumId w:val="3"/>
  </w:num>
  <w:num w:numId="21">
    <w:abstractNumId w:val="11"/>
  </w:num>
  <w:num w:numId="22">
    <w:abstractNumId w:val="8"/>
  </w:num>
  <w:num w:numId="23">
    <w:abstractNumId w:val="22"/>
  </w:num>
  <w:num w:numId="24">
    <w:abstractNumId w:val="23"/>
  </w:num>
  <w:num w:numId="25">
    <w:abstractNumId w:val="10"/>
  </w:num>
  <w:num w:numId="26">
    <w:abstractNumId w:val="16"/>
  </w:num>
  <w:num w:numId="27">
    <w:abstractNumId w:val="6"/>
  </w:num>
  <w:num w:numId="28">
    <w:abstractNumId w:val="0"/>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1AF"/>
    <w:rsid w:val="00002AE8"/>
    <w:rsid w:val="00006EF5"/>
    <w:rsid w:val="00010EA8"/>
    <w:rsid w:val="0001578A"/>
    <w:rsid w:val="00021898"/>
    <w:rsid w:val="00026898"/>
    <w:rsid w:val="000308AD"/>
    <w:rsid w:val="00047105"/>
    <w:rsid w:val="00054C1A"/>
    <w:rsid w:val="00076E4C"/>
    <w:rsid w:val="00094597"/>
    <w:rsid w:val="00096B9B"/>
    <w:rsid w:val="000A53A6"/>
    <w:rsid w:val="000B14A0"/>
    <w:rsid w:val="000B5448"/>
    <w:rsid w:val="000C1D0B"/>
    <w:rsid w:val="000D6712"/>
    <w:rsid w:val="000E18F9"/>
    <w:rsid w:val="000F3387"/>
    <w:rsid w:val="000F7CE1"/>
    <w:rsid w:val="00101877"/>
    <w:rsid w:val="001062BB"/>
    <w:rsid w:val="001071DA"/>
    <w:rsid w:val="00121F43"/>
    <w:rsid w:val="00137CE5"/>
    <w:rsid w:val="00141172"/>
    <w:rsid w:val="00151940"/>
    <w:rsid w:val="00154D0A"/>
    <w:rsid w:val="00166CEB"/>
    <w:rsid w:val="001732B1"/>
    <w:rsid w:val="001902AC"/>
    <w:rsid w:val="001A449F"/>
    <w:rsid w:val="001A7B67"/>
    <w:rsid w:val="001B19E3"/>
    <w:rsid w:val="001B2A10"/>
    <w:rsid w:val="001C0316"/>
    <w:rsid w:val="001C5A7B"/>
    <w:rsid w:val="00203342"/>
    <w:rsid w:val="00203986"/>
    <w:rsid w:val="002168C1"/>
    <w:rsid w:val="00216CE7"/>
    <w:rsid w:val="00224079"/>
    <w:rsid w:val="00224DF5"/>
    <w:rsid w:val="00242420"/>
    <w:rsid w:val="0026571A"/>
    <w:rsid w:val="0026645D"/>
    <w:rsid w:val="00282C56"/>
    <w:rsid w:val="002871FC"/>
    <w:rsid w:val="00292E10"/>
    <w:rsid w:val="00294F3F"/>
    <w:rsid w:val="002A2FEF"/>
    <w:rsid w:val="002A6291"/>
    <w:rsid w:val="002B7EE2"/>
    <w:rsid w:val="002C1B64"/>
    <w:rsid w:val="002D3C76"/>
    <w:rsid w:val="002D3FC7"/>
    <w:rsid w:val="002D516C"/>
    <w:rsid w:val="002F131D"/>
    <w:rsid w:val="003026E0"/>
    <w:rsid w:val="00307F20"/>
    <w:rsid w:val="00313FED"/>
    <w:rsid w:val="00325C25"/>
    <w:rsid w:val="003361C9"/>
    <w:rsid w:val="0035266E"/>
    <w:rsid w:val="00352D12"/>
    <w:rsid w:val="003555E8"/>
    <w:rsid w:val="00362581"/>
    <w:rsid w:val="0037338E"/>
    <w:rsid w:val="00377CBD"/>
    <w:rsid w:val="00385962"/>
    <w:rsid w:val="003A4887"/>
    <w:rsid w:val="003A6327"/>
    <w:rsid w:val="003B644D"/>
    <w:rsid w:val="003C3E03"/>
    <w:rsid w:val="003C5342"/>
    <w:rsid w:val="003D0574"/>
    <w:rsid w:val="003D6C07"/>
    <w:rsid w:val="003F06C8"/>
    <w:rsid w:val="003F1DCA"/>
    <w:rsid w:val="0042129E"/>
    <w:rsid w:val="00421874"/>
    <w:rsid w:val="00423C42"/>
    <w:rsid w:val="004374C3"/>
    <w:rsid w:val="00445679"/>
    <w:rsid w:val="00451ABF"/>
    <w:rsid w:val="004521E9"/>
    <w:rsid w:val="004566A9"/>
    <w:rsid w:val="00461EAF"/>
    <w:rsid w:val="00463B7E"/>
    <w:rsid w:val="00465EED"/>
    <w:rsid w:val="00473DA7"/>
    <w:rsid w:val="00474E08"/>
    <w:rsid w:val="00477B65"/>
    <w:rsid w:val="0049403E"/>
    <w:rsid w:val="004B37DD"/>
    <w:rsid w:val="004F17CC"/>
    <w:rsid w:val="004F60E0"/>
    <w:rsid w:val="0051701B"/>
    <w:rsid w:val="0052725D"/>
    <w:rsid w:val="00543CD8"/>
    <w:rsid w:val="00550B68"/>
    <w:rsid w:val="00554F00"/>
    <w:rsid w:val="00556042"/>
    <w:rsid w:val="005646E2"/>
    <w:rsid w:val="00576201"/>
    <w:rsid w:val="00584E98"/>
    <w:rsid w:val="00590036"/>
    <w:rsid w:val="00595475"/>
    <w:rsid w:val="005A1F05"/>
    <w:rsid w:val="005A4F6D"/>
    <w:rsid w:val="005C053B"/>
    <w:rsid w:val="005C148E"/>
    <w:rsid w:val="005E1E28"/>
    <w:rsid w:val="005E4D8D"/>
    <w:rsid w:val="005F20C5"/>
    <w:rsid w:val="005F3EF0"/>
    <w:rsid w:val="0060015D"/>
    <w:rsid w:val="00603A1E"/>
    <w:rsid w:val="00605905"/>
    <w:rsid w:val="00605D9C"/>
    <w:rsid w:val="00622522"/>
    <w:rsid w:val="006231FB"/>
    <w:rsid w:val="006431B8"/>
    <w:rsid w:val="00651A8E"/>
    <w:rsid w:val="00667381"/>
    <w:rsid w:val="00695BF3"/>
    <w:rsid w:val="006B33A6"/>
    <w:rsid w:val="006B3D40"/>
    <w:rsid w:val="006C1E62"/>
    <w:rsid w:val="006C29FD"/>
    <w:rsid w:val="006D0C9A"/>
    <w:rsid w:val="006D29CA"/>
    <w:rsid w:val="006E08E0"/>
    <w:rsid w:val="006F7103"/>
    <w:rsid w:val="00702F49"/>
    <w:rsid w:val="00703C4C"/>
    <w:rsid w:val="0071514B"/>
    <w:rsid w:val="007166A9"/>
    <w:rsid w:val="00722564"/>
    <w:rsid w:val="0072634E"/>
    <w:rsid w:val="0073626D"/>
    <w:rsid w:val="00747495"/>
    <w:rsid w:val="00753AE8"/>
    <w:rsid w:val="00755BF3"/>
    <w:rsid w:val="00792D24"/>
    <w:rsid w:val="007A025D"/>
    <w:rsid w:val="007A1C91"/>
    <w:rsid w:val="007A5016"/>
    <w:rsid w:val="007C4B1F"/>
    <w:rsid w:val="007D3A05"/>
    <w:rsid w:val="007D4108"/>
    <w:rsid w:val="007D53F5"/>
    <w:rsid w:val="007E45EB"/>
    <w:rsid w:val="007F224E"/>
    <w:rsid w:val="008032CF"/>
    <w:rsid w:val="008032DE"/>
    <w:rsid w:val="00812A58"/>
    <w:rsid w:val="00812E43"/>
    <w:rsid w:val="00813C07"/>
    <w:rsid w:val="0084274F"/>
    <w:rsid w:val="00844137"/>
    <w:rsid w:val="008443DF"/>
    <w:rsid w:val="00855B59"/>
    <w:rsid w:val="00886FF7"/>
    <w:rsid w:val="008933AA"/>
    <w:rsid w:val="008B6054"/>
    <w:rsid w:val="008E66D2"/>
    <w:rsid w:val="008E7888"/>
    <w:rsid w:val="008F7F63"/>
    <w:rsid w:val="009112F4"/>
    <w:rsid w:val="00911959"/>
    <w:rsid w:val="009168AA"/>
    <w:rsid w:val="009230A9"/>
    <w:rsid w:val="009245B3"/>
    <w:rsid w:val="009307DE"/>
    <w:rsid w:val="00940287"/>
    <w:rsid w:val="009427BA"/>
    <w:rsid w:val="0094562D"/>
    <w:rsid w:val="00965552"/>
    <w:rsid w:val="0096605A"/>
    <w:rsid w:val="00982C4C"/>
    <w:rsid w:val="009A22C0"/>
    <w:rsid w:val="009C6EB1"/>
    <w:rsid w:val="009D1586"/>
    <w:rsid w:val="009D1C4B"/>
    <w:rsid w:val="009E130A"/>
    <w:rsid w:val="009E18B1"/>
    <w:rsid w:val="009F37E6"/>
    <w:rsid w:val="00A20CBD"/>
    <w:rsid w:val="00A27FE5"/>
    <w:rsid w:val="00A340B2"/>
    <w:rsid w:val="00A453E3"/>
    <w:rsid w:val="00A50646"/>
    <w:rsid w:val="00A62C85"/>
    <w:rsid w:val="00A64459"/>
    <w:rsid w:val="00A64E13"/>
    <w:rsid w:val="00A72A5F"/>
    <w:rsid w:val="00A744EA"/>
    <w:rsid w:val="00A85479"/>
    <w:rsid w:val="00AB2981"/>
    <w:rsid w:val="00AD61AC"/>
    <w:rsid w:val="00AE0098"/>
    <w:rsid w:val="00AE2C4F"/>
    <w:rsid w:val="00AE46E7"/>
    <w:rsid w:val="00AE5D15"/>
    <w:rsid w:val="00AF1FCD"/>
    <w:rsid w:val="00AF54A2"/>
    <w:rsid w:val="00AF646A"/>
    <w:rsid w:val="00B17B4F"/>
    <w:rsid w:val="00B20269"/>
    <w:rsid w:val="00B2765B"/>
    <w:rsid w:val="00B54AC5"/>
    <w:rsid w:val="00B73EC0"/>
    <w:rsid w:val="00B748A3"/>
    <w:rsid w:val="00B8425D"/>
    <w:rsid w:val="00B94E75"/>
    <w:rsid w:val="00BD606B"/>
    <w:rsid w:val="00BF1645"/>
    <w:rsid w:val="00C04EF5"/>
    <w:rsid w:val="00C05DF1"/>
    <w:rsid w:val="00C116AA"/>
    <w:rsid w:val="00C1278B"/>
    <w:rsid w:val="00C14149"/>
    <w:rsid w:val="00C17CD9"/>
    <w:rsid w:val="00C201AF"/>
    <w:rsid w:val="00C43937"/>
    <w:rsid w:val="00C65ECB"/>
    <w:rsid w:val="00C720BE"/>
    <w:rsid w:val="00C814DC"/>
    <w:rsid w:val="00CA1100"/>
    <w:rsid w:val="00CA1AA9"/>
    <w:rsid w:val="00CA347D"/>
    <w:rsid w:val="00CC4F1F"/>
    <w:rsid w:val="00CD1FF1"/>
    <w:rsid w:val="00CD4F83"/>
    <w:rsid w:val="00CD748A"/>
    <w:rsid w:val="00CE2E5D"/>
    <w:rsid w:val="00CE505F"/>
    <w:rsid w:val="00D03704"/>
    <w:rsid w:val="00D06634"/>
    <w:rsid w:val="00D26F01"/>
    <w:rsid w:val="00D37EA6"/>
    <w:rsid w:val="00D51FE0"/>
    <w:rsid w:val="00D55ED4"/>
    <w:rsid w:val="00D573C4"/>
    <w:rsid w:val="00D61A07"/>
    <w:rsid w:val="00D716A5"/>
    <w:rsid w:val="00D776E5"/>
    <w:rsid w:val="00D801D7"/>
    <w:rsid w:val="00D92B61"/>
    <w:rsid w:val="00DA5030"/>
    <w:rsid w:val="00DA52B0"/>
    <w:rsid w:val="00DA7DAC"/>
    <w:rsid w:val="00DB5E1F"/>
    <w:rsid w:val="00DB7938"/>
    <w:rsid w:val="00DC35B0"/>
    <w:rsid w:val="00DC5383"/>
    <w:rsid w:val="00DC76E4"/>
    <w:rsid w:val="00DD3F56"/>
    <w:rsid w:val="00DD6C98"/>
    <w:rsid w:val="00DE3430"/>
    <w:rsid w:val="00DE6DED"/>
    <w:rsid w:val="00E1073E"/>
    <w:rsid w:val="00E15343"/>
    <w:rsid w:val="00E202D8"/>
    <w:rsid w:val="00E21AB6"/>
    <w:rsid w:val="00E358B8"/>
    <w:rsid w:val="00E51946"/>
    <w:rsid w:val="00E60246"/>
    <w:rsid w:val="00E606DC"/>
    <w:rsid w:val="00E63C49"/>
    <w:rsid w:val="00E855DB"/>
    <w:rsid w:val="00E929BF"/>
    <w:rsid w:val="00E9717F"/>
    <w:rsid w:val="00EA266C"/>
    <w:rsid w:val="00EA4A72"/>
    <w:rsid w:val="00EA6068"/>
    <w:rsid w:val="00EC27B1"/>
    <w:rsid w:val="00ED262E"/>
    <w:rsid w:val="00ED4688"/>
    <w:rsid w:val="00ED55CD"/>
    <w:rsid w:val="00EF17AE"/>
    <w:rsid w:val="00F00711"/>
    <w:rsid w:val="00F00BA6"/>
    <w:rsid w:val="00F05674"/>
    <w:rsid w:val="00F07DC7"/>
    <w:rsid w:val="00F1203C"/>
    <w:rsid w:val="00F22B3B"/>
    <w:rsid w:val="00F24AD2"/>
    <w:rsid w:val="00F254F2"/>
    <w:rsid w:val="00F33165"/>
    <w:rsid w:val="00F52BA8"/>
    <w:rsid w:val="00F57CF8"/>
    <w:rsid w:val="00F7236A"/>
    <w:rsid w:val="00F747BC"/>
    <w:rsid w:val="00F77C55"/>
    <w:rsid w:val="00F85C3D"/>
    <w:rsid w:val="00FA149F"/>
    <w:rsid w:val="00FC1D32"/>
    <w:rsid w:val="00FC7075"/>
    <w:rsid w:val="00FD6364"/>
    <w:rsid w:val="00FD7182"/>
    <w:rsid w:val="00FD755C"/>
    <w:rsid w:val="00FE6B0F"/>
    <w:rsid w:val="00FF4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030"/>
  </w:style>
  <w:style w:type="paragraph" w:styleId="Heading1">
    <w:name w:val="heading 1"/>
    <w:basedOn w:val="Header"/>
    <w:next w:val="Normal"/>
    <w:link w:val="Heading1Char"/>
    <w:qFormat/>
    <w:rsid w:val="00CA347D"/>
    <w:pPr>
      <w:jc w:val="center"/>
      <w:outlineLvl w:val="0"/>
    </w:pPr>
    <w:rPr>
      <w:b/>
      <w:sz w:val="32"/>
      <w:szCs w:val="32"/>
    </w:rPr>
  </w:style>
  <w:style w:type="paragraph" w:styleId="Heading2">
    <w:name w:val="heading 2"/>
    <w:basedOn w:val="Normal"/>
    <w:next w:val="Normal"/>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semiHidden/>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semiHidden/>
    <w:rsid w:val="008F7F63"/>
    <w:rPr>
      <w:sz w:val="16"/>
      <w:szCs w:val="16"/>
    </w:rPr>
  </w:style>
  <w:style w:type="paragraph" w:styleId="CommentText">
    <w:name w:val="annotation text"/>
    <w:basedOn w:val="Normal"/>
    <w:semiHidden/>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CA347D"/>
    <w:rPr>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basedOn w:val="Normal"/>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030"/>
  </w:style>
  <w:style w:type="paragraph" w:styleId="Heading1">
    <w:name w:val="heading 1"/>
    <w:basedOn w:val="Header"/>
    <w:next w:val="Normal"/>
    <w:link w:val="Heading1Char"/>
    <w:qFormat/>
    <w:rsid w:val="00CA347D"/>
    <w:pPr>
      <w:jc w:val="center"/>
      <w:outlineLvl w:val="0"/>
    </w:pPr>
    <w:rPr>
      <w:b/>
      <w:sz w:val="32"/>
      <w:szCs w:val="32"/>
    </w:rPr>
  </w:style>
  <w:style w:type="paragraph" w:styleId="Heading2">
    <w:name w:val="heading 2"/>
    <w:basedOn w:val="Normal"/>
    <w:next w:val="Normal"/>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semiHidden/>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semiHidden/>
    <w:rsid w:val="008F7F63"/>
    <w:rPr>
      <w:sz w:val="16"/>
      <w:szCs w:val="16"/>
    </w:rPr>
  </w:style>
  <w:style w:type="paragraph" w:styleId="CommentText">
    <w:name w:val="annotation text"/>
    <w:basedOn w:val="Normal"/>
    <w:semiHidden/>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CA347D"/>
    <w:rPr>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basedOn w:val="Normal"/>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pbs.gov.au/info/industry/listing/elements/pbac-meetings/agenda/03-2014"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bs.gov.au" TargetMode="External"/><Relationship Id="rId4" Type="http://schemas.openxmlformats.org/officeDocument/2006/relationships/settings" Target="settings.xml"/><Relationship Id="rId9" Type="http://schemas.openxmlformats.org/officeDocument/2006/relationships/hyperlink" Target="http://www.pbs.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3454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1st revision to APMA</vt:lpstr>
    </vt:vector>
  </TitlesOfParts>
  <Company>hfs</Company>
  <LinksUpToDate>false</LinksUpToDate>
  <CharactersWithSpaces>4001</CharactersWithSpaces>
  <SharedDoc>false</SharedDoc>
  <HLinks>
    <vt:vector size="24" baseType="variant">
      <vt:variant>
        <vt:i4>7798824</vt:i4>
      </vt:variant>
      <vt:variant>
        <vt:i4>9</vt:i4>
      </vt:variant>
      <vt:variant>
        <vt:i4>0</vt:i4>
      </vt:variant>
      <vt:variant>
        <vt:i4>5</vt:i4>
      </vt:variant>
      <vt:variant>
        <vt:lpwstr>http://www.pbs.gov.au/</vt:lpwstr>
      </vt:variant>
      <vt:variant>
        <vt:lpwstr/>
      </vt:variant>
      <vt:variant>
        <vt:i4>7798824</vt:i4>
      </vt:variant>
      <vt:variant>
        <vt:i4>6</vt:i4>
      </vt:variant>
      <vt:variant>
        <vt:i4>0</vt:i4>
      </vt:variant>
      <vt:variant>
        <vt:i4>5</vt:i4>
      </vt:variant>
      <vt:variant>
        <vt:lpwstr>http://www.pbs.gov.au/</vt:lpwstr>
      </vt:variant>
      <vt:variant>
        <vt:lpwstr/>
      </vt:variant>
      <vt:variant>
        <vt:i4>7798824</vt:i4>
      </vt:variant>
      <vt:variant>
        <vt:i4>3</vt:i4>
      </vt:variant>
      <vt:variant>
        <vt:i4>0</vt:i4>
      </vt:variant>
      <vt:variant>
        <vt:i4>5</vt:i4>
      </vt:variant>
      <vt:variant>
        <vt:lpwstr>http://www.pbs.gov.au/</vt:lpwstr>
      </vt:variant>
      <vt:variant>
        <vt:lpwstr/>
      </vt:variant>
      <vt:variant>
        <vt:i4>5898332</vt:i4>
      </vt:variant>
      <vt:variant>
        <vt:i4>0</vt:i4>
      </vt:variant>
      <vt:variant>
        <vt:i4>0</vt:i4>
      </vt:variant>
      <vt:variant>
        <vt:i4>5</vt:i4>
      </vt:variant>
      <vt:variant>
        <vt:lpwstr>http://www.pbs.gov.au/info/industry/listing/elements/pbac-meetings/agenda/03-2014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revision to APMA</dc:title>
  <dc:creator>Andrew Mitchell</dc:creator>
  <cp:lastModifiedBy>Thomas Gareth</cp:lastModifiedBy>
  <cp:revision>2</cp:revision>
  <cp:lastPrinted>2014-03-20T22:15:00Z</cp:lastPrinted>
  <dcterms:created xsi:type="dcterms:W3CDTF">2014-03-24T23:07:00Z</dcterms:created>
  <dcterms:modified xsi:type="dcterms:W3CDTF">2014-03-24T23:07:00Z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