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BD" w:rsidRDefault="00A20CBD" w:rsidP="00855B59">
      <w:pPr>
        <w:ind w:left="2160" w:firstLine="720"/>
        <w:rPr>
          <w:b/>
          <w:sz w:val="24"/>
          <w:szCs w:val="24"/>
        </w:rPr>
      </w:pPr>
    </w:p>
    <w:p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F7FAE">
        <w:rPr>
          <w:sz w:val="24"/>
          <w:szCs w:val="24"/>
        </w:rPr>
        <w:t>94</w:t>
      </w:r>
      <w:r w:rsidR="006F7FAE" w:rsidRPr="006F7FAE">
        <w:rPr>
          <w:sz w:val="24"/>
          <w:szCs w:val="24"/>
          <w:vertAlign w:val="superscript"/>
        </w:rPr>
        <w:t>th</w:t>
      </w:r>
      <w:r w:rsidR="006F7FAE">
        <w:rPr>
          <w:sz w:val="24"/>
          <w:szCs w:val="24"/>
        </w:rPr>
        <w:t xml:space="preserve"> </w:t>
      </w:r>
      <w:r w:rsidRPr="005F3EF0">
        <w:rPr>
          <w:sz w:val="24"/>
          <w:szCs w:val="24"/>
        </w:rPr>
        <w:t xml:space="preserve">meeting on </w:t>
      </w:r>
      <w:r w:rsidR="00E4556A">
        <w:rPr>
          <w:sz w:val="24"/>
          <w:szCs w:val="24"/>
        </w:rPr>
        <w:t>the 27</w:t>
      </w:r>
      <w:r w:rsidR="00E4556A" w:rsidRPr="00E4556A">
        <w:rPr>
          <w:sz w:val="24"/>
          <w:szCs w:val="24"/>
          <w:vertAlign w:val="superscript"/>
        </w:rPr>
        <w:t>th</w:t>
      </w:r>
      <w:r w:rsidR="00E4556A">
        <w:rPr>
          <w:sz w:val="24"/>
          <w:szCs w:val="24"/>
        </w:rPr>
        <w:t xml:space="preserve"> and 28</w:t>
      </w:r>
      <w:r w:rsidR="00E4556A" w:rsidRPr="00E4556A">
        <w:rPr>
          <w:sz w:val="24"/>
          <w:szCs w:val="24"/>
          <w:vertAlign w:val="superscript"/>
        </w:rPr>
        <w:t>th</w:t>
      </w:r>
      <w:r w:rsidR="00E4556A">
        <w:rPr>
          <w:sz w:val="24"/>
          <w:szCs w:val="24"/>
        </w:rPr>
        <w:t xml:space="preserve"> of September </w:t>
      </w:r>
      <w:r w:rsidR="00B92105">
        <w:rPr>
          <w:sz w:val="24"/>
          <w:szCs w:val="24"/>
        </w:rPr>
        <w:t>2018</w:t>
      </w:r>
      <w:r w:rsidRPr="005F3EF0">
        <w:rPr>
          <w:sz w:val="24"/>
          <w:szCs w:val="24"/>
        </w:rPr>
        <w:t>.</w:t>
      </w:r>
    </w:p>
    <w:p w:rsidR="003F06C8" w:rsidRDefault="003F06C8" w:rsidP="008B6946">
      <w:pPr>
        <w:tabs>
          <w:tab w:val="left" w:pos="4820"/>
          <w:tab w:val="left" w:pos="8931"/>
          <w:tab w:val="left" w:pos="9028"/>
          <w:tab w:val="left" w:pos="9072"/>
        </w:tabs>
        <w:rPr>
          <w:sz w:val="24"/>
          <w:szCs w:val="24"/>
        </w:rPr>
      </w:pPr>
    </w:p>
    <w:p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rsidR="00855B59" w:rsidRDefault="00855B59" w:rsidP="008B6946">
      <w:pPr>
        <w:tabs>
          <w:tab w:val="left" w:pos="4820"/>
          <w:tab w:val="left" w:pos="8931"/>
          <w:tab w:val="left" w:pos="9028"/>
          <w:tab w:val="left" w:pos="9072"/>
        </w:tabs>
        <w:rPr>
          <w:sz w:val="24"/>
          <w:szCs w:val="24"/>
        </w:rPr>
      </w:pPr>
    </w:p>
    <w:p w:rsidR="004566A9" w:rsidRPr="00855B59" w:rsidRDefault="00855B59" w:rsidP="008B6946">
      <w:pPr>
        <w:pStyle w:val="Heading2"/>
      </w:pPr>
      <w:r w:rsidRPr="00855B59">
        <w:t>Su</w:t>
      </w:r>
      <w:r w:rsidR="004566A9" w:rsidRPr="00855B59">
        <w:t>bmissions to the PBAC</w:t>
      </w:r>
    </w:p>
    <w:p w:rsidR="009237FF" w:rsidRDefault="003F06C8" w:rsidP="008B6946">
      <w:pPr>
        <w:rPr>
          <w:sz w:val="24"/>
          <w:szCs w:val="24"/>
        </w:rPr>
      </w:pPr>
      <w:r w:rsidRPr="0035237B">
        <w:rPr>
          <w:sz w:val="24"/>
          <w:szCs w:val="24"/>
        </w:rPr>
        <w:t xml:space="preserve">DUSC noted that </w:t>
      </w:r>
      <w:r w:rsidR="00746212" w:rsidRPr="00783E2D">
        <w:rPr>
          <w:sz w:val="24"/>
          <w:szCs w:val="24"/>
        </w:rPr>
        <w:t>30</w:t>
      </w:r>
      <w:r w:rsidRPr="0035237B">
        <w:rPr>
          <w:sz w:val="24"/>
          <w:szCs w:val="24"/>
        </w:rPr>
        <w:t xml:space="preserve"> major submissions had been received for the </w:t>
      </w:r>
      <w:r w:rsidR="006F45C6">
        <w:rPr>
          <w:sz w:val="24"/>
          <w:szCs w:val="24"/>
        </w:rPr>
        <w:t>November</w:t>
      </w:r>
      <w:r w:rsidR="001E4D54" w:rsidRPr="0035237B">
        <w:rPr>
          <w:sz w:val="24"/>
          <w:szCs w:val="24"/>
        </w:rPr>
        <w:t xml:space="preserve"> 2018</w:t>
      </w:r>
      <w:r w:rsidRPr="0035237B">
        <w:rPr>
          <w:sz w:val="24"/>
          <w:szCs w:val="24"/>
        </w:rPr>
        <w:t xml:space="preserve"> meeting of PBAC. </w:t>
      </w:r>
      <w:r w:rsidR="008F7F63" w:rsidRPr="0035237B">
        <w:rPr>
          <w:sz w:val="24"/>
          <w:szCs w:val="24"/>
        </w:rPr>
        <w:t xml:space="preserve">DUSC provided detailed advice to the PBAC on </w:t>
      </w:r>
      <w:r w:rsidR="009230A9" w:rsidRPr="0035237B">
        <w:rPr>
          <w:sz w:val="24"/>
          <w:szCs w:val="24"/>
        </w:rPr>
        <w:t xml:space="preserve">projected usage and financial cost for </w:t>
      </w:r>
      <w:r w:rsidR="003833F2" w:rsidRPr="0035237B">
        <w:rPr>
          <w:sz w:val="24"/>
          <w:szCs w:val="24"/>
        </w:rPr>
        <w:t xml:space="preserve">the </w:t>
      </w:r>
      <w:r w:rsidR="005C053B" w:rsidRPr="0035237B">
        <w:rPr>
          <w:sz w:val="24"/>
          <w:szCs w:val="24"/>
        </w:rPr>
        <w:t>major</w:t>
      </w:r>
      <w:r w:rsidRPr="0035237B">
        <w:rPr>
          <w:sz w:val="24"/>
          <w:szCs w:val="24"/>
        </w:rPr>
        <w:t xml:space="preserve"> submissions</w:t>
      </w:r>
      <w:r w:rsidR="00C814DC" w:rsidRPr="0035237B">
        <w:rPr>
          <w:sz w:val="24"/>
          <w:szCs w:val="24"/>
        </w:rPr>
        <w:t xml:space="preserve"> where there is high cost, uncertain utilisation</w:t>
      </w:r>
      <w:r w:rsidR="00FA149F" w:rsidRPr="0035237B">
        <w:rPr>
          <w:sz w:val="24"/>
          <w:szCs w:val="24"/>
        </w:rPr>
        <w:t xml:space="preserve">, first </w:t>
      </w:r>
      <w:r w:rsidR="007D4108" w:rsidRPr="0035237B">
        <w:rPr>
          <w:sz w:val="24"/>
          <w:szCs w:val="24"/>
        </w:rPr>
        <w:t xml:space="preserve">medicine </w:t>
      </w:r>
      <w:r w:rsidR="00FA149F" w:rsidRPr="0035237B">
        <w:rPr>
          <w:sz w:val="24"/>
          <w:szCs w:val="24"/>
        </w:rPr>
        <w:t xml:space="preserve">in class or </w:t>
      </w:r>
      <w:r w:rsidR="003361C9" w:rsidRPr="0035237B">
        <w:rPr>
          <w:sz w:val="24"/>
          <w:szCs w:val="24"/>
        </w:rPr>
        <w:t>q</w:t>
      </w:r>
      <w:r w:rsidR="00FA149F" w:rsidRPr="0035237B">
        <w:rPr>
          <w:sz w:val="24"/>
          <w:szCs w:val="24"/>
        </w:rPr>
        <w:t xml:space="preserve">uality </w:t>
      </w:r>
      <w:r w:rsidR="003361C9" w:rsidRPr="0035237B">
        <w:rPr>
          <w:sz w:val="24"/>
          <w:szCs w:val="24"/>
        </w:rPr>
        <w:t>u</w:t>
      </w:r>
      <w:r w:rsidR="00FA149F" w:rsidRPr="0035237B">
        <w:rPr>
          <w:sz w:val="24"/>
          <w:szCs w:val="24"/>
        </w:rPr>
        <w:t xml:space="preserve">se of </w:t>
      </w:r>
      <w:r w:rsidR="003361C9" w:rsidRPr="0035237B">
        <w:rPr>
          <w:sz w:val="24"/>
          <w:szCs w:val="24"/>
        </w:rPr>
        <w:t>m</w:t>
      </w:r>
      <w:r w:rsidR="00FA149F" w:rsidRPr="0035237B">
        <w:rPr>
          <w:sz w:val="24"/>
          <w:szCs w:val="24"/>
        </w:rPr>
        <w:t xml:space="preserve">edicines </w:t>
      </w:r>
      <w:r w:rsidR="0042129E" w:rsidRPr="0035237B">
        <w:rPr>
          <w:sz w:val="24"/>
          <w:szCs w:val="24"/>
        </w:rPr>
        <w:t>concerns</w:t>
      </w:r>
      <w:r w:rsidR="005C053B" w:rsidRPr="0035237B">
        <w:rPr>
          <w:sz w:val="24"/>
          <w:szCs w:val="24"/>
        </w:rPr>
        <w:t xml:space="preserve">. </w:t>
      </w:r>
      <w:r w:rsidR="008F7F63" w:rsidRPr="0035237B">
        <w:rPr>
          <w:sz w:val="24"/>
          <w:szCs w:val="24"/>
        </w:rPr>
        <w:t xml:space="preserve">The </w:t>
      </w:r>
      <w:r w:rsidR="005C053B" w:rsidRPr="0035237B">
        <w:rPr>
          <w:sz w:val="24"/>
          <w:szCs w:val="24"/>
        </w:rPr>
        <w:t>a</w:t>
      </w:r>
      <w:r w:rsidR="008F7F63" w:rsidRPr="0035237B">
        <w:rPr>
          <w:sz w:val="24"/>
          <w:szCs w:val="24"/>
        </w:rPr>
        <w:t xml:space="preserve">genda </w:t>
      </w:r>
      <w:r w:rsidR="005C053B" w:rsidRPr="0035237B">
        <w:rPr>
          <w:sz w:val="24"/>
          <w:szCs w:val="24"/>
        </w:rPr>
        <w:t xml:space="preserve">for the </w:t>
      </w:r>
      <w:r w:rsidR="006F45C6">
        <w:rPr>
          <w:sz w:val="24"/>
          <w:szCs w:val="24"/>
        </w:rPr>
        <w:t>November</w:t>
      </w:r>
      <w:r w:rsidR="00F2511C" w:rsidRPr="0035237B">
        <w:rPr>
          <w:sz w:val="24"/>
          <w:szCs w:val="24"/>
        </w:rPr>
        <w:t xml:space="preserve"> </w:t>
      </w:r>
      <w:r w:rsidR="00C93804" w:rsidRPr="0035237B">
        <w:rPr>
          <w:sz w:val="24"/>
          <w:szCs w:val="24"/>
        </w:rPr>
        <w:t>2018</w:t>
      </w:r>
      <w:r w:rsidR="005C053B" w:rsidRPr="0035237B">
        <w:rPr>
          <w:sz w:val="24"/>
          <w:szCs w:val="24"/>
        </w:rPr>
        <w:t xml:space="preserve"> PBAC meeting </w:t>
      </w:r>
      <w:r w:rsidR="008F7F63" w:rsidRPr="0035237B">
        <w:rPr>
          <w:sz w:val="24"/>
          <w:szCs w:val="24"/>
        </w:rPr>
        <w:t xml:space="preserve">can be found </w:t>
      </w:r>
      <w:r w:rsidR="00E013AC" w:rsidRPr="0035237B">
        <w:rPr>
          <w:sz w:val="24"/>
          <w:szCs w:val="24"/>
        </w:rPr>
        <w:t xml:space="preserve">on the </w:t>
      </w:r>
      <w:hyperlink r:id="rId9" w:history="1">
        <w:r w:rsidR="00E013AC" w:rsidRPr="0035237B">
          <w:rPr>
            <w:rStyle w:val="Hyperlink"/>
            <w:sz w:val="24"/>
            <w:szCs w:val="24"/>
          </w:rPr>
          <w:t>PBS</w:t>
        </w:r>
        <w:r w:rsidR="006E3AF2">
          <w:rPr>
            <w:rStyle w:val="Hyperlink"/>
            <w:sz w:val="24"/>
            <w:szCs w:val="24"/>
          </w:rPr>
          <w:t> </w:t>
        </w:r>
        <w:r w:rsidR="00E013AC" w:rsidRPr="0035237B">
          <w:rPr>
            <w:rStyle w:val="Hyperlink"/>
            <w:sz w:val="24"/>
            <w:szCs w:val="24"/>
          </w:rPr>
          <w:t>website</w:t>
        </w:r>
      </w:hyperlink>
      <w:r w:rsidR="00E013AC" w:rsidRPr="0035237B">
        <w:rPr>
          <w:sz w:val="24"/>
          <w:szCs w:val="24"/>
        </w:rPr>
        <w:t>.</w:t>
      </w:r>
    </w:p>
    <w:p w:rsidR="00A453E3" w:rsidRDefault="00A453E3" w:rsidP="008B6946">
      <w:pPr>
        <w:rPr>
          <w:sz w:val="24"/>
          <w:szCs w:val="24"/>
        </w:rPr>
      </w:pPr>
    </w:p>
    <w:p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rsidR="00B0144A" w:rsidRPr="00B12248" w:rsidRDefault="00CD4F83" w:rsidP="008B6946">
      <w:pPr>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 xml:space="preserve">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B12248">
          <w:rPr>
            <w:rStyle w:val="Hyperlink"/>
            <w:sz w:val="24"/>
            <w:szCs w:val="24"/>
          </w:rPr>
          <w:t xml:space="preserve">PBAC </w:t>
        </w:r>
        <w:r w:rsidR="00021AF3" w:rsidRPr="00B12248">
          <w:rPr>
            <w:rStyle w:val="Hyperlink"/>
            <w:sz w:val="24"/>
            <w:szCs w:val="24"/>
          </w:rPr>
          <w:t>meeting</w:t>
        </w:r>
        <w:r w:rsidR="00591C2B" w:rsidRPr="00B12248">
          <w:rPr>
            <w:rStyle w:val="Hyperlink"/>
            <w:sz w:val="24"/>
            <w:szCs w:val="24"/>
          </w:rPr>
          <w:t xml:space="preserve"> agenda</w:t>
        </w:r>
      </w:hyperlink>
      <w:r w:rsidR="00591C2B" w:rsidRPr="00B12248">
        <w:rPr>
          <w:sz w:val="24"/>
          <w:szCs w:val="24"/>
        </w:rPr>
        <w:t>.</w:t>
      </w:r>
    </w:p>
    <w:p w:rsidR="00591C2B" w:rsidRPr="00B12248" w:rsidRDefault="00591C2B" w:rsidP="008B6946">
      <w:pPr>
        <w:rPr>
          <w:sz w:val="24"/>
          <w:szCs w:val="24"/>
        </w:rPr>
      </w:pPr>
    </w:p>
    <w:p w:rsidR="00591C2B" w:rsidRPr="00B12248" w:rsidRDefault="00B0144A" w:rsidP="00D97B8F">
      <w:pPr>
        <w:rPr>
          <w:sz w:val="24"/>
          <w:szCs w:val="24"/>
        </w:rPr>
      </w:pPr>
      <w:r w:rsidRPr="00B12248">
        <w:rPr>
          <w:sz w:val="24"/>
          <w:szCs w:val="24"/>
        </w:rPr>
        <w:t>All repo</w:t>
      </w:r>
      <w:r w:rsidR="003833F2" w:rsidRPr="00B12248">
        <w:rPr>
          <w:sz w:val="24"/>
          <w:szCs w:val="24"/>
        </w:rPr>
        <w:t>rts, Sponsor comments and DUSC assessment</w:t>
      </w:r>
      <w:r w:rsidRPr="00B12248">
        <w:rPr>
          <w:sz w:val="24"/>
          <w:szCs w:val="24"/>
        </w:rPr>
        <w:t xml:space="preserve"> of the reports are subsequently provided to the PBAC.</w:t>
      </w:r>
    </w:p>
    <w:p w:rsidR="00591C2B" w:rsidRPr="00B12248" w:rsidRDefault="00591C2B" w:rsidP="00D97B8F">
      <w:pPr>
        <w:rPr>
          <w:sz w:val="24"/>
          <w:szCs w:val="24"/>
        </w:rPr>
      </w:pPr>
    </w:p>
    <w:p w:rsidR="00D97B8F" w:rsidRPr="00B12248" w:rsidRDefault="00591C2B" w:rsidP="00D97B8F">
      <w:pPr>
        <w:rPr>
          <w:sz w:val="24"/>
          <w:szCs w:val="24"/>
        </w:rPr>
      </w:pPr>
      <w:r w:rsidRPr="00B12248">
        <w:rPr>
          <w:sz w:val="24"/>
          <w:szCs w:val="24"/>
        </w:rPr>
        <w:t xml:space="preserve">The PBAC is committed to understanding consumer perspectives and integrating them into its consideration of medicines and vaccines. </w:t>
      </w:r>
      <w:r w:rsidR="00D97B8F" w:rsidRPr="00B12248">
        <w:rPr>
          <w:sz w:val="24"/>
          <w:szCs w:val="24"/>
        </w:rPr>
        <w:t xml:space="preserve">Consumers are able to </w:t>
      </w:r>
      <w:r w:rsidRPr="00B12248">
        <w:rPr>
          <w:sz w:val="24"/>
          <w:szCs w:val="24"/>
        </w:rPr>
        <w:t>provide their views about medicine utilisation reviews</w:t>
      </w:r>
      <w:r w:rsidR="00D97B8F" w:rsidRPr="00B12248">
        <w:rPr>
          <w:sz w:val="24"/>
          <w:szCs w:val="24"/>
        </w:rPr>
        <w:t xml:space="preserve"> to the PBAC via</w:t>
      </w:r>
      <w:r w:rsidRPr="00B12248">
        <w:rPr>
          <w:sz w:val="24"/>
          <w:szCs w:val="24"/>
        </w:rPr>
        <w:t xml:space="preserve"> a </w:t>
      </w:r>
      <w:hyperlink r:id="rId11" w:history="1">
        <w:r w:rsidRPr="00B12248">
          <w:rPr>
            <w:rStyle w:val="Hyperlink"/>
            <w:sz w:val="24"/>
            <w:szCs w:val="24"/>
          </w:rPr>
          <w:t>web interface</w:t>
        </w:r>
      </w:hyperlink>
      <w:r w:rsidRPr="00B12248">
        <w:rPr>
          <w:sz w:val="24"/>
          <w:szCs w:val="24"/>
        </w:rPr>
        <w:t>.</w:t>
      </w:r>
    </w:p>
    <w:p w:rsidR="00021AF3" w:rsidRPr="00B12248" w:rsidRDefault="00021AF3" w:rsidP="00D97B8F">
      <w:pPr>
        <w:rPr>
          <w:sz w:val="24"/>
          <w:szCs w:val="24"/>
        </w:rPr>
      </w:pPr>
    </w:p>
    <w:p w:rsidR="00FA149F" w:rsidRPr="00B12248" w:rsidRDefault="00FD755C" w:rsidP="008B6946">
      <w:pPr>
        <w:rPr>
          <w:sz w:val="24"/>
          <w:szCs w:val="24"/>
        </w:rPr>
      </w:pPr>
      <w:r w:rsidRPr="00B12248">
        <w:rPr>
          <w:sz w:val="24"/>
          <w:szCs w:val="24"/>
        </w:rPr>
        <w:t xml:space="preserve">Full restrictions for PBS listed </w:t>
      </w:r>
      <w:r w:rsidR="007D4108" w:rsidRPr="00B12248">
        <w:rPr>
          <w:sz w:val="24"/>
          <w:szCs w:val="24"/>
        </w:rPr>
        <w:t xml:space="preserve">medicines </w:t>
      </w:r>
      <w:r w:rsidRPr="00B12248">
        <w:rPr>
          <w:sz w:val="24"/>
          <w:szCs w:val="24"/>
        </w:rPr>
        <w:t xml:space="preserve">are available in the </w:t>
      </w:r>
      <w:hyperlink r:id="rId12" w:history="1">
        <w:r w:rsidRPr="00B12248">
          <w:rPr>
            <w:rStyle w:val="Hyperlink"/>
            <w:sz w:val="24"/>
            <w:szCs w:val="24"/>
          </w:rPr>
          <w:t>PBS Schedule</w:t>
        </w:r>
      </w:hyperlink>
      <w:r w:rsidR="00EF43E9" w:rsidRPr="00B12248">
        <w:rPr>
          <w:sz w:val="24"/>
          <w:szCs w:val="24"/>
        </w:rPr>
        <w:t>.</w:t>
      </w:r>
    </w:p>
    <w:p w:rsidR="00FD755C" w:rsidRPr="002A2278" w:rsidRDefault="00FD755C" w:rsidP="008B6946">
      <w:pPr>
        <w:rPr>
          <w:sz w:val="24"/>
          <w:szCs w:val="24"/>
          <w:highlight w:val="yellow"/>
        </w:rPr>
      </w:pPr>
    </w:p>
    <w:p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in </w:t>
      </w:r>
      <w:r w:rsidR="006F45C6">
        <w:rPr>
          <w:sz w:val="24"/>
          <w:szCs w:val="24"/>
        </w:rPr>
        <w:t>September</w:t>
      </w:r>
      <w:r w:rsidR="00B12248" w:rsidRPr="00B12248">
        <w:rPr>
          <w:sz w:val="24"/>
          <w:szCs w:val="24"/>
        </w:rPr>
        <w:t xml:space="preserve"> 2018</w:t>
      </w:r>
      <w:r w:rsidRPr="00B12248">
        <w:rPr>
          <w:sz w:val="24"/>
          <w:szCs w:val="24"/>
        </w:rPr>
        <w:t>:</w:t>
      </w:r>
    </w:p>
    <w:p w:rsidR="00101877" w:rsidRDefault="00101877" w:rsidP="008B6946">
      <w:pPr>
        <w:rPr>
          <w:sz w:val="24"/>
          <w:szCs w:val="24"/>
        </w:rPr>
      </w:pPr>
    </w:p>
    <w:p w:rsidR="00CA78D9" w:rsidRPr="00BB52B3" w:rsidRDefault="00F51D99" w:rsidP="008B6946">
      <w:pPr>
        <w:rPr>
          <w:b/>
          <w:sz w:val="24"/>
          <w:szCs w:val="24"/>
        </w:rPr>
      </w:pPr>
      <w:r>
        <w:rPr>
          <w:b/>
          <w:sz w:val="24"/>
          <w:szCs w:val="24"/>
        </w:rPr>
        <w:t xml:space="preserve">Febuxostat for chronic gout </w:t>
      </w:r>
    </w:p>
    <w:p w:rsidR="00060B95" w:rsidRPr="00AA5D66" w:rsidRDefault="00060B95" w:rsidP="00060B95">
      <w:pPr>
        <w:rPr>
          <w:sz w:val="24"/>
          <w:szCs w:val="24"/>
        </w:rPr>
      </w:pPr>
      <w:r w:rsidRPr="00AA5D66">
        <w:rPr>
          <w:sz w:val="24"/>
          <w:szCs w:val="24"/>
        </w:rPr>
        <w:t xml:space="preserve">DUSC compared the predicted and actual utilisation of </w:t>
      </w:r>
      <w:r>
        <w:rPr>
          <w:sz w:val="24"/>
          <w:szCs w:val="24"/>
        </w:rPr>
        <w:t>febuxostat</w:t>
      </w:r>
      <w:r w:rsidRPr="00AA5D66">
        <w:rPr>
          <w:sz w:val="24"/>
          <w:szCs w:val="24"/>
        </w:rPr>
        <w:t xml:space="preserve"> for </w:t>
      </w:r>
      <w:r>
        <w:rPr>
          <w:sz w:val="24"/>
          <w:szCs w:val="24"/>
        </w:rPr>
        <w:t>the treatment of chronic gout</w:t>
      </w:r>
      <w:r w:rsidRPr="00AA5D66">
        <w:rPr>
          <w:sz w:val="24"/>
          <w:szCs w:val="24"/>
        </w:rPr>
        <w:t xml:space="preserve"> in the first 24 months of PBS listing.</w:t>
      </w:r>
    </w:p>
    <w:p w:rsidR="00060B95" w:rsidRDefault="00060B95" w:rsidP="00833909">
      <w:pPr>
        <w:rPr>
          <w:sz w:val="24"/>
          <w:szCs w:val="24"/>
        </w:rPr>
      </w:pPr>
    </w:p>
    <w:p w:rsidR="00833909" w:rsidRPr="00833909" w:rsidRDefault="00F91611" w:rsidP="00833909">
      <w:pPr>
        <w:rPr>
          <w:i/>
          <w:sz w:val="24"/>
          <w:szCs w:val="24"/>
        </w:rPr>
      </w:pPr>
      <w:r w:rsidRPr="00F91611">
        <w:rPr>
          <w:sz w:val="24"/>
          <w:szCs w:val="24"/>
        </w:rPr>
        <w:t>The total number of patients supplied febuxostat</w:t>
      </w:r>
      <w:r>
        <w:rPr>
          <w:sz w:val="24"/>
          <w:szCs w:val="24"/>
        </w:rPr>
        <w:t xml:space="preserve"> for the treatment of chronic gout</w:t>
      </w:r>
      <w:r w:rsidRPr="00F91611">
        <w:rPr>
          <w:sz w:val="24"/>
          <w:szCs w:val="24"/>
        </w:rPr>
        <w:t xml:space="preserve"> was 2,421 in the first year and 4,881 in the second year of PBS listing</w:t>
      </w:r>
      <w:r>
        <w:rPr>
          <w:sz w:val="24"/>
          <w:szCs w:val="24"/>
        </w:rPr>
        <w:t xml:space="preserve">. </w:t>
      </w:r>
      <w:r w:rsidR="00833909" w:rsidRPr="00833909">
        <w:rPr>
          <w:sz w:val="24"/>
          <w:szCs w:val="24"/>
        </w:rPr>
        <w:t>Febuxostat use, in terms of prescriptions and patients, continued to increase</w:t>
      </w:r>
      <w:r w:rsidR="00833909">
        <w:rPr>
          <w:sz w:val="24"/>
          <w:szCs w:val="24"/>
        </w:rPr>
        <w:t xml:space="preserve"> since PBS listing</w:t>
      </w:r>
      <w:r w:rsidR="00833909" w:rsidRPr="00833909">
        <w:rPr>
          <w:sz w:val="24"/>
          <w:szCs w:val="24"/>
        </w:rPr>
        <w:t xml:space="preserve">. However, substantially fewer patients were supplied febuxostat than predicted. </w:t>
      </w:r>
      <w:r w:rsidR="00833909">
        <w:rPr>
          <w:sz w:val="24"/>
          <w:szCs w:val="24"/>
        </w:rPr>
        <w:t xml:space="preserve">There were also fewer prescriptions dispensed per person than expected. </w:t>
      </w:r>
      <w:r w:rsidR="00833909" w:rsidRPr="00833909">
        <w:rPr>
          <w:sz w:val="24"/>
          <w:szCs w:val="24"/>
        </w:rPr>
        <w:t xml:space="preserve">Although uptake from probenecid-treated patients was low, it was similar to predicted. Contrastingly, uptake in the </w:t>
      </w:r>
      <w:r w:rsidR="00833909" w:rsidRPr="00F91611">
        <w:rPr>
          <w:sz w:val="24"/>
          <w:szCs w:val="24"/>
        </w:rPr>
        <w:t xml:space="preserve">untreated population was much </w:t>
      </w:r>
      <w:r w:rsidR="00833909" w:rsidRPr="00F91611">
        <w:rPr>
          <w:sz w:val="24"/>
          <w:szCs w:val="24"/>
        </w:rPr>
        <w:lastRenderedPageBreak/>
        <w:t xml:space="preserve">lower than expected. </w:t>
      </w:r>
      <w:r w:rsidRPr="00F91611">
        <w:rPr>
          <w:sz w:val="24"/>
          <w:szCs w:val="24"/>
        </w:rPr>
        <w:t>Recent cardiovascular safety concerns</w:t>
      </w:r>
      <w:r w:rsidRPr="00F91611">
        <w:rPr>
          <w:rStyle w:val="FootnoteReference"/>
          <w:sz w:val="24"/>
          <w:szCs w:val="24"/>
          <w:vertAlign w:val="superscript"/>
        </w:rPr>
        <w:footnoteReference w:id="1"/>
      </w:r>
      <w:r w:rsidRPr="00F91611">
        <w:rPr>
          <w:sz w:val="24"/>
          <w:szCs w:val="24"/>
        </w:rPr>
        <w:t xml:space="preserve"> might limit the uptake of febuxostat.</w:t>
      </w:r>
    </w:p>
    <w:p w:rsidR="00833909" w:rsidRPr="00833909" w:rsidRDefault="00833909" w:rsidP="00833909">
      <w:pPr>
        <w:rPr>
          <w:i/>
          <w:sz w:val="24"/>
          <w:szCs w:val="24"/>
        </w:rPr>
      </w:pPr>
    </w:p>
    <w:p w:rsidR="00833909" w:rsidRPr="00F91611" w:rsidRDefault="00833909" w:rsidP="00833909">
      <w:pPr>
        <w:rPr>
          <w:sz w:val="24"/>
          <w:szCs w:val="24"/>
        </w:rPr>
      </w:pPr>
      <w:r w:rsidRPr="00F91611">
        <w:rPr>
          <w:sz w:val="24"/>
          <w:szCs w:val="24"/>
        </w:rPr>
        <w:t>DUSC recalled that the PBAC considered an application from the sponsor in July 2017</w:t>
      </w:r>
      <w:r w:rsidR="00F91611" w:rsidRPr="00F91611">
        <w:rPr>
          <w:rStyle w:val="FootnoteReference"/>
          <w:sz w:val="24"/>
          <w:szCs w:val="24"/>
          <w:vertAlign w:val="superscript"/>
        </w:rPr>
        <w:footnoteReference w:id="2"/>
      </w:r>
      <w:r w:rsidRPr="00F91611">
        <w:rPr>
          <w:sz w:val="24"/>
          <w:szCs w:val="24"/>
        </w:rPr>
        <w:t xml:space="preserve"> which requested the authority level be changed from Authority Required (telephone) to Authority Required (STREAMLINED). The PBAC rejected the request as the restriction appeared to be appropriately targeting therapy</w:t>
      </w:r>
      <w:r w:rsidR="00A8555D">
        <w:rPr>
          <w:sz w:val="24"/>
          <w:szCs w:val="24"/>
        </w:rPr>
        <w:t xml:space="preserve"> to the right people</w:t>
      </w:r>
      <w:r w:rsidRPr="00F91611">
        <w:rPr>
          <w:sz w:val="24"/>
          <w:szCs w:val="24"/>
        </w:rPr>
        <w:t xml:space="preserve">, and there remained a risk </w:t>
      </w:r>
      <w:r w:rsidR="00A8555D">
        <w:rPr>
          <w:sz w:val="24"/>
          <w:szCs w:val="24"/>
        </w:rPr>
        <w:t xml:space="preserve">that people with allopurinol insufficiency would be prescribed febuxostat although there was a lack of evidence </w:t>
      </w:r>
      <w:r w:rsidRPr="00F91611">
        <w:rPr>
          <w:sz w:val="24"/>
          <w:szCs w:val="24"/>
        </w:rPr>
        <w:t>of efficacy and safety</w:t>
      </w:r>
      <w:r w:rsidR="00A8555D">
        <w:rPr>
          <w:sz w:val="24"/>
          <w:szCs w:val="24"/>
        </w:rPr>
        <w:t xml:space="preserve"> in these people</w:t>
      </w:r>
      <w:r w:rsidRPr="00F91611">
        <w:rPr>
          <w:sz w:val="24"/>
          <w:szCs w:val="24"/>
        </w:rPr>
        <w:t xml:space="preserve">. Considering the PBAC outcome, the utilisation data and the safety signals, DUSC considered it would be appropriate for the restriction to remain as Authority Required. </w:t>
      </w:r>
    </w:p>
    <w:p w:rsidR="0068031D" w:rsidRDefault="0068031D" w:rsidP="00F43C06">
      <w:pPr>
        <w:rPr>
          <w:sz w:val="24"/>
          <w:szCs w:val="24"/>
        </w:rPr>
      </w:pPr>
    </w:p>
    <w:p w:rsidR="00F43C06" w:rsidRPr="00846541" w:rsidRDefault="00F43C06" w:rsidP="00F43C06">
      <w:pPr>
        <w:contextualSpacing/>
        <w:rPr>
          <w:rFonts w:eastAsia="MS Mincho"/>
          <w:sz w:val="24"/>
          <w:szCs w:val="24"/>
        </w:rPr>
      </w:pPr>
      <w:r w:rsidRPr="00BB52B3">
        <w:rPr>
          <w:rFonts w:eastAsia="MS Mincho"/>
          <w:sz w:val="24"/>
          <w:szCs w:val="24"/>
        </w:rPr>
        <w:t>DUSC requested that the report be provided to the PBAC.</w:t>
      </w:r>
      <w:r>
        <w:rPr>
          <w:rFonts w:eastAsia="MS Mincho"/>
          <w:sz w:val="24"/>
          <w:szCs w:val="24"/>
        </w:rPr>
        <w:t xml:space="preserve"> </w:t>
      </w:r>
    </w:p>
    <w:p w:rsidR="00802343" w:rsidRDefault="00802343" w:rsidP="00692AAD">
      <w:pPr>
        <w:contextualSpacing/>
        <w:rPr>
          <w:rFonts w:eastAsia="MS Mincho"/>
          <w:sz w:val="24"/>
          <w:szCs w:val="24"/>
        </w:rPr>
      </w:pPr>
    </w:p>
    <w:p w:rsidR="00A86A36" w:rsidRPr="00BB52B3" w:rsidRDefault="00A86A36" w:rsidP="00A86A36">
      <w:pPr>
        <w:rPr>
          <w:b/>
          <w:sz w:val="24"/>
          <w:szCs w:val="24"/>
        </w:rPr>
      </w:pPr>
      <w:r>
        <w:rPr>
          <w:b/>
          <w:sz w:val="24"/>
          <w:szCs w:val="24"/>
        </w:rPr>
        <w:t>Medicines for the treatment of chronic hepatitis C</w:t>
      </w:r>
    </w:p>
    <w:p w:rsidR="00A86A36" w:rsidRDefault="00A86A36" w:rsidP="00A86A36">
      <w:pPr>
        <w:rPr>
          <w:sz w:val="24"/>
          <w:szCs w:val="24"/>
        </w:rPr>
      </w:pPr>
      <w:r>
        <w:rPr>
          <w:sz w:val="24"/>
          <w:szCs w:val="24"/>
        </w:rPr>
        <w:t>The utilisation of new generation direct acting antiviral (DAA)</w:t>
      </w:r>
      <w:r w:rsidRPr="00D50E3F">
        <w:rPr>
          <w:sz w:val="24"/>
          <w:szCs w:val="24"/>
        </w:rPr>
        <w:t xml:space="preserve"> medicines </w:t>
      </w:r>
      <w:r>
        <w:rPr>
          <w:sz w:val="24"/>
          <w:szCs w:val="24"/>
        </w:rPr>
        <w:t xml:space="preserve">for the treatment of chronic hepatitis C was greater than anticipated over the first two years of listing from 1 March 2016. By the end of </w:t>
      </w:r>
      <w:r w:rsidRPr="003A1DFD">
        <w:rPr>
          <w:sz w:val="24"/>
          <w:szCs w:val="24"/>
        </w:rPr>
        <w:t>April 2018, 58,941</w:t>
      </w:r>
      <w:r>
        <w:rPr>
          <w:sz w:val="24"/>
          <w:szCs w:val="24"/>
        </w:rPr>
        <w:t xml:space="preserve"> individual</w:t>
      </w:r>
      <w:r w:rsidRPr="003A1DFD">
        <w:rPr>
          <w:sz w:val="24"/>
          <w:szCs w:val="24"/>
        </w:rPr>
        <w:t xml:space="preserve"> patients </w:t>
      </w:r>
      <w:r>
        <w:rPr>
          <w:sz w:val="24"/>
          <w:szCs w:val="24"/>
        </w:rPr>
        <w:t>had been dispensed</w:t>
      </w:r>
      <w:r w:rsidRPr="003A1DFD">
        <w:rPr>
          <w:sz w:val="24"/>
          <w:szCs w:val="24"/>
        </w:rPr>
        <w:t xml:space="preserve"> a DAA medicine</w:t>
      </w:r>
      <w:r>
        <w:rPr>
          <w:sz w:val="24"/>
          <w:szCs w:val="24"/>
        </w:rPr>
        <w:t xml:space="preserve">. </w:t>
      </w:r>
      <w:r w:rsidR="00C45445">
        <w:rPr>
          <w:sz w:val="24"/>
          <w:szCs w:val="24"/>
        </w:rPr>
        <w:t>T</w:t>
      </w:r>
      <w:r w:rsidRPr="003A1DFD">
        <w:rPr>
          <w:sz w:val="24"/>
          <w:szCs w:val="24"/>
        </w:rPr>
        <w:t>he high initial uptake of DAA medicines was mainly</w:t>
      </w:r>
      <w:r>
        <w:rPr>
          <w:sz w:val="24"/>
          <w:szCs w:val="24"/>
        </w:rPr>
        <w:t xml:space="preserve"> due to uptake in patients who avoided</w:t>
      </w:r>
      <w:r w:rsidRPr="003A1DFD">
        <w:rPr>
          <w:sz w:val="24"/>
          <w:szCs w:val="24"/>
        </w:rPr>
        <w:t xml:space="preserve"> interferon</w:t>
      </w:r>
      <w:r w:rsidRPr="003A1DFD">
        <w:rPr>
          <w:sz w:val="24"/>
          <w:szCs w:val="24"/>
        </w:rPr>
        <w:noBreakHyphen/>
        <w:t xml:space="preserve">based treatment </w:t>
      </w:r>
      <w:r>
        <w:rPr>
          <w:sz w:val="24"/>
          <w:szCs w:val="24"/>
        </w:rPr>
        <w:t xml:space="preserve">in anticipation of the new DAAs, </w:t>
      </w:r>
      <w:r w:rsidRPr="003A1DFD">
        <w:rPr>
          <w:sz w:val="24"/>
          <w:szCs w:val="24"/>
        </w:rPr>
        <w:t>which</w:t>
      </w:r>
      <w:r>
        <w:rPr>
          <w:sz w:val="24"/>
          <w:szCs w:val="24"/>
        </w:rPr>
        <w:t xml:space="preserve"> are better at treating hepatitis C and have fewer side effects</w:t>
      </w:r>
      <w:r w:rsidRPr="003A1DFD">
        <w:rPr>
          <w:sz w:val="24"/>
          <w:szCs w:val="24"/>
        </w:rPr>
        <w:t>.</w:t>
      </w:r>
    </w:p>
    <w:p w:rsidR="00A86A36" w:rsidRDefault="00A86A36" w:rsidP="00A86A36">
      <w:pPr>
        <w:rPr>
          <w:sz w:val="24"/>
          <w:szCs w:val="24"/>
        </w:rPr>
      </w:pPr>
    </w:p>
    <w:p w:rsidR="00A86A36" w:rsidRDefault="00C45445" w:rsidP="00A86A36">
      <w:pPr>
        <w:rPr>
          <w:sz w:val="24"/>
          <w:szCs w:val="24"/>
        </w:rPr>
      </w:pPr>
      <w:r>
        <w:rPr>
          <w:sz w:val="24"/>
          <w:szCs w:val="24"/>
        </w:rPr>
        <w:t>T</w:t>
      </w:r>
      <w:r w:rsidR="00A86A36" w:rsidRPr="003A1DFD">
        <w:rPr>
          <w:sz w:val="24"/>
          <w:szCs w:val="24"/>
        </w:rPr>
        <w:t xml:space="preserve">he number of patients </w:t>
      </w:r>
      <w:r w:rsidR="00A86A36">
        <w:rPr>
          <w:sz w:val="24"/>
          <w:szCs w:val="24"/>
        </w:rPr>
        <w:t>starting</w:t>
      </w:r>
      <w:r w:rsidR="00A86A36" w:rsidRPr="003A1DFD">
        <w:rPr>
          <w:sz w:val="24"/>
          <w:szCs w:val="24"/>
        </w:rPr>
        <w:t xml:space="preserve"> DAA therapy had stabilised to around 1,200 patients per month compared with around 4,400 initiators per month at the time of listing. </w:t>
      </w:r>
      <w:r w:rsidR="00A86A36">
        <w:rPr>
          <w:sz w:val="24"/>
          <w:szCs w:val="24"/>
        </w:rPr>
        <w:t>T</w:t>
      </w:r>
      <w:r w:rsidR="00A86A36" w:rsidRPr="003A1DFD">
        <w:rPr>
          <w:sz w:val="24"/>
          <w:szCs w:val="24"/>
        </w:rPr>
        <w:t xml:space="preserve">he remaining untreated population </w:t>
      </w:r>
      <w:r w:rsidR="00A86A36">
        <w:rPr>
          <w:sz w:val="24"/>
          <w:szCs w:val="24"/>
        </w:rPr>
        <w:t>may include</w:t>
      </w:r>
      <w:r w:rsidR="00A86A36" w:rsidRPr="003A1DFD">
        <w:rPr>
          <w:sz w:val="24"/>
          <w:szCs w:val="24"/>
        </w:rPr>
        <w:t xml:space="preserve"> hard-to-reach groups, such as people who inject drugs.</w:t>
      </w:r>
    </w:p>
    <w:p w:rsidR="00A86A36" w:rsidRDefault="00A86A36" w:rsidP="00C45445">
      <w:pPr>
        <w:rPr>
          <w:sz w:val="24"/>
          <w:szCs w:val="24"/>
        </w:rPr>
      </w:pPr>
    </w:p>
    <w:p w:rsidR="00A86A36" w:rsidRPr="003A1DFD" w:rsidRDefault="00C45445" w:rsidP="00A86A36">
      <w:pPr>
        <w:rPr>
          <w:sz w:val="24"/>
          <w:szCs w:val="24"/>
        </w:rPr>
      </w:pPr>
      <w:r>
        <w:rPr>
          <w:sz w:val="24"/>
          <w:szCs w:val="24"/>
        </w:rPr>
        <w:t>O</w:t>
      </w:r>
      <w:r w:rsidR="00A86A36" w:rsidRPr="003A1DFD">
        <w:rPr>
          <w:sz w:val="24"/>
          <w:szCs w:val="24"/>
        </w:rPr>
        <w:t xml:space="preserve">ver the first two years of listing there was </w:t>
      </w:r>
      <w:r w:rsidR="00A86A36">
        <w:rPr>
          <w:sz w:val="24"/>
          <w:szCs w:val="24"/>
        </w:rPr>
        <w:t>more</w:t>
      </w:r>
      <w:r w:rsidR="00A86A36" w:rsidRPr="003A1DFD">
        <w:rPr>
          <w:sz w:val="24"/>
          <w:szCs w:val="24"/>
        </w:rPr>
        <w:t xml:space="preserve"> prescribing of DAA medicines by general practitioners </w:t>
      </w:r>
      <w:r w:rsidR="00F42F71">
        <w:rPr>
          <w:sz w:val="24"/>
          <w:szCs w:val="24"/>
        </w:rPr>
        <w:t xml:space="preserve">in the latter half </w:t>
      </w:r>
      <w:r w:rsidR="00A86A36" w:rsidRPr="003A1DFD">
        <w:rPr>
          <w:sz w:val="24"/>
          <w:szCs w:val="24"/>
        </w:rPr>
        <w:t xml:space="preserve">and less </w:t>
      </w:r>
      <w:r w:rsidR="00F42F71">
        <w:rPr>
          <w:sz w:val="24"/>
          <w:szCs w:val="24"/>
        </w:rPr>
        <w:t>prescribing by</w:t>
      </w:r>
      <w:r w:rsidR="00A86A36" w:rsidRPr="003A1DFD">
        <w:rPr>
          <w:sz w:val="24"/>
          <w:szCs w:val="24"/>
        </w:rPr>
        <w:t xml:space="preserve"> specialists. </w:t>
      </w:r>
      <w:r>
        <w:rPr>
          <w:sz w:val="24"/>
          <w:szCs w:val="24"/>
        </w:rPr>
        <w:t>This suggest</w:t>
      </w:r>
      <w:r w:rsidR="00B20125">
        <w:rPr>
          <w:sz w:val="24"/>
          <w:szCs w:val="24"/>
        </w:rPr>
        <w:t>ed</w:t>
      </w:r>
      <w:r w:rsidR="00A86A36" w:rsidRPr="003A1DFD">
        <w:rPr>
          <w:sz w:val="24"/>
          <w:szCs w:val="24"/>
        </w:rPr>
        <w:t xml:space="preserve"> that </w:t>
      </w:r>
      <w:r w:rsidR="00F42F71">
        <w:rPr>
          <w:sz w:val="24"/>
          <w:szCs w:val="24"/>
        </w:rPr>
        <w:t>m</w:t>
      </w:r>
      <w:r w:rsidR="00ED127B">
        <w:rPr>
          <w:sz w:val="24"/>
          <w:szCs w:val="24"/>
        </w:rPr>
        <w:t>o</w:t>
      </w:r>
      <w:r w:rsidR="00F42F71">
        <w:rPr>
          <w:sz w:val="24"/>
          <w:szCs w:val="24"/>
        </w:rPr>
        <w:t xml:space="preserve">re difficult to treat patients were treated early by specialists and </w:t>
      </w:r>
      <w:r w:rsidR="00A86A36" w:rsidRPr="003A1DFD">
        <w:rPr>
          <w:sz w:val="24"/>
          <w:szCs w:val="24"/>
        </w:rPr>
        <w:t>general practitioners ha</w:t>
      </w:r>
      <w:r w:rsidR="00865608">
        <w:rPr>
          <w:sz w:val="24"/>
          <w:szCs w:val="24"/>
        </w:rPr>
        <w:t>ve</w:t>
      </w:r>
      <w:r w:rsidR="00A86A36" w:rsidRPr="003A1DFD">
        <w:rPr>
          <w:sz w:val="24"/>
          <w:szCs w:val="24"/>
        </w:rPr>
        <w:t xml:space="preserve"> become more confident </w:t>
      </w:r>
      <w:r w:rsidR="00A86A36">
        <w:rPr>
          <w:sz w:val="24"/>
          <w:szCs w:val="24"/>
        </w:rPr>
        <w:t>prescribing</w:t>
      </w:r>
      <w:r w:rsidR="00A86A36" w:rsidRPr="003A1DFD">
        <w:rPr>
          <w:sz w:val="24"/>
          <w:szCs w:val="24"/>
        </w:rPr>
        <w:t xml:space="preserve"> DAA medic</w:t>
      </w:r>
      <w:bookmarkStart w:id="0" w:name="_GoBack"/>
      <w:bookmarkEnd w:id="0"/>
      <w:r w:rsidR="00A86A36" w:rsidRPr="003A1DFD">
        <w:rPr>
          <w:sz w:val="24"/>
          <w:szCs w:val="24"/>
        </w:rPr>
        <w:t xml:space="preserve">ines. </w:t>
      </w:r>
      <w:r w:rsidR="00865608">
        <w:rPr>
          <w:sz w:val="24"/>
          <w:szCs w:val="24"/>
        </w:rPr>
        <w:t>P</w:t>
      </w:r>
      <w:r w:rsidR="00A86A36" w:rsidRPr="003A1DFD">
        <w:rPr>
          <w:sz w:val="24"/>
          <w:szCs w:val="24"/>
        </w:rPr>
        <w:t xml:space="preserve">an-genotypic regimens </w:t>
      </w:r>
      <w:r w:rsidR="00865608">
        <w:rPr>
          <w:sz w:val="24"/>
          <w:szCs w:val="24"/>
        </w:rPr>
        <w:t>became</w:t>
      </w:r>
      <w:r>
        <w:rPr>
          <w:sz w:val="24"/>
          <w:szCs w:val="24"/>
        </w:rPr>
        <w:t xml:space="preserve"> </w:t>
      </w:r>
      <w:r w:rsidRPr="003A1DFD">
        <w:rPr>
          <w:sz w:val="24"/>
          <w:szCs w:val="24"/>
        </w:rPr>
        <w:t>the most commonly dispensed DAA regimens</w:t>
      </w:r>
      <w:r>
        <w:rPr>
          <w:sz w:val="24"/>
          <w:szCs w:val="24"/>
        </w:rPr>
        <w:t>, which has</w:t>
      </w:r>
      <w:r w:rsidR="00A86A36" w:rsidRPr="003A1DFD">
        <w:rPr>
          <w:sz w:val="24"/>
          <w:szCs w:val="24"/>
        </w:rPr>
        <w:t xml:space="preserve"> simplified prescribing</w:t>
      </w:r>
      <w:r>
        <w:rPr>
          <w:sz w:val="24"/>
          <w:szCs w:val="24"/>
        </w:rPr>
        <w:t>.</w:t>
      </w:r>
      <w:r w:rsidR="00A86A36" w:rsidRPr="003A1DFD">
        <w:rPr>
          <w:sz w:val="24"/>
          <w:szCs w:val="24"/>
        </w:rPr>
        <w:t xml:space="preserve"> </w:t>
      </w:r>
    </w:p>
    <w:p w:rsidR="00A86A36" w:rsidRDefault="00A86A36" w:rsidP="00A86A36">
      <w:pPr>
        <w:rPr>
          <w:sz w:val="24"/>
          <w:szCs w:val="24"/>
        </w:rPr>
      </w:pPr>
    </w:p>
    <w:p w:rsidR="00A86A36" w:rsidRPr="00846541" w:rsidRDefault="00A86A36" w:rsidP="00A86A36">
      <w:pPr>
        <w:contextualSpacing/>
        <w:rPr>
          <w:rFonts w:eastAsia="MS Mincho"/>
          <w:sz w:val="24"/>
          <w:szCs w:val="24"/>
        </w:rPr>
      </w:pPr>
      <w:r w:rsidRPr="00BB52B3">
        <w:rPr>
          <w:rFonts w:eastAsia="MS Mincho"/>
          <w:sz w:val="24"/>
          <w:szCs w:val="24"/>
        </w:rPr>
        <w:t>DUSC requested that the report be provided to the PBAC.</w:t>
      </w:r>
      <w:r>
        <w:rPr>
          <w:rFonts w:eastAsia="MS Mincho"/>
          <w:sz w:val="24"/>
          <w:szCs w:val="24"/>
        </w:rPr>
        <w:t xml:space="preserve"> </w:t>
      </w:r>
    </w:p>
    <w:p w:rsidR="00A86A36" w:rsidRPr="002F3AE3" w:rsidRDefault="00A86A36" w:rsidP="00A86A36"/>
    <w:p w:rsidR="001A417C" w:rsidRPr="00D95C30" w:rsidRDefault="00F51D99" w:rsidP="00692AAD">
      <w:pPr>
        <w:contextualSpacing/>
        <w:rPr>
          <w:rFonts w:eastAsia="MS Mincho"/>
          <w:b/>
          <w:sz w:val="24"/>
          <w:szCs w:val="24"/>
        </w:rPr>
      </w:pPr>
      <w:r>
        <w:rPr>
          <w:rFonts w:eastAsia="MS Mincho"/>
          <w:b/>
          <w:sz w:val="24"/>
          <w:szCs w:val="24"/>
        </w:rPr>
        <w:t>Ruxolitinib for myelofibrosis</w:t>
      </w:r>
    </w:p>
    <w:p w:rsidR="00AA5D66" w:rsidRPr="00AA5D66" w:rsidRDefault="00AA5D66" w:rsidP="00AA5D66">
      <w:pPr>
        <w:rPr>
          <w:sz w:val="24"/>
          <w:szCs w:val="24"/>
        </w:rPr>
      </w:pPr>
      <w:r w:rsidRPr="00AA5D66">
        <w:rPr>
          <w:sz w:val="24"/>
          <w:szCs w:val="24"/>
        </w:rPr>
        <w:t>DUSC compared the predicted and actual utilisation of ruxolitinib for myelofibrosis in the first 24 months of PBS listing.</w:t>
      </w:r>
    </w:p>
    <w:p w:rsidR="00AA5D66" w:rsidRPr="00AA5D66" w:rsidRDefault="00AA5D66" w:rsidP="00AA5D66">
      <w:pPr>
        <w:rPr>
          <w:sz w:val="24"/>
          <w:szCs w:val="24"/>
        </w:rPr>
      </w:pPr>
    </w:p>
    <w:p w:rsidR="00AA5D66" w:rsidRDefault="00AA5D66" w:rsidP="00AA5D66">
      <w:pPr>
        <w:rPr>
          <w:sz w:val="24"/>
          <w:szCs w:val="24"/>
        </w:rPr>
      </w:pPr>
      <w:r w:rsidRPr="00AA5D66">
        <w:rPr>
          <w:sz w:val="24"/>
          <w:szCs w:val="24"/>
        </w:rPr>
        <w:t>In the first and second years of PBS listing, 861 and 1,082 patients received treatment with ruxolitinib, respectively. This was</w:t>
      </w:r>
      <w:r w:rsidR="00D92CE5">
        <w:rPr>
          <w:sz w:val="24"/>
          <w:szCs w:val="24"/>
        </w:rPr>
        <w:t xml:space="preserve"> </w:t>
      </w:r>
      <w:r w:rsidRPr="00AA5D66">
        <w:rPr>
          <w:sz w:val="24"/>
          <w:szCs w:val="24"/>
        </w:rPr>
        <w:t xml:space="preserve">more patients than predicted in both years. </w:t>
      </w:r>
      <w:r w:rsidR="00D92CE5">
        <w:rPr>
          <w:sz w:val="24"/>
          <w:szCs w:val="24"/>
        </w:rPr>
        <w:t>M</w:t>
      </w:r>
      <w:r w:rsidRPr="00AA5D66">
        <w:rPr>
          <w:sz w:val="24"/>
          <w:szCs w:val="24"/>
        </w:rPr>
        <w:t xml:space="preserve">yelofibrosis </w:t>
      </w:r>
      <w:r w:rsidR="00741108">
        <w:rPr>
          <w:sz w:val="24"/>
          <w:szCs w:val="24"/>
        </w:rPr>
        <w:t xml:space="preserve">can be caused by </w:t>
      </w:r>
      <w:r w:rsidRPr="00AA5D66">
        <w:rPr>
          <w:sz w:val="24"/>
          <w:szCs w:val="24"/>
        </w:rPr>
        <w:t xml:space="preserve">a range of </w:t>
      </w:r>
      <w:r w:rsidR="00D92CE5">
        <w:rPr>
          <w:sz w:val="24"/>
          <w:szCs w:val="24"/>
        </w:rPr>
        <w:t xml:space="preserve">medical </w:t>
      </w:r>
      <w:r w:rsidRPr="00AA5D66">
        <w:rPr>
          <w:sz w:val="24"/>
          <w:szCs w:val="24"/>
        </w:rPr>
        <w:t xml:space="preserve">conditions. This made it difficult to </w:t>
      </w:r>
      <w:r w:rsidR="002D1F79">
        <w:rPr>
          <w:sz w:val="24"/>
          <w:szCs w:val="24"/>
        </w:rPr>
        <w:t xml:space="preserve">accurately </w:t>
      </w:r>
      <w:r w:rsidRPr="00AA5D66">
        <w:rPr>
          <w:sz w:val="24"/>
          <w:szCs w:val="24"/>
        </w:rPr>
        <w:t xml:space="preserve">predict the number of patients </w:t>
      </w:r>
      <w:r w:rsidR="002D1F79">
        <w:rPr>
          <w:sz w:val="24"/>
          <w:szCs w:val="24"/>
        </w:rPr>
        <w:t>who would be treated with ruxolitinib</w:t>
      </w:r>
      <w:r w:rsidRPr="00AA5D66">
        <w:rPr>
          <w:sz w:val="24"/>
          <w:szCs w:val="24"/>
        </w:rPr>
        <w:t>.</w:t>
      </w:r>
      <w:r>
        <w:rPr>
          <w:sz w:val="24"/>
          <w:szCs w:val="24"/>
        </w:rPr>
        <w:t xml:space="preserve"> </w:t>
      </w:r>
      <w:r w:rsidRPr="00AA5D66">
        <w:rPr>
          <w:sz w:val="24"/>
          <w:szCs w:val="24"/>
        </w:rPr>
        <w:t>Despite more patients receiving treatment</w:t>
      </w:r>
      <w:r w:rsidR="00D92CE5">
        <w:rPr>
          <w:sz w:val="24"/>
          <w:szCs w:val="24"/>
        </w:rPr>
        <w:t xml:space="preserve"> than anticipated</w:t>
      </w:r>
      <w:r w:rsidRPr="00AA5D66">
        <w:rPr>
          <w:sz w:val="24"/>
          <w:szCs w:val="24"/>
        </w:rPr>
        <w:t xml:space="preserve">, there were fewer prescriptions dispensed than expected. </w:t>
      </w:r>
      <w:r w:rsidR="00CE507E">
        <w:rPr>
          <w:sz w:val="24"/>
          <w:szCs w:val="24"/>
        </w:rPr>
        <w:t>The reason for this cannot be determined from the data, but</w:t>
      </w:r>
      <w:r w:rsidRPr="00AA5D66">
        <w:rPr>
          <w:sz w:val="24"/>
          <w:szCs w:val="24"/>
        </w:rPr>
        <w:t xml:space="preserve"> may </w:t>
      </w:r>
      <w:r w:rsidR="002D1F79">
        <w:rPr>
          <w:sz w:val="24"/>
          <w:szCs w:val="24"/>
        </w:rPr>
        <w:t>have been</w:t>
      </w:r>
      <w:r w:rsidRPr="00AA5D66">
        <w:rPr>
          <w:sz w:val="24"/>
          <w:szCs w:val="24"/>
        </w:rPr>
        <w:t xml:space="preserve"> due to </w:t>
      </w:r>
      <w:r w:rsidR="001A5FA2">
        <w:rPr>
          <w:sz w:val="24"/>
          <w:szCs w:val="24"/>
        </w:rPr>
        <w:t xml:space="preserve">patients </w:t>
      </w:r>
      <w:r w:rsidR="00FE022A">
        <w:rPr>
          <w:sz w:val="24"/>
          <w:szCs w:val="24"/>
        </w:rPr>
        <w:t>being less compliant to</w:t>
      </w:r>
      <w:r w:rsidR="001A5FA2">
        <w:rPr>
          <w:sz w:val="24"/>
          <w:szCs w:val="24"/>
        </w:rPr>
        <w:t xml:space="preserve"> treatment with </w:t>
      </w:r>
      <w:r w:rsidR="00D92CE5">
        <w:rPr>
          <w:sz w:val="24"/>
          <w:szCs w:val="24"/>
        </w:rPr>
        <w:t xml:space="preserve">ruxolitinib </w:t>
      </w:r>
      <w:r w:rsidR="001A5FA2">
        <w:rPr>
          <w:sz w:val="24"/>
          <w:szCs w:val="24"/>
        </w:rPr>
        <w:t xml:space="preserve">in clinical practice </w:t>
      </w:r>
      <w:r w:rsidR="00EC48D1">
        <w:rPr>
          <w:sz w:val="24"/>
          <w:szCs w:val="24"/>
        </w:rPr>
        <w:t xml:space="preserve">when </w:t>
      </w:r>
      <w:r w:rsidR="001A5FA2">
        <w:rPr>
          <w:sz w:val="24"/>
          <w:szCs w:val="24"/>
        </w:rPr>
        <w:t xml:space="preserve">compared to the </w:t>
      </w:r>
      <w:r w:rsidR="00EC48D1">
        <w:rPr>
          <w:sz w:val="24"/>
          <w:szCs w:val="24"/>
        </w:rPr>
        <w:lastRenderedPageBreak/>
        <w:t>compliance to treatment</w:t>
      </w:r>
      <w:r w:rsidR="001A5FA2">
        <w:rPr>
          <w:sz w:val="24"/>
          <w:szCs w:val="24"/>
        </w:rPr>
        <w:t xml:space="preserve"> observed in clinical trials</w:t>
      </w:r>
      <w:r w:rsidR="00CE507E">
        <w:rPr>
          <w:sz w:val="24"/>
          <w:szCs w:val="24"/>
        </w:rPr>
        <w:t>, or stopping for other reasons, such as adverse drug reactions</w:t>
      </w:r>
      <w:r w:rsidR="001A5FA2">
        <w:rPr>
          <w:sz w:val="24"/>
          <w:szCs w:val="24"/>
        </w:rPr>
        <w:t xml:space="preserve">. </w:t>
      </w:r>
    </w:p>
    <w:p w:rsidR="00AA5D66" w:rsidRPr="00AA5D66" w:rsidRDefault="00AA5D66" w:rsidP="00AA5D66">
      <w:pPr>
        <w:rPr>
          <w:sz w:val="24"/>
          <w:szCs w:val="24"/>
        </w:rPr>
      </w:pPr>
    </w:p>
    <w:p w:rsidR="00CC4E06" w:rsidRPr="00CC4E06" w:rsidRDefault="00AA5D66" w:rsidP="00AA5D66">
      <w:pPr>
        <w:rPr>
          <w:sz w:val="24"/>
          <w:szCs w:val="24"/>
        </w:rPr>
      </w:pPr>
      <w:r w:rsidRPr="00AA5D66">
        <w:rPr>
          <w:sz w:val="24"/>
          <w:szCs w:val="24"/>
        </w:rPr>
        <w:t>The average dose used in practice was similar to that predicted from clinical trial</w:t>
      </w:r>
      <w:r w:rsidR="00373C2E">
        <w:rPr>
          <w:sz w:val="24"/>
          <w:szCs w:val="24"/>
        </w:rPr>
        <w:t>s</w:t>
      </w:r>
      <w:r w:rsidRPr="00AA5D66">
        <w:rPr>
          <w:sz w:val="24"/>
          <w:szCs w:val="24"/>
        </w:rPr>
        <w:t>.</w:t>
      </w:r>
      <w:r>
        <w:rPr>
          <w:sz w:val="24"/>
          <w:szCs w:val="24"/>
        </w:rPr>
        <w:t xml:space="preserve"> </w:t>
      </w:r>
      <w:r w:rsidRPr="00AA5D66">
        <w:rPr>
          <w:sz w:val="24"/>
          <w:szCs w:val="24"/>
        </w:rPr>
        <w:t xml:space="preserve">Insufficient data </w:t>
      </w:r>
      <w:r w:rsidR="002D1F79">
        <w:rPr>
          <w:sz w:val="24"/>
          <w:szCs w:val="24"/>
        </w:rPr>
        <w:t>we</w:t>
      </w:r>
      <w:r w:rsidRPr="00AA5D66">
        <w:rPr>
          <w:sz w:val="24"/>
          <w:szCs w:val="24"/>
        </w:rPr>
        <w:t xml:space="preserve">re available at </w:t>
      </w:r>
      <w:r w:rsidR="002D1F79">
        <w:rPr>
          <w:sz w:val="24"/>
          <w:szCs w:val="24"/>
        </w:rPr>
        <w:t>the time of reporting</w:t>
      </w:r>
      <w:r w:rsidRPr="00AA5D66">
        <w:rPr>
          <w:sz w:val="24"/>
          <w:szCs w:val="24"/>
        </w:rPr>
        <w:t xml:space="preserve"> to establish the median time on therapy.</w:t>
      </w:r>
    </w:p>
    <w:p w:rsidR="00CC4E06" w:rsidRPr="00CC4E06" w:rsidRDefault="00CC4E06" w:rsidP="00CC4E06">
      <w:pPr>
        <w:rPr>
          <w:sz w:val="24"/>
          <w:szCs w:val="24"/>
        </w:rPr>
      </w:pPr>
    </w:p>
    <w:p w:rsidR="00CC4E06" w:rsidRPr="00CC4E06" w:rsidRDefault="00CC4E06" w:rsidP="00CC4E06">
      <w:pPr>
        <w:rPr>
          <w:sz w:val="24"/>
          <w:szCs w:val="24"/>
        </w:rPr>
      </w:pPr>
      <w:r w:rsidRPr="00CC4E06">
        <w:rPr>
          <w:sz w:val="24"/>
          <w:szCs w:val="24"/>
        </w:rPr>
        <w:t>DUSC requested the report be provided to the PBAC.</w:t>
      </w:r>
    </w:p>
    <w:p w:rsidR="00D95C30" w:rsidRPr="00C45445" w:rsidRDefault="00D95C30" w:rsidP="00692AAD">
      <w:pPr>
        <w:contextualSpacing/>
        <w:rPr>
          <w:rFonts w:eastAsia="MS Mincho"/>
          <w:b/>
          <w:sz w:val="24"/>
          <w:szCs w:val="24"/>
        </w:rPr>
      </w:pPr>
    </w:p>
    <w:p w:rsidR="00D95C30" w:rsidRDefault="00F51D99" w:rsidP="00D95C30">
      <w:pPr>
        <w:contextualSpacing/>
        <w:rPr>
          <w:b/>
          <w:sz w:val="24"/>
          <w:szCs w:val="24"/>
        </w:rPr>
      </w:pPr>
      <w:r>
        <w:rPr>
          <w:b/>
          <w:sz w:val="24"/>
          <w:szCs w:val="24"/>
        </w:rPr>
        <w:t xml:space="preserve">Bevacizumab for ovarian and primary peritoneal cancer </w:t>
      </w:r>
    </w:p>
    <w:p w:rsidR="00AB154D" w:rsidRPr="00AB154D" w:rsidRDefault="00AB154D" w:rsidP="00AB154D">
      <w:pPr>
        <w:tabs>
          <w:tab w:val="left" w:pos="993"/>
        </w:tabs>
        <w:autoSpaceDE w:val="0"/>
        <w:autoSpaceDN w:val="0"/>
        <w:adjustRightInd w:val="0"/>
        <w:rPr>
          <w:rFonts w:asciiTheme="minorHAnsi" w:hAnsiTheme="minorHAnsi" w:cstheme="minorHAnsi"/>
          <w:sz w:val="24"/>
          <w:szCs w:val="24"/>
        </w:rPr>
      </w:pPr>
      <w:r w:rsidRPr="00AB154D">
        <w:rPr>
          <w:rFonts w:asciiTheme="minorHAnsi" w:hAnsiTheme="minorHAnsi" w:cstheme="minorHAnsi"/>
          <w:bCs/>
          <w:sz w:val="24"/>
          <w:szCs w:val="24"/>
        </w:rPr>
        <w:t xml:space="preserve">DUSC reviewed the use of </w:t>
      </w:r>
      <w:r w:rsidRPr="00AB154D">
        <w:rPr>
          <w:rFonts w:asciiTheme="minorHAnsi" w:hAnsiTheme="minorHAnsi" w:cstheme="minorHAnsi"/>
          <w:sz w:val="24"/>
          <w:szCs w:val="24"/>
        </w:rPr>
        <w:t xml:space="preserve">bevacizumab which was listed on the PBS for Stage IIIB, IIIC or IV epithelial ovarian, fallopian tube, or primary peritoneal cancer. </w:t>
      </w:r>
    </w:p>
    <w:p w:rsidR="00AB154D" w:rsidRPr="00AB154D" w:rsidRDefault="00AB154D" w:rsidP="00AB154D">
      <w:pPr>
        <w:tabs>
          <w:tab w:val="left" w:pos="993"/>
        </w:tabs>
        <w:autoSpaceDE w:val="0"/>
        <w:autoSpaceDN w:val="0"/>
        <w:adjustRightInd w:val="0"/>
        <w:rPr>
          <w:rFonts w:asciiTheme="minorHAnsi" w:hAnsiTheme="minorHAnsi" w:cstheme="minorHAnsi"/>
          <w:sz w:val="24"/>
          <w:szCs w:val="24"/>
        </w:rPr>
      </w:pPr>
    </w:p>
    <w:p w:rsidR="00AB154D" w:rsidRPr="00AB154D" w:rsidRDefault="00AB154D" w:rsidP="00AB154D">
      <w:pPr>
        <w:tabs>
          <w:tab w:val="left" w:pos="993"/>
        </w:tabs>
        <w:autoSpaceDE w:val="0"/>
        <w:autoSpaceDN w:val="0"/>
        <w:adjustRightInd w:val="0"/>
        <w:rPr>
          <w:rFonts w:asciiTheme="minorHAnsi" w:hAnsiTheme="minorHAnsi" w:cstheme="minorHAnsi"/>
          <w:bCs/>
          <w:sz w:val="24"/>
          <w:szCs w:val="24"/>
        </w:rPr>
      </w:pPr>
      <w:r w:rsidRPr="00AB154D">
        <w:rPr>
          <w:rFonts w:asciiTheme="minorHAnsi" w:hAnsiTheme="minorHAnsi" w:cstheme="minorHAnsi"/>
          <w:bCs/>
          <w:sz w:val="24"/>
          <w:szCs w:val="24"/>
        </w:rPr>
        <w:t xml:space="preserve">Since listing on 1 August 2014, 17,550 prescriptions of bevacizumab </w:t>
      </w:r>
      <w:r w:rsidR="00865608">
        <w:rPr>
          <w:rFonts w:asciiTheme="minorHAnsi" w:hAnsiTheme="minorHAnsi" w:cstheme="minorHAnsi"/>
          <w:bCs/>
          <w:sz w:val="24"/>
          <w:szCs w:val="24"/>
        </w:rPr>
        <w:t>were</w:t>
      </w:r>
      <w:r w:rsidRPr="00AB154D">
        <w:rPr>
          <w:rFonts w:asciiTheme="minorHAnsi" w:hAnsiTheme="minorHAnsi" w:cstheme="minorHAnsi"/>
          <w:bCs/>
          <w:sz w:val="24"/>
          <w:szCs w:val="24"/>
        </w:rPr>
        <w:t xml:space="preserve"> supplied to 1,765 patients under the PBS item codes for epithelial ovarian, fallopian tube, or primary peritoneal cancer. The number of patients starting on bevacizumab each month </w:t>
      </w:r>
      <w:r w:rsidR="0076008F">
        <w:rPr>
          <w:rFonts w:asciiTheme="minorHAnsi" w:hAnsiTheme="minorHAnsi" w:cstheme="minorHAnsi"/>
          <w:bCs/>
          <w:sz w:val="24"/>
          <w:szCs w:val="24"/>
        </w:rPr>
        <w:t>wa</w:t>
      </w:r>
      <w:r w:rsidRPr="00AB154D">
        <w:rPr>
          <w:rFonts w:asciiTheme="minorHAnsi" w:hAnsiTheme="minorHAnsi" w:cstheme="minorHAnsi"/>
          <w:bCs/>
          <w:sz w:val="24"/>
          <w:szCs w:val="24"/>
        </w:rPr>
        <w:t>s steady, and the number of treated patients and dispensed prescriptions has been relatively stable since the beginning of 2016.</w:t>
      </w:r>
    </w:p>
    <w:p w:rsidR="00AB154D" w:rsidRPr="00AB154D" w:rsidRDefault="00AB154D" w:rsidP="00AB154D">
      <w:pPr>
        <w:tabs>
          <w:tab w:val="left" w:pos="993"/>
        </w:tabs>
        <w:autoSpaceDE w:val="0"/>
        <w:autoSpaceDN w:val="0"/>
        <w:adjustRightInd w:val="0"/>
        <w:rPr>
          <w:rFonts w:asciiTheme="minorHAnsi" w:hAnsiTheme="minorHAnsi" w:cstheme="minorHAnsi"/>
          <w:bCs/>
          <w:sz w:val="24"/>
          <w:szCs w:val="24"/>
        </w:rPr>
      </w:pPr>
    </w:p>
    <w:p w:rsidR="00AB154D" w:rsidRPr="00AB154D" w:rsidRDefault="00AB154D" w:rsidP="00AB154D">
      <w:pPr>
        <w:tabs>
          <w:tab w:val="left" w:pos="993"/>
        </w:tabs>
        <w:autoSpaceDE w:val="0"/>
        <w:autoSpaceDN w:val="0"/>
        <w:adjustRightInd w:val="0"/>
        <w:rPr>
          <w:rFonts w:asciiTheme="minorHAnsi" w:hAnsiTheme="minorHAnsi" w:cstheme="minorHAnsi"/>
          <w:bCs/>
          <w:sz w:val="24"/>
          <w:szCs w:val="24"/>
        </w:rPr>
      </w:pPr>
      <w:r w:rsidRPr="00AB154D">
        <w:rPr>
          <w:rFonts w:asciiTheme="minorHAnsi" w:hAnsiTheme="minorHAnsi" w:cstheme="minorHAnsi"/>
          <w:bCs/>
          <w:sz w:val="24"/>
          <w:szCs w:val="24"/>
        </w:rPr>
        <w:t>The number of initiating patients was close to the number predicted</w:t>
      </w:r>
      <w:r w:rsidR="00865608">
        <w:rPr>
          <w:rFonts w:asciiTheme="minorHAnsi" w:hAnsiTheme="minorHAnsi" w:cstheme="minorHAnsi"/>
          <w:bCs/>
          <w:sz w:val="24"/>
          <w:szCs w:val="24"/>
        </w:rPr>
        <w:t>,</w:t>
      </w:r>
      <w:r w:rsidRPr="00AB154D">
        <w:rPr>
          <w:rFonts w:asciiTheme="minorHAnsi" w:hAnsiTheme="minorHAnsi" w:cstheme="minorHAnsi"/>
          <w:bCs/>
          <w:sz w:val="24"/>
          <w:szCs w:val="24"/>
        </w:rPr>
        <w:t xml:space="preserve"> suggesting that most eligible patients have been able to access bevacizumab. However, the number of prescriptions dispensed was lower than predicted. This </w:t>
      </w:r>
      <w:r w:rsidR="0076008F">
        <w:rPr>
          <w:rFonts w:asciiTheme="minorHAnsi" w:hAnsiTheme="minorHAnsi" w:cstheme="minorHAnsi"/>
          <w:bCs/>
          <w:sz w:val="24"/>
          <w:szCs w:val="24"/>
        </w:rPr>
        <w:t>wa</w:t>
      </w:r>
      <w:r w:rsidRPr="00AB154D">
        <w:rPr>
          <w:rFonts w:asciiTheme="minorHAnsi" w:hAnsiTheme="minorHAnsi" w:cstheme="minorHAnsi"/>
          <w:bCs/>
          <w:sz w:val="24"/>
          <w:szCs w:val="24"/>
        </w:rPr>
        <w:t>s likely because a large proportion of patients ha</w:t>
      </w:r>
      <w:r w:rsidR="0076008F">
        <w:rPr>
          <w:rFonts w:asciiTheme="minorHAnsi" w:hAnsiTheme="minorHAnsi" w:cstheme="minorHAnsi"/>
          <w:bCs/>
          <w:sz w:val="24"/>
          <w:szCs w:val="24"/>
        </w:rPr>
        <w:t>d</w:t>
      </w:r>
      <w:r w:rsidRPr="00AB154D">
        <w:rPr>
          <w:rFonts w:asciiTheme="minorHAnsi" w:hAnsiTheme="minorHAnsi" w:cstheme="minorHAnsi"/>
          <w:bCs/>
          <w:sz w:val="24"/>
          <w:szCs w:val="24"/>
        </w:rPr>
        <w:t xml:space="preserve"> not received the lifetime limit of 18 treatments. </w:t>
      </w:r>
    </w:p>
    <w:p w:rsidR="00225034" w:rsidRPr="00FF0D43" w:rsidRDefault="00225034" w:rsidP="00225034">
      <w:pPr>
        <w:pStyle w:val="NoSpacing"/>
        <w:rPr>
          <w:rFonts w:asciiTheme="minorHAnsi" w:hAnsiTheme="minorHAnsi"/>
        </w:rPr>
      </w:pPr>
    </w:p>
    <w:p w:rsidR="001E682A" w:rsidRPr="006F45C6" w:rsidRDefault="00225034" w:rsidP="00692AAD">
      <w:pPr>
        <w:rPr>
          <w:rFonts w:eastAsia="MS Mincho"/>
          <w:sz w:val="24"/>
          <w:szCs w:val="24"/>
        </w:rPr>
      </w:pPr>
      <w:r w:rsidRPr="00FF0D43">
        <w:rPr>
          <w:rFonts w:eastAsia="MS Mincho"/>
          <w:sz w:val="24"/>
          <w:szCs w:val="24"/>
        </w:rPr>
        <w:t xml:space="preserve">DUSC requested that the report be provided to the PBAC. </w:t>
      </w:r>
    </w:p>
    <w:p w:rsidR="003F0120" w:rsidRPr="003F0120" w:rsidRDefault="003F0120" w:rsidP="00FA5FD8">
      <w:pPr>
        <w:contextualSpacing/>
        <w:rPr>
          <w:rFonts w:eastAsia="MS Mincho"/>
          <w:sz w:val="24"/>
          <w:szCs w:val="24"/>
          <w:highlight w:val="yellow"/>
        </w:rPr>
      </w:pPr>
    </w:p>
    <w:p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rsidR="00D06634" w:rsidRPr="00144B72" w:rsidRDefault="002B7EE2" w:rsidP="008B6946">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ED127B">
        <w:rPr>
          <w:sz w:val="24"/>
          <w:szCs w:val="24"/>
        </w:rPr>
        <w:t xml:space="preserve"> has</w:t>
      </w:r>
      <w:r w:rsidR="00D55ED4" w:rsidRPr="00144B72">
        <w:rPr>
          <w:sz w:val="24"/>
          <w:szCs w:val="24"/>
        </w:rPr>
        <w:t xml:space="preserve"> been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rsidR="00513E5D" w:rsidRPr="0062222D" w:rsidRDefault="00513E5D" w:rsidP="008B6946">
      <w:pPr>
        <w:rPr>
          <w:sz w:val="24"/>
          <w:szCs w:val="24"/>
          <w:highlight w:val="yellow"/>
        </w:rPr>
      </w:pPr>
    </w:p>
    <w:p w:rsidR="00C3191A" w:rsidRPr="00AA7FC1" w:rsidRDefault="00C3191A" w:rsidP="00C3191A">
      <w:pPr>
        <w:pStyle w:val="ListParagraph"/>
        <w:autoSpaceDE w:val="0"/>
        <w:autoSpaceDN w:val="0"/>
        <w:adjustRightInd w:val="0"/>
        <w:ind w:left="0"/>
        <w:contextualSpacing/>
        <w:rPr>
          <w:b/>
          <w:szCs w:val="24"/>
        </w:rPr>
      </w:pPr>
      <w:r w:rsidRPr="00AA7FC1">
        <w:rPr>
          <w:b/>
          <w:szCs w:val="24"/>
        </w:rPr>
        <w:t>Predicted versus Actual Utilisation Analysis</w:t>
      </w:r>
    </w:p>
    <w:p w:rsidR="00FC46A4" w:rsidRPr="00225034" w:rsidRDefault="00C45445" w:rsidP="00C45445">
      <w:pPr>
        <w:pStyle w:val="ListParagraph"/>
        <w:numPr>
          <w:ilvl w:val="0"/>
          <w:numId w:val="6"/>
        </w:numPr>
        <w:contextualSpacing/>
      </w:pPr>
      <w:r>
        <w:t xml:space="preserve">Bendamustine </w:t>
      </w:r>
      <w:r w:rsidRPr="00C45445">
        <w:t>for Stage III or IV indolent CD20 positive non-Hodgkins lymphoma and Mantle cell lymphoma</w:t>
      </w:r>
    </w:p>
    <w:p w:rsidR="00C3191A" w:rsidRPr="00225034" w:rsidRDefault="00C3191A" w:rsidP="0099648E">
      <w:pPr>
        <w:pStyle w:val="ListParagraph"/>
        <w:autoSpaceDE w:val="0"/>
        <w:autoSpaceDN w:val="0"/>
        <w:adjustRightInd w:val="0"/>
        <w:ind w:left="0"/>
        <w:contextualSpacing/>
        <w:rPr>
          <w:b/>
          <w:szCs w:val="24"/>
        </w:rPr>
      </w:pPr>
    </w:p>
    <w:p w:rsidR="009D2858" w:rsidRPr="00144B72" w:rsidRDefault="009D2858" w:rsidP="009D2858">
      <w:pPr>
        <w:rPr>
          <w:sz w:val="24"/>
          <w:szCs w:val="24"/>
        </w:rPr>
      </w:pPr>
      <w:r w:rsidRPr="00144B72">
        <w:rPr>
          <w:sz w:val="24"/>
          <w:szCs w:val="24"/>
        </w:rPr>
        <w:t>An outcome statement will be available following each meeting of DUSC. For further information, please contact the DUSC Secretariat at DUSC@health.gov.au.</w:t>
      </w:r>
    </w:p>
    <w:p w:rsidR="00313B7D" w:rsidRPr="0062222D" w:rsidRDefault="00313B7D" w:rsidP="008B6946">
      <w:pPr>
        <w:rPr>
          <w:sz w:val="24"/>
          <w:szCs w:val="24"/>
          <w:highlight w:val="yellow"/>
        </w:rPr>
      </w:pPr>
    </w:p>
    <w:p w:rsidR="009B25AF" w:rsidRPr="0062222D" w:rsidRDefault="009B25AF" w:rsidP="008B6946">
      <w:pPr>
        <w:rPr>
          <w:sz w:val="24"/>
          <w:szCs w:val="24"/>
          <w:highlight w:val="yellow"/>
        </w:rPr>
      </w:pPr>
    </w:p>
    <w:p w:rsidR="00002AE8" w:rsidRPr="00144B72" w:rsidRDefault="00303E60" w:rsidP="008B6946">
      <w:pPr>
        <w:rPr>
          <w:sz w:val="24"/>
          <w:szCs w:val="24"/>
        </w:rPr>
      </w:pPr>
      <w:r w:rsidRPr="00144B72">
        <w:rPr>
          <w:sz w:val="24"/>
          <w:szCs w:val="24"/>
        </w:rPr>
        <w:t>A/</w:t>
      </w:r>
      <w:r w:rsidR="00002AE8" w:rsidRPr="00144B72">
        <w:rPr>
          <w:sz w:val="24"/>
          <w:szCs w:val="24"/>
        </w:rPr>
        <w:t xml:space="preserve">Professor </w:t>
      </w:r>
      <w:r w:rsidR="009341E3" w:rsidRPr="00144B72">
        <w:rPr>
          <w:sz w:val="24"/>
          <w:szCs w:val="24"/>
        </w:rPr>
        <w:t>Chris</w:t>
      </w:r>
      <w:r w:rsidRPr="00144B72">
        <w:rPr>
          <w:sz w:val="24"/>
          <w:szCs w:val="24"/>
        </w:rPr>
        <w:t>topher</w:t>
      </w:r>
      <w:r w:rsidR="009341E3" w:rsidRPr="00144B72">
        <w:rPr>
          <w:sz w:val="24"/>
          <w:szCs w:val="24"/>
        </w:rPr>
        <w:t xml:space="preserve"> Etherton-Beer</w:t>
      </w:r>
    </w:p>
    <w:p w:rsidR="00002AE8" w:rsidRPr="00144B72" w:rsidRDefault="00002AE8" w:rsidP="008B6946">
      <w:pPr>
        <w:rPr>
          <w:sz w:val="24"/>
          <w:szCs w:val="24"/>
        </w:rPr>
      </w:pPr>
      <w:r w:rsidRPr="00144B72">
        <w:rPr>
          <w:sz w:val="24"/>
          <w:szCs w:val="24"/>
        </w:rPr>
        <w:t>Chair</w:t>
      </w:r>
    </w:p>
    <w:p w:rsidR="00002AE8" w:rsidRPr="003F06C8" w:rsidRDefault="00C9017B" w:rsidP="008B6946">
      <w:pPr>
        <w:rPr>
          <w:sz w:val="24"/>
          <w:szCs w:val="24"/>
        </w:rPr>
      </w:pPr>
      <w:r w:rsidRPr="00144B72">
        <w:rPr>
          <w:sz w:val="24"/>
          <w:szCs w:val="24"/>
        </w:rPr>
        <w:t>Drug Utilisation Sub-Committee</w:t>
      </w:r>
    </w:p>
    <w:sectPr w:rsidR="00002AE8" w:rsidRPr="003F06C8" w:rsidSect="007166A9">
      <w:footerReference w:type="default" r:id="rId13"/>
      <w:headerReference w:type="first" r:id="rId14"/>
      <w:footerReference w:type="first" r:id="rId15"/>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D85" w:rsidRDefault="00CA6D85">
      <w:r>
        <w:separator/>
      </w:r>
    </w:p>
  </w:endnote>
  <w:endnote w:type="continuationSeparator" w:id="0">
    <w:p w:rsidR="00CA6D85" w:rsidRDefault="00CA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4B3DA4">
      <w:rPr>
        <w:noProof/>
      </w:rPr>
      <w:t>3</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4B3DA4">
      <w:rPr>
        <w:noProof/>
      </w:rPr>
      <w:t>1</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D85" w:rsidRDefault="00CA6D85">
      <w:r>
        <w:separator/>
      </w:r>
    </w:p>
  </w:footnote>
  <w:footnote w:type="continuationSeparator" w:id="0">
    <w:p w:rsidR="00CA6D85" w:rsidRDefault="00CA6D85">
      <w:r>
        <w:continuationSeparator/>
      </w:r>
    </w:p>
  </w:footnote>
  <w:footnote w:id="1">
    <w:p w:rsidR="00F91611" w:rsidRDefault="00F91611">
      <w:pPr>
        <w:pStyle w:val="FootnoteText"/>
      </w:pPr>
      <w:r w:rsidRPr="00F91611">
        <w:rPr>
          <w:rStyle w:val="FootnoteReference"/>
          <w:vertAlign w:val="superscript"/>
        </w:rPr>
        <w:footnoteRef/>
      </w:r>
      <w:r>
        <w:t xml:space="preserve"> White WB, Saag KG, Becker MA, Borer JS, Gorelick PB, Whelton A, et al. </w:t>
      </w:r>
      <w:r w:rsidRPr="00476BA0">
        <w:t>Cardiovascular Safety of Febuxostat or Allopurinol in Patients with Gout</w:t>
      </w:r>
      <w:r>
        <w:t xml:space="preserve">. </w:t>
      </w:r>
      <w:r w:rsidRPr="00476BA0">
        <w:t>N Engl J Med 2018; 378:</w:t>
      </w:r>
      <w:r>
        <w:t xml:space="preserve"> </w:t>
      </w:r>
      <w:r w:rsidRPr="00476BA0">
        <w:t>1200-1210</w:t>
      </w:r>
      <w:r>
        <w:t xml:space="preserve">. </w:t>
      </w:r>
      <w:r w:rsidRPr="00476BA0">
        <w:t>DOI: 10.1056/NEJMoa1710895</w:t>
      </w:r>
    </w:p>
  </w:footnote>
  <w:footnote w:id="2">
    <w:p w:rsidR="00F91611" w:rsidRDefault="00F91611">
      <w:pPr>
        <w:pStyle w:val="FootnoteText"/>
      </w:pPr>
      <w:r w:rsidRPr="00F91611">
        <w:rPr>
          <w:rStyle w:val="FootnoteReference"/>
          <w:vertAlign w:val="superscript"/>
        </w:rPr>
        <w:footnoteRef/>
      </w:r>
      <w:r>
        <w:t xml:space="preserve"> </w:t>
      </w:r>
      <w:hyperlink r:id="rId1" w:history="1">
        <w:r w:rsidRPr="00F91611">
          <w:rPr>
            <w:rStyle w:val="Hyperlink"/>
          </w:rPr>
          <w:t>July 2017 PBAC public summary document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D562AF">
    <w:pPr>
      <w:pStyle w:val="Header"/>
    </w:pPr>
    <w:r>
      <w:rPr>
        <w:noProof/>
      </w:rPr>
      <w:drawing>
        <wp:inline distT="0" distB="0" distL="0" distR="0" wp14:anchorId="40D878E1" wp14:editId="4BA220B3">
          <wp:extent cx="800100" cy="542925"/>
          <wp:effectExtent l="0" t="0" r="0" b="9525"/>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rsidR="00CA1AA9" w:rsidRPr="00CA347D" w:rsidRDefault="00CA1AA9" w:rsidP="00CA347D">
    <w:pPr>
      <w:pStyle w:val="Heading1"/>
      <w:rPr>
        <w:rStyle w:val="Heading1Char"/>
        <w:b/>
      </w:rPr>
    </w:pPr>
    <w:r w:rsidRPr="00CA347D">
      <w:rPr>
        <w:rStyle w:val="Heading1Char"/>
        <w:b/>
      </w:rPr>
      <w:t>Drug Utilisation Sub-Committee</w:t>
    </w:r>
  </w:p>
  <w:p w:rsidR="00CA1AA9" w:rsidRPr="00CA347D" w:rsidRDefault="00CA1AA9" w:rsidP="00CA347D">
    <w:pPr>
      <w:pStyle w:val="Heading1"/>
    </w:pPr>
    <w:r w:rsidRPr="00CA347D">
      <w:rPr>
        <w:rStyle w:val="Heading1Char"/>
        <w:b/>
      </w:rPr>
      <w:t xml:space="preserve">Outcome Statement </w:t>
    </w:r>
    <w:r w:rsidR="00E4556A">
      <w:rPr>
        <w:rStyle w:val="Heading1Char"/>
        <w:b/>
      </w:rPr>
      <w:t>27-28 September</w:t>
    </w:r>
    <w:r w:rsidR="001F7E8B">
      <w:rPr>
        <w:rStyle w:val="Heading1Char"/>
        <w:b/>
      </w:rPr>
      <w:t xml:space="preserve"> 201</w:t>
    </w:r>
    <w:r w:rsidR="00B92105">
      <w:rPr>
        <w:rStyle w:val="Heading1Char"/>
        <w:b/>
      </w:rPr>
      <w:t>8</w:t>
    </w:r>
  </w:p>
  <w:p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8"/>
  </w:num>
  <w:num w:numId="4">
    <w:abstractNumId w:val="1"/>
  </w:num>
  <w:num w:numId="5">
    <w:abstractNumId w:val="5"/>
  </w:num>
  <w:num w:numId="6">
    <w:abstractNumId w:val="2"/>
  </w:num>
  <w:num w:numId="7">
    <w:abstractNumId w:val="0"/>
  </w:num>
  <w:num w:numId="8">
    <w:abstractNumId w:val="7"/>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D8"/>
    <w:rsid w:val="0000190C"/>
    <w:rsid w:val="00002AE8"/>
    <w:rsid w:val="00006EF5"/>
    <w:rsid w:val="00007D7D"/>
    <w:rsid w:val="00010EA8"/>
    <w:rsid w:val="00011A32"/>
    <w:rsid w:val="000142CB"/>
    <w:rsid w:val="0001578A"/>
    <w:rsid w:val="00021898"/>
    <w:rsid w:val="00021AF3"/>
    <w:rsid w:val="000253E4"/>
    <w:rsid w:val="0002613B"/>
    <w:rsid w:val="00026898"/>
    <w:rsid w:val="000304CA"/>
    <w:rsid w:val="000308AD"/>
    <w:rsid w:val="00032252"/>
    <w:rsid w:val="0003541E"/>
    <w:rsid w:val="00037A0C"/>
    <w:rsid w:val="00040565"/>
    <w:rsid w:val="0004475E"/>
    <w:rsid w:val="00047105"/>
    <w:rsid w:val="0005073D"/>
    <w:rsid w:val="00054C1A"/>
    <w:rsid w:val="00055BF6"/>
    <w:rsid w:val="00060B95"/>
    <w:rsid w:val="00061505"/>
    <w:rsid w:val="0006189D"/>
    <w:rsid w:val="00061BD3"/>
    <w:rsid w:val="00070082"/>
    <w:rsid w:val="000701B8"/>
    <w:rsid w:val="00071505"/>
    <w:rsid w:val="00072921"/>
    <w:rsid w:val="0007382E"/>
    <w:rsid w:val="0007482C"/>
    <w:rsid w:val="00076E4C"/>
    <w:rsid w:val="00080B21"/>
    <w:rsid w:val="00080FDB"/>
    <w:rsid w:val="0009006A"/>
    <w:rsid w:val="00090474"/>
    <w:rsid w:val="00093ECA"/>
    <w:rsid w:val="00094597"/>
    <w:rsid w:val="00096B9B"/>
    <w:rsid w:val="0009747E"/>
    <w:rsid w:val="000A02F8"/>
    <w:rsid w:val="000A0713"/>
    <w:rsid w:val="000A13FE"/>
    <w:rsid w:val="000A31AD"/>
    <w:rsid w:val="000A53A6"/>
    <w:rsid w:val="000B14A0"/>
    <w:rsid w:val="000B5448"/>
    <w:rsid w:val="000C1D0B"/>
    <w:rsid w:val="000C58C8"/>
    <w:rsid w:val="000D6712"/>
    <w:rsid w:val="000E178A"/>
    <w:rsid w:val="000E18F9"/>
    <w:rsid w:val="000F3387"/>
    <w:rsid w:val="000F4968"/>
    <w:rsid w:val="000F5C42"/>
    <w:rsid w:val="000F70AE"/>
    <w:rsid w:val="000F73FB"/>
    <w:rsid w:val="000F7CE1"/>
    <w:rsid w:val="00101877"/>
    <w:rsid w:val="00102579"/>
    <w:rsid w:val="001062BB"/>
    <w:rsid w:val="00106A1B"/>
    <w:rsid w:val="001071DA"/>
    <w:rsid w:val="001145B4"/>
    <w:rsid w:val="001215D4"/>
    <w:rsid w:val="00121F43"/>
    <w:rsid w:val="001223D1"/>
    <w:rsid w:val="00123237"/>
    <w:rsid w:val="00137CE5"/>
    <w:rsid w:val="00141172"/>
    <w:rsid w:val="00142512"/>
    <w:rsid w:val="00144B72"/>
    <w:rsid w:val="00151940"/>
    <w:rsid w:val="00152272"/>
    <w:rsid w:val="001528A6"/>
    <w:rsid w:val="00153667"/>
    <w:rsid w:val="0015401F"/>
    <w:rsid w:val="00154D0A"/>
    <w:rsid w:val="00160EF6"/>
    <w:rsid w:val="00166CEB"/>
    <w:rsid w:val="00170E5B"/>
    <w:rsid w:val="00174AD8"/>
    <w:rsid w:val="00174F99"/>
    <w:rsid w:val="001779FD"/>
    <w:rsid w:val="00181817"/>
    <w:rsid w:val="0018567C"/>
    <w:rsid w:val="00186DD1"/>
    <w:rsid w:val="0018700E"/>
    <w:rsid w:val="001902AC"/>
    <w:rsid w:val="001933E2"/>
    <w:rsid w:val="0019724B"/>
    <w:rsid w:val="001A10FD"/>
    <w:rsid w:val="001A3F70"/>
    <w:rsid w:val="001A417C"/>
    <w:rsid w:val="001A449F"/>
    <w:rsid w:val="001A4CD7"/>
    <w:rsid w:val="001A5FA2"/>
    <w:rsid w:val="001A7B67"/>
    <w:rsid w:val="001B1949"/>
    <w:rsid w:val="001B19E3"/>
    <w:rsid w:val="001B2A10"/>
    <w:rsid w:val="001B75D9"/>
    <w:rsid w:val="001C0316"/>
    <w:rsid w:val="001C5A7B"/>
    <w:rsid w:val="001C61FD"/>
    <w:rsid w:val="001C7C04"/>
    <w:rsid w:val="001E4D54"/>
    <w:rsid w:val="001E682A"/>
    <w:rsid w:val="001F33DA"/>
    <w:rsid w:val="001F4200"/>
    <w:rsid w:val="001F6850"/>
    <w:rsid w:val="001F7E8B"/>
    <w:rsid w:val="001F7F87"/>
    <w:rsid w:val="00200BA3"/>
    <w:rsid w:val="00203342"/>
    <w:rsid w:val="00203986"/>
    <w:rsid w:val="00206C78"/>
    <w:rsid w:val="00211F6D"/>
    <w:rsid w:val="002123C7"/>
    <w:rsid w:val="00213EAC"/>
    <w:rsid w:val="002168C1"/>
    <w:rsid w:val="00216CE7"/>
    <w:rsid w:val="00220B3C"/>
    <w:rsid w:val="00224079"/>
    <w:rsid w:val="00224DF5"/>
    <w:rsid w:val="00225034"/>
    <w:rsid w:val="00230732"/>
    <w:rsid w:val="00235EF9"/>
    <w:rsid w:val="002362A1"/>
    <w:rsid w:val="00237631"/>
    <w:rsid w:val="00240FA6"/>
    <w:rsid w:val="002421EE"/>
    <w:rsid w:val="00242420"/>
    <w:rsid w:val="00247102"/>
    <w:rsid w:val="002522B2"/>
    <w:rsid w:val="0025366B"/>
    <w:rsid w:val="00255919"/>
    <w:rsid w:val="00261915"/>
    <w:rsid w:val="00261ED7"/>
    <w:rsid w:val="0026571A"/>
    <w:rsid w:val="0026645D"/>
    <w:rsid w:val="002720C8"/>
    <w:rsid w:val="002722F2"/>
    <w:rsid w:val="00275278"/>
    <w:rsid w:val="00280C05"/>
    <w:rsid w:val="00282C56"/>
    <w:rsid w:val="002862A8"/>
    <w:rsid w:val="002871FC"/>
    <w:rsid w:val="0028771A"/>
    <w:rsid w:val="00291D51"/>
    <w:rsid w:val="00292E10"/>
    <w:rsid w:val="00294F3F"/>
    <w:rsid w:val="0029548B"/>
    <w:rsid w:val="002A2278"/>
    <w:rsid w:val="002A2FEF"/>
    <w:rsid w:val="002A48D7"/>
    <w:rsid w:val="002A6291"/>
    <w:rsid w:val="002A6A51"/>
    <w:rsid w:val="002B0FD1"/>
    <w:rsid w:val="002B4E60"/>
    <w:rsid w:val="002B4FA1"/>
    <w:rsid w:val="002B519D"/>
    <w:rsid w:val="002B7EE2"/>
    <w:rsid w:val="002C1B64"/>
    <w:rsid w:val="002D1148"/>
    <w:rsid w:val="002D1F79"/>
    <w:rsid w:val="002D3C76"/>
    <w:rsid w:val="002D3FC7"/>
    <w:rsid w:val="002D50B7"/>
    <w:rsid w:val="002D516C"/>
    <w:rsid w:val="002D734E"/>
    <w:rsid w:val="002E6273"/>
    <w:rsid w:val="002E6F6A"/>
    <w:rsid w:val="002E7CA2"/>
    <w:rsid w:val="002E7E14"/>
    <w:rsid w:val="002F131D"/>
    <w:rsid w:val="002F281B"/>
    <w:rsid w:val="002F6C13"/>
    <w:rsid w:val="002F7138"/>
    <w:rsid w:val="003026E0"/>
    <w:rsid w:val="00303E60"/>
    <w:rsid w:val="00307F20"/>
    <w:rsid w:val="00312E8E"/>
    <w:rsid w:val="00313B7D"/>
    <w:rsid w:val="00313FED"/>
    <w:rsid w:val="0032170F"/>
    <w:rsid w:val="00324E38"/>
    <w:rsid w:val="00325C25"/>
    <w:rsid w:val="0032620A"/>
    <w:rsid w:val="0033439A"/>
    <w:rsid w:val="00334C67"/>
    <w:rsid w:val="00335BE5"/>
    <w:rsid w:val="003361C9"/>
    <w:rsid w:val="00336E3A"/>
    <w:rsid w:val="00337241"/>
    <w:rsid w:val="003409D6"/>
    <w:rsid w:val="003468B6"/>
    <w:rsid w:val="003512F6"/>
    <w:rsid w:val="0035237B"/>
    <w:rsid w:val="0035266E"/>
    <w:rsid w:val="00352D12"/>
    <w:rsid w:val="003555E8"/>
    <w:rsid w:val="00357332"/>
    <w:rsid w:val="0035787B"/>
    <w:rsid w:val="003620F9"/>
    <w:rsid w:val="00362581"/>
    <w:rsid w:val="00371376"/>
    <w:rsid w:val="0037338E"/>
    <w:rsid w:val="00373C2E"/>
    <w:rsid w:val="0037748E"/>
    <w:rsid w:val="00377CBD"/>
    <w:rsid w:val="003833F2"/>
    <w:rsid w:val="00385962"/>
    <w:rsid w:val="003860EB"/>
    <w:rsid w:val="00387684"/>
    <w:rsid w:val="003917EE"/>
    <w:rsid w:val="003923CC"/>
    <w:rsid w:val="00395B29"/>
    <w:rsid w:val="003A4887"/>
    <w:rsid w:val="003A6327"/>
    <w:rsid w:val="003B1842"/>
    <w:rsid w:val="003B30B8"/>
    <w:rsid w:val="003B644D"/>
    <w:rsid w:val="003B7122"/>
    <w:rsid w:val="003C0453"/>
    <w:rsid w:val="003C1363"/>
    <w:rsid w:val="003C3E03"/>
    <w:rsid w:val="003C5342"/>
    <w:rsid w:val="003C7822"/>
    <w:rsid w:val="003C7935"/>
    <w:rsid w:val="003D0574"/>
    <w:rsid w:val="003D6109"/>
    <w:rsid w:val="003D62AA"/>
    <w:rsid w:val="003D6C07"/>
    <w:rsid w:val="003E1ED8"/>
    <w:rsid w:val="003E601F"/>
    <w:rsid w:val="003E60A4"/>
    <w:rsid w:val="003F0120"/>
    <w:rsid w:val="003F021A"/>
    <w:rsid w:val="003F06C8"/>
    <w:rsid w:val="003F1DCA"/>
    <w:rsid w:val="00405743"/>
    <w:rsid w:val="00406FC4"/>
    <w:rsid w:val="00411CB6"/>
    <w:rsid w:val="004131AF"/>
    <w:rsid w:val="00415BE7"/>
    <w:rsid w:val="0042032E"/>
    <w:rsid w:val="00420E99"/>
    <w:rsid w:val="0042129E"/>
    <w:rsid w:val="00421874"/>
    <w:rsid w:val="00423C42"/>
    <w:rsid w:val="00435449"/>
    <w:rsid w:val="004374C3"/>
    <w:rsid w:val="0044076B"/>
    <w:rsid w:val="0044367B"/>
    <w:rsid w:val="00445679"/>
    <w:rsid w:val="00451ABF"/>
    <w:rsid w:val="004521E9"/>
    <w:rsid w:val="00455C86"/>
    <w:rsid w:val="004566A9"/>
    <w:rsid w:val="004600DF"/>
    <w:rsid w:val="00461EAF"/>
    <w:rsid w:val="00463497"/>
    <w:rsid w:val="00463B7E"/>
    <w:rsid w:val="00465EED"/>
    <w:rsid w:val="00466242"/>
    <w:rsid w:val="00471240"/>
    <w:rsid w:val="00471899"/>
    <w:rsid w:val="00473DA7"/>
    <w:rsid w:val="00473E7A"/>
    <w:rsid w:val="0047415B"/>
    <w:rsid w:val="00477500"/>
    <w:rsid w:val="00477A9F"/>
    <w:rsid w:val="00477B65"/>
    <w:rsid w:val="004839FE"/>
    <w:rsid w:val="00487B49"/>
    <w:rsid w:val="0049330F"/>
    <w:rsid w:val="0049403E"/>
    <w:rsid w:val="00496AC8"/>
    <w:rsid w:val="004A055D"/>
    <w:rsid w:val="004A41E8"/>
    <w:rsid w:val="004A4505"/>
    <w:rsid w:val="004A45ED"/>
    <w:rsid w:val="004B07E1"/>
    <w:rsid w:val="004B259A"/>
    <w:rsid w:val="004B37DD"/>
    <w:rsid w:val="004B3DA4"/>
    <w:rsid w:val="004B41AC"/>
    <w:rsid w:val="004B4E02"/>
    <w:rsid w:val="004C01CD"/>
    <w:rsid w:val="004C0C44"/>
    <w:rsid w:val="004C1966"/>
    <w:rsid w:val="004C3CFD"/>
    <w:rsid w:val="004C7FA9"/>
    <w:rsid w:val="004D0311"/>
    <w:rsid w:val="004D75BE"/>
    <w:rsid w:val="004E5A1F"/>
    <w:rsid w:val="004F049D"/>
    <w:rsid w:val="004F083B"/>
    <w:rsid w:val="004F17CC"/>
    <w:rsid w:val="004F201C"/>
    <w:rsid w:val="004F60E0"/>
    <w:rsid w:val="004F6113"/>
    <w:rsid w:val="004F6927"/>
    <w:rsid w:val="00503251"/>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50B68"/>
    <w:rsid w:val="00554F00"/>
    <w:rsid w:val="00554F6F"/>
    <w:rsid w:val="00556042"/>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C053B"/>
    <w:rsid w:val="005C148E"/>
    <w:rsid w:val="005D1BB0"/>
    <w:rsid w:val="005D4EB2"/>
    <w:rsid w:val="005D696D"/>
    <w:rsid w:val="005E116A"/>
    <w:rsid w:val="005E11DF"/>
    <w:rsid w:val="005E14B6"/>
    <w:rsid w:val="005E1E28"/>
    <w:rsid w:val="005E4D8D"/>
    <w:rsid w:val="005E6641"/>
    <w:rsid w:val="005E71D4"/>
    <w:rsid w:val="005E77F8"/>
    <w:rsid w:val="005E7DF8"/>
    <w:rsid w:val="005F20C5"/>
    <w:rsid w:val="005F20FE"/>
    <w:rsid w:val="005F3EF0"/>
    <w:rsid w:val="0060015D"/>
    <w:rsid w:val="00602B28"/>
    <w:rsid w:val="00602DC3"/>
    <w:rsid w:val="00603A1E"/>
    <w:rsid w:val="00605905"/>
    <w:rsid w:val="00605D9C"/>
    <w:rsid w:val="00606F6A"/>
    <w:rsid w:val="00610F72"/>
    <w:rsid w:val="006118CB"/>
    <w:rsid w:val="006146D0"/>
    <w:rsid w:val="0061504D"/>
    <w:rsid w:val="0062222D"/>
    <w:rsid w:val="00622522"/>
    <w:rsid w:val="006231FB"/>
    <w:rsid w:val="0062459E"/>
    <w:rsid w:val="00626FE7"/>
    <w:rsid w:val="006314E6"/>
    <w:rsid w:val="00635EA5"/>
    <w:rsid w:val="00640199"/>
    <w:rsid w:val="0064252F"/>
    <w:rsid w:val="006431B8"/>
    <w:rsid w:val="00645035"/>
    <w:rsid w:val="00647F2B"/>
    <w:rsid w:val="00651A8E"/>
    <w:rsid w:val="00667381"/>
    <w:rsid w:val="00670BD6"/>
    <w:rsid w:val="00670E22"/>
    <w:rsid w:val="006723D5"/>
    <w:rsid w:val="00676304"/>
    <w:rsid w:val="00677B98"/>
    <w:rsid w:val="0068031D"/>
    <w:rsid w:val="006826C3"/>
    <w:rsid w:val="00683F49"/>
    <w:rsid w:val="006878A3"/>
    <w:rsid w:val="00692AAD"/>
    <w:rsid w:val="00692B74"/>
    <w:rsid w:val="006946E1"/>
    <w:rsid w:val="00695073"/>
    <w:rsid w:val="00695BF3"/>
    <w:rsid w:val="006969FE"/>
    <w:rsid w:val="00697BC7"/>
    <w:rsid w:val="006A0AB6"/>
    <w:rsid w:val="006A71A2"/>
    <w:rsid w:val="006B1CD8"/>
    <w:rsid w:val="006B2AE4"/>
    <w:rsid w:val="006B33A6"/>
    <w:rsid w:val="006B3D40"/>
    <w:rsid w:val="006B5BFA"/>
    <w:rsid w:val="006C0EEE"/>
    <w:rsid w:val="006C1E62"/>
    <w:rsid w:val="006C29FD"/>
    <w:rsid w:val="006C48FE"/>
    <w:rsid w:val="006C4C24"/>
    <w:rsid w:val="006C588F"/>
    <w:rsid w:val="006D0C9A"/>
    <w:rsid w:val="006D29CA"/>
    <w:rsid w:val="006D69D9"/>
    <w:rsid w:val="006D6B4B"/>
    <w:rsid w:val="006D7038"/>
    <w:rsid w:val="006E08E0"/>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2F49"/>
    <w:rsid w:val="00703C4C"/>
    <w:rsid w:val="007048E7"/>
    <w:rsid w:val="00704FED"/>
    <w:rsid w:val="00706AF7"/>
    <w:rsid w:val="0071514B"/>
    <w:rsid w:val="0071558A"/>
    <w:rsid w:val="00715E10"/>
    <w:rsid w:val="007166A9"/>
    <w:rsid w:val="00722564"/>
    <w:rsid w:val="0072634E"/>
    <w:rsid w:val="007327B8"/>
    <w:rsid w:val="00735BBE"/>
    <w:rsid w:val="0073626D"/>
    <w:rsid w:val="007404D8"/>
    <w:rsid w:val="00741108"/>
    <w:rsid w:val="0074244E"/>
    <w:rsid w:val="0074399F"/>
    <w:rsid w:val="00746212"/>
    <w:rsid w:val="00747495"/>
    <w:rsid w:val="00753580"/>
    <w:rsid w:val="00753AE8"/>
    <w:rsid w:val="00753D42"/>
    <w:rsid w:val="00755BF3"/>
    <w:rsid w:val="0076008F"/>
    <w:rsid w:val="007605B0"/>
    <w:rsid w:val="00761116"/>
    <w:rsid w:val="00766D92"/>
    <w:rsid w:val="00766DBB"/>
    <w:rsid w:val="007830A6"/>
    <w:rsid w:val="00783E2D"/>
    <w:rsid w:val="0079098A"/>
    <w:rsid w:val="00792D24"/>
    <w:rsid w:val="007958F3"/>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B1F"/>
    <w:rsid w:val="007D29DA"/>
    <w:rsid w:val="007D3A05"/>
    <w:rsid w:val="007D4108"/>
    <w:rsid w:val="007D53F5"/>
    <w:rsid w:val="007D71F4"/>
    <w:rsid w:val="007E0FFA"/>
    <w:rsid w:val="007E3CDE"/>
    <w:rsid w:val="007E3E41"/>
    <w:rsid w:val="007E45EB"/>
    <w:rsid w:val="007E4699"/>
    <w:rsid w:val="007F03B3"/>
    <w:rsid w:val="007F224E"/>
    <w:rsid w:val="007F6799"/>
    <w:rsid w:val="00802343"/>
    <w:rsid w:val="00802954"/>
    <w:rsid w:val="008032CF"/>
    <w:rsid w:val="008032DE"/>
    <w:rsid w:val="00806FF3"/>
    <w:rsid w:val="00812097"/>
    <w:rsid w:val="00812A58"/>
    <w:rsid w:val="00812E43"/>
    <w:rsid w:val="00813C07"/>
    <w:rsid w:val="008226BA"/>
    <w:rsid w:val="008232E9"/>
    <w:rsid w:val="00824D2F"/>
    <w:rsid w:val="00825E26"/>
    <w:rsid w:val="00833148"/>
    <w:rsid w:val="00833909"/>
    <w:rsid w:val="00834AC0"/>
    <w:rsid w:val="008376F6"/>
    <w:rsid w:val="0084274F"/>
    <w:rsid w:val="00844137"/>
    <w:rsid w:val="008443DF"/>
    <w:rsid w:val="00846541"/>
    <w:rsid w:val="00851077"/>
    <w:rsid w:val="00855B59"/>
    <w:rsid w:val="00861B30"/>
    <w:rsid w:val="00865608"/>
    <w:rsid w:val="008671AC"/>
    <w:rsid w:val="008730E5"/>
    <w:rsid w:val="0087516C"/>
    <w:rsid w:val="00885679"/>
    <w:rsid w:val="00886FF7"/>
    <w:rsid w:val="00887242"/>
    <w:rsid w:val="008909B5"/>
    <w:rsid w:val="008933AA"/>
    <w:rsid w:val="00893956"/>
    <w:rsid w:val="008945B1"/>
    <w:rsid w:val="008952FA"/>
    <w:rsid w:val="00896489"/>
    <w:rsid w:val="008A17E6"/>
    <w:rsid w:val="008A271D"/>
    <w:rsid w:val="008A27C1"/>
    <w:rsid w:val="008A2B60"/>
    <w:rsid w:val="008A5C6B"/>
    <w:rsid w:val="008B25F5"/>
    <w:rsid w:val="008B44FC"/>
    <w:rsid w:val="008B6054"/>
    <w:rsid w:val="008B6946"/>
    <w:rsid w:val="008B6E94"/>
    <w:rsid w:val="008C0C0B"/>
    <w:rsid w:val="008C0C44"/>
    <w:rsid w:val="008C1C17"/>
    <w:rsid w:val="008C2829"/>
    <w:rsid w:val="008C28B4"/>
    <w:rsid w:val="008C7ED8"/>
    <w:rsid w:val="008D0DA2"/>
    <w:rsid w:val="008E0DFD"/>
    <w:rsid w:val="008E66D2"/>
    <w:rsid w:val="008E763F"/>
    <w:rsid w:val="008E7888"/>
    <w:rsid w:val="008E7C67"/>
    <w:rsid w:val="008F1340"/>
    <w:rsid w:val="008F4AB2"/>
    <w:rsid w:val="008F7F63"/>
    <w:rsid w:val="00910BE5"/>
    <w:rsid w:val="009112F4"/>
    <w:rsid w:val="00911959"/>
    <w:rsid w:val="009132FD"/>
    <w:rsid w:val="00913F15"/>
    <w:rsid w:val="00914B86"/>
    <w:rsid w:val="00915D6E"/>
    <w:rsid w:val="009168AA"/>
    <w:rsid w:val="009230A9"/>
    <w:rsid w:val="009237FF"/>
    <w:rsid w:val="00923CBA"/>
    <w:rsid w:val="00923DCB"/>
    <w:rsid w:val="009245B3"/>
    <w:rsid w:val="00926116"/>
    <w:rsid w:val="009261D7"/>
    <w:rsid w:val="009307DE"/>
    <w:rsid w:val="00933D66"/>
    <w:rsid w:val="009341E3"/>
    <w:rsid w:val="00940287"/>
    <w:rsid w:val="009427BA"/>
    <w:rsid w:val="00943ADF"/>
    <w:rsid w:val="0094562D"/>
    <w:rsid w:val="009562F1"/>
    <w:rsid w:val="00957BA4"/>
    <w:rsid w:val="00965552"/>
    <w:rsid w:val="0096600D"/>
    <w:rsid w:val="0096605A"/>
    <w:rsid w:val="009671FF"/>
    <w:rsid w:val="00975BCB"/>
    <w:rsid w:val="00982C4C"/>
    <w:rsid w:val="00990492"/>
    <w:rsid w:val="009950E1"/>
    <w:rsid w:val="0099648E"/>
    <w:rsid w:val="00997DB5"/>
    <w:rsid w:val="009A22C0"/>
    <w:rsid w:val="009B25AF"/>
    <w:rsid w:val="009B62DA"/>
    <w:rsid w:val="009C32BA"/>
    <w:rsid w:val="009C4D57"/>
    <w:rsid w:val="009C5C1E"/>
    <w:rsid w:val="009C5FCE"/>
    <w:rsid w:val="009C6EB1"/>
    <w:rsid w:val="009D1661"/>
    <w:rsid w:val="009D1C4B"/>
    <w:rsid w:val="009D2858"/>
    <w:rsid w:val="009D3B7F"/>
    <w:rsid w:val="009D4354"/>
    <w:rsid w:val="009D71B6"/>
    <w:rsid w:val="009E130A"/>
    <w:rsid w:val="009E13E7"/>
    <w:rsid w:val="009E18B1"/>
    <w:rsid w:val="009E23F2"/>
    <w:rsid w:val="009E2CA6"/>
    <w:rsid w:val="009E5D90"/>
    <w:rsid w:val="009E754B"/>
    <w:rsid w:val="009F1A70"/>
    <w:rsid w:val="009F37E6"/>
    <w:rsid w:val="009F44EE"/>
    <w:rsid w:val="009F5D71"/>
    <w:rsid w:val="009F7D69"/>
    <w:rsid w:val="00A02C13"/>
    <w:rsid w:val="00A06FDB"/>
    <w:rsid w:val="00A1378E"/>
    <w:rsid w:val="00A140B4"/>
    <w:rsid w:val="00A20CBD"/>
    <w:rsid w:val="00A23071"/>
    <w:rsid w:val="00A24070"/>
    <w:rsid w:val="00A27FE5"/>
    <w:rsid w:val="00A33086"/>
    <w:rsid w:val="00A340B2"/>
    <w:rsid w:val="00A372EE"/>
    <w:rsid w:val="00A42B7A"/>
    <w:rsid w:val="00A432AE"/>
    <w:rsid w:val="00A453E3"/>
    <w:rsid w:val="00A479B7"/>
    <w:rsid w:val="00A479D4"/>
    <w:rsid w:val="00A5019B"/>
    <w:rsid w:val="00A50646"/>
    <w:rsid w:val="00A50FB6"/>
    <w:rsid w:val="00A50FF8"/>
    <w:rsid w:val="00A52067"/>
    <w:rsid w:val="00A52E9A"/>
    <w:rsid w:val="00A5505E"/>
    <w:rsid w:val="00A62C85"/>
    <w:rsid w:val="00A64459"/>
    <w:rsid w:val="00A64E13"/>
    <w:rsid w:val="00A72971"/>
    <w:rsid w:val="00A72A5F"/>
    <w:rsid w:val="00A744EA"/>
    <w:rsid w:val="00A75CE9"/>
    <w:rsid w:val="00A8138B"/>
    <w:rsid w:val="00A85479"/>
    <w:rsid w:val="00A8555D"/>
    <w:rsid w:val="00A86A36"/>
    <w:rsid w:val="00A96763"/>
    <w:rsid w:val="00AA5D66"/>
    <w:rsid w:val="00AA7FC1"/>
    <w:rsid w:val="00AB154D"/>
    <w:rsid w:val="00AB2981"/>
    <w:rsid w:val="00AB4A37"/>
    <w:rsid w:val="00AB6DF6"/>
    <w:rsid w:val="00AC42CE"/>
    <w:rsid w:val="00AC6543"/>
    <w:rsid w:val="00AD405E"/>
    <w:rsid w:val="00AD61AC"/>
    <w:rsid w:val="00AE0098"/>
    <w:rsid w:val="00AE2C4F"/>
    <w:rsid w:val="00AE46E7"/>
    <w:rsid w:val="00AE47EB"/>
    <w:rsid w:val="00AE5D15"/>
    <w:rsid w:val="00AE7D19"/>
    <w:rsid w:val="00AF1FCD"/>
    <w:rsid w:val="00AF54A2"/>
    <w:rsid w:val="00AF646A"/>
    <w:rsid w:val="00B0144A"/>
    <w:rsid w:val="00B12248"/>
    <w:rsid w:val="00B12B2F"/>
    <w:rsid w:val="00B13246"/>
    <w:rsid w:val="00B171C5"/>
    <w:rsid w:val="00B17AE9"/>
    <w:rsid w:val="00B17B4F"/>
    <w:rsid w:val="00B20125"/>
    <w:rsid w:val="00B20269"/>
    <w:rsid w:val="00B20546"/>
    <w:rsid w:val="00B25209"/>
    <w:rsid w:val="00B26023"/>
    <w:rsid w:val="00B2765B"/>
    <w:rsid w:val="00B41D14"/>
    <w:rsid w:val="00B434A2"/>
    <w:rsid w:val="00B471D0"/>
    <w:rsid w:val="00B47E46"/>
    <w:rsid w:val="00B51A8A"/>
    <w:rsid w:val="00B529E3"/>
    <w:rsid w:val="00B53CE1"/>
    <w:rsid w:val="00B54AC5"/>
    <w:rsid w:val="00B54D25"/>
    <w:rsid w:val="00B561D0"/>
    <w:rsid w:val="00B613BB"/>
    <w:rsid w:val="00B66DA3"/>
    <w:rsid w:val="00B66FD7"/>
    <w:rsid w:val="00B73EC0"/>
    <w:rsid w:val="00B748A3"/>
    <w:rsid w:val="00B83E80"/>
    <w:rsid w:val="00B8425D"/>
    <w:rsid w:val="00B92105"/>
    <w:rsid w:val="00B93651"/>
    <w:rsid w:val="00B94D51"/>
    <w:rsid w:val="00B94E75"/>
    <w:rsid w:val="00BA0109"/>
    <w:rsid w:val="00BA193D"/>
    <w:rsid w:val="00BA1DAB"/>
    <w:rsid w:val="00BA3D51"/>
    <w:rsid w:val="00BB08CB"/>
    <w:rsid w:val="00BB0CB8"/>
    <w:rsid w:val="00BB0E48"/>
    <w:rsid w:val="00BB2314"/>
    <w:rsid w:val="00BB52B3"/>
    <w:rsid w:val="00BC71C3"/>
    <w:rsid w:val="00BD43B4"/>
    <w:rsid w:val="00BD606B"/>
    <w:rsid w:val="00BE14B6"/>
    <w:rsid w:val="00BE2B0F"/>
    <w:rsid w:val="00BE2C79"/>
    <w:rsid w:val="00BE7AE1"/>
    <w:rsid w:val="00BF1645"/>
    <w:rsid w:val="00BF1737"/>
    <w:rsid w:val="00BF1F11"/>
    <w:rsid w:val="00BF5017"/>
    <w:rsid w:val="00BF5B1D"/>
    <w:rsid w:val="00BF7758"/>
    <w:rsid w:val="00BF7B3F"/>
    <w:rsid w:val="00BF7E3D"/>
    <w:rsid w:val="00C04EF5"/>
    <w:rsid w:val="00C05DF1"/>
    <w:rsid w:val="00C071EA"/>
    <w:rsid w:val="00C10F2E"/>
    <w:rsid w:val="00C116AA"/>
    <w:rsid w:val="00C1278B"/>
    <w:rsid w:val="00C14149"/>
    <w:rsid w:val="00C14FE4"/>
    <w:rsid w:val="00C17CD9"/>
    <w:rsid w:val="00C201AF"/>
    <w:rsid w:val="00C20C99"/>
    <w:rsid w:val="00C23158"/>
    <w:rsid w:val="00C3139E"/>
    <w:rsid w:val="00C3191A"/>
    <w:rsid w:val="00C34468"/>
    <w:rsid w:val="00C372F8"/>
    <w:rsid w:val="00C37A17"/>
    <w:rsid w:val="00C41DF1"/>
    <w:rsid w:val="00C42588"/>
    <w:rsid w:val="00C427A0"/>
    <w:rsid w:val="00C42F38"/>
    <w:rsid w:val="00C43937"/>
    <w:rsid w:val="00C44022"/>
    <w:rsid w:val="00C45445"/>
    <w:rsid w:val="00C4627A"/>
    <w:rsid w:val="00C5080C"/>
    <w:rsid w:val="00C517B0"/>
    <w:rsid w:val="00C53506"/>
    <w:rsid w:val="00C5386C"/>
    <w:rsid w:val="00C57702"/>
    <w:rsid w:val="00C606AF"/>
    <w:rsid w:val="00C613EE"/>
    <w:rsid w:val="00C6282E"/>
    <w:rsid w:val="00C65ECB"/>
    <w:rsid w:val="00C6751B"/>
    <w:rsid w:val="00C70D16"/>
    <w:rsid w:val="00C720BE"/>
    <w:rsid w:val="00C72A99"/>
    <w:rsid w:val="00C73D5B"/>
    <w:rsid w:val="00C750B3"/>
    <w:rsid w:val="00C76321"/>
    <w:rsid w:val="00C77308"/>
    <w:rsid w:val="00C814DC"/>
    <w:rsid w:val="00C83918"/>
    <w:rsid w:val="00C844E5"/>
    <w:rsid w:val="00C85D05"/>
    <w:rsid w:val="00C9017B"/>
    <w:rsid w:val="00C93804"/>
    <w:rsid w:val="00C96777"/>
    <w:rsid w:val="00CA1100"/>
    <w:rsid w:val="00CA1A98"/>
    <w:rsid w:val="00CA1AA9"/>
    <w:rsid w:val="00CA347D"/>
    <w:rsid w:val="00CA6D48"/>
    <w:rsid w:val="00CA6D85"/>
    <w:rsid w:val="00CA78D9"/>
    <w:rsid w:val="00CB1889"/>
    <w:rsid w:val="00CC4E06"/>
    <w:rsid w:val="00CC4F1F"/>
    <w:rsid w:val="00CD1FF1"/>
    <w:rsid w:val="00CD3D32"/>
    <w:rsid w:val="00CD4F83"/>
    <w:rsid w:val="00CD748A"/>
    <w:rsid w:val="00CD7B6B"/>
    <w:rsid w:val="00CE106A"/>
    <w:rsid w:val="00CE2340"/>
    <w:rsid w:val="00CE2E5D"/>
    <w:rsid w:val="00CE3022"/>
    <w:rsid w:val="00CE505F"/>
    <w:rsid w:val="00CE507E"/>
    <w:rsid w:val="00CF2E8F"/>
    <w:rsid w:val="00CF773D"/>
    <w:rsid w:val="00D03704"/>
    <w:rsid w:val="00D06634"/>
    <w:rsid w:val="00D06EDB"/>
    <w:rsid w:val="00D14024"/>
    <w:rsid w:val="00D144A5"/>
    <w:rsid w:val="00D16502"/>
    <w:rsid w:val="00D23DEB"/>
    <w:rsid w:val="00D24CB5"/>
    <w:rsid w:val="00D26F01"/>
    <w:rsid w:val="00D326B4"/>
    <w:rsid w:val="00D3696D"/>
    <w:rsid w:val="00D36D8C"/>
    <w:rsid w:val="00D37EA6"/>
    <w:rsid w:val="00D412C9"/>
    <w:rsid w:val="00D50E3F"/>
    <w:rsid w:val="00D51FE0"/>
    <w:rsid w:val="00D55ED4"/>
    <w:rsid w:val="00D562AF"/>
    <w:rsid w:val="00D5726A"/>
    <w:rsid w:val="00D573C4"/>
    <w:rsid w:val="00D61A07"/>
    <w:rsid w:val="00D61C73"/>
    <w:rsid w:val="00D67AB7"/>
    <w:rsid w:val="00D716A5"/>
    <w:rsid w:val="00D71C86"/>
    <w:rsid w:val="00D73D6C"/>
    <w:rsid w:val="00D74700"/>
    <w:rsid w:val="00D75023"/>
    <w:rsid w:val="00D75B7D"/>
    <w:rsid w:val="00D75B8D"/>
    <w:rsid w:val="00D776E5"/>
    <w:rsid w:val="00D801D7"/>
    <w:rsid w:val="00D871B1"/>
    <w:rsid w:val="00D92B61"/>
    <w:rsid w:val="00D92CE5"/>
    <w:rsid w:val="00D95B83"/>
    <w:rsid w:val="00D95C30"/>
    <w:rsid w:val="00D960D9"/>
    <w:rsid w:val="00D97B8F"/>
    <w:rsid w:val="00DA019E"/>
    <w:rsid w:val="00DA0C9B"/>
    <w:rsid w:val="00DA3B72"/>
    <w:rsid w:val="00DA5030"/>
    <w:rsid w:val="00DA52B0"/>
    <w:rsid w:val="00DA5928"/>
    <w:rsid w:val="00DA7DAC"/>
    <w:rsid w:val="00DB34F7"/>
    <w:rsid w:val="00DB37E8"/>
    <w:rsid w:val="00DB40BE"/>
    <w:rsid w:val="00DB43B3"/>
    <w:rsid w:val="00DB4645"/>
    <w:rsid w:val="00DB499A"/>
    <w:rsid w:val="00DB4B02"/>
    <w:rsid w:val="00DB5E1F"/>
    <w:rsid w:val="00DB63F6"/>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D10"/>
    <w:rsid w:val="00E0093A"/>
    <w:rsid w:val="00E013AC"/>
    <w:rsid w:val="00E02342"/>
    <w:rsid w:val="00E05CA9"/>
    <w:rsid w:val="00E069B9"/>
    <w:rsid w:val="00E06E1E"/>
    <w:rsid w:val="00E1073E"/>
    <w:rsid w:val="00E13E1F"/>
    <w:rsid w:val="00E15343"/>
    <w:rsid w:val="00E15D96"/>
    <w:rsid w:val="00E202D8"/>
    <w:rsid w:val="00E219CC"/>
    <w:rsid w:val="00E21AB6"/>
    <w:rsid w:val="00E224FD"/>
    <w:rsid w:val="00E25B12"/>
    <w:rsid w:val="00E2641F"/>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392E"/>
    <w:rsid w:val="00E556EB"/>
    <w:rsid w:val="00E57443"/>
    <w:rsid w:val="00E60246"/>
    <w:rsid w:val="00E606DC"/>
    <w:rsid w:val="00E63B16"/>
    <w:rsid w:val="00E63C49"/>
    <w:rsid w:val="00E63C9A"/>
    <w:rsid w:val="00E72175"/>
    <w:rsid w:val="00E77E9D"/>
    <w:rsid w:val="00E855DB"/>
    <w:rsid w:val="00E867CE"/>
    <w:rsid w:val="00E91369"/>
    <w:rsid w:val="00E929BF"/>
    <w:rsid w:val="00E9717F"/>
    <w:rsid w:val="00E97D3B"/>
    <w:rsid w:val="00EA1348"/>
    <w:rsid w:val="00EA266C"/>
    <w:rsid w:val="00EA2A8E"/>
    <w:rsid w:val="00EA4A72"/>
    <w:rsid w:val="00EA4C8E"/>
    <w:rsid w:val="00EA6068"/>
    <w:rsid w:val="00EA6638"/>
    <w:rsid w:val="00EB0314"/>
    <w:rsid w:val="00EB6D4F"/>
    <w:rsid w:val="00EC188E"/>
    <w:rsid w:val="00EC27B1"/>
    <w:rsid w:val="00EC48D1"/>
    <w:rsid w:val="00EC4D9B"/>
    <w:rsid w:val="00EC7AD6"/>
    <w:rsid w:val="00ED127B"/>
    <w:rsid w:val="00ED1541"/>
    <w:rsid w:val="00ED262E"/>
    <w:rsid w:val="00ED4688"/>
    <w:rsid w:val="00ED55CD"/>
    <w:rsid w:val="00EE3BF8"/>
    <w:rsid w:val="00EF17AE"/>
    <w:rsid w:val="00EF2F88"/>
    <w:rsid w:val="00EF43E9"/>
    <w:rsid w:val="00EF6034"/>
    <w:rsid w:val="00F00711"/>
    <w:rsid w:val="00F00BA6"/>
    <w:rsid w:val="00F0120B"/>
    <w:rsid w:val="00F02D45"/>
    <w:rsid w:val="00F05207"/>
    <w:rsid w:val="00F05674"/>
    <w:rsid w:val="00F07DC7"/>
    <w:rsid w:val="00F11D52"/>
    <w:rsid w:val="00F1203C"/>
    <w:rsid w:val="00F142BF"/>
    <w:rsid w:val="00F14436"/>
    <w:rsid w:val="00F22A1A"/>
    <w:rsid w:val="00F22B3B"/>
    <w:rsid w:val="00F24AD2"/>
    <w:rsid w:val="00F2511C"/>
    <w:rsid w:val="00F254F2"/>
    <w:rsid w:val="00F256FA"/>
    <w:rsid w:val="00F2717C"/>
    <w:rsid w:val="00F31CBF"/>
    <w:rsid w:val="00F328A6"/>
    <w:rsid w:val="00F33165"/>
    <w:rsid w:val="00F33F00"/>
    <w:rsid w:val="00F36509"/>
    <w:rsid w:val="00F429AA"/>
    <w:rsid w:val="00F42F71"/>
    <w:rsid w:val="00F43C06"/>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217A"/>
    <w:rsid w:val="00F82AA2"/>
    <w:rsid w:val="00F85AC0"/>
    <w:rsid w:val="00F85C3D"/>
    <w:rsid w:val="00F91611"/>
    <w:rsid w:val="00F972F1"/>
    <w:rsid w:val="00F97C51"/>
    <w:rsid w:val="00FA1200"/>
    <w:rsid w:val="00FA149F"/>
    <w:rsid w:val="00FA28A4"/>
    <w:rsid w:val="00FA2C8E"/>
    <w:rsid w:val="00FA5657"/>
    <w:rsid w:val="00FA5FD8"/>
    <w:rsid w:val="00FA7C40"/>
    <w:rsid w:val="00FB02FC"/>
    <w:rsid w:val="00FC1D32"/>
    <w:rsid w:val="00FC46A4"/>
    <w:rsid w:val="00FC7075"/>
    <w:rsid w:val="00FC796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bs.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gov.au/internet/main/publishing.nsf/Content/PBAC_online_submission_for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bs.gov.au/info/industry/listing/elements/pbac-meetings/agenda/november-2018-pbac-meeting" TargetMode="External"/><Relationship Id="rId4" Type="http://schemas.microsoft.com/office/2007/relationships/stylesWithEffects" Target="stylesWithEffects.xml"/><Relationship Id="rId9" Type="http://schemas.openxmlformats.org/officeDocument/2006/relationships/hyperlink" Target="http://www.pbs.gov.au/info/industry/listing/elements/pbac-meetings/agenda/november-2018-pbac-meetin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industry/listing/elements/pbac-meetings/psd/2017-07/febuxostat-psd-july-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F4561-7412-4A90-8A1C-5E2BE659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7777</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2018-10-10T05:42:00Z</dcterms:created>
  <dcterms:modified xsi:type="dcterms:W3CDTF">2018-10-25T03:22:00Z</dcterms:modified>
</cp:coreProperties>
</file>