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61BB9" w14:textId="77777777" w:rsidR="00A20CBD" w:rsidRPr="00F4413F" w:rsidRDefault="00A20CBD" w:rsidP="00855B59">
      <w:pPr>
        <w:ind w:left="2160" w:firstLine="720"/>
        <w:rPr>
          <w:b/>
        </w:rPr>
      </w:pPr>
    </w:p>
    <w:p w14:paraId="3442547C" w14:textId="78CE7DF3"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w:t>
      </w:r>
      <w:r w:rsidR="000A4149">
        <w:rPr>
          <w:sz w:val="24"/>
          <w:szCs w:val="24"/>
        </w:rPr>
        <w:t>6</w:t>
      </w:r>
      <w:r w:rsidR="00A10603" w:rsidRPr="00A10603">
        <w:rPr>
          <w:sz w:val="24"/>
          <w:szCs w:val="24"/>
          <w:vertAlign w:val="superscript"/>
        </w:rPr>
        <w:t>th</w:t>
      </w:r>
      <w:r w:rsidR="00A10603">
        <w:rPr>
          <w:sz w:val="24"/>
          <w:szCs w:val="24"/>
        </w:rPr>
        <w:t xml:space="preserve"> </w:t>
      </w:r>
      <w:r w:rsidRPr="005F3EF0">
        <w:rPr>
          <w:sz w:val="24"/>
          <w:szCs w:val="24"/>
        </w:rPr>
        <w:t xml:space="preserve">meeting on </w:t>
      </w:r>
      <w:r w:rsidR="00E4556A">
        <w:rPr>
          <w:sz w:val="24"/>
          <w:szCs w:val="24"/>
        </w:rPr>
        <w:t xml:space="preserve">the </w:t>
      </w:r>
      <w:proofErr w:type="gramStart"/>
      <w:r w:rsidR="00E86E76">
        <w:rPr>
          <w:sz w:val="24"/>
          <w:szCs w:val="24"/>
        </w:rPr>
        <w:t>2</w:t>
      </w:r>
      <w:r w:rsidR="000A4149">
        <w:rPr>
          <w:sz w:val="24"/>
          <w:szCs w:val="24"/>
        </w:rPr>
        <w:t>9</w:t>
      </w:r>
      <w:r w:rsidR="000A4149" w:rsidRPr="000A4149">
        <w:rPr>
          <w:sz w:val="24"/>
          <w:szCs w:val="24"/>
          <w:vertAlign w:val="superscript"/>
        </w:rPr>
        <w:t>th</w:t>
      </w:r>
      <w:proofErr w:type="gramEnd"/>
      <w:r w:rsidR="000A4149">
        <w:rPr>
          <w:sz w:val="24"/>
          <w:szCs w:val="24"/>
        </w:rPr>
        <w:t xml:space="preserve"> September –</w:t>
      </w:r>
      <w:r w:rsidR="00CE1361">
        <w:rPr>
          <w:sz w:val="24"/>
          <w:szCs w:val="24"/>
        </w:rPr>
        <w:t xml:space="preserve"> </w:t>
      </w:r>
      <w:r w:rsidR="00E86E76">
        <w:rPr>
          <w:sz w:val="24"/>
          <w:szCs w:val="24"/>
        </w:rPr>
        <w:t>3</w:t>
      </w:r>
      <w:r w:rsidR="000A4149">
        <w:rPr>
          <w:sz w:val="24"/>
          <w:szCs w:val="24"/>
        </w:rPr>
        <w:t>0</w:t>
      </w:r>
      <w:r w:rsidR="000A4149" w:rsidRPr="000A4149">
        <w:rPr>
          <w:sz w:val="24"/>
          <w:szCs w:val="24"/>
          <w:vertAlign w:val="superscript"/>
        </w:rPr>
        <w:t>th</w:t>
      </w:r>
      <w:r w:rsidR="000A4149">
        <w:rPr>
          <w:sz w:val="24"/>
          <w:szCs w:val="24"/>
        </w:rPr>
        <w:t xml:space="preserve"> September</w:t>
      </w:r>
      <w:r w:rsidR="006D336D">
        <w:rPr>
          <w:sz w:val="24"/>
          <w:szCs w:val="24"/>
        </w:rPr>
        <w:t xml:space="preserve"> </w:t>
      </w:r>
      <w:r w:rsidR="00CE1361">
        <w:rPr>
          <w:sz w:val="24"/>
          <w:szCs w:val="24"/>
        </w:rPr>
        <w:t>202</w:t>
      </w:r>
      <w:r w:rsidR="009F61DE">
        <w:rPr>
          <w:sz w:val="24"/>
          <w:szCs w:val="24"/>
        </w:rPr>
        <w:t>2</w:t>
      </w:r>
      <w:r w:rsidR="00B85744">
        <w:rPr>
          <w:sz w:val="24"/>
          <w:szCs w:val="24"/>
        </w:rPr>
        <w:t>.</w:t>
      </w:r>
    </w:p>
    <w:p w14:paraId="6FAFEF70" w14:textId="77777777" w:rsidR="003F06C8" w:rsidRDefault="003F06C8" w:rsidP="008B6946">
      <w:pPr>
        <w:tabs>
          <w:tab w:val="left" w:pos="4820"/>
          <w:tab w:val="left" w:pos="8931"/>
          <w:tab w:val="left" w:pos="9028"/>
          <w:tab w:val="left" w:pos="9072"/>
        </w:tabs>
        <w:rPr>
          <w:sz w:val="24"/>
          <w:szCs w:val="24"/>
        </w:rPr>
      </w:pPr>
    </w:p>
    <w:p w14:paraId="4B818616"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4301D122" w14:textId="77777777" w:rsidR="00855B59" w:rsidRDefault="00855B59" w:rsidP="008B6946">
      <w:pPr>
        <w:tabs>
          <w:tab w:val="left" w:pos="4820"/>
          <w:tab w:val="left" w:pos="8931"/>
          <w:tab w:val="left" w:pos="9028"/>
          <w:tab w:val="left" w:pos="9072"/>
        </w:tabs>
        <w:rPr>
          <w:sz w:val="24"/>
          <w:szCs w:val="24"/>
        </w:rPr>
      </w:pPr>
    </w:p>
    <w:p w14:paraId="37C0E8B5" w14:textId="77777777"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7EAC3C0B" w14:textId="77777777" w:rsidR="00204055" w:rsidRPr="00B12248" w:rsidRDefault="00204055" w:rsidP="00204055">
      <w:pPr>
        <w:rPr>
          <w:sz w:val="24"/>
          <w:szCs w:val="24"/>
        </w:rPr>
      </w:pPr>
    </w:p>
    <w:p w14:paraId="30887F76" w14:textId="77777777" w:rsidR="004566A9" w:rsidRPr="00855B59" w:rsidRDefault="00855B59" w:rsidP="008B6946">
      <w:pPr>
        <w:pStyle w:val="Heading2"/>
      </w:pPr>
      <w:r w:rsidRPr="00855B59">
        <w:t>Su</w:t>
      </w:r>
      <w:r w:rsidR="004566A9" w:rsidRPr="00855B59">
        <w:t>bmissions to the PBAC</w:t>
      </w:r>
    </w:p>
    <w:p w14:paraId="7F8EA94E" w14:textId="6687DC29" w:rsidR="009237FF" w:rsidRDefault="00BE11AF" w:rsidP="008B6946">
      <w:pPr>
        <w:rPr>
          <w:sz w:val="24"/>
          <w:szCs w:val="24"/>
        </w:rPr>
      </w:pPr>
      <w:r w:rsidRPr="00A45D73">
        <w:rPr>
          <w:sz w:val="24"/>
          <w:szCs w:val="24"/>
        </w:rPr>
        <w:t xml:space="preserve">DUSC noted that </w:t>
      </w:r>
      <w:r w:rsidR="009760B1" w:rsidRPr="00315152">
        <w:rPr>
          <w:sz w:val="24"/>
          <w:szCs w:val="24"/>
        </w:rPr>
        <w:t>six</w:t>
      </w:r>
      <w:r w:rsidR="000134E0" w:rsidRPr="00315152">
        <w:rPr>
          <w:sz w:val="24"/>
          <w:szCs w:val="24"/>
        </w:rPr>
        <w:t xml:space="preserve"> category 1, </w:t>
      </w:r>
      <w:r w:rsidR="00E86E76" w:rsidRPr="00315152">
        <w:rPr>
          <w:sz w:val="24"/>
          <w:szCs w:val="24"/>
        </w:rPr>
        <w:t>1</w:t>
      </w:r>
      <w:r w:rsidR="00315152" w:rsidRPr="00315152">
        <w:rPr>
          <w:sz w:val="24"/>
          <w:szCs w:val="24"/>
        </w:rPr>
        <w:t>4</w:t>
      </w:r>
      <w:r w:rsidR="000134E0" w:rsidRPr="00315152">
        <w:rPr>
          <w:sz w:val="24"/>
          <w:szCs w:val="24"/>
        </w:rPr>
        <w:t xml:space="preserve"> category 2</w:t>
      </w:r>
      <w:r w:rsidR="005F19FA" w:rsidRPr="00315152">
        <w:rPr>
          <w:sz w:val="24"/>
          <w:szCs w:val="24"/>
        </w:rPr>
        <w:t>,</w:t>
      </w:r>
      <w:r w:rsidR="000134E0" w:rsidRPr="00315152">
        <w:rPr>
          <w:sz w:val="24"/>
          <w:szCs w:val="24"/>
        </w:rPr>
        <w:t xml:space="preserve"> </w:t>
      </w:r>
      <w:r w:rsidR="00315152" w:rsidRPr="00315152">
        <w:rPr>
          <w:sz w:val="24"/>
          <w:szCs w:val="24"/>
        </w:rPr>
        <w:t>six</w:t>
      </w:r>
      <w:r w:rsidR="005F19FA" w:rsidRPr="00315152">
        <w:rPr>
          <w:sz w:val="24"/>
          <w:szCs w:val="24"/>
        </w:rPr>
        <w:t xml:space="preserve"> </w:t>
      </w:r>
      <w:r w:rsidR="000134E0" w:rsidRPr="00315152">
        <w:rPr>
          <w:sz w:val="24"/>
          <w:szCs w:val="24"/>
        </w:rPr>
        <w:t>standard re-entry</w:t>
      </w:r>
      <w:r w:rsidR="00E86E76" w:rsidRPr="00315152">
        <w:rPr>
          <w:sz w:val="24"/>
          <w:szCs w:val="24"/>
        </w:rPr>
        <w:t>, two early-resolution,</w:t>
      </w:r>
      <w:r w:rsidR="003F06C8" w:rsidRPr="00315152">
        <w:rPr>
          <w:sz w:val="24"/>
          <w:szCs w:val="24"/>
        </w:rPr>
        <w:t xml:space="preserve"> </w:t>
      </w:r>
      <w:r w:rsidR="005F19FA" w:rsidRPr="00315152">
        <w:rPr>
          <w:sz w:val="24"/>
          <w:szCs w:val="24"/>
        </w:rPr>
        <w:t xml:space="preserve">and </w:t>
      </w:r>
      <w:r w:rsidR="00315152" w:rsidRPr="00315152">
        <w:rPr>
          <w:sz w:val="24"/>
          <w:szCs w:val="24"/>
        </w:rPr>
        <w:t>five</w:t>
      </w:r>
      <w:r w:rsidR="005F19FA" w:rsidRPr="00315152">
        <w:rPr>
          <w:sz w:val="24"/>
          <w:szCs w:val="24"/>
        </w:rPr>
        <w:t xml:space="preserve"> early re-entry submissions </w:t>
      </w:r>
      <w:r w:rsidR="003F06C8" w:rsidRPr="00315152">
        <w:rPr>
          <w:sz w:val="24"/>
          <w:szCs w:val="24"/>
        </w:rPr>
        <w:t xml:space="preserve">had been received for the </w:t>
      </w:r>
      <w:r w:rsidR="00BE4800" w:rsidRPr="00315152">
        <w:rPr>
          <w:sz w:val="24"/>
          <w:szCs w:val="24"/>
        </w:rPr>
        <w:t>November</w:t>
      </w:r>
      <w:r w:rsidR="00A45D73" w:rsidRPr="00315152">
        <w:rPr>
          <w:sz w:val="24"/>
          <w:szCs w:val="24"/>
        </w:rPr>
        <w:t xml:space="preserve"> 2022</w:t>
      </w:r>
      <w:r w:rsidR="003F06C8" w:rsidRPr="00315152">
        <w:rPr>
          <w:sz w:val="24"/>
          <w:szCs w:val="24"/>
        </w:rPr>
        <w:t xml:space="preserve"> meeting of PBAC. </w:t>
      </w:r>
      <w:r w:rsidR="008F7F63" w:rsidRPr="00315152">
        <w:rPr>
          <w:sz w:val="24"/>
          <w:szCs w:val="24"/>
        </w:rPr>
        <w:t>DUSC provided detailed advice to</w:t>
      </w:r>
      <w:r w:rsidR="008F7F63" w:rsidRPr="00A45D73">
        <w:rPr>
          <w:sz w:val="24"/>
          <w:szCs w:val="24"/>
        </w:rPr>
        <w:t xml:space="preserve"> the PBAC on </w:t>
      </w:r>
      <w:r w:rsidR="009230A9" w:rsidRPr="00A45D73">
        <w:rPr>
          <w:sz w:val="24"/>
          <w:szCs w:val="24"/>
        </w:rPr>
        <w:t xml:space="preserve">projected usage and financial cost for </w:t>
      </w:r>
      <w:r w:rsidR="003833F2" w:rsidRPr="00A45D73">
        <w:rPr>
          <w:sz w:val="24"/>
          <w:szCs w:val="24"/>
        </w:rPr>
        <w:t xml:space="preserve">the </w:t>
      </w:r>
      <w:r w:rsidR="003F06C8" w:rsidRPr="00A45D73">
        <w:rPr>
          <w:sz w:val="24"/>
          <w:szCs w:val="24"/>
        </w:rPr>
        <w:t>submissions</w:t>
      </w:r>
      <w:r w:rsidR="00C814DC" w:rsidRPr="00A45D73">
        <w:rPr>
          <w:sz w:val="24"/>
          <w:szCs w:val="24"/>
        </w:rPr>
        <w:t xml:space="preserve"> where there </w:t>
      </w:r>
      <w:r w:rsidR="005B19CE" w:rsidRPr="00A45D73">
        <w:rPr>
          <w:sz w:val="24"/>
          <w:szCs w:val="24"/>
        </w:rPr>
        <w:t xml:space="preserve">was </w:t>
      </w:r>
      <w:r w:rsidR="00C814DC" w:rsidRPr="00A45D73">
        <w:rPr>
          <w:sz w:val="24"/>
          <w:szCs w:val="24"/>
        </w:rPr>
        <w:t>high cost, uncertain utilisation</w:t>
      </w:r>
      <w:r w:rsidR="00FA149F" w:rsidRPr="00A45D73">
        <w:rPr>
          <w:sz w:val="24"/>
          <w:szCs w:val="24"/>
        </w:rPr>
        <w:t xml:space="preserve">, first </w:t>
      </w:r>
      <w:r w:rsidR="007D4108" w:rsidRPr="00A45D73">
        <w:rPr>
          <w:sz w:val="24"/>
          <w:szCs w:val="24"/>
        </w:rPr>
        <w:t xml:space="preserve">medicine </w:t>
      </w:r>
      <w:r w:rsidR="00FA149F" w:rsidRPr="00A45D73">
        <w:rPr>
          <w:sz w:val="24"/>
          <w:szCs w:val="24"/>
        </w:rPr>
        <w:t xml:space="preserve">in class or </w:t>
      </w:r>
      <w:r w:rsidR="003361C9" w:rsidRPr="00A45D73">
        <w:rPr>
          <w:sz w:val="24"/>
          <w:szCs w:val="24"/>
        </w:rPr>
        <w:t>q</w:t>
      </w:r>
      <w:r w:rsidR="00FA149F" w:rsidRPr="00A45D73">
        <w:rPr>
          <w:sz w:val="24"/>
          <w:szCs w:val="24"/>
        </w:rPr>
        <w:t xml:space="preserve">uality </w:t>
      </w:r>
      <w:r w:rsidR="003361C9" w:rsidRPr="00A45D73">
        <w:rPr>
          <w:sz w:val="24"/>
          <w:szCs w:val="24"/>
        </w:rPr>
        <w:t>u</w:t>
      </w:r>
      <w:r w:rsidR="00FA149F" w:rsidRPr="00A45D73">
        <w:rPr>
          <w:sz w:val="24"/>
          <w:szCs w:val="24"/>
        </w:rPr>
        <w:t xml:space="preserve">se of </w:t>
      </w:r>
      <w:r w:rsidR="003361C9" w:rsidRPr="00A45D73">
        <w:rPr>
          <w:sz w:val="24"/>
          <w:szCs w:val="24"/>
        </w:rPr>
        <w:t>m</w:t>
      </w:r>
      <w:r w:rsidR="00FA149F" w:rsidRPr="00A45D73">
        <w:rPr>
          <w:sz w:val="24"/>
          <w:szCs w:val="24"/>
        </w:rPr>
        <w:t xml:space="preserve">edicines </w:t>
      </w:r>
      <w:r w:rsidR="0042129E" w:rsidRPr="00A45D73">
        <w:rPr>
          <w:sz w:val="24"/>
          <w:szCs w:val="24"/>
        </w:rPr>
        <w:t>concerns</w:t>
      </w:r>
      <w:r w:rsidR="005C053B" w:rsidRPr="00A45D73">
        <w:rPr>
          <w:sz w:val="24"/>
          <w:szCs w:val="24"/>
        </w:rPr>
        <w:t xml:space="preserve">. </w:t>
      </w:r>
      <w:r w:rsidR="008F7F63" w:rsidRPr="00A45D73">
        <w:rPr>
          <w:sz w:val="24"/>
          <w:szCs w:val="24"/>
        </w:rPr>
        <w:t xml:space="preserve">The </w:t>
      </w:r>
      <w:r w:rsidR="005C053B" w:rsidRPr="00A45D73">
        <w:rPr>
          <w:sz w:val="24"/>
          <w:szCs w:val="24"/>
        </w:rPr>
        <w:t>a</w:t>
      </w:r>
      <w:r w:rsidR="008F7F63" w:rsidRPr="00A45D73">
        <w:rPr>
          <w:sz w:val="24"/>
          <w:szCs w:val="24"/>
        </w:rPr>
        <w:t xml:space="preserve">genda </w:t>
      </w:r>
      <w:r w:rsidR="005C053B" w:rsidRPr="00A45D73">
        <w:rPr>
          <w:sz w:val="24"/>
          <w:szCs w:val="24"/>
        </w:rPr>
        <w:t>for the</w:t>
      </w:r>
      <w:r w:rsidR="004029B9">
        <w:rPr>
          <w:sz w:val="24"/>
          <w:szCs w:val="24"/>
        </w:rPr>
        <w:t xml:space="preserve"> </w:t>
      </w:r>
      <w:r w:rsidR="00B976CE">
        <w:rPr>
          <w:sz w:val="24"/>
          <w:szCs w:val="24"/>
        </w:rPr>
        <w:t>November</w:t>
      </w:r>
      <w:r w:rsidR="00A45D73" w:rsidRPr="00A45D73">
        <w:rPr>
          <w:sz w:val="24"/>
          <w:szCs w:val="24"/>
        </w:rPr>
        <w:t xml:space="preserve"> 2022 </w:t>
      </w:r>
      <w:r w:rsidR="005C053B" w:rsidRPr="00A45D73">
        <w:rPr>
          <w:sz w:val="24"/>
          <w:szCs w:val="24"/>
        </w:rPr>
        <w:t xml:space="preserve">PBAC meeting </w:t>
      </w:r>
      <w:r w:rsidR="008F7F63" w:rsidRPr="00A45D73">
        <w:rPr>
          <w:sz w:val="24"/>
          <w:szCs w:val="24"/>
        </w:rPr>
        <w:t xml:space="preserve">can be found </w:t>
      </w:r>
      <w:r w:rsidR="00E013AC" w:rsidRPr="00A45D73">
        <w:rPr>
          <w:sz w:val="24"/>
          <w:szCs w:val="24"/>
        </w:rPr>
        <w:t xml:space="preserve">on the </w:t>
      </w:r>
      <w:hyperlink r:id="rId9" w:history="1">
        <w:r w:rsidR="00E013AC" w:rsidRPr="00B976CE">
          <w:rPr>
            <w:rStyle w:val="Hyperlink"/>
            <w:sz w:val="24"/>
            <w:szCs w:val="24"/>
          </w:rPr>
          <w:t>PBS</w:t>
        </w:r>
        <w:r w:rsidR="006E3AF2" w:rsidRPr="00B976CE">
          <w:rPr>
            <w:rStyle w:val="Hyperlink"/>
            <w:sz w:val="24"/>
            <w:szCs w:val="24"/>
          </w:rPr>
          <w:t> </w:t>
        </w:r>
        <w:r w:rsidR="00E013AC" w:rsidRPr="00B976CE">
          <w:rPr>
            <w:rStyle w:val="Hyperlink"/>
            <w:sz w:val="24"/>
            <w:szCs w:val="24"/>
          </w:rPr>
          <w:t>website</w:t>
        </w:r>
      </w:hyperlink>
      <w:r w:rsidR="00E013AC" w:rsidRPr="00A45D73">
        <w:rPr>
          <w:sz w:val="24"/>
          <w:szCs w:val="24"/>
        </w:rPr>
        <w:t>.</w:t>
      </w:r>
    </w:p>
    <w:p w14:paraId="1F021491" w14:textId="77777777" w:rsidR="00A453E3" w:rsidRDefault="00A453E3" w:rsidP="008B6946">
      <w:pPr>
        <w:rPr>
          <w:sz w:val="24"/>
          <w:szCs w:val="24"/>
        </w:rPr>
      </w:pPr>
    </w:p>
    <w:p w14:paraId="2DDBC2A3"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62C6B763" w14:textId="73AE9BFB"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E10549">
          <w:rPr>
            <w:rStyle w:val="Hyperlink"/>
            <w:sz w:val="24"/>
            <w:szCs w:val="24"/>
          </w:rPr>
          <w:t xml:space="preserve">PBAC </w:t>
        </w:r>
        <w:r w:rsidR="00021AF3" w:rsidRPr="00E10549">
          <w:rPr>
            <w:rStyle w:val="Hyperlink"/>
            <w:sz w:val="24"/>
            <w:szCs w:val="24"/>
          </w:rPr>
          <w:t>meeting</w:t>
        </w:r>
        <w:r w:rsidR="00591C2B" w:rsidRPr="00E10549">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7C763870" w14:textId="77777777" w:rsidR="00021AF3" w:rsidRPr="00B12248" w:rsidRDefault="00021AF3" w:rsidP="00D97B8F">
      <w:pPr>
        <w:rPr>
          <w:sz w:val="24"/>
          <w:szCs w:val="24"/>
        </w:rPr>
      </w:pPr>
    </w:p>
    <w:p w14:paraId="5E601AF8" w14:textId="65CB108F"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w:t>
      </w:r>
      <w:r w:rsidR="00CE1361">
        <w:rPr>
          <w:sz w:val="24"/>
          <w:szCs w:val="24"/>
        </w:rPr>
        <w:t>in</w:t>
      </w:r>
      <w:r w:rsidR="00EA5CC8">
        <w:rPr>
          <w:sz w:val="24"/>
          <w:szCs w:val="24"/>
        </w:rPr>
        <w:t xml:space="preserve"> September</w:t>
      </w:r>
      <w:r w:rsidR="00CE1361">
        <w:rPr>
          <w:sz w:val="24"/>
          <w:szCs w:val="24"/>
        </w:rPr>
        <w:t xml:space="preserve"> 202</w:t>
      </w:r>
      <w:r w:rsidR="00AA23A2">
        <w:rPr>
          <w:sz w:val="24"/>
          <w:szCs w:val="24"/>
        </w:rPr>
        <w:t>2</w:t>
      </w:r>
      <w:r w:rsidRPr="00B12248">
        <w:rPr>
          <w:sz w:val="24"/>
          <w:szCs w:val="24"/>
        </w:rPr>
        <w:t>:</w:t>
      </w:r>
    </w:p>
    <w:p w14:paraId="27F786B8" w14:textId="77777777" w:rsidR="00B636E4" w:rsidRDefault="00B636E4" w:rsidP="009F597A">
      <w:pPr>
        <w:rPr>
          <w:sz w:val="24"/>
          <w:szCs w:val="24"/>
        </w:rPr>
      </w:pPr>
    </w:p>
    <w:p w14:paraId="369AC99C" w14:textId="035F79E6" w:rsidR="004029B9" w:rsidRDefault="004029B9" w:rsidP="00A10603">
      <w:pPr>
        <w:pStyle w:val="NoSpacing"/>
        <w:rPr>
          <w:rFonts w:ascii="Calibri" w:eastAsia="MS Mincho" w:hAnsi="Calibri"/>
          <w:b/>
          <w:bCs/>
          <w:lang w:eastAsia="en-AU"/>
        </w:rPr>
      </w:pPr>
      <w:r w:rsidRPr="004029B9">
        <w:rPr>
          <w:rFonts w:ascii="Calibri" w:eastAsia="MS Mincho" w:hAnsi="Calibri"/>
          <w:b/>
          <w:bCs/>
          <w:lang w:eastAsia="en-AU"/>
        </w:rPr>
        <w:t>Atezolizumab for extensive-stage small cell lung cancer</w:t>
      </w:r>
    </w:p>
    <w:p w14:paraId="7581AE5F" w14:textId="34793E17" w:rsidR="004029B9" w:rsidRPr="00BE4800" w:rsidRDefault="001E115C" w:rsidP="00BE4800">
      <w:pPr>
        <w:spacing w:after="200"/>
        <w:contextualSpacing/>
        <w:rPr>
          <w:rFonts w:eastAsia="MS Mincho"/>
          <w:sz w:val="24"/>
          <w:szCs w:val="24"/>
        </w:rPr>
      </w:pPr>
      <w:r w:rsidRPr="001E115C">
        <w:rPr>
          <w:rFonts w:asciiTheme="minorHAnsi" w:eastAsia="MS Mincho" w:hAnsiTheme="minorHAnsi" w:cstheme="minorHAnsi"/>
          <w:bCs/>
          <w:sz w:val="24"/>
          <w:szCs w:val="24"/>
        </w:rPr>
        <w:t xml:space="preserve">DUSC reviewed the </w:t>
      </w:r>
      <w:r w:rsidRPr="001E115C">
        <w:rPr>
          <w:sz w:val="24"/>
          <w:szCs w:val="24"/>
        </w:rPr>
        <w:t xml:space="preserve">predicted and actual utilisation of </w:t>
      </w:r>
      <w:r w:rsidRPr="001E115C">
        <w:rPr>
          <w:bCs/>
          <w:iCs/>
          <w:sz w:val="24"/>
          <w:szCs w:val="24"/>
        </w:rPr>
        <w:t>atezolizumab for extensive-stage small cell lung cancer since its listing on the</w:t>
      </w:r>
      <w:r w:rsidRPr="001E115C">
        <w:rPr>
          <w:sz w:val="24"/>
          <w:szCs w:val="24"/>
        </w:rPr>
        <w:t xml:space="preserve"> Pharmaceutical Benefits Scheme (PBS). </w:t>
      </w:r>
      <w:r w:rsidR="00FD030A">
        <w:rPr>
          <w:rFonts w:eastAsia="MS Mincho"/>
          <w:sz w:val="24"/>
          <w:szCs w:val="24"/>
        </w:rPr>
        <w:t>In the first year of listing there were 961 prevalent patients followed by 1,209 in the second year</w:t>
      </w:r>
      <w:r w:rsidRPr="001E115C">
        <w:rPr>
          <w:rFonts w:eastAsia="MS Mincho"/>
          <w:sz w:val="24"/>
          <w:szCs w:val="24"/>
        </w:rPr>
        <w:t>.</w:t>
      </w:r>
      <w:r w:rsidR="00FD030A">
        <w:rPr>
          <w:rFonts w:eastAsia="MS Mincho"/>
          <w:sz w:val="24"/>
          <w:szCs w:val="24"/>
        </w:rPr>
        <w:t xml:space="preserve"> The number of prescriptions for both years was similar at </w:t>
      </w:r>
      <w:proofErr w:type="spellStart"/>
      <w:r w:rsidR="00FD030A">
        <w:rPr>
          <w:rFonts w:eastAsia="MS Mincho"/>
          <w:sz w:val="24"/>
          <w:szCs w:val="24"/>
        </w:rPr>
        <w:t>aproximately</w:t>
      </w:r>
      <w:proofErr w:type="spellEnd"/>
      <w:r w:rsidR="00FD030A">
        <w:rPr>
          <w:rFonts w:eastAsia="MS Mincho"/>
          <w:sz w:val="24"/>
          <w:szCs w:val="24"/>
        </w:rPr>
        <w:t xml:space="preserve"> 8,800  each year.</w:t>
      </w:r>
      <w:r w:rsidRPr="001E115C">
        <w:rPr>
          <w:rFonts w:eastAsia="MS Mincho"/>
          <w:sz w:val="24"/>
          <w:szCs w:val="24"/>
        </w:rPr>
        <w:t xml:space="preserve"> </w:t>
      </w:r>
      <w:r w:rsidR="004858C6">
        <w:rPr>
          <w:rFonts w:eastAsia="MS Mincho"/>
          <w:sz w:val="24"/>
          <w:szCs w:val="24"/>
        </w:rPr>
        <w:t>The majority of</w:t>
      </w:r>
      <w:r w:rsidRPr="001E115C">
        <w:rPr>
          <w:rFonts w:eastAsia="MS Mincho"/>
          <w:sz w:val="24"/>
          <w:szCs w:val="24"/>
        </w:rPr>
        <w:t xml:space="preserve"> patients were prescribed the three weekl</w:t>
      </w:r>
      <w:r w:rsidR="004858C6">
        <w:rPr>
          <w:rFonts w:eastAsia="MS Mincho"/>
          <w:sz w:val="24"/>
          <w:szCs w:val="24"/>
        </w:rPr>
        <w:t>y induction regimen with a small percentage of these progressing to the four weekly regimen</w:t>
      </w:r>
      <w:r w:rsidRPr="001E115C">
        <w:rPr>
          <w:rFonts w:eastAsia="MS Mincho"/>
          <w:sz w:val="24"/>
          <w:szCs w:val="24"/>
        </w:rPr>
        <w:t>.</w:t>
      </w:r>
      <w:r w:rsidR="008C6053" w:rsidRPr="008C6053">
        <w:rPr>
          <w:rFonts w:eastAsia="MS Mincho"/>
          <w:sz w:val="22"/>
          <w:szCs w:val="22"/>
        </w:rPr>
        <w:t xml:space="preserve"> </w:t>
      </w:r>
    </w:p>
    <w:p w14:paraId="2836FF29" w14:textId="77777777" w:rsidR="001E115C" w:rsidRDefault="001E115C" w:rsidP="009F597A">
      <w:pPr>
        <w:rPr>
          <w:rFonts w:asciiTheme="minorHAnsi" w:eastAsia="MS Mincho" w:hAnsiTheme="minorHAnsi" w:cstheme="minorHAnsi"/>
          <w:bCs/>
          <w:sz w:val="24"/>
          <w:szCs w:val="24"/>
        </w:rPr>
      </w:pPr>
    </w:p>
    <w:p w14:paraId="1E8DAA73" w14:textId="3A21A662" w:rsidR="00AA23A2" w:rsidRPr="00EA0199" w:rsidRDefault="00C23FF1" w:rsidP="009F597A">
      <w:pPr>
        <w:rPr>
          <w:rFonts w:asciiTheme="minorHAnsi" w:eastAsia="MS Mincho" w:hAnsiTheme="minorHAnsi" w:cstheme="minorHAnsi"/>
          <w:bCs/>
          <w:sz w:val="24"/>
          <w:szCs w:val="24"/>
        </w:rPr>
      </w:pPr>
      <w:r w:rsidRPr="00C23FF1">
        <w:rPr>
          <w:rFonts w:asciiTheme="minorHAnsi" w:eastAsia="MS Mincho" w:hAnsiTheme="minorHAnsi" w:cstheme="minorHAnsi"/>
          <w:bCs/>
          <w:sz w:val="24"/>
          <w:szCs w:val="24"/>
        </w:rPr>
        <w:t>DUSC requested that the report be provided to the PBAC.</w:t>
      </w:r>
    </w:p>
    <w:p w14:paraId="5A256DF3" w14:textId="77777777" w:rsidR="00EA0199" w:rsidRDefault="00EA0199" w:rsidP="00EA0199">
      <w:pPr>
        <w:pStyle w:val="BodyText3"/>
        <w:jc w:val="left"/>
        <w:rPr>
          <w:b/>
          <w:bCs/>
          <w:color w:val="auto"/>
        </w:rPr>
      </w:pPr>
    </w:p>
    <w:p w14:paraId="0C866AD5" w14:textId="70FD151D" w:rsidR="004029B9" w:rsidRDefault="004029B9" w:rsidP="004029B9">
      <w:pPr>
        <w:rPr>
          <w:rFonts w:asciiTheme="minorHAnsi" w:hAnsiTheme="minorHAnsi" w:cs="Arial"/>
          <w:b/>
          <w:bCs/>
          <w:snapToGrid w:val="0"/>
          <w:sz w:val="24"/>
          <w:szCs w:val="24"/>
          <w:lang w:eastAsia="en-US"/>
        </w:rPr>
      </w:pPr>
      <w:r w:rsidRPr="004029B9">
        <w:rPr>
          <w:rFonts w:asciiTheme="minorHAnsi" w:hAnsiTheme="minorHAnsi" w:cs="Arial"/>
          <w:b/>
          <w:bCs/>
          <w:snapToGrid w:val="0"/>
          <w:sz w:val="24"/>
          <w:szCs w:val="24"/>
          <w:lang w:eastAsia="en-US"/>
        </w:rPr>
        <w:t xml:space="preserve">Durvalumab for </w:t>
      </w:r>
      <w:r w:rsidR="00BE4800">
        <w:rPr>
          <w:rFonts w:asciiTheme="minorHAnsi" w:hAnsiTheme="minorHAnsi" w:cs="Arial"/>
          <w:b/>
          <w:bCs/>
          <w:snapToGrid w:val="0"/>
          <w:sz w:val="24"/>
          <w:szCs w:val="24"/>
          <w:lang w:eastAsia="en-US"/>
        </w:rPr>
        <w:t>non-small cell lung cancer</w:t>
      </w:r>
      <w:r w:rsidRPr="004029B9">
        <w:rPr>
          <w:rFonts w:asciiTheme="minorHAnsi" w:hAnsiTheme="minorHAnsi" w:cs="Arial"/>
          <w:b/>
          <w:bCs/>
          <w:snapToGrid w:val="0"/>
          <w:sz w:val="24"/>
          <w:szCs w:val="24"/>
          <w:lang w:eastAsia="en-US"/>
        </w:rPr>
        <w:t xml:space="preserve"> and market review</w:t>
      </w:r>
    </w:p>
    <w:p w14:paraId="28AE5666" w14:textId="77777777" w:rsidR="00BE4800" w:rsidRPr="00BE4800" w:rsidRDefault="00BE4800" w:rsidP="00BE4800">
      <w:pPr>
        <w:shd w:val="clear" w:color="auto" w:fill="FFFFFF"/>
        <w:spacing w:line="300" w:lineRule="atLeast"/>
        <w:ind w:right="150"/>
        <w:contextualSpacing/>
        <w:rPr>
          <w:color w:val="222222"/>
          <w:sz w:val="24"/>
          <w:szCs w:val="24"/>
        </w:rPr>
      </w:pPr>
      <w:r w:rsidRPr="00BE4800">
        <w:rPr>
          <w:rFonts w:cstheme="minorHAnsi"/>
          <w:sz w:val="24"/>
          <w:szCs w:val="24"/>
        </w:rPr>
        <w:t xml:space="preserve">DUSC reviewed PBS listed medicines for the treatment of non-small cell lung cancer (NSCLC). </w:t>
      </w:r>
      <w:r w:rsidRPr="00BE4800">
        <w:rPr>
          <w:sz w:val="24"/>
          <w:szCs w:val="24"/>
        </w:rPr>
        <w:t xml:space="preserve">In 2021, </w:t>
      </w:r>
      <w:r w:rsidRPr="00BE4800">
        <w:rPr>
          <w:color w:val="222222"/>
          <w:sz w:val="24"/>
          <w:szCs w:val="24"/>
        </w:rPr>
        <w:t xml:space="preserve">8,225 </w:t>
      </w:r>
      <w:r w:rsidRPr="00BE4800">
        <w:rPr>
          <w:sz w:val="24"/>
          <w:szCs w:val="24"/>
        </w:rPr>
        <w:t>patients were supplied</w:t>
      </w:r>
      <w:r w:rsidRPr="00BE4800">
        <w:rPr>
          <w:color w:val="222222"/>
          <w:sz w:val="24"/>
          <w:szCs w:val="24"/>
        </w:rPr>
        <w:t xml:space="preserve"> 85,606 </w:t>
      </w:r>
      <w:r w:rsidRPr="00BE4800">
        <w:rPr>
          <w:sz w:val="24"/>
          <w:szCs w:val="24"/>
        </w:rPr>
        <w:t xml:space="preserve">NSCLC prescriptions. In 2021, </w:t>
      </w:r>
      <w:r w:rsidRPr="00BE4800">
        <w:rPr>
          <w:color w:val="222222"/>
          <w:sz w:val="24"/>
          <w:szCs w:val="24"/>
        </w:rPr>
        <w:t xml:space="preserve">there was a greater proportion of NSCLC patients treated with immunotherapies compared to targeted therapies. Most patients who were treated with an immunotherapy were not treated with another immunotherapy. </w:t>
      </w:r>
      <w:r w:rsidRPr="00BE4800">
        <w:rPr>
          <w:sz w:val="24"/>
          <w:szCs w:val="24"/>
        </w:rPr>
        <w:t xml:space="preserve">Additionally, DUSC reviewed the use of durvalumab for the </w:t>
      </w:r>
      <w:r w:rsidRPr="00BE4800">
        <w:rPr>
          <w:sz w:val="24"/>
          <w:szCs w:val="24"/>
        </w:rPr>
        <w:lastRenderedPageBreak/>
        <w:t xml:space="preserve">treatment of NSCLC. In 2020, 932 patients were supplied 9,398 durvalumab prescriptions. In 2021, 1,031 patients were supplied 10,735 durvalumab prescriptions. </w:t>
      </w:r>
    </w:p>
    <w:p w14:paraId="43355D4B" w14:textId="77777777" w:rsidR="00BE4800" w:rsidRPr="00BE4800" w:rsidRDefault="00BE4800" w:rsidP="00BE4800">
      <w:pPr>
        <w:shd w:val="clear" w:color="auto" w:fill="FFFFFF"/>
        <w:spacing w:line="300" w:lineRule="atLeast"/>
        <w:ind w:right="150"/>
        <w:contextualSpacing/>
        <w:rPr>
          <w:color w:val="222222"/>
          <w:sz w:val="24"/>
          <w:szCs w:val="24"/>
        </w:rPr>
      </w:pPr>
    </w:p>
    <w:p w14:paraId="4A0C3245" w14:textId="2B87F667" w:rsidR="004029B9" w:rsidRPr="00BE4800" w:rsidRDefault="00BE4800" w:rsidP="004029B9">
      <w:pPr>
        <w:rPr>
          <w:sz w:val="24"/>
          <w:szCs w:val="24"/>
        </w:rPr>
      </w:pPr>
      <w:r w:rsidRPr="00BE4800">
        <w:rPr>
          <w:rFonts w:asciiTheme="minorHAnsi" w:hAnsiTheme="minorHAnsi" w:cstheme="minorHAnsi"/>
          <w:sz w:val="24"/>
          <w:szCs w:val="24"/>
        </w:rPr>
        <w:t xml:space="preserve">DUSC requested that the report be provided to the PBAC. </w:t>
      </w:r>
    </w:p>
    <w:p w14:paraId="562AE899" w14:textId="77777777" w:rsidR="004029B9" w:rsidRPr="004029B9" w:rsidRDefault="004029B9" w:rsidP="004029B9">
      <w:pPr>
        <w:rPr>
          <w:rFonts w:asciiTheme="minorHAnsi" w:hAnsiTheme="minorHAnsi" w:cs="Arial"/>
          <w:b/>
          <w:bCs/>
          <w:snapToGrid w:val="0"/>
          <w:sz w:val="24"/>
          <w:szCs w:val="24"/>
          <w:lang w:eastAsia="en-US"/>
        </w:rPr>
      </w:pPr>
    </w:p>
    <w:p w14:paraId="0B5FF1BE" w14:textId="6E329980" w:rsidR="00EA0199" w:rsidRDefault="004029B9" w:rsidP="00EA0199">
      <w:pPr>
        <w:rPr>
          <w:rFonts w:asciiTheme="minorHAnsi" w:hAnsiTheme="minorHAnsi" w:cs="Arial"/>
          <w:b/>
          <w:bCs/>
          <w:snapToGrid w:val="0"/>
          <w:sz w:val="24"/>
          <w:szCs w:val="24"/>
          <w:lang w:eastAsia="en-US"/>
        </w:rPr>
      </w:pPr>
      <w:r w:rsidRPr="004029B9">
        <w:rPr>
          <w:rFonts w:asciiTheme="minorHAnsi" w:hAnsiTheme="minorHAnsi" w:cs="Arial"/>
          <w:b/>
          <w:bCs/>
          <w:snapToGrid w:val="0"/>
          <w:sz w:val="24"/>
          <w:szCs w:val="24"/>
          <w:lang w:eastAsia="en-US"/>
        </w:rPr>
        <w:t>Nivolumab for adjuvant melanoma and market review</w:t>
      </w:r>
    </w:p>
    <w:p w14:paraId="0DED8E64" w14:textId="630C9814" w:rsidR="00122D81" w:rsidRPr="00122D81" w:rsidRDefault="00122D81" w:rsidP="00122D81">
      <w:pPr>
        <w:rPr>
          <w:rFonts w:asciiTheme="minorHAnsi" w:eastAsia="MS Mincho" w:hAnsiTheme="minorHAnsi" w:cstheme="minorHAnsi"/>
          <w:bCs/>
          <w:sz w:val="24"/>
          <w:szCs w:val="24"/>
        </w:rPr>
      </w:pPr>
      <w:r>
        <w:rPr>
          <w:rFonts w:asciiTheme="minorHAnsi" w:eastAsia="MS Mincho" w:hAnsiTheme="minorHAnsi" w:cstheme="minorHAnsi"/>
          <w:bCs/>
          <w:sz w:val="24"/>
          <w:szCs w:val="24"/>
        </w:rPr>
        <w:t xml:space="preserve">DUSC reviewed the utilisation of adjuvant nivolumab for melanoma following listing on the PBS in March 2020. </w:t>
      </w:r>
      <w:r w:rsidRPr="00122D81">
        <w:rPr>
          <w:rFonts w:asciiTheme="minorHAnsi" w:eastAsia="MS Mincho" w:hAnsiTheme="minorHAnsi" w:cstheme="minorHAnsi"/>
          <w:bCs/>
          <w:sz w:val="24"/>
          <w:szCs w:val="24"/>
        </w:rPr>
        <w:t xml:space="preserve">In the first year of listing adjuvant nivolumab was utilised by 1,311 patients </w:t>
      </w:r>
      <w:r w:rsidR="00EE7F38">
        <w:rPr>
          <w:rFonts w:asciiTheme="minorHAnsi" w:eastAsia="MS Mincho" w:hAnsiTheme="minorHAnsi" w:cstheme="minorHAnsi"/>
          <w:bCs/>
          <w:sz w:val="24"/>
          <w:szCs w:val="24"/>
        </w:rPr>
        <w:t>while in</w:t>
      </w:r>
      <w:r w:rsidRPr="00122D81">
        <w:rPr>
          <w:rFonts w:asciiTheme="minorHAnsi" w:eastAsia="MS Mincho" w:hAnsiTheme="minorHAnsi" w:cstheme="minorHAnsi"/>
          <w:bCs/>
          <w:sz w:val="24"/>
          <w:szCs w:val="24"/>
        </w:rPr>
        <w:t xml:space="preserve"> the second year of listing adjuvant nivolumab was utilised by 1,120 patients.</w:t>
      </w:r>
      <w:r>
        <w:rPr>
          <w:rFonts w:asciiTheme="minorHAnsi" w:eastAsia="MS Mincho" w:hAnsiTheme="minorHAnsi" w:cstheme="minorHAnsi"/>
          <w:bCs/>
          <w:sz w:val="24"/>
          <w:szCs w:val="24"/>
        </w:rPr>
        <w:t xml:space="preserve"> </w:t>
      </w:r>
      <w:r w:rsidRPr="00122D81">
        <w:rPr>
          <w:rFonts w:asciiTheme="minorHAnsi" w:eastAsia="MS Mincho" w:hAnsiTheme="minorHAnsi" w:cstheme="minorHAnsi"/>
          <w:bCs/>
          <w:sz w:val="24"/>
          <w:szCs w:val="24"/>
        </w:rPr>
        <w:t>Patients initiating on adjuvant nivolumab ranged between 140-190 new patients per quarter.</w:t>
      </w:r>
      <w:r>
        <w:rPr>
          <w:rFonts w:asciiTheme="minorHAnsi" w:eastAsia="MS Mincho" w:hAnsiTheme="minorHAnsi" w:cstheme="minorHAnsi"/>
          <w:bCs/>
          <w:sz w:val="24"/>
          <w:szCs w:val="24"/>
        </w:rPr>
        <w:t xml:space="preserve"> </w:t>
      </w:r>
      <w:r w:rsidRPr="00122D81">
        <w:rPr>
          <w:rFonts w:asciiTheme="minorHAnsi" w:eastAsia="MS Mincho" w:hAnsiTheme="minorHAnsi" w:cstheme="minorHAnsi"/>
          <w:bCs/>
          <w:sz w:val="24"/>
          <w:szCs w:val="24"/>
        </w:rPr>
        <w:t xml:space="preserve">Rate of prescribing of adjuvant nivolumab was as expected with capital cities and Queensland being the primary locations. </w:t>
      </w:r>
    </w:p>
    <w:p w14:paraId="274E7BA4" w14:textId="07CA57C8" w:rsidR="00EA0199" w:rsidRDefault="00EA0199" w:rsidP="00EA0199">
      <w:pPr>
        <w:rPr>
          <w:rFonts w:asciiTheme="minorHAnsi" w:eastAsia="MS Mincho" w:hAnsiTheme="minorHAnsi" w:cstheme="minorHAnsi"/>
          <w:bCs/>
          <w:sz w:val="24"/>
          <w:szCs w:val="24"/>
        </w:rPr>
      </w:pPr>
    </w:p>
    <w:p w14:paraId="101F33E7" w14:textId="1DC53CFB" w:rsidR="004029B9" w:rsidRPr="00C23FF1" w:rsidRDefault="00EA0199" w:rsidP="00EA0199">
      <w:pPr>
        <w:rPr>
          <w:rFonts w:asciiTheme="minorHAnsi" w:eastAsia="MS Mincho" w:hAnsiTheme="minorHAnsi" w:cstheme="minorHAnsi"/>
          <w:bCs/>
          <w:sz w:val="24"/>
          <w:szCs w:val="24"/>
        </w:rPr>
      </w:pPr>
      <w:r w:rsidRPr="00C23FF1">
        <w:rPr>
          <w:rFonts w:asciiTheme="minorHAnsi" w:eastAsia="MS Mincho" w:hAnsiTheme="minorHAnsi" w:cstheme="minorHAnsi"/>
          <w:bCs/>
          <w:sz w:val="24"/>
          <w:szCs w:val="24"/>
        </w:rPr>
        <w:t>DUSC requested that the report be provided to the PBAC.</w:t>
      </w:r>
    </w:p>
    <w:p w14:paraId="76A33FAF" w14:textId="77777777" w:rsidR="00C23FF1" w:rsidRPr="00A10603" w:rsidRDefault="00C23FF1" w:rsidP="00A10603"/>
    <w:p w14:paraId="6FCF26BD" w14:textId="77777777"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05812BC1" w14:textId="62E87737" w:rsidR="000A4C6F" w:rsidRDefault="002B7EE2" w:rsidP="00B976CE">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71525A">
        <w:rPr>
          <w:sz w:val="24"/>
          <w:szCs w:val="24"/>
        </w:rPr>
        <w:t>s</w:t>
      </w:r>
      <w:r w:rsidR="00ED127B">
        <w:rPr>
          <w:sz w:val="24"/>
          <w:szCs w:val="24"/>
        </w:rPr>
        <w:t xml:space="preserve"> </w:t>
      </w:r>
      <w:r w:rsidR="00195A0C">
        <w:rPr>
          <w:sz w:val="24"/>
          <w:szCs w:val="24"/>
        </w:rPr>
        <w:t>was</w:t>
      </w:r>
      <w:r w:rsidR="00D55ED4" w:rsidRPr="00144B72">
        <w:rPr>
          <w:sz w:val="24"/>
          <w:szCs w:val="24"/>
        </w:rPr>
        <w:t xml:space="preserve">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6C94FFEE" w14:textId="77777777" w:rsidR="00B976CE" w:rsidRDefault="00B976CE" w:rsidP="00B976CE">
      <w:pPr>
        <w:rPr>
          <w:sz w:val="24"/>
          <w:szCs w:val="24"/>
        </w:rPr>
      </w:pPr>
    </w:p>
    <w:p w14:paraId="45956FFE" w14:textId="48584573" w:rsidR="00B976CE" w:rsidRPr="00B976CE" w:rsidRDefault="00B976CE" w:rsidP="00B976CE">
      <w:pPr>
        <w:rPr>
          <w:b/>
          <w:bCs/>
          <w:sz w:val="24"/>
          <w:szCs w:val="24"/>
        </w:rPr>
      </w:pPr>
      <w:r w:rsidRPr="00B976CE">
        <w:rPr>
          <w:b/>
          <w:bCs/>
          <w:sz w:val="24"/>
          <w:szCs w:val="24"/>
        </w:rPr>
        <w:t>Predicted versus Actual Utilisation Analysis</w:t>
      </w:r>
    </w:p>
    <w:p w14:paraId="761CE71D" w14:textId="7F7713DA" w:rsidR="00B976CE" w:rsidRDefault="00B976CE" w:rsidP="00B976CE">
      <w:pPr>
        <w:pStyle w:val="ListParagraph"/>
        <w:numPr>
          <w:ilvl w:val="0"/>
          <w:numId w:val="24"/>
        </w:numPr>
        <w:rPr>
          <w:szCs w:val="24"/>
        </w:rPr>
      </w:pPr>
      <w:proofErr w:type="spellStart"/>
      <w:r>
        <w:rPr>
          <w:szCs w:val="24"/>
        </w:rPr>
        <w:t>Evolocumab</w:t>
      </w:r>
      <w:proofErr w:type="spellEnd"/>
      <w:r>
        <w:rPr>
          <w:szCs w:val="24"/>
        </w:rPr>
        <w:t xml:space="preserve"> for </w:t>
      </w:r>
      <w:r w:rsidRPr="00B976CE">
        <w:rPr>
          <w:rFonts w:cs="Calibri"/>
          <w:color w:val="000000"/>
          <w:szCs w:val="24"/>
        </w:rPr>
        <w:t>hypercholesterolaemia</w:t>
      </w:r>
    </w:p>
    <w:p w14:paraId="4ED08110" w14:textId="1E50F0DC" w:rsidR="00B976CE" w:rsidRDefault="00B976CE" w:rsidP="00B976CE">
      <w:pPr>
        <w:rPr>
          <w:szCs w:val="24"/>
        </w:rPr>
      </w:pPr>
    </w:p>
    <w:p w14:paraId="2234F939" w14:textId="2844F13A" w:rsidR="00B976CE" w:rsidRPr="00B976CE" w:rsidRDefault="00B976CE" w:rsidP="00B976CE">
      <w:pPr>
        <w:rPr>
          <w:b/>
          <w:bCs/>
          <w:sz w:val="24"/>
          <w:szCs w:val="24"/>
        </w:rPr>
      </w:pPr>
      <w:r w:rsidRPr="00B976CE">
        <w:rPr>
          <w:b/>
          <w:bCs/>
          <w:sz w:val="24"/>
          <w:szCs w:val="24"/>
        </w:rPr>
        <w:t>Analysis of single or multiple medicines in a treatment area</w:t>
      </w:r>
    </w:p>
    <w:p w14:paraId="77E6F8BC" w14:textId="1C9386D2" w:rsidR="00B976CE" w:rsidRPr="00B976CE" w:rsidRDefault="00B976CE" w:rsidP="00B976CE">
      <w:pPr>
        <w:pStyle w:val="ListParagraph"/>
        <w:numPr>
          <w:ilvl w:val="0"/>
          <w:numId w:val="24"/>
        </w:numPr>
        <w:rPr>
          <w:szCs w:val="24"/>
        </w:rPr>
      </w:pPr>
      <w:r>
        <w:rPr>
          <w:szCs w:val="24"/>
        </w:rPr>
        <w:t xml:space="preserve">Impact of regulatory reforms on </w:t>
      </w:r>
      <w:r w:rsidR="00B129E1">
        <w:rPr>
          <w:szCs w:val="24"/>
        </w:rPr>
        <w:t xml:space="preserve">the </w:t>
      </w:r>
      <w:r>
        <w:rPr>
          <w:szCs w:val="24"/>
        </w:rPr>
        <w:t>utilisation of opioids</w:t>
      </w:r>
    </w:p>
    <w:p w14:paraId="780CCA99" w14:textId="77777777" w:rsidR="00B976CE" w:rsidRPr="00B976CE" w:rsidRDefault="00B976CE" w:rsidP="00B976CE">
      <w:pPr>
        <w:rPr>
          <w:sz w:val="24"/>
          <w:szCs w:val="24"/>
        </w:rPr>
      </w:pPr>
    </w:p>
    <w:p w14:paraId="4778322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6928D97D" w14:textId="77777777" w:rsidR="00313B7D" w:rsidRPr="0062222D" w:rsidRDefault="00313B7D" w:rsidP="008B6946">
      <w:pPr>
        <w:rPr>
          <w:sz w:val="24"/>
          <w:szCs w:val="24"/>
          <w:highlight w:val="yellow"/>
        </w:rPr>
      </w:pPr>
    </w:p>
    <w:p w14:paraId="5F2C90C3" w14:textId="77777777" w:rsidR="009B25AF" w:rsidRPr="0062222D" w:rsidRDefault="009B25AF" w:rsidP="008B6946">
      <w:pPr>
        <w:rPr>
          <w:sz w:val="24"/>
          <w:szCs w:val="24"/>
          <w:highlight w:val="yellow"/>
        </w:rPr>
      </w:pPr>
    </w:p>
    <w:p w14:paraId="4BBA6873" w14:textId="77777777" w:rsidR="00002AE8" w:rsidRPr="00144B72" w:rsidRDefault="00002AE8" w:rsidP="008B6946">
      <w:pPr>
        <w:rPr>
          <w:sz w:val="24"/>
          <w:szCs w:val="24"/>
        </w:rPr>
      </w:pPr>
      <w:r w:rsidRPr="00144B72">
        <w:rPr>
          <w:sz w:val="24"/>
          <w:szCs w:val="24"/>
        </w:rPr>
        <w:t xml:space="preserve">Professor </w:t>
      </w:r>
      <w:r w:rsidR="009341E3" w:rsidRPr="00144B72">
        <w:rPr>
          <w:sz w:val="24"/>
          <w:szCs w:val="24"/>
        </w:rPr>
        <w:t>Chris</w:t>
      </w:r>
      <w:r w:rsidR="00303E60" w:rsidRPr="00144B72">
        <w:rPr>
          <w:sz w:val="24"/>
          <w:szCs w:val="24"/>
        </w:rPr>
        <w:t>topher</w:t>
      </w:r>
      <w:r w:rsidR="009341E3" w:rsidRPr="00144B72">
        <w:rPr>
          <w:sz w:val="24"/>
          <w:szCs w:val="24"/>
        </w:rPr>
        <w:t xml:space="preserve"> Etherton-Beer</w:t>
      </w:r>
    </w:p>
    <w:p w14:paraId="4945D4ED" w14:textId="77777777" w:rsidR="00002AE8" w:rsidRPr="00144B72" w:rsidRDefault="00002AE8" w:rsidP="008B6946">
      <w:pPr>
        <w:rPr>
          <w:sz w:val="24"/>
          <w:szCs w:val="24"/>
        </w:rPr>
      </w:pPr>
      <w:r w:rsidRPr="00144B72">
        <w:rPr>
          <w:sz w:val="24"/>
          <w:szCs w:val="24"/>
        </w:rPr>
        <w:t>Chair</w:t>
      </w:r>
    </w:p>
    <w:p w14:paraId="17065713"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headerReference w:type="even" r:id="rId11"/>
      <w:headerReference w:type="default" r:id="rId12"/>
      <w:footerReference w:type="even" r:id="rId13"/>
      <w:footerReference w:type="default" r:id="rId14"/>
      <w:headerReference w:type="first" r:id="rId15"/>
      <w:footerReference w:type="first" r:id="rId16"/>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A6F3" w14:textId="77777777" w:rsidR="00E04BAC" w:rsidRDefault="00E04BAC">
      <w:r>
        <w:separator/>
      </w:r>
    </w:p>
  </w:endnote>
  <w:endnote w:type="continuationSeparator" w:id="0">
    <w:p w14:paraId="49A3C013" w14:textId="77777777" w:rsidR="00E04BAC" w:rsidRDefault="00E0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C657" w14:textId="77777777" w:rsidR="000A4149" w:rsidRDefault="000A41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11EF7" w14:textId="3BDCF134" w:rsidR="00CA1AA9" w:rsidRDefault="00CA1AA9">
    <w:pPr>
      <w:pStyle w:val="Footer"/>
      <w:jc w:val="center"/>
    </w:pPr>
    <w:r>
      <w:fldChar w:fldCharType="begin"/>
    </w:r>
    <w:r>
      <w:instrText xml:space="preserve"> PAGE   \* MERGEFORMAT </w:instrText>
    </w:r>
    <w:r>
      <w:fldChar w:fldCharType="separate"/>
    </w:r>
    <w:r w:rsidR="00F36829">
      <w:rPr>
        <w:noProof/>
      </w:rPr>
      <w:t>2</w:t>
    </w:r>
    <w:r>
      <w:rPr>
        <w:noProof/>
      </w:rPr>
      <w:fldChar w:fldCharType="end"/>
    </w:r>
  </w:p>
  <w:p w14:paraId="5ADDE283" w14:textId="77777777" w:rsidR="00CA1AA9" w:rsidRDefault="00CA1AA9" w:rsidP="00F1203C">
    <w:pPr>
      <w:pStyle w:val="Footer"/>
      <w:tabs>
        <w:tab w:val="clear" w:pos="4153"/>
        <w:tab w:val="clear" w:pos="8306"/>
        <w:tab w:val="center" w:pos="4666"/>
        <w:tab w:val="right" w:pos="9333"/>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3FA1" w14:textId="64C4E685" w:rsidR="00CA1AA9" w:rsidRDefault="00CA1AA9">
    <w:pPr>
      <w:pStyle w:val="Footer"/>
      <w:jc w:val="center"/>
    </w:pPr>
    <w:r>
      <w:fldChar w:fldCharType="begin"/>
    </w:r>
    <w:r>
      <w:instrText xml:space="preserve"> PAGE   \* MERGEFORMAT </w:instrText>
    </w:r>
    <w:r>
      <w:fldChar w:fldCharType="separate"/>
    </w:r>
    <w:r w:rsidR="00F36829">
      <w:rPr>
        <w:noProof/>
      </w:rPr>
      <w:t>1</w:t>
    </w:r>
    <w:r>
      <w:rPr>
        <w:noProof/>
      </w:rPr>
      <w:fldChar w:fldCharType="end"/>
    </w:r>
  </w:p>
  <w:p w14:paraId="2A26ADC0"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68A3" w14:textId="77777777" w:rsidR="00E04BAC" w:rsidRDefault="00E04BAC">
      <w:r>
        <w:separator/>
      </w:r>
    </w:p>
  </w:footnote>
  <w:footnote w:type="continuationSeparator" w:id="0">
    <w:p w14:paraId="2C363DA1" w14:textId="77777777" w:rsidR="00E04BAC" w:rsidRDefault="00E04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DC8E" w14:textId="77777777" w:rsidR="000A4149" w:rsidRDefault="000A41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23651" w14:textId="77777777" w:rsidR="000A4149" w:rsidRDefault="000A41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B95B" w14:textId="77777777" w:rsidR="00CA1AA9" w:rsidRDefault="00D562AF">
    <w:pPr>
      <w:pStyle w:val="Header"/>
    </w:pPr>
    <w:r>
      <w:rPr>
        <w:noProof/>
      </w:rPr>
      <w:drawing>
        <wp:inline distT="0" distB="0" distL="0" distR="0" wp14:anchorId="358379A2" wp14:editId="0FDE1339">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8BF8132" w14:textId="77777777" w:rsidR="00CA1AA9" w:rsidRPr="00CA347D" w:rsidRDefault="00CA1AA9" w:rsidP="00CA347D">
    <w:pPr>
      <w:pStyle w:val="Heading1"/>
      <w:rPr>
        <w:rStyle w:val="Heading1Char"/>
        <w:b/>
      </w:rPr>
    </w:pPr>
    <w:r w:rsidRPr="00CA347D">
      <w:rPr>
        <w:rStyle w:val="Heading1Char"/>
        <w:b/>
      </w:rPr>
      <w:t>Drug Utilisation Sub-Committee</w:t>
    </w:r>
  </w:p>
  <w:p w14:paraId="25CC2A4A" w14:textId="30AA812D" w:rsidR="00CA1AA9" w:rsidRPr="00CA347D" w:rsidRDefault="00CA1AA9" w:rsidP="00CA347D">
    <w:pPr>
      <w:pStyle w:val="Heading1"/>
    </w:pPr>
    <w:r w:rsidRPr="00CA347D">
      <w:rPr>
        <w:rStyle w:val="Heading1Char"/>
        <w:b/>
      </w:rPr>
      <w:t xml:space="preserve">Outcome Statement </w:t>
    </w:r>
    <w:r w:rsidR="000A4149">
      <w:rPr>
        <w:rStyle w:val="Heading1Char"/>
        <w:b/>
      </w:rPr>
      <w:t>29</w:t>
    </w:r>
    <w:r w:rsidR="000A4149" w:rsidRPr="001E115C">
      <w:rPr>
        <w:rStyle w:val="Heading1Char"/>
        <w:b/>
        <w:vertAlign w:val="superscript"/>
      </w:rPr>
      <w:t>th</w:t>
    </w:r>
    <w:r w:rsidR="000A4149">
      <w:rPr>
        <w:rStyle w:val="Heading1Char"/>
        <w:b/>
      </w:rPr>
      <w:t xml:space="preserve"> September -</w:t>
    </w:r>
    <w:r w:rsidR="001E115C">
      <w:rPr>
        <w:rStyle w:val="Heading1Char"/>
        <w:b/>
      </w:rPr>
      <w:t xml:space="preserve"> </w:t>
    </w:r>
    <w:r w:rsidR="000A4149">
      <w:rPr>
        <w:rStyle w:val="Heading1Char"/>
        <w:b/>
      </w:rPr>
      <w:t>30</w:t>
    </w:r>
    <w:r w:rsidR="000A4149" w:rsidRPr="000A4149">
      <w:rPr>
        <w:rStyle w:val="Heading1Char"/>
        <w:b/>
        <w:vertAlign w:val="superscript"/>
      </w:rPr>
      <w:t>th</w:t>
    </w:r>
    <w:r w:rsidR="000A4149">
      <w:rPr>
        <w:rStyle w:val="Heading1Char"/>
        <w:b/>
      </w:rPr>
      <w:t xml:space="preserve"> September</w:t>
    </w:r>
    <w:r w:rsidR="00CE1361">
      <w:rPr>
        <w:rStyle w:val="Heading1Char"/>
        <w:b/>
      </w:rPr>
      <w:t xml:space="preserve"> 202</w:t>
    </w:r>
    <w:r w:rsidR="009F61DE">
      <w:rPr>
        <w:rStyle w:val="Heading1Char"/>
        <w:b/>
      </w:rPr>
      <w:t>2</w:t>
    </w:r>
  </w:p>
  <w:p w14:paraId="247F2B88"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5035"/>
    <w:multiLevelType w:val="hybridMultilevel"/>
    <w:tmpl w:val="95C88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C23E63"/>
    <w:multiLevelType w:val="hybridMultilevel"/>
    <w:tmpl w:val="5DA2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5F1BD8"/>
    <w:multiLevelType w:val="hybridMultilevel"/>
    <w:tmpl w:val="E64CB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54543"/>
    <w:multiLevelType w:val="hybridMultilevel"/>
    <w:tmpl w:val="B45C9D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start w:val="1"/>
      <w:numFmt w:val="bullet"/>
      <w:lvlText w:val=""/>
      <w:lvlJc w:val="left"/>
      <w:pPr>
        <w:ind w:left="5760" w:hanging="360"/>
      </w:pPr>
      <w:rPr>
        <w:rFonts w:ascii="Symbol" w:hAnsi="Symbol" w:hint="default"/>
      </w:rPr>
    </w:lvl>
    <w:lvl w:ilvl="4" w:tplc="0C090003">
      <w:start w:val="1"/>
      <w:numFmt w:val="bullet"/>
      <w:lvlText w:val="o"/>
      <w:lvlJc w:val="left"/>
      <w:pPr>
        <w:ind w:left="6480" w:hanging="360"/>
      </w:pPr>
      <w:rPr>
        <w:rFonts w:ascii="Courier New" w:hAnsi="Courier New" w:cs="Courier New" w:hint="default"/>
      </w:rPr>
    </w:lvl>
    <w:lvl w:ilvl="5" w:tplc="0C090005">
      <w:start w:val="1"/>
      <w:numFmt w:val="bullet"/>
      <w:lvlText w:val=""/>
      <w:lvlJc w:val="left"/>
      <w:pPr>
        <w:ind w:left="7200" w:hanging="360"/>
      </w:pPr>
      <w:rPr>
        <w:rFonts w:ascii="Wingdings" w:hAnsi="Wingdings" w:hint="default"/>
      </w:rPr>
    </w:lvl>
    <w:lvl w:ilvl="6" w:tplc="0C090001">
      <w:start w:val="1"/>
      <w:numFmt w:val="bullet"/>
      <w:lvlText w:val=""/>
      <w:lvlJc w:val="left"/>
      <w:pPr>
        <w:ind w:left="7920" w:hanging="360"/>
      </w:pPr>
      <w:rPr>
        <w:rFonts w:ascii="Symbol" w:hAnsi="Symbol" w:hint="default"/>
      </w:rPr>
    </w:lvl>
    <w:lvl w:ilvl="7" w:tplc="0C090003">
      <w:start w:val="1"/>
      <w:numFmt w:val="bullet"/>
      <w:lvlText w:val="o"/>
      <w:lvlJc w:val="left"/>
      <w:pPr>
        <w:ind w:left="8640" w:hanging="360"/>
      </w:pPr>
      <w:rPr>
        <w:rFonts w:ascii="Courier New" w:hAnsi="Courier New" w:cs="Courier New" w:hint="default"/>
      </w:rPr>
    </w:lvl>
    <w:lvl w:ilvl="8" w:tplc="0C090005">
      <w:start w:val="1"/>
      <w:numFmt w:val="bullet"/>
      <w:lvlText w:val=""/>
      <w:lvlJc w:val="left"/>
      <w:pPr>
        <w:ind w:left="9360" w:hanging="360"/>
      </w:pPr>
      <w:rPr>
        <w:rFonts w:ascii="Wingdings" w:hAnsi="Wingdings" w:hint="default"/>
      </w:rPr>
    </w:lvl>
  </w:abstractNum>
  <w:abstractNum w:abstractNumId="8" w15:restartNumberingAfterBreak="0">
    <w:nsid w:val="2B2A33CB"/>
    <w:multiLevelType w:val="hybridMultilevel"/>
    <w:tmpl w:val="FAD8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4E501D"/>
    <w:multiLevelType w:val="hybridMultilevel"/>
    <w:tmpl w:val="890CF5DC"/>
    <w:lvl w:ilvl="0" w:tplc="7F94C94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570442E"/>
    <w:multiLevelType w:val="hybridMultilevel"/>
    <w:tmpl w:val="B5A278D6"/>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0"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8953ABC"/>
    <w:multiLevelType w:val="hybridMultilevel"/>
    <w:tmpl w:val="19BA7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DC55DA"/>
    <w:multiLevelType w:val="hybridMultilevel"/>
    <w:tmpl w:val="C7909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0"/>
  </w:num>
  <w:num w:numId="4">
    <w:abstractNumId w:val="6"/>
  </w:num>
  <w:num w:numId="5">
    <w:abstractNumId w:val="12"/>
  </w:num>
  <w:num w:numId="6">
    <w:abstractNumId w:val="9"/>
  </w:num>
  <w:num w:numId="7">
    <w:abstractNumId w:val="5"/>
  </w:num>
  <w:num w:numId="8">
    <w:abstractNumId w:val="18"/>
  </w:num>
  <w:num w:numId="9">
    <w:abstractNumId w:val="11"/>
  </w:num>
  <w:num w:numId="10">
    <w:abstractNumId w:val="21"/>
  </w:num>
  <w:num w:numId="11">
    <w:abstractNumId w:val="16"/>
  </w:num>
  <w:num w:numId="12">
    <w:abstractNumId w:val="17"/>
  </w:num>
  <w:num w:numId="13">
    <w:abstractNumId w:val="14"/>
  </w:num>
  <w:num w:numId="14">
    <w:abstractNumId w:val="3"/>
  </w:num>
  <w:num w:numId="15">
    <w:abstractNumId w:val="15"/>
  </w:num>
  <w:num w:numId="16">
    <w:abstractNumId w:val="7"/>
  </w:num>
  <w:num w:numId="17">
    <w:abstractNumId w:val="19"/>
  </w:num>
  <w:num w:numId="18">
    <w:abstractNumId w:val="2"/>
  </w:num>
  <w:num w:numId="19">
    <w:abstractNumId w:val="23"/>
  </w:num>
  <w:num w:numId="20">
    <w:abstractNumId w:val="22"/>
  </w:num>
  <w:num w:numId="21">
    <w:abstractNumId w:val="0"/>
  </w:num>
  <w:num w:numId="22">
    <w:abstractNumId w:val="1"/>
  </w:num>
  <w:num w:numId="23">
    <w:abstractNumId w:val="4"/>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ED8"/>
    <w:rsid w:val="0000190C"/>
    <w:rsid w:val="00002AE8"/>
    <w:rsid w:val="00006EF5"/>
    <w:rsid w:val="00007D7D"/>
    <w:rsid w:val="00010EA8"/>
    <w:rsid w:val="00011A32"/>
    <w:rsid w:val="000134E0"/>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57A"/>
    <w:rsid w:val="00060B95"/>
    <w:rsid w:val="00061505"/>
    <w:rsid w:val="0006189D"/>
    <w:rsid w:val="00061BD3"/>
    <w:rsid w:val="00064CA1"/>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4149"/>
    <w:rsid w:val="000A4C6F"/>
    <w:rsid w:val="000A53A6"/>
    <w:rsid w:val="000B0B5A"/>
    <w:rsid w:val="000B14A0"/>
    <w:rsid w:val="000B52EE"/>
    <w:rsid w:val="000B5448"/>
    <w:rsid w:val="000C1D0B"/>
    <w:rsid w:val="000C2B83"/>
    <w:rsid w:val="000C58C8"/>
    <w:rsid w:val="000C6EC9"/>
    <w:rsid w:val="000D2142"/>
    <w:rsid w:val="000D6712"/>
    <w:rsid w:val="000E178A"/>
    <w:rsid w:val="000E18F9"/>
    <w:rsid w:val="000E23E6"/>
    <w:rsid w:val="000F3387"/>
    <w:rsid w:val="000F3F38"/>
    <w:rsid w:val="000F4968"/>
    <w:rsid w:val="000F5C42"/>
    <w:rsid w:val="000F70AE"/>
    <w:rsid w:val="000F73FB"/>
    <w:rsid w:val="000F7CE1"/>
    <w:rsid w:val="00101877"/>
    <w:rsid w:val="00102579"/>
    <w:rsid w:val="00103AB0"/>
    <w:rsid w:val="001062BB"/>
    <w:rsid w:val="00106A1B"/>
    <w:rsid w:val="001071DA"/>
    <w:rsid w:val="001145B4"/>
    <w:rsid w:val="001173AC"/>
    <w:rsid w:val="001215D4"/>
    <w:rsid w:val="00121F43"/>
    <w:rsid w:val="001223D1"/>
    <w:rsid w:val="00122D81"/>
    <w:rsid w:val="00123237"/>
    <w:rsid w:val="00127795"/>
    <w:rsid w:val="00134CAD"/>
    <w:rsid w:val="00136203"/>
    <w:rsid w:val="00137CE5"/>
    <w:rsid w:val="00140B94"/>
    <w:rsid w:val="00140CAF"/>
    <w:rsid w:val="00141172"/>
    <w:rsid w:val="00142512"/>
    <w:rsid w:val="00144B72"/>
    <w:rsid w:val="00151940"/>
    <w:rsid w:val="00152272"/>
    <w:rsid w:val="001528A6"/>
    <w:rsid w:val="00153667"/>
    <w:rsid w:val="0015401F"/>
    <w:rsid w:val="00154D0A"/>
    <w:rsid w:val="00160EF6"/>
    <w:rsid w:val="001667C1"/>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5A0C"/>
    <w:rsid w:val="001967A9"/>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6C85"/>
    <w:rsid w:val="001C7C04"/>
    <w:rsid w:val="001D07EF"/>
    <w:rsid w:val="001D6301"/>
    <w:rsid w:val="001E115C"/>
    <w:rsid w:val="001E2022"/>
    <w:rsid w:val="001E4D54"/>
    <w:rsid w:val="001E50B6"/>
    <w:rsid w:val="001E682A"/>
    <w:rsid w:val="001F33DA"/>
    <w:rsid w:val="001F4200"/>
    <w:rsid w:val="001F55F5"/>
    <w:rsid w:val="001F6850"/>
    <w:rsid w:val="001F7E8B"/>
    <w:rsid w:val="001F7F87"/>
    <w:rsid w:val="00200BA3"/>
    <w:rsid w:val="00203342"/>
    <w:rsid w:val="00203986"/>
    <w:rsid w:val="00204055"/>
    <w:rsid w:val="00205AEF"/>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13AE"/>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4D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063F"/>
    <w:rsid w:val="003026E0"/>
    <w:rsid w:val="00303E60"/>
    <w:rsid w:val="00305306"/>
    <w:rsid w:val="00307211"/>
    <w:rsid w:val="00307F20"/>
    <w:rsid w:val="00312E8E"/>
    <w:rsid w:val="00313B7D"/>
    <w:rsid w:val="00313FED"/>
    <w:rsid w:val="00315152"/>
    <w:rsid w:val="00320032"/>
    <w:rsid w:val="00321450"/>
    <w:rsid w:val="0032170F"/>
    <w:rsid w:val="00324E38"/>
    <w:rsid w:val="00325C25"/>
    <w:rsid w:val="0032620A"/>
    <w:rsid w:val="00330ADB"/>
    <w:rsid w:val="0033439A"/>
    <w:rsid w:val="00334C67"/>
    <w:rsid w:val="00335BE5"/>
    <w:rsid w:val="003361C9"/>
    <w:rsid w:val="00336E3A"/>
    <w:rsid w:val="00337241"/>
    <w:rsid w:val="003409D6"/>
    <w:rsid w:val="003448FC"/>
    <w:rsid w:val="003449AA"/>
    <w:rsid w:val="003468B6"/>
    <w:rsid w:val="00347E17"/>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87891"/>
    <w:rsid w:val="003917EE"/>
    <w:rsid w:val="003923CC"/>
    <w:rsid w:val="00394958"/>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082E"/>
    <w:rsid w:val="003E1ED8"/>
    <w:rsid w:val="003E601F"/>
    <w:rsid w:val="003E60A4"/>
    <w:rsid w:val="003E70CA"/>
    <w:rsid w:val="003E7E2E"/>
    <w:rsid w:val="003F0120"/>
    <w:rsid w:val="003F021A"/>
    <w:rsid w:val="003F06C8"/>
    <w:rsid w:val="003F1DCA"/>
    <w:rsid w:val="004029B9"/>
    <w:rsid w:val="00405743"/>
    <w:rsid w:val="00406FC4"/>
    <w:rsid w:val="00411CB6"/>
    <w:rsid w:val="00412451"/>
    <w:rsid w:val="004131AF"/>
    <w:rsid w:val="00414012"/>
    <w:rsid w:val="00415BE7"/>
    <w:rsid w:val="0042032E"/>
    <w:rsid w:val="00420E99"/>
    <w:rsid w:val="0042129E"/>
    <w:rsid w:val="004213FB"/>
    <w:rsid w:val="00421874"/>
    <w:rsid w:val="00423C42"/>
    <w:rsid w:val="004279D6"/>
    <w:rsid w:val="00435449"/>
    <w:rsid w:val="004374C3"/>
    <w:rsid w:val="0044076B"/>
    <w:rsid w:val="0044367B"/>
    <w:rsid w:val="004438C3"/>
    <w:rsid w:val="0044413E"/>
    <w:rsid w:val="00445679"/>
    <w:rsid w:val="0044713E"/>
    <w:rsid w:val="00451ABF"/>
    <w:rsid w:val="004521E9"/>
    <w:rsid w:val="00455C86"/>
    <w:rsid w:val="004566A9"/>
    <w:rsid w:val="0045724C"/>
    <w:rsid w:val="004600DF"/>
    <w:rsid w:val="00461EAF"/>
    <w:rsid w:val="00462695"/>
    <w:rsid w:val="00462A3B"/>
    <w:rsid w:val="00463497"/>
    <w:rsid w:val="004637FA"/>
    <w:rsid w:val="00463B7E"/>
    <w:rsid w:val="00465EED"/>
    <w:rsid w:val="00466242"/>
    <w:rsid w:val="00471240"/>
    <w:rsid w:val="00471899"/>
    <w:rsid w:val="00473DA7"/>
    <w:rsid w:val="00473E7A"/>
    <w:rsid w:val="0047415B"/>
    <w:rsid w:val="00477500"/>
    <w:rsid w:val="00477A9F"/>
    <w:rsid w:val="00477B65"/>
    <w:rsid w:val="00481254"/>
    <w:rsid w:val="004839FE"/>
    <w:rsid w:val="00484F63"/>
    <w:rsid w:val="004858C6"/>
    <w:rsid w:val="00487B49"/>
    <w:rsid w:val="00491723"/>
    <w:rsid w:val="0049330F"/>
    <w:rsid w:val="0049403E"/>
    <w:rsid w:val="00496AC8"/>
    <w:rsid w:val="004A055D"/>
    <w:rsid w:val="004A362A"/>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57FE"/>
    <w:rsid w:val="004F60E0"/>
    <w:rsid w:val="004F6113"/>
    <w:rsid w:val="004F6927"/>
    <w:rsid w:val="004F6E52"/>
    <w:rsid w:val="00503251"/>
    <w:rsid w:val="00503449"/>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1441"/>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C6E50"/>
    <w:rsid w:val="005D1BB0"/>
    <w:rsid w:val="005D4EB2"/>
    <w:rsid w:val="005D696D"/>
    <w:rsid w:val="005E116A"/>
    <w:rsid w:val="005E11DF"/>
    <w:rsid w:val="005E14B6"/>
    <w:rsid w:val="005E1889"/>
    <w:rsid w:val="005E1E28"/>
    <w:rsid w:val="005E4D8D"/>
    <w:rsid w:val="005E6641"/>
    <w:rsid w:val="005E71D4"/>
    <w:rsid w:val="005E77F8"/>
    <w:rsid w:val="005E7DF8"/>
    <w:rsid w:val="005F19FA"/>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27C4"/>
    <w:rsid w:val="00613A63"/>
    <w:rsid w:val="006146D0"/>
    <w:rsid w:val="0061504D"/>
    <w:rsid w:val="0062222D"/>
    <w:rsid w:val="00622522"/>
    <w:rsid w:val="0062292F"/>
    <w:rsid w:val="006231FB"/>
    <w:rsid w:val="0062459E"/>
    <w:rsid w:val="006255FF"/>
    <w:rsid w:val="00626FE7"/>
    <w:rsid w:val="006314E6"/>
    <w:rsid w:val="00635EA5"/>
    <w:rsid w:val="00640199"/>
    <w:rsid w:val="0064252F"/>
    <w:rsid w:val="006431B8"/>
    <w:rsid w:val="00645035"/>
    <w:rsid w:val="00647F2B"/>
    <w:rsid w:val="00651A8E"/>
    <w:rsid w:val="0065343B"/>
    <w:rsid w:val="00660972"/>
    <w:rsid w:val="00665A90"/>
    <w:rsid w:val="00667381"/>
    <w:rsid w:val="00670BD6"/>
    <w:rsid w:val="00670E22"/>
    <w:rsid w:val="006723D5"/>
    <w:rsid w:val="00673FCC"/>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36D"/>
    <w:rsid w:val="006D3D4A"/>
    <w:rsid w:val="006D3F5D"/>
    <w:rsid w:val="006D69D9"/>
    <w:rsid w:val="006D6B4B"/>
    <w:rsid w:val="006D7038"/>
    <w:rsid w:val="006E08E0"/>
    <w:rsid w:val="006E0D82"/>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0E56"/>
    <w:rsid w:val="00702F49"/>
    <w:rsid w:val="00703C4C"/>
    <w:rsid w:val="007048E7"/>
    <w:rsid w:val="00704A47"/>
    <w:rsid w:val="00704FED"/>
    <w:rsid w:val="00705DC6"/>
    <w:rsid w:val="00706AF7"/>
    <w:rsid w:val="00706F2D"/>
    <w:rsid w:val="0071514B"/>
    <w:rsid w:val="0071525A"/>
    <w:rsid w:val="0071558A"/>
    <w:rsid w:val="00715E10"/>
    <w:rsid w:val="007166A9"/>
    <w:rsid w:val="00722564"/>
    <w:rsid w:val="0072634E"/>
    <w:rsid w:val="00726FE1"/>
    <w:rsid w:val="007327B8"/>
    <w:rsid w:val="00735BBE"/>
    <w:rsid w:val="0073626D"/>
    <w:rsid w:val="007404D8"/>
    <w:rsid w:val="00741108"/>
    <w:rsid w:val="00741B42"/>
    <w:rsid w:val="0074244E"/>
    <w:rsid w:val="0074399F"/>
    <w:rsid w:val="007444F1"/>
    <w:rsid w:val="00746212"/>
    <w:rsid w:val="00747495"/>
    <w:rsid w:val="00751B88"/>
    <w:rsid w:val="00753580"/>
    <w:rsid w:val="00753AE8"/>
    <w:rsid w:val="00753D42"/>
    <w:rsid w:val="00754322"/>
    <w:rsid w:val="00755BF3"/>
    <w:rsid w:val="00756332"/>
    <w:rsid w:val="0076008F"/>
    <w:rsid w:val="007605B0"/>
    <w:rsid w:val="00761116"/>
    <w:rsid w:val="00764AF4"/>
    <w:rsid w:val="00766D92"/>
    <w:rsid w:val="00766DBB"/>
    <w:rsid w:val="007830A6"/>
    <w:rsid w:val="00783E2D"/>
    <w:rsid w:val="0079098A"/>
    <w:rsid w:val="00792D24"/>
    <w:rsid w:val="00795727"/>
    <w:rsid w:val="007958F3"/>
    <w:rsid w:val="0079709F"/>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4F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290B"/>
    <w:rsid w:val="007F62FA"/>
    <w:rsid w:val="007F6799"/>
    <w:rsid w:val="007F7611"/>
    <w:rsid w:val="00802343"/>
    <w:rsid w:val="00802954"/>
    <w:rsid w:val="00802ACC"/>
    <w:rsid w:val="008032CF"/>
    <w:rsid w:val="008032DE"/>
    <w:rsid w:val="00806FF3"/>
    <w:rsid w:val="00812097"/>
    <w:rsid w:val="00812A58"/>
    <w:rsid w:val="00812E43"/>
    <w:rsid w:val="00813C07"/>
    <w:rsid w:val="008164AB"/>
    <w:rsid w:val="008226BA"/>
    <w:rsid w:val="008232E9"/>
    <w:rsid w:val="0082396C"/>
    <w:rsid w:val="00824D2F"/>
    <w:rsid w:val="00825E26"/>
    <w:rsid w:val="00833148"/>
    <w:rsid w:val="00833909"/>
    <w:rsid w:val="00834AC0"/>
    <w:rsid w:val="0083575E"/>
    <w:rsid w:val="008368CC"/>
    <w:rsid w:val="008376F6"/>
    <w:rsid w:val="0084274F"/>
    <w:rsid w:val="00843448"/>
    <w:rsid w:val="00844137"/>
    <w:rsid w:val="008443DF"/>
    <w:rsid w:val="00846370"/>
    <w:rsid w:val="00846541"/>
    <w:rsid w:val="00851077"/>
    <w:rsid w:val="00855B59"/>
    <w:rsid w:val="00857960"/>
    <w:rsid w:val="00861968"/>
    <w:rsid w:val="00861B30"/>
    <w:rsid w:val="00865608"/>
    <w:rsid w:val="00866941"/>
    <w:rsid w:val="008671AC"/>
    <w:rsid w:val="008730E5"/>
    <w:rsid w:val="0087516C"/>
    <w:rsid w:val="008828B6"/>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4D0B"/>
    <w:rsid w:val="008C6053"/>
    <w:rsid w:val="008C7ED8"/>
    <w:rsid w:val="008D0DA2"/>
    <w:rsid w:val="008D40EE"/>
    <w:rsid w:val="008E0DFD"/>
    <w:rsid w:val="008E4589"/>
    <w:rsid w:val="008E66D2"/>
    <w:rsid w:val="008E75E5"/>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132B"/>
    <w:rsid w:val="009230A9"/>
    <w:rsid w:val="009237FF"/>
    <w:rsid w:val="00923CBA"/>
    <w:rsid w:val="00923DCB"/>
    <w:rsid w:val="009245B3"/>
    <w:rsid w:val="00926116"/>
    <w:rsid w:val="009261D7"/>
    <w:rsid w:val="009307DE"/>
    <w:rsid w:val="00933D66"/>
    <w:rsid w:val="009341E3"/>
    <w:rsid w:val="00940287"/>
    <w:rsid w:val="009427BA"/>
    <w:rsid w:val="00943ADF"/>
    <w:rsid w:val="00944C79"/>
    <w:rsid w:val="0094562D"/>
    <w:rsid w:val="009562F1"/>
    <w:rsid w:val="00957BA4"/>
    <w:rsid w:val="00957DBC"/>
    <w:rsid w:val="00965552"/>
    <w:rsid w:val="0096600D"/>
    <w:rsid w:val="0096605A"/>
    <w:rsid w:val="009671FF"/>
    <w:rsid w:val="00975BCB"/>
    <w:rsid w:val="009760B1"/>
    <w:rsid w:val="00982C4C"/>
    <w:rsid w:val="00990492"/>
    <w:rsid w:val="0099244F"/>
    <w:rsid w:val="009950E1"/>
    <w:rsid w:val="0099648E"/>
    <w:rsid w:val="00997DB5"/>
    <w:rsid w:val="009A22C0"/>
    <w:rsid w:val="009B25AF"/>
    <w:rsid w:val="009B62DA"/>
    <w:rsid w:val="009C32BA"/>
    <w:rsid w:val="009C3860"/>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345B"/>
    <w:rsid w:val="009E5AA4"/>
    <w:rsid w:val="009E5D90"/>
    <w:rsid w:val="009E754B"/>
    <w:rsid w:val="009F1A70"/>
    <w:rsid w:val="009F37E6"/>
    <w:rsid w:val="009F44EE"/>
    <w:rsid w:val="009F597A"/>
    <w:rsid w:val="009F5D71"/>
    <w:rsid w:val="009F61DE"/>
    <w:rsid w:val="009F7D69"/>
    <w:rsid w:val="00A02C13"/>
    <w:rsid w:val="00A06FDB"/>
    <w:rsid w:val="00A10603"/>
    <w:rsid w:val="00A1378E"/>
    <w:rsid w:val="00A13CD6"/>
    <w:rsid w:val="00A140B4"/>
    <w:rsid w:val="00A20CBD"/>
    <w:rsid w:val="00A23071"/>
    <w:rsid w:val="00A24070"/>
    <w:rsid w:val="00A258B3"/>
    <w:rsid w:val="00A27FE5"/>
    <w:rsid w:val="00A33086"/>
    <w:rsid w:val="00A340B2"/>
    <w:rsid w:val="00A34A8E"/>
    <w:rsid w:val="00A372EE"/>
    <w:rsid w:val="00A42B7A"/>
    <w:rsid w:val="00A432AE"/>
    <w:rsid w:val="00A453E3"/>
    <w:rsid w:val="00A45D73"/>
    <w:rsid w:val="00A471E2"/>
    <w:rsid w:val="00A479B7"/>
    <w:rsid w:val="00A479D4"/>
    <w:rsid w:val="00A5019B"/>
    <w:rsid w:val="00A50646"/>
    <w:rsid w:val="00A50FB6"/>
    <w:rsid w:val="00A50FF8"/>
    <w:rsid w:val="00A52067"/>
    <w:rsid w:val="00A52E9A"/>
    <w:rsid w:val="00A5419F"/>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23A2"/>
    <w:rsid w:val="00AA45FE"/>
    <w:rsid w:val="00AA5D66"/>
    <w:rsid w:val="00AA7FC1"/>
    <w:rsid w:val="00AB154D"/>
    <w:rsid w:val="00AB2981"/>
    <w:rsid w:val="00AB4A37"/>
    <w:rsid w:val="00AB6DF6"/>
    <w:rsid w:val="00AC42CE"/>
    <w:rsid w:val="00AC6543"/>
    <w:rsid w:val="00AD3D16"/>
    <w:rsid w:val="00AD405E"/>
    <w:rsid w:val="00AD52F5"/>
    <w:rsid w:val="00AD61AC"/>
    <w:rsid w:val="00AE0098"/>
    <w:rsid w:val="00AE0F62"/>
    <w:rsid w:val="00AE2C4F"/>
    <w:rsid w:val="00AE46E7"/>
    <w:rsid w:val="00AE47EB"/>
    <w:rsid w:val="00AE5790"/>
    <w:rsid w:val="00AE5D15"/>
    <w:rsid w:val="00AE7D19"/>
    <w:rsid w:val="00AF1FCD"/>
    <w:rsid w:val="00AF54A2"/>
    <w:rsid w:val="00AF646A"/>
    <w:rsid w:val="00B0144A"/>
    <w:rsid w:val="00B028E7"/>
    <w:rsid w:val="00B12248"/>
    <w:rsid w:val="00B129E1"/>
    <w:rsid w:val="00B12B2F"/>
    <w:rsid w:val="00B13246"/>
    <w:rsid w:val="00B171C5"/>
    <w:rsid w:val="00B17AE9"/>
    <w:rsid w:val="00B17B4F"/>
    <w:rsid w:val="00B20125"/>
    <w:rsid w:val="00B20269"/>
    <w:rsid w:val="00B20546"/>
    <w:rsid w:val="00B25209"/>
    <w:rsid w:val="00B26023"/>
    <w:rsid w:val="00B2765B"/>
    <w:rsid w:val="00B36BA0"/>
    <w:rsid w:val="00B41D14"/>
    <w:rsid w:val="00B434A2"/>
    <w:rsid w:val="00B471D0"/>
    <w:rsid w:val="00B47E46"/>
    <w:rsid w:val="00B51A8A"/>
    <w:rsid w:val="00B529E3"/>
    <w:rsid w:val="00B53CE1"/>
    <w:rsid w:val="00B54909"/>
    <w:rsid w:val="00B54AC5"/>
    <w:rsid w:val="00B54D25"/>
    <w:rsid w:val="00B561D0"/>
    <w:rsid w:val="00B60A40"/>
    <w:rsid w:val="00B613BB"/>
    <w:rsid w:val="00B636E4"/>
    <w:rsid w:val="00B66DA3"/>
    <w:rsid w:val="00B66FD7"/>
    <w:rsid w:val="00B679AA"/>
    <w:rsid w:val="00B721AD"/>
    <w:rsid w:val="00B73D79"/>
    <w:rsid w:val="00B73EC0"/>
    <w:rsid w:val="00B748A3"/>
    <w:rsid w:val="00B83E80"/>
    <w:rsid w:val="00B8425D"/>
    <w:rsid w:val="00B85744"/>
    <w:rsid w:val="00B92105"/>
    <w:rsid w:val="00B93651"/>
    <w:rsid w:val="00B94D51"/>
    <w:rsid w:val="00B94E75"/>
    <w:rsid w:val="00B976CE"/>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1C3"/>
    <w:rsid w:val="00BE2B0F"/>
    <w:rsid w:val="00BE2C79"/>
    <w:rsid w:val="00BE4800"/>
    <w:rsid w:val="00BE786B"/>
    <w:rsid w:val="00BE7AE1"/>
    <w:rsid w:val="00BF1645"/>
    <w:rsid w:val="00BF1737"/>
    <w:rsid w:val="00BF1F11"/>
    <w:rsid w:val="00BF5017"/>
    <w:rsid w:val="00BF5414"/>
    <w:rsid w:val="00BF5B1D"/>
    <w:rsid w:val="00BF7758"/>
    <w:rsid w:val="00BF7B3F"/>
    <w:rsid w:val="00BF7E3D"/>
    <w:rsid w:val="00C04EF5"/>
    <w:rsid w:val="00C0559C"/>
    <w:rsid w:val="00C05DF1"/>
    <w:rsid w:val="00C071EA"/>
    <w:rsid w:val="00C10F2E"/>
    <w:rsid w:val="00C116AA"/>
    <w:rsid w:val="00C1278B"/>
    <w:rsid w:val="00C14149"/>
    <w:rsid w:val="00C14FE4"/>
    <w:rsid w:val="00C17CD9"/>
    <w:rsid w:val="00C201AF"/>
    <w:rsid w:val="00C20C99"/>
    <w:rsid w:val="00C23158"/>
    <w:rsid w:val="00C23FF1"/>
    <w:rsid w:val="00C3139E"/>
    <w:rsid w:val="00C3191A"/>
    <w:rsid w:val="00C34468"/>
    <w:rsid w:val="00C372F8"/>
    <w:rsid w:val="00C37A17"/>
    <w:rsid w:val="00C41DF1"/>
    <w:rsid w:val="00C4229D"/>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C00"/>
    <w:rsid w:val="00C70D16"/>
    <w:rsid w:val="00C720BE"/>
    <w:rsid w:val="00C721CF"/>
    <w:rsid w:val="00C72A99"/>
    <w:rsid w:val="00C73D5B"/>
    <w:rsid w:val="00C74A39"/>
    <w:rsid w:val="00C750B3"/>
    <w:rsid w:val="00C76321"/>
    <w:rsid w:val="00C77308"/>
    <w:rsid w:val="00C804FD"/>
    <w:rsid w:val="00C814DC"/>
    <w:rsid w:val="00C83918"/>
    <w:rsid w:val="00C844E5"/>
    <w:rsid w:val="00C85D05"/>
    <w:rsid w:val="00C9017B"/>
    <w:rsid w:val="00C93804"/>
    <w:rsid w:val="00C96777"/>
    <w:rsid w:val="00CA1100"/>
    <w:rsid w:val="00CA1A98"/>
    <w:rsid w:val="00CA1AA9"/>
    <w:rsid w:val="00CA347D"/>
    <w:rsid w:val="00CA5646"/>
    <w:rsid w:val="00CA6D48"/>
    <w:rsid w:val="00CA6D85"/>
    <w:rsid w:val="00CA78D9"/>
    <w:rsid w:val="00CB1889"/>
    <w:rsid w:val="00CB29E2"/>
    <w:rsid w:val="00CC4E06"/>
    <w:rsid w:val="00CC4F1F"/>
    <w:rsid w:val="00CD1FF1"/>
    <w:rsid w:val="00CD3D32"/>
    <w:rsid w:val="00CD4F83"/>
    <w:rsid w:val="00CD70B0"/>
    <w:rsid w:val="00CD748A"/>
    <w:rsid w:val="00CD7B6B"/>
    <w:rsid w:val="00CE106A"/>
    <w:rsid w:val="00CE1361"/>
    <w:rsid w:val="00CE18BF"/>
    <w:rsid w:val="00CE2340"/>
    <w:rsid w:val="00CE2E5D"/>
    <w:rsid w:val="00CE3022"/>
    <w:rsid w:val="00CE505F"/>
    <w:rsid w:val="00CE507E"/>
    <w:rsid w:val="00CE77BB"/>
    <w:rsid w:val="00CE78AE"/>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23"/>
    <w:rsid w:val="00D71C86"/>
    <w:rsid w:val="00D73D6C"/>
    <w:rsid w:val="00D74700"/>
    <w:rsid w:val="00D75023"/>
    <w:rsid w:val="00D758A2"/>
    <w:rsid w:val="00D75B7D"/>
    <w:rsid w:val="00D75B8D"/>
    <w:rsid w:val="00D776E5"/>
    <w:rsid w:val="00D801D7"/>
    <w:rsid w:val="00D851E4"/>
    <w:rsid w:val="00D871B1"/>
    <w:rsid w:val="00D9041D"/>
    <w:rsid w:val="00D92B61"/>
    <w:rsid w:val="00D92CE5"/>
    <w:rsid w:val="00D95B83"/>
    <w:rsid w:val="00D95C30"/>
    <w:rsid w:val="00D960D9"/>
    <w:rsid w:val="00D97B8F"/>
    <w:rsid w:val="00DA019E"/>
    <w:rsid w:val="00DA0C9B"/>
    <w:rsid w:val="00DA30B0"/>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A9E"/>
    <w:rsid w:val="00DF6D10"/>
    <w:rsid w:val="00E0093A"/>
    <w:rsid w:val="00E013AC"/>
    <w:rsid w:val="00E02342"/>
    <w:rsid w:val="00E04BAC"/>
    <w:rsid w:val="00E058BC"/>
    <w:rsid w:val="00E05CA9"/>
    <w:rsid w:val="00E069B9"/>
    <w:rsid w:val="00E06E1E"/>
    <w:rsid w:val="00E10549"/>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32C"/>
    <w:rsid w:val="00E63B16"/>
    <w:rsid w:val="00E63C49"/>
    <w:rsid w:val="00E63C9A"/>
    <w:rsid w:val="00E6555F"/>
    <w:rsid w:val="00E72175"/>
    <w:rsid w:val="00E77E9D"/>
    <w:rsid w:val="00E855DB"/>
    <w:rsid w:val="00E867CE"/>
    <w:rsid w:val="00E86E76"/>
    <w:rsid w:val="00E91369"/>
    <w:rsid w:val="00E929BF"/>
    <w:rsid w:val="00E9717F"/>
    <w:rsid w:val="00E97D3B"/>
    <w:rsid w:val="00EA0199"/>
    <w:rsid w:val="00EA1075"/>
    <w:rsid w:val="00EA11C6"/>
    <w:rsid w:val="00EA1348"/>
    <w:rsid w:val="00EA266C"/>
    <w:rsid w:val="00EA2A8E"/>
    <w:rsid w:val="00EA4A72"/>
    <w:rsid w:val="00EA4C8E"/>
    <w:rsid w:val="00EA5CC8"/>
    <w:rsid w:val="00EA6068"/>
    <w:rsid w:val="00EA6638"/>
    <w:rsid w:val="00EB0314"/>
    <w:rsid w:val="00EB6D4F"/>
    <w:rsid w:val="00EB7979"/>
    <w:rsid w:val="00EC188E"/>
    <w:rsid w:val="00EC27B1"/>
    <w:rsid w:val="00EC48D1"/>
    <w:rsid w:val="00EC4D9B"/>
    <w:rsid w:val="00EC7AD6"/>
    <w:rsid w:val="00ED088C"/>
    <w:rsid w:val="00ED127B"/>
    <w:rsid w:val="00ED1541"/>
    <w:rsid w:val="00ED262E"/>
    <w:rsid w:val="00ED4688"/>
    <w:rsid w:val="00ED55CD"/>
    <w:rsid w:val="00EE3BF8"/>
    <w:rsid w:val="00EE7F38"/>
    <w:rsid w:val="00EF17AE"/>
    <w:rsid w:val="00EF2F88"/>
    <w:rsid w:val="00EF43E9"/>
    <w:rsid w:val="00EF6034"/>
    <w:rsid w:val="00F00711"/>
    <w:rsid w:val="00F00BA6"/>
    <w:rsid w:val="00F0120B"/>
    <w:rsid w:val="00F02D45"/>
    <w:rsid w:val="00F05207"/>
    <w:rsid w:val="00F05674"/>
    <w:rsid w:val="00F06004"/>
    <w:rsid w:val="00F07DC7"/>
    <w:rsid w:val="00F11D52"/>
    <w:rsid w:val="00F1203C"/>
    <w:rsid w:val="00F142BF"/>
    <w:rsid w:val="00F14436"/>
    <w:rsid w:val="00F22A1A"/>
    <w:rsid w:val="00F22B3B"/>
    <w:rsid w:val="00F23B59"/>
    <w:rsid w:val="00F24AD2"/>
    <w:rsid w:val="00F2511C"/>
    <w:rsid w:val="00F254F2"/>
    <w:rsid w:val="00F256FA"/>
    <w:rsid w:val="00F2717C"/>
    <w:rsid w:val="00F277EE"/>
    <w:rsid w:val="00F31CBF"/>
    <w:rsid w:val="00F328A6"/>
    <w:rsid w:val="00F33165"/>
    <w:rsid w:val="00F33F00"/>
    <w:rsid w:val="00F33F4C"/>
    <w:rsid w:val="00F36509"/>
    <w:rsid w:val="00F36829"/>
    <w:rsid w:val="00F375D4"/>
    <w:rsid w:val="00F37D8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3AF"/>
    <w:rsid w:val="00FA7C40"/>
    <w:rsid w:val="00FB02FC"/>
    <w:rsid w:val="00FC1D32"/>
    <w:rsid w:val="00FC46A4"/>
    <w:rsid w:val="00FC7075"/>
    <w:rsid w:val="00FC796A"/>
    <w:rsid w:val="00FD030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32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List Paragraph,Recommendation,List Paragraph1,List Paragraph11,L,Bullet Level 1,Bullet Point,Bullet point,Bulletr List Paragraph,Content descriptions,FooterText,List Bullet 1,List Paragraph2"/>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List Paragraph Char,Recommendation Char,List Paragraph1 Char,List Paragraph11 Char,L Char,Bullet Level 1 Char,Bullet Point Char,Bullet point Char,Bulletr List Paragraph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 w:type="paragraph" w:styleId="BodyText3">
    <w:name w:val="Body Text 3"/>
    <w:basedOn w:val="Normal"/>
    <w:link w:val="BodyText3Char"/>
    <w:rsid w:val="00EA0199"/>
    <w:pPr>
      <w:jc w:val="both"/>
    </w:pPr>
    <w:rPr>
      <w:rFonts w:asciiTheme="minorHAnsi" w:hAnsiTheme="minorHAnsi" w:cs="Arial"/>
      <w:snapToGrid w:val="0"/>
      <w:color w:val="0000FF"/>
      <w:sz w:val="24"/>
      <w:szCs w:val="24"/>
      <w:lang w:eastAsia="en-US"/>
    </w:rPr>
  </w:style>
  <w:style w:type="character" w:customStyle="1" w:styleId="BodyText3Char">
    <w:name w:val="Body Text 3 Char"/>
    <w:basedOn w:val="DefaultParagraphFont"/>
    <w:link w:val="BodyText3"/>
    <w:rsid w:val="00EA0199"/>
    <w:rPr>
      <w:rFonts w:asciiTheme="minorHAnsi" w:hAnsiTheme="minorHAnsi" w:cs="Arial"/>
      <w:snapToGrid w:val="0"/>
      <w:color w:val="0000FF"/>
      <w:sz w:val="24"/>
      <w:szCs w:val="24"/>
      <w:lang w:eastAsia="en-US"/>
    </w:rPr>
  </w:style>
  <w:style w:type="character" w:styleId="UnresolvedMention">
    <w:name w:val="Unresolved Mention"/>
    <w:basedOn w:val="DefaultParagraphFont"/>
    <w:uiPriority w:val="99"/>
    <w:semiHidden/>
    <w:unhideWhenUsed/>
    <w:rsid w:val="00B9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446240913">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18710456">
      <w:bodyDiv w:val="1"/>
      <w:marLeft w:val="0"/>
      <w:marRight w:val="0"/>
      <w:marTop w:val="0"/>
      <w:marBottom w:val="0"/>
      <w:divBdr>
        <w:top w:val="none" w:sz="0" w:space="0" w:color="auto"/>
        <w:left w:val="none" w:sz="0" w:space="0" w:color="auto"/>
        <w:bottom w:val="none" w:sz="0" w:space="0" w:color="auto"/>
        <w:right w:val="none" w:sz="0" w:space="0" w:color="auto"/>
      </w:divBdr>
    </w:div>
    <w:div w:id="1268729462">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428191678">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2100">
      <w:bodyDiv w:val="1"/>
      <w:marLeft w:val="0"/>
      <w:marRight w:val="0"/>
      <w:marTop w:val="0"/>
      <w:marBottom w:val="0"/>
      <w:divBdr>
        <w:top w:val="none" w:sz="0" w:space="0" w:color="auto"/>
        <w:left w:val="none" w:sz="0" w:space="0" w:color="auto"/>
        <w:bottom w:val="none" w:sz="0" w:space="0" w:color="auto"/>
        <w:right w:val="none" w:sz="0" w:space="0" w:color="auto"/>
      </w:divBdr>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bs.gov.au/info/industry/listing/elements/pbac-meetings/agenda/november-2022-pbac-meeting" TargetMode="External"/><Relationship Id="rId4" Type="http://schemas.openxmlformats.org/officeDocument/2006/relationships/settings" Target="settings.xml"/><Relationship Id="rId9" Type="http://schemas.openxmlformats.org/officeDocument/2006/relationships/hyperlink" Target="https://www.pbs.gov.au/info/industry/listing/elements/pbac-meetings/agenda/november-2022-pbac-meetin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8090E-F573-4FDE-8495-DBEF20BD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4039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4738</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2022-10-09T20:57:00Z</dcterms:created>
  <dcterms:modified xsi:type="dcterms:W3CDTF">2022-11-01T06:12:00Z</dcterms:modified>
</cp:coreProperties>
</file>