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136B" w14:textId="77777777" w:rsidR="00A20CBD" w:rsidRPr="00F4413F" w:rsidRDefault="00A20CBD" w:rsidP="00855B59">
      <w:pPr>
        <w:ind w:left="2160" w:firstLine="720"/>
        <w:rPr>
          <w:b/>
        </w:rPr>
      </w:pPr>
    </w:p>
    <w:p w14:paraId="6382CD61" w14:textId="7777777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6D336D">
        <w:rPr>
          <w:sz w:val="24"/>
          <w:szCs w:val="24"/>
        </w:rPr>
        <w:t>3</w:t>
      </w:r>
      <w:r w:rsidR="006D336D">
        <w:rPr>
          <w:sz w:val="24"/>
          <w:szCs w:val="24"/>
          <w:vertAlign w:val="superscript"/>
        </w:rPr>
        <w:t>r</w:t>
      </w:r>
      <w:r w:rsidR="00CD70B0" w:rsidRPr="00CD70B0">
        <w:rPr>
          <w:sz w:val="24"/>
          <w:szCs w:val="24"/>
          <w:vertAlign w:val="superscript"/>
        </w:rPr>
        <w:t>d</w:t>
      </w:r>
      <w:r w:rsidR="00CD70B0">
        <w:rPr>
          <w:sz w:val="24"/>
          <w:szCs w:val="24"/>
        </w:rPr>
        <w:t xml:space="preserve"> </w:t>
      </w:r>
      <w:r w:rsidRPr="005F3EF0">
        <w:rPr>
          <w:sz w:val="24"/>
          <w:szCs w:val="24"/>
        </w:rPr>
        <w:t xml:space="preserve">meeting on </w:t>
      </w:r>
      <w:r w:rsidR="00E4556A">
        <w:rPr>
          <w:sz w:val="24"/>
          <w:szCs w:val="24"/>
        </w:rPr>
        <w:t xml:space="preserve">the </w:t>
      </w:r>
      <w:r w:rsidR="00CD70B0">
        <w:rPr>
          <w:sz w:val="24"/>
          <w:szCs w:val="24"/>
        </w:rPr>
        <w:t>3</w:t>
      </w:r>
      <w:r w:rsidR="006D336D">
        <w:rPr>
          <w:sz w:val="24"/>
          <w:szCs w:val="24"/>
        </w:rPr>
        <w:t>0 September</w:t>
      </w:r>
      <w:r w:rsidR="00CE1361">
        <w:rPr>
          <w:sz w:val="24"/>
          <w:szCs w:val="24"/>
        </w:rPr>
        <w:t xml:space="preserve"> – </w:t>
      </w:r>
      <w:r w:rsidR="006D336D">
        <w:rPr>
          <w:sz w:val="24"/>
          <w:szCs w:val="24"/>
        </w:rPr>
        <w:t xml:space="preserve">1 October </w:t>
      </w:r>
      <w:r w:rsidR="00CE1361">
        <w:rPr>
          <w:sz w:val="24"/>
          <w:szCs w:val="24"/>
        </w:rPr>
        <w:t>2021</w:t>
      </w:r>
      <w:r w:rsidRPr="005F3EF0">
        <w:rPr>
          <w:sz w:val="24"/>
          <w:szCs w:val="24"/>
        </w:rPr>
        <w:t>.</w:t>
      </w:r>
    </w:p>
    <w:p w14:paraId="2C0DF674" w14:textId="77777777" w:rsidR="003F06C8" w:rsidRDefault="003F06C8" w:rsidP="008B6946">
      <w:pPr>
        <w:tabs>
          <w:tab w:val="left" w:pos="4820"/>
          <w:tab w:val="left" w:pos="8931"/>
          <w:tab w:val="left" w:pos="9028"/>
          <w:tab w:val="left" w:pos="9072"/>
        </w:tabs>
        <w:rPr>
          <w:sz w:val="24"/>
          <w:szCs w:val="24"/>
        </w:rPr>
      </w:pPr>
    </w:p>
    <w:p w14:paraId="2EB48F6B"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FEEB617" w14:textId="77777777" w:rsidR="00855B59" w:rsidRDefault="00855B59" w:rsidP="008B6946">
      <w:pPr>
        <w:tabs>
          <w:tab w:val="left" w:pos="4820"/>
          <w:tab w:val="left" w:pos="8931"/>
          <w:tab w:val="left" w:pos="9028"/>
          <w:tab w:val="left" w:pos="9072"/>
        </w:tabs>
        <w:rPr>
          <w:sz w:val="24"/>
          <w:szCs w:val="24"/>
        </w:rPr>
      </w:pPr>
    </w:p>
    <w:p w14:paraId="63CC6F5D"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34D928EA" w14:textId="77777777" w:rsidR="00204055" w:rsidRPr="00B12248" w:rsidRDefault="00204055" w:rsidP="00204055">
      <w:pPr>
        <w:rPr>
          <w:sz w:val="24"/>
          <w:szCs w:val="24"/>
        </w:rPr>
      </w:pPr>
    </w:p>
    <w:p w14:paraId="0A036297" w14:textId="77777777" w:rsidR="004566A9" w:rsidRPr="00855B59" w:rsidRDefault="00855B59" w:rsidP="008B6946">
      <w:pPr>
        <w:pStyle w:val="Heading2"/>
      </w:pPr>
      <w:r w:rsidRPr="00855B59">
        <w:t>Su</w:t>
      </w:r>
      <w:r w:rsidR="004566A9" w:rsidRPr="00855B59">
        <w:t>bmissions to the PBAC</w:t>
      </w:r>
    </w:p>
    <w:p w14:paraId="3EE9FC91" w14:textId="77777777" w:rsidR="009237FF" w:rsidRDefault="00BE11AF" w:rsidP="008B6946">
      <w:pPr>
        <w:rPr>
          <w:sz w:val="24"/>
          <w:szCs w:val="24"/>
        </w:rPr>
      </w:pPr>
      <w:r>
        <w:rPr>
          <w:sz w:val="24"/>
          <w:szCs w:val="24"/>
        </w:rPr>
        <w:t xml:space="preserve">DUSC noted that </w:t>
      </w:r>
      <w:r w:rsidR="005F19FA">
        <w:rPr>
          <w:sz w:val="24"/>
          <w:szCs w:val="24"/>
        </w:rPr>
        <w:t>eight</w:t>
      </w:r>
      <w:r w:rsidR="000134E0">
        <w:rPr>
          <w:sz w:val="24"/>
          <w:szCs w:val="24"/>
        </w:rPr>
        <w:t xml:space="preserve"> category 1, 1</w:t>
      </w:r>
      <w:r w:rsidR="005F19FA">
        <w:rPr>
          <w:sz w:val="24"/>
          <w:szCs w:val="24"/>
        </w:rPr>
        <w:t>6</w:t>
      </w:r>
      <w:r w:rsidR="000134E0">
        <w:rPr>
          <w:sz w:val="24"/>
          <w:szCs w:val="24"/>
        </w:rPr>
        <w:t xml:space="preserve"> category 2</w:t>
      </w:r>
      <w:r w:rsidR="005F19FA">
        <w:rPr>
          <w:sz w:val="24"/>
          <w:szCs w:val="24"/>
        </w:rPr>
        <w:t>,</w:t>
      </w:r>
      <w:r w:rsidR="000134E0">
        <w:rPr>
          <w:sz w:val="24"/>
          <w:szCs w:val="24"/>
        </w:rPr>
        <w:t xml:space="preserve"> </w:t>
      </w:r>
      <w:r w:rsidR="005F19FA">
        <w:rPr>
          <w:sz w:val="24"/>
          <w:szCs w:val="24"/>
        </w:rPr>
        <w:t xml:space="preserve">ten </w:t>
      </w:r>
      <w:r w:rsidR="000134E0">
        <w:rPr>
          <w:sz w:val="24"/>
          <w:szCs w:val="24"/>
        </w:rPr>
        <w:t>standard re-entry</w:t>
      </w:r>
      <w:r w:rsidR="003F06C8" w:rsidRPr="0035237B">
        <w:rPr>
          <w:sz w:val="24"/>
          <w:szCs w:val="24"/>
        </w:rPr>
        <w:t xml:space="preserve"> submissions </w:t>
      </w:r>
      <w:r w:rsidR="005F19FA">
        <w:rPr>
          <w:sz w:val="24"/>
          <w:szCs w:val="24"/>
        </w:rPr>
        <w:t xml:space="preserve">and two early re-entry submissions </w:t>
      </w:r>
      <w:r w:rsidR="003F06C8" w:rsidRPr="0035237B">
        <w:rPr>
          <w:sz w:val="24"/>
          <w:szCs w:val="24"/>
        </w:rPr>
        <w:t xml:space="preserve">had been received for the </w:t>
      </w:r>
      <w:r w:rsidR="001D07EF">
        <w:rPr>
          <w:sz w:val="24"/>
          <w:szCs w:val="24"/>
        </w:rPr>
        <w:t>November</w:t>
      </w:r>
      <w:r w:rsidR="00CE1361">
        <w:rPr>
          <w:sz w:val="24"/>
          <w:szCs w:val="24"/>
        </w:rPr>
        <w:t xml:space="preserve"> 2021</w:t>
      </w:r>
      <w:r w:rsidR="003F06C8"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3F06C8" w:rsidRPr="0035237B">
        <w:rPr>
          <w:sz w:val="24"/>
          <w:szCs w:val="24"/>
        </w:rPr>
        <w:t>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1D07EF">
        <w:rPr>
          <w:sz w:val="24"/>
          <w:szCs w:val="24"/>
        </w:rPr>
        <w:t>November</w:t>
      </w:r>
      <w:r w:rsidR="00CE1361">
        <w:rPr>
          <w:sz w:val="24"/>
          <w:szCs w:val="24"/>
        </w:rPr>
        <w:t xml:space="preserve"> 2021</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318B2BFB" w14:textId="77777777" w:rsidR="00A453E3" w:rsidRDefault="00A453E3" w:rsidP="008B6946">
      <w:pPr>
        <w:rPr>
          <w:sz w:val="24"/>
          <w:szCs w:val="24"/>
        </w:rPr>
      </w:pPr>
    </w:p>
    <w:p w14:paraId="432305D7"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31A3D1CA" w14:textId="77777777"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4B3ED33" w14:textId="77777777" w:rsidR="00021AF3" w:rsidRPr="00B12248" w:rsidRDefault="00021AF3" w:rsidP="00D97B8F">
      <w:pPr>
        <w:rPr>
          <w:sz w:val="24"/>
          <w:szCs w:val="24"/>
        </w:rPr>
      </w:pPr>
    </w:p>
    <w:p w14:paraId="359FADEC" w14:textId="7777777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 xml:space="preserve">in </w:t>
      </w:r>
      <w:r w:rsidR="006D336D">
        <w:rPr>
          <w:sz w:val="24"/>
          <w:szCs w:val="24"/>
        </w:rPr>
        <w:t>October</w:t>
      </w:r>
      <w:r w:rsidR="00CE1361">
        <w:rPr>
          <w:sz w:val="24"/>
          <w:szCs w:val="24"/>
        </w:rPr>
        <w:t xml:space="preserve"> 2021</w:t>
      </w:r>
      <w:r w:rsidRPr="00B12248">
        <w:rPr>
          <w:sz w:val="24"/>
          <w:szCs w:val="24"/>
        </w:rPr>
        <w:t>:</w:t>
      </w:r>
    </w:p>
    <w:p w14:paraId="49DFFBE5" w14:textId="77777777" w:rsidR="00B636E4" w:rsidRDefault="00B636E4" w:rsidP="009F597A">
      <w:pPr>
        <w:rPr>
          <w:sz w:val="24"/>
          <w:szCs w:val="24"/>
        </w:rPr>
      </w:pPr>
    </w:p>
    <w:p w14:paraId="30CF4CC5" w14:textId="77777777" w:rsidR="006D336D" w:rsidRDefault="006D336D" w:rsidP="00D71C23">
      <w:pPr>
        <w:rPr>
          <w:rFonts w:asciiTheme="minorHAnsi" w:eastAsia="MS Mincho" w:hAnsiTheme="minorHAnsi" w:cstheme="minorHAnsi"/>
          <w:b/>
          <w:sz w:val="24"/>
          <w:szCs w:val="24"/>
        </w:rPr>
      </w:pPr>
      <w:r w:rsidRPr="006D336D">
        <w:rPr>
          <w:rFonts w:asciiTheme="minorHAnsi" w:eastAsia="MS Mincho" w:hAnsiTheme="minorHAnsi" w:cstheme="minorHAnsi"/>
          <w:b/>
          <w:sz w:val="24"/>
          <w:szCs w:val="24"/>
        </w:rPr>
        <w:t>Golimumab for the treatment of non-radiographic axial spondyloarthritis</w:t>
      </w:r>
    </w:p>
    <w:p w14:paraId="1BC0ED79" w14:textId="77777777" w:rsidR="006D336D" w:rsidRDefault="00861968" w:rsidP="00D71C23">
      <w:pPr>
        <w:rPr>
          <w:rFonts w:asciiTheme="minorHAnsi" w:hAnsiTheme="minorHAnsi" w:cstheme="minorHAnsi"/>
          <w:sz w:val="24"/>
          <w:szCs w:val="24"/>
        </w:rPr>
      </w:pPr>
      <w:r w:rsidRPr="00861968">
        <w:rPr>
          <w:rFonts w:asciiTheme="minorHAnsi" w:hAnsiTheme="minorHAnsi" w:cstheme="minorHAnsi"/>
          <w:sz w:val="24"/>
          <w:szCs w:val="24"/>
        </w:rPr>
        <w:t xml:space="preserve">DUSC reviewed the use of golimumab for the treatment of non-radiographic axial spondyloarthritis (nr-axSpA). In the first year of listing, 225 patients were supplied 1,013 prescriptions. In the second year of listing, 413 patients were supplied 2,331 prescriptions. The number of patients and prescriptions in both years of listing was lower than predicted. Other biologic therapies for nr-axSpA, such as certolizumab pegol and secukinumab, </w:t>
      </w:r>
      <w:r w:rsidR="008D40EE">
        <w:rPr>
          <w:rFonts w:asciiTheme="minorHAnsi" w:hAnsiTheme="minorHAnsi" w:cstheme="minorHAnsi"/>
          <w:sz w:val="24"/>
          <w:szCs w:val="24"/>
        </w:rPr>
        <w:t>we</w:t>
      </w:r>
      <w:r w:rsidRPr="00861968">
        <w:rPr>
          <w:rFonts w:asciiTheme="minorHAnsi" w:hAnsiTheme="minorHAnsi" w:cstheme="minorHAnsi"/>
          <w:sz w:val="24"/>
          <w:szCs w:val="24"/>
        </w:rPr>
        <w:t>re gaining market share.</w:t>
      </w:r>
    </w:p>
    <w:p w14:paraId="5362EE82" w14:textId="77777777" w:rsidR="006D336D" w:rsidRDefault="006D336D" w:rsidP="00D71C23">
      <w:pPr>
        <w:rPr>
          <w:rFonts w:asciiTheme="minorHAnsi" w:hAnsiTheme="minorHAnsi" w:cstheme="minorHAnsi"/>
          <w:sz w:val="24"/>
          <w:szCs w:val="24"/>
        </w:rPr>
      </w:pPr>
    </w:p>
    <w:p w14:paraId="1564C9DF" w14:textId="77777777" w:rsidR="00D71C23" w:rsidRPr="00D71C23" w:rsidRDefault="00D71C23" w:rsidP="00D71C23">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56A11EEA" w14:textId="77777777" w:rsidR="00D71C23" w:rsidRDefault="00D71C23" w:rsidP="009F597A">
      <w:pPr>
        <w:rPr>
          <w:sz w:val="24"/>
          <w:szCs w:val="24"/>
        </w:rPr>
      </w:pPr>
    </w:p>
    <w:p w14:paraId="7E2BEBF8" w14:textId="77777777" w:rsidR="006D336D" w:rsidRPr="006D336D" w:rsidRDefault="006D336D" w:rsidP="009F597A">
      <w:pPr>
        <w:rPr>
          <w:rFonts w:eastAsia="MS Mincho"/>
          <w:b/>
          <w:sz w:val="24"/>
          <w:szCs w:val="24"/>
        </w:rPr>
      </w:pPr>
      <w:r w:rsidRPr="006D336D">
        <w:rPr>
          <w:rFonts w:eastAsia="MS Mincho"/>
          <w:b/>
          <w:sz w:val="24"/>
          <w:szCs w:val="24"/>
        </w:rPr>
        <w:t>Nivolumab plus Ipilimumab for first-line Stage IV clear cell variant renal cell carcinoma</w:t>
      </w:r>
    </w:p>
    <w:p w14:paraId="760877AF" w14:textId="32764596" w:rsidR="000C2B83" w:rsidRDefault="000C2B83" w:rsidP="000C2B83">
      <w:pPr>
        <w:rPr>
          <w:rFonts w:asciiTheme="minorHAnsi" w:hAnsiTheme="minorHAnsi" w:cstheme="minorHAnsi"/>
          <w:sz w:val="24"/>
          <w:szCs w:val="24"/>
        </w:rPr>
      </w:pPr>
      <w:r w:rsidRPr="000E23E6">
        <w:rPr>
          <w:rFonts w:asciiTheme="minorHAnsi" w:hAnsiTheme="minorHAnsi" w:cstheme="minorHAnsi"/>
          <w:sz w:val="24"/>
          <w:szCs w:val="24"/>
        </w:rPr>
        <w:t>DUSC reviewed the use</w:t>
      </w:r>
      <w:r>
        <w:rPr>
          <w:rFonts w:asciiTheme="minorHAnsi" w:hAnsiTheme="minorHAnsi" w:cstheme="minorHAnsi"/>
          <w:sz w:val="24"/>
          <w:szCs w:val="24"/>
        </w:rPr>
        <w:t xml:space="preserve"> of n</w:t>
      </w:r>
      <w:r w:rsidRPr="000C2B83">
        <w:rPr>
          <w:rFonts w:asciiTheme="minorHAnsi" w:hAnsiTheme="minorHAnsi" w:cstheme="minorHAnsi"/>
          <w:sz w:val="24"/>
          <w:szCs w:val="24"/>
        </w:rPr>
        <w:t xml:space="preserve">ivolumab plus </w:t>
      </w:r>
      <w:r>
        <w:rPr>
          <w:rFonts w:asciiTheme="minorHAnsi" w:hAnsiTheme="minorHAnsi" w:cstheme="minorHAnsi"/>
          <w:sz w:val="24"/>
          <w:szCs w:val="24"/>
        </w:rPr>
        <w:t>i</w:t>
      </w:r>
      <w:r w:rsidRPr="000C2B83">
        <w:rPr>
          <w:rFonts w:asciiTheme="minorHAnsi" w:hAnsiTheme="minorHAnsi" w:cstheme="minorHAnsi"/>
          <w:sz w:val="24"/>
          <w:szCs w:val="24"/>
        </w:rPr>
        <w:t>pilimumab for first-line Stage IV clear cell variant renal cell carcinoma</w:t>
      </w:r>
      <w:r>
        <w:rPr>
          <w:rFonts w:asciiTheme="minorHAnsi" w:hAnsiTheme="minorHAnsi" w:cstheme="minorHAnsi"/>
          <w:sz w:val="24"/>
          <w:szCs w:val="24"/>
        </w:rPr>
        <w:t xml:space="preserve">. </w:t>
      </w:r>
      <w:r w:rsidRPr="000C2B83">
        <w:rPr>
          <w:rFonts w:asciiTheme="minorHAnsi" w:hAnsiTheme="minorHAnsi" w:cstheme="minorHAnsi"/>
          <w:sz w:val="24"/>
          <w:szCs w:val="24"/>
        </w:rPr>
        <w:t xml:space="preserve">Second-line nivolumab was the most common PBS treatment for RCC. In 2021 Q2 there were 1,579 patients receiving PBS treatment for RCC, of these 472 received </w:t>
      </w:r>
      <w:r w:rsidR="0045724C">
        <w:rPr>
          <w:rFonts w:asciiTheme="minorHAnsi" w:hAnsiTheme="minorHAnsi" w:cstheme="minorHAnsi"/>
          <w:sz w:val="24"/>
          <w:szCs w:val="24"/>
        </w:rPr>
        <w:t>second</w:t>
      </w:r>
      <w:r w:rsidR="00347E17">
        <w:rPr>
          <w:rFonts w:asciiTheme="minorHAnsi" w:hAnsiTheme="minorHAnsi" w:cstheme="minorHAnsi"/>
          <w:sz w:val="24"/>
          <w:szCs w:val="24"/>
        </w:rPr>
        <w:t>-</w:t>
      </w:r>
      <w:r w:rsidRPr="000C2B83">
        <w:rPr>
          <w:rFonts w:asciiTheme="minorHAnsi" w:hAnsiTheme="minorHAnsi" w:cstheme="minorHAnsi"/>
          <w:sz w:val="24"/>
          <w:szCs w:val="24"/>
        </w:rPr>
        <w:t>line nivolumab. The second most common treatment was first-line nivolumab, with 312 patients being treated in 2021 Q2.</w:t>
      </w:r>
    </w:p>
    <w:p w14:paraId="3DE478AC" w14:textId="77777777" w:rsidR="000C2B83" w:rsidRPr="000C2B83" w:rsidRDefault="000C2B83" w:rsidP="000C2B83">
      <w:pPr>
        <w:rPr>
          <w:rFonts w:eastAsia="MS Mincho"/>
          <w:b/>
          <w:sz w:val="24"/>
          <w:szCs w:val="24"/>
        </w:rPr>
      </w:pPr>
    </w:p>
    <w:p w14:paraId="00F64152" w14:textId="77777777" w:rsidR="006D336D" w:rsidRDefault="000C2B83" w:rsidP="000C2B83">
      <w:pPr>
        <w:rPr>
          <w:rFonts w:asciiTheme="minorHAnsi" w:hAnsiTheme="minorHAnsi" w:cstheme="minorHAnsi"/>
          <w:sz w:val="24"/>
          <w:szCs w:val="24"/>
        </w:rPr>
      </w:pPr>
      <w:r w:rsidRPr="000C2B83">
        <w:rPr>
          <w:rFonts w:asciiTheme="minorHAnsi" w:hAnsiTheme="minorHAnsi" w:cstheme="minorHAnsi"/>
          <w:sz w:val="24"/>
          <w:szCs w:val="24"/>
        </w:rPr>
        <w:t>DUSC considered that</w:t>
      </w:r>
      <w:r>
        <w:rPr>
          <w:rFonts w:asciiTheme="minorHAnsi" w:hAnsiTheme="minorHAnsi" w:cstheme="minorHAnsi"/>
          <w:sz w:val="24"/>
          <w:szCs w:val="24"/>
        </w:rPr>
        <w:t xml:space="preserve"> t</w:t>
      </w:r>
      <w:r w:rsidRPr="000C2B83">
        <w:rPr>
          <w:rFonts w:asciiTheme="minorHAnsi" w:hAnsiTheme="minorHAnsi" w:cstheme="minorHAnsi"/>
          <w:sz w:val="24"/>
          <w:szCs w:val="24"/>
        </w:rPr>
        <w:t>he various restriction changes made on 1 September 2019 did not materially impac</w:t>
      </w:r>
      <w:r>
        <w:rPr>
          <w:rFonts w:asciiTheme="minorHAnsi" w:hAnsiTheme="minorHAnsi" w:cstheme="minorHAnsi"/>
          <w:sz w:val="24"/>
          <w:szCs w:val="24"/>
        </w:rPr>
        <w:t>t the utilisation of nivolumab plus</w:t>
      </w:r>
      <w:r w:rsidRPr="000C2B83">
        <w:rPr>
          <w:rFonts w:asciiTheme="minorHAnsi" w:hAnsiTheme="minorHAnsi" w:cstheme="minorHAnsi"/>
          <w:sz w:val="24"/>
          <w:szCs w:val="24"/>
        </w:rPr>
        <w:t xml:space="preserve"> ipilimumab.</w:t>
      </w:r>
      <w:r w:rsidR="00726FE1">
        <w:rPr>
          <w:rFonts w:asciiTheme="minorHAnsi" w:hAnsiTheme="minorHAnsi" w:cstheme="minorHAnsi"/>
          <w:sz w:val="24"/>
          <w:szCs w:val="24"/>
        </w:rPr>
        <w:t xml:space="preserve"> </w:t>
      </w:r>
      <w:r w:rsidRPr="000C2B83">
        <w:rPr>
          <w:rFonts w:asciiTheme="minorHAnsi" w:hAnsiTheme="minorHAnsi" w:cstheme="minorHAnsi"/>
          <w:sz w:val="24"/>
          <w:szCs w:val="24"/>
        </w:rPr>
        <w:t xml:space="preserve">The predicted number of patients in the final agreed estimates </w:t>
      </w:r>
      <w:r w:rsidR="00CE78AE">
        <w:rPr>
          <w:rFonts w:asciiTheme="minorHAnsi" w:hAnsiTheme="minorHAnsi" w:cstheme="minorHAnsi"/>
          <w:sz w:val="24"/>
          <w:szCs w:val="24"/>
        </w:rPr>
        <w:t xml:space="preserve">were </w:t>
      </w:r>
      <w:r w:rsidRPr="000C2B83">
        <w:rPr>
          <w:rFonts w:asciiTheme="minorHAnsi" w:hAnsiTheme="minorHAnsi" w:cstheme="minorHAnsi"/>
          <w:sz w:val="24"/>
          <w:szCs w:val="24"/>
        </w:rPr>
        <w:t>reasonably accurate.</w:t>
      </w:r>
      <w:r w:rsidR="00726FE1">
        <w:rPr>
          <w:rFonts w:asciiTheme="minorHAnsi" w:hAnsiTheme="minorHAnsi" w:cstheme="minorHAnsi"/>
          <w:sz w:val="24"/>
          <w:szCs w:val="24"/>
        </w:rPr>
        <w:t xml:space="preserve"> </w:t>
      </w:r>
      <w:r w:rsidRPr="000C2B83">
        <w:rPr>
          <w:rFonts w:asciiTheme="minorHAnsi" w:hAnsiTheme="minorHAnsi" w:cstheme="minorHAnsi"/>
          <w:sz w:val="24"/>
          <w:szCs w:val="24"/>
        </w:rPr>
        <w:t>Actual prescription numbers for nivolumab were less than predicted. This could be explained by a number of factors including</w:t>
      </w:r>
      <w:r w:rsidR="00726FE1">
        <w:rPr>
          <w:rFonts w:asciiTheme="minorHAnsi" w:hAnsiTheme="minorHAnsi" w:cstheme="minorHAnsi"/>
          <w:sz w:val="24"/>
          <w:szCs w:val="24"/>
        </w:rPr>
        <w:t xml:space="preserve"> a</w:t>
      </w:r>
      <w:r w:rsidRPr="000C2B83">
        <w:rPr>
          <w:rFonts w:asciiTheme="minorHAnsi" w:hAnsiTheme="minorHAnsi" w:cstheme="minorHAnsi"/>
          <w:sz w:val="24"/>
          <w:szCs w:val="24"/>
        </w:rPr>
        <w:t xml:space="preserve"> move from fortnightly to monthly dosing after this was allowed by a restric</w:t>
      </w:r>
      <w:r w:rsidR="00726FE1">
        <w:rPr>
          <w:rFonts w:asciiTheme="minorHAnsi" w:hAnsiTheme="minorHAnsi" w:cstheme="minorHAnsi"/>
          <w:sz w:val="24"/>
          <w:szCs w:val="24"/>
        </w:rPr>
        <w:t>tion change on 1 September 2019 and i</w:t>
      </w:r>
      <w:r w:rsidRPr="000C2B83">
        <w:rPr>
          <w:rFonts w:asciiTheme="minorHAnsi" w:hAnsiTheme="minorHAnsi" w:cstheme="minorHAnsi"/>
          <w:sz w:val="24"/>
          <w:szCs w:val="24"/>
        </w:rPr>
        <w:t>naccurate application of PBS item numbers. Further analysis revealed that there was some use of second-line nivolumab treatment items for first-line maintenance treatment and these prescriptions were not counted in the actuals of the predicted versus actual comparison for first-line nivolumab.</w:t>
      </w:r>
    </w:p>
    <w:p w14:paraId="02348A4F" w14:textId="77777777" w:rsidR="000C2B83" w:rsidRDefault="000C2B83" w:rsidP="00C70C00">
      <w:pPr>
        <w:rPr>
          <w:rFonts w:asciiTheme="minorHAnsi" w:hAnsiTheme="minorHAnsi" w:cstheme="minorHAnsi"/>
          <w:sz w:val="24"/>
          <w:szCs w:val="24"/>
        </w:rPr>
      </w:pPr>
    </w:p>
    <w:p w14:paraId="34AAAFEC" w14:textId="77777777" w:rsidR="00C70C00" w:rsidRDefault="00C70C00" w:rsidP="00C70C00">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132BD10E" w14:textId="77777777" w:rsidR="00CD70B0" w:rsidRDefault="00CD70B0" w:rsidP="00C70C00">
      <w:pPr>
        <w:rPr>
          <w:rFonts w:asciiTheme="minorHAnsi" w:hAnsiTheme="minorHAnsi" w:cstheme="minorHAnsi"/>
          <w:sz w:val="24"/>
          <w:szCs w:val="24"/>
        </w:rPr>
      </w:pPr>
    </w:p>
    <w:p w14:paraId="12FFC8E3" w14:textId="77777777" w:rsidR="006D336D" w:rsidRPr="006D336D" w:rsidRDefault="006D336D" w:rsidP="006D336D">
      <w:pPr>
        <w:rPr>
          <w:rFonts w:asciiTheme="minorHAnsi" w:hAnsiTheme="minorHAnsi" w:cstheme="minorHAnsi"/>
          <w:b/>
          <w:sz w:val="24"/>
          <w:szCs w:val="24"/>
        </w:rPr>
      </w:pPr>
      <w:r w:rsidRPr="006D336D">
        <w:rPr>
          <w:rFonts w:asciiTheme="minorHAnsi" w:hAnsiTheme="minorHAnsi" w:cstheme="minorHAnsi"/>
          <w:b/>
          <w:sz w:val="24"/>
          <w:szCs w:val="24"/>
        </w:rPr>
        <w:t>Pembrolizumab for locally advanced or metastatic urothelial carcinoma</w:t>
      </w:r>
    </w:p>
    <w:p w14:paraId="79CA7089" w14:textId="77777777" w:rsidR="004213FB" w:rsidRPr="001D6301" w:rsidRDefault="00387891" w:rsidP="004213FB">
      <w:pPr>
        <w:rPr>
          <w:rFonts w:asciiTheme="minorHAnsi" w:hAnsiTheme="minorHAnsi" w:cstheme="minorHAnsi"/>
          <w:sz w:val="24"/>
          <w:szCs w:val="24"/>
        </w:rPr>
      </w:pPr>
      <w:r w:rsidRPr="00387891">
        <w:rPr>
          <w:rFonts w:asciiTheme="minorHAnsi" w:hAnsiTheme="minorHAnsi" w:cstheme="minorHAnsi"/>
          <w:sz w:val="24"/>
          <w:szCs w:val="24"/>
        </w:rPr>
        <w:t>DUSC reviewed the use of pembrolizumab for locally advanced or metastatic urothelial carcinoma. A total of 483 prevalent patients were supplied pembrolizumab in its first year of listing, 680 prevalent patients in Year 2 and 564 prevalent patients in 2021 to the data cut-off date of 31 July 2021. Since its listing, the utilisation of pembrolizumab ha</w:t>
      </w:r>
      <w:r w:rsidR="00B721AD">
        <w:rPr>
          <w:rFonts w:asciiTheme="minorHAnsi" w:hAnsiTheme="minorHAnsi" w:cstheme="minorHAnsi"/>
          <w:sz w:val="24"/>
          <w:szCs w:val="24"/>
        </w:rPr>
        <w:t>d</w:t>
      </w:r>
      <w:r w:rsidRPr="00387891">
        <w:rPr>
          <w:rFonts w:asciiTheme="minorHAnsi" w:hAnsiTheme="minorHAnsi" w:cstheme="minorHAnsi"/>
          <w:sz w:val="24"/>
          <w:szCs w:val="24"/>
        </w:rPr>
        <w:t xml:space="preserve"> increased steadily with up to 50 first initiating (incident) patients per month and the number of prevalent patients was continuing to increase. The total number of prescriptions in Year 1 was 2,392 increasing to 4,283 in Year 2 and in Year 3 to the data cut-off date of 31 July 2021 </w:t>
      </w:r>
      <w:r w:rsidR="00B721AD">
        <w:rPr>
          <w:rFonts w:asciiTheme="minorHAnsi" w:hAnsiTheme="minorHAnsi" w:cstheme="minorHAnsi"/>
          <w:sz w:val="24"/>
          <w:szCs w:val="24"/>
        </w:rPr>
        <w:t>wa</w:t>
      </w:r>
      <w:r w:rsidRPr="00387891">
        <w:rPr>
          <w:rFonts w:asciiTheme="minorHAnsi" w:hAnsiTheme="minorHAnsi" w:cstheme="minorHAnsi"/>
          <w:sz w:val="24"/>
          <w:szCs w:val="24"/>
        </w:rPr>
        <w:t>s 2,942. A Kaplan-Meier analysis of treatment duration, both with breaks and without breaks, indicate</w:t>
      </w:r>
      <w:r w:rsidR="003E70CA">
        <w:rPr>
          <w:rFonts w:asciiTheme="minorHAnsi" w:hAnsiTheme="minorHAnsi" w:cstheme="minorHAnsi"/>
          <w:sz w:val="24"/>
          <w:szCs w:val="24"/>
        </w:rPr>
        <w:t>d</w:t>
      </w:r>
      <w:r w:rsidRPr="00387891">
        <w:rPr>
          <w:rFonts w:asciiTheme="minorHAnsi" w:hAnsiTheme="minorHAnsi" w:cstheme="minorHAnsi"/>
          <w:sz w:val="24"/>
          <w:szCs w:val="24"/>
        </w:rPr>
        <w:t xml:space="preserve"> that the median time on treatment for patients utilising pembrolizumab </w:t>
      </w:r>
      <w:r w:rsidR="003E70CA">
        <w:rPr>
          <w:rFonts w:asciiTheme="minorHAnsi" w:hAnsiTheme="minorHAnsi" w:cstheme="minorHAnsi"/>
          <w:sz w:val="24"/>
          <w:szCs w:val="24"/>
        </w:rPr>
        <w:t>wa</w:t>
      </w:r>
      <w:r w:rsidRPr="00387891">
        <w:rPr>
          <w:rFonts w:asciiTheme="minorHAnsi" w:hAnsiTheme="minorHAnsi" w:cstheme="minorHAnsi"/>
          <w:sz w:val="24"/>
          <w:szCs w:val="24"/>
        </w:rPr>
        <w:t>s 110 days or 101 days, respectively.</w:t>
      </w:r>
    </w:p>
    <w:p w14:paraId="664C2593" w14:textId="77777777" w:rsidR="006D336D" w:rsidRDefault="006D336D" w:rsidP="004213FB">
      <w:pPr>
        <w:rPr>
          <w:rFonts w:asciiTheme="minorHAnsi" w:hAnsiTheme="minorHAnsi" w:cstheme="minorHAnsi"/>
          <w:sz w:val="24"/>
          <w:szCs w:val="24"/>
        </w:rPr>
      </w:pPr>
    </w:p>
    <w:p w14:paraId="124A6CEB" w14:textId="77777777" w:rsidR="00CD70B0" w:rsidRDefault="00CD70B0" w:rsidP="004213FB">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4C413828" w14:textId="77777777" w:rsidR="00CE1361" w:rsidRDefault="00CE1361" w:rsidP="00CD70B0"/>
    <w:p w14:paraId="7D1426A0" w14:textId="77777777" w:rsidR="00AD52F5" w:rsidRDefault="00AD52F5" w:rsidP="00AD52F5">
      <w:pPr>
        <w:rPr>
          <w:b/>
          <w:bCs/>
          <w:sz w:val="24"/>
          <w:szCs w:val="24"/>
        </w:rPr>
      </w:pPr>
      <w:r>
        <w:rPr>
          <w:b/>
          <w:bCs/>
          <w:sz w:val="24"/>
          <w:szCs w:val="24"/>
        </w:rPr>
        <w:t>Bictegravir+emtricitabine+tenofovir alafenamide and dolutegravir+rilpivirine for HIV and PrEP</w:t>
      </w:r>
    </w:p>
    <w:p w14:paraId="091ACF00" w14:textId="4B3868B9" w:rsidR="00AD52F5" w:rsidRPr="00AD52F5" w:rsidRDefault="00AD52F5" w:rsidP="00AD52F5">
      <w:pPr>
        <w:rPr>
          <w:sz w:val="24"/>
          <w:szCs w:val="24"/>
        </w:rPr>
      </w:pPr>
      <w:r w:rsidRPr="00AD52F5">
        <w:rPr>
          <w:sz w:val="24"/>
          <w:szCs w:val="24"/>
        </w:rPr>
        <w:t xml:space="preserve">DUSC reviewed the use of medications for the treatment of human immunodeficiency virus (HIV) with particular attention to bictegravir+emtricitabine+tenofovir alafenamide (Biktarvy) and dolutegravir+rilpivirine (Juluca). </w:t>
      </w:r>
    </w:p>
    <w:p w14:paraId="6483E4AD" w14:textId="77777777" w:rsidR="00AD52F5" w:rsidRPr="00AD52F5" w:rsidRDefault="00AD52F5" w:rsidP="00AD52F5">
      <w:pPr>
        <w:rPr>
          <w:sz w:val="24"/>
          <w:szCs w:val="24"/>
        </w:rPr>
      </w:pPr>
    </w:p>
    <w:p w14:paraId="32E8AB19" w14:textId="47626505" w:rsidR="00AD52F5" w:rsidRPr="00AD52F5" w:rsidRDefault="00AD52F5" w:rsidP="00AD52F5">
      <w:pPr>
        <w:rPr>
          <w:sz w:val="24"/>
          <w:szCs w:val="24"/>
        </w:rPr>
      </w:pPr>
      <w:r w:rsidRPr="00AD52F5">
        <w:rPr>
          <w:sz w:val="24"/>
          <w:szCs w:val="24"/>
        </w:rPr>
        <w:t>Since 2014 the overall number of HIV prescriptions ha</w:t>
      </w:r>
      <w:r w:rsidR="00561441">
        <w:rPr>
          <w:sz w:val="24"/>
          <w:szCs w:val="24"/>
        </w:rPr>
        <w:t>d</w:t>
      </w:r>
      <w:r w:rsidRPr="00AD52F5">
        <w:rPr>
          <w:sz w:val="24"/>
          <w:szCs w:val="24"/>
        </w:rPr>
        <w:t xml:space="preserve"> fallen. This </w:t>
      </w:r>
      <w:r w:rsidR="00DA30B0">
        <w:rPr>
          <w:sz w:val="24"/>
          <w:szCs w:val="24"/>
        </w:rPr>
        <w:t>wa</w:t>
      </w:r>
      <w:r w:rsidRPr="00AD52F5">
        <w:rPr>
          <w:sz w:val="24"/>
          <w:szCs w:val="24"/>
        </w:rPr>
        <w:t xml:space="preserve">s largely due to the reduction in </w:t>
      </w:r>
      <w:r w:rsidR="00B36BA0">
        <w:rPr>
          <w:sz w:val="24"/>
          <w:szCs w:val="24"/>
        </w:rPr>
        <w:t>dispensing</w:t>
      </w:r>
      <w:r w:rsidR="00B36BA0" w:rsidRPr="00AD52F5">
        <w:rPr>
          <w:sz w:val="24"/>
          <w:szCs w:val="24"/>
        </w:rPr>
        <w:t xml:space="preserve"> </w:t>
      </w:r>
      <w:r w:rsidRPr="00AD52F5">
        <w:rPr>
          <w:sz w:val="24"/>
          <w:szCs w:val="24"/>
        </w:rPr>
        <w:t xml:space="preserve">rates of single </w:t>
      </w:r>
      <w:r w:rsidR="00B36BA0">
        <w:rPr>
          <w:sz w:val="24"/>
          <w:szCs w:val="24"/>
        </w:rPr>
        <w:t>medicine products</w:t>
      </w:r>
      <w:r w:rsidRPr="00AD52F5">
        <w:rPr>
          <w:sz w:val="24"/>
          <w:szCs w:val="24"/>
        </w:rPr>
        <w:t xml:space="preserve">. Whilst single </w:t>
      </w:r>
      <w:r w:rsidR="00B36BA0">
        <w:rPr>
          <w:sz w:val="24"/>
          <w:szCs w:val="24"/>
        </w:rPr>
        <w:t>medicine</w:t>
      </w:r>
      <w:r w:rsidR="00B36BA0" w:rsidRPr="00AD52F5">
        <w:rPr>
          <w:sz w:val="24"/>
          <w:szCs w:val="24"/>
        </w:rPr>
        <w:t xml:space="preserve"> </w:t>
      </w:r>
      <w:r w:rsidR="00B36BA0">
        <w:rPr>
          <w:sz w:val="24"/>
          <w:szCs w:val="24"/>
        </w:rPr>
        <w:t xml:space="preserve">product dispensing </w:t>
      </w:r>
      <w:r w:rsidRPr="00AD52F5">
        <w:rPr>
          <w:sz w:val="24"/>
          <w:szCs w:val="24"/>
        </w:rPr>
        <w:t>rates ha</w:t>
      </w:r>
      <w:r w:rsidR="00561441">
        <w:rPr>
          <w:sz w:val="24"/>
          <w:szCs w:val="24"/>
        </w:rPr>
        <w:t>d</w:t>
      </w:r>
      <w:r w:rsidRPr="00AD52F5">
        <w:rPr>
          <w:sz w:val="24"/>
          <w:szCs w:val="24"/>
        </w:rPr>
        <w:t xml:space="preserve"> fallen, </w:t>
      </w:r>
      <w:r w:rsidR="00B36BA0">
        <w:rPr>
          <w:sz w:val="24"/>
          <w:szCs w:val="24"/>
        </w:rPr>
        <w:t>dispensings</w:t>
      </w:r>
      <w:r w:rsidR="00B36BA0" w:rsidRPr="00AD52F5">
        <w:rPr>
          <w:sz w:val="24"/>
          <w:szCs w:val="24"/>
        </w:rPr>
        <w:t xml:space="preserve"> </w:t>
      </w:r>
      <w:r w:rsidRPr="00AD52F5">
        <w:rPr>
          <w:sz w:val="24"/>
          <w:szCs w:val="24"/>
        </w:rPr>
        <w:t xml:space="preserve">for combination drug </w:t>
      </w:r>
      <w:r w:rsidR="00B36BA0">
        <w:rPr>
          <w:sz w:val="24"/>
          <w:szCs w:val="24"/>
        </w:rPr>
        <w:t>products</w:t>
      </w:r>
      <w:r w:rsidRPr="00AD52F5">
        <w:rPr>
          <w:sz w:val="24"/>
          <w:szCs w:val="24"/>
        </w:rPr>
        <w:t xml:space="preserve"> ha</w:t>
      </w:r>
      <w:r w:rsidR="00561441">
        <w:rPr>
          <w:sz w:val="24"/>
          <w:szCs w:val="24"/>
        </w:rPr>
        <w:t>d</w:t>
      </w:r>
      <w:r w:rsidRPr="00AD52F5">
        <w:rPr>
          <w:sz w:val="24"/>
          <w:szCs w:val="24"/>
        </w:rPr>
        <w:t xml:space="preserve"> increased, with </w:t>
      </w:r>
      <w:r w:rsidR="00F33F4C">
        <w:rPr>
          <w:sz w:val="24"/>
          <w:szCs w:val="24"/>
        </w:rPr>
        <w:t xml:space="preserve">the </w:t>
      </w:r>
      <w:r w:rsidR="00B36BA0" w:rsidRPr="00AD52F5">
        <w:rPr>
          <w:sz w:val="24"/>
          <w:szCs w:val="24"/>
        </w:rPr>
        <w:t xml:space="preserve">bictegravir+emtricitabine+tenofovir alafenamide </w:t>
      </w:r>
      <w:r w:rsidR="00B36BA0">
        <w:rPr>
          <w:sz w:val="24"/>
          <w:szCs w:val="24"/>
        </w:rPr>
        <w:t xml:space="preserve">combination product </w:t>
      </w:r>
      <w:r w:rsidRPr="00AD52F5">
        <w:rPr>
          <w:sz w:val="24"/>
          <w:szCs w:val="24"/>
        </w:rPr>
        <w:t xml:space="preserve">becoming the most commonly prescribed HIV combination drug. </w:t>
      </w:r>
    </w:p>
    <w:p w14:paraId="22F8A74A" w14:textId="77777777" w:rsidR="00AD52F5" w:rsidRPr="00AD52F5" w:rsidRDefault="00AD52F5" w:rsidP="00AD52F5">
      <w:pPr>
        <w:rPr>
          <w:sz w:val="24"/>
          <w:szCs w:val="24"/>
        </w:rPr>
      </w:pPr>
    </w:p>
    <w:p w14:paraId="3836871E" w14:textId="77777777" w:rsidR="00AD52F5" w:rsidRPr="00AD52F5" w:rsidRDefault="00AD52F5" w:rsidP="00AD52F5">
      <w:pPr>
        <w:rPr>
          <w:sz w:val="24"/>
          <w:szCs w:val="24"/>
        </w:rPr>
      </w:pPr>
      <w:r w:rsidRPr="00AD52F5">
        <w:rPr>
          <w:sz w:val="24"/>
          <w:szCs w:val="24"/>
        </w:rPr>
        <w:t>The number of initiating patients supplied Pre-Exposure Prophylaxis (PrEP) ha</w:t>
      </w:r>
      <w:r w:rsidR="00AE0F62">
        <w:rPr>
          <w:sz w:val="24"/>
          <w:szCs w:val="24"/>
        </w:rPr>
        <w:t>d</w:t>
      </w:r>
      <w:r w:rsidRPr="00AD52F5">
        <w:rPr>
          <w:sz w:val="24"/>
          <w:szCs w:val="24"/>
        </w:rPr>
        <w:t xml:space="preserve"> fallen slightly since the listing of tenofovir disoproxil + emtricitabine on the PBS, while the number of prevalent patients ha</w:t>
      </w:r>
      <w:r w:rsidR="00AE0F62">
        <w:rPr>
          <w:sz w:val="24"/>
          <w:szCs w:val="24"/>
        </w:rPr>
        <w:t>d</w:t>
      </w:r>
      <w:r w:rsidRPr="00AD52F5">
        <w:rPr>
          <w:sz w:val="24"/>
          <w:szCs w:val="24"/>
        </w:rPr>
        <w:t xml:space="preserve"> increased since listing. There was a reduction in utilisation between the first and second quarter of 2020, most likely due to the effect of the COVID-19 pandemic on social distancing practices in Australia. The utilisation of PrEP ha</w:t>
      </w:r>
      <w:r w:rsidR="00AE0F62">
        <w:rPr>
          <w:sz w:val="24"/>
          <w:szCs w:val="24"/>
        </w:rPr>
        <w:t>d</w:t>
      </w:r>
      <w:r w:rsidRPr="00AD52F5">
        <w:rPr>
          <w:sz w:val="24"/>
          <w:szCs w:val="24"/>
        </w:rPr>
        <w:t xml:space="preserve"> since returned to its pre-COVID level.</w:t>
      </w:r>
    </w:p>
    <w:p w14:paraId="1EEA5D72" w14:textId="77777777" w:rsidR="00AD52F5" w:rsidRDefault="00AD52F5" w:rsidP="00AD52F5">
      <w:pPr>
        <w:rPr>
          <w:sz w:val="24"/>
          <w:szCs w:val="24"/>
        </w:rPr>
      </w:pPr>
    </w:p>
    <w:p w14:paraId="200FA633" w14:textId="77777777" w:rsidR="006D336D" w:rsidRDefault="006D336D" w:rsidP="00CD70B0">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1367A675" w14:textId="77777777" w:rsidR="006D336D" w:rsidRDefault="006D336D" w:rsidP="00CD70B0">
      <w:pPr>
        <w:rPr>
          <w:rFonts w:asciiTheme="minorHAnsi" w:hAnsiTheme="minorHAnsi" w:cstheme="minorHAnsi"/>
          <w:sz w:val="24"/>
          <w:szCs w:val="24"/>
        </w:rPr>
      </w:pPr>
    </w:p>
    <w:p w14:paraId="0A698543" w14:textId="77777777" w:rsidR="006D336D" w:rsidRPr="006D336D" w:rsidRDefault="006D336D" w:rsidP="006D336D">
      <w:pPr>
        <w:rPr>
          <w:rFonts w:asciiTheme="minorHAnsi" w:hAnsiTheme="minorHAnsi" w:cstheme="minorHAnsi"/>
          <w:b/>
          <w:sz w:val="24"/>
          <w:szCs w:val="24"/>
        </w:rPr>
      </w:pPr>
      <w:r w:rsidRPr="006D336D">
        <w:rPr>
          <w:rFonts w:asciiTheme="minorHAnsi" w:hAnsiTheme="minorHAnsi" w:cstheme="minorHAnsi"/>
          <w:b/>
          <w:sz w:val="24"/>
          <w:szCs w:val="24"/>
        </w:rPr>
        <w:t>Tolvaptan for autosomal dominant polycystic kidney disease</w:t>
      </w:r>
    </w:p>
    <w:p w14:paraId="0D2A1C02" w14:textId="77777777" w:rsidR="00462A3B" w:rsidRPr="00462A3B" w:rsidRDefault="00462A3B" w:rsidP="00462A3B">
      <w:pPr>
        <w:spacing w:after="160" w:line="259" w:lineRule="auto"/>
        <w:rPr>
          <w:rFonts w:asciiTheme="minorHAnsi" w:hAnsiTheme="minorHAnsi" w:cstheme="minorHAnsi"/>
          <w:sz w:val="24"/>
        </w:rPr>
      </w:pPr>
      <w:r w:rsidRPr="00462A3B">
        <w:rPr>
          <w:rFonts w:asciiTheme="minorHAnsi" w:hAnsiTheme="minorHAnsi" w:cstheme="minorHAnsi"/>
          <w:sz w:val="24"/>
        </w:rPr>
        <w:t xml:space="preserve">DUSC reviewed the use of tolvaptan for autosomal dominant polycystic kidney disease. In 2019, 362 patients were dispensed 2,323 prescriptions. In 2020, 500 patients were dispensed 4,421 </w:t>
      </w:r>
      <w:r w:rsidRPr="00462A3B">
        <w:rPr>
          <w:rFonts w:asciiTheme="minorHAnsi" w:hAnsiTheme="minorHAnsi" w:cstheme="minorHAnsi"/>
          <w:sz w:val="24"/>
        </w:rPr>
        <w:lastRenderedPageBreak/>
        <w:t xml:space="preserve">tolvaptan prescriptions. Overall utilisation of tolvaptan was lower than predicted. The most common dosing regimen were patients only supplied the lowest split dose of 45 mg + 15 mg tablets. </w:t>
      </w:r>
    </w:p>
    <w:p w14:paraId="238122D7" w14:textId="77777777" w:rsidR="006D336D" w:rsidRDefault="006D336D" w:rsidP="006D336D">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2C2248BB" w14:textId="77777777" w:rsidR="006D336D" w:rsidRDefault="006D336D" w:rsidP="00CD70B0"/>
    <w:p w14:paraId="3A4CF15F"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34D48F45"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59892806" w14:textId="77777777" w:rsidR="00513E5D" w:rsidRPr="0062222D" w:rsidRDefault="00513E5D" w:rsidP="008B6946">
      <w:pPr>
        <w:rPr>
          <w:sz w:val="24"/>
          <w:szCs w:val="24"/>
          <w:highlight w:val="yellow"/>
        </w:rPr>
      </w:pPr>
    </w:p>
    <w:p w14:paraId="7DD165D6"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Predicted versus Actual Utilisation Analysis</w:t>
      </w:r>
    </w:p>
    <w:p w14:paraId="653CC604" w14:textId="77777777" w:rsidR="004279D6" w:rsidRDefault="00861968" w:rsidP="004213FB">
      <w:pPr>
        <w:pStyle w:val="ListParagraph"/>
        <w:numPr>
          <w:ilvl w:val="0"/>
          <w:numId w:val="14"/>
        </w:numPr>
        <w:autoSpaceDE w:val="0"/>
        <w:autoSpaceDN w:val="0"/>
        <w:adjustRightInd w:val="0"/>
        <w:contextualSpacing/>
        <w:rPr>
          <w:szCs w:val="24"/>
        </w:rPr>
      </w:pPr>
      <w:r w:rsidRPr="00861968">
        <w:rPr>
          <w:szCs w:val="24"/>
        </w:rPr>
        <w:t>Avelumab for the treatment of second-line metastatic Merkel cell carcinoma (mMCC) in patients that have progressed following chemotherapy.</w:t>
      </w:r>
    </w:p>
    <w:p w14:paraId="67856A48" w14:textId="77777777" w:rsidR="004279D6" w:rsidRPr="00CE1361" w:rsidRDefault="004279D6" w:rsidP="004279D6">
      <w:pPr>
        <w:pStyle w:val="ListParagraph"/>
        <w:autoSpaceDE w:val="0"/>
        <w:autoSpaceDN w:val="0"/>
        <w:adjustRightInd w:val="0"/>
        <w:contextualSpacing/>
        <w:rPr>
          <w:szCs w:val="24"/>
        </w:rPr>
      </w:pPr>
    </w:p>
    <w:p w14:paraId="044B3C67"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5558F2A4" w14:textId="77777777" w:rsidR="00861968" w:rsidRDefault="00861968" w:rsidP="00861968">
      <w:pPr>
        <w:pStyle w:val="ListParagraph"/>
        <w:numPr>
          <w:ilvl w:val="0"/>
          <w:numId w:val="13"/>
        </w:numPr>
        <w:spacing w:after="200" w:line="276" w:lineRule="auto"/>
        <w:contextualSpacing/>
      </w:pPr>
      <w:r>
        <w:t xml:space="preserve">Medicines for the treatment of </w:t>
      </w:r>
      <w:r w:rsidRPr="0021548A">
        <w:t>breast cancer</w:t>
      </w:r>
      <w:r>
        <w:t xml:space="preserve">, including a predicted versus actual utilisation analysis of </w:t>
      </w:r>
      <w:r w:rsidRPr="0021548A">
        <w:t>pal</w:t>
      </w:r>
      <w:r>
        <w:t>b</w:t>
      </w:r>
      <w:r w:rsidRPr="0021548A">
        <w:t>ociclib</w:t>
      </w:r>
      <w:r>
        <w:t>.</w:t>
      </w:r>
    </w:p>
    <w:p w14:paraId="50615265" w14:textId="77777777" w:rsidR="001D07EF" w:rsidRPr="00861968" w:rsidRDefault="00861968" w:rsidP="00861968">
      <w:pPr>
        <w:pStyle w:val="ListParagraph"/>
        <w:numPr>
          <w:ilvl w:val="0"/>
          <w:numId w:val="13"/>
        </w:numPr>
        <w:spacing w:after="200" w:line="276" w:lineRule="auto"/>
        <w:contextualSpacing/>
      </w:pPr>
      <w:r>
        <w:t>Proton pump inhibitors</w:t>
      </w:r>
      <w:r w:rsidRPr="0021548A">
        <w:t xml:space="preserve"> used in the management of gastrointestinal acid related disorders</w:t>
      </w:r>
      <w:r>
        <w:t>.</w:t>
      </w:r>
    </w:p>
    <w:p w14:paraId="40A2DE35" w14:textId="77777777" w:rsidR="00462695" w:rsidRDefault="00462695" w:rsidP="009D2858">
      <w:pPr>
        <w:rPr>
          <w:sz w:val="24"/>
          <w:szCs w:val="24"/>
        </w:rPr>
      </w:pPr>
    </w:p>
    <w:p w14:paraId="43337836"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28978B1B" w14:textId="77777777" w:rsidR="00313B7D" w:rsidRPr="0062222D" w:rsidRDefault="00313B7D" w:rsidP="008B6946">
      <w:pPr>
        <w:rPr>
          <w:sz w:val="24"/>
          <w:szCs w:val="24"/>
          <w:highlight w:val="yellow"/>
        </w:rPr>
      </w:pPr>
    </w:p>
    <w:p w14:paraId="58C05C54" w14:textId="77777777" w:rsidR="009B25AF" w:rsidRPr="0062222D" w:rsidRDefault="009B25AF" w:rsidP="008B6946">
      <w:pPr>
        <w:rPr>
          <w:sz w:val="24"/>
          <w:szCs w:val="24"/>
          <w:highlight w:val="yellow"/>
        </w:rPr>
      </w:pPr>
    </w:p>
    <w:p w14:paraId="66A2F454"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14843759" w14:textId="77777777" w:rsidR="00002AE8" w:rsidRPr="00144B72" w:rsidRDefault="00002AE8" w:rsidP="008B6946">
      <w:pPr>
        <w:rPr>
          <w:sz w:val="24"/>
          <w:szCs w:val="24"/>
        </w:rPr>
      </w:pPr>
      <w:r w:rsidRPr="00144B72">
        <w:rPr>
          <w:sz w:val="24"/>
          <w:szCs w:val="24"/>
        </w:rPr>
        <w:t>Chair</w:t>
      </w:r>
    </w:p>
    <w:p w14:paraId="2F4C1C56"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footerReference w:type="default" r:id="rId11"/>
      <w:headerReference w:type="first" r:id="rId12"/>
      <w:footerReference w:type="first" r:id="rId13"/>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A3D02" w14:textId="77777777" w:rsidR="00AA45FE" w:rsidRDefault="00AA45FE">
      <w:r>
        <w:separator/>
      </w:r>
    </w:p>
  </w:endnote>
  <w:endnote w:type="continuationSeparator" w:id="0">
    <w:p w14:paraId="56FB2DA5" w14:textId="77777777" w:rsidR="00AA45FE" w:rsidRDefault="00AA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1E8D7" w14:textId="77777777" w:rsidR="00CA1AA9" w:rsidRDefault="00CA1AA9">
    <w:pPr>
      <w:pStyle w:val="Footer"/>
      <w:jc w:val="center"/>
    </w:pPr>
    <w:r>
      <w:fldChar w:fldCharType="begin"/>
    </w:r>
    <w:r>
      <w:instrText xml:space="preserve"> PAGE   \* MERGEFORMAT </w:instrText>
    </w:r>
    <w:r>
      <w:fldChar w:fldCharType="separate"/>
    </w:r>
    <w:r w:rsidR="00B36BA0">
      <w:rPr>
        <w:noProof/>
      </w:rPr>
      <w:t>2</w:t>
    </w:r>
    <w:r>
      <w:rPr>
        <w:noProof/>
      </w:rPr>
      <w:fldChar w:fldCharType="end"/>
    </w:r>
  </w:p>
  <w:p w14:paraId="4A6E6D20"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2892" w14:textId="77777777" w:rsidR="00CA1AA9" w:rsidRDefault="00CA1AA9">
    <w:pPr>
      <w:pStyle w:val="Footer"/>
      <w:jc w:val="center"/>
    </w:pPr>
    <w:r>
      <w:fldChar w:fldCharType="begin"/>
    </w:r>
    <w:r>
      <w:instrText xml:space="preserve"> PAGE   \* MERGEFORMAT </w:instrText>
    </w:r>
    <w:r>
      <w:fldChar w:fldCharType="separate"/>
    </w:r>
    <w:r w:rsidR="00B36BA0">
      <w:rPr>
        <w:noProof/>
      </w:rPr>
      <w:t>1</w:t>
    </w:r>
    <w:r>
      <w:rPr>
        <w:noProof/>
      </w:rPr>
      <w:fldChar w:fldCharType="end"/>
    </w:r>
  </w:p>
  <w:p w14:paraId="495D51DD"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7E244" w14:textId="77777777" w:rsidR="00AA45FE" w:rsidRDefault="00AA45FE">
      <w:r>
        <w:separator/>
      </w:r>
    </w:p>
  </w:footnote>
  <w:footnote w:type="continuationSeparator" w:id="0">
    <w:p w14:paraId="5CA26B4F" w14:textId="77777777" w:rsidR="00AA45FE" w:rsidRDefault="00AA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B9E4" w14:textId="77777777" w:rsidR="00CA1AA9" w:rsidRDefault="00D562AF">
    <w:pPr>
      <w:pStyle w:val="Header"/>
    </w:pPr>
    <w:r>
      <w:rPr>
        <w:noProof/>
      </w:rPr>
      <w:drawing>
        <wp:inline distT="0" distB="0" distL="0" distR="0" wp14:anchorId="6050FA8C" wp14:editId="1DA8B131">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4760413C" w14:textId="77777777" w:rsidR="00CA1AA9" w:rsidRPr="00CA347D" w:rsidRDefault="00CA1AA9" w:rsidP="00CA347D">
    <w:pPr>
      <w:pStyle w:val="Heading1"/>
      <w:rPr>
        <w:rStyle w:val="Heading1Char"/>
        <w:b/>
      </w:rPr>
    </w:pPr>
    <w:r w:rsidRPr="00CA347D">
      <w:rPr>
        <w:rStyle w:val="Heading1Char"/>
        <w:b/>
      </w:rPr>
      <w:t>Drug Utilisation Sub-Committee</w:t>
    </w:r>
  </w:p>
  <w:p w14:paraId="52B379BB" w14:textId="77777777" w:rsidR="00CA1AA9" w:rsidRPr="00CA347D" w:rsidRDefault="00CA1AA9" w:rsidP="00CA347D">
    <w:pPr>
      <w:pStyle w:val="Heading1"/>
    </w:pPr>
    <w:r w:rsidRPr="00CA347D">
      <w:rPr>
        <w:rStyle w:val="Heading1Char"/>
        <w:b/>
      </w:rPr>
      <w:t xml:space="preserve">Outcome Statement </w:t>
    </w:r>
    <w:r w:rsidR="001F55F5">
      <w:rPr>
        <w:rStyle w:val="Heading1Char"/>
        <w:b/>
      </w:rPr>
      <w:t>30 September – 1 October</w:t>
    </w:r>
    <w:r w:rsidR="00CE1361">
      <w:rPr>
        <w:rStyle w:val="Heading1Char"/>
        <w:b/>
      </w:rPr>
      <w:t xml:space="preserve"> 2021</w:t>
    </w:r>
  </w:p>
  <w:p w14:paraId="4A51DA1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3"/>
  </w:num>
  <w:num w:numId="4">
    <w:abstractNumId w:val="2"/>
  </w:num>
  <w:num w:numId="5">
    <w:abstractNumId w:val="6"/>
  </w:num>
  <w:num w:numId="6">
    <w:abstractNumId w:val="3"/>
  </w:num>
  <w:num w:numId="7">
    <w:abstractNumId w:val="1"/>
  </w:num>
  <w:num w:numId="8">
    <w:abstractNumId w:val="12"/>
  </w:num>
  <w:num w:numId="9">
    <w:abstractNumId w:val="5"/>
  </w:num>
  <w:num w:numId="10">
    <w:abstractNumId w:val="14"/>
  </w:num>
  <w:num w:numId="11">
    <w:abstractNumId w:val="10"/>
  </w:num>
  <w:num w:numId="12">
    <w:abstractNumId w:val="11"/>
  </w:num>
  <w:num w:numId="13">
    <w:abstractNumId w:val="8"/>
  </w:num>
  <w:num w:numId="14">
    <w:abstractNumId w:val="0"/>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2B83"/>
    <w:rsid w:val="000C58C8"/>
    <w:rsid w:val="000D2142"/>
    <w:rsid w:val="000D6712"/>
    <w:rsid w:val="000E178A"/>
    <w:rsid w:val="000E18F9"/>
    <w:rsid w:val="000E23E6"/>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6C85"/>
    <w:rsid w:val="001C7C04"/>
    <w:rsid w:val="001D07EF"/>
    <w:rsid w:val="001D6301"/>
    <w:rsid w:val="001E2022"/>
    <w:rsid w:val="001E4D54"/>
    <w:rsid w:val="001E50B6"/>
    <w:rsid w:val="001E682A"/>
    <w:rsid w:val="001F33DA"/>
    <w:rsid w:val="001F4200"/>
    <w:rsid w:val="001F55F5"/>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0CA"/>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31FB"/>
    <w:rsid w:val="0062459E"/>
    <w:rsid w:val="006255FF"/>
    <w:rsid w:val="00626FE7"/>
    <w:rsid w:val="006314E6"/>
    <w:rsid w:val="00635EA5"/>
    <w:rsid w:val="00640199"/>
    <w:rsid w:val="0064252F"/>
    <w:rsid w:val="006431B8"/>
    <w:rsid w:val="00645035"/>
    <w:rsid w:val="00647F2B"/>
    <w:rsid w:val="00651A8E"/>
    <w:rsid w:val="0065343B"/>
    <w:rsid w:val="00665A90"/>
    <w:rsid w:val="00667381"/>
    <w:rsid w:val="00670BD6"/>
    <w:rsid w:val="00670E22"/>
    <w:rsid w:val="006723D5"/>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5BF3"/>
    <w:rsid w:val="0076008F"/>
    <w:rsid w:val="007605B0"/>
    <w:rsid w:val="00761116"/>
    <w:rsid w:val="00764AF4"/>
    <w:rsid w:val="00766D92"/>
    <w:rsid w:val="00766DBB"/>
    <w:rsid w:val="007830A6"/>
    <w:rsid w:val="00783E2D"/>
    <w:rsid w:val="0079098A"/>
    <w:rsid w:val="00792D24"/>
    <w:rsid w:val="00795727"/>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290B"/>
    <w:rsid w:val="007F62FA"/>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D40EE"/>
    <w:rsid w:val="008E0DFD"/>
    <w:rsid w:val="008E4589"/>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58B3"/>
    <w:rsid w:val="00A27FE5"/>
    <w:rsid w:val="00A33086"/>
    <w:rsid w:val="00A340B2"/>
    <w:rsid w:val="00A34A8E"/>
    <w:rsid w:val="00A372EE"/>
    <w:rsid w:val="00A42B7A"/>
    <w:rsid w:val="00A432AE"/>
    <w:rsid w:val="00A453E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45FE"/>
    <w:rsid w:val="00AA5D66"/>
    <w:rsid w:val="00AA7FC1"/>
    <w:rsid w:val="00AB154D"/>
    <w:rsid w:val="00AB2981"/>
    <w:rsid w:val="00AB4A37"/>
    <w:rsid w:val="00AB6DF6"/>
    <w:rsid w:val="00AC42CE"/>
    <w:rsid w:val="00AC6543"/>
    <w:rsid w:val="00AD405E"/>
    <w:rsid w:val="00AD52F5"/>
    <w:rsid w:val="00AD61AC"/>
    <w:rsid w:val="00AE0098"/>
    <w:rsid w:val="00AE0F62"/>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21AD"/>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B29E2"/>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75D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3AF"/>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0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AA83-1C13-4C1A-97AC-E4CB78FC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7682</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2021-10-31T22:30:00Z</dcterms:created>
  <dcterms:modified xsi:type="dcterms:W3CDTF">2021-10-31T22:46:00Z</dcterms:modified>
</cp:coreProperties>
</file>