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F7D7F" w14:textId="77777777" w:rsidR="00A20CBD" w:rsidRPr="00F4413F" w:rsidRDefault="00A20CBD" w:rsidP="00855B59">
      <w:pPr>
        <w:ind w:left="2160" w:firstLine="720"/>
        <w:rPr>
          <w:b/>
        </w:rPr>
      </w:pPr>
    </w:p>
    <w:p w14:paraId="3BFE4C06" w14:textId="2AB8E767"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74A52">
        <w:rPr>
          <w:sz w:val="24"/>
          <w:szCs w:val="24"/>
        </w:rPr>
        <w:t>100</w:t>
      </w:r>
      <w:r w:rsidR="006F7FAE" w:rsidRPr="006F7FAE">
        <w:rPr>
          <w:sz w:val="24"/>
          <w:szCs w:val="24"/>
          <w:vertAlign w:val="superscript"/>
        </w:rPr>
        <w:t>th</w:t>
      </w:r>
      <w:r w:rsidR="006F7FAE">
        <w:rPr>
          <w:sz w:val="24"/>
          <w:szCs w:val="24"/>
        </w:rPr>
        <w:t xml:space="preserve"> </w:t>
      </w:r>
      <w:r w:rsidRPr="005F3EF0">
        <w:rPr>
          <w:sz w:val="24"/>
          <w:szCs w:val="24"/>
        </w:rPr>
        <w:t xml:space="preserve">meeting on </w:t>
      </w:r>
      <w:r w:rsidR="00E4556A">
        <w:rPr>
          <w:sz w:val="24"/>
          <w:szCs w:val="24"/>
        </w:rPr>
        <w:t xml:space="preserve">the </w:t>
      </w:r>
      <w:r w:rsidR="00674A52">
        <w:rPr>
          <w:sz w:val="24"/>
          <w:szCs w:val="24"/>
        </w:rPr>
        <w:t xml:space="preserve">1 – 2 October </w:t>
      </w:r>
      <w:r w:rsidR="00C432EB">
        <w:rPr>
          <w:sz w:val="24"/>
          <w:szCs w:val="24"/>
        </w:rPr>
        <w:t>2020</w:t>
      </w:r>
      <w:r w:rsidRPr="005F3EF0">
        <w:rPr>
          <w:sz w:val="24"/>
          <w:szCs w:val="24"/>
        </w:rPr>
        <w:t>.</w:t>
      </w:r>
    </w:p>
    <w:p w14:paraId="25B768AF" w14:textId="77777777" w:rsidR="003F06C8" w:rsidRDefault="003F06C8" w:rsidP="008B6946">
      <w:pPr>
        <w:tabs>
          <w:tab w:val="left" w:pos="4820"/>
          <w:tab w:val="left" w:pos="8931"/>
          <w:tab w:val="left" w:pos="9028"/>
          <w:tab w:val="left" w:pos="9072"/>
        </w:tabs>
        <w:rPr>
          <w:sz w:val="24"/>
          <w:szCs w:val="24"/>
        </w:rPr>
      </w:pPr>
    </w:p>
    <w:p w14:paraId="0837C7A3"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5EF26552" w14:textId="77777777" w:rsidR="00855B59" w:rsidRDefault="00855B59" w:rsidP="008B6946">
      <w:pPr>
        <w:tabs>
          <w:tab w:val="left" w:pos="4820"/>
          <w:tab w:val="left" w:pos="8931"/>
          <w:tab w:val="left" w:pos="9028"/>
          <w:tab w:val="left" w:pos="9072"/>
        </w:tabs>
        <w:rPr>
          <w:sz w:val="24"/>
          <w:szCs w:val="24"/>
        </w:rPr>
      </w:pPr>
    </w:p>
    <w:p w14:paraId="1425E1F8" w14:textId="54CB11DA"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via a </w:t>
      </w:r>
      <w:hyperlink r:id="rId8" w:history="1">
        <w:r w:rsidRPr="00B12248">
          <w:rPr>
            <w:rStyle w:val="Hyperlink"/>
            <w:sz w:val="24"/>
            <w:szCs w:val="24"/>
          </w:rPr>
          <w:t>web interface</w:t>
        </w:r>
      </w:hyperlink>
      <w:r w:rsidRPr="00B12248">
        <w:rPr>
          <w:sz w:val="24"/>
          <w:szCs w:val="24"/>
        </w:rPr>
        <w:t>.</w:t>
      </w:r>
    </w:p>
    <w:p w14:paraId="0C5A9F25" w14:textId="77777777" w:rsidR="00204055" w:rsidRPr="00B12248" w:rsidRDefault="00204055" w:rsidP="00204055">
      <w:pPr>
        <w:rPr>
          <w:sz w:val="24"/>
          <w:szCs w:val="24"/>
        </w:rPr>
      </w:pPr>
    </w:p>
    <w:p w14:paraId="0B97FCD3" w14:textId="77777777" w:rsidR="004566A9" w:rsidRPr="00855B59" w:rsidRDefault="00855B59" w:rsidP="008B6946">
      <w:pPr>
        <w:pStyle w:val="Heading2"/>
      </w:pPr>
      <w:r w:rsidRPr="00855B59">
        <w:t>Su</w:t>
      </w:r>
      <w:r w:rsidR="004566A9" w:rsidRPr="00855B59">
        <w:t>bmissions to the PBAC</w:t>
      </w:r>
    </w:p>
    <w:p w14:paraId="60CAEED6" w14:textId="77B1D8F3" w:rsidR="009237FF" w:rsidRDefault="00BE11AF" w:rsidP="008B6946">
      <w:pPr>
        <w:rPr>
          <w:sz w:val="24"/>
          <w:szCs w:val="24"/>
        </w:rPr>
      </w:pPr>
      <w:r>
        <w:rPr>
          <w:sz w:val="24"/>
          <w:szCs w:val="24"/>
        </w:rPr>
        <w:t>DUSC noted that 29</w:t>
      </w:r>
      <w:r w:rsidR="003F06C8" w:rsidRPr="0035237B">
        <w:rPr>
          <w:sz w:val="24"/>
          <w:szCs w:val="24"/>
        </w:rPr>
        <w:t xml:space="preserve"> major submissions had been received for the </w:t>
      </w:r>
      <w:r w:rsidR="00674A52">
        <w:rPr>
          <w:sz w:val="24"/>
          <w:szCs w:val="24"/>
        </w:rPr>
        <w:t>November</w:t>
      </w:r>
      <w:r w:rsidR="00A57EA5">
        <w:rPr>
          <w:sz w:val="24"/>
          <w:szCs w:val="24"/>
        </w:rPr>
        <w:t xml:space="preserve"> 2020</w:t>
      </w:r>
      <w:r w:rsidR="003F06C8" w:rsidRPr="0035237B">
        <w:rPr>
          <w:sz w:val="24"/>
          <w:szCs w:val="24"/>
        </w:rPr>
        <w:t xml:space="preserve"> meeting of PBAC. </w:t>
      </w:r>
      <w:r w:rsidR="008F7F63" w:rsidRPr="0035237B">
        <w:rPr>
          <w:sz w:val="24"/>
          <w:szCs w:val="24"/>
        </w:rPr>
        <w:t xml:space="preserve">DUSC provided detailed advice to the PBAC on </w:t>
      </w:r>
      <w:r w:rsidR="009230A9" w:rsidRPr="0035237B">
        <w:rPr>
          <w:sz w:val="24"/>
          <w:szCs w:val="24"/>
        </w:rPr>
        <w:t xml:space="preserve">projected usage and financial cost for </w:t>
      </w:r>
      <w:r w:rsidR="003833F2" w:rsidRPr="0035237B">
        <w:rPr>
          <w:sz w:val="24"/>
          <w:szCs w:val="24"/>
        </w:rPr>
        <w:t xml:space="preserve">the </w:t>
      </w:r>
      <w:r w:rsidR="005C053B" w:rsidRPr="0035237B">
        <w:rPr>
          <w:sz w:val="24"/>
          <w:szCs w:val="24"/>
        </w:rPr>
        <w:t>major</w:t>
      </w:r>
      <w:r w:rsidR="003F06C8" w:rsidRPr="0035237B">
        <w:rPr>
          <w:sz w:val="24"/>
          <w:szCs w:val="24"/>
        </w:rPr>
        <w:t xml:space="preserve"> submissions</w:t>
      </w:r>
      <w:r w:rsidR="00C814DC" w:rsidRPr="0035237B">
        <w:rPr>
          <w:sz w:val="24"/>
          <w:szCs w:val="24"/>
        </w:rPr>
        <w:t xml:space="preserve"> where there </w:t>
      </w:r>
      <w:r w:rsidR="005B19CE">
        <w:rPr>
          <w:sz w:val="24"/>
          <w:szCs w:val="24"/>
        </w:rPr>
        <w:t>wa</w:t>
      </w:r>
      <w:r w:rsidR="005B19CE" w:rsidRPr="0035237B">
        <w:rPr>
          <w:sz w:val="24"/>
          <w:szCs w:val="24"/>
        </w:rPr>
        <w:t xml:space="preserve">s </w:t>
      </w:r>
      <w:r w:rsidR="00C814DC" w:rsidRPr="0035237B">
        <w:rPr>
          <w:sz w:val="24"/>
          <w:szCs w:val="24"/>
        </w:rPr>
        <w:t>high cost, uncertain utilisation</w:t>
      </w:r>
      <w:r w:rsidR="00FA149F" w:rsidRPr="0035237B">
        <w:rPr>
          <w:sz w:val="24"/>
          <w:szCs w:val="24"/>
        </w:rPr>
        <w:t xml:space="preserve">, first </w:t>
      </w:r>
      <w:r w:rsidR="007D4108" w:rsidRPr="0035237B">
        <w:rPr>
          <w:sz w:val="24"/>
          <w:szCs w:val="24"/>
        </w:rPr>
        <w:t xml:space="preserve">medicine </w:t>
      </w:r>
      <w:r w:rsidR="00FA149F" w:rsidRPr="0035237B">
        <w:rPr>
          <w:sz w:val="24"/>
          <w:szCs w:val="24"/>
        </w:rPr>
        <w:t xml:space="preserve">in class or </w:t>
      </w:r>
      <w:r w:rsidR="003361C9" w:rsidRPr="0035237B">
        <w:rPr>
          <w:sz w:val="24"/>
          <w:szCs w:val="24"/>
        </w:rPr>
        <w:t>q</w:t>
      </w:r>
      <w:r w:rsidR="00FA149F" w:rsidRPr="0035237B">
        <w:rPr>
          <w:sz w:val="24"/>
          <w:szCs w:val="24"/>
        </w:rPr>
        <w:t xml:space="preserve">uality </w:t>
      </w:r>
      <w:r w:rsidR="003361C9" w:rsidRPr="0035237B">
        <w:rPr>
          <w:sz w:val="24"/>
          <w:szCs w:val="24"/>
        </w:rPr>
        <w:t>u</w:t>
      </w:r>
      <w:r w:rsidR="00FA149F" w:rsidRPr="0035237B">
        <w:rPr>
          <w:sz w:val="24"/>
          <w:szCs w:val="24"/>
        </w:rPr>
        <w:t xml:space="preserve">se of </w:t>
      </w:r>
      <w:r w:rsidR="003361C9" w:rsidRPr="0035237B">
        <w:rPr>
          <w:sz w:val="24"/>
          <w:szCs w:val="24"/>
        </w:rPr>
        <w:t>m</w:t>
      </w:r>
      <w:r w:rsidR="00FA149F" w:rsidRPr="0035237B">
        <w:rPr>
          <w:sz w:val="24"/>
          <w:szCs w:val="24"/>
        </w:rPr>
        <w:t xml:space="preserve">edicines </w:t>
      </w:r>
      <w:r w:rsidR="0042129E" w:rsidRPr="0035237B">
        <w:rPr>
          <w:sz w:val="24"/>
          <w:szCs w:val="24"/>
        </w:rPr>
        <w:t>concerns</w:t>
      </w:r>
      <w:r w:rsidR="005C053B" w:rsidRPr="0035237B">
        <w:rPr>
          <w:sz w:val="24"/>
          <w:szCs w:val="24"/>
        </w:rPr>
        <w:t xml:space="preserve">. </w:t>
      </w:r>
      <w:r w:rsidR="008F7F63" w:rsidRPr="0035237B">
        <w:rPr>
          <w:sz w:val="24"/>
          <w:szCs w:val="24"/>
        </w:rPr>
        <w:t xml:space="preserve">The </w:t>
      </w:r>
      <w:r w:rsidR="005C053B" w:rsidRPr="0035237B">
        <w:rPr>
          <w:sz w:val="24"/>
          <w:szCs w:val="24"/>
        </w:rPr>
        <w:t>a</w:t>
      </w:r>
      <w:r w:rsidR="008F7F63" w:rsidRPr="0035237B">
        <w:rPr>
          <w:sz w:val="24"/>
          <w:szCs w:val="24"/>
        </w:rPr>
        <w:t xml:space="preserve">genda </w:t>
      </w:r>
      <w:r w:rsidR="005C053B" w:rsidRPr="0035237B">
        <w:rPr>
          <w:sz w:val="24"/>
          <w:szCs w:val="24"/>
        </w:rPr>
        <w:t xml:space="preserve">for the </w:t>
      </w:r>
      <w:r w:rsidR="00674A52">
        <w:rPr>
          <w:sz w:val="24"/>
          <w:szCs w:val="24"/>
        </w:rPr>
        <w:t xml:space="preserve">November </w:t>
      </w:r>
      <w:r w:rsidR="00A57EA5">
        <w:rPr>
          <w:sz w:val="24"/>
          <w:szCs w:val="24"/>
        </w:rPr>
        <w:t>2020</w:t>
      </w:r>
      <w:r w:rsidR="005C053B" w:rsidRPr="0035237B">
        <w:rPr>
          <w:sz w:val="24"/>
          <w:szCs w:val="24"/>
        </w:rPr>
        <w:t xml:space="preserve"> PBAC meeting </w:t>
      </w:r>
      <w:r w:rsidR="008F7F63" w:rsidRPr="0035237B">
        <w:rPr>
          <w:sz w:val="24"/>
          <w:szCs w:val="24"/>
        </w:rPr>
        <w:t xml:space="preserve">can be found </w:t>
      </w:r>
      <w:r w:rsidR="00E013AC" w:rsidRPr="0035237B">
        <w:rPr>
          <w:sz w:val="24"/>
          <w:szCs w:val="24"/>
        </w:rPr>
        <w:t xml:space="preserve">on the </w:t>
      </w:r>
      <w:hyperlink r:id="rId9" w:history="1">
        <w:r w:rsidR="00E013AC" w:rsidRPr="0035237B">
          <w:rPr>
            <w:rStyle w:val="Hyperlink"/>
            <w:sz w:val="24"/>
            <w:szCs w:val="24"/>
          </w:rPr>
          <w:t>PBS</w:t>
        </w:r>
        <w:r w:rsidR="006E3AF2">
          <w:rPr>
            <w:rStyle w:val="Hyperlink"/>
            <w:sz w:val="24"/>
            <w:szCs w:val="24"/>
          </w:rPr>
          <w:t> </w:t>
        </w:r>
        <w:r w:rsidR="00E013AC" w:rsidRPr="0035237B">
          <w:rPr>
            <w:rStyle w:val="Hyperlink"/>
            <w:sz w:val="24"/>
            <w:szCs w:val="24"/>
          </w:rPr>
          <w:t>website</w:t>
        </w:r>
      </w:hyperlink>
      <w:r w:rsidR="00E013AC" w:rsidRPr="0035237B">
        <w:rPr>
          <w:sz w:val="24"/>
          <w:szCs w:val="24"/>
        </w:rPr>
        <w:t>.</w:t>
      </w:r>
    </w:p>
    <w:p w14:paraId="64396CD2" w14:textId="77777777" w:rsidR="00A453E3" w:rsidRDefault="00A453E3" w:rsidP="008B6946">
      <w:pPr>
        <w:rPr>
          <w:sz w:val="24"/>
          <w:szCs w:val="24"/>
        </w:rPr>
      </w:pPr>
    </w:p>
    <w:p w14:paraId="0A108F68"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5E55EBFC" w14:textId="0F17EA28" w:rsidR="00591C2B" w:rsidRPr="00B12248" w:rsidRDefault="00CD4F83" w:rsidP="00F4413F">
      <w:pPr>
        <w:ind w:right="-305"/>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 xml:space="preserve">highlighted items of interest.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be undertaken</w:t>
      </w:r>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be considered by the PBAC are also published </w:t>
      </w:r>
      <w:r w:rsidR="00021AF3" w:rsidRPr="00B12248">
        <w:rPr>
          <w:sz w:val="24"/>
          <w:szCs w:val="24"/>
        </w:rPr>
        <w:t>in</w:t>
      </w:r>
      <w:r w:rsidR="00591C2B" w:rsidRPr="00B12248">
        <w:rPr>
          <w:sz w:val="24"/>
          <w:szCs w:val="24"/>
        </w:rPr>
        <w:t xml:space="preserve"> the </w:t>
      </w:r>
      <w:hyperlink r:id="rId10" w:history="1">
        <w:r w:rsidR="00591C2B" w:rsidRPr="00B12248">
          <w:rPr>
            <w:rStyle w:val="Hyperlink"/>
            <w:sz w:val="24"/>
            <w:szCs w:val="24"/>
          </w:rPr>
          <w:t xml:space="preserve">PBAC </w:t>
        </w:r>
        <w:r w:rsidR="00021AF3" w:rsidRPr="00B12248">
          <w:rPr>
            <w:rStyle w:val="Hyperlink"/>
            <w:sz w:val="24"/>
            <w:szCs w:val="24"/>
          </w:rPr>
          <w:t>meeting</w:t>
        </w:r>
        <w:r w:rsidR="00591C2B" w:rsidRPr="00B12248">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rts, Sponsor comments and DUSC assessment</w:t>
      </w:r>
      <w:r w:rsidR="00B0144A" w:rsidRPr="00B12248">
        <w:rPr>
          <w:sz w:val="24"/>
          <w:szCs w:val="24"/>
        </w:rPr>
        <w:t xml:space="preserve"> of the reports are subsequently provided to the PBAC.</w:t>
      </w:r>
    </w:p>
    <w:p w14:paraId="58B7E5FC" w14:textId="77777777" w:rsidR="00021AF3" w:rsidRPr="00B12248" w:rsidRDefault="00021AF3" w:rsidP="00D97B8F">
      <w:pPr>
        <w:rPr>
          <w:sz w:val="24"/>
          <w:szCs w:val="24"/>
        </w:rPr>
      </w:pPr>
    </w:p>
    <w:p w14:paraId="23C129C8" w14:textId="6E5BF81C"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in </w:t>
      </w:r>
      <w:r w:rsidR="00674A52">
        <w:rPr>
          <w:sz w:val="24"/>
          <w:szCs w:val="24"/>
        </w:rPr>
        <w:t>October</w:t>
      </w:r>
      <w:r w:rsidR="00A57EA5">
        <w:rPr>
          <w:sz w:val="24"/>
          <w:szCs w:val="24"/>
        </w:rPr>
        <w:t xml:space="preserve"> 2020</w:t>
      </w:r>
      <w:r w:rsidRPr="00B12248">
        <w:rPr>
          <w:sz w:val="24"/>
          <w:szCs w:val="24"/>
        </w:rPr>
        <w:t>:</w:t>
      </w:r>
    </w:p>
    <w:p w14:paraId="33B06DF6" w14:textId="77777777" w:rsidR="00B636E4" w:rsidRDefault="00B636E4" w:rsidP="009F597A">
      <w:pPr>
        <w:rPr>
          <w:sz w:val="24"/>
          <w:szCs w:val="24"/>
        </w:rPr>
      </w:pPr>
    </w:p>
    <w:p w14:paraId="7420FDA4" w14:textId="17172687" w:rsidR="00674A52" w:rsidRDefault="00674A52" w:rsidP="00674A52">
      <w:pPr>
        <w:rPr>
          <w:rFonts w:eastAsia="MS Mincho"/>
          <w:b/>
          <w:sz w:val="24"/>
          <w:szCs w:val="24"/>
        </w:rPr>
      </w:pPr>
      <w:r w:rsidRPr="00674A52">
        <w:rPr>
          <w:rFonts w:eastAsia="MS Mincho"/>
          <w:b/>
          <w:sz w:val="24"/>
          <w:szCs w:val="24"/>
        </w:rPr>
        <w:t>Adrenaline for allergic reaction with anaphylaxis</w:t>
      </w:r>
    </w:p>
    <w:p w14:paraId="6E2DD17F" w14:textId="2BE968E0" w:rsidR="00674A52" w:rsidRPr="00674A52" w:rsidRDefault="00BE11AF" w:rsidP="00674A52">
      <w:pPr>
        <w:rPr>
          <w:rFonts w:eastAsia="MS Mincho"/>
          <w:sz w:val="24"/>
          <w:szCs w:val="24"/>
        </w:rPr>
      </w:pPr>
      <w:r w:rsidRPr="00BE11AF">
        <w:rPr>
          <w:rFonts w:eastAsia="MS Mincho"/>
          <w:sz w:val="24"/>
          <w:szCs w:val="24"/>
        </w:rPr>
        <w:t xml:space="preserve">In 2019 there were 260,593 adrenaline </w:t>
      </w:r>
      <w:proofErr w:type="spellStart"/>
      <w:r w:rsidRPr="00BE11AF">
        <w:rPr>
          <w:rFonts w:eastAsia="MS Mincho"/>
          <w:sz w:val="24"/>
          <w:szCs w:val="24"/>
        </w:rPr>
        <w:t>autoinjectors</w:t>
      </w:r>
      <w:proofErr w:type="spellEnd"/>
      <w:r w:rsidRPr="00BE11AF">
        <w:rPr>
          <w:rFonts w:eastAsia="MS Mincho"/>
          <w:sz w:val="24"/>
          <w:szCs w:val="24"/>
        </w:rPr>
        <w:t xml:space="preserve"> supplied to 122,271 patients, and 23,534 patients initiated treatment for the first time. The number of treated patients and prescriptions supplied per year have been steadily increasing since 2003, but expenditure has remained at a </w:t>
      </w:r>
      <w:proofErr w:type="gramStart"/>
      <w:r w:rsidRPr="00BE11AF">
        <w:rPr>
          <w:rFonts w:eastAsia="MS Mincho"/>
          <w:sz w:val="24"/>
          <w:szCs w:val="24"/>
        </w:rPr>
        <w:t>consistent</w:t>
      </w:r>
      <w:proofErr w:type="gramEnd"/>
      <w:r w:rsidRPr="00BE11AF">
        <w:rPr>
          <w:rFonts w:eastAsia="MS Mincho"/>
          <w:sz w:val="24"/>
          <w:szCs w:val="24"/>
        </w:rPr>
        <w:t xml:space="preserve"> level since 2014 due to three price decreases that occurred between 2015 and 2018.</w:t>
      </w:r>
    </w:p>
    <w:p w14:paraId="7543C178" w14:textId="77777777" w:rsidR="00674A52" w:rsidRPr="00CE77BB" w:rsidRDefault="00674A52" w:rsidP="00674A52">
      <w:pPr>
        <w:rPr>
          <w:rFonts w:asciiTheme="minorHAnsi" w:hAnsiTheme="minorHAnsi" w:cstheme="minorHAnsi"/>
          <w:sz w:val="24"/>
          <w:szCs w:val="24"/>
        </w:rPr>
      </w:pPr>
    </w:p>
    <w:p w14:paraId="436206BD" w14:textId="77777777" w:rsidR="00674A52" w:rsidRPr="00CE77BB" w:rsidRDefault="00674A52" w:rsidP="00674A52">
      <w:pPr>
        <w:rPr>
          <w:rFonts w:asciiTheme="minorHAnsi" w:hAnsiTheme="minorHAnsi" w:cstheme="minorHAnsi"/>
          <w:sz w:val="24"/>
          <w:szCs w:val="24"/>
        </w:rPr>
      </w:pPr>
      <w:r w:rsidRPr="00CE77BB">
        <w:rPr>
          <w:rFonts w:asciiTheme="minorHAnsi" w:hAnsiTheme="minorHAnsi" w:cstheme="minorHAnsi"/>
          <w:sz w:val="24"/>
          <w:szCs w:val="24"/>
        </w:rPr>
        <w:t>DUSC requested that the report be provided to the PBAC.</w:t>
      </w:r>
    </w:p>
    <w:p w14:paraId="22A95B1A" w14:textId="77777777" w:rsidR="00674A52" w:rsidRPr="00251409" w:rsidRDefault="00674A52" w:rsidP="00674A52">
      <w:pPr>
        <w:contextualSpacing/>
        <w:rPr>
          <w:rFonts w:eastAsia="MS Mincho"/>
          <w:sz w:val="24"/>
          <w:szCs w:val="24"/>
        </w:rPr>
      </w:pPr>
    </w:p>
    <w:p w14:paraId="30AF675A" w14:textId="67AE3B8B" w:rsidR="00674A52" w:rsidRPr="00674A52" w:rsidRDefault="00674A52" w:rsidP="00674A52">
      <w:pPr>
        <w:rPr>
          <w:rFonts w:eastAsia="MS Mincho"/>
          <w:b/>
          <w:sz w:val="24"/>
          <w:szCs w:val="24"/>
        </w:rPr>
      </w:pPr>
      <w:proofErr w:type="spellStart"/>
      <w:r w:rsidRPr="00674A52">
        <w:rPr>
          <w:rFonts w:eastAsia="MS Mincho"/>
          <w:b/>
          <w:sz w:val="24"/>
          <w:szCs w:val="24"/>
        </w:rPr>
        <w:t>Alectinib</w:t>
      </w:r>
      <w:proofErr w:type="spellEnd"/>
      <w:r w:rsidRPr="00674A52">
        <w:rPr>
          <w:rFonts w:eastAsia="MS Mincho"/>
          <w:b/>
          <w:sz w:val="24"/>
          <w:szCs w:val="24"/>
        </w:rPr>
        <w:t xml:space="preserve"> for non-small cell lung cancer</w:t>
      </w:r>
      <w:r w:rsidR="00EB7979">
        <w:rPr>
          <w:rFonts w:eastAsia="MS Mincho"/>
          <w:b/>
          <w:sz w:val="24"/>
          <w:szCs w:val="24"/>
        </w:rPr>
        <w:t xml:space="preserve"> (NSCLC)</w:t>
      </w:r>
      <w:bookmarkStart w:id="0" w:name="_GoBack"/>
      <w:bookmarkEnd w:id="0"/>
    </w:p>
    <w:p w14:paraId="3406B8DA" w14:textId="77777777" w:rsidR="003749AF" w:rsidRPr="003749AF" w:rsidRDefault="003749AF" w:rsidP="003749AF">
      <w:pPr>
        <w:rPr>
          <w:rFonts w:asciiTheme="minorHAnsi" w:hAnsiTheme="minorHAnsi" w:cstheme="minorHAnsi"/>
          <w:sz w:val="24"/>
          <w:szCs w:val="22"/>
        </w:rPr>
      </w:pPr>
      <w:r w:rsidRPr="003749AF">
        <w:rPr>
          <w:rFonts w:asciiTheme="minorHAnsi" w:hAnsiTheme="minorHAnsi" w:cstheme="minorHAnsi"/>
          <w:sz w:val="24"/>
          <w:szCs w:val="22"/>
        </w:rPr>
        <w:t xml:space="preserve">DUSC reviewed the use of </w:t>
      </w:r>
      <w:proofErr w:type="spellStart"/>
      <w:r w:rsidRPr="003749AF">
        <w:rPr>
          <w:rFonts w:asciiTheme="minorHAnsi" w:hAnsiTheme="minorHAnsi" w:cstheme="minorHAnsi"/>
          <w:sz w:val="24"/>
          <w:szCs w:val="22"/>
        </w:rPr>
        <w:t>alectinib</w:t>
      </w:r>
      <w:proofErr w:type="spellEnd"/>
      <w:r w:rsidRPr="003749AF">
        <w:rPr>
          <w:rFonts w:asciiTheme="minorHAnsi" w:hAnsiTheme="minorHAnsi" w:cstheme="minorHAnsi"/>
          <w:sz w:val="24"/>
          <w:szCs w:val="22"/>
        </w:rPr>
        <w:t xml:space="preserve"> for the treatment of NSCLC. In 2018, 254 patients were dispensed 1,715 </w:t>
      </w:r>
      <w:proofErr w:type="spellStart"/>
      <w:r w:rsidRPr="003749AF">
        <w:rPr>
          <w:rFonts w:asciiTheme="minorHAnsi" w:hAnsiTheme="minorHAnsi" w:cstheme="minorHAnsi"/>
          <w:sz w:val="24"/>
          <w:szCs w:val="22"/>
        </w:rPr>
        <w:t>alectinib</w:t>
      </w:r>
      <w:proofErr w:type="spellEnd"/>
      <w:r w:rsidRPr="003749AF">
        <w:rPr>
          <w:rFonts w:asciiTheme="minorHAnsi" w:hAnsiTheme="minorHAnsi" w:cstheme="minorHAnsi"/>
          <w:sz w:val="24"/>
          <w:szCs w:val="22"/>
        </w:rPr>
        <w:t xml:space="preserve"> scripts. In 2019, 322 patients were dispensed 2,546 </w:t>
      </w:r>
      <w:proofErr w:type="spellStart"/>
      <w:r w:rsidRPr="003749AF">
        <w:rPr>
          <w:rFonts w:asciiTheme="minorHAnsi" w:hAnsiTheme="minorHAnsi" w:cstheme="minorHAnsi"/>
          <w:sz w:val="24"/>
          <w:szCs w:val="22"/>
        </w:rPr>
        <w:t>alectinib</w:t>
      </w:r>
      <w:proofErr w:type="spellEnd"/>
      <w:r w:rsidRPr="003749AF">
        <w:rPr>
          <w:rFonts w:asciiTheme="minorHAnsi" w:hAnsiTheme="minorHAnsi" w:cstheme="minorHAnsi"/>
          <w:sz w:val="24"/>
          <w:szCs w:val="22"/>
        </w:rPr>
        <w:t xml:space="preserve"> scripts. The overall utilisation of </w:t>
      </w:r>
      <w:proofErr w:type="spellStart"/>
      <w:r w:rsidRPr="003749AF">
        <w:rPr>
          <w:rFonts w:asciiTheme="minorHAnsi" w:hAnsiTheme="minorHAnsi" w:cstheme="minorHAnsi"/>
          <w:sz w:val="24"/>
          <w:szCs w:val="22"/>
        </w:rPr>
        <w:t>alectinib</w:t>
      </w:r>
      <w:proofErr w:type="spellEnd"/>
      <w:r w:rsidRPr="003749AF">
        <w:rPr>
          <w:rFonts w:asciiTheme="minorHAnsi" w:hAnsiTheme="minorHAnsi" w:cstheme="minorHAnsi"/>
          <w:sz w:val="24"/>
          <w:szCs w:val="22"/>
        </w:rPr>
        <w:t xml:space="preserve"> was higher than expected. The growth in the number of dispensed scripts was greater compared to the number of patients as the treatment duration was longer than predicted.  For patients treated with anaplastic lymphoma kinase </w:t>
      </w:r>
      <w:r w:rsidRPr="003749AF">
        <w:rPr>
          <w:rStyle w:val="acopre1"/>
          <w:rFonts w:asciiTheme="minorHAnsi" w:hAnsiTheme="minorHAnsi" w:cstheme="minorHAnsi"/>
          <w:color w:val="4D5156"/>
          <w:sz w:val="22"/>
          <w:szCs w:val="21"/>
        </w:rPr>
        <w:t>(</w:t>
      </w:r>
      <w:r w:rsidRPr="003749AF">
        <w:rPr>
          <w:rFonts w:asciiTheme="minorHAnsi" w:hAnsiTheme="minorHAnsi" w:cstheme="minorHAnsi"/>
          <w:sz w:val="24"/>
          <w:szCs w:val="22"/>
        </w:rPr>
        <w:t xml:space="preserve">ALK) inhibitors, most were treated with </w:t>
      </w:r>
      <w:proofErr w:type="spellStart"/>
      <w:r w:rsidRPr="003749AF">
        <w:rPr>
          <w:rFonts w:asciiTheme="minorHAnsi" w:hAnsiTheme="minorHAnsi" w:cstheme="minorHAnsi"/>
          <w:sz w:val="24"/>
          <w:szCs w:val="22"/>
        </w:rPr>
        <w:t>alectinib</w:t>
      </w:r>
      <w:proofErr w:type="spellEnd"/>
      <w:r w:rsidRPr="003749AF">
        <w:rPr>
          <w:rFonts w:asciiTheme="minorHAnsi" w:hAnsiTheme="minorHAnsi" w:cstheme="minorHAnsi"/>
          <w:sz w:val="24"/>
          <w:szCs w:val="22"/>
        </w:rPr>
        <w:t xml:space="preserve"> or switched from a different treatment to </w:t>
      </w:r>
      <w:proofErr w:type="spellStart"/>
      <w:r w:rsidRPr="003749AF">
        <w:rPr>
          <w:rFonts w:asciiTheme="minorHAnsi" w:hAnsiTheme="minorHAnsi" w:cstheme="minorHAnsi"/>
          <w:sz w:val="24"/>
          <w:szCs w:val="22"/>
        </w:rPr>
        <w:t>alectinib</w:t>
      </w:r>
      <w:proofErr w:type="spellEnd"/>
      <w:r w:rsidRPr="003749AF">
        <w:rPr>
          <w:rFonts w:asciiTheme="minorHAnsi" w:hAnsiTheme="minorHAnsi" w:cstheme="minorHAnsi"/>
          <w:sz w:val="24"/>
          <w:szCs w:val="22"/>
        </w:rPr>
        <w:t xml:space="preserve">. </w:t>
      </w:r>
    </w:p>
    <w:p w14:paraId="36E2689B" w14:textId="708CD757" w:rsidR="00674A52" w:rsidRDefault="00674A52" w:rsidP="00674A52">
      <w:pPr>
        <w:rPr>
          <w:rFonts w:asciiTheme="minorHAnsi" w:hAnsiTheme="minorHAnsi" w:cstheme="minorHAnsi"/>
          <w:sz w:val="24"/>
          <w:szCs w:val="24"/>
        </w:rPr>
      </w:pPr>
    </w:p>
    <w:p w14:paraId="26D3C718" w14:textId="77777777" w:rsidR="00674A52" w:rsidRPr="00CE77BB" w:rsidRDefault="00674A52" w:rsidP="00674A52">
      <w:pPr>
        <w:rPr>
          <w:rFonts w:asciiTheme="minorHAnsi" w:hAnsiTheme="minorHAnsi" w:cstheme="minorHAnsi"/>
          <w:sz w:val="24"/>
          <w:szCs w:val="24"/>
        </w:rPr>
      </w:pPr>
      <w:r w:rsidRPr="00CE77BB">
        <w:rPr>
          <w:rFonts w:asciiTheme="minorHAnsi" w:hAnsiTheme="minorHAnsi" w:cstheme="minorHAnsi"/>
          <w:sz w:val="24"/>
          <w:szCs w:val="24"/>
        </w:rPr>
        <w:t>DUSC requested that the report be provided to the PBAC.</w:t>
      </w:r>
    </w:p>
    <w:p w14:paraId="2589B3D2" w14:textId="77777777" w:rsidR="00674A52" w:rsidRPr="00251409" w:rsidRDefault="00674A52" w:rsidP="00674A52">
      <w:pPr>
        <w:contextualSpacing/>
        <w:rPr>
          <w:rFonts w:eastAsia="MS Mincho"/>
          <w:sz w:val="24"/>
          <w:szCs w:val="24"/>
        </w:rPr>
      </w:pPr>
    </w:p>
    <w:p w14:paraId="541CBB64" w14:textId="2D1E385A" w:rsidR="00674A52" w:rsidRPr="00674A52" w:rsidRDefault="00674A52" w:rsidP="00674A52">
      <w:pPr>
        <w:rPr>
          <w:rFonts w:eastAsia="MS Mincho"/>
          <w:b/>
          <w:sz w:val="24"/>
          <w:szCs w:val="24"/>
        </w:rPr>
      </w:pPr>
      <w:proofErr w:type="spellStart"/>
      <w:r w:rsidRPr="00674A52">
        <w:rPr>
          <w:rFonts w:eastAsia="MS Mincho"/>
          <w:b/>
          <w:sz w:val="24"/>
          <w:szCs w:val="24"/>
        </w:rPr>
        <w:t>Denosumab</w:t>
      </w:r>
      <w:proofErr w:type="spellEnd"/>
      <w:r w:rsidRPr="00674A52">
        <w:rPr>
          <w:rFonts w:eastAsia="MS Mincho"/>
          <w:b/>
          <w:sz w:val="24"/>
          <w:szCs w:val="24"/>
        </w:rPr>
        <w:t xml:space="preserve"> for osteoporosis</w:t>
      </w:r>
    </w:p>
    <w:p w14:paraId="14FF0DEC" w14:textId="77777777" w:rsidR="00372609" w:rsidRPr="00372609" w:rsidRDefault="00372609" w:rsidP="00372609">
      <w:pPr>
        <w:rPr>
          <w:rFonts w:asciiTheme="minorHAnsi" w:hAnsiTheme="minorHAnsi" w:cstheme="minorHAnsi"/>
          <w:sz w:val="24"/>
          <w:szCs w:val="24"/>
        </w:rPr>
      </w:pPr>
      <w:r w:rsidRPr="00372609">
        <w:rPr>
          <w:rFonts w:asciiTheme="minorHAnsi" w:hAnsiTheme="minorHAnsi" w:cstheme="minorHAnsi"/>
          <w:sz w:val="24"/>
          <w:szCs w:val="24"/>
        </w:rPr>
        <w:t xml:space="preserve">DUSC reviewed the use of </w:t>
      </w:r>
      <w:proofErr w:type="spellStart"/>
      <w:r w:rsidRPr="00372609">
        <w:rPr>
          <w:rFonts w:asciiTheme="minorHAnsi" w:hAnsiTheme="minorHAnsi" w:cstheme="minorHAnsi"/>
          <w:sz w:val="24"/>
          <w:szCs w:val="24"/>
        </w:rPr>
        <w:t>denosumab</w:t>
      </w:r>
      <w:proofErr w:type="spellEnd"/>
      <w:r w:rsidRPr="00372609">
        <w:rPr>
          <w:rFonts w:asciiTheme="minorHAnsi" w:hAnsiTheme="minorHAnsi" w:cstheme="minorHAnsi"/>
          <w:sz w:val="24"/>
          <w:szCs w:val="24"/>
        </w:rPr>
        <w:t xml:space="preserve"> for the treatment of osteoporosis. DUSC considered that there was a concerning proportion of patients who discontinued </w:t>
      </w:r>
      <w:proofErr w:type="spellStart"/>
      <w:r w:rsidRPr="00372609">
        <w:rPr>
          <w:rFonts w:asciiTheme="minorHAnsi" w:hAnsiTheme="minorHAnsi" w:cstheme="minorHAnsi"/>
          <w:sz w:val="24"/>
          <w:szCs w:val="24"/>
        </w:rPr>
        <w:t>denosumab</w:t>
      </w:r>
      <w:proofErr w:type="spellEnd"/>
      <w:r w:rsidRPr="00372609">
        <w:rPr>
          <w:rFonts w:asciiTheme="minorHAnsi" w:hAnsiTheme="minorHAnsi" w:cstheme="minorHAnsi"/>
          <w:sz w:val="24"/>
          <w:szCs w:val="24"/>
        </w:rPr>
        <w:t xml:space="preserve"> without subsequent osteoporosis therapy, placing them at greater risk of having bone fractures. DUSC advised there was a high need to educate prescribers and patients about the importance of continuing osteoporosis treatment, in particular to consider other treatment choices during breaks from current therapy.</w:t>
      </w:r>
    </w:p>
    <w:p w14:paraId="0A1FD484" w14:textId="6A2553EF" w:rsidR="00674A52" w:rsidRDefault="00674A52" w:rsidP="00674A52">
      <w:pPr>
        <w:rPr>
          <w:rFonts w:asciiTheme="minorHAnsi" w:hAnsiTheme="minorHAnsi" w:cstheme="minorHAnsi"/>
          <w:sz w:val="24"/>
          <w:szCs w:val="24"/>
        </w:rPr>
      </w:pPr>
    </w:p>
    <w:p w14:paraId="5BEEE689" w14:textId="63BDF9AA" w:rsidR="00674A52" w:rsidRPr="00CE77BB" w:rsidRDefault="00674A52" w:rsidP="00674A52">
      <w:pPr>
        <w:rPr>
          <w:rFonts w:asciiTheme="minorHAnsi" w:hAnsiTheme="minorHAnsi" w:cstheme="minorHAnsi"/>
          <w:sz w:val="24"/>
          <w:szCs w:val="24"/>
        </w:rPr>
      </w:pPr>
      <w:r w:rsidRPr="00CE77BB">
        <w:rPr>
          <w:rFonts w:asciiTheme="minorHAnsi" w:hAnsiTheme="minorHAnsi" w:cstheme="minorHAnsi"/>
          <w:sz w:val="24"/>
          <w:szCs w:val="24"/>
        </w:rPr>
        <w:t>DUSC requested that the report be provided to the PBAC.</w:t>
      </w:r>
    </w:p>
    <w:p w14:paraId="770EEEEE" w14:textId="77777777" w:rsidR="00674A52" w:rsidRPr="00251409" w:rsidRDefault="00674A52" w:rsidP="00674A52">
      <w:pPr>
        <w:contextualSpacing/>
        <w:rPr>
          <w:rFonts w:eastAsia="MS Mincho"/>
          <w:sz w:val="24"/>
          <w:szCs w:val="24"/>
        </w:rPr>
      </w:pPr>
    </w:p>
    <w:p w14:paraId="6D4DC10B" w14:textId="32F4A88B" w:rsidR="00674A52" w:rsidRPr="00674A52" w:rsidRDefault="00674A52" w:rsidP="00674A52">
      <w:pPr>
        <w:rPr>
          <w:rFonts w:eastAsia="MS Mincho"/>
          <w:b/>
          <w:sz w:val="24"/>
          <w:szCs w:val="24"/>
        </w:rPr>
      </w:pPr>
      <w:proofErr w:type="spellStart"/>
      <w:proofErr w:type="gramStart"/>
      <w:r w:rsidRPr="00674A52">
        <w:rPr>
          <w:rFonts w:eastAsia="MS Mincho"/>
          <w:b/>
          <w:sz w:val="24"/>
          <w:szCs w:val="24"/>
        </w:rPr>
        <w:t>Eculizumab</w:t>
      </w:r>
      <w:proofErr w:type="spellEnd"/>
      <w:r w:rsidRPr="00674A52">
        <w:rPr>
          <w:rFonts w:eastAsia="MS Mincho"/>
          <w:b/>
          <w:sz w:val="24"/>
          <w:szCs w:val="24"/>
        </w:rPr>
        <w:t xml:space="preserve">  for</w:t>
      </w:r>
      <w:proofErr w:type="gramEnd"/>
      <w:r w:rsidRPr="00674A52">
        <w:rPr>
          <w:rFonts w:eastAsia="MS Mincho"/>
          <w:b/>
          <w:sz w:val="24"/>
          <w:szCs w:val="24"/>
        </w:rPr>
        <w:t xml:space="preserve"> atypical haemolytic uraemic syndrome (</w:t>
      </w:r>
      <w:proofErr w:type="spellStart"/>
      <w:r w:rsidRPr="00674A52">
        <w:rPr>
          <w:rFonts w:eastAsia="MS Mincho"/>
          <w:b/>
          <w:sz w:val="24"/>
          <w:szCs w:val="24"/>
        </w:rPr>
        <w:t>aHUS</w:t>
      </w:r>
      <w:proofErr w:type="spellEnd"/>
      <w:r w:rsidRPr="00674A52">
        <w:rPr>
          <w:rFonts w:eastAsia="MS Mincho"/>
          <w:b/>
          <w:sz w:val="24"/>
          <w:szCs w:val="24"/>
        </w:rPr>
        <w:t>)</w:t>
      </w:r>
    </w:p>
    <w:p w14:paraId="0BD383BE" w14:textId="282B5990" w:rsidR="00705DC6" w:rsidRPr="00705DC6" w:rsidRDefault="00705DC6" w:rsidP="00705DC6">
      <w:pPr>
        <w:rPr>
          <w:rFonts w:asciiTheme="minorHAnsi" w:hAnsiTheme="minorHAnsi" w:cstheme="minorHAnsi"/>
          <w:sz w:val="24"/>
          <w:szCs w:val="24"/>
        </w:rPr>
      </w:pPr>
      <w:r w:rsidRPr="00705DC6">
        <w:rPr>
          <w:rFonts w:asciiTheme="minorHAnsi" w:hAnsiTheme="minorHAnsi" w:cstheme="minorHAnsi"/>
          <w:sz w:val="24"/>
          <w:szCs w:val="24"/>
        </w:rPr>
        <w:t xml:space="preserve">DUSC reviewed the use of </w:t>
      </w:r>
      <w:proofErr w:type="spellStart"/>
      <w:r w:rsidRPr="00705DC6">
        <w:rPr>
          <w:rFonts w:asciiTheme="minorHAnsi" w:hAnsiTheme="minorHAnsi" w:cstheme="minorHAnsi"/>
          <w:sz w:val="24"/>
          <w:szCs w:val="24"/>
        </w:rPr>
        <w:t>eculizumab</w:t>
      </w:r>
      <w:proofErr w:type="spellEnd"/>
      <w:r w:rsidRPr="00705DC6">
        <w:rPr>
          <w:rFonts w:asciiTheme="minorHAnsi" w:hAnsiTheme="minorHAnsi" w:cstheme="minorHAnsi"/>
          <w:sz w:val="24"/>
          <w:szCs w:val="24"/>
        </w:rPr>
        <w:t xml:space="preserve"> for the treatment of atypical haemolytic uraemic syndrome (</w:t>
      </w:r>
      <w:proofErr w:type="spellStart"/>
      <w:r w:rsidRPr="00705DC6">
        <w:rPr>
          <w:rFonts w:asciiTheme="minorHAnsi" w:hAnsiTheme="minorHAnsi" w:cstheme="minorHAnsi"/>
          <w:sz w:val="24"/>
          <w:szCs w:val="24"/>
        </w:rPr>
        <w:t>aHUS</w:t>
      </w:r>
      <w:proofErr w:type="spellEnd"/>
      <w:r w:rsidRPr="00705DC6">
        <w:rPr>
          <w:rFonts w:asciiTheme="minorHAnsi" w:hAnsiTheme="minorHAnsi" w:cstheme="minorHAnsi"/>
          <w:sz w:val="24"/>
          <w:szCs w:val="24"/>
        </w:rPr>
        <w:t xml:space="preserve">). DUSC considered that following changes to the restrictions in February 2016 and January 2017 that the number of patients accessing </w:t>
      </w:r>
      <w:proofErr w:type="spellStart"/>
      <w:r w:rsidRPr="00705DC6">
        <w:rPr>
          <w:rFonts w:asciiTheme="minorHAnsi" w:hAnsiTheme="minorHAnsi" w:cstheme="minorHAnsi"/>
          <w:sz w:val="24"/>
          <w:szCs w:val="24"/>
        </w:rPr>
        <w:t>eculizumab</w:t>
      </w:r>
      <w:proofErr w:type="spellEnd"/>
      <w:r w:rsidRPr="00705DC6">
        <w:rPr>
          <w:rFonts w:asciiTheme="minorHAnsi" w:hAnsiTheme="minorHAnsi" w:cstheme="minorHAnsi"/>
          <w:sz w:val="24"/>
          <w:szCs w:val="24"/>
        </w:rPr>
        <w:t xml:space="preserve"> appeared to be stabilising. Potential overprescribing was noted in patients supplied </w:t>
      </w:r>
      <w:proofErr w:type="spellStart"/>
      <w:r w:rsidRPr="00705DC6">
        <w:rPr>
          <w:rFonts w:asciiTheme="minorHAnsi" w:hAnsiTheme="minorHAnsi" w:cstheme="minorHAnsi"/>
          <w:sz w:val="24"/>
          <w:szCs w:val="24"/>
        </w:rPr>
        <w:t>eculizumab</w:t>
      </w:r>
      <w:proofErr w:type="spellEnd"/>
      <w:r w:rsidRPr="00705DC6">
        <w:rPr>
          <w:rFonts w:asciiTheme="minorHAnsi" w:hAnsiTheme="minorHAnsi" w:cstheme="minorHAnsi"/>
          <w:sz w:val="24"/>
          <w:szCs w:val="24"/>
        </w:rPr>
        <w:t xml:space="preserve"> without an ADAMTS-13 score recorded or up to the time of death.</w:t>
      </w:r>
    </w:p>
    <w:p w14:paraId="29D963FF" w14:textId="77777777" w:rsidR="00705DC6" w:rsidRPr="00705DC6" w:rsidRDefault="00705DC6" w:rsidP="00705DC6">
      <w:pPr>
        <w:rPr>
          <w:rFonts w:asciiTheme="minorHAnsi" w:hAnsiTheme="minorHAnsi" w:cstheme="minorHAnsi"/>
          <w:sz w:val="24"/>
          <w:szCs w:val="24"/>
        </w:rPr>
      </w:pPr>
    </w:p>
    <w:p w14:paraId="13DE05D5" w14:textId="77777777" w:rsidR="00705DC6" w:rsidRPr="00705DC6" w:rsidRDefault="00705DC6" w:rsidP="00705DC6">
      <w:pPr>
        <w:rPr>
          <w:rFonts w:asciiTheme="minorHAnsi" w:hAnsiTheme="minorHAnsi" w:cstheme="minorHAnsi"/>
          <w:sz w:val="24"/>
          <w:szCs w:val="24"/>
        </w:rPr>
      </w:pPr>
      <w:r w:rsidRPr="00705DC6">
        <w:rPr>
          <w:rFonts w:asciiTheme="minorHAnsi" w:hAnsiTheme="minorHAnsi" w:cstheme="minorHAnsi"/>
          <w:sz w:val="24"/>
          <w:szCs w:val="24"/>
        </w:rPr>
        <w:t xml:space="preserve">DUSC requested that the report be provided to the PBAC. </w:t>
      </w:r>
    </w:p>
    <w:p w14:paraId="263A0626" w14:textId="77777777" w:rsidR="00674A52" w:rsidRPr="00251409" w:rsidRDefault="00674A52" w:rsidP="00674A52">
      <w:pPr>
        <w:contextualSpacing/>
        <w:rPr>
          <w:rFonts w:eastAsia="MS Mincho"/>
          <w:sz w:val="24"/>
          <w:szCs w:val="24"/>
        </w:rPr>
      </w:pPr>
    </w:p>
    <w:p w14:paraId="5AF3BB68" w14:textId="3C2D1323" w:rsidR="00674A52" w:rsidRPr="00674A52" w:rsidRDefault="00674A52" w:rsidP="00674A52">
      <w:pPr>
        <w:rPr>
          <w:rFonts w:eastAsia="MS Mincho"/>
          <w:b/>
          <w:sz w:val="24"/>
          <w:szCs w:val="24"/>
        </w:rPr>
      </w:pPr>
      <w:proofErr w:type="spellStart"/>
      <w:r w:rsidRPr="00674A52">
        <w:rPr>
          <w:rFonts w:eastAsia="MS Mincho"/>
          <w:b/>
          <w:sz w:val="24"/>
          <w:szCs w:val="24"/>
        </w:rPr>
        <w:t>Ibrutinib</w:t>
      </w:r>
      <w:proofErr w:type="spellEnd"/>
      <w:r w:rsidRPr="00674A52">
        <w:rPr>
          <w:rFonts w:eastAsia="MS Mincho"/>
          <w:b/>
          <w:sz w:val="24"/>
          <w:szCs w:val="24"/>
        </w:rPr>
        <w:t xml:space="preserve"> for chronic lymphocytic leukaemia (CLL) and small lymphocytic lymphoma (SLL)</w:t>
      </w:r>
    </w:p>
    <w:p w14:paraId="3C406F57" w14:textId="6F8B44A0" w:rsidR="006255FF" w:rsidRPr="006255FF" w:rsidRDefault="006255FF" w:rsidP="006255FF">
      <w:pPr>
        <w:rPr>
          <w:rFonts w:asciiTheme="minorHAnsi" w:hAnsiTheme="minorHAnsi" w:cstheme="minorHAnsi"/>
          <w:sz w:val="24"/>
          <w:szCs w:val="24"/>
        </w:rPr>
      </w:pPr>
      <w:r w:rsidRPr="006255FF">
        <w:rPr>
          <w:rFonts w:asciiTheme="minorHAnsi" w:hAnsiTheme="minorHAnsi" w:cstheme="minorHAnsi"/>
          <w:sz w:val="24"/>
          <w:szCs w:val="24"/>
        </w:rPr>
        <w:t xml:space="preserve">DUSC reviewed the utilisation of </w:t>
      </w:r>
      <w:proofErr w:type="spellStart"/>
      <w:r w:rsidRPr="006255FF">
        <w:rPr>
          <w:rFonts w:asciiTheme="minorHAnsi" w:hAnsiTheme="minorHAnsi" w:cstheme="minorHAnsi"/>
          <w:sz w:val="24"/>
          <w:szCs w:val="24"/>
        </w:rPr>
        <w:t>ibrutinib</w:t>
      </w:r>
      <w:proofErr w:type="spellEnd"/>
      <w:r w:rsidRPr="006255FF">
        <w:rPr>
          <w:rFonts w:asciiTheme="minorHAnsi" w:hAnsiTheme="minorHAnsi" w:cstheme="minorHAnsi"/>
          <w:sz w:val="24"/>
          <w:szCs w:val="24"/>
        </w:rPr>
        <w:t xml:space="preserve"> 24 months following its addition as a streamlined authority for the treatment of relapsed or refractory chronic lymphocytic leukaemia (CLL) and relapsed or refractory small lymphocytic lymphoma (SLL). In the first year of listing, </w:t>
      </w:r>
      <w:proofErr w:type="spellStart"/>
      <w:r w:rsidRPr="006255FF">
        <w:rPr>
          <w:rFonts w:asciiTheme="minorHAnsi" w:hAnsiTheme="minorHAnsi" w:cstheme="minorHAnsi"/>
          <w:sz w:val="24"/>
          <w:szCs w:val="24"/>
        </w:rPr>
        <w:t>ibrutinib</w:t>
      </w:r>
      <w:proofErr w:type="spellEnd"/>
      <w:r w:rsidRPr="006255FF">
        <w:rPr>
          <w:rFonts w:asciiTheme="minorHAnsi" w:hAnsiTheme="minorHAnsi" w:cstheme="minorHAnsi"/>
          <w:sz w:val="24"/>
          <w:szCs w:val="24"/>
        </w:rPr>
        <w:t xml:space="preserve"> had 1,435 initiating patients and in the second year of listing the number of initiating patients was substantially less than predicted. Addition of </w:t>
      </w:r>
      <w:proofErr w:type="spellStart"/>
      <w:r w:rsidRPr="006255FF">
        <w:rPr>
          <w:rFonts w:asciiTheme="minorHAnsi" w:hAnsiTheme="minorHAnsi" w:cstheme="minorHAnsi"/>
          <w:sz w:val="24"/>
          <w:szCs w:val="24"/>
        </w:rPr>
        <w:t>venetoclax</w:t>
      </w:r>
      <w:proofErr w:type="spellEnd"/>
      <w:r w:rsidRPr="006255FF">
        <w:rPr>
          <w:rFonts w:asciiTheme="minorHAnsi" w:hAnsiTheme="minorHAnsi" w:cstheme="minorHAnsi"/>
          <w:sz w:val="24"/>
          <w:szCs w:val="24"/>
        </w:rPr>
        <w:t xml:space="preserve"> onto the PBS in March 2019 was likely to be the cause of this reduction. Data until June 2020 indicated there are approximately 1,000 prevalent patients and 40 incident patients supplied </w:t>
      </w:r>
      <w:proofErr w:type="spellStart"/>
      <w:r w:rsidRPr="006255FF">
        <w:rPr>
          <w:rFonts w:asciiTheme="minorHAnsi" w:hAnsiTheme="minorHAnsi" w:cstheme="minorHAnsi"/>
          <w:sz w:val="24"/>
          <w:szCs w:val="24"/>
        </w:rPr>
        <w:t>ibrutinib</w:t>
      </w:r>
      <w:proofErr w:type="spellEnd"/>
      <w:r w:rsidRPr="006255FF">
        <w:rPr>
          <w:rFonts w:asciiTheme="minorHAnsi" w:hAnsiTheme="minorHAnsi" w:cstheme="minorHAnsi"/>
          <w:sz w:val="24"/>
          <w:szCs w:val="24"/>
        </w:rPr>
        <w:t xml:space="preserve"> per month. Median time on treatment was not reached in the first 942 days (approximately 31 months) of PBS dispensing data with a mean time on </w:t>
      </w:r>
      <w:proofErr w:type="spellStart"/>
      <w:r w:rsidRPr="006255FF">
        <w:rPr>
          <w:rFonts w:asciiTheme="minorHAnsi" w:hAnsiTheme="minorHAnsi" w:cstheme="minorHAnsi"/>
          <w:sz w:val="24"/>
          <w:szCs w:val="24"/>
        </w:rPr>
        <w:t>ibrutinib</w:t>
      </w:r>
      <w:proofErr w:type="spellEnd"/>
      <w:r w:rsidRPr="006255FF">
        <w:rPr>
          <w:rFonts w:asciiTheme="minorHAnsi" w:hAnsiTheme="minorHAnsi" w:cstheme="minorHAnsi"/>
          <w:sz w:val="24"/>
          <w:szCs w:val="24"/>
        </w:rPr>
        <w:t xml:space="preserve"> of 21.75 months.</w:t>
      </w:r>
    </w:p>
    <w:p w14:paraId="652169F0" w14:textId="77777777" w:rsidR="00674A52" w:rsidRPr="00CE77BB" w:rsidRDefault="00674A52" w:rsidP="00674A52">
      <w:pPr>
        <w:rPr>
          <w:rFonts w:asciiTheme="minorHAnsi" w:hAnsiTheme="minorHAnsi" w:cstheme="minorHAnsi"/>
          <w:sz w:val="24"/>
          <w:szCs w:val="24"/>
        </w:rPr>
      </w:pPr>
    </w:p>
    <w:p w14:paraId="465CF6F6" w14:textId="77777777" w:rsidR="00674A52" w:rsidRPr="00CE77BB" w:rsidRDefault="00674A52" w:rsidP="00674A52">
      <w:pPr>
        <w:rPr>
          <w:rFonts w:asciiTheme="minorHAnsi" w:hAnsiTheme="minorHAnsi" w:cstheme="minorHAnsi"/>
          <w:sz w:val="24"/>
          <w:szCs w:val="24"/>
        </w:rPr>
      </w:pPr>
      <w:r w:rsidRPr="00CE77BB">
        <w:rPr>
          <w:rFonts w:asciiTheme="minorHAnsi" w:hAnsiTheme="minorHAnsi" w:cstheme="minorHAnsi"/>
          <w:sz w:val="24"/>
          <w:szCs w:val="24"/>
        </w:rPr>
        <w:t>DUSC requested that the report be provided to the PBAC.</w:t>
      </w:r>
    </w:p>
    <w:p w14:paraId="777B1B1F" w14:textId="77777777" w:rsidR="00674A52" w:rsidRPr="00251409" w:rsidRDefault="00674A52" w:rsidP="00674A52">
      <w:pPr>
        <w:contextualSpacing/>
        <w:rPr>
          <w:rFonts w:eastAsia="MS Mincho"/>
          <w:sz w:val="24"/>
          <w:szCs w:val="24"/>
        </w:rPr>
      </w:pPr>
    </w:p>
    <w:p w14:paraId="005308BD" w14:textId="7D6D3CBD" w:rsidR="00674A52" w:rsidRDefault="00674A52" w:rsidP="00674A52">
      <w:pPr>
        <w:rPr>
          <w:rFonts w:eastAsia="MS Mincho"/>
          <w:b/>
          <w:sz w:val="24"/>
          <w:szCs w:val="24"/>
        </w:rPr>
      </w:pPr>
      <w:proofErr w:type="spellStart"/>
      <w:r w:rsidRPr="00674A52">
        <w:rPr>
          <w:rFonts w:eastAsia="MS Mincho"/>
          <w:b/>
          <w:sz w:val="24"/>
          <w:szCs w:val="24"/>
        </w:rPr>
        <w:t>Ocrelizumab</w:t>
      </w:r>
      <w:proofErr w:type="spellEnd"/>
      <w:r w:rsidRPr="00674A52">
        <w:rPr>
          <w:rFonts w:eastAsia="MS Mincho"/>
          <w:b/>
          <w:sz w:val="24"/>
          <w:szCs w:val="24"/>
        </w:rPr>
        <w:t xml:space="preserve"> for relapsing-remitting multiple sclerosis</w:t>
      </w:r>
    </w:p>
    <w:p w14:paraId="63848208" w14:textId="77777777" w:rsidR="00BB3B20" w:rsidRPr="00BB3B20" w:rsidRDefault="00BB3B20" w:rsidP="00BB3B20">
      <w:pPr>
        <w:rPr>
          <w:rFonts w:asciiTheme="minorHAnsi" w:hAnsiTheme="minorHAnsi" w:cstheme="minorHAnsi"/>
          <w:sz w:val="24"/>
          <w:szCs w:val="24"/>
        </w:rPr>
      </w:pPr>
      <w:r w:rsidRPr="00BB3B20">
        <w:rPr>
          <w:rFonts w:asciiTheme="minorHAnsi" w:hAnsiTheme="minorHAnsi" w:cstheme="minorHAnsi"/>
          <w:sz w:val="24"/>
          <w:szCs w:val="24"/>
        </w:rPr>
        <w:t xml:space="preserve">DUSC reviewed the predicted and actual utilisation of </w:t>
      </w:r>
      <w:proofErr w:type="spellStart"/>
      <w:r w:rsidRPr="00BB3B20">
        <w:rPr>
          <w:rFonts w:asciiTheme="minorHAnsi" w:hAnsiTheme="minorHAnsi" w:cstheme="minorHAnsi"/>
          <w:sz w:val="24"/>
          <w:szCs w:val="24"/>
        </w:rPr>
        <w:t>ocrelizumab</w:t>
      </w:r>
      <w:proofErr w:type="spellEnd"/>
      <w:r w:rsidRPr="00BB3B20">
        <w:rPr>
          <w:rFonts w:asciiTheme="minorHAnsi" w:hAnsiTheme="minorHAnsi" w:cstheme="minorHAnsi"/>
          <w:sz w:val="24"/>
          <w:szCs w:val="24"/>
        </w:rPr>
        <w:t xml:space="preserve"> for relapsing remitting multiple sclerosis (RRMS) since it was PBS listed for this indication. The number of patients treated with </w:t>
      </w:r>
      <w:proofErr w:type="spellStart"/>
      <w:r w:rsidRPr="00BB3B20">
        <w:rPr>
          <w:rFonts w:asciiTheme="minorHAnsi" w:hAnsiTheme="minorHAnsi" w:cstheme="minorHAnsi"/>
          <w:sz w:val="24"/>
          <w:szCs w:val="24"/>
        </w:rPr>
        <w:t>ocrelizumab</w:t>
      </w:r>
      <w:proofErr w:type="spellEnd"/>
      <w:r w:rsidRPr="00BB3B20">
        <w:rPr>
          <w:rFonts w:asciiTheme="minorHAnsi" w:hAnsiTheme="minorHAnsi" w:cstheme="minorHAnsi"/>
          <w:sz w:val="24"/>
          <w:szCs w:val="24"/>
        </w:rPr>
        <w:t xml:space="preserve"> was slightly less than predicted in the first year of listing and close to predicted in the second year of listing. The number of prescriptions was less than predicted in both years due to the number of scripts per patient being slightly less than predicted. The submission assumption that the listing of </w:t>
      </w:r>
      <w:proofErr w:type="spellStart"/>
      <w:r w:rsidRPr="00BB3B20">
        <w:rPr>
          <w:rFonts w:asciiTheme="minorHAnsi" w:hAnsiTheme="minorHAnsi" w:cstheme="minorHAnsi"/>
          <w:sz w:val="24"/>
          <w:szCs w:val="24"/>
        </w:rPr>
        <w:t>ocrelizumab</w:t>
      </w:r>
      <w:proofErr w:type="spellEnd"/>
      <w:r w:rsidRPr="00BB3B20">
        <w:rPr>
          <w:rFonts w:asciiTheme="minorHAnsi" w:hAnsiTheme="minorHAnsi" w:cstheme="minorHAnsi"/>
          <w:sz w:val="24"/>
          <w:szCs w:val="24"/>
        </w:rPr>
        <w:t xml:space="preserve"> would not increase the growth rate of the RRMS market was approximately correct.  The mix of medicines within the RRMS market was dynamic with the more recently listed medicines, </w:t>
      </w:r>
      <w:proofErr w:type="spellStart"/>
      <w:r w:rsidRPr="00BB3B20">
        <w:rPr>
          <w:rFonts w:asciiTheme="minorHAnsi" w:hAnsiTheme="minorHAnsi" w:cstheme="minorHAnsi"/>
          <w:sz w:val="24"/>
          <w:szCs w:val="24"/>
        </w:rPr>
        <w:t>ocrelizumab</w:t>
      </w:r>
      <w:proofErr w:type="spellEnd"/>
      <w:r w:rsidRPr="00BB3B20">
        <w:rPr>
          <w:rFonts w:asciiTheme="minorHAnsi" w:hAnsiTheme="minorHAnsi" w:cstheme="minorHAnsi"/>
          <w:sz w:val="24"/>
          <w:szCs w:val="24"/>
        </w:rPr>
        <w:t xml:space="preserve"> (listed 1 February 2018) and </w:t>
      </w:r>
      <w:proofErr w:type="spellStart"/>
      <w:r w:rsidRPr="00BB3B20">
        <w:rPr>
          <w:rFonts w:asciiTheme="minorHAnsi" w:hAnsiTheme="minorHAnsi" w:cstheme="minorHAnsi"/>
          <w:sz w:val="24"/>
          <w:szCs w:val="24"/>
        </w:rPr>
        <w:t>cladribine</w:t>
      </w:r>
      <w:proofErr w:type="spellEnd"/>
      <w:r w:rsidRPr="00BB3B20">
        <w:rPr>
          <w:rFonts w:asciiTheme="minorHAnsi" w:hAnsiTheme="minorHAnsi" w:cstheme="minorHAnsi"/>
          <w:sz w:val="24"/>
          <w:szCs w:val="24"/>
        </w:rPr>
        <w:t xml:space="preserve"> (listed 1 January 2019), rapidly substituting for older medicines. The distribution of medicine form (i.e. injection, oral or infusion) varied between Very Remote, Remote and non-remote RRMA patients. It appeared that the frequency of dosing and accessibility to infusion services had an effect on the choice of medicine form depending on the remoteness of the patient.</w:t>
      </w:r>
    </w:p>
    <w:p w14:paraId="79BCA693" w14:textId="4C9498E2" w:rsidR="00674A52" w:rsidRPr="00CE77BB" w:rsidRDefault="00674A52" w:rsidP="00674A52">
      <w:pPr>
        <w:rPr>
          <w:rFonts w:asciiTheme="minorHAnsi" w:hAnsiTheme="minorHAnsi" w:cstheme="minorHAnsi"/>
          <w:sz w:val="24"/>
          <w:szCs w:val="24"/>
        </w:rPr>
      </w:pPr>
    </w:p>
    <w:p w14:paraId="213450E9" w14:textId="77777777" w:rsidR="00674A52" w:rsidRPr="00CE77BB" w:rsidRDefault="00674A52" w:rsidP="00674A52">
      <w:pPr>
        <w:rPr>
          <w:rFonts w:asciiTheme="minorHAnsi" w:hAnsiTheme="minorHAnsi" w:cstheme="minorHAnsi"/>
          <w:sz w:val="24"/>
          <w:szCs w:val="24"/>
        </w:rPr>
      </w:pPr>
      <w:r w:rsidRPr="00CE77BB">
        <w:rPr>
          <w:rFonts w:asciiTheme="minorHAnsi" w:hAnsiTheme="minorHAnsi" w:cstheme="minorHAnsi"/>
          <w:sz w:val="24"/>
          <w:szCs w:val="24"/>
        </w:rPr>
        <w:t>DUSC requested that the report be provided to the PBAC.</w:t>
      </w:r>
    </w:p>
    <w:p w14:paraId="764DCE06" w14:textId="7D5E701A" w:rsidR="00C721CF" w:rsidRPr="00C721CF" w:rsidRDefault="00C721CF" w:rsidP="00C721CF">
      <w:pPr>
        <w:rPr>
          <w:sz w:val="24"/>
          <w:szCs w:val="24"/>
        </w:rPr>
      </w:pPr>
    </w:p>
    <w:p w14:paraId="2A06376F" w14:textId="1AA6458D" w:rsidR="00813C07" w:rsidRPr="00144B72" w:rsidRDefault="00EC27B1" w:rsidP="008B6946">
      <w:pPr>
        <w:pStyle w:val="Heading2"/>
      </w:pPr>
      <w:r w:rsidRPr="00144B72">
        <w:lastRenderedPageBreak/>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4B8965C8" w14:textId="77777777" w:rsidR="00D06634" w:rsidRPr="00144B72" w:rsidRDefault="002B7EE2" w:rsidP="008B6946">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ED127B">
        <w:rPr>
          <w:sz w:val="24"/>
          <w:szCs w:val="24"/>
        </w:rPr>
        <w:t xml:space="preserve"> has</w:t>
      </w:r>
      <w:r w:rsidR="00D55ED4" w:rsidRPr="00144B72">
        <w:rPr>
          <w:sz w:val="24"/>
          <w:szCs w:val="24"/>
        </w:rPr>
        <w:t xml:space="preserve"> been </w:t>
      </w:r>
      <w:r w:rsidR="00EC27B1" w:rsidRPr="00144B72">
        <w:rPr>
          <w:sz w:val="24"/>
          <w:szCs w:val="24"/>
        </w:rPr>
        <w:t>selected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711275EE" w14:textId="77777777" w:rsidR="00513E5D" w:rsidRPr="0062222D" w:rsidRDefault="00513E5D" w:rsidP="008B6946">
      <w:pPr>
        <w:rPr>
          <w:sz w:val="24"/>
          <w:szCs w:val="24"/>
          <w:highlight w:val="yellow"/>
        </w:rPr>
      </w:pPr>
    </w:p>
    <w:p w14:paraId="1C400106" w14:textId="77777777" w:rsidR="007C4782" w:rsidRPr="007C4782" w:rsidRDefault="007C4782" w:rsidP="007C4782">
      <w:pPr>
        <w:pStyle w:val="ListParagraph"/>
        <w:autoSpaceDE w:val="0"/>
        <w:autoSpaceDN w:val="0"/>
        <w:adjustRightInd w:val="0"/>
        <w:ind w:left="0"/>
        <w:contextualSpacing/>
        <w:rPr>
          <w:b/>
          <w:szCs w:val="24"/>
        </w:rPr>
      </w:pPr>
      <w:r w:rsidRPr="007C4782">
        <w:rPr>
          <w:b/>
          <w:szCs w:val="24"/>
        </w:rPr>
        <w:t>Predicted versus Actual Utilisation Analysis</w:t>
      </w:r>
    </w:p>
    <w:p w14:paraId="121565F0" w14:textId="29498187" w:rsidR="007C4782" w:rsidRDefault="007C4782" w:rsidP="007C4782">
      <w:pPr>
        <w:pStyle w:val="ListParagraph"/>
        <w:numPr>
          <w:ilvl w:val="0"/>
          <w:numId w:val="14"/>
        </w:numPr>
        <w:autoSpaceDE w:val="0"/>
        <w:autoSpaceDN w:val="0"/>
        <w:adjustRightInd w:val="0"/>
        <w:contextualSpacing/>
        <w:rPr>
          <w:szCs w:val="24"/>
        </w:rPr>
      </w:pPr>
      <w:proofErr w:type="spellStart"/>
      <w:r>
        <w:rPr>
          <w:szCs w:val="24"/>
        </w:rPr>
        <w:t>Nusinersen</w:t>
      </w:r>
      <w:proofErr w:type="spellEnd"/>
      <w:r>
        <w:rPr>
          <w:szCs w:val="24"/>
        </w:rPr>
        <w:t xml:space="preserve"> for </w:t>
      </w:r>
      <w:r w:rsidRPr="007C4782">
        <w:rPr>
          <w:szCs w:val="24"/>
        </w:rPr>
        <w:t>spinal muscular atrophy</w:t>
      </w:r>
    </w:p>
    <w:p w14:paraId="03FAE60C" w14:textId="77777777" w:rsidR="007C4782" w:rsidRPr="007C4782" w:rsidRDefault="007C4782" w:rsidP="007C4782">
      <w:pPr>
        <w:autoSpaceDE w:val="0"/>
        <w:autoSpaceDN w:val="0"/>
        <w:adjustRightInd w:val="0"/>
        <w:contextualSpacing/>
        <w:rPr>
          <w:szCs w:val="24"/>
        </w:rPr>
      </w:pPr>
    </w:p>
    <w:p w14:paraId="1C35C48E" w14:textId="254CE5B7" w:rsidR="007C4782" w:rsidRPr="007C4782" w:rsidRDefault="007C4782" w:rsidP="007C4782">
      <w:pPr>
        <w:pStyle w:val="ListParagraph"/>
        <w:autoSpaceDE w:val="0"/>
        <w:autoSpaceDN w:val="0"/>
        <w:adjustRightInd w:val="0"/>
        <w:ind w:left="0"/>
        <w:contextualSpacing/>
        <w:rPr>
          <w:b/>
          <w:szCs w:val="24"/>
        </w:rPr>
      </w:pPr>
      <w:r w:rsidRPr="007C4782">
        <w:rPr>
          <w:b/>
          <w:szCs w:val="24"/>
        </w:rPr>
        <w:t>Analysis of single or multiple medicines in a treatment area</w:t>
      </w:r>
    </w:p>
    <w:p w14:paraId="01D434B4" w14:textId="638EC3B0" w:rsidR="007C4782" w:rsidRPr="007C4782" w:rsidRDefault="007C4782" w:rsidP="007C4782">
      <w:pPr>
        <w:pStyle w:val="ListParagraph"/>
        <w:numPr>
          <w:ilvl w:val="0"/>
          <w:numId w:val="13"/>
        </w:numPr>
        <w:rPr>
          <w:szCs w:val="24"/>
        </w:rPr>
      </w:pPr>
      <w:r>
        <w:rPr>
          <w:szCs w:val="24"/>
        </w:rPr>
        <w:t>Ocular lubricants</w:t>
      </w:r>
    </w:p>
    <w:p w14:paraId="3F89BDE6" w14:textId="77777777" w:rsidR="007C4782" w:rsidRDefault="007C4782" w:rsidP="009D2858">
      <w:pPr>
        <w:rPr>
          <w:sz w:val="24"/>
          <w:szCs w:val="24"/>
        </w:rPr>
      </w:pPr>
    </w:p>
    <w:p w14:paraId="4F31FAF7" w14:textId="5834EF7B"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14:paraId="4B75B1D1" w14:textId="77777777" w:rsidR="00313B7D" w:rsidRPr="0062222D" w:rsidRDefault="00313B7D" w:rsidP="008B6946">
      <w:pPr>
        <w:rPr>
          <w:sz w:val="24"/>
          <w:szCs w:val="24"/>
          <w:highlight w:val="yellow"/>
        </w:rPr>
      </w:pPr>
    </w:p>
    <w:p w14:paraId="7D3381D4" w14:textId="77777777" w:rsidR="009B25AF" w:rsidRPr="0062222D" w:rsidRDefault="009B25AF" w:rsidP="008B6946">
      <w:pPr>
        <w:rPr>
          <w:sz w:val="24"/>
          <w:szCs w:val="24"/>
          <w:highlight w:val="yellow"/>
        </w:rPr>
      </w:pPr>
    </w:p>
    <w:p w14:paraId="3C08993A" w14:textId="77777777" w:rsidR="00002AE8" w:rsidRPr="00144B72" w:rsidRDefault="00303E60" w:rsidP="008B6946">
      <w:pPr>
        <w:rPr>
          <w:sz w:val="24"/>
          <w:szCs w:val="24"/>
        </w:rPr>
      </w:pPr>
      <w:r w:rsidRPr="00144B72">
        <w:rPr>
          <w:sz w:val="24"/>
          <w:szCs w:val="24"/>
        </w:rPr>
        <w:t>A/</w:t>
      </w:r>
      <w:r w:rsidR="00002AE8" w:rsidRPr="00144B72">
        <w:rPr>
          <w:sz w:val="24"/>
          <w:szCs w:val="24"/>
        </w:rPr>
        <w:t xml:space="preserve">Professor </w:t>
      </w:r>
      <w:r w:rsidR="009341E3" w:rsidRPr="00144B72">
        <w:rPr>
          <w:sz w:val="24"/>
          <w:szCs w:val="24"/>
        </w:rPr>
        <w:t>Chris</w:t>
      </w:r>
      <w:r w:rsidRPr="00144B72">
        <w:rPr>
          <w:sz w:val="24"/>
          <w:szCs w:val="24"/>
        </w:rPr>
        <w:t>topher</w:t>
      </w:r>
      <w:r w:rsidR="009341E3" w:rsidRPr="00144B72">
        <w:rPr>
          <w:sz w:val="24"/>
          <w:szCs w:val="24"/>
        </w:rPr>
        <w:t xml:space="preserve"> Etherton-Beer</w:t>
      </w:r>
    </w:p>
    <w:p w14:paraId="30EB1F9C" w14:textId="77777777" w:rsidR="00002AE8" w:rsidRPr="00144B72" w:rsidRDefault="00002AE8" w:rsidP="008B6946">
      <w:pPr>
        <w:rPr>
          <w:sz w:val="24"/>
          <w:szCs w:val="24"/>
        </w:rPr>
      </w:pPr>
      <w:r w:rsidRPr="00144B72">
        <w:rPr>
          <w:sz w:val="24"/>
          <w:szCs w:val="24"/>
        </w:rPr>
        <w:t>Chair</w:t>
      </w:r>
    </w:p>
    <w:p w14:paraId="47287FD5" w14:textId="77777777" w:rsidR="00002AE8" w:rsidRPr="003F06C8" w:rsidRDefault="00C9017B" w:rsidP="008B6946">
      <w:pPr>
        <w:rPr>
          <w:sz w:val="24"/>
          <w:szCs w:val="24"/>
        </w:rPr>
      </w:pPr>
      <w:r w:rsidRPr="00144B72">
        <w:rPr>
          <w:sz w:val="24"/>
          <w:szCs w:val="24"/>
        </w:rPr>
        <w:t>Drug Utilisation Sub-Committee</w:t>
      </w:r>
    </w:p>
    <w:sectPr w:rsidR="00002AE8" w:rsidRPr="003F06C8" w:rsidSect="00F4413F">
      <w:footerReference w:type="default" r:id="rId11"/>
      <w:headerReference w:type="first" r:id="rId12"/>
      <w:footerReference w:type="first" r:id="rId13"/>
      <w:pgSz w:w="11908" w:h="16833" w:code="9"/>
      <w:pgMar w:top="1134" w:right="1134" w:bottom="993"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B7068" w14:textId="77777777" w:rsidR="004438C3" w:rsidRDefault="004438C3">
      <w:r>
        <w:separator/>
      </w:r>
    </w:p>
  </w:endnote>
  <w:endnote w:type="continuationSeparator" w:id="0">
    <w:p w14:paraId="75B21E3B" w14:textId="77777777" w:rsidR="004438C3" w:rsidRDefault="0044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7D2B" w14:textId="53CBBFE2" w:rsidR="00CA1AA9" w:rsidRDefault="00CA1AA9">
    <w:pPr>
      <w:pStyle w:val="Footer"/>
      <w:jc w:val="center"/>
    </w:pPr>
    <w:r>
      <w:fldChar w:fldCharType="begin"/>
    </w:r>
    <w:r>
      <w:instrText xml:space="preserve"> PAGE   \* MERGEFORMAT </w:instrText>
    </w:r>
    <w:r>
      <w:fldChar w:fldCharType="separate"/>
    </w:r>
    <w:r w:rsidR="00BF5414">
      <w:rPr>
        <w:noProof/>
      </w:rPr>
      <w:t>3</w:t>
    </w:r>
    <w:r>
      <w:rPr>
        <w:noProof/>
      </w:rPr>
      <w:fldChar w:fldCharType="end"/>
    </w:r>
  </w:p>
  <w:p w14:paraId="549CD2A8" w14:textId="77777777"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66C0" w14:textId="759EC3DD" w:rsidR="00CA1AA9" w:rsidRDefault="00CA1AA9">
    <w:pPr>
      <w:pStyle w:val="Footer"/>
      <w:jc w:val="center"/>
    </w:pPr>
    <w:r>
      <w:fldChar w:fldCharType="begin"/>
    </w:r>
    <w:r>
      <w:instrText xml:space="preserve"> PAGE   \* MERGEFORMAT </w:instrText>
    </w:r>
    <w:r>
      <w:fldChar w:fldCharType="separate"/>
    </w:r>
    <w:r w:rsidR="00BF5414">
      <w:rPr>
        <w:noProof/>
      </w:rPr>
      <w:t>1</w:t>
    </w:r>
    <w:r>
      <w:rPr>
        <w:noProof/>
      </w:rPr>
      <w:fldChar w:fldCharType="end"/>
    </w:r>
  </w:p>
  <w:p w14:paraId="4CDDBBE6"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1B984" w14:textId="77777777" w:rsidR="004438C3" w:rsidRDefault="004438C3">
      <w:r>
        <w:separator/>
      </w:r>
    </w:p>
  </w:footnote>
  <w:footnote w:type="continuationSeparator" w:id="0">
    <w:p w14:paraId="0AC3B1BD" w14:textId="77777777" w:rsidR="004438C3" w:rsidRDefault="00443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1CD34" w14:textId="77777777" w:rsidR="00CA1AA9" w:rsidRDefault="00D562AF">
    <w:pPr>
      <w:pStyle w:val="Header"/>
    </w:pPr>
    <w:r>
      <w:rPr>
        <w:noProof/>
      </w:rPr>
      <w:drawing>
        <wp:inline distT="0" distB="0" distL="0" distR="0" wp14:anchorId="23846E48" wp14:editId="2A877774">
          <wp:extent cx="800100" cy="542925"/>
          <wp:effectExtent l="0" t="0" r="0" b="9525"/>
          <wp:docPr id="2" name="Picture 2"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D2A0767" w14:textId="77777777" w:rsidR="00CA1AA9" w:rsidRPr="00CA347D" w:rsidRDefault="00CA1AA9" w:rsidP="00CA347D">
    <w:pPr>
      <w:pStyle w:val="Heading1"/>
      <w:rPr>
        <w:rStyle w:val="Heading1Char"/>
        <w:b/>
      </w:rPr>
    </w:pPr>
    <w:r w:rsidRPr="00CA347D">
      <w:rPr>
        <w:rStyle w:val="Heading1Char"/>
        <w:b/>
      </w:rPr>
      <w:t>Drug Utilisation Sub-Committee</w:t>
    </w:r>
  </w:p>
  <w:p w14:paraId="106AC726" w14:textId="77BF7A3D" w:rsidR="00CA1AA9" w:rsidRPr="00CA347D" w:rsidRDefault="00CA1AA9" w:rsidP="00CA347D">
    <w:pPr>
      <w:pStyle w:val="Heading1"/>
    </w:pPr>
    <w:r w:rsidRPr="00CA347D">
      <w:rPr>
        <w:rStyle w:val="Heading1Char"/>
        <w:b/>
      </w:rPr>
      <w:t xml:space="preserve">Outcome Statement </w:t>
    </w:r>
    <w:r w:rsidR="00674A52">
      <w:rPr>
        <w:rStyle w:val="Heading1Char"/>
        <w:b/>
      </w:rPr>
      <w:t xml:space="preserve">1 – 2 October </w:t>
    </w:r>
    <w:r w:rsidR="00C432EB">
      <w:rPr>
        <w:rStyle w:val="Heading1Char"/>
        <w:b/>
      </w:rPr>
      <w:t>2020</w:t>
    </w:r>
  </w:p>
  <w:p w14:paraId="6B66BBBE"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B59B3"/>
    <w:multiLevelType w:val="hybridMultilevel"/>
    <w:tmpl w:val="E5048A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F96167"/>
    <w:multiLevelType w:val="hybridMultilevel"/>
    <w:tmpl w:val="053C4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9B07B15"/>
    <w:multiLevelType w:val="hybridMultilevel"/>
    <w:tmpl w:val="F886C6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F0C22A1"/>
    <w:multiLevelType w:val="hybridMultilevel"/>
    <w:tmpl w:val="FE9E8D84"/>
    <w:lvl w:ilvl="0" w:tplc="D4E046B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12"/>
  </w:num>
  <w:num w:numId="4">
    <w:abstractNumId w:val="2"/>
  </w:num>
  <w:num w:numId="5">
    <w:abstractNumId w:val="6"/>
  </w:num>
  <w:num w:numId="6">
    <w:abstractNumId w:val="3"/>
  </w:num>
  <w:num w:numId="7">
    <w:abstractNumId w:val="1"/>
  </w:num>
  <w:num w:numId="8">
    <w:abstractNumId w:val="11"/>
  </w:num>
  <w:num w:numId="9">
    <w:abstractNumId w:val="5"/>
  </w:num>
  <w:num w:numId="10">
    <w:abstractNumId w:val="13"/>
  </w:num>
  <w:num w:numId="11">
    <w:abstractNumId w:val="9"/>
  </w:num>
  <w:num w:numId="12">
    <w:abstractNumId w:val="10"/>
  </w:num>
  <w:num w:numId="13">
    <w:abstractNumId w:val="8"/>
  </w:num>
  <w:num w:numId="1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D8"/>
    <w:rsid w:val="0000190C"/>
    <w:rsid w:val="00002AE8"/>
    <w:rsid w:val="00006EF5"/>
    <w:rsid w:val="00007D7D"/>
    <w:rsid w:val="00010EA8"/>
    <w:rsid w:val="00011A32"/>
    <w:rsid w:val="000142CB"/>
    <w:rsid w:val="0001578A"/>
    <w:rsid w:val="00021898"/>
    <w:rsid w:val="00021AF3"/>
    <w:rsid w:val="000253E4"/>
    <w:rsid w:val="0002613B"/>
    <w:rsid w:val="00026898"/>
    <w:rsid w:val="00027AA0"/>
    <w:rsid w:val="000304CA"/>
    <w:rsid w:val="000308AD"/>
    <w:rsid w:val="00032252"/>
    <w:rsid w:val="0003541E"/>
    <w:rsid w:val="00037A0C"/>
    <w:rsid w:val="00040565"/>
    <w:rsid w:val="0004475E"/>
    <w:rsid w:val="00047105"/>
    <w:rsid w:val="0005073D"/>
    <w:rsid w:val="00054C1A"/>
    <w:rsid w:val="00055BF6"/>
    <w:rsid w:val="00060B95"/>
    <w:rsid w:val="00061505"/>
    <w:rsid w:val="0006189D"/>
    <w:rsid w:val="00061BD3"/>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A02F8"/>
    <w:rsid w:val="000A0713"/>
    <w:rsid w:val="000A13FE"/>
    <w:rsid w:val="000A31AD"/>
    <w:rsid w:val="000A53A6"/>
    <w:rsid w:val="000B14A0"/>
    <w:rsid w:val="000B52EE"/>
    <w:rsid w:val="000B5448"/>
    <w:rsid w:val="000C1D0B"/>
    <w:rsid w:val="000C58C8"/>
    <w:rsid w:val="000D2142"/>
    <w:rsid w:val="000D6712"/>
    <w:rsid w:val="000E178A"/>
    <w:rsid w:val="000E18F9"/>
    <w:rsid w:val="000F3387"/>
    <w:rsid w:val="000F4968"/>
    <w:rsid w:val="000F5C42"/>
    <w:rsid w:val="000F70AE"/>
    <w:rsid w:val="000F73FB"/>
    <w:rsid w:val="000F7CE1"/>
    <w:rsid w:val="00101877"/>
    <w:rsid w:val="00102579"/>
    <w:rsid w:val="00103AB0"/>
    <w:rsid w:val="001062BB"/>
    <w:rsid w:val="00106A1B"/>
    <w:rsid w:val="001071DA"/>
    <w:rsid w:val="001145B4"/>
    <w:rsid w:val="001215D4"/>
    <w:rsid w:val="00121F43"/>
    <w:rsid w:val="001223D1"/>
    <w:rsid w:val="00123237"/>
    <w:rsid w:val="00134CAD"/>
    <w:rsid w:val="00137CE5"/>
    <w:rsid w:val="00140B94"/>
    <w:rsid w:val="00140CAF"/>
    <w:rsid w:val="00141172"/>
    <w:rsid w:val="00142512"/>
    <w:rsid w:val="00144B72"/>
    <w:rsid w:val="00151940"/>
    <w:rsid w:val="00152272"/>
    <w:rsid w:val="001528A6"/>
    <w:rsid w:val="00153667"/>
    <w:rsid w:val="0015401F"/>
    <w:rsid w:val="00154D0A"/>
    <w:rsid w:val="00160EF6"/>
    <w:rsid w:val="00166CEB"/>
    <w:rsid w:val="00170E5B"/>
    <w:rsid w:val="00174AD8"/>
    <w:rsid w:val="00174F99"/>
    <w:rsid w:val="001776C6"/>
    <w:rsid w:val="001779FD"/>
    <w:rsid w:val="00181817"/>
    <w:rsid w:val="00182CE1"/>
    <w:rsid w:val="0018567C"/>
    <w:rsid w:val="00185ADA"/>
    <w:rsid w:val="00186DD1"/>
    <w:rsid w:val="0018700E"/>
    <w:rsid w:val="001902AC"/>
    <w:rsid w:val="001920C5"/>
    <w:rsid w:val="001933E2"/>
    <w:rsid w:val="0019724B"/>
    <w:rsid w:val="001A10FD"/>
    <w:rsid w:val="001A3F70"/>
    <w:rsid w:val="001A417C"/>
    <w:rsid w:val="001A449F"/>
    <w:rsid w:val="001A4CD7"/>
    <w:rsid w:val="001A535D"/>
    <w:rsid w:val="001A5FA2"/>
    <w:rsid w:val="001A7B67"/>
    <w:rsid w:val="001B1949"/>
    <w:rsid w:val="001B19E3"/>
    <w:rsid w:val="001B2A10"/>
    <w:rsid w:val="001B75D9"/>
    <w:rsid w:val="001C0316"/>
    <w:rsid w:val="001C5A7B"/>
    <w:rsid w:val="001C61FD"/>
    <w:rsid w:val="001C7C04"/>
    <w:rsid w:val="001E4D54"/>
    <w:rsid w:val="001E50B6"/>
    <w:rsid w:val="001E682A"/>
    <w:rsid w:val="001F33DA"/>
    <w:rsid w:val="001F4200"/>
    <w:rsid w:val="001F6850"/>
    <w:rsid w:val="001F7E8B"/>
    <w:rsid w:val="001F7F87"/>
    <w:rsid w:val="00200BA3"/>
    <w:rsid w:val="00203342"/>
    <w:rsid w:val="00203986"/>
    <w:rsid w:val="00204055"/>
    <w:rsid w:val="00206C78"/>
    <w:rsid w:val="00211F6D"/>
    <w:rsid w:val="002123C7"/>
    <w:rsid w:val="00213EAC"/>
    <w:rsid w:val="002168C1"/>
    <w:rsid w:val="00216CE7"/>
    <w:rsid w:val="00220B3C"/>
    <w:rsid w:val="00222116"/>
    <w:rsid w:val="00224079"/>
    <w:rsid w:val="00224DF5"/>
    <w:rsid w:val="00225034"/>
    <w:rsid w:val="00230732"/>
    <w:rsid w:val="00234FBD"/>
    <w:rsid w:val="00235EF9"/>
    <w:rsid w:val="002362A1"/>
    <w:rsid w:val="00237631"/>
    <w:rsid w:val="00240FA6"/>
    <w:rsid w:val="002421EE"/>
    <w:rsid w:val="00242420"/>
    <w:rsid w:val="00247102"/>
    <w:rsid w:val="00251409"/>
    <w:rsid w:val="002522B2"/>
    <w:rsid w:val="0025366B"/>
    <w:rsid w:val="00255919"/>
    <w:rsid w:val="00261915"/>
    <w:rsid w:val="00261ED7"/>
    <w:rsid w:val="0026571A"/>
    <w:rsid w:val="0026645D"/>
    <w:rsid w:val="002720C8"/>
    <w:rsid w:val="002722F2"/>
    <w:rsid w:val="00275278"/>
    <w:rsid w:val="00280C05"/>
    <w:rsid w:val="002820A6"/>
    <w:rsid w:val="00282C56"/>
    <w:rsid w:val="002860DD"/>
    <w:rsid w:val="002862A8"/>
    <w:rsid w:val="002871FC"/>
    <w:rsid w:val="0028771A"/>
    <w:rsid w:val="00291D51"/>
    <w:rsid w:val="00292E10"/>
    <w:rsid w:val="00294F3F"/>
    <w:rsid w:val="0029548B"/>
    <w:rsid w:val="002A2278"/>
    <w:rsid w:val="002A2676"/>
    <w:rsid w:val="002A2FEF"/>
    <w:rsid w:val="002A48D7"/>
    <w:rsid w:val="002A6291"/>
    <w:rsid w:val="002A6A51"/>
    <w:rsid w:val="002B0FD1"/>
    <w:rsid w:val="002B2B2F"/>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4C4"/>
    <w:rsid w:val="002F281B"/>
    <w:rsid w:val="002F6C13"/>
    <w:rsid w:val="002F7138"/>
    <w:rsid w:val="003026E0"/>
    <w:rsid w:val="00303E60"/>
    <w:rsid w:val="00305306"/>
    <w:rsid w:val="00307F20"/>
    <w:rsid w:val="00312E8E"/>
    <w:rsid w:val="00313B7D"/>
    <w:rsid w:val="00313FED"/>
    <w:rsid w:val="00320032"/>
    <w:rsid w:val="0032170F"/>
    <w:rsid w:val="00324E38"/>
    <w:rsid w:val="00325C25"/>
    <w:rsid w:val="0032620A"/>
    <w:rsid w:val="00330ADB"/>
    <w:rsid w:val="0033439A"/>
    <w:rsid w:val="00334C67"/>
    <w:rsid w:val="00335BE5"/>
    <w:rsid w:val="003361C9"/>
    <w:rsid w:val="00336E3A"/>
    <w:rsid w:val="00337241"/>
    <w:rsid w:val="003409D6"/>
    <w:rsid w:val="003448FC"/>
    <w:rsid w:val="003468B6"/>
    <w:rsid w:val="003512F6"/>
    <w:rsid w:val="0035237B"/>
    <w:rsid w:val="0035266E"/>
    <w:rsid w:val="00352D12"/>
    <w:rsid w:val="0035418A"/>
    <w:rsid w:val="003555E8"/>
    <w:rsid w:val="00357332"/>
    <w:rsid w:val="0035787B"/>
    <w:rsid w:val="003620F9"/>
    <w:rsid w:val="00362581"/>
    <w:rsid w:val="00371376"/>
    <w:rsid w:val="00372609"/>
    <w:rsid w:val="0037338E"/>
    <w:rsid w:val="00373C2E"/>
    <w:rsid w:val="003749AF"/>
    <w:rsid w:val="0037748E"/>
    <w:rsid w:val="00377CBD"/>
    <w:rsid w:val="003833F2"/>
    <w:rsid w:val="00385962"/>
    <w:rsid w:val="003860EB"/>
    <w:rsid w:val="00387684"/>
    <w:rsid w:val="003917EE"/>
    <w:rsid w:val="003923CC"/>
    <w:rsid w:val="00395B29"/>
    <w:rsid w:val="003A4887"/>
    <w:rsid w:val="003A6327"/>
    <w:rsid w:val="003B1842"/>
    <w:rsid w:val="003B30B8"/>
    <w:rsid w:val="003B644D"/>
    <w:rsid w:val="003B7122"/>
    <w:rsid w:val="003C0453"/>
    <w:rsid w:val="003C1363"/>
    <w:rsid w:val="003C18A4"/>
    <w:rsid w:val="003C3E03"/>
    <w:rsid w:val="003C5342"/>
    <w:rsid w:val="003C7822"/>
    <w:rsid w:val="003C7935"/>
    <w:rsid w:val="003D0574"/>
    <w:rsid w:val="003D6109"/>
    <w:rsid w:val="003D62AA"/>
    <w:rsid w:val="003D6C07"/>
    <w:rsid w:val="003E1ED8"/>
    <w:rsid w:val="003E601F"/>
    <w:rsid w:val="003E60A4"/>
    <w:rsid w:val="003E7E2E"/>
    <w:rsid w:val="003F0120"/>
    <w:rsid w:val="003F021A"/>
    <w:rsid w:val="003F06C8"/>
    <w:rsid w:val="003F1DCA"/>
    <w:rsid w:val="00405743"/>
    <w:rsid w:val="00406FC4"/>
    <w:rsid w:val="00411CB6"/>
    <w:rsid w:val="00412451"/>
    <w:rsid w:val="004131AF"/>
    <w:rsid w:val="00414012"/>
    <w:rsid w:val="00415BE7"/>
    <w:rsid w:val="0042032E"/>
    <w:rsid w:val="00420E99"/>
    <w:rsid w:val="0042129E"/>
    <w:rsid w:val="00421874"/>
    <w:rsid w:val="00423C42"/>
    <w:rsid w:val="00435449"/>
    <w:rsid w:val="004374C3"/>
    <w:rsid w:val="0044076B"/>
    <w:rsid w:val="0044367B"/>
    <w:rsid w:val="004438C3"/>
    <w:rsid w:val="0044413E"/>
    <w:rsid w:val="00445679"/>
    <w:rsid w:val="0044713E"/>
    <w:rsid w:val="00451ABF"/>
    <w:rsid w:val="004521E9"/>
    <w:rsid w:val="00455C86"/>
    <w:rsid w:val="004566A9"/>
    <w:rsid w:val="004600DF"/>
    <w:rsid w:val="00461EAF"/>
    <w:rsid w:val="00463497"/>
    <w:rsid w:val="004637FA"/>
    <w:rsid w:val="00463B7E"/>
    <w:rsid w:val="00465EED"/>
    <w:rsid w:val="00466242"/>
    <w:rsid w:val="00471240"/>
    <w:rsid w:val="00471899"/>
    <w:rsid w:val="00473DA7"/>
    <w:rsid w:val="00473E7A"/>
    <w:rsid w:val="0047415B"/>
    <w:rsid w:val="00477500"/>
    <w:rsid w:val="00477A9F"/>
    <w:rsid w:val="00477B65"/>
    <w:rsid w:val="004839FE"/>
    <w:rsid w:val="00484F63"/>
    <w:rsid w:val="00487B49"/>
    <w:rsid w:val="00491723"/>
    <w:rsid w:val="0049330F"/>
    <w:rsid w:val="0049403E"/>
    <w:rsid w:val="00496AC8"/>
    <w:rsid w:val="004A055D"/>
    <w:rsid w:val="004A41E8"/>
    <w:rsid w:val="004A4505"/>
    <w:rsid w:val="004A45ED"/>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5A1F"/>
    <w:rsid w:val="004F049D"/>
    <w:rsid w:val="004F083B"/>
    <w:rsid w:val="004F17CC"/>
    <w:rsid w:val="004F201C"/>
    <w:rsid w:val="004F60E0"/>
    <w:rsid w:val="004F6113"/>
    <w:rsid w:val="004F6927"/>
    <w:rsid w:val="00503251"/>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47C8A"/>
    <w:rsid w:val="00550B68"/>
    <w:rsid w:val="00554F00"/>
    <w:rsid w:val="00554F6F"/>
    <w:rsid w:val="00556042"/>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B19CE"/>
    <w:rsid w:val="005C053B"/>
    <w:rsid w:val="005C148E"/>
    <w:rsid w:val="005D1BB0"/>
    <w:rsid w:val="005D4EB2"/>
    <w:rsid w:val="005D696D"/>
    <w:rsid w:val="005E116A"/>
    <w:rsid w:val="005E11DF"/>
    <w:rsid w:val="005E14B6"/>
    <w:rsid w:val="005E1E28"/>
    <w:rsid w:val="005E4D8D"/>
    <w:rsid w:val="005E6641"/>
    <w:rsid w:val="005E71D4"/>
    <w:rsid w:val="005E77F8"/>
    <w:rsid w:val="005E7DF8"/>
    <w:rsid w:val="005F20C5"/>
    <w:rsid w:val="005F20FE"/>
    <w:rsid w:val="005F3EF0"/>
    <w:rsid w:val="0060015D"/>
    <w:rsid w:val="006021F7"/>
    <w:rsid w:val="00602B28"/>
    <w:rsid w:val="00602DC3"/>
    <w:rsid w:val="00603A1E"/>
    <w:rsid w:val="00605905"/>
    <w:rsid w:val="00605D9C"/>
    <w:rsid w:val="00606F6A"/>
    <w:rsid w:val="006101FC"/>
    <w:rsid w:val="00610F72"/>
    <w:rsid w:val="006118CB"/>
    <w:rsid w:val="00613A63"/>
    <w:rsid w:val="006146D0"/>
    <w:rsid w:val="0061504D"/>
    <w:rsid w:val="0062222D"/>
    <w:rsid w:val="00622522"/>
    <w:rsid w:val="006231FB"/>
    <w:rsid w:val="0062459E"/>
    <w:rsid w:val="006255FF"/>
    <w:rsid w:val="00626FE7"/>
    <w:rsid w:val="006314E6"/>
    <w:rsid w:val="00635EA5"/>
    <w:rsid w:val="00640199"/>
    <w:rsid w:val="0064252F"/>
    <w:rsid w:val="006431B8"/>
    <w:rsid w:val="00645035"/>
    <w:rsid w:val="00647F2B"/>
    <w:rsid w:val="00651A8E"/>
    <w:rsid w:val="0065343B"/>
    <w:rsid w:val="00665A90"/>
    <w:rsid w:val="00667381"/>
    <w:rsid w:val="00670BD6"/>
    <w:rsid w:val="00670E22"/>
    <w:rsid w:val="006723D5"/>
    <w:rsid w:val="00674A52"/>
    <w:rsid w:val="00676304"/>
    <w:rsid w:val="00677B98"/>
    <w:rsid w:val="0068031D"/>
    <w:rsid w:val="006806A8"/>
    <w:rsid w:val="006814DF"/>
    <w:rsid w:val="006826C3"/>
    <w:rsid w:val="00683F49"/>
    <w:rsid w:val="006878A3"/>
    <w:rsid w:val="00692AAD"/>
    <w:rsid w:val="00692B74"/>
    <w:rsid w:val="006946E1"/>
    <w:rsid w:val="00695073"/>
    <w:rsid w:val="00695BF3"/>
    <w:rsid w:val="006969FE"/>
    <w:rsid w:val="00697BC7"/>
    <w:rsid w:val="006A0AB6"/>
    <w:rsid w:val="006A408D"/>
    <w:rsid w:val="006A71A2"/>
    <w:rsid w:val="006B13D5"/>
    <w:rsid w:val="006B1CD8"/>
    <w:rsid w:val="006B26D3"/>
    <w:rsid w:val="006B2AE4"/>
    <w:rsid w:val="006B33A6"/>
    <w:rsid w:val="006B3D40"/>
    <w:rsid w:val="006B5BFA"/>
    <w:rsid w:val="006B6AE0"/>
    <w:rsid w:val="006C0EEE"/>
    <w:rsid w:val="006C1E62"/>
    <w:rsid w:val="006C29FD"/>
    <w:rsid w:val="006C48FE"/>
    <w:rsid w:val="006C4C24"/>
    <w:rsid w:val="006C588F"/>
    <w:rsid w:val="006D0C9A"/>
    <w:rsid w:val="006D29CA"/>
    <w:rsid w:val="006D3F5D"/>
    <w:rsid w:val="006D69D9"/>
    <w:rsid w:val="006D6B4B"/>
    <w:rsid w:val="006D7038"/>
    <w:rsid w:val="006E08E0"/>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2F49"/>
    <w:rsid w:val="00703C4C"/>
    <w:rsid w:val="007048E7"/>
    <w:rsid w:val="00704FED"/>
    <w:rsid w:val="00705DC6"/>
    <w:rsid w:val="00706AF7"/>
    <w:rsid w:val="00706F2D"/>
    <w:rsid w:val="0071514B"/>
    <w:rsid w:val="0071558A"/>
    <w:rsid w:val="00715E10"/>
    <w:rsid w:val="007166A9"/>
    <w:rsid w:val="00722564"/>
    <w:rsid w:val="0072634E"/>
    <w:rsid w:val="007327B8"/>
    <w:rsid w:val="00735BBE"/>
    <w:rsid w:val="0073626D"/>
    <w:rsid w:val="007404D8"/>
    <w:rsid w:val="00741108"/>
    <w:rsid w:val="00741B42"/>
    <w:rsid w:val="0074244E"/>
    <w:rsid w:val="0074399F"/>
    <w:rsid w:val="00746212"/>
    <w:rsid w:val="00747495"/>
    <w:rsid w:val="00751B88"/>
    <w:rsid w:val="00753580"/>
    <w:rsid w:val="00753AE8"/>
    <w:rsid w:val="00753D42"/>
    <w:rsid w:val="00755BF3"/>
    <w:rsid w:val="0076008F"/>
    <w:rsid w:val="007605B0"/>
    <w:rsid w:val="00761116"/>
    <w:rsid w:val="00764AF4"/>
    <w:rsid w:val="00766D92"/>
    <w:rsid w:val="00766DBB"/>
    <w:rsid w:val="007830A6"/>
    <w:rsid w:val="00783E2D"/>
    <w:rsid w:val="0079098A"/>
    <w:rsid w:val="00792D24"/>
    <w:rsid w:val="007958F3"/>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782"/>
    <w:rsid w:val="007C4B1F"/>
    <w:rsid w:val="007D29DA"/>
    <w:rsid w:val="007D337E"/>
    <w:rsid w:val="007D3A05"/>
    <w:rsid w:val="007D4108"/>
    <w:rsid w:val="007D53F5"/>
    <w:rsid w:val="007D71F4"/>
    <w:rsid w:val="007E0FFA"/>
    <w:rsid w:val="007E3CDE"/>
    <w:rsid w:val="007E3E41"/>
    <w:rsid w:val="007E45EB"/>
    <w:rsid w:val="007E4699"/>
    <w:rsid w:val="007F03B3"/>
    <w:rsid w:val="007F224E"/>
    <w:rsid w:val="007F62FA"/>
    <w:rsid w:val="007F6799"/>
    <w:rsid w:val="00802343"/>
    <w:rsid w:val="00802954"/>
    <w:rsid w:val="008032CF"/>
    <w:rsid w:val="008032DE"/>
    <w:rsid w:val="00806FF3"/>
    <w:rsid w:val="00812097"/>
    <w:rsid w:val="00812A58"/>
    <w:rsid w:val="00812E43"/>
    <w:rsid w:val="00813C07"/>
    <w:rsid w:val="008164AB"/>
    <w:rsid w:val="008226BA"/>
    <w:rsid w:val="008232E9"/>
    <w:rsid w:val="00824D2F"/>
    <w:rsid w:val="00825E26"/>
    <w:rsid w:val="00833148"/>
    <w:rsid w:val="00833909"/>
    <w:rsid w:val="00834AC0"/>
    <w:rsid w:val="008376F6"/>
    <w:rsid w:val="0084274F"/>
    <w:rsid w:val="00843448"/>
    <w:rsid w:val="00844137"/>
    <w:rsid w:val="008443DF"/>
    <w:rsid w:val="00846370"/>
    <w:rsid w:val="00846541"/>
    <w:rsid w:val="00851077"/>
    <w:rsid w:val="00855B59"/>
    <w:rsid w:val="00857960"/>
    <w:rsid w:val="00861B30"/>
    <w:rsid w:val="00865608"/>
    <w:rsid w:val="008671AC"/>
    <w:rsid w:val="008730E5"/>
    <w:rsid w:val="0087516C"/>
    <w:rsid w:val="0088390C"/>
    <w:rsid w:val="00885679"/>
    <w:rsid w:val="00886FF7"/>
    <w:rsid w:val="00887242"/>
    <w:rsid w:val="008909B5"/>
    <w:rsid w:val="008933AA"/>
    <w:rsid w:val="00893956"/>
    <w:rsid w:val="008945B1"/>
    <w:rsid w:val="008952FA"/>
    <w:rsid w:val="00896489"/>
    <w:rsid w:val="008A1435"/>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7ED8"/>
    <w:rsid w:val="008D0DA2"/>
    <w:rsid w:val="008E0DFD"/>
    <w:rsid w:val="008E66D2"/>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30A9"/>
    <w:rsid w:val="009237FF"/>
    <w:rsid w:val="00923CBA"/>
    <w:rsid w:val="00923DCB"/>
    <w:rsid w:val="009245B3"/>
    <w:rsid w:val="00926116"/>
    <w:rsid w:val="009261D7"/>
    <w:rsid w:val="009307DE"/>
    <w:rsid w:val="00933D66"/>
    <w:rsid w:val="009341E3"/>
    <w:rsid w:val="00940287"/>
    <w:rsid w:val="009427BA"/>
    <w:rsid w:val="00943ADF"/>
    <w:rsid w:val="0094562D"/>
    <w:rsid w:val="009562F1"/>
    <w:rsid w:val="00957BA4"/>
    <w:rsid w:val="00957DBC"/>
    <w:rsid w:val="00965552"/>
    <w:rsid w:val="0096600D"/>
    <w:rsid w:val="0096605A"/>
    <w:rsid w:val="009671FF"/>
    <w:rsid w:val="00975BCB"/>
    <w:rsid w:val="00982C4C"/>
    <w:rsid w:val="00990492"/>
    <w:rsid w:val="009950E1"/>
    <w:rsid w:val="0099648E"/>
    <w:rsid w:val="00997DB5"/>
    <w:rsid w:val="009A22C0"/>
    <w:rsid w:val="009B25AF"/>
    <w:rsid w:val="009B62DA"/>
    <w:rsid w:val="009C32BA"/>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5AA4"/>
    <w:rsid w:val="009E5D90"/>
    <w:rsid w:val="009E754B"/>
    <w:rsid w:val="009F1A70"/>
    <w:rsid w:val="009F37E6"/>
    <w:rsid w:val="009F44EE"/>
    <w:rsid w:val="009F597A"/>
    <w:rsid w:val="009F5D71"/>
    <w:rsid w:val="009F7D69"/>
    <w:rsid w:val="00A02C13"/>
    <w:rsid w:val="00A06FDB"/>
    <w:rsid w:val="00A1378E"/>
    <w:rsid w:val="00A13CD6"/>
    <w:rsid w:val="00A140B4"/>
    <w:rsid w:val="00A20CBD"/>
    <w:rsid w:val="00A23071"/>
    <w:rsid w:val="00A24070"/>
    <w:rsid w:val="00A258B3"/>
    <w:rsid w:val="00A27FE5"/>
    <w:rsid w:val="00A33086"/>
    <w:rsid w:val="00A340B2"/>
    <w:rsid w:val="00A372EE"/>
    <w:rsid w:val="00A42B7A"/>
    <w:rsid w:val="00A432AE"/>
    <w:rsid w:val="00A453E3"/>
    <w:rsid w:val="00A471E2"/>
    <w:rsid w:val="00A479B7"/>
    <w:rsid w:val="00A479D4"/>
    <w:rsid w:val="00A5019B"/>
    <w:rsid w:val="00A50646"/>
    <w:rsid w:val="00A50FB6"/>
    <w:rsid w:val="00A50FF8"/>
    <w:rsid w:val="00A52067"/>
    <w:rsid w:val="00A52E9A"/>
    <w:rsid w:val="00A5505E"/>
    <w:rsid w:val="00A57EA5"/>
    <w:rsid w:val="00A62C85"/>
    <w:rsid w:val="00A64459"/>
    <w:rsid w:val="00A64E13"/>
    <w:rsid w:val="00A72971"/>
    <w:rsid w:val="00A72A5F"/>
    <w:rsid w:val="00A744EA"/>
    <w:rsid w:val="00A75CE9"/>
    <w:rsid w:val="00A8138B"/>
    <w:rsid w:val="00A85479"/>
    <w:rsid w:val="00A8555D"/>
    <w:rsid w:val="00A86A36"/>
    <w:rsid w:val="00A96763"/>
    <w:rsid w:val="00AA5D66"/>
    <w:rsid w:val="00AA7FC1"/>
    <w:rsid w:val="00AB154D"/>
    <w:rsid w:val="00AB2981"/>
    <w:rsid w:val="00AB4A37"/>
    <w:rsid w:val="00AB6DF6"/>
    <w:rsid w:val="00AC42CE"/>
    <w:rsid w:val="00AC6543"/>
    <w:rsid w:val="00AD405E"/>
    <w:rsid w:val="00AD61AC"/>
    <w:rsid w:val="00AE0098"/>
    <w:rsid w:val="00AE2C4F"/>
    <w:rsid w:val="00AE46E7"/>
    <w:rsid w:val="00AE47EB"/>
    <w:rsid w:val="00AE5D15"/>
    <w:rsid w:val="00AE7D19"/>
    <w:rsid w:val="00AF1FCD"/>
    <w:rsid w:val="00AF54A2"/>
    <w:rsid w:val="00AF646A"/>
    <w:rsid w:val="00B0144A"/>
    <w:rsid w:val="00B028E7"/>
    <w:rsid w:val="00B12248"/>
    <w:rsid w:val="00B12B2F"/>
    <w:rsid w:val="00B13246"/>
    <w:rsid w:val="00B171C5"/>
    <w:rsid w:val="00B17AE9"/>
    <w:rsid w:val="00B17B4F"/>
    <w:rsid w:val="00B20125"/>
    <w:rsid w:val="00B20269"/>
    <w:rsid w:val="00B20546"/>
    <w:rsid w:val="00B25209"/>
    <w:rsid w:val="00B26023"/>
    <w:rsid w:val="00B2765B"/>
    <w:rsid w:val="00B41D14"/>
    <w:rsid w:val="00B434A2"/>
    <w:rsid w:val="00B471D0"/>
    <w:rsid w:val="00B47E46"/>
    <w:rsid w:val="00B51A8A"/>
    <w:rsid w:val="00B529E3"/>
    <w:rsid w:val="00B53CE1"/>
    <w:rsid w:val="00B54909"/>
    <w:rsid w:val="00B54AC5"/>
    <w:rsid w:val="00B54D25"/>
    <w:rsid w:val="00B561D0"/>
    <w:rsid w:val="00B613BB"/>
    <w:rsid w:val="00B636E4"/>
    <w:rsid w:val="00B66DA3"/>
    <w:rsid w:val="00B66FD7"/>
    <w:rsid w:val="00B73D79"/>
    <w:rsid w:val="00B73EC0"/>
    <w:rsid w:val="00B748A3"/>
    <w:rsid w:val="00B83E80"/>
    <w:rsid w:val="00B8425D"/>
    <w:rsid w:val="00B92105"/>
    <w:rsid w:val="00B93651"/>
    <w:rsid w:val="00B94D51"/>
    <w:rsid w:val="00B94E75"/>
    <w:rsid w:val="00BA0109"/>
    <w:rsid w:val="00BA193D"/>
    <w:rsid w:val="00BA1DAB"/>
    <w:rsid w:val="00BA3D51"/>
    <w:rsid w:val="00BB08CB"/>
    <w:rsid w:val="00BB0CB8"/>
    <w:rsid w:val="00BB0E48"/>
    <w:rsid w:val="00BB2314"/>
    <w:rsid w:val="00BB3B20"/>
    <w:rsid w:val="00BB52B3"/>
    <w:rsid w:val="00BC71C3"/>
    <w:rsid w:val="00BD43B4"/>
    <w:rsid w:val="00BD606B"/>
    <w:rsid w:val="00BE11AF"/>
    <w:rsid w:val="00BE14B6"/>
    <w:rsid w:val="00BE2B0F"/>
    <w:rsid w:val="00BE2C79"/>
    <w:rsid w:val="00BE786B"/>
    <w:rsid w:val="00BE7AE1"/>
    <w:rsid w:val="00BF1645"/>
    <w:rsid w:val="00BF1737"/>
    <w:rsid w:val="00BF1F11"/>
    <w:rsid w:val="00BF5017"/>
    <w:rsid w:val="00BF5414"/>
    <w:rsid w:val="00BF5B1D"/>
    <w:rsid w:val="00BF7758"/>
    <w:rsid w:val="00BF7B3F"/>
    <w:rsid w:val="00BF7E3D"/>
    <w:rsid w:val="00C04EF5"/>
    <w:rsid w:val="00C05DF1"/>
    <w:rsid w:val="00C071EA"/>
    <w:rsid w:val="00C10F2E"/>
    <w:rsid w:val="00C116AA"/>
    <w:rsid w:val="00C1278B"/>
    <w:rsid w:val="00C14149"/>
    <w:rsid w:val="00C14FE4"/>
    <w:rsid w:val="00C17CD9"/>
    <w:rsid w:val="00C201AF"/>
    <w:rsid w:val="00C20C99"/>
    <w:rsid w:val="00C23158"/>
    <w:rsid w:val="00C3139E"/>
    <w:rsid w:val="00C3191A"/>
    <w:rsid w:val="00C34468"/>
    <w:rsid w:val="00C372F8"/>
    <w:rsid w:val="00C37A17"/>
    <w:rsid w:val="00C41DF1"/>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D16"/>
    <w:rsid w:val="00C720BE"/>
    <w:rsid w:val="00C721CF"/>
    <w:rsid w:val="00C72A99"/>
    <w:rsid w:val="00C73D5B"/>
    <w:rsid w:val="00C74A39"/>
    <w:rsid w:val="00C750B3"/>
    <w:rsid w:val="00C76321"/>
    <w:rsid w:val="00C77308"/>
    <w:rsid w:val="00C814DC"/>
    <w:rsid w:val="00C83918"/>
    <w:rsid w:val="00C844E5"/>
    <w:rsid w:val="00C85D05"/>
    <w:rsid w:val="00C9017B"/>
    <w:rsid w:val="00C93804"/>
    <w:rsid w:val="00C96777"/>
    <w:rsid w:val="00CA1100"/>
    <w:rsid w:val="00CA1A98"/>
    <w:rsid w:val="00CA1AA9"/>
    <w:rsid w:val="00CA347D"/>
    <w:rsid w:val="00CA6D48"/>
    <w:rsid w:val="00CA6D85"/>
    <w:rsid w:val="00CA78D9"/>
    <w:rsid w:val="00CB1889"/>
    <w:rsid w:val="00CC4E06"/>
    <w:rsid w:val="00CC4F1F"/>
    <w:rsid w:val="00CD1FF1"/>
    <w:rsid w:val="00CD3D32"/>
    <w:rsid w:val="00CD4F83"/>
    <w:rsid w:val="00CD748A"/>
    <w:rsid w:val="00CD7B6B"/>
    <w:rsid w:val="00CE106A"/>
    <w:rsid w:val="00CE18BF"/>
    <w:rsid w:val="00CE2340"/>
    <w:rsid w:val="00CE2E5D"/>
    <w:rsid w:val="00CE3022"/>
    <w:rsid w:val="00CE505F"/>
    <w:rsid w:val="00CE507E"/>
    <w:rsid w:val="00CE77BB"/>
    <w:rsid w:val="00CF2E8F"/>
    <w:rsid w:val="00CF773D"/>
    <w:rsid w:val="00D03704"/>
    <w:rsid w:val="00D06634"/>
    <w:rsid w:val="00D06EDB"/>
    <w:rsid w:val="00D12A6F"/>
    <w:rsid w:val="00D14024"/>
    <w:rsid w:val="00D144A5"/>
    <w:rsid w:val="00D16502"/>
    <w:rsid w:val="00D23DEB"/>
    <w:rsid w:val="00D24CB5"/>
    <w:rsid w:val="00D26F01"/>
    <w:rsid w:val="00D326B4"/>
    <w:rsid w:val="00D3696D"/>
    <w:rsid w:val="00D36D8C"/>
    <w:rsid w:val="00D37EA6"/>
    <w:rsid w:val="00D412C9"/>
    <w:rsid w:val="00D43FC3"/>
    <w:rsid w:val="00D50E3F"/>
    <w:rsid w:val="00D51FE0"/>
    <w:rsid w:val="00D55ED4"/>
    <w:rsid w:val="00D562AF"/>
    <w:rsid w:val="00D5726A"/>
    <w:rsid w:val="00D573C4"/>
    <w:rsid w:val="00D5754B"/>
    <w:rsid w:val="00D61A07"/>
    <w:rsid w:val="00D61C73"/>
    <w:rsid w:val="00D67AB7"/>
    <w:rsid w:val="00D716A5"/>
    <w:rsid w:val="00D71C86"/>
    <w:rsid w:val="00D73D6C"/>
    <w:rsid w:val="00D74700"/>
    <w:rsid w:val="00D75023"/>
    <w:rsid w:val="00D75B7D"/>
    <w:rsid w:val="00D75B8D"/>
    <w:rsid w:val="00D776E5"/>
    <w:rsid w:val="00D801D7"/>
    <w:rsid w:val="00D851E4"/>
    <w:rsid w:val="00D871B1"/>
    <w:rsid w:val="00D92B61"/>
    <w:rsid w:val="00D92CE5"/>
    <w:rsid w:val="00D95B83"/>
    <w:rsid w:val="00D95C30"/>
    <w:rsid w:val="00D960D9"/>
    <w:rsid w:val="00D97B8F"/>
    <w:rsid w:val="00DA019E"/>
    <w:rsid w:val="00DA0C9B"/>
    <w:rsid w:val="00DA3B72"/>
    <w:rsid w:val="00DA5030"/>
    <w:rsid w:val="00DA52B0"/>
    <w:rsid w:val="00DA5928"/>
    <w:rsid w:val="00DA7DAC"/>
    <w:rsid w:val="00DB34F7"/>
    <w:rsid w:val="00DB37E8"/>
    <w:rsid w:val="00DB40BE"/>
    <w:rsid w:val="00DB43B3"/>
    <w:rsid w:val="00DB4645"/>
    <w:rsid w:val="00DB499A"/>
    <w:rsid w:val="00DB4B02"/>
    <w:rsid w:val="00DB55D1"/>
    <w:rsid w:val="00DB5E1F"/>
    <w:rsid w:val="00DB63F6"/>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D10"/>
    <w:rsid w:val="00E0093A"/>
    <w:rsid w:val="00E013AC"/>
    <w:rsid w:val="00E02342"/>
    <w:rsid w:val="00E058BC"/>
    <w:rsid w:val="00E05CA9"/>
    <w:rsid w:val="00E069B9"/>
    <w:rsid w:val="00E06E1E"/>
    <w:rsid w:val="00E1073E"/>
    <w:rsid w:val="00E10B17"/>
    <w:rsid w:val="00E13E1F"/>
    <w:rsid w:val="00E1448E"/>
    <w:rsid w:val="00E1494A"/>
    <w:rsid w:val="00E150D3"/>
    <w:rsid w:val="00E15343"/>
    <w:rsid w:val="00E15D96"/>
    <w:rsid w:val="00E202D8"/>
    <w:rsid w:val="00E219CC"/>
    <w:rsid w:val="00E21AB6"/>
    <w:rsid w:val="00E21F09"/>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B16"/>
    <w:rsid w:val="00E63C49"/>
    <w:rsid w:val="00E63C9A"/>
    <w:rsid w:val="00E72175"/>
    <w:rsid w:val="00E77E9D"/>
    <w:rsid w:val="00E855DB"/>
    <w:rsid w:val="00E867CE"/>
    <w:rsid w:val="00E91369"/>
    <w:rsid w:val="00E929BF"/>
    <w:rsid w:val="00E9717F"/>
    <w:rsid w:val="00E97D3B"/>
    <w:rsid w:val="00EA11C6"/>
    <w:rsid w:val="00EA1348"/>
    <w:rsid w:val="00EA266C"/>
    <w:rsid w:val="00EA2A8E"/>
    <w:rsid w:val="00EA4A72"/>
    <w:rsid w:val="00EA4C8E"/>
    <w:rsid w:val="00EA6068"/>
    <w:rsid w:val="00EA6638"/>
    <w:rsid w:val="00EB0314"/>
    <w:rsid w:val="00EB6D4F"/>
    <w:rsid w:val="00EB7979"/>
    <w:rsid w:val="00EC188E"/>
    <w:rsid w:val="00EC27B1"/>
    <w:rsid w:val="00EC48D1"/>
    <w:rsid w:val="00EC4D9B"/>
    <w:rsid w:val="00EC7AD6"/>
    <w:rsid w:val="00ED127B"/>
    <w:rsid w:val="00ED1541"/>
    <w:rsid w:val="00ED262E"/>
    <w:rsid w:val="00ED4688"/>
    <w:rsid w:val="00ED55CD"/>
    <w:rsid w:val="00EE3BF8"/>
    <w:rsid w:val="00EF17AE"/>
    <w:rsid w:val="00EF2F88"/>
    <w:rsid w:val="00EF43E9"/>
    <w:rsid w:val="00EF6034"/>
    <w:rsid w:val="00F00711"/>
    <w:rsid w:val="00F00BA6"/>
    <w:rsid w:val="00F0120B"/>
    <w:rsid w:val="00F02D45"/>
    <w:rsid w:val="00F05207"/>
    <w:rsid w:val="00F05674"/>
    <w:rsid w:val="00F07DC7"/>
    <w:rsid w:val="00F11D52"/>
    <w:rsid w:val="00F1203C"/>
    <w:rsid w:val="00F142BF"/>
    <w:rsid w:val="00F14436"/>
    <w:rsid w:val="00F22A1A"/>
    <w:rsid w:val="00F22B3B"/>
    <w:rsid w:val="00F24AD2"/>
    <w:rsid w:val="00F2511C"/>
    <w:rsid w:val="00F254F2"/>
    <w:rsid w:val="00F256FA"/>
    <w:rsid w:val="00F2717C"/>
    <w:rsid w:val="00F277EE"/>
    <w:rsid w:val="00F31CBF"/>
    <w:rsid w:val="00F328A6"/>
    <w:rsid w:val="00F33165"/>
    <w:rsid w:val="00F33F00"/>
    <w:rsid w:val="00F36509"/>
    <w:rsid w:val="00F375D4"/>
    <w:rsid w:val="00F429AA"/>
    <w:rsid w:val="00F42F71"/>
    <w:rsid w:val="00F43C06"/>
    <w:rsid w:val="00F4413F"/>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217A"/>
    <w:rsid w:val="00F82AA2"/>
    <w:rsid w:val="00F84AB6"/>
    <w:rsid w:val="00F85AC0"/>
    <w:rsid w:val="00F85C3D"/>
    <w:rsid w:val="00F91611"/>
    <w:rsid w:val="00F972F1"/>
    <w:rsid w:val="00F97C51"/>
    <w:rsid w:val="00F97D62"/>
    <w:rsid w:val="00FA1200"/>
    <w:rsid w:val="00FA149F"/>
    <w:rsid w:val="00FA28A4"/>
    <w:rsid w:val="00FA2C8E"/>
    <w:rsid w:val="00FA5657"/>
    <w:rsid w:val="00FA5FD8"/>
    <w:rsid w:val="00FA7C40"/>
    <w:rsid w:val="00FB02FC"/>
    <w:rsid w:val="00FC1D32"/>
    <w:rsid w:val="00FC46A4"/>
    <w:rsid w:val="00FC7075"/>
    <w:rsid w:val="00FC796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2272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Numbered para"/>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Numbered para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 w:type="character" w:customStyle="1" w:styleId="acopre1">
    <w:name w:val="acopre1"/>
    <w:basedOn w:val="DefaultParagraphFont"/>
    <w:rsid w:val="00374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PBAC_online_submission_for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bs.gov.au/pbs/industry/listing/elements/pbac-meetings/agenda/March-2020-PBAC-Meeting" TargetMode="External"/><Relationship Id="rId4" Type="http://schemas.openxmlformats.org/officeDocument/2006/relationships/settings" Target="settings.xml"/><Relationship Id="rId9" Type="http://schemas.openxmlformats.org/officeDocument/2006/relationships/hyperlink" Target="http://www.pbs.gov.au/pbs/industry/listing/elements/pbac-meetings/agenda/March-2020-PBAC-Meet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6E5FD-8637-4065-A0A4-2B373607A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7078</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2020-10-20T00:54:00Z</dcterms:created>
  <dcterms:modified xsi:type="dcterms:W3CDTF">2020-11-16T02:48:00Z</dcterms:modified>
</cp:coreProperties>
</file>