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1BB9" w14:textId="77777777" w:rsidR="00A20CBD" w:rsidRPr="00F4413F" w:rsidRDefault="00A20CBD" w:rsidP="00855B59">
      <w:pPr>
        <w:ind w:left="2160" w:firstLine="720"/>
        <w:rPr>
          <w:b/>
        </w:rPr>
      </w:pPr>
    </w:p>
    <w:p w14:paraId="3442547C" w14:textId="302AED1A"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w:t>
      </w:r>
      <w:r w:rsidR="00205289">
        <w:rPr>
          <w:sz w:val="24"/>
          <w:szCs w:val="24"/>
        </w:rPr>
        <w:t>1</w:t>
      </w:r>
      <w:r w:rsidR="00413D61">
        <w:rPr>
          <w:sz w:val="24"/>
          <w:szCs w:val="24"/>
        </w:rPr>
        <w:t>5</w:t>
      </w:r>
      <w:r w:rsidR="00A10603" w:rsidRPr="00A10603">
        <w:rPr>
          <w:sz w:val="24"/>
          <w:szCs w:val="24"/>
          <w:vertAlign w:val="superscript"/>
        </w:rPr>
        <w:t>th</w:t>
      </w:r>
      <w:r w:rsidR="00A10603">
        <w:rPr>
          <w:sz w:val="24"/>
          <w:szCs w:val="24"/>
        </w:rPr>
        <w:t xml:space="preserve"> </w:t>
      </w:r>
      <w:r w:rsidRPr="005F3EF0">
        <w:rPr>
          <w:sz w:val="24"/>
          <w:szCs w:val="24"/>
        </w:rPr>
        <w:t>meeting on</w:t>
      </w:r>
      <w:r w:rsidR="00E4556A">
        <w:rPr>
          <w:sz w:val="24"/>
          <w:szCs w:val="24"/>
        </w:rPr>
        <w:t xml:space="preserve"> </w:t>
      </w:r>
      <w:r w:rsidR="00413D61">
        <w:rPr>
          <w:sz w:val="24"/>
          <w:szCs w:val="24"/>
        </w:rPr>
        <w:t>5 June</w:t>
      </w:r>
      <w:r w:rsidR="00950EA9">
        <w:rPr>
          <w:sz w:val="24"/>
          <w:szCs w:val="24"/>
        </w:rPr>
        <w:t xml:space="preserve"> 202</w:t>
      </w:r>
      <w:r w:rsidR="001C1C37">
        <w:rPr>
          <w:sz w:val="24"/>
          <w:szCs w:val="24"/>
        </w:rPr>
        <w:t>5</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4C0E9342"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w:t>
      </w:r>
      <w:hyperlink r:id="rId8" w:history="1">
        <w:r w:rsidR="0065694A" w:rsidRPr="00117776">
          <w:rPr>
            <w:rStyle w:val="Hyperlink"/>
            <w:sz w:val="24"/>
            <w:szCs w:val="24"/>
          </w:rPr>
          <w:t>via the Office of Health Technology Assessment (OHTA) consultation hub.</w:t>
        </w:r>
      </w:hyperlink>
      <w:r w:rsidR="0065694A" w:rsidRPr="0065694A">
        <w:rPr>
          <w:sz w:val="24"/>
          <w:szCs w:val="24"/>
        </w:rPr>
        <w:t xml:space="preserve"> </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70F4E84A" w:rsidR="009237FF" w:rsidRDefault="00BE11AF" w:rsidP="008B6946">
      <w:pPr>
        <w:rPr>
          <w:sz w:val="24"/>
          <w:szCs w:val="24"/>
        </w:rPr>
      </w:pPr>
      <w:r w:rsidRPr="000C39EF">
        <w:rPr>
          <w:sz w:val="24"/>
          <w:szCs w:val="24"/>
        </w:rPr>
        <w:t xml:space="preserve">DUSC </w:t>
      </w:r>
      <w:r w:rsidR="004C424D">
        <w:rPr>
          <w:sz w:val="24"/>
          <w:szCs w:val="24"/>
        </w:rPr>
        <w:t xml:space="preserve">considered </w:t>
      </w:r>
      <w:r w:rsidR="003571C3">
        <w:rPr>
          <w:sz w:val="24"/>
          <w:szCs w:val="24"/>
        </w:rPr>
        <w:t>t</w:t>
      </w:r>
      <w:r w:rsidR="00410DDF">
        <w:rPr>
          <w:sz w:val="24"/>
          <w:szCs w:val="24"/>
        </w:rPr>
        <w:t>wo</w:t>
      </w:r>
      <w:r w:rsidR="000C39EF" w:rsidRPr="001B1E36">
        <w:rPr>
          <w:sz w:val="24"/>
          <w:szCs w:val="24"/>
        </w:rPr>
        <w:t xml:space="preserve"> </w:t>
      </w:r>
      <w:r w:rsidR="000134E0" w:rsidRPr="001B1E36">
        <w:rPr>
          <w:sz w:val="24"/>
          <w:szCs w:val="24"/>
        </w:rPr>
        <w:t>category 1</w:t>
      </w:r>
      <w:r w:rsidR="005F19FA" w:rsidRPr="001B1E36">
        <w:rPr>
          <w:sz w:val="24"/>
          <w:szCs w:val="24"/>
        </w:rPr>
        <w:t xml:space="preserve"> submissions </w:t>
      </w:r>
      <w:r w:rsidR="00413D61">
        <w:rPr>
          <w:sz w:val="24"/>
          <w:szCs w:val="24"/>
        </w:rPr>
        <w:t xml:space="preserve">and one standard re-entry submission </w:t>
      </w:r>
      <w:r w:rsidR="000145A7" w:rsidRPr="000964F3">
        <w:rPr>
          <w:color w:val="000000" w:themeColor="text1"/>
          <w:sz w:val="24"/>
          <w:szCs w:val="24"/>
        </w:rPr>
        <w:t>while a joint DUSC and Economics Sub Committee meeting was held on the 10 June 2025 to consider an additional four category 1 submissions</w:t>
      </w:r>
      <w:r w:rsidR="001C20CD" w:rsidRPr="000964F3">
        <w:rPr>
          <w:color w:val="000000" w:themeColor="text1"/>
          <w:sz w:val="24"/>
          <w:szCs w:val="24"/>
        </w:rPr>
        <w:t>. These submissions</w:t>
      </w:r>
      <w:r w:rsidR="001C20CD">
        <w:rPr>
          <w:color w:val="FF0000"/>
          <w:sz w:val="24"/>
          <w:szCs w:val="24"/>
        </w:rPr>
        <w:t xml:space="preserve"> </w:t>
      </w:r>
      <w:r w:rsidR="00ED6B09">
        <w:rPr>
          <w:sz w:val="24"/>
          <w:szCs w:val="24"/>
        </w:rPr>
        <w:t>will be considered at the</w:t>
      </w:r>
      <w:r w:rsidR="00413D61">
        <w:rPr>
          <w:sz w:val="24"/>
          <w:szCs w:val="24"/>
        </w:rPr>
        <w:t xml:space="preserve"> J</w:t>
      </w:r>
      <w:r w:rsidR="0017708B">
        <w:rPr>
          <w:sz w:val="24"/>
          <w:szCs w:val="24"/>
        </w:rPr>
        <w:t>uly</w:t>
      </w:r>
      <w:r w:rsidR="00031486">
        <w:rPr>
          <w:sz w:val="24"/>
          <w:szCs w:val="24"/>
        </w:rPr>
        <w:t xml:space="preserve"> </w:t>
      </w:r>
      <w:r w:rsidR="00950EA9">
        <w:rPr>
          <w:sz w:val="24"/>
          <w:szCs w:val="24"/>
        </w:rPr>
        <w:t>202</w:t>
      </w:r>
      <w:r w:rsidR="009A3030">
        <w:rPr>
          <w:sz w:val="24"/>
          <w:szCs w:val="24"/>
        </w:rPr>
        <w:t>5</w:t>
      </w:r>
      <w:r w:rsidR="003F06C8" w:rsidRPr="00315152">
        <w:rPr>
          <w:sz w:val="24"/>
          <w:szCs w:val="24"/>
        </w:rPr>
        <w:t xml:space="preserve"> meeting of PBAC.</w:t>
      </w:r>
      <w:r w:rsidR="000145A7">
        <w:rPr>
          <w:color w:val="FF0000"/>
          <w:sz w:val="24"/>
          <w:szCs w:val="24"/>
        </w:rPr>
        <w:t xml:space="preserve"> </w:t>
      </w:r>
      <w:r w:rsidR="007F4FD5" w:rsidRPr="00A45D73">
        <w:rPr>
          <w:sz w:val="24"/>
          <w:szCs w:val="24"/>
        </w:rPr>
        <w:t>The agenda for the</w:t>
      </w:r>
      <w:r w:rsidR="007F4FD5">
        <w:rPr>
          <w:sz w:val="24"/>
          <w:szCs w:val="24"/>
        </w:rPr>
        <w:t xml:space="preserve"> </w:t>
      </w:r>
      <w:r w:rsidR="0017708B">
        <w:rPr>
          <w:sz w:val="24"/>
          <w:szCs w:val="24"/>
        </w:rPr>
        <w:t>July</w:t>
      </w:r>
      <w:r w:rsidR="007F4FD5" w:rsidRPr="00950EA9">
        <w:rPr>
          <w:sz w:val="24"/>
          <w:szCs w:val="24"/>
        </w:rPr>
        <w:t xml:space="preserve"> 202</w:t>
      </w:r>
      <w:r w:rsidR="007F4FD5">
        <w:rPr>
          <w:sz w:val="24"/>
          <w:szCs w:val="24"/>
        </w:rPr>
        <w:t>5</w:t>
      </w:r>
      <w:r w:rsidR="007F4FD5" w:rsidRPr="00950EA9">
        <w:rPr>
          <w:sz w:val="24"/>
          <w:szCs w:val="24"/>
        </w:rPr>
        <w:t xml:space="preserve"> </w:t>
      </w:r>
      <w:r w:rsidR="007F4FD5" w:rsidRPr="00A45D73">
        <w:rPr>
          <w:sz w:val="24"/>
          <w:szCs w:val="24"/>
        </w:rPr>
        <w:t xml:space="preserve">PBAC meeting can be found on the </w:t>
      </w:r>
      <w:hyperlink r:id="rId9" w:history="1">
        <w:r w:rsidR="007F4FD5" w:rsidRPr="00B976CE">
          <w:rPr>
            <w:rStyle w:val="Hyperlink"/>
            <w:sz w:val="24"/>
            <w:szCs w:val="24"/>
          </w:rPr>
          <w:t>PBS w</w:t>
        </w:r>
        <w:r w:rsidR="007F4FD5" w:rsidRPr="00B976CE">
          <w:rPr>
            <w:rStyle w:val="Hyperlink"/>
            <w:sz w:val="24"/>
            <w:szCs w:val="24"/>
          </w:rPr>
          <w:t>e</w:t>
        </w:r>
        <w:r w:rsidR="007F4FD5" w:rsidRPr="00B976CE">
          <w:rPr>
            <w:rStyle w:val="Hyperlink"/>
            <w:sz w:val="24"/>
            <w:szCs w:val="24"/>
          </w:rPr>
          <w:t>bsite</w:t>
        </w:r>
      </w:hyperlink>
      <w:r w:rsidR="007F4FD5" w:rsidRPr="00A45D73">
        <w:rPr>
          <w:sz w:val="24"/>
          <w:szCs w:val="24"/>
        </w:rPr>
        <w:t>.</w:t>
      </w:r>
      <w:r w:rsidR="007F4FD5">
        <w:rPr>
          <w:sz w:val="24"/>
          <w:szCs w:val="24"/>
        </w:rPr>
        <w:t xml:space="preserve">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p>
    <w:p w14:paraId="4EB951D6" w14:textId="77777777" w:rsidR="004C3F0A" w:rsidRDefault="004C3F0A" w:rsidP="009D2858">
      <w:pPr>
        <w:rPr>
          <w:sz w:val="24"/>
          <w:szCs w:val="24"/>
        </w:rPr>
      </w:pPr>
    </w:p>
    <w:p w14:paraId="2BD062C8" w14:textId="77777777" w:rsidR="004C3F0A" w:rsidRPr="004566A9" w:rsidRDefault="004C3F0A" w:rsidP="004C3F0A">
      <w:pPr>
        <w:pStyle w:val="Heading2"/>
      </w:pPr>
      <w:r>
        <w:t>Utilisation of PBS L</w:t>
      </w:r>
      <w:r w:rsidRPr="004566A9">
        <w:t xml:space="preserve">isted </w:t>
      </w:r>
      <w:r>
        <w:t>Medicine</w:t>
      </w:r>
      <w:r w:rsidRPr="004566A9">
        <w:t>s</w:t>
      </w:r>
    </w:p>
    <w:p w14:paraId="7D8263F8" w14:textId="6E977C45" w:rsidR="004C3F0A" w:rsidRPr="00B12248" w:rsidRDefault="004C3F0A" w:rsidP="004C3F0A">
      <w:pPr>
        <w:ind w:right="-305"/>
        <w:rPr>
          <w:sz w:val="24"/>
          <w:szCs w:val="24"/>
        </w:rPr>
      </w:pPr>
      <w:r w:rsidRPr="00B12248">
        <w:rPr>
          <w:sz w:val="24"/>
          <w:szCs w:val="24"/>
        </w:rPr>
        <w:t xml:space="preserve">DUSC regularly examines utilisation of </w:t>
      </w:r>
      <w:r w:rsidRPr="00AA5D66">
        <w:rPr>
          <w:sz w:val="24"/>
          <w:szCs w:val="24"/>
        </w:rPr>
        <w:t xml:space="preserve">Pharmaceutical Benefits Scheme </w:t>
      </w:r>
      <w:r>
        <w:rPr>
          <w:sz w:val="24"/>
          <w:szCs w:val="24"/>
        </w:rPr>
        <w:t>(</w:t>
      </w:r>
      <w:r w:rsidRPr="00B12248">
        <w:rPr>
          <w:sz w:val="24"/>
          <w:szCs w:val="24"/>
        </w:rPr>
        <w:t>PBS</w:t>
      </w:r>
      <w:r>
        <w:rPr>
          <w:sz w:val="24"/>
          <w:szCs w:val="24"/>
        </w:rPr>
        <w:t>)</w:t>
      </w:r>
      <w:r w:rsidRPr="00B12248">
        <w:rPr>
          <w:sz w:val="24"/>
          <w:szCs w:val="24"/>
        </w:rPr>
        <w:t xml:space="preserve"> items when there is at least 24 months of prescription data available and where DUSC or the PBAC has</w:t>
      </w:r>
      <w:r>
        <w:rPr>
          <w:sz w:val="24"/>
          <w:szCs w:val="24"/>
        </w:rPr>
        <w:t xml:space="preserve"> </w:t>
      </w:r>
      <w:r w:rsidRPr="00B12248">
        <w:rPr>
          <w:sz w:val="24"/>
          <w:szCs w:val="24"/>
        </w:rPr>
        <w:t>highlighted items of interest. When an analysis of utilisation is to be undertaken sponsors are notified</w:t>
      </w:r>
      <w:r>
        <w:rPr>
          <w:sz w:val="24"/>
          <w:szCs w:val="24"/>
        </w:rPr>
        <w:t xml:space="preserve"> and</w:t>
      </w:r>
      <w:r w:rsidRPr="00B12248">
        <w:rPr>
          <w:sz w:val="24"/>
          <w:szCs w:val="24"/>
        </w:rPr>
        <w:t xml:space="preserve"> provided with a copy of the report and an opportunity to comment prior to the DUSC meeting. Reviews to be considered by the PBAC are also published in the </w:t>
      </w:r>
      <w:hyperlink r:id="rId10" w:history="1">
        <w:r w:rsidRPr="00E10549">
          <w:rPr>
            <w:rStyle w:val="Hyperlink"/>
            <w:sz w:val="24"/>
            <w:szCs w:val="24"/>
          </w:rPr>
          <w:t>PBAC m</w:t>
        </w:r>
        <w:r w:rsidRPr="00E10549">
          <w:rPr>
            <w:rStyle w:val="Hyperlink"/>
            <w:sz w:val="24"/>
            <w:szCs w:val="24"/>
          </w:rPr>
          <w:t>e</w:t>
        </w:r>
        <w:r w:rsidRPr="00E10549">
          <w:rPr>
            <w:rStyle w:val="Hyperlink"/>
            <w:sz w:val="24"/>
            <w:szCs w:val="24"/>
          </w:rPr>
          <w:t>eting agenda</w:t>
        </w:r>
      </w:hyperlink>
      <w:r w:rsidRPr="00B12248">
        <w:rPr>
          <w:sz w:val="24"/>
          <w:szCs w:val="24"/>
        </w:rPr>
        <w:t>.</w:t>
      </w:r>
      <w:r>
        <w:rPr>
          <w:sz w:val="24"/>
          <w:szCs w:val="24"/>
        </w:rPr>
        <w:t xml:space="preserve"> </w:t>
      </w:r>
      <w:r w:rsidRPr="00B12248">
        <w:rPr>
          <w:sz w:val="24"/>
          <w:szCs w:val="24"/>
        </w:rPr>
        <w:t xml:space="preserve">All reports, </w:t>
      </w:r>
      <w:r>
        <w:rPr>
          <w:sz w:val="24"/>
          <w:szCs w:val="24"/>
        </w:rPr>
        <w:t>sponsor</w:t>
      </w:r>
      <w:r w:rsidRPr="00B12248">
        <w:rPr>
          <w:sz w:val="24"/>
          <w:szCs w:val="24"/>
        </w:rPr>
        <w:t xml:space="preserve"> comments and DUSC assessment of the reports are subsequently provided to the PBAC.</w:t>
      </w:r>
    </w:p>
    <w:p w14:paraId="0E4222F3" w14:textId="77777777" w:rsidR="004C3F0A" w:rsidRPr="00B12248" w:rsidRDefault="004C3F0A" w:rsidP="004C3F0A">
      <w:pPr>
        <w:rPr>
          <w:sz w:val="24"/>
          <w:szCs w:val="24"/>
        </w:rPr>
      </w:pPr>
    </w:p>
    <w:p w14:paraId="1A436F83" w14:textId="6A839B15" w:rsidR="004C3F0A" w:rsidRPr="00CA347D" w:rsidRDefault="004C3F0A" w:rsidP="004C3F0A">
      <w:pPr>
        <w:rPr>
          <w:sz w:val="24"/>
          <w:szCs w:val="24"/>
        </w:rPr>
      </w:pPr>
      <w:r w:rsidRPr="00B12248">
        <w:rPr>
          <w:sz w:val="24"/>
          <w:szCs w:val="24"/>
        </w:rPr>
        <w:t xml:space="preserve">DUSC reviewed the utilisation of the following PBS medicines </w:t>
      </w:r>
      <w:r>
        <w:rPr>
          <w:sz w:val="24"/>
          <w:szCs w:val="24"/>
        </w:rPr>
        <w:t xml:space="preserve">in </w:t>
      </w:r>
      <w:r w:rsidR="00433BCC">
        <w:rPr>
          <w:sz w:val="24"/>
          <w:szCs w:val="24"/>
        </w:rPr>
        <w:t>June</w:t>
      </w:r>
      <w:r>
        <w:rPr>
          <w:sz w:val="24"/>
          <w:szCs w:val="24"/>
        </w:rPr>
        <w:t xml:space="preserve"> 2025</w:t>
      </w:r>
      <w:r w:rsidRPr="00B12248">
        <w:rPr>
          <w:sz w:val="24"/>
          <w:szCs w:val="24"/>
        </w:rPr>
        <w:t>:</w:t>
      </w:r>
    </w:p>
    <w:p w14:paraId="33BE2826" w14:textId="77777777" w:rsidR="004C3F0A" w:rsidRDefault="004C3F0A" w:rsidP="009D2858">
      <w:pPr>
        <w:rPr>
          <w:sz w:val="24"/>
          <w:szCs w:val="24"/>
        </w:rPr>
      </w:pPr>
    </w:p>
    <w:p w14:paraId="0AF24E4B" w14:textId="295E00C4" w:rsidR="004C3F0A" w:rsidRPr="00503B8A" w:rsidRDefault="0036475D" w:rsidP="009D2858">
      <w:pPr>
        <w:rPr>
          <w:rFonts w:eastAsia="Calibri"/>
          <w:b/>
          <w:sz w:val="24"/>
          <w:szCs w:val="24"/>
        </w:rPr>
      </w:pPr>
      <w:r w:rsidRPr="0036475D">
        <w:rPr>
          <w:rFonts w:eastAsia="Calibri"/>
          <w:b/>
          <w:sz w:val="24"/>
          <w:szCs w:val="24"/>
        </w:rPr>
        <w:t>Atezolizumab for hepatocellular carcinoma</w:t>
      </w:r>
    </w:p>
    <w:p w14:paraId="699CF989" w14:textId="78B43CFE" w:rsidR="0059492C" w:rsidRPr="009B1BF9" w:rsidRDefault="00DC0C6B" w:rsidP="00BC0FF7">
      <w:pPr>
        <w:contextualSpacing/>
        <w:rPr>
          <w:sz w:val="24"/>
          <w:szCs w:val="24"/>
        </w:rPr>
      </w:pPr>
      <w:r>
        <w:rPr>
          <w:sz w:val="24"/>
          <w:szCs w:val="24"/>
        </w:rPr>
        <w:t xml:space="preserve">DUSC </w:t>
      </w:r>
      <w:r w:rsidRPr="00DC0C6B">
        <w:rPr>
          <w:sz w:val="24"/>
          <w:szCs w:val="24"/>
        </w:rPr>
        <w:t>reviewed the utilisation of</w:t>
      </w:r>
      <w:r>
        <w:rPr>
          <w:sz w:val="24"/>
          <w:szCs w:val="24"/>
        </w:rPr>
        <w:t xml:space="preserve"> </w:t>
      </w:r>
      <w:r w:rsidRPr="00DC0C6B">
        <w:rPr>
          <w:sz w:val="24"/>
          <w:szCs w:val="24"/>
        </w:rPr>
        <w:t xml:space="preserve">atezolizumab </w:t>
      </w:r>
      <w:r w:rsidR="00B96D9C" w:rsidRPr="00B96D9C">
        <w:rPr>
          <w:sz w:val="24"/>
          <w:szCs w:val="24"/>
        </w:rPr>
        <w:t>in combination with bevacizumab (henceforth atezolizumab)</w:t>
      </w:r>
      <w:r w:rsidR="00B96D9C">
        <w:rPr>
          <w:sz w:val="24"/>
          <w:szCs w:val="24"/>
        </w:rPr>
        <w:t xml:space="preserve"> </w:t>
      </w:r>
      <w:r w:rsidRPr="00DC0C6B">
        <w:rPr>
          <w:sz w:val="24"/>
          <w:szCs w:val="24"/>
        </w:rPr>
        <w:t>for advanced (unresectable) Barcelona Clinic Liver Cancer (BCLC) Stage B or Stage C hepatocellular carcinoma (HCC)</w:t>
      </w:r>
      <w:r>
        <w:rPr>
          <w:sz w:val="24"/>
          <w:szCs w:val="24"/>
        </w:rPr>
        <w:t>. In 2023</w:t>
      </w:r>
      <w:r w:rsidR="001C20CD">
        <w:rPr>
          <w:sz w:val="24"/>
          <w:szCs w:val="24"/>
        </w:rPr>
        <w:t>,</w:t>
      </w:r>
      <w:r>
        <w:rPr>
          <w:sz w:val="24"/>
          <w:szCs w:val="24"/>
        </w:rPr>
        <w:t xml:space="preserve"> 955 patients were supplied 6,135 prescriptions and in 2024</w:t>
      </w:r>
      <w:r w:rsidR="001C20CD">
        <w:rPr>
          <w:sz w:val="24"/>
          <w:szCs w:val="24"/>
        </w:rPr>
        <w:t>,</w:t>
      </w:r>
      <w:r>
        <w:rPr>
          <w:sz w:val="24"/>
          <w:szCs w:val="24"/>
        </w:rPr>
        <w:t xml:space="preserve"> 1,010 patients were supplied 7,033 prescriptions. </w:t>
      </w:r>
      <w:r w:rsidR="00B96D9C" w:rsidRPr="00B96D9C">
        <w:rPr>
          <w:sz w:val="24"/>
          <w:szCs w:val="24"/>
        </w:rPr>
        <w:t xml:space="preserve">DUSC noted that for most patients atezolizumab for HCC is generally well tolerated and most patients remain on treatment. </w:t>
      </w:r>
      <w:r>
        <w:rPr>
          <w:sz w:val="24"/>
          <w:szCs w:val="24"/>
        </w:rPr>
        <w:t xml:space="preserve">DUSC noted that </w:t>
      </w:r>
      <w:r w:rsidR="00756B61">
        <w:rPr>
          <w:sz w:val="24"/>
          <w:szCs w:val="24"/>
        </w:rPr>
        <w:t xml:space="preserve">the use of the oral therapies </w:t>
      </w:r>
      <w:r w:rsidR="00756B61" w:rsidRPr="00756B61">
        <w:rPr>
          <w:sz w:val="24"/>
          <w:szCs w:val="24"/>
        </w:rPr>
        <w:t xml:space="preserve">lenvatinib or sorafenib for the treatment of HCC has </w:t>
      </w:r>
      <w:r w:rsidR="00756B61">
        <w:rPr>
          <w:sz w:val="24"/>
          <w:szCs w:val="24"/>
        </w:rPr>
        <w:t xml:space="preserve">moved </w:t>
      </w:r>
      <w:r w:rsidR="00756B61" w:rsidRPr="00756B61">
        <w:rPr>
          <w:sz w:val="24"/>
          <w:szCs w:val="24"/>
        </w:rPr>
        <w:t xml:space="preserve">to older </w:t>
      </w:r>
      <w:r w:rsidR="00756B61">
        <w:rPr>
          <w:sz w:val="24"/>
          <w:szCs w:val="24"/>
        </w:rPr>
        <w:t>patient populations</w:t>
      </w:r>
      <w:r w:rsidR="00756B61" w:rsidRPr="00756B61">
        <w:rPr>
          <w:sz w:val="24"/>
          <w:szCs w:val="24"/>
        </w:rPr>
        <w:t>.</w:t>
      </w:r>
    </w:p>
    <w:p w14:paraId="2A96E031" w14:textId="77777777" w:rsidR="009B1BF9" w:rsidRPr="009B1BF9" w:rsidRDefault="009B1BF9" w:rsidP="009B1BF9">
      <w:pPr>
        <w:spacing w:after="200" w:line="276" w:lineRule="auto"/>
        <w:contextualSpacing/>
      </w:pPr>
    </w:p>
    <w:p w14:paraId="47FB7DB6" w14:textId="280BD938" w:rsidR="004C41C0" w:rsidRPr="00503B8A" w:rsidRDefault="00EA0239" w:rsidP="00503B8A">
      <w:pPr>
        <w:contextualSpacing/>
        <w:rPr>
          <w:rFonts w:eastAsia="Calibri"/>
          <w:b/>
          <w:sz w:val="24"/>
          <w:szCs w:val="24"/>
        </w:rPr>
      </w:pPr>
      <w:r w:rsidRPr="00EA0239">
        <w:rPr>
          <w:rFonts w:eastAsia="Calibri"/>
          <w:b/>
          <w:sz w:val="24"/>
          <w:szCs w:val="24"/>
        </w:rPr>
        <w:t>Cemiplimab for cutaneous squamous cell carcinoma</w:t>
      </w:r>
    </w:p>
    <w:p w14:paraId="3C9FDCEB" w14:textId="163BF940" w:rsidR="00402100" w:rsidRPr="00402100" w:rsidRDefault="00FC5EAA" w:rsidP="00503B8A">
      <w:pPr>
        <w:pStyle w:val="Tablewriting"/>
        <w:spacing w:before="0" w:after="0"/>
        <w:contextualSpacing/>
        <w:rPr>
          <w:sz w:val="24"/>
          <w:szCs w:val="24"/>
        </w:rPr>
      </w:pPr>
      <w:r>
        <w:rPr>
          <w:sz w:val="24"/>
          <w:szCs w:val="24"/>
        </w:rPr>
        <w:t xml:space="preserve">DUSC </w:t>
      </w:r>
      <w:r w:rsidRPr="00FC5EAA">
        <w:rPr>
          <w:sz w:val="24"/>
          <w:szCs w:val="24"/>
        </w:rPr>
        <w:t>review</w:t>
      </w:r>
      <w:r>
        <w:rPr>
          <w:sz w:val="24"/>
          <w:szCs w:val="24"/>
        </w:rPr>
        <w:t>ed</w:t>
      </w:r>
      <w:r w:rsidRPr="00FC5EAA">
        <w:rPr>
          <w:sz w:val="24"/>
          <w:szCs w:val="24"/>
        </w:rPr>
        <w:t xml:space="preserve"> the utilisation of cemiplimab for metastatic or locally advanced cutaneous squamous cell carcinoma (mCSCC or laCSCC) for patients who are not candidates for curative surgery or curative radiation, as requested by DUSC at its February 2025 meeting</w:t>
      </w:r>
      <w:r>
        <w:rPr>
          <w:sz w:val="24"/>
          <w:szCs w:val="24"/>
        </w:rPr>
        <w:t xml:space="preserve">. </w:t>
      </w:r>
      <w:r w:rsidRPr="00FC5EAA">
        <w:rPr>
          <w:sz w:val="24"/>
          <w:szCs w:val="24"/>
        </w:rPr>
        <w:t xml:space="preserve">There were 1,535 patients treated with cemiplimab for CSCC in the first year of listing, and 1,930 in the </w:t>
      </w:r>
      <w:r w:rsidRPr="00FC5EAA">
        <w:rPr>
          <w:sz w:val="24"/>
          <w:szCs w:val="24"/>
        </w:rPr>
        <w:lastRenderedPageBreak/>
        <w:t>second year.</w:t>
      </w:r>
      <w:r>
        <w:rPr>
          <w:sz w:val="24"/>
          <w:szCs w:val="24"/>
        </w:rPr>
        <w:t xml:space="preserve"> </w:t>
      </w:r>
      <w:r w:rsidRPr="00FC5EAA">
        <w:rPr>
          <w:sz w:val="24"/>
          <w:szCs w:val="24"/>
        </w:rPr>
        <w:t>The mean ages for patients at initiation were 76 for males and 78 for females, in line with the epidemiology of the condition.</w:t>
      </w:r>
      <w:r>
        <w:rPr>
          <w:sz w:val="24"/>
          <w:szCs w:val="24"/>
        </w:rPr>
        <w:t xml:space="preserve"> </w:t>
      </w:r>
      <w:r w:rsidRPr="00FC5EAA">
        <w:rPr>
          <w:sz w:val="24"/>
          <w:szCs w:val="24"/>
        </w:rPr>
        <w:t>DUSC noted that the number of initiating patients each year was increasing therefore it was likely that prevalence had not yet been reached. DUSC discussed that there is likely some use of cemiplimab outside of the restriction by older patients who are poor surgical candidates, and that this was clinically appropriate.</w:t>
      </w:r>
    </w:p>
    <w:p w14:paraId="319BCCE3" w14:textId="77777777" w:rsidR="00AB532F" w:rsidRDefault="00AB532F" w:rsidP="009D2858">
      <w:pPr>
        <w:rPr>
          <w:sz w:val="24"/>
          <w:szCs w:val="24"/>
        </w:rPr>
      </w:pPr>
    </w:p>
    <w:p w14:paraId="7A980540" w14:textId="77777777" w:rsidR="009F3995" w:rsidRPr="009F3995" w:rsidRDefault="009F3995" w:rsidP="009D2858">
      <w:pPr>
        <w:rPr>
          <w:b/>
          <w:bCs/>
          <w:sz w:val="24"/>
          <w:szCs w:val="24"/>
        </w:rPr>
      </w:pPr>
      <w:r w:rsidRPr="009F3995">
        <w:rPr>
          <w:b/>
          <w:bCs/>
          <w:sz w:val="24"/>
          <w:szCs w:val="24"/>
        </w:rPr>
        <w:t xml:space="preserve">Nivolumab for gastro-oesophageal cancers </w:t>
      </w:r>
    </w:p>
    <w:p w14:paraId="4328E6D0" w14:textId="1AB560BC" w:rsidR="00285621" w:rsidRPr="00285621" w:rsidRDefault="00285621" w:rsidP="00285621">
      <w:pPr>
        <w:rPr>
          <w:sz w:val="24"/>
          <w:szCs w:val="24"/>
        </w:rPr>
      </w:pPr>
      <w:r>
        <w:rPr>
          <w:sz w:val="24"/>
          <w:szCs w:val="24"/>
        </w:rPr>
        <w:t>DUSC reviewed the utilisation of nivolumab for gastro-oesophageal cancers.  DUSC noted t</w:t>
      </w:r>
      <w:r w:rsidRPr="00285621">
        <w:rPr>
          <w:sz w:val="24"/>
          <w:szCs w:val="24"/>
        </w:rPr>
        <w:t>he number of prevalent patients has increased steadily from 589 in the first quarter of listing to 1,029 by 2025Q1 while the number of initiating patients has been approximately 280-300 per quarter from the second quarter of listing. Both the number of prevalent patients and prescriptions per quarter have appeared to plateau.</w:t>
      </w:r>
      <w:r>
        <w:rPr>
          <w:sz w:val="24"/>
          <w:szCs w:val="24"/>
        </w:rPr>
        <w:t xml:space="preserve"> </w:t>
      </w:r>
      <w:r w:rsidRPr="00285621">
        <w:rPr>
          <w:sz w:val="24"/>
          <w:szCs w:val="24"/>
        </w:rPr>
        <w:t>Using the Kaplan-Meier analysis and the interquartile range results, the cost per treatment course of nivolumab ranged from $23,647 to $116,148 based on the published prices for the majority of patients. Since first listing there have been 3,103 patients who have initiated nivolumab up to 23 February 2025 and of these, 50.4% may be considered alive according to date of death data up to 23 February 2025.</w:t>
      </w:r>
    </w:p>
    <w:p w14:paraId="1F2CE2A4" w14:textId="02E9F16A" w:rsidR="004C41C0" w:rsidRDefault="004C41C0" w:rsidP="009D2858">
      <w:pPr>
        <w:rPr>
          <w:sz w:val="24"/>
          <w:szCs w:val="24"/>
        </w:rPr>
      </w:pPr>
    </w:p>
    <w:p w14:paraId="01E39403" w14:textId="2B87A74B" w:rsidR="009F3995" w:rsidRDefault="0051440D" w:rsidP="009D2858">
      <w:pPr>
        <w:rPr>
          <w:b/>
          <w:bCs/>
          <w:sz w:val="24"/>
          <w:szCs w:val="24"/>
        </w:rPr>
      </w:pPr>
      <w:r w:rsidRPr="0051440D">
        <w:rPr>
          <w:b/>
          <w:bCs/>
          <w:sz w:val="24"/>
          <w:szCs w:val="24"/>
        </w:rPr>
        <w:t>Nusinersen for spinal muscular atrophy (adults)</w:t>
      </w:r>
    </w:p>
    <w:p w14:paraId="3479D5B7" w14:textId="45FD84BC" w:rsidR="005C70DC" w:rsidRPr="00EC7784" w:rsidRDefault="005C70DC" w:rsidP="00EC7784">
      <w:pPr>
        <w:pStyle w:val="NoSpacing"/>
        <w:rPr>
          <w:rFonts w:asciiTheme="minorHAnsi" w:hAnsiTheme="minorHAnsi" w:cstheme="minorHAnsi"/>
        </w:rPr>
      </w:pPr>
      <w:r w:rsidRPr="00EC7784">
        <w:rPr>
          <w:rFonts w:asciiTheme="minorHAnsi" w:hAnsiTheme="minorHAnsi" w:cstheme="minorHAnsi"/>
        </w:rPr>
        <w:t xml:space="preserve">DUSC reviewed the utilisation of nusinersen for the treatment of spinal muscular atrophy in adult patients. </w:t>
      </w:r>
      <w:r w:rsidR="00EC7784" w:rsidRPr="00EC7784">
        <w:rPr>
          <w:rFonts w:asciiTheme="minorHAnsi" w:hAnsiTheme="minorHAnsi" w:cstheme="minorHAnsi"/>
        </w:rPr>
        <w:t xml:space="preserve">In 2023, 93 adult patients were supplied 314 prescriptions for the treatment of SMA. In 2024, 80 adult patients were supplied 230 prescriptions for the treatment of SMA. The median age of initiating nusinersen patients was 37 years. A greater number of adult patients have been treated with risdiplam compared to nusinersen. </w:t>
      </w:r>
    </w:p>
    <w:p w14:paraId="7B591D14" w14:textId="77777777" w:rsidR="004C41C0" w:rsidRDefault="004C41C0" w:rsidP="009D2858">
      <w:pPr>
        <w:rPr>
          <w:sz w:val="24"/>
          <w:szCs w:val="24"/>
        </w:rPr>
      </w:pPr>
    </w:p>
    <w:p w14:paraId="329556B4" w14:textId="1AAB6373" w:rsidR="00044A87" w:rsidRPr="00044A87" w:rsidRDefault="00044A87" w:rsidP="00044A87">
      <w:pPr>
        <w:rPr>
          <w:sz w:val="24"/>
          <w:szCs w:val="24"/>
        </w:rPr>
      </w:pPr>
      <w:r w:rsidRPr="00044A87">
        <w:rPr>
          <w:sz w:val="24"/>
          <w:szCs w:val="24"/>
        </w:rPr>
        <w:t>DUSC requested that the utilisation reports be provided to the PBAC for consideration.</w:t>
      </w:r>
    </w:p>
    <w:p w14:paraId="172909C2" w14:textId="77777777" w:rsidR="004C41C0" w:rsidRDefault="004C41C0" w:rsidP="009D2858">
      <w:pPr>
        <w:rPr>
          <w:sz w:val="24"/>
          <w:szCs w:val="24"/>
        </w:rPr>
      </w:pPr>
    </w:p>
    <w:p w14:paraId="47783227" w14:textId="15DD6245" w:rsidR="009D2858" w:rsidRPr="00144B72" w:rsidRDefault="009D2858" w:rsidP="009D2858">
      <w:pPr>
        <w:rPr>
          <w:sz w:val="24"/>
          <w:szCs w:val="24"/>
        </w:rPr>
      </w:pPr>
      <w:r w:rsidRPr="00200A99">
        <w:rPr>
          <w:sz w:val="24"/>
          <w:szCs w:val="24"/>
        </w:rPr>
        <w:t>An outcome statement will be available following each meeting of DUSC. For further</w:t>
      </w:r>
      <w:r w:rsidRPr="00144B72">
        <w:rPr>
          <w:sz w:val="24"/>
          <w:szCs w:val="24"/>
        </w:rPr>
        <w:t xml:space="preserve"> information, please contact the DUSC Secretariat at </w:t>
      </w:r>
      <w:hyperlink r:id="rId11" w:history="1">
        <w:r w:rsidR="00E637D2" w:rsidRPr="00367260">
          <w:rPr>
            <w:rStyle w:val="Hyperlink"/>
            <w:sz w:val="24"/>
            <w:szCs w:val="24"/>
          </w:rPr>
          <w:t>DUSC@health.gov.au</w:t>
        </w:r>
      </w:hyperlink>
      <w:r w:rsidRPr="00144B72">
        <w:rPr>
          <w:sz w:val="24"/>
          <w:szCs w:val="24"/>
        </w:rPr>
        <w:t>.</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5195BDA" w:rsidR="00002AE8" w:rsidRPr="00144B72" w:rsidRDefault="00002AE8" w:rsidP="008B6946">
      <w:pPr>
        <w:rPr>
          <w:sz w:val="24"/>
          <w:szCs w:val="24"/>
        </w:rPr>
      </w:pPr>
      <w:r w:rsidRPr="00144B72">
        <w:rPr>
          <w:sz w:val="24"/>
          <w:szCs w:val="24"/>
        </w:rPr>
        <w:t xml:space="preserve">Professor </w:t>
      </w:r>
      <w:r w:rsidR="00D14A7B" w:rsidRPr="00D14A7B">
        <w:rPr>
          <w:sz w:val="24"/>
          <w:szCs w:val="24"/>
        </w:rPr>
        <w:t xml:space="preserve">Chris Etherton-Beer                            </w:t>
      </w:r>
    </w:p>
    <w:p w14:paraId="4945D4ED" w14:textId="5130E941" w:rsidR="00002AE8" w:rsidRPr="00144B72" w:rsidRDefault="00002AE8" w:rsidP="008B6946">
      <w:pPr>
        <w:rPr>
          <w:sz w:val="24"/>
          <w:szCs w:val="24"/>
        </w:rPr>
      </w:pPr>
      <w:r w:rsidRPr="00144B72">
        <w:rPr>
          <w:sz w:val="24"/>
          <w:szCs w:val="24"/>
        </w:rPr>
        <w:t>Chair</w:t>
      </w:r>
    </w:p>
    <w:p w14:paraId="17065713" w14:textId="77777777" w:rsidR="00002AE8" w:rsidRDefault="00C9017B" w:rsidP="008B6946">
      <w:pPr>
        <w:rPr>
          <w:sz w:val="24"/>
          <w:szCs w:val="24"/>
        </w:rPr>
      </w:pPr>
      <w:r w:rsidRPr="00144B72">
        <w:rPr>
          <w:sz w:val="24"/>
          <w:szCs w:val="24"/>
        </w:rPr>
        <w:t>Drug Utilisation Sub-Committee</w:t>
      </w:r>
    </w:p>
    <w:p w14:paraId="1D282FC6" w14:textId="51EC0BE9" w:rsidR="00FD2D1B" w:rsidRPr="003F06C8" w:rsidRDefault="00FD2D1B" w:rsidP="008B6946">
      <w:pPr>
        <w:rPr>
          <w:sz w:val="24"/>
          <w:szCs w:val="24"/>
        </w:rPr>
      </w:pPr>
    </w:p>
    <w:sectPr w:rsidR="00FD2D1B" w:rsidRPr="003F06C8" w:rsidSect="00F4413F">
      <w:headerReference w:type="even" r:id="rId12"/>
      <w:headerReference w:type="default" r:id="rId13"/>
      <w:footerReference w:type="even" r:id="rId14"/>
      <w:footerReference w:type="default" r:id="rId15"/>
      <w:headerReference w:type="first" r:id="rId16"/>
      <w:footerReference w:type="first" r:id="rId17"/>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B5AD" w14:textId="77777777" w:rsidR="00131A34" w:rsidRDefault="00131A34">
      <w:r>
        <w:separator/>
      </w:r>
    </w:p>
  </w:endnote>
  <w:endnote w:type="continuationSeparator" w:id="0">
    <w:p w14:paraId="30338957" w14:textId="77777777" w:rsidR="00131A34" w:rsidRDefault="00131A34">
      <w:r>
        <w:continuationSeparator/>
      </w:r>
    </w:p>
  </w:endnote>
  <w:endnote w:type="continuationNotice" w:id="1">
    <w:p w14:paraId="66B9103F" w14:textId="77777777" w:rsidR="00131A34" w:rsidRDefault="00131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A078" w14:textId="05D0DE26" w:rsidR="004E752E" w:rsidRDefault="00500596">
    <w:pPr>
      <w:pStyle w:val="Footer"/>
    </w:pPr>
    <w:r>
      <w:rPr>
        <w:noProof/>
      </w:rPr>
      <mc:AlternateContent>
        <mc:Choice Requires="wps">
          <w:drawing>
            <wp:anchor distT="0" distB="0" distL="0" distR="0" simplePos="0" relativeHeight="251668480" behindDoc="0" locked="0" layoutInCell="1" allowOverlap="1" wp14:anchorId="38E718D8" wp14:editId="7A2128E1">
              <wp:simplePos x="635" y="635"/>
              <wp:positionH relativeFrom="page">
                <wp:align>center</wp:align>
              </wp:positionH>
              <wp:positionV relativeFrom="page">
                <wp:align>bottom</wp:align>
              </wp:positionV>
              <wp:extent cx="622300" cy="376555"/>
              <wp:effectExtent l="0" t="0" r="6350" b="0"/>
              <wp:wrapNone/>
              <wp:docPr id="11802328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116E9D" w14:textId="74CD68B4" w:rsidR="00500596" w:rsidRPr="00500596" w:rsidRDefault="00500596" w:rsidP="00500596">
                          <w:pPr>
                            <w:rPr>
                              <w:rFonts w:ascii="Aptos" w:eastAsia="Aptos" w:hAnsi="Aptos" w:cs="Aptos"/>
                              <w:noProof/>
                              <w:color w:val="FF0000"/>
                              <w:sz w:val="24"/>
                              <w:szCs w:val="24"/>
                            </w:rPr>
                          </w:pPr>
                          <w:r w:rsidRPr="0050059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718D8"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1116E9D" w14:textId="74CD68B4" w:rsidR="00500596" w:rsidRPr="00500596" w:rsidRDefault="00500596" w:rsidP="00500596">
                    <w:pPr>
                      <w:rPr>
                        <w:rFonts w:ascii="Aptos" w:eastAsia="Aptos" w:hAnsi="Aptos" w:cs="Aptos"/>
                        <w:noProof/>
                        <w:color w:val="FF0000"/>
                        <w:sz w:val="24"/>
                        <w:szCs w:val="24"/>
                      </w:rPr>
                    </w:pPr>
                    <w:r w:rsidRPr="0050059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1EF7" w14:textId="1EB90B56" w:rsidR="00CA1AA9" w:rsidRDefault="00500596">
    <w:pPr>
      <w:pStyle w:val="Footer"/>
      <w:jc w:val="center"/>
    </w:pPr>
    <w:r>
      <w:rPr>
        <w:noProof/>
      </w:rPr>
      <mc:AlternateContent>
        <mc:Choice Requires="wps">
          <w:drawing>
            <wp:anchor distT="0" distB="0" distL="0" distR="0" simplePos="0" relativeHeight="251669504" behindDoc="0" locked="0" layoutInCell="1" allowOverlap="1" wp14:anchorId="3BF498F1" wp14:editId="6790582A">
              <wp:simplePos x="915035" y="10379710"/>
              <wp:positionH relativeFrom="page">
                <wp:align>center</wp:align>
              </wp:positionH>
              <wp:positionV relativeFrom="page">
                <wp:align>bottom</wp:align>
              </wp:positionV>
              <wp:extent cx="622300" cy="376555"/>
              <wp:effectExtent l="0" t="0" r="6350" b="0"/>
              <wp:wrapNone/>
              <wp:docPr id="138841491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82BBA4" w14:textId="2B6560EA" w:rsidR="00500596" w:rsidRPr="00500596" w:rsidRDefault="00500596" w:rsidP="00500596">
                          <w:pPr>
                            <w:rPr>
                              <w:rFonts w:ascii="Aptos" w:eastAsia="Aptos" w:hAnsi="Aptos" w:cs="Aptos"/>
                              <w:noProof/>
                              <w:color w:val="FF0000"/>
                              <w:sz w:val="24"/>
                              <w:szCs w:val="24"/>
                            </w:rPr>
                          </w:pPr>
                          <w:r w:rsidRPr="0050059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F498F1" id="_x0000_t202" coordsize="21600,21600" o:spt="202" path="m,l,21600r21600,l21600,xe">
              <v:stroke joinstyle="miter"/>
              <v:path gradientshapeok="t" o:connecttype="rect"/>
            </v:shapetype>
            <v:shape id="Text Box 12" o:spid="_x0000_s1029" type="#_x0000_t202" alt="OFFICIAL" style="position:absolute;left:0;text-align:left;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D82BBA4" w14:textId="2B6560EA" w:rsidR="00500596" w:rsidRPr="00500596" w:rsidRDefault="00500596" w:rsidP="00500596">
                    <w:pPr>
                      <w:rPr>
                        <w:rFonts w:ascii="Aptos" w:eastAsia="Aptos" w:hAnsi="Aptos" w:cs="Aptos"/>
                        <w:noProof/>
                        <w:color w:val="FF0000"/>
                        <w:sz w:val="24"/>
                        <w:szCs w:val="24"/>
                      </w:rPr>
                    </w:pPr>
                    <w:r w:rsidRPr="00500596">
                      <w:rPr>
                        <w:rFonts w:ascii="Aptos" w:eastAsia="Aptos" w:hAnsi="Aptos" w:cs="Aptos"/>
                        <w:noProof/>
                        <w:color w:val="FF0000"/>
                        <w:sz w:val="24"/>
                        <w:szCs w:val="24"/>
                      </w:rPr>
                      <w:t>OFFICIAL</w:t>
                    </w:r>
                  </w:p>
                </w:txbxContent>
              </v:textbox>
              <w10:wrap anchorx="page" anchory="page"/>
            </v:shape>
          </w:pict>
        </mc:Fallback>
      </mc:AlternateContent>
    </w:r>
    <w:r w:rsidR="00CA1AA9">
      <w:fldChar w:fldCharType="begin"/>
    </w:r>
    <w:r w:rsidR="00CA1AA9">
      <w:instrText xml:space="preserve"> PAGE   \* MERGEFORMAT </w:instrText>
    </w:r>
    <w:r w:rsidR="00CA1AA9">
      <w:fldChar w:fldCharType="separate"/>
    </w:r>
    <w:r w:rsidR="0017116B">
      <w:rPr>
        <w:noProof/>
      </w:rPr>
      <w:t>2</w:t>
    </w:r>
    <w:r w:rsidR="00CA1AA9">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3FA1" w14:textId="715702CD" w:rsidR="00CA1AA9" w:rsidRDefault="00500596">
    <w:pPr>
      <w:pStyle w:val="Footer"/>
      <w:jc w:val="center"/>
    </w:pPr>
    <w:r>
      <w:rPr>
        <w:noProof/>
      </w:rPr>
      <mc:AlternateContent>
        <mc:Choice Requires="wps">
          <w:drawing>
            <wp:anchor distT="0" distB="0" distL="0" distR="0" simplePos="0" relativeHeight="251667456" behindDoc="0" locked="0" layoutInCell="1" allowOverlap="1" wp14:anchorId="321364BD" wp14:editId="2FD9B0CD">
              <wp:simplePos x="914400" y="10382250"/>
              <wp:positionH relativeFrom="page">
                <wp:align>center</wp:align>
              </wp:positionH>
              <wp:positionV relativeFrom="page">
                <wp:align>bottom</wp:align>
              </wp:positionV>
              <wp:extent cx="622300" cy="376555"/>
              <wp:effectExtent l="0" t="0" r="6350" b="0"/>
              <wp:wrapNone/>
              <wp:docPr id="132616460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3B03FEA" w14:textId="2B90C528" w:rsidR="00500596" w:rsidRPr="00500596" w:rsidRDefault="00500596" w:rsidP="00500596">
                          <w:pPr>
                            <w:rPr>
                              <w:rFonts w:ascii="Aptos" w:eastAsia="Aptos" w:hAnsi="Aptos" w:cs="Aptos"/>
                              <w:noProof/>
                              <w:color w:val="FF0000"/>
                              <w:sz w:val="24"/>
                              <w:szCs w:val="24"/>
                            </w:rPr>
                          </w:pPr>
                          <w:r w:rsidRPr="0050059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1364BD" id="_x0000_t202" coordsize="21600,21600" o:spt="202" path="m,l,21600r21600,l21600,xe">
              <v:stroke joinstyle="miter"/>
              <v:path gradientshapeok="t" o:connecttype="rect"/>
            </v:shapetype>
            <v:shape id="Text Box 10" o:spid="_x0000_s1031" type="#_x0000_t202" alt="OFFICIAL" style="position:absolute;left:0;text-align:left;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3B03FEA" w14:textId="2B90C528" w:rsidR="00500596" w:rsidRPr="00500596" w:rsidRDefault="00500596" w:rsidP="00500596">
                    <w:pPr>
                      <w:rPr>
                        <w:rFonts w:ascii="Aptos" w:eastAsia="Aptos" w:hAnsi="Aptos" w:cs="Aptos"/>
                        <w:noProof/>
                        <w:color w:val="FF0000"/>
                        <w:sz w:val="24"/>
                        <w:szCs w:val="24"/>
                      </w:rPr>
                    </w:pPr>
                    <w:r w:rsidRPr="00500596">
                      <w:rPr>
                        <w:rFonts w:ascii="Aptos" w:eastAsia="Aptos" w:hAnsi="Aptos" w:cs="Aptos"/>
                        <w:noProof/>
                        <w:color w:val="FF0000"/>
                        <w:sz w:val="24"/>
                        <w:szCs w:val="24"/>
                      </w:rPr>
                      <w:t>OFFICIAL</w:t>
                    </w:r>
                  </w:p>
                </w:txbxContent>
              </v:textbox>
              <w10:wrap anchorx="page" anchory="page"/>
            </v:shape>
          </w:pict>
        </mc:Fallback>
      </mc:AlternateContent>
    </w:r>
    <w:r w:rsidR="00CA1AA9">
      <w:fldChar w:fldCharType="begin"/>
    </w:r>
    <w:r w:rsidR="00CA1AA9">
      <w:instrText xml:space="preserve"> PAGE   \* MERGEFORMAT </w:instrText>
    </w:r>
    <w:r w:rsidR="00CA1AA9">
      <w:fldChar w:fldCharType="separate"/>
    </w:r>
    <w:r w:rsidR="0017116B">
      <w:rPr>
        <w:noProof/>
      </w:rPr>
      <w:t>1</w:t>
    </w:r>
    <w:r w:rsidR="00CA1AA9">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31E8" w14:textId="77777777" w:rsidR="00131A34" w:rsidRDefault="00131A34">
      <w:r>
        <w:separator/>
      </w:r>
    </w:p>
  </w:footnote>
  <w:footnote w:type="continuationSeparator" w:id="0">
    <w:p w14:paraId="277AF9D1" w14:textId="77777777" w:rsidR="00131A34" w:rsidRDefault="00131A34">
      <w:r>
        <w:continuationSeparator/>
      </w:r>
    </w:p>
  </w:footnote>
  <w:footnote w:type="continuationNotice" w:id="1">
    <w:p w14:paraId="178D414D" w14:textId="77777777" w:rsidR="00131A34" w:rsidRDefault="00131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296D" w14:textId="0EDE3C80" w:rsidR="004E752E" w:rsidRDefault="00500596">
    <w:pPr>
      <w:pStyle w:val="Header"/>
    </w:pPr>
    <w:r>
      <w:rPr>
        <w:noProof/>
      </w:rPr>
      <mc:AlternateContent>
        <mc:Choice Requires="wps">
          <w:drawing>
            <wp:anchor distT="0" distB="0" distL="0" distR="0" simplePos="0" relativeHeight="251665408" behindDoc="0" locked="0" layoutInCell="1" allowOverlap="1" wp14:anchorId="7EC3BC5C" wp14:editId="4B73EDC1">
              <wp:simplePos x="635" y="635"/>
              <wp:positionH relativeFrom="page">
                <wp:align>center</wp:align>
              </wp:positionH>
              <wp:positionV relativeFrom="page">
                <wp:align>top</wp:align>
              </wp:positionV>
              <wp:extent cx="622300" cy="376555"/>
              <wp:effectExtent l="0" t="0" r="6350" b="4445"/>
              <wp:wrapNone/>
              <wp:docPr id="112221922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3F2352" w14:textId="463AD828" w:rsidR="00500596" w:rsidRPr="00500596" w:rsidRDefault="00500596" w:rsidP="00500596">
                          <w:pPr>
                            <w:rPr>
                              <w:rFonts w:ascii="Aptos" w:eastAsia="Aptos" w:hAnsi="Aptos" w:cs="Aptos"/>
                              <w:noProof/>
                              <w:color w:val="FF0000"/>
                              <w:sz w:val="24"/>
                              <w:szCs w:val="24"/>
                            </w:rPr>
                          </w:pPr>
                          <w:r w:rsidRPr="0050059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C3BC5C"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93F2352" w14:textId="463AD828" w:rsidR="00500596" w:rsidRPr="00500596" w:rsidRDefault="00500596" w:rsidP="00500596">
                    <w:pPr>
                      <w:rPr>
                        <w:rFonts w:ascii="Aptos" w:eastAsia="Aptos" w:hAnsi="Aptos" w:cs="Aptos"/>
                        <w:noProof/>
                        <w:color w:val="FF0000"/>
                        <w:sz w:val="24"/>
                        <w:szCs w:val="24"/>
                      </w:rPr>
                    </w:pPr>
                    <w:r w:rsidRPr="0050059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9E4B" w14:textId="55CD6EF7" w:rsidR="004E752E" w:rsidRDefault="00500596">
    <w:pPr>
      <w:pStyle w:val="Header"/>
    </w:pPr>
    <w:r>
      <w:rPr>
        <w:noProof/>
      </w:rPr>
      <mc:AlternateContent>
        <mc:Choice Requires="wps">
          <w:drawing>
            <wp:anchor distT="0" distB="0" distL="0" distR="0" simplePos="0" relativeHeight="251666432" behindDoc="0" locked="0" layoutInCell="1" allowOverlap="1" wp14:anchorId="4526D106" wp14:editId="7E5BEAF4">
              <wp:simplePos x="915035" y="180975"/>
              <wp:positionH relativeFrom="page">
                <wp:align>center</wp:align>
              </wp:positionH>
              <wp:positionV relativeFrom="page">
                <wp:align>top</wp:align>
              </wp:positionV>
              <wp:extent cx="622300" cy="376555"/>
              <wp:effectExtent l="0" t="0" r="6350" b="4445"/>
              <wp:wrapNone/>
              <wp:docPr id="205900410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176439" w14:textId="4E6CC6A2" w:rsidR="00500596" w:rsidRPr="00500596" w:rsidRDefault="00500596" w:rsidP="00500596">
                          <w:pPr>
                            <w:rPr>
                              <w:rFonts w:ascii="Aptos" w:eastAsia="Aptos" w:hAnsi="Aptos" w:cs="Aptos"/>
                              <w:noProof/>
                              <w:color w:val="FF0000"/>
                              <w:sz w:val="24"/>
                              <w:szCs w:val="24"/>
                            </w:rPr>
                          </w:pPr>
                          <w:r w:rsidRPr="0050059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6D106" id="_x0000_t202" coordsize="21600,21600" o:spt="202" path="m,l,21600r21600,l21600,xe">
              <v:stroke joinstyle="miter"/>
              <v:path gradientshapeok="t" o:connecttype="rect"/>
            </v:shapetype>
            <v:shape id="Text Box 9" o:spid="_x0000_s1027"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5A176439" w14:textId="4E6CC6A2" w:rsidR="00500596" w:rsidRPr="00500596" w:rsidRDefault="00500596" w:rsidP="00500596">
                    <w:pPr>
                      <w:rPr>
                        <w:rFonts w:ascii="Aptos" w:eastAsia="Aptos" w:hAnsi="Aptos" w:cs="Aptos"/>
                        <w:noProof/>
                        <w:color w:val="FF0000"/>
                        <w:sz w:val="24"/>
                        <w:szCs w:val="24"/>
                      </w:rPr>
                    </w:pPr>
                    <w:r w:rsidRPr="0050059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B95B" w14:textId="2DF59462" w:rsidR="00CA1AA9" w:rsidRDefault="00500596">
    <w:pPr>
      <w:pStyle w:val="Header"/>
    </w:pPr>
    <w:r>
      <w:rPr>
        <w:noProof/>
      </w:rPr>
      <mc:AlternateContent>
        <mc:Choice Requires="wps">
          <w:drawing>
            <wp:anchor distT="0" distB="0" distL="0" distR="0" simplePos="0" relativeHeight="251664384" behindDoc="0" locked="0" layoutInCell="1" allowOverlap="1" wp14:anchorId="414A30BE" wp14:editId="6191556A">
              <wp:simplePos x="914400" y="180975"/>
              <wp:positionH relativeFrom="page">
                <wp:align>center</wp:align>
              </wp:positionH>
              <wp:positionV relativeFrom="page">
                <wp:align>top</wp:align>
              </wp:positionV>
              <wp:extent cx="622300" cy="376555"/>
              <wp:effectExtent l="0" t="0" r="6350" b="4445"/>
              <wp:wrapNone/>
              <wp:docPr id="102331981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4E5B78" w14:textId="5A180925" w:rsidR="00500596" w:rsidRPr="00500596" w:rsidRDefault="00500596" w:rsidP="00500596">
                          <w:pPr>
                            <w:rPr>
                              <w:rFonts w:ascii="Aptos" w:eastAsia="Aptos" w:hAnsi="Aptos" w:cs="Aptos"/>
                              <w:noProof/>
                              <w:color w:val="FF0000"/>
                              <w:sz w:val="24"/>
                              <w:szCs w:val="24"/>
                            </w:rPr>
                          </w:pPr>
                          <w:r w:rsidRPr="0050059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4A30BE" id="_x0000_t202" coordsize="21600,21600" o:spt="202" path="m,l,21600r21600,l21600,xe">
              <v:stroke joinstyle="miter"/>
              <v:path gradientshapeok="t" o:connecttype="rect"/>
            </v:shapetype>
            <v:shape id="Text Box 7" o:spid="_x0000_s1030"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54E5B78" w14:textId="5A180925" w:rsidR="00500596" w:rsidRPr="00500596" w:rsidRDefault="00500596" w:rsidP="00500596">
                    <w:pPr>
                      <w:rPr>
                        <w:rFonts w:ascii="Aptos" w:eastAsia="Aptos" w:hAnsi="Aptos" w:cs="Aptos"/>
                        <w:noProof/>
                        <w:color w:val="FF0000"/>
                        <w:sz w:val="24"/>
                        <w:szCs w:val="24"/>
                      </w:rPr>
                    </w:pPr>
                    <w:r w:rsidRPr="00500596">
                      <w:rPr>
                        <w:rFonts w:ascii="Aptos" w:eastAsia="Aptos" w:hAnsi="Aptos" w:cs="Aptos"/>
                        <w:noProof/>
                        <w:color w:val="FF0000"/>
                        <w:sz w:val="24"/>
                        <w:szCs w:val="24"/>
                      </w:rPr>
                      <w:t>OFFICIAL</w:t>
                    </w:r>
                  </w:p>
                </w:txbxContent>
              </v:textbox>
              <w10:wrap anchorx="page" anchory="page"/>
            </v:shape>
          </w:pict>
        </mc:Fallback>
      </mc:AlternateContent>
    </w:r>
    <w:r w:rsidR="00D562AF">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1CFF5D1B" w:rsidR="00CA1AA9" w:rsidRPr="00CA347D" w:rsidRDefault="00CA1AA9" w:rsidP="00CA347D">
    <w:pPr>
      <w:pStyle w:val="Heading1"/>
    </w:pPr>
    <w:r w:rsidRPr="00CA347D">
      <w:rPr>
        <w:rStyle w:val="Heading1Char"/>
        <w:b/>
      </w:rPr>
      <w:t>Outcome Statement</w:t>
    </w:r>
    <w:r w:rsidR="00097C1F">
      <w:rPr>
        <w:rStyle w:val="Heading1Char"/>
        <w:b/>
      </w:rPr>
      <w:t xml:space="preserve"> </w:t>
    </w:r>
    <w:r w:rsidR="0017708B">
      <w:rPr>
        <w:rStyle w:val="Heading1Char"/>
        <w:b/>
      </w:rPr>
      <w:t>5 June</w:t>
    </w:r>
    <w:r w:rsidR="00950EA9">
      <w:rPr>
        <w:rStyle w:val="Heading1Char"/>
        <w:b/>
      </w:rPr>
      <w:t xml:space="preserve"> 202</w:t>
    </w:r>
    <w:r w:rsidR="001C1C37">
      <w:rPr>
        <w:rStyle w:val="Heading1Char"/>
        <w:b/>
      </w:rPr>
      <w:t>5</w:t>
    </w:r>
    <w:r w:rsidR="000A4149">
      <w:rPr>
        <w:rStyle w:val="Heading1Char"/>
        <w:b/>
      </w:rPr>
      <w:t xml:space="preserve"> </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A0D"/>
    <w:multiLevelType w:val="hybridMultilevel"/>
    <w:tmpl w:val="659A2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9" w15:restartNumberingAfterBreak="0">
    <w:nsid w:val="25E56DF3"/>
    <w:multiLevelType w:val="hybridMultilevel"/>
    <w:tmpl w:val="6F9C5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212A3C"/>
    <w:multiLevelType w:val="hybridMultilevel"/>
    <w:tmpl w:val="0CDEF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D874D6"/>
    <w:multiLevelType w:val="hybridMultilevel"/>
    <w:tmpl w:val="E7E4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EB46D3"/>
    <w:multiLevelType w:val="hybridMultilevel"/>
    <w:tmpl w:val="859A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411D53"/>
    <w:multiLevelType w:val="hybridMultilevel"/>
    <w:tmpl w:val="7EAAE5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6"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DF448B"/>
    <w:multiLevelType w:val="hybridMultilevel"/>
    <w:tmpl w:val="AA68C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0E6109"/>
    <w:multiLevelType w:val="hybridMultilevel"/>
    <w:tmpl w:val="A37C3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909086">
    <w:abstractNumId w:val="16"/>
  </w:num>
  <w:num w:numId="2" w16cid:durableId="391345616">
    <w:abstractNumId w:val="13"/>
  </w:num>
  <w:num w:numId="3" w16cid:durableId="360859186">
    <w:abstractNumId w:val="26"/>
  </w:num>
  <w:num w:numId="4" w16cid:durableId="479730896">
    <w:abstractNumId w:val="7"/>
  </w:num>
  <w:num w:numId="5" w16cid:durableId="1193613503">
    <w:abstractNumId w:val="15"/>
  </w:num>
  <w:num w:numId="6" w16cid:durableId="76946386">
    <w:abstractNumId w:val="12"/>
  </w:num>
  <w:num w:numId="7" w16cid:durableId="445390201">
    <w:abstractNumId w:val="6"/>
  </w:num>
  <w:num w:numId="8" w16cid:durableId="1323851302">
    <w:abstractNumId w:val="24"/>
  </w:num>
  <w:num w:numId="9" w16cid:durableId="1761025288">
    <w:abstractNumId w:val="14"/>
  </w:num>
  <w:num w:numId="10" w16cid:durableId="592860998">
    <w:abstractNumId w:val="27"/>
  </w:num>
  <w:num w:numId="11" w16cid:durableId="2003699739">
    <w:abstractNumId w:val="21"/>
  </w:num>
  <w:num w:numId="12" w16cid:durableId="525213268">
    <w:abstractNumId w:val="23"/>
  </w:num>
  <w:num w:numId="13" w16cid:durableId="1490753689">
    <w:abstractNumId w:val="17"/>
  </w:num>
  <w:num w:numId="14" w16cid:durableId="566839862">
    <w:abstractNumId w:val="4"/>
  </w:num>
  <w:num w:numId="15" w16cid:durableId="643242601">
    <w:abstractNumId w:val="20"/>
  </w:num>
  <w:num w:numId="16" w16cid:durableId="545142945">
    <w:abstractNumId w:val="8"/>
  </w:num>
  <w:num w:numId="17" w16cid:durableId="1243762145">
    <w:abstractNumId w:val="25"/>
  </w:num>
  <w:num w:numId="18" w16cid:durableId="495072429">
    <w:abstractNumId w:val="3"/>
  </w:num>
  <w:num w:numId="19" w16cid:durableId="299766431">
    <w:abstractNumId w:val="29"/>
  </w:num>
  <w:num w:numId="20" w16cid:durableId="623314657">
    <w:abstractNumId w:val="28"/>
  </w:num>
  <w:num w:numId="21" w16cid:durableId="386802800">
    <w:abstractNumId w:val="0"/>
  </w:num>
  <w:num w:numId="22" w16cid:durableId="1388651285">
    <w:abstractNumId w:val="1"/>
  </w:num>
  <w:num w:numId="23" w16cid:durableId="610237130">
    <w:abstractNumId w:val="5"/>
  </w:num>
  <w:num w:numId="24" w16cid:durableId="539588858">
    <w:abstractNumId w:val="10"/>
  </w:num>
  <w:num w:numId="25" w16cid:durableId="1837917646">
    <w:abstractNumId w:val="11"/>
  </w:num>
  <w:num w:numId="26" w16cid:durableId="736706504">
    <w:abstractNumId w:val="2"/>
  </w:num>
  <w:num w:numId="27" w16cid:durableId="1702125044">
    <w:abstractNumId w:val="9"/>
  </w:num>
  <w:num w:numId="28" w16cid:durableId="609970000">
    <w:abstractNumId w:val="19"/>
  </w:num>
  <w:num w:numId="29" w16cid:durableId="1801341047">
    <w:abstractNumId w:val="31"/>
  </w:num>
  <w:num w:numId="30" w16cid:durableId="1208954973">
    <w:abstractNumId w:val="30"/>
  </w:num>
  <w:num w:numId="31" w16cid:durableId="1248342377">
    <w:abstractNumId w:val="18"/>
  </w:num>
  <w:num w:numId="32" w16cid:durableId="96581270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D10"/>
    <w:rsid w:val="00006EF5"/>
    <w:rsid w:val="00007D7D"/>
    <w:rsid w:val="00010EA8"/>
    <w:rsid w:val="00011A32"/>
    <w:rsid w:val="000134E0"/>
    <w:rsid w:val="000142CB"/>
    <w:rsid w:val="000145A7"/>
    <w:rsid w:val="00014878"/>
    <w:rsid w:val="0001578A"/>
    <w:rsid w:val="00021898"/>
    <w:rsid w:val="00021AF3"/>
    <w:rsid w:val="000253E4"/>
    <w:rsid w:val="0002613B"/>
    <w:rsid w:val="00026898"/>
    <w:rsid w:val="00027AA0"/>
    <w:rsid w:val="000304CA"/>
    <w:rsid w:val="000308AD"/>
    <w:rsid w:val="00031486"/>
    <w:rsid w:val="00032252"/>
    <w:rsid w:val="0003541E"/>
    <w:rsid w:val="00037A0C"/>
    <w:rsid w:val="00040565"/>
    <w:rsid w:val="000421C7"/>
    <w:rsid w:val="00043C7E"/>
    <w:rsid w:val="0004475E"/>
    <w:rsid w:val="00044A87"/>
    <w:rsid w:val="00047105"/>
    <w:rsid w:val="0005073D"/>
    <w:rsid w:val="00054C1A"/>
    <w:rsid w:val="00055BF6"/>
    <w:rsid w:val="00056271"/>
    <w:rsid w:val="0006057A"/>
    <w:rsid w:val="00060B95"/>
    <w:rsid w:val="00061505"/>
    <w:rsid w:val="0006189D"/>
    <w:rsid w:val="00061BD3"/>
    <w:rsid w:val="00064CA1"/>
    <w:rsid w:val="0006724F"/>
    <w:rsid w:val="00070082"/>
    <w:rsid w:val="000701B8"/>
    <w:rsid w:val="00071505"/>
    <w:rsid w:val="00072921"/>
    <w:rsid w:val="0007382E"/>
    <w:rsid w:val="0007482C"/>
    <w:rsid w:val="00076E4C"/>
    <w:rsid w:val="00080B21"/>
    <w:rsid w:val="00080FDB"/>
    <w:rsid w:val="00086790"/>
    <w:rsid w:val="0009006A"/>
    <w:rsid w:val="00090474"/>
    <w:rsid w:val="00093ECA"/>
    <w:rsid w:val="00094597"/>
    <w:rsid w:val="000964F3"/>
    <w:rsid w:val="00096B9B"/>
    <w:rsid w:val="00097102"/>
    <w:rsid w:val="0009747E"/>
    <w:rsid w:val="00097C1F"/>
    <w:rsid w:val="000A02F8"/>
    <w:rsid w:val="000A0713"/>
    <w:rsid w:val="000A13FE"/>
    <w:rsid w:val="000A1469"/>
    <w:rsid w:val="000A1D80"/>
    <w:rsid w:val="000A31AD"/>
    <w:rsid w:val="000A4149"/>
    <w:rsid w:val="000A4C6F"/>
    <w:rsid w:val="000A5357"/>
    <w:rsid w:val="000A53A6"/>
    <w:rsid w:val="000A6C28"/>
    <w:rsid w:val="000B0B5A"/>
    <w:rsid w:val="000B14A0"/>
    <w:rsid w:val="000B2562"/>
    <w:rsid w:val="000B275B"/>
    <w:rsid w:val="000B52EE"/>
    <w:rsid w:val="000B5448"/>
    <w:rsid w:val="000C1D0B"/>
    <w:rsid w:val="000C2B83"/>
    <w:rsid w:val="000C39EF"/>
    <w:rsid w:val="000C529E"/>
    <w:rsid w:val="000C58C8"/>
    <w:rsid w:val="000C6EC9"/>
    <w:rsid w:val="000D0CF3"/>
    <w:rsid w:val="000D2142"/>
    <w:rsid w:val="000D285D"/>
    <w:rsid w:val="000D6712"/>
    <w:rsid w:val="000E178A"/>
    <w:rsid w:val="000E18F9"/>
    <w:rsid w:val="000E21C2"/>
    <w:rsid w:val="000E23E6"/>
    <w:rsid w:val="000E61B2"/>
    <w:rsid w:val="000F2459"/>
    <w:rsid w:val="000F2C6E"/>
    <w:rsid w:val="000F3387"/>
    <w:rsid w:val="000F3F38"/>
    <w:rsid w:val="000F4968"/>
    <w:rsid w:val="000F5C42"/>
    <w:rsid w:val="000F70AE"/>
    <w:rsid w:val="000F73FB"/>
    <w:rsid w:val="000F7CE1"/>
    <w:rsid w:val="00101877"/>
    <w:rsid w:val="00102579"/>
    <w:rsid w:val="00103AB0"/>
    <w:rsid w:val="001062BB"/>
    <w:rsid w:val="00106A1B"/>
    <w:rsid w:val="001071DA"/>
    <w:rsid w:val="001145B4"/>
    <w:rsid w:val="001173AC"/>
    <w:rsid w:val="00117776"/>
    <w:rsid w:val="001215D4"/>
    <w:rsid w:val="00121F43"/>
    <w:rsid w:val="001223D1"/>
    <w:rsid w:val="00122C26"/>
    <w:rsid w:val="00122D81"/>
    <w:rsid w:val="00123237"/>
    <w:rsid w:val="00124EFE"/>
    <w:rsid w:val="00127795"/>
    <w:rsid w:val="00131A34"/>
    <w:rsid w:val="00134C9F"/>
    <w:rsid w:val="00134CAD"/>
    <w:rsid w:val="00136203"/>
    <w:rsid w:val="0013714B"/>
    <w:rsid w:val="00137CE5"/>
    <w:rsid w:val="00140B94"/>
    <w:rsid w:val="00140CAF"/>
    <w:rsid w:val="00141172"/>
    <w:rsid w:val="001418EF"/>
    <w:rsid w:val="00142512"/>
    <w:rsid w:val="00144B72"/>
    <w:rsid w:val="00145BAE"/>
    <w:rsid w:val="00151940"/>
    <w:rsid w:val="00152272"/>
    <w:rsid w:val="001528A6"/>
    <w:rsid w:val="00153667"/>
    <w:rsid w:val="0015401F"/>
    <w:rsid w:val="00154D0A"/>
    <w:rsid w:val="001603AA"/>
    <w:rsid w:val="00160EF6"/>
    <w:rsid w:val="001667C1"/>
    <w:rsid w:val="00166CEB"/>
    <w:rsid w:val="00170E5B"/>
    <w:rsid w:val="0017116B"/>
    <w:rsid w:val="00174AD8"/>
    <w:rsid w:val="00174F99"/>
    <w:rsid w:val="001759B2"/>
    <w:rsid w:val="0017708B"/>
    <w:rsid w:val="001776C6"/>
    <w:rsid w:val="001779FD"/>
    <w:rsid w:val="00181817"/>
    <w:rsid w:val="00182922"/>
    <w:rsid w:val="00182CE1"/>
    <w:rsid w:val="0018567C"/>
    <w:rsid w:val="00185ADA"/>
    <w:rsid w:val="00186DD1"/>
    <w:rsid w:val="0018700E"/>
    <w:rsid w:val="001902AC"/>
    <w:rsid w:val="001920C5"/>
    <w:rsid w:val="001933E2"/>
    <w:rsid w:val="00195A0C"/>
    <w:rsid w:val="00195C0B"/>
    <w:rsid w:val="001967A9"/>
    <w:rsid w:val="0019724B"/>
    <w:rsid w:val="001A10FD"/>
    <w:rsid w:val="001A3F70"/>
    <w:rsid w:val="001A417C"/>
    <w:rsid w:val="001A449F"/>
    <w:rsid w:val="001A482F"/>
    <w:rsid w:val="001A4CD7"/>
    <w:rsid w:val="001A535D"/>
    <w:rsid w:val="001A547A"/>
    <w:rsid w:val="001A5FA2"/>
    <w:rsid w:val="001A7B67"/>
    <w:rsid w:val="001B1949"/>
    <w:rsid w:val="001B19E3"/>
    <w:rsid w:val="001B1E36"/>
    <w:rsid w:val="001B2A10"/>
    <w:rsid w:val="001B75D9"/>
    <w:rsid w:val="001C0316"/>
    <w:rsid w:val="001C1C37"/>
    <w:rsid w:val="001C20CD"/>
    <w:rsid w:val="001C25A3"/>
    <w:rsid w:val="001C2AD6"/>
    <w:rsid w:val="001C5A7B"/>
    <w:rsid w:val="001C61FD"/>
    <w:rsid w:val="001C6C85"/>
    <w:rsid w:val="001C7C04"/>
    <w:rsid w:val="001D07EF"/>
    <w:rsid w:val="001D0910"/>
    <w:rsid w:val="001D5F8A"/>
    <w:rsid w:val="001D6301"/>
    <w:rsid w:val="001E115C"/>
    <w:rsid w:val="001E2022"/>
    <w:rsid w:val="001E4D54"/>
    <w:rsid w:val="001E50B6"/>
    <w:rsid w:val="001E682A"/>
    <w:rsid w:val="001F33DA"/>
    <w:rsid w:val="001F4200"/>
    <w:rsid w:val="001F55F5"/>
    <w:rsid w:val="001F6850"/>
    <w:rsid w:val="001F7E8B"/>
    <w:rsid w:val="001F7F87"/>
    <w:rsid w:val="00200626"/>
    <w:rsid w:val="00200A99"/>
    <w:rsid w:val="00200BA3"/>
    <w:rsid w:val="00201385"/>
    <w:rsid w:val="00203342"/>
    <w:rsid w:val="00203986"/>
    <w:rsid w:val="002039B2"/>
    <w:rsid w:val="00204055"/>
    <w:rsid w:val="00205289"/>
    <w:rsid w:val="00205AEF"/>
    <w:rsid w:val="00206C78"/>
    <w:rsid w:val="00211F6D"/>
    <w:rsid w:val="002123C7"/>
    <w:rsid w:val="00213EAC"/>
    <w:rsid w:val="002168C1"/>
    <w:rsid w:val="00216CE7"/>
    <w:rsid w:val="00220B3C"/>
    <w:rsid w:val="002215EF"/>
    <w:rsid w:val="002217D3"/>
    <w:rsid w:val="00222116"/>
    <w:rsid w:val="00224079"/>
    <w:rsid w:val="00224DF5"/>
    <w:rsid w:val="00225034"/>
    <w:rsid w:val="002269FD"/>
    <w:rsid w:val="00230201"/>
    <w:rsid w:val="00230732"/>
    <w:rsid w:val="00234FBD"/>
    <w:rsid w:val="00235EF9"/>
    <w:rsid w:val="002362A1"/>
    <w:rsid w:val="00237631"/>
    <w:rsid w:val="00240FA6"/>
    <w:rsid w:val="0024126B"/>
    <w:rsid w:val="002413AE"/>
    <w:rsid w:val="002421EE"/>
    <w:rsid w:val="00242420"/>
    <w:rsid w:val="00242DD3"/>
    <w:rsid w:val="00247102"/>
    <w:rsid w:val="00251409"/>
    <w:rsid w:val="00251875"/>
    <w:rsid w:val="00251AD9"/>
    <w:rsid w:val="002522B2"/>
    <w:rsid w:val="0025366B"/>
    <w:rsid w:val="002546D6"/>
    <w:rsid w:val="00255919"/>
    <w:rsid w:val="00261915"/>
    <w:rsid w:val="00261ED7"/>
    <w:rsid w:val="0026571A"/>
    <w:rsid w:val="0026645D"/>
    <w:rsid w:val="00267007"/>
    <w:rsid w:val="002720C8"/>
    <w:rsid w:val="002722F2"/>
    <w:rsid w:val="002725B8"/>
    <w:rsid w:val="00275278"/>
    <w:rsid w:val="00280C05"/>
    <w:rsid w:val="00281D24"/>
    <w:rsid w:val="002820A6"/>
    <w:rsid w:val="00282C56"/>
    <w:rsid w:val="00285621"/>
    <w:rsid w:val="002860DD"/>
    <w:rsid w:val="002862A8"/>
    <w:rsid w:val="002871FC"/>
    <w:rsid w:val="0028771A"/>
    <w:rsid w:val="002914DA"/>
    <w:rsid w:val="00291D51"/>
    <w:rsid w:val="00292E10"/>
    <w:rsid w:val="00294F3F"/>
    <w:rsid w:val="0029548B"/>
    <w:rsid w:val="002A2278"/>
    <w:rsid w:val="002A2676"/>
    <w:rsid w:val="002A2FEF"/>
    <w:rsid w:val="002A48D7"/>
    <w:rsid w:val="002A6291"/>
    <w:rsid w:val="002A6A51"/>
    <w:rsid w:val="002B0FD1"/>
    <w:rsid w:val="002B1B4C"/>
    <w:rsid w:val="002B2B2F"/>
    <w:rsid w:val="002B4E60"/>
    <w:rsid w:val="002B4FA1"/>
    <w:rsid w:val="002B519D"/>
    <w:rsid w:val="002B71CB"/>
    <w:rsid w:val="002B7EE2"/>
    <w:rsid w:val="002C1B64"/>
    <w:rsid w:val="002C229E"/>
    <w:rsid w:val="002C5855"/>
    <w:rsid w:val="002D05FB"/>
    <w:rsid w:val="002D10C1"/>
    <w:rsid w:val="002D1148"/>
    <w:rsid w:val="002D1F79"/>
    <w:rsid w:val="002D210B"/>
    <w:rsid w:val="002D3C76"/>
    <w:rsid w:val="002D3FC7"/>
    <w:rsid w:val="002D50B7"/>
    <w:rsid w:val="002D516C"/>
    <w:rsid w:val="002D734E"/>
    <w:rsid w:val="002E2765"/>
    <w:rsid w:val="002E2E64"/>
    <w:rsid w:val="002E6273"/>
    <w:rsid w:val="002E6F6A"/>
    <w:rsid w:val="002E7579"/>
    <w:rsid w:val="002E7CA2"/>
    <w:rsid w:val="002E7E14"/>
    <w:rsid w:val="002F131D"/>
    <w:rsid w:val="002F214A"/>
    <w:rsid w:val="002F24C4"/>
    <w:rsid w:val="002F281B"/>
    <w:rsid w:val="002F6C13"/>
    <w:rsid w:val="002F7138"/>
    <w:rsid w:val="0030063F"/>
    <w:rsid w:val="003026E0"/>
    <w:rsid w:val="00303E60"/>
    <w:rsid w:val="00304C98"/>
    <w:rsid w:val="00305306"/>
    <w:rsid w:val="00307211"/>
    <w:rsid w:val="00307302"/>
    <w:rsid w:val="00307F20"/>
    <w:rsid w:val="00312E8E"/>
    <w:rsid w:val="00313B7D"/>
    <w:rsid w:val="00313FED"/>
    <w:rsid w:val="00315152"/>
    <w:rsid w:val="00315BFE"/>
    <w:rsid w:val="00320032"/>
    <w:rsid w:val="00321450"/>
    <w:rsid w:val="0032170F"/>
    <w:rsid w:val="00323E39"/>
    <w:rsid w:val="00324E38"/>
    <w:rsid w:val="00325C25"/>
    <w:rsid w:val="00325D68"/>
    <w:rsid w:val="0032620A"/>
    <w:rsid w:val="00330ADB"/>
    <w:rsid w:val="0033196A"/>
    <w:rsid w:val="0033439A"/>
    <w:rsid w:val="00334C67"/>
    <w:rsid w:val="00335BE5"/>
    <w:rsid w:val="003361C9"/>
    <w:rsid w:val="00336261"/>
    <w:rsid w:val="00336E3A"/>
    <w:rsid w:val="00337241"/>
    <w:rsid w:val="00340575"/>
    <w:rsid w:val="003409D6"/>
    <w:rsid w:val="003448FC"/>
    <w:rsid w:val="003449AA"/>
    <w:rsid w:val="0034501C"/>
    <w:rsid w:val="003468B6"/>
    <w:rsid w:val="00347E17"/>
    <w:rsid w:val="003512F6"/>
    <w:rsid w:val="0035237B"/>
    <w:rsid w:val="0035266E"/>
    <w:rsid w:val="00352D12"/>
    <w:rsid w:val="0035418A"/>
    <w:rsid w:val="003555E8"/>
    <w:rsid w:val="003571C3"/>
    <w:rsid w:val="00357332"/>
    <w:rsid w:val="0035787B"/>
    <w:rsid w:val="003620F9"/>
    <w:rsid w:val="00362581"/>
    <w:rsid w:val="0036475D"/>
    <w:rsid w:val="003650E3"/>
    <w:rsid w:val="0037063F"/>
    <w:rsid w:val="00371376"/>
    <w:rsid w:val="00372609"/>
    <w:rsid w:val="00372F13"/>
    <w:rsid w:val="0037338E"/>
    <w:rsid w:val="00373C2E"/>
    <w:rsid w:val="003749AF"/>
    <w:rsid w:val="0037748E"/>
    <w:rsid w:val="00377CBD"/>
    <w:rsid w:val="003833F2"/>
    <w:rsid w:val="00384697"/>
    <w:rsid w:val="003846B5"/>
    <w:rsid w:val="00385933"/>
    <w:rsid w:val="00385962"/>
    <w:rsid w:val="003860EB"/>
    <w:rsid w:val="00387684"/>
    <w:rsid w:val="00387891"/>
    <w:rsid w:val="003917EE"/>
    <w:rsid w:val="003923CC"/>
    <w:rsid w:val="003946F8"/>
    <w:rsid w:val="00394958"/>
    <w:rsid w:val="00395B29"/>
    <w:rsid w:val="003A4887"/>
    <w:rsid w:val="003A5267"/>
    <w:rsid w:val="003A6327"/>
    <w:rsid w:val="003A7EDE"/>
    <w:rsid w:val="003B1842"/>
    <w:rsid w:val="003B30B8"/>
    <w:rsid w:val="003B644D"/>
    <w:rsid w:val="003B7122"/>
    <w:rsid w:val="003C0453"/>
    <w:rsid w:val="003C1363"/>
    <w:rsid w:val="003C18A4"/>
    <w:rsid w:val="003C1FB6"/>
    <w:rsid w:val="003C3E03"/>
    <w:rsid w:val="003C5342"/>
    <w:rsid w:val="003C673A"/>
    <w:rsid w:val="003C7822"/>
    <w:rsid w:val="003C7935"/>
    <w:rsid w:val="003D0574"/>
    <w:rsid w:val="003D37DD"/>
    <w:rsid w:val="003D6109"/>
    <w:rsid w:val="003D62AA"/>
    <w:rsid w:val="003D63EC"/>
    <w:rsid w:val="003D6C07"/>
    <w:rsid w:val="003E082E"/>
    <w:rsid w:val="003E1ED8"/>
    <w:rsid w:val="003E601F"/>
    <w:rsid w:val="003E60A4"/>
    <w:rsid w:val="003E61E1"/>
    <w:rsid w:val="003E70CA"/>
    <w:rsid w:val="003E7DF1"/>
    <w:rsid w:val="003E7E2E"/>
    <w:rsid w:val="003F0120"/>
    <w:rsid w:val="003F021A"/>
    <w:rsid w:val="003F06C8"/>
    <w:rsid w:val="003F1927"/>
    <w:rsid w:val="003F1D52"/>
    <w:rsid w:val="003F1DCA"/>
    <w:rsid w:val="00402100"/>
    <w:rsid w:val="004029B9"/>
    <w:rsid w:val="00405743"/>
    <w:rsid w:val="00406535"/>
    <w:rsid w:val="00406FC4"/>
    <w:rsid w:val="00410DDF"/>
    <w:rsid w:val="00411CB6"/>
    <w:rsid w:val="00412451"/>
    <w:rsid w:val="004131AF"/>
    <w:rsid w:val="00413D61"/>
    <w:rsid w:val="00414012"/>
    <w:rsid w:val="00414D1F"/>
    <w:rsid w:val="00415BE7"/>
    <w:rsid w:val="0042032E"/>
    <w:rsid w:val="00420529"/>
    <w:rsid w:val="00420E99"/>
    <w:rsid w:val="0042129E"/>
    <w:rsid w:val="004213FB"/>
    <w:rsid w:val="00421874"/>
    <w:rsid w:val="00423C42"/>
    <w:rsid w:val="004279D6"/>
    <w:rsid w:val="00433BCC"/>
    <w:rsid w:val="00435449"/>
    <w:rsid w:val="004374C3"/>
    <w:rsid w:val="00440119"/>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46AE"/>
    <w:rsid w:val="00465EED"/>
    <w:rsid w:val="00466242"/>
    <w:rsid w:val="00471240"/>
    <w:rsid w:val="00471899"/>
    <w:rsid w:val="00473DA7"/>
    <w:rsid w:val="00473E7A"/>
    <w:rsid w:val="0047415B"/>
    <w:rsid w:val="00477500"/>
    <w:rsid w:val="00477A9F"/>
    <w:rsid w:val="00477B65"/>
    <w:rsid w:val="00480FE7"/>
    <w:rsid w:val="00481254"/>
    <w:rsid w:val="004839FE"/>
    <w:rsid w:val="00484F63"/>
    <w:rsid w:val="004858C6"/>
    <w:rsid w:val="00487B49"/>
    <w:rsid w:val="00491723"/>
    <w:rsid w:val="00492E71"/>
    <w:rsid w:val="0049330F"/>
    <w:rsid w:val="0049403E"/>
    <w:rsid w:val="00494590"/>
    <w:rsid w:val="00496AC8"/>
    <w:rsid w:val="004A055D"/>
    <w:rsid w:val="004A35AC"/>
    <w:rsid w:val="004A362A"/>
    <w:rsid w:val="004A41E8"/>
    <w:rsid w:val="004A4505"/>
    <w:rsid w:val="004A45ED"/>
    <w:rsid w:val="004A53EC"/>
    <w:rsid w:val="004B07E1"/>
    <w:rsid w:val="004B21FD"/>
    <w:rsid w:val="004B259A"/>
    <w:rsid w:val="004B37DD"/>
    <w:rsid w:val="004B3DA4"/>
    <w:rsid w:val="004B41AC"/>
    <w:rsid w:val="004B4E02"/>
    <w:rsid w:val="004B5FB7"/>
    <w:rsid w:val="004C01CD"/>
    <w:rsid w:val="004C0C44"/>
    <w:rsid w:val="004C1966"/>
    <w:rsid w:val="004C3CFD"/>
    <w:rsid w:val="004C3F0A"/>
    <w:rsid w:val="004C41C0"/>
    <w:rsid w:val="004C424D"/>
    <w:rsid w:val="004C7FA9"/>
    <w:rsid w:val="004D0311"/>
    <w:rsid w:val="004D15A9"/>
    <w:rsid w:val="004D5636"/>
    <w:rsid w:val="004D6063"/>
    <w:rsid w:val="004D6303"/>
    <w:rsid w:val="004D75BE"/>
    <w:rsid w:val="004E4D89"/>
    <w:rsid w:val="004E5A1F"/>
    <w:rsid w:val="004E6728"/>
    <w:rsid w:val="004E6F2D"/>
    <w:rsid w:val="004E752E"/>
    <w:rsid w:val="004F049D"/>
    <w:rsid w:val="004F083B"/>
    <w:rsid w:val="004F17CC"/>
    <w:rsid w:val="004F201C"/>
    <w:rsid w:val="004F57FE"/>
    <w:rsid w:val="004F60E0"/>
    <w:rsid w:val="004F6113"/>
    <w:rsid w:val="004F6927"/>
    <w:rsid w:val="004F6E52"/>
    <w:rsid w:val="00500596"/>
    <w:rsid w:val="00503251"/>
    <w:rsid w:val="00503449"/>
    <w:rsid w:val="00503B8A"/>
    <w:rsid w:val="00507DE4"/>
    <w:rsid w:val="005105BE"/>
    <w:rsid w:val="005121DF"/>
    <w:rsid w:val="00512CE1"/>
    <w:rsid w:val="00513E5D"/>
    <w:rsid w:val="0051440D"/>
    <w:rsid w:val="00514817"/>
    <w:rsid w:val="00514B27"/>
    <w:rsid w:val="005153B2"/>
    <w:rsid w:val="0051701B"/>
    <w:rsid w:val="0052236D"/>
    <w:rsid w:val="00525282"/>
    <w:rsid w:val="00525347"/>
    <w:rsid w:val="0052725D"/>
    <w:rsid w:val="005317C8"/>
    <w:rsid w:val="005363CA"/>
    <w:rsid w:val="00536FAF"/>
    <w:rsid w:val="00540349"/>
    <w:rsid w:val="00540E9F"/>
    <w:rsid w:val="00540FBB"/>
    <w:rsid w:val="005414F3"/>
    <w:rsid w:val="00541A35"/>
    <w:rsid w:val="00543CD8"/>
    <w:rsid w:val="005468C1"/>
    <w:rsid w:val="00546A61"/>
    <w:rsid w:val="00547C8A"/>
    <w:rsid w:val="00550717"/>
    <w:rsid w:val="00550B68"/>
    <w:rsid w:val="00554F00"/>
    <w:rsid w:val="00554F6F"/>
    <w:rsid w:val="00556042"/>
    <w:rsid w:val="00561441"/>
    <w:rsid w:val="00561CB3"/>
    <w:rsid w:val="0056289C"/>
    <w:rsid w:val="005646E2"/>
    <w:rsid w:val="005657D5"/>
    <w:rsid w:val="005659FC"/>
    <w:rsid w:val="00566D78"/>
    <w:rsid w:val="005704FE"/>
    <w:rsid w:val="00570796"/>
    <w:rsid w:val="00571683"/>
    <w:rsid w:val="00576201"/>
    <w:rsid w:val="00580AF5"/>
    <w:rsid w:val="00584E81"/>
    <w:rsid w:val="00584E98"/>
    <w:rsid w:val="0058750D"/>
    <w:rsid w:val="00590036"/>
    <w:rsid w:val="005909E4"/>
    <w:rsid w:val="00591C2B"/>
    <w:rsid w:val="00593298"/>
    <w:rsid w:val="0059492C"/>
    <w:rsid w:val="00594A71"/>
    <w:rsid w:val="00595475"/>
    <w:rsid w:val="005A0BF8"/>
    <w:rsid w:val="005A1F05"/>
    <w:rsid w:val="005A3487"/>
    <w:rsid w:val="005A4F6D"/>
    <w:rsid w:val="005A5F3B"/>
    <w:rsid w:val="005B0558"/>
    <w:rsid w:val="005B1220"/>
    <w:rsid w:val="005B15E2"/>
    <w:rsid w:val="005B19CE"/>
    <w:rsid w:val="005B6350"/>
    <w:rsid w:val="005C053B"/>
    <w:rsid w:val="005C148E"/>
    <w:rsid w:val="005C2BF7"/>
    <w:rsid w:val="005C3A03"/>
    <w:rsid w:val="005C5161"/>
    <w:rsid w:val="005C6E50"/>
    <w:rsid w:val="005C70DC"/>
    <w:rsid w:val="005D1BB0"/>
    <w:rsid w:val="005D399E"/>
    <w:rsid w:val="005D4EB2"/>
    <w:rsid w:val="005D696D"/>
    <w:rsid w:val="005D6FAD"/>
    <w:rsid w:val="005E00F5"/>
    <w:rsid w:val="005E116A"/>
    <w:rsid w:val="005E11DF"/>
    <w:rsid w:val="005E1245"/>
    <w:rsid w:val="005E14B6"/>
    <w:rsid w:val="005E1889"/>
    <w:rsid w:val="005E1E28"/>
    <w:rsid w:val="005E49F6"/>
    <w:rsid w:val="005E4D8D"/>
    <w:rsid w:val="005E57A2"/>
    <w:rsid w:val="005E6641"/>
    <w:rsid w:val="005E71D4"/>
    <w:rsid w:val="005E77F8"/>
    <w:rsid w:val="005E7DF8"/>
    <w:rsid w:val="005F094F"/>
    <w:rsid w:val="005F19FA"/>
    <w:rsid w:val="005F20C5"/>
    <w:rsid w:val="005F20FE"/>
    <w:rsid w:val="005F3EF0"/>
    <w:rsid w:val="0060015D"/>
    <w:rsid w:val="006021F7"/>
    <w:rsid w:val="00602B28"/>
    <w:rsid w:val="00602DC3"/>
    <w:rsid w:val="00603A1E"/>
    <w:rsid w:val="00605905"/>
    <w:rsid w:val="00605D9C"/>
    <w:rsid w:val="00606F6A"/>
    <w:rsid w:val="006079FB"/>
    <w:rsid w:val="006101FC"/>
    <w:rsid w:val="00610F72"/>
    <w:rsid w:val="006118CB"/>
    <w:rsid w:val="006127C4"/>
    <w:rsid w:val="00613A63"/>
    <w:rsid w:val="006146D0"/>
    <w:rsid w:val="0061504D"/>
    <w:rsid w:val="0062017A"/>
    <w:rsid w:val="0062222D"/>
    <w:rsid w:val="00622522"/>
    <w:rsid w:val="0062292F"/>
    <w:rsid w:val="006231FB"/>
    <w:rsid w:val="0062459E"/>
    <w:rsid w:val="006255FF"/>
    <w:rsid w:val="00626FE7"/>
    <w:rsid w:val="00627D8C"/>
    <w:rsid w:val="006314E6"/>
    <w:rsid w:val="00635EA5"/>
    <w:rsid w:val="00640199"/>
    <w:rsid w:val="0064252F"/>
    <w:rsid w:val="006431B8"/>
    <w:rsid w:val="00645035"/>
    <w:rsid w:val="00647F2B"/>
    <w:rsid w:val="00651A8E"/>
    <w:rsid w:val="0065343B"/>
    <w:rsid w:val="00654EAD"/>
    <w:rsid w:val="0065694A"/>
    <w:rsid w:val="00660972"/>
    <w:rsid w:val="0066136F"/>
    <w:rsid w:val="00663A67"/>
    <w:rsid w:val="00665A90"/>
    <w:rsid w:val="00667381"/>
    <w:rsid w:val="00670770"/>
    <w:rsid w:val="00670BD6"/>
    <w:rsid w:val="00670E22"/>
    <w:rsid w:val="006723D5"/>
    <w:rsid w:val="00673FCC"/>
    <w:rsid w:val="00674A52"/>
    <w:rsid w:val="00675F33"/>
    <w:rsid w:val="00676304"/>
    <w:rsid w:val="00677B98"/>
    <w:rsid w:val="0068031D"/>
    <w:rsid w:val="006806A8"/>
    <w:rsid w:val="006814DF"/>
    <w:rsid w:val="00682564"/>
    <w:rsid w:val="006826C3"/>
    <w:rsid w:val="0068276E"/>
    <w:rsid w:val="00683F49"/>
    <w:rsid w:val="006878A3"/>
    <w:rsid w:val="00692AAD"/>
    <w:rsid w:val="00692B74"/>
    <w:rsid w:val="006946E1"/>
    <w:rsid w:val="00695073"/>
    <w:rsid w:val="00695BF3"/>
    <w:rsid w:val="006969FE"/>
    <w:rsid w:val="00697BC7"/>
    <w:rsid w:val="006A0AB6"/>
    <w:rsid w:val="006A1BA0"/>
    <w:rsid w:val="006A408D"/>
    <w:rsid w:val="006A71A2"/>
    <w:rsid w:val="006A75F0"/>
    <w:rsid w:val="006B13D5"/>
    <w:rsid w:val="006B1CD8"/>
    <w:rsid w:val="006B26D3"/>
    <w:rsid w:val="006B2AE4"/>
    <w:rsid w:val="006B33A6"/>
    <w:rsid w:val="006B3D40"/>
    <w:rsid w:val="006B5BFA"/>
    <w:rsid w:val="006B6AE0"/>
    <w:rsid w:val="006B7EB1"/>
    <w:rsid w:val="006C0EEE"/>
    <w:rsid w:val="006C186D"/>
    <w:rsid w:val="006C1E62"/>
    <w:rsid w:val="006C29FD"/>
    <w:rsid w:val="006C4485"/>
    <w:rsid w:val="006C48FE"/>
    <w:rsid w:val="006C4C24"/>
    <w:rsid w:val="006C588F"/>
    <w:rsid w:val="006C6B3B"/>
    <w:rsid w:val="006D07AD"/>
    <w:rsid w:val="006D0C9A"/>
    <w:rsid w:val="006D29CA"/>
    <w:rsid w:val="006D336D"/>
    <w:rsid w:val="006D3D4A"/>
    <w:rsid w:val="006D3F5D"/>
    <w:rsid w:val="006D4644"/>
    <w:rsid w:val="006D5936"/>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1356"/>
    <w:rsid w:val="006F186C"/>
    <w:rsid w:val="006F45C6"/>
    <w:rsid w:val="006F60A7"/>
    <w:rsid w:val="006F7103"/>
    <w:rsid w:val="006F7466"/>
    <w:rsid w:val="006F7FAE"/>
    <w:rsid w:val="00700E56"/>
    <w:rsid w:val="00702F49"/>
    <w:rsid w:val="00703C4C"/>
    <w:rsid w:val="007048E7"/>
    <w:rsid w:val="00704A47"/>
    <w:rsid w:val="00704FED"/>
    <w:rsid w:val="00705DC6"/>
    <w:rsid w:val="00706AF7"/>
    <w:rsid w:val="00706C6B"/>
    <w:rsid w:val="00706F2D"/>
    <w:rsid w:val="00711A10"/>
    <w:rsid w:val="00713D66"/>
    <w:rsid w:val="0071514B"/>
    <w:rsid w:val="0071525A"/>
    <w:rsid w:val="0071558A"/>
    <w:rsid w:val="00715E10"/>
    <w:rsid w:val="007166A9"/>
    <w:rsid w:val="00721197"/>
    <w:rsid w:val="00722564"/>
    <w:rsid w:val="0072634E"/>
    <w:rsid w:val="00726FE1"/>
    <w:rsid w:val="007327B8"/>
    <w:rsid w:val="00735BBE"/>
    <w:rsid w:val="0073626D"/>
    <w:rsid w:val="007404D8"/>
    <w:rsid w:val="00741108"/>
    <w:rsid w:val="00741B42"/>
    <w:rsid w:val="00741F04"/>
    <w:rsid w:val="0074244E"/>
    <w:rsid w:val="0074399F"/>
    <w:rsid w:val="007444F1"/>
    <w:rsid w:val="00746212"/>
    <w:rsid w:val="00747495"/>
    <w:rsid w:val="00751B88"/>
    <w:rsid w:val="00753580"/>
    <w:rsid w:val="00753AE8"/>
    <w:rsid w:val="00753D42"/>
    <w:rsid w:val="00754322"/>
    <w:rsid w:val="00755BF3"/>
    <w:rsid w:val="00756332"/>
    <w:rsid w:val="00756B61"/>
    <w:rsid w:val="0076008F"/>
    <w:rsid w:val="007605B0"/>
    <w:rsid w:val="00761116"/>
    <w:rsid w:val="007620E2"/>
    <w:rsid w:val="00764AF4"/>
    <w:rsid w:val="00766D92"/>
    <w:rsid w:val="00766DBB"/>
    <w:rsid w:val="00773A6B"/>
    <w:rsid w:val="00774373"/>
    <w:rsid w:val="0077734A"/>
    <w:rsid w:val="0077796E"/>
    <w:rsid w:val="007830A6"/>
    <w:rsid w:val="00783E2D"/>
    <w:rsid w:val="0079098A"/>
    <w:rsid w:val="0079103E"/>
    <w:rsid w:val="00792D24"/>
    <w:rsid w:val="00795727"/>
    <w:rsid w:val="007958F3"/>
    <w:rsid w:val="0079709F"/>
    <w:rsid w:val="007A025D"/>
    <w:rsid w:val="007A06B9"/>
    <w:rsid w:val="007A1ABE"/>
    <w:rsid w:val="007A1C91"/>
    <w:rsid w:val="007A291C"/>
    <w:rsid w:val="007A312B"/>
    <w:rsid w:val="007A5016"/>
    <w:rsid w:val="007A5F03"/>
    <w:rsid w:val="007A68C6"/>
    <w:rsid w:val="007B072C"/>
    <w:rsid w:val="007B0C39"/>
    <w:rsid w:val="007B10CC"/>
    <w:rsid w:val="007B264F"/>
    <w:rsid w:val="007B45CE"/>
    <w:rsid w:val="007B570B"/>
    <w:rsid w:val="007C06D7"/>
    <w:rsid w:val="007C0BB4"/>
    <w:rsid w:val="007C1BE1"/>
    <w:rsid w:val="007C44F4"/>
    <w:rsid w:val="007C4782"/>
    <w:rsid w:val="007C4B1F"/>
    <w:rsid w:val="007D02AE"/>
    <w:rsid w:val="007D121E"/>
    <w:rsid w:val="007D29DA"/>
    <w:rsid w:val="007D337E"/>
    <w:rsid w:val="007D3A05"/>
    <w:rsid w:val="007D4108"/>
    <w:rsid w:val="007D4177"/>
    <w:rsid w:val="007D53F5"/>
    <w:rsid w:val="007D62D5"/>
    <w:rsid w:val="007D71F4"/>
    <w:rsid w:val="007E0FFA"/>
    <w:rsid w:val="007E3CDE"/>
    <w:rsid w:val="007E3E41"/>
    <w:rsid w:val="007E45EB"/>
    <w:rsid w:val="007E4699"/>
    <w:rsid w:val="007F03B3"/>
    <w:rsid w:val="007F224E"/>
    <w:rsid w:val="007F290B"/>
    <w:rsid w:val="007F3BAC"/>
    <w:rsid w:val="007F4FD5"/>
    <w:rsid w:val="007F62FA"/>
    <w:rsid w:val="007F6799"/>
    <w:rsid w:val="007F7611"/>
    <w:rsid w:val="00802343"/>
    <w:rsid w:val="00802954"/>
    <w:rsid w:val="00802ACC"/>
    <w:rsid w:val="008032CF"/>
    <w:rsid w:val="008032DE"/>
    <w:rsid w:val="00806FF3"/>
    <w:rsid w:val="00812097"/>
    <w:rsid w:val="00812A58"/>
    <w:rsid w:val="00812E43"/>
    <w:rsid w:val="00813C07"/>
    <w:rsid w:val="008164AB"/>
    <w:rsid w:val="008226BA"/>
    <w:rsid w:val="008232E9"/>
    <w:rsid w:val="0082396C"/>
    <w:rsid w:val="00824D2F"/>
    <w:rsid w:val="00825E26"/>
    <w:rsid w:val="00833148"/>
    <w:rsid w:val="00833909"/>
    <w:rsid w:val="0083399C"/>
    <w:rsid w:val="00834AC0"/>
    <w:rsid w:val="0083575E"/>
    <w:rsid w:val="0083576A"/>
    <w:rsid w:val="008368CC"/>
    <w:rsid w:val="008376F6"/>
    <w:rsid w:val="008407B9"/>
    <w:rsid w:val="0084274F"/>
    <w:rsid w:val="00843448"/>
    <w:rsid w:val="00844137"/>
    <w:rsid w:val="008443DF"/>
    <w:rsid w:val="008460F8"/>
    <w:rsid w:val="00846370"/>
    <w:rsid w:val="00846541"/>
    <w:rsid w:val="00851077"/>
    <w:rsid w:val="00855B59"/>
    <w:rsid w:val="00857960"/>
    <w:rsid w:val="00861968"/>
    <w:rsid w:val="00861B30"/>
    <w:rsid w:val="00863CBB"/>
    <w:rsid w:val="00865608"/>
    <w:rsid w:val="00866941"/>
    <w:rsid w:val="008671AC"/>
    <w:rsid w:val="008730E5"/>
    <w:rsid w:val="008733DF"/>
    <w:rsid w:val="0087516C"/>
    <w:rsid w:val="008828B6"/>
    <w:rsid w:val="0088390C"/>
    <w:rsid w:val="00885679"/>
    <w:rsid w:val="00886FF7"/>
    <w:rsid w:val="00887242"/>
    <w:rsid w:val="008909B5"/>
    <w:rsid w:val="008933AA"/>
    <w:rsid w:val="00893956"/>
    <w:rsid w:val="008945B1"/>
    <w:rsid w:val="008952FA"/>
    <w:rsid w:val="00895A20"/>
    <w:rsid w:val="00896489"/>
    <w:rsid w:val="008A1435"/>
    <w:rsid w:val="008A17E6"/>
    <w:rsid w:val="008A271D"/>
    <w:rsid w:val="008A27C1"/>
    <w:rsid w:val="008A2B60"/>
    <w:rsid w:val="008A39AB"/>
    <w:rsid w:val="008A5C6B"/>
    <w:rsid w:val="008B00AC"/>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D7CD7"/>
    <w:rsid w:val="008E0DFD"/>
    <w:rsid w:val="008E295D"/>
    <w:rsid w:val="008E4589"/>
    <w:rsid w:val="008E66D2"/>
    <w:rsid w:val="008E75E5"/>
    <w:rsid w:val="008E763F"/>
    <w:rsid w:val="008E7888"/>
    <w:rsid w:val="008E7C67"/>
    <w:rsid w:val="008F1340"/>
    <w:rsid w:val="008F259D"/>
    <w:rsid w:val="008F4AB2"/>
    <w:rsid w:val="008F4F94"/>
    <w:rsid w:val="008F62A4"/>
    <w:rsid w:val="008F7F63"/>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2772B"/>
    <w:rsid w:val="00930429"/>
    <w:rsid w:val="009307DE"/>
    <w:rsid w:val="00933D66"/>
    <w:rsid w:val="009341E3"/>
    <w:rsid w:val="00940287"/>
    <w:rsid w:val="009427BA"/>
    <w:rsid w:val="00943ADF"/>
    <w:rsid w:val="00944C79"/>
    <w:rsid w:val="0094562D"/>
    <w:rsid w:val="00950E95"/>
    <w:rsid w:val="00950EA9"/>
    <w:rsid w:val="00954475"/>
    <w:rsid w:val="009562F1"/>
    <w:rsid w:val="00957BA4"/>
    <w:rsid w:val="00957DBC"/>
    <w:rsid w:val="00962BB2"/>
    <w:rsid w:val="00965552"/>
    <w:rsid w:val="0096600D"/>
    <w:rsid w:val="0096605A"/>
    <w:rsid w:val="009671FF"/>
    <w:rsid w:val="00975BCB"/>
    <w:rsid w:val="009760B1"/>
    <w:rsid w:val="00982C4C"/>
    <w:rsid w:val="00990492"/>
    <w:rsid w:val="0099244F"/>
    <w:rsid w:val="009950E1"/>
    <w:rsid w:val="0099648E"/>
    <w:rsid w:val="0099671D"/>
    <w:rsid w:val="00997B97"/>
    <w:rsid w:val="00997DB5"/>
    <w:rsid w:val="009A22C0"/>
    <w:rsid w:val="009A3030"/>
    <w:rsid w:val="009A5AD3"/>
    <w:rsid w:val="009B1BF9"/>
    <w:rsid w:val="009B25AF"/>
    <w:rsid w:val="009B2906"/>
    <w:rsid w:val="009B62DA"/>
    <w:rsid w:val="009C32BA"/>
    <w:rsid w:val="009C3860"/>
    <w:rsid w:val="009C4D57"/>
    <w:rsid w:val="009C5C1E"/>
    <w:rsid w:val="009C5FCE"/>
    <w:rsid w:val="009C6EB1"/>
    <w:rsid w:val="009D0881"/>
    <w:rsid w:val="009D1661"/>
    <w:rsid w:val="009D1C4B"/>
    <w:rsid w:val="009D2858"/>
    <w:rsid w:val="009D3B7F"/>
    <w:rsid w:val="009D4354"/>
    <w:rsid w:val="009D57D8"/>
    <w:rsid w:val="009D6949"/>
    <w:rsid w:val="009D71B6"/>
    <w:rsid w:val="009D7A81"/>
    <w:rsid w:val="009E130A"/>
    <w:rsid w:val="009E13E7"/>
    <w:rsid w:val="009E18B1"/>
    <w:rsid w:val="009E23F2"/>
    <w:rsid w:val="009E28D0"/>
    <w:rsid w:val="009E2B3F"/>
    <w:rsid w:val="009E2CA6"/>
    <w:rsid w:val="009E345B"/>
    <w:rsid w:val="009E5AA4"/>
    <w:rsid w:val="009E5D90"/>
    <w:rsid w:val="009E754B"/>
    <w:rsid w:val="009E7BA2"/>
    <w:rsid w:val="009F1A70"/>
    <w:rsid w:val="009F37E6"/>
    <w:rsid w:val="009F3995"/>
    <w:rsid w:val="009F44EE"/>
    <w:rsid w:val="009F597A"/>
    <w:rsid w:val="009F5D71"/>
    <w:rsid w:val="009F61DE"/>
    <w:rsid w:val="009F7D69"/>
    <w:rsid w:val="00A0021E"/>
    <w:rsid w:val="00A02C13"/>
    <w:rsid w:val="00A06FDB"/>
    <w:rsid w:val="00A10603"/>
    <w:rsid w:val="00A117DF"/>
    <w:rsid w:val="00A1378E"/>
    <w:rsid w:val="00A13CD6"/>
    <w:rsid w:val="00A140B4"/>
    <w:rsid w:val="00A20CBD"/>
    <w:rsid w:val="00A23071"/>
    <w:rsid w:val="00A2319C"/>
    <w:rsid w:val="00A23FDA"/>
    <w:rsid w:val="00A24070"/>
    <w:rsid w:val="00A258B3"/>
    <w:rsid w:val="00A26F79"/>
    <w:rsid w:val="00A27FE5"/>
    <w:rsid w:val="00A33086"/>
    <w:rsid w:val="00A340B2"/>
    <w:rsid w:val="00A34A8E"/>
    <w:rsid w:val="00A372EE"/>
    <w:rsid w:val="00A42B7A"/>
    <w:rsid w:val="00A432AE"/>
    <w:rsid w:val="00A440DE"/>
    <w:rsid w:val="00A453E3"/>
    <w:rsid w:val="00A45D73"/>
    <w:rsid w:val="00A471E2"/>
    <w:rsid w:val="00A479B7"/>
    <w:rsid w:val="00A479D4"/>
    <w:rsid w:val="00A5019B"/>
    <w:rsid w:val="00A50646"/>
    <w:rsid w:val="00A50FB6"/>
    <w:rsid w:val="00A50FF8"/>
    <w:rsid w:val="00A5184E"/>
    <w:rsid w:val="00A52067"/>
    <w:rsid w:val="00A52E9A"/>
    <w:rsid w:val="00A532AD"/>
    <w:rsid w:val="00A5419F"/>
    <w:rsid w:val="00A5505E"/>
    <w:rsid w:val="00A56F7A"/>
    <w:rsid w:val="00A57EA5"/>
    <w:rsid w:val="00A62C85"/>
    <w:rsid w:val="00A64459"/>
    <w:rsid w:val="00A64E13"/>
    <w:rsid w:val="00A676EB"/>
    <w:rsid w:val="00A67B19"/>
    <w:rsid w:val="00A72971"/>
    <w:rsid w:val="00A72A5F"/>
    <w:rsid w:val="00A73BC4"/>
    <w:rsid w:val="00A744EA"/>
    <w:rsid w:val="00A75CE9"/>
    <w:rsid w:val="00A8138B"/>
    <w:rsid w:val="00A85479"/>
    <w:rsid w:val="00A8555D"/>
    <w:rsid w:val="00A86A36"/>
    <w:rsid w:val="00A96693"/>
    <w:rsid w:val="00A96763"/>
    <w:rsid w:val="00AA23A2"/>
    <w:rsid w:val="00AA45FE"/>
    <w:rsid w:val="00AA5D66"/>
    <w:rsid w:val="00AA7FC1"/>
    <w:rsid w:val="00AB154D"/>
    <w:rsid w:val="00AB2981"/>
    <w:rsid w:val="00AB4A37"/>
    <w:rsid w:val="00AB532F"/>
    <w:rsid w:val="00AB6DF6"/>
    <w:rsid w:val="00AC2C8E"/>
    <w:rsid w:val="00AC42CE"/>
    <w:rsid w:val="00AC6543"/>
    <w:rsid w:val="00AD3D16"/>
    <w:rsid w:val="00AD405E"/>
    <w:rsid w:val="00AD4534"/>
    <w:rsid w:val="00AD52F5"/>
    <w:rsid w:val="00AD61AC"/>
    <w:rsid w:val="00AE0098"/>
    <w:rsid w:val="00AE0F62"/>
    <w:rsid w:val="00AE2C4F"/>
    <w:rsid w:val="00AE2D5B"/>
    <w:rsid w:val="00AE3D57"/>
    <w:rsid w:val="00AE46E7"/>
    <w:rsid w:val="00AE47EB"/>
    <w:rsid w:val="00AE5790"/>
    <w:rsid w:val="00AE5D15"/>
    <w:rsid w:val="00AE7D19"/>
    <w:rsid w:val="00AF083B"/>
    <w:rsid w:val="00AF1FCD"/>
    <w:rsid w:val="00AF3F9D"/>
    <w:rsid w:val="00AF5472"/>
    <w:rsid w:val="00AF54A2"/>
    <w:rsid w:val="00AF646A"/>
    <w:rsid w:val="00AF70FA"/>
    <w:rsid w:val="00B0144A"/>
    <w:rsid w:val="00B028E7"/>
    <w:rsid w:val="00B0323A"/>
    <w:rsid w:val="00B10FFD"/>
    <w:rsid w:val="00B12248"/>
    <w:rsid w:val="00B129E1"/>
    <w:rsid w:val="00B12B2F"/>
    <w:rsid w:val="00B13246"/>
    <w:rsid w:val="00B171C5"/>
    <w:rsid w:val="00B17AE9"/>
    <w:rsid w:val="00B17B4F"/>
    <w:rsid w:val="00B20125"/>
    <w:rsid w:val="00B20269"/>
    <w:rsid w:val="00B20546"/>
    <w:rsid w:val="00B25209"/>
    <w:rsid w:val="00B26023"/>
    <w:rsid w:val="00B2752C"/>
    <w:rsid w:val="00B2765B"/>
    <w:rsid w:val="00B36BA0"/>
    <w:rsid w:val="00B41D14"/>
    <w:rsid w:val="00B434A2"/>
    <w:rsid w:val="00B471D0"/>
    <w:rsid w:val="00B47E46"/>
    <w:rsid w:val="00B517FD"/>
    <w:rsid w:val="00B51A8A"/>
    <w:rsid w:val="00B529E3"/>
    <w:rsid w:val="00B53CE1"/>
    <w:rsid w:val="00B540BB"/>
    <w:rsid w:val="00B54909"/>
    <w:rsid w:val="00B54AC5"/>
    <w:rsid w:val="00B54D25"/>
    <w:rsid w:val="00B560A7"/>
    <w:rsid w:val="00B561D0"/>
    <w:rsid w:val="00B57213"/>
    <w:rsid w:val="00B60A40"/>
    <w:rsid w:val="00B613BB"/>
    <w:rsid w:val="00B61405"/>
    <w:rsid w:val="00B636E4"/>
    <w:rsid w:val="00B66DA3"/>
    <w:rsid w:val="00B66FD7"/>
    <w:rsid w:val="00B673CF"/>
    <w:rsid w:val="00B679AA"/>
    <w:rsid w:val="00B721AD"/>
    <w:rsid w:val="00B73D79"/>
    <w:rsid w:val="00B73EC0"/>
    <w:rsid w:val="00B748A3"/>
    <w:rsid w:val="00B75998"/>
    <w:rsid w:val="00B77F65"/>
    <w:rsid w:val="00B83E80"/>
    <w:rsid w:val="00B8425D"/>
    <w:rsid w:val="00B84720"/>
    <w:rsid w:val="00B84722"/>
    <w:rsid w:val="00B85744"/>
    <w:rsid w:val="00B85E10"/>
    <w:rsid w:val="00B92105"/>
    <w:rsid w:val="00B93651"/>
    <w:rsid w:val="00B94D51"/>
    <w:rsid w:val="00B94E75"/>
    <w:rsid w:val="00B96D9C"/>
    <w:rsid w:val="00B976CE"/>
    <w:rsid w:val="00B97E6B"/>
    <w:rsid w:val="00BA0109"/>
    <w:rsid w:val="00BA193D"/>
    <w:rsid w:val="00BA1DAB"/>
    <w:rsid w:val="00BA2571"/>
    <w:rsid w:val="00BA3D51"/>
    <w:rsid w:val="00BA735F"/>
    <w:rsid w:val="00BB08CB"/>
    <w:rsid w:val="00BB0CB8"/>
    <w:rsid w:val="00BB0E48"/>
    <w:rsid w:val="00BB2314"/>
    <w:rsid w:val="00BB3B20"/>
    <w:rsid w:val="00BB52B3"/>
    <w:rsid w:val="00BC0D0A"/>
    <w:rsid w:val="00BC0FF7"/>
    <w:rsid w:val="00BC2E04"/>
    <w:rsid w:val="00BC5CB6"/>
    <w:rsid w:val="00BC71C3"/>
    <w:rsid w:val="00BD43B4"/>
    <w:rsid w:val="00BD606B"/>
    <w:rsid w:val="00BE11AF"/>
    <w:rsid w:val="00BE14B6"/>
    <w:rsid w:val="00BE21C3"/>
    <w:rsid w:val="00BE2B0F"/>
    <w:rsid w:val="00BE2C79"/>
    <w:rsid w:val="00BE4800"/>
    <w:rsid w:val="00BE4A47"/>
    <w:rsid w:val="00BE5A90"/>
    <w:rsid w:val="00BE786B"/>
    <w:rsid w:val="00BE7AE1"/>
    <w:rsid w:val="00BF1645"/>
    <w:rsid w:val="00BF1737"/>
    <w:rsid w:val="00BF1F11"/>
    <w:rsid w:val="00BF5017"/>
    <w:rsid w:val="00BF5414"/>
    <w:rsid w:val="00BF5B1D"/>
    <w:rsid w:val="00BF5CEC"/>
    <w:rsid w:val="00BF7758"/>
    <w:rsid w:val="00BF7B3F"/>
    <w:rsid w:val="00BF7E3D"/>
    <w:rsid w:val="00C00B90"/>
    <w:rsid w:val="00C02290"/>
    <w:rsid w:val="00C04EF5"/>
    <w:rsid w:val="00C05221"/>
    <w:rsid w:val="00C0559C"/>
    <w:rsid w:val="00C05DF1"/>
    <w:rsid w:val="00C071EA"/>
    <w:rsid w:val="00C10F2E"/>
    <w:rsid w:val="00C116AA"/>
    <w:rsid w:val="00C1278B"/>
    <w:rsid w:val="00C14149"/>
    <w:rsid w:val="00C14FE4"/>
    <w:rsid w:val="00C17CD9"/>
    <w:rsid w:val="00C201AF"/>
    <w:rsid w:val="00C20C99"/>
    <w:rsid w:val="00C23158"/>
    <w:rsid w:val="00C23FF1"/>
    <w:rsid w:val="00C247A8"/>
    <w:rsid w:val="00C27EBF"/>
    <w:rsid w:val="00C3139E"/>
    <w:rsid w:val="00C3191A"/>
    <w:rsid w:val="00C324E0"/>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40A"/>
    <w:rsid w:val="00C70C00"/>
    <w:rsid w:val="00C70D16"/>
    <w:rsid w:val="00C720BE"/>
    <w:rsid w:val="00C721CF"/>
    <w:rsid w:val="00C728AA"/>
    <w:rsid w:val="00C72A99"/>
    <w:rsid w:val="00C73D5B"/>
    <w:rsid w:val="00C74A39"/>
    <w:rsid w:val="00C750B3"/>
    <w:rsid w:val="00C76321"/>
    <w:rsid w:val="00C77308"/>
    <w:rsid w:val="00C804FD"/>
    <w:rsid w:val="00C80B0A"/>
    <w:rsid w:val="00C814DC"/>
    <w:rsid w:val="00C83918"/>
    <w:rsid w:val="00C844E5"/>
    <w:rsid w:val="00C84F8A"/>
    <w:rsid w:val="00C85D05"/>
    <w:rsid w:val="00C9017B"/>
    <w:rsid w:val="00C93804"/>
    <w:rsid w:val="00C95F93"/>
    <w:rsid w:val="00C96777"/>
    <w:rsid w:val="00CA1100"/>
    <w:rsid w:val="00CA1A98"/>
    <w:rsid w:val="00CA1AA9"/>
    <w:rsid w:val="00CA347D"/>
    <w:rsid w:val="00CA5646"/>
    <w:rsid w:val="00CA6D48"/>
    <w:rsid w:val="00CA6D85"/>
    <w:rsid w:val="00CA78D9"/>
    <w:rsid w:val="00CA7C7E"/>
    <w:rsid w:val="00CB1889"/>
    <w:rsid w:val="00CB29E2"/>
    <w:rsid w:val="00CB339A"/>
    <w:rsid w:val="00CB5149"/>
    <w:rsid w:val="00CB5943"/>
    <w:rsid w:val="00CC09B0"/>
    <w:rsid w:val="00CC4E06"/>
    <w:rsid w:val="00CC4F1F"/>
    <w:rsid w:val="00CD1FF1"/>
    <w:rsid w:val="00CD3551"/>
    <w:rsid w:val="00CD3D32"/>
    <w:rsid w:val="00CD4F83"/>
    <w:rsid w:val="00CD70B0"/>
    <w:rsid w:val="00CD748A"/>
    <w:rsid w:val="00CD774C"/>
    <w:rsid w:val="00CD7B6B"/>
    <w:rsid w:val="00CE106A"/>
    <w:rsid w:val="00CE1361"/>
    <w:rsid w:val="00CE18BF"/>
    <w:rsid w:val="00CE2340"/>
    <w:rsid w:val="00CE2E5D"/>
    <w:rsid w:val="00CE3022"/>
    <w:rsid w:val="00CE505F"/>
    <w:rsid w:val="00CE507E"/>
    <w:rsid w:val="00CE77BB"/>
    <w:rsid w:val="00CE78AE"/>
    <w:rsid w:val="00CF085E"/>
    <w:rsid w:val="00CF2E8F"/>
    <w:rsid w:val="00CF773D"/>
    <w:rsid w:val="00D01CE8"/>
    <w:rsid w:val="00D03704"/>
    <w:rsid w:val="00D06634"/>
    <w:rsid w:val="00D06EDB"/>
    <w:rsid w:val="00D12A6F"/>
    <w:rsid w:val="00D14024"/>
    <w:rsid w:val="00D144A5"/>
    <w:rsid w:val="00D14A7B"/>
    <w:rsid w:val="00D14AF8"/>
    <w:rsid w:val="00D16502"/>
    <w:rsid w:val="00D22A08"/>
    <w:rsid w:val="00D23DEB"/>
    <w:rsid w:val="00D24CB5"/>
    <w:rsid w:val="00D26F01"/>
    <w:rsid w:val="00D326B4"/>
    <w:rsid w:val="00D3274D"/>
    <w:rsid w:val="00D34F35"/>
    <w:rsid w:val="00D3652F"/>
    <w:rsid w:val="00D3696D"/>
    <w:rsid w:val="00D36D8C"/>
    <w:rsid w:val="00D37EA6"/>
    <w:rsid w:val="00D412C9"/>
    <w:rsid w:val="00D43FC3"/>
    <w:rsid w:val="00D50E3F"/>
    <w:rsid w:val="00D51210"/>
    <w:rsid w:val="00D5162A"/>
    <w:rsid w:val="00D51FE0"/>
    <w:rsid w:val="00D55ED4"/>
    <w:rsid w:val="00D562AF"/>
    <w:rsid w:val="00D5726A"/>
    <w:rsid w:val="00D573C4"/>
    <w:rsid w:val="00D5754B"/>
    <w:rsid w:val="00D61A07"/>
    <w:rsid w:val="00D61C73"/>
    <w:rsid w:val="00D62701"/>
    <w:rsid w:val="00D63DE9"/>
    <w:rsid w:val="00D650A5"/>
    <w:rsid w:val="00D67AB7"/>
    <w:rsid w:val="00D716A5"/>
    <w:rsid w:val="00D71C23"/>
    <w:rsid w:val="00D71C86"/>
    <w:rsid w:val="00D73D6C"/>
    <w:rsid w:val="00D74700"/>
    <w:rsid w:val="00D74E67"/>
    <w:rsid w:val="00D75023"/>
    <w:rsid w:val="00D758A2"/>
    <w:rsid w:val="00D75B7D"/>
    <w:rsid w:val="00D75B8D"/>
    <w:rsid w:val="00D776E5"/>
    <w:rsid w:val="00D801D7"/>
    <w:rsid w:val="00D83E68"/>
    <w:rsid w:val="00D851E4"/>
    <w:rsid w:val="00D871B1"/>
    <w:rsid w:val="00D9041D"/>
    <w:rsid w:val="00D92B61"/>
    <w:rsid w:val="00D92CE5"/>
    <w:rsid w:val="00D92DBA"/>
    <w:rsid w:val="00D94E92"/>
    <w:rsid w:val="00D95B83"/>
    <w:rsid w:val="00D95C30"/>
    <w:rsid w:val="00D960D9"/>
    <w:rsid w:val="00D97B8F"/>
    <w:rsid w:val="00DA019E"/>
    <w:rsid w:val="00DA0C9B"/>
    <w:rsid w:val="00DA30B0"/>
    <w:rsid w:val="00DA3B72"/>
    <w:rsid w:val="00DA5030"/>
    <w:rsid w:val="00DA52B0"/>
    <w:rsid w:val="00DA5928"/>
    <w:rsid w:val="00DA6B93"/>
    <w:rsid w:val="00DA7DAC"/>
    <w:rsid w:val="00DB34F7"/>
    <w:rsid w:val="00DB37E8"/>
    <w:rsid w:val="00DB40BE"/>
    <w:rsid w:val="00DB43B3"/>
    <w:rsid w:val="00DB4645"/>
    <w:rsid w:val="00DB47A6"/>
    <w:rsid w:val="00DB499A"/>
    <w:rsid w:val="00DB4B02"/>
    <w:rsid w:val="00DB55D1"/>
    <w:rsid w:val="00DB5E1F"/>
    <w:rsid w:val="00DB63F6"/>
    <w:rsid w:val="00DB68CE"/>
    <w:rsid w:val="00DB7938"/>
    <w:rsid w:val="00DC0C6B"/>
    <w:rsid w:val="00DC208E"/>
    <w:rsid w:val="00DC35B0"/>
    <w:rsid w:val="00DC5383"/>
    <w:rsid w:val="00DC669D"/>
    <w:rsid w:val="00DC76E4"/>
    <w:rsid w:val="00DD0A90"/>
    <w:rsid w:val="00DD3F56"/>
    <w:rsid w:val="00DD472F"/>
    <w:rsid w:val="00DD508E"/>
    <w:rsid w:val="00DD5AC2"/>
    <w:rsid w:val="00DD62E2"/>
    <w:rsid w:val="00DD6BA4"/>
    <w:rsid w:val="00DD6C98"/>
    <w:rsid w:val="00DD710F"/>
    <w:rsid w:val="00DE2F42"/>
    <w:rsid w:val="00DE3430"/>
    <w:rsid w:val="00DE3FA2"/>
    <w:rsid w:val="00DE465A"/>
    <w:rsid w:val="00DE49A5"/>
    <w:rsid w:val="00DE511F"/>
    <w:rsid w:val="00DE5E71"/>
    <w:rsid w:val="00DE6DED"/>
    <w:rsid w:val="00DF5BCC"/>
    <w:rsid w:val="00DF6A9E"/>
    <w:rsid w:val="00DF6D10"/>
    <w:rsid w:val="00E0093A"/>
    <w:rsid w:val="00E013AC"/>
    <w:rsid w:val="00E02342"/>
    <w:rsid w:val="00E030CF"/>
    <w:rsid w:val="00E032C8"/>
    <w:rsid w:val="00E03598"/>
    <w:rsid w:val="00E04BAC"/>
    <w:rsid w:val="00E058BC"/>
    <w:rsid w:val="00E05CA9"/>
    <w:rsid w:val="00E069B9"/>
    <w:rsid w:val="00E06E1E"/>
    <w:rsid w:val="00E10549"/>
    <w:rsid w:val="00E1073E"/>
    <w:rsid w:val="00E10B17"/>
    <w:rsid w:val="00E138C0"/>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45A7"/>
    <w:rsid w:val="00E556EB"/>
    <w:rsid w:val="00E57443"/>
    <w:rsid w:val="00E60246"/>
    <w:rsid w:val="00E606DC"/>
    <w:rsid w:val="00E6332C"/>
    <w:rsid w:val="00E637D2"/>
    <w:rsid w:val="00E63B16"/>
    <w:rsid w:val="00E63C49"/>
    <w:rsid w:val="00E63C9A"/>
    <w:rsid w:val="00E6555F"/>
    <w:rsid w:val="00E72175"/>
    <w:rsid w:val="00E77487"/>
    <w:rsid w:val="00E77E9D"/>
    <w:rsid w:val="00E805BC"/>
    <w:rsid w:val="00E84B3D"/>
    <w:rsid w:val="00E855DB"/>
    <w:rsid w:val="00E867CE"/>
    <w:rsid w:val="00E86E76"/>
    <w:rsid w:val="00E905F2"/>
    <w:rsid w:val="00E91369"/>
    <w:rsid w:val="00E929BF"/>
    <w:rsid w:val="00E9717F"/>
    <w:rsid w:val="00E97D3B"/>
    <w:rsid w:val="00EA0199"/>
    <w:rsid w:val="00EA0239"/>
    <w:rsid w:val="00EA0BF8"/>
    <w:rsid w:val="00EA1075"/>
    <w:rsid w:val="00EA11C6"/>
    <w:rsid w:val="00EA1348"/>
    <w:rsid w:val="00EA266C"/>
    <w:rsid w:val="00EA2A8E"/>
    <w:rsid w:val="00EA4A72"/>
    <w:rsid w:val="00EA4C8E"/>
    <w:rsid w:val="00EA4D0B"/>
    <w:rsid w:val="00EA5CC8"/>
    <w:rsid w:val="00EA6068"/>
    <w:rsid w:val="00EA6638"/>
    <w:rsid w:val="00EB0314"/>
    <w:rsid w:val="00EB189B"/>
    <w:rsid w:val="00EB3E34"/>
    <w:rsid w:val="00EB6D4F"/>
    <w:rsid w:val="00EB7979"/>
    <w:rsid w:val="00EC188E"/>
    <w:rsid w:val="00EC1C7D"/>
    <w:rsid w:val="00EC27B1"/>
    <w:rsid w:val="00EC48D1"/>
    <w:rsid w:val="00EC4D9B"/>
    <w:rsid w:val="00EC5A24"/>
    <w:rsid w:val="00EC7784"/>
    <w:rsid w:val="00EC7AD6"/>
    <w:rsid w:val="00ED088C"/>
    <w:rsid w:val="00ED127B"/>
    <w:rsid w:val="00ED1541"/>
    <w:rsid w:val="00ED262E"/>
    <w:rsid w:val="00ED27C8"/>
    <w:rsid w:val="00ED4688"/>
    <w:rsid w:val="00ED55CD"/>
    <w:rsid w:val="00ED6B09"/>
    <w:rsid w:val="00EE2C90"/>
    <w:rsid w:val="00EE315D"/>
    <w:rsid w:val="00EE3BF8"/>
    <w:rsid w:val="00EE51E7"/>
    <w:rsid w:val="00EE552D"/>
    <w:rsid w:val="00EE5CB6"/>
    <w:rsid w:val="00EE7F38"/>
    <w:rsid w:val="00EF17AE"/>
    <w:rsid w:val="00EF2BC1"/>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4517"/>
    <w:rsid w:val="00F55FF7"/>
    <w:rsid w:val="00F5721A"/>
    <w:rsid w:val="00F57CF8"/>
    <w:rsid w:val="00F64BDE"/>
    <w:rsid w:val="00F651BE"/>
    <w:rsid w:val="00F65CEF"/>
    <w:rsid w:val="00F66C36"/>
    <w:rsid w:val="00F677D2"/>
    <w:rsid w:val="00F70D3F"/>
    <w:rsid w:val="00F7236A"/>
    <w:rsid w:val="00F7337C"/>
    <w:rsid w:val="00F747BC"/>
    <w:rsid w:val="00F7563D"/>
    <w:rsid w:val="00F776DD"/>
    <w:rsid w:val="00F77C55"/>
    <w:rsid w:val="00F80672"/>
    <w:rsid w:val="00F80D02"/>
    <w:rsid w:val="00F8217A"/>
    <w:rsid w:val="00F82AA2"/>
    <w:rsid w:val="00F84AB6"/>
    <w:rsid w:val="00F85AC0"/>
    <w:rsid w:val="00F85C3D"/>
    <w:rsid w:val="00F91321"/>
    <w:rsid w:val="00F91611"/>
    <w:rsid w:val="00F9176C"/>
    <w:rsid w:val="00F972F1"/>
    <w:rsid w:val="00F97C51"/>
    <w:rsid w:val="00F97D62"/>
    <w:rsid w:val="00FA0DB2"/>
    <w:rsid w:val="00FA1200"/>
    <w:rsid w:val="00FA149F"/>
    <w:rsid w:val="00FA28A4"/>
    <w:rsid w:val="00FA2C8E"/>
    <w:rsid w:val="00FA47FD"/>
    <w:rsid w:val="00FA5657"/>
    <w:rsid w:val="00FA5FD8"/>
    <w:rsid w:val="00FA693C"/>
    <w:rsid w:val="00FA73AF"/>
    <w:rsid w:val="00FA7C40"/>
    <w:rsid w:val="00FB02FC"/>
    <w:rsid w:val="00FB73E1"/>
    <w:rsid w:val="00FC1D32"/>
    <w:rsid w:val="00FC2DD2"/>
    <w:rsid w:val="00FC46A4"/>
    <w:rsid w:val="00FC486E"/>
    <w:rsid w:val="00FC5EAA"/>
    <w:rsid w:val="00FC7075"/>
    <w:rsid w:val="00FC796A"/>
    <w:rsid w:val="00FD030A"/>
    <w:rsid w:val="00FD2D1B"/>
    <w:rsid w:val="00FD54CC"/>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CV text,列"/>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列 Char"/>
    <w:link w:val="ListParagraph"/>
    <w:uiPriority w:val="34"/>
    <w:qFormat/>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customStyle="1" w:styleId="UnresolvedMention1">
    <w:name w:val="Unresolved Mention1"/>
    <w:basedOn w:val="DefaultParagraphFont"/>
    <w:uiPriority w:val="99"/>
    <w:semiHidden/>
    <w:unhideWhenUsed/>
    <w:rsid w:val="00B976CE"/>
    <w:rPr>
      <w:color w:val="605E5C"/>
      <w:shd w:val="clear" w:color="auto" w:fill="E1DFDD"/>
    </w:rPr>
  </w:style>
  <w:style w:type="paragraph" w:customStyle="1" w:styleId="Tablewriting">
    <w:name w:val="Table writing"/>
    <w:basedOn w:val="Normal"/>
    <w:qFormat/>
    <w:rsid w:val="006C4485"/>
    <w:pPr>
      <w:autoSpaceDE w:val="0"/>
      <w:autoSpaceDN w:val="0"/>
      <w:adjustRightInd w:val="0"/>
      <w:spacing w:before="60" w:after="60"/>
    </w:pPr>
    <w:rPr>
      <w:rFonts w:asciiTheme="minorHAnsi" w:eastAsiaTheme="minorEastAsia" w:hAnsi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336884324">
      <w:bodyDiv w:val="1"/>
      <w:marLeft w:val="0"/>
      <w:marRight w:val="0"/>
      <w:marTop w:val="0"/>
      <w:marBottom w:val="0"/>
      <w:divBdr>
        <w:top w:val="none" w:sz="0" w:space="0" w:color="auto"/>
        <w:left w:val="none" w:sz="0" w:space="0" w:color="auto"/>
        <w:bottom w:val="none" w:sz="0" w:space="0" w:color="auto"/>
        <w:right w:val="none" w:sz="0" w:space="0" w:color="auto"/>
      </w:divBdr>
    </w:div>
    <w:div w:id="426386690">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27496359">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490630756">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49906586">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ta-consultations.health.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SC@health.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bs.gov.au/info/industry/listing/elements/pbac-meetings/agenda/july-2025-pbac-mee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bs.gov.au/info/industry/listing/elements/pbac-meetings/agenda/july-2025-pbac-meetin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4DAA-B2F0-4C71-9E19-0BE0B08D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4687</Characters>
  <Application>Microsoft Office Word</Application>
  <DocSecurity>0</DocSecurity>
  <Lines>85</Lines>
  <Paragraphs>26</Paragraphs>
  <ScaleCrop>false</ScaleCrop>
  <LinksUpToDate>false</LinksUpToDate>
  <CharactersWithSpaces>5514</CharactersWithSpaces>
  <SharedDoc>false</SharedDoc>
  <HLinks>
    <vt:vector size="30" baseType="variant">
      <vt:variant>
        <vt:i4>2359374</vt:i4>
      </vt:variant>
      <vt:variant>
        <vt:i4>9</vt:i4>
      </vt:variant>
      <vt:variant>
        <vt:i4>0</vt:i4>
      </vt:variant>
      <vt:variant>
        <vt:i4>5</vt:i4>
      </vt:variant>
      <vt:variant>
        <vt:lpwstr>mailto:DUSC@health.gov.au</vt:lpwstr>
      </vt:variant>
      <vt:variant>
        <vt:lpwstr/>
      </vt:variant>
      <vt:variant>
        <vt:i4>3407977</vt:i4>
      </vt:variant>
      <vt:variant>
        <vt:i4>6</vt:i4>
      </vt:variant>
      <vt:variant>
        <vt:i4>0</vt:i4>
      </vt:variant>
      <vt:variant>
        <vt:i4>5</vt:i4>
      </vt:variant>
      <vt:variant>
        <vt:lpwstr>https://www.pbs.gov.au/info/industry/listing/elements/pbac-meetings/agenda/march-2024-pbac-meeting</vt:lpwstr>
      </vt:variant>
      <vt:variant>
        <vt:lpwstr/>
      </vt:variant>
      <vt:variant>
        <vt:i4>3407977</vt:i4>
      </vt:variant>
      <vt:variant>
        <vt:i4>3</vt:i4>
      </vt:variant>
      <vt:variant>
        <vt:i4>0</vt:i4>
      </vt:variant>
      <vt:variant>
        <vt:i4>5</vt:i4>
      </vt:variant>
      <vt:variant>
        <vt:lpwstr>https://www.pbs.gov.au/info/industry/listing/elements/pbac-meetings/agenda/march-2024-pbac-meeting</vt:lpwstr>
      </vt:variant>
      <vt:variant>
        <vt:lpwstr/>
      </vt:variant>
      <vt:variant>
        <vt:i4>262242</vt:i4>
      </vt:variant>
      <vt:variant>
        <vt:i4>0</vt:i4>
      </vt:variant>
      <vt:variant>
        <vt:i4>0</vt:i4>
      </vt:variant>
      <vt:variant>
        <vt:i4>5</vt:i4>
      </vt:variant>
      <vt:variant>
        <vt:lpwstr>https://www1.health.gov.au/internet/main/publishing.nsf/Content/PBAC_online_submission_form</vt:lpwstr>
      </vt:variant>
      <vt:variant>
        <vt:lpwstr/>
      </vt:variant>
      <vt:variant>
        <vt:i4>3080302</vt:i4>
      </vt:variant>
      <vt:variant>
        <vt:i4>0</vt:i4>
      </vt:variant>
      <vt:variant>
        <vt:i4>0</vt:i4>
      </vt:variant>
      <vt:variant>
        <vt:i4>5</vt:i4>
      </vt:variant>
      <vt:variant>
        <vt:lpwstr>https://www.pbs.gov.au/info/industry/listing/elements/pbac-meetings/pbac-consumer-comments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2026-03-11T04:23:00Z</dcterms:created>
  <dcterms:modified xsi:type="dcterms:W3CDTF">2026-03-11T04:23:00Z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3cfe9f0b,42e3b4dd,7ab9e8c5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4f0baa7a,708e472,52c187c4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2026-03-11T04:23:37Z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cc47e6a9-9c34-4ba3-9acb-ee507aa1a156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