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0382AE40"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514B27">
        <w:rPr>
          <w:sz w:val="24"/>
          <w:szCs w:val="24"/>
        </w:rPr>
        <w:t>4</w:t>
      </w:r>
      <w:r w:rsidR="00A10603" w:rsidRPr="00A10603">
        <w:rPr>
          <w:sz w:val="24"/>
          <w:szCs w:val="24"/>
          <w:vertAlign w:val="superscript"/>
        </w:rPr>
        <w:t>th</w:t>
      </w:r>
      <w:r w:rsidR="00A10603">
        <w:rPr>
          <w:sz w:val="24"/>
          <w:szCs w:val="24"/>
        </w:rPr>
        <w:t xml:space="preserve"> </w:t>
      </w:r>
      <w:r w:rsidRPr="005F3EF0">
        <w:rPr>
          <w:sz w:val="24"/>
          <w:szCs w:val="24"/>
        </w:rPr>
        <w:t>meeting on</w:t>
      </w:r>
      <w:r w:rsidR="00E4556A">
        <w:rPr>
          <w:sz w:val="24"/>
          <w:szCs w:val="24"/>
        </w:rPr>
        <w:t xml:space="preserve"> </w:t>
      </w:r>
      <w:r w:rsidR="00514B27">
        <w:rPr>
          <w:sz w:val="24"/>
          <w:szCs w:val="24"/>
        </w:rPr>
        <w:t>4 April</w:t>
      </w:r>
      <w:r w:rsidR="00950EA9">
        <w:rPr>
          <w:sz w:val="24"/>
          <w:szCs w:val="24"/>
        </w:rPr>
        <w:t xml:space="preserve"> 202</w:t>
      </w:r>
      <w:r w:rsidR="001C1C37">
        <w:rPr>
          <w:sz w:val="24"/>
          <w:szCs w:val="24"/>
        </w:rPr>
        <w:t>5</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14E3CB8D" w:rsidR="009237FF" w:rsidRDefault="00BE11AF" w:rsidP="008B6946">
      <w:pPr>
        <w:rPr>
          <w:sz w:val="24"/>
          <w:szCs w:val="24"/>
        </w:rPr>
      </w:pPr>
      <w:r w:rsidRPr="000C39EF">
        <w:rPr>
          <w:sz w:val="24"/>
          <w:szCs w:val="24"/>
        </w:rPr>
        <w:t xml:space="preserve">DUSC </w:t>
      </w:r>
      <w:r w:rsidR="004C424D">
        <w:rPr>
          <w:sz w:val="24"/>
          <w:szCs w:val="24"/>
        </w:rPr>
        <w:t xml:space="preserve">considered </w:t>
      </w:r>
      <w:r w:rsidR="003571C3">
        <w:rPr>
          <w:sz w:val="24"/>
          <w:szCs w:val="24"/>
        </w:rPr>
        <w:t>two</w:t>
      </w:r>
      <w:r w:rsidR="000C39EF" w:rsidRPr="001B1E36">
        <w:rPr>
          <w:sz w:val="24"/>
          <w:szCs w:val="24"/>
        </w:rPr>
        <w:t xml:space="preserve"> </w:t>
      </w:r>
      <w:r w:rsidR="000134E0" w:rsidRPr="001B1E36">
        <w:rPr>
          <w:sz w:val="24"/>
          <w:szCs w:val="24"/>
        </w:rPr>
        <w:t>category 1</w:t>
      </w:r>
      <w:r w:rsidR="005F19FA" w:rsidRPr="001B1E36">
        <w:rPr>
          <w:sz w:val="24"/>
          <w:szCs w:val="24"/>
        </w:rPr>
        <w:t xml:space="preserve"> submissions </w:t>
      </w:r>
      <w:r w:rsidR="004C424D">
        <w:rPr>
          <w:sz w:val="24"/>
          <w:szCs w:val="24"/>
        </w:rPr>
        <w:t xml:space="preserve">which </w:t>
      </w:r>
      <w:r w:rsidR="00ED6B09">
        <w:rPr>
          <w:sz w:val="24"/>
          <w:szCs w:val="24"/>
        </w:rPr>
        <w:t>will be considered at the May</w:t>
      </w:r>
      <w:r w:rsidR="00031486">
        <w:rPr>
          <w:sz w:val="24"/>
          <w:szCs w:val="24"/>
        </w:rPr>
        <w:t xml:space="preserve"> </w:t>
      </w:r>
      <w:r w:rsidR="00950EA9">
        <w:rPr>
          <w:sz w:val="24"/>
          <w:szCs w:val="24"/>
        </w:rPr>
        <w:t>202</w:t>
      </w:r>
      <w:r w:rsidR="009A3030">
        <w:rPr>
          <w:sz w:val="24"/>
          <w:szCs w:val="24"/>
        </w:rPr>
        <w:t>5</w:t>
      </w:r>
      <w:r w:rsidR="003F06C8" w:rsidRPr="00315152">
        <w:rPr>
          <w:sz w:val="24"/>
          <w:szCs w:val="24"/>
        </w:rPr>
        <w:t xml:space="preserve"> meeting of PBAC. </w:t>
      </w:r>
      <w:r w:rsidR="007F4FD5" w:rsidRPr="00A45D73">
        <w:rPr>
          <w:sz w:val="24"/>
          <w:szCs w:val="24"/>
        </w:rPr>
        <w:t>The agenda for the</w:t>
      </w:r>
      <w:r w:rsidR="007F4FD5">
        <w:rPr>
          <w:sz w:val="24"/>
          <w:szCs w:val="24"/>
        </w:rPr>
        <w:t xml:space="preserve"> May</w:t>
      </w:r>
      <w:r w:rsidR="007F4FD5" w:rsidRPr="00950EA9">
        <w:rPr>
          <w:sz w:val="24"/>
          <w:szCs w:val="24"/>
        </w:rPr>
        <w:t xml:space="preserve"> 202</w:t>
      </w:r>
      <w:r w:rsidR="007F4FD5">
        <w:rPr>
          <w:sz w:val="24"/>
          <w:szCs w:val="24"/>
        </w:rPr>
        <w:t>5</w:t>
      </w:r>
      <w:r w:rsidR="007F4FD5" w:rsidRPr="00950EA9">
        <w:rPr>
          <w:sz w:val="24"/>
          <w:szCs w:val="24"/>
        </w:rPr>
        <w:t xml:space="preserve"> </w:t>
      </w:r>
      <w:r w:rsidR="007F4FD5" w:rsidRPr="00A45D73">
        <w:rPr>
          <w:sz w:val="24"/>
          <w:szCs w:val="24"/>
        </w:rPr>
        <w:t xml:space="preserve">PBAC meeting can be found on the </w:t>
      </w:r>
      <w:hyperlink r:id="rId9" w:history="1">
        <w:r w:rsidR="007F4FD5" w:rsidRPr="00B976CE">
          <w:rPr>
            <w:rStyle w:val="Hyperlink"/>
            <w:sz w:val="24"/>
            <w:szCs w:val="24"/>
          </w:rPr>
          <w:t>PBS</w:t>
        </w:r>
        <w:r w:rsidR="007F4FD5" w:rsidRPr="00B976CE">
          <w:rPr>
            <w:rStyle w:val="Hyperlink"/>
            <w:sz w:val="24"/>
            <w:szCs w:val="24"/>
          </w:rPr>
          <w:t> </w:t>
        </w:r>
        <w:r w:rsidR="007F4FD5" w:rsidRPr="00B976CE">
          <w:rPr>
            <w:rStyle w:val="Hyperlink"/>
            <w:sz w:val="24"/>
            <w:szCs w:val="24"/>
          </w:rPr>
          <w:t>website</w:t>
        </w:r>
      </w:hyperlink>
      <w:r w:rsidR="007F4FD5" w:rsidRPr="00A45D73">
        <w:rPr>
          <w:sz w:val="24"/>
          <w:szCs w:val="24"/>
        </w:rPr>
        <w:t>.</w:t>
      </w:r>
      <w:r w:rsidR="007F4FD5">
        <w:rPr>
          <w:sz w:val="24"/>
          <w:szCs w:val="24"/>
        </w:rPr>
        <w:t xml:space="preserve">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p>
    <w:p w14:paraId="4EB951D6" w14:textId="77777777" w:rsidR="004C3F0A" w:rsidRDefault="004C3F0A" w:rsidP="009D2858">
      <w:pPr>
        <w:rPr>
          <w:sz w:val="24"/>
          <w:szCs w:val="24"/>
        </w:rPr>
      </w:pPr>
    </w:p>
    <w:p w14:paraId="2BD062C8" w14:textId="77777777" w:rsidR="004C3F0A" w:rsidRPr="004566A9" w:rsidRDefault="004C3F0A" w:rsidP="004C3F0A">
      <w:pPr>
        <w:pStyle w:val="Heading2"/>
      </w:pPr>
      <w:r>
        <w:t>Utilisation of PBS L</w:t>
      </w:r>
      <w:r w:rsidRPr="004566A9">
        <w:t xml:space="preserve">isted </w:t>
      </w:r>
      <w:r>
        <w:t>Medicine</w:t>
      </w:r>
      <w:r w:rsidRPr="004566A9">
        <w:t>s</w:t>
      </w:r>
    </w:p>
    <w:p w14:paraId="7D8263F8" w14:textId="7FD1919A" w:rsidR="004C3F0A" w:rsidRPr="00B12248" w:rsidRDefault="004C3F0A" w:rsidP="004C3F0A">
      <w:pPr>
        <w:ind w:right="-305"/>
        <w:rPr>
          <w:sz w:val="24"/>
          <w:szCs w:val="24"/>
        </w:rPr>
      </w:pPr>
      <w:r w:rsidRPr="00B12248">
        <w:rPr>
          <w:sz w:val="24"/>
          <w:szCs w:val="24"/>
        </w:rPr>
        <w:t xml:space="preserve">DUSC regularly examines utilisation of </w:t>
      </w:r>
      <w:r w:rsidRPr="00AA5D66">
        <w:rPr>
          <w:sz w:val="24"/>
          <w:szCs w:val="24"/>
        </w:rPr>
        <w:t xml:space="preserve">Pharmaceutical Benefits Scheme </w:t>
      </w:r>
      <w:r>
        <w:rPr>
          <w:sz w:val="24"/>
          <w:szCs w:val="24"/>
        </w:rPr>
        <w:t>(</w:t>
      </w:r>
      <w:r w:rsidRPr="00B12248">
        <w:rPr>
          <w:sz w:val="24"/>
          <w:szCs w:val="24"/>
        </w:rPr>
        <w:t>PBS</w:t>
      </w:r>
      <w:r>
        <w:rPr>
          <w:sz w:val="24"/>
          <w:szCs w:val="24"/>
        </w:rPr>
        <w:t>)</w:t>
      </w:r>
      <w:r w:rsidRPr="00B12248">
        <w:rPr>
          <w:sz w:val="24"/>
          <w:szCs w:val="24"/>
        </w:rPr>
        <w:t xml:space="preserve"> items when there is at least 24 months of prescription data available and where DUSC or the PBAC has</w:t>
      </w:r>
      <w:r>
        <w:rPr>
          <w:sz w:val="24"/>
          <w:szCs w:val="24"/>
        </w:rPr>
        <w:t xml:space="preserve"> </w:t>
      </w:r>
      <w:r w:rsidRPr="00B12248">
        <w:rPr>
          <w:sz w:val="24"/>
          <w:szCs w:val="24"/>
        </w:rPr>
        <w:t>highlighted items of interest. When an analysis of utilisation is to be undertaken sponsors are notified</w:t>
      </w:r>
      <w:r>
        <w:rPr>
          <w:sz w:val="24"/>
          <w:szCs w:val="24"/>
        </w:rPr>
        <w:t xml:space="preserve"> and</w:t>
      </w:r>
      <w:r w:rsidRPr="00B12248">
        <w:rPr>
          <w:sz w:val="24"/>
          <w:szCs w:val="24"/>
        </w:rPr>
        <w:t xml:space="preserve"> provided with a copy of the report and an opportunity to comment prior to the DUSC meeting. Reviews to be considered by the PBAC are also published in the </w:t>
      </w:r>
      <w:hyperlink r:id="rId10" w:history="1">
        <w:r w:rsidRPr="00E10549">
          <w:rPr>
            <w:rStyle w:val="Hyperlink"/>
            <w:sz w:val="24"/>
            <w:szCs w:val="24"/>
          </w:rPr>
          <w:t>PBAC me</w:t>
        </w:r>
        <w:r w:rsidRPr="00E10549">
          <w:rPr>
            <w:rStyle w:val="Hyperlink"/>
            <w:sz w:val="24"/>
            <w:szCs w:val="24"/>
          </w:rPr>
          <w:t>e</w:t>
        </w:r>
        <w:r w:rsidRPr="00E10549">
          <w:rPr>
            <w:rStyle w:val="Hyperlink"/>
            <w:sz w:val="24"/>
            <w:szCs w:val="24"/>
          </w:rPr>
          <w:t>ting agenda</w:t>
        </w:r>
      </w:hyperlink>
      <w:r w:rsidRPr="00B12248">
        <w:rPr>
          <w:sz w:val="24"/>
          <w:szCs w:val="24"/>
        </w:rPr>
        <w:t>.</w:t>
      </w:r>
      <w:r>
        <w:rPr>
          <w:sz w:val="24"/>
          <w:szCs w:val="24"/>
        </w:rPr>
        <w:t xml:space="preserve"> </w:t>
      </w:r>
      <w:r w:rsidRPr="00B12248">
        <w:rPr>
          <w:sz w:val="24"/>
          <w:szCs w:val="24"/>
        </w:rPr>
        <w:t xml:space="preserve">All reports, </w:t>
      </w:r>
      <w:r>
        <w:rPr>
          <w:sz w:val="24"/>
          <w:szCs w:val="24"/>
        </w:rPr>
        <w:t>sponsor</w:t>
      </w:r>
      <w:r w:rsidRPr="00B12248">
        <w:rPr>
          <w:sz w:val="24"/>
          <w:szCs w:val="24"/>
        </w:rPr>
        <w:t xml:space="preserve"> comments and DUSC assessment of the reports are subsequently provided to the PBAC.</w:t>
      </w:r>
    </w:p>
    <w:p w14:paraId="0E4222F3" w14:textId="77777777" w:rsidR="004C3F0A" w:rsidRPr="00B12248" w:rsidRDefault="004C3F0A" w:rsidP="004C3F0A">
      <w:pPr>
        <w:rPr>
          <w:sz w:val="24"/>
          <w:szCs w:val="24"/>
        </w:rPr>
      </w:pPr>
    </w:p>
    <w:p w14:paraId="1A436F83" w14:textId="0E9F6054" w:rsidR="004C3F0A" w:rsidRPr="00CA347D" w:rsidRDefault="004C3F0A" w:rsidP="004C3F0A">
      <w:pPr>
        <w:rPr>
          <w:sz w:val="24"/>
          <w:szCs w:val="24"/>
        </w:rPr>
      </w:pPr>
      <w:r w:rsidRPr="00B12248">
        <w:rPr>
          <w:sz w:val="24"/>
          <w:szCs w:val="24"/>
        </w:rPr>
        <w:t xml:space="preserve">DUSC reviewed the utilisation of the following PBS medicines </w:t>
      </w:r>
      <w:r>
        <w:rPr>
          <w:sz w:val="24"/>
          <w:szCs w:val="24"/>
        </w:rPr>
        <w:t>in April 2025</w:t>
      </w:r>
      <w:r w:rsidRPr="00B12248">
        <w:rPr>
          <w:sz w:val="24"/>
          <w:szCs w:val="24"/>
        </w:rPr>
        <w:t>:</w:t>
      </w:r>
    </w:p>
    <w:p w14:paraId="33BE2826" w14:textId="77777777" w:rsidR="004C3F0A" w:rsidRDefault="004C3F0A" w:rsidP="009D2858">
      <w:pPr>
        <w:rPr>
          <w:sz w:val="24"/>
          <w:szCs w:val="24"/>
        </w:rPr>
      </w:pPr>
    </w:p>
    <w:p w14:paraId="0AF24E4B" w14:textId="5765454D" w:rsidR="004C3F0A" w:rsidRPr="00503B8A" w:rsidRDefault="005C5161" w:rsidP="009D2858">
      <w:pPr>
        <w:rPr>
          <w:rFonts w:eastAsia="Calibri"/>
          <w:b/>
          <w:sz w:val="24"/>
          <w:szCs w:val="24"/>
        </w:rPr>
      </w:pPr>
      <w:r>
        <w:rPr>
          <w:rFonts w:eastAsia="Calibri"/>
          <w:b/>
          <w:sz w:val="24"/>
          <w:szCs w:val="24"/>
        </w:rPr>
        <w:t>S</w:t>
      </w:r>
      <w:r w:rsidR="00663A67" w:rsidRPr="00663A67">
        <w:rPr>
          <w:rFonts w:eastAsia="Calibri"/>
          <w:b/>
          <w:sz w:val="24"/>
          <w:szCs w:val="24"/>
        </w:rPr>
        <w:t>ingle inhaler triple therapies for severe asthma</w:t>
      </w:r>
    </w:p>
    <w:p w14:paraId="699CF989" w14:textId="1FD8F960" w:rsidR="0059492C" w:rsidRPr="009B1BF9" w:rsidRDefault="004D6063" w:rsidP="00BC0FF7">
      <w:pPr>
        <w:contextualSpacing/>
        <w:rPr>
          <w:sz w:val="24"/>
          <w:szCs w:val="24"/>
        </w:rPr>
      </w:pPr>
      <w:r>
        <w:rPr>
          <w:sz w:val="24"/>
          <w:szCs w:val="24"/>
        </w:rPr>
        <w:t>DUSC reviewed the utilisation of the following single inhaler therapies</w:t>
      </w:r>
      <w:r w:rsidR="000E61B2">
        <w:rPr>
          <w:sz w:val="24"/>
          <w:szCs w:val="24"/>
        </w:rPr>
        <w:t xml:space="preserve"> for the treatment of severe asthma</w:t>
      </w:r>
      <w:r>
        <w:rPr>
          <w:sz w:val="24"/>
          <w:szCs w:val="24"/>
        </w:rPr>
        <w:t>: f</w:t>
      </w:r>
      <w:r w:rsidR="009B1BF9" w:rsidRPr="009B1BF9">
        <w:rPr>
          <w:sz w:val="24"/>
          <w:szCs w:val="24"/>
        </w:rPr>
        <w:t>luticasone furoate + umeclidinium + vilanterol, beclomethasone + formoterol + glycopyrronium and mometasone + indacaterol + glycopyrroniu</w:t>
      </w:r>
      <w:r>
        <w:rPr>
          <w:sz w:val="24"/>
          <w:szCs w:val="24"/>
        </w:rPr>
        <w:t>m</w:t>
      </w:r>
      <w:r w:rsidR="009B1BF9" w:rsidRPr="009B1BF9">
        <w:rPr>
          <w:sz w:val="24"/>
          <w:szCs w:val="24"/>
        </w:rPr>
        <w:t>.</w:t>
      </w:r>
      <w:r>
        <w:rPr>
          <w:sz w:val="24"/>
          <w:szCs w:val="24"/>
        </w:rPr>
        <w:t xml:space="preserve"> </w:t>
      </w:r>
      <w:r w:rsidR="0034501C">
        <w:rPr>
          <w:sz w:val="24"/>
          <w:szCs w:val="24"/>
        </w:rPr>
        <w:t>Government e</w:t>
      </w:r>
      <w:r w:rsidR="00BC0FF7">
        <w:rPr>
          <w:sz w:val="24"/>
          <w:szCs w:val="24"/>
        </w:rPr>
        <w:t xml:space="preserve">xpenditure on </w:t>
      </w:r>
      <w:r w:rsidR="00BC0FF7" w:rsidRPr="00BC0FF7">
        <w:rPr>
          <w:sz w:val="24"/>
          <w:szCs w:val="24"/>
        </w:rPr>
        <w:t xml:space="preserve">inhaler therapies had remained </w:t>
      </w:r>
      <w:r w:rsidR="0034501C">
        <w:rPr>
          <w:sz w:val="24"/>
          <w:szCs w:val="24"/>
        </w:rPr>
        <w:t>at similar levels after</w:t>
      </w:r>
      <w:r w:rsidR="00BC0FF7" w:rsidRPr="00BC0FF7">
        <w:rPr>
          <w:sz w:val="24"/>
          <w:szCs w:val="24"/>
        </w:rPr>
        <w:t xml:space="preserve"> the introduction of</w:t>
      </w:r>
      <w:r w:rsidR="0034501C">
        <w:rPr>
          <w:sz w:val="24"/>
          <w:szCs w:val="24"/>
        </w:rPr>
        <w:t xml:space="preserve"> the</w:t>
      </w:r>
      <w:r w:rsidR="00BC0FF7" w:rsidRPr="00BC0FF7">
        <w:rPr>
          <w:sz w:val="24"/>
          <w:szCs w:val="24"/>
        </w:rPr>
        <w:t xml:space="preserve"> single inhaler triple therapies</w:t>
      </w:r>
      <w:r w:rsidR="00440119">
        <w:rPr>
          <w:sz w:val="24"/>
          <w:szCs w:val="24"/>
        </w:rPr>
        <w:t xml:space="preserve"> which was </w:t>
      </w:r>
      <w:r w:rsidR="0017116B">
        <w:rPr>
          <w:sz w:val="24"/>
          <w:szCs w:val="24"/>
        </w:rPr>
        <w:t>a result of</w:t>
      </w:r>
      <w:r w:rsidR="00440119">
        <w:rPr>
          <w:sz w:val="24"/>
          <w:szCs w:val="24"/>
        </w:rPr>
        <w:t xml:space="preserve"> a </w:t>
      </w:r>
      <w:r w:rsidR="00440119" w:rsidRPr="00440119">
        <w:rPr>
          <w:sz w:val="24"/>
          <w:szCs w:val="24"/>
        </w:rPr>
        <w:t xml:space="preserve">decrease in </w:t>
      </w:r>
      <w:r w:rsidR="00440119">
        <w:rPr>
          <w:sz w:val="24"/>
          <w:szCs w:val="24"/>
        </w:rPr>
        <w:t xml:space="preserve">the </w:t>
      </w:r>
      <w:r w:rsidR="00440119" w:rsidRPr="00440119">
        <w:rPr>
          <w:sz w:val="24"/>
          <w:szCs w:val="24"/>
        </w:rPr>
        <w:t>utilisation of the constituent medicines within the triple therapy products.</w:t>
      </w:r>
      <w:r w:rsidR="00440119">
        <w:rPr>
          <w:sz w:val="24"/>
          <w:szCs w:val="24"/>
        </w:rPr>
        <w:t xml:space="preserve"> DUSC considered </w:t>
      </w:r>
      <w:r w:rsidR="00440119" w:rsidRPr="00440119">
        <w:rPr>
          <w:sz w:val="24"/>
          <w:szCs w:val="24"/>
        </w:rPr>
        <w:t>a potential quality use of medicines issue</w:t>
      </w:r>
      <w:r w:rsidR="00440119">
        <w:rPr>
          <w:sz w:val="24"/>
          <w:szCs w:val="24"/>
        </w:rPr>
        <w:t xml:space="preserve"> </w:t>
      </w:r>
      <w:r w:rsidR="0017116B">
        <w:rPr>
          <w:sz w:val="24"/>
          <w:szCs w:val="24"/>
        </w:rPr>
        <w:t xml:space="preserve">could arise </w:t>
      </w:r>
      <w:r w:rsidR="0059492C">
        <w:rPr>
          <w:sz w:val="24"/>
          <w:szCs w:val="24"/>
        </w:rPr>
        <w:t xml:space="preserve">if the </w:t>
      </w:r>
      <w:r w:rsidR="0059492C" w:rsidRPr="0059492C">
        <w:rPr>
          <w:sz w:val="24"/>
          <w:szCs w:val="24"/>
        </w:rPr>
        <w:t xml:space="preserve">convenience of a single inhaler </w:t>
      </w:r>
      <w:r w:rsidR="0017116B">
        <w:rPr>
          <w:sz w:val="24"/>
          <w:szCs w:val="24"/>
        </w:rPr>
        <w:t xml:space="preserve">triple therapy </w:t>
      </w:r>
      <w:r w:rsidR="0059492C" w:rsidRPr="0059492C">
        <w:rPr>
          <w:sz w:val="24"/>
          <w:szCs w:val="24"/>
        </w:rPr>
        <w:t xml:space="preserve">product was leading to less use of traditional step-wised approaches to treatment resulting in </w:t>
      </w:r>
      <w:r w:rsidR="00A2319C">
        <w:rPr>
          <w:sz w:val="24"/>
          <w:szCs w:val="24"/>
        </w:rPr>
        <w:t xml:space="preserve">an </w:t>
      </w:r>
      <w:r w:rsidR="0059492C" w:rsidRPr="0059492C">
        <w:rPr>
          <w:sz w:val="24"/>
          <w:szCs w:val="24"/>
        </w:rPr>
        <w:t xml:space="preserve">overexposure </w:t>
      </w:r>
      <w:r w:rsidR="00A2319C">
        <w:rPr>
          <w:sz w:val="24"/>
          <w:szCs w:val="24"/>
        </w:rPr>
        <w:t xml:space="preserve">of patients </w:t>
      </w:r>
      <w:r w:rsidR="0059492C" w:rsidRPr="0059492C">
        <w:rPr>
          <w:sz w:val="24"/>
          <w:szCs w:val="24"/>
        </w:rPr>
        <w:t>to higher concentrations of ingredients than necessary for symptom management</w:t>
      </w:r>
      <w:r w:rsidR="0059492C">
        <w:rPr>
          <w:sz w:val="24"/>
          <w:szCs w:val="24"/>
        </w:rPr>
        <w:t>.</w:t>
      </w:r>
    </w:p>
    <w:p w14:paraId="2A96E031" w14:textId="77777777" w:rsidR="009B1BF9" w:rsidRPr="009B1BF9" w:rsidRDefault="009B1BF9" w:rsidP="009B1BF9">
      <w:pPr>
        <w:spacing w:after="200" w:line="276" w:lineRule="auto"/>
        <w:contextualSpacing/>
      </w:pPr>
    </w:p>
    <w:p w14:paraId="47FB7DB6" w14:textId="6320916F" w:rsidR="004C41C0" w:rsidRPr="00503B8A" w:rsidRDefault="006C4485" w:rsidP="00503B8A">
      <w:pPr>
        <w:contextualSpacing/>
        <w:rPr>
          <w:rFonts w:eastAsia="Calibri"/>
          <w:b/>
          <w:sz w:val="24"/>
          <w:szCs w:val="24"/>
        </w:rPr>
      </w:pPr>
      <w:r>
        <w:rPr>
          <w:rFonts w:eastAsia="Calibri"/>
          <w:b/>
          <w:sz w:val="24"/>
          <w:szCs w:val="24"/>
        </w:rPr>
        <w:t>G</w:t>
      </w:r>
      <w:r w:rsidR="004C41C0" w:rsidRPr="004C41C0">
        <w:rPr>
          <w:rFonts w:eastAsia="Calibri"/>
          <w:b/>
          <w:sz w:val="24"/>
          <w:szCs w:val="24"/>
        </w:rPr>
        <w:t>astrointestinal stromal tumours</w:t>
      </w:r>
    </w:p>
    <w:p w14:paraId="3C9FDCEB" w14:textId="4466BAF2" w:rsidR="00402100" w:rsidRPr="00402100" w:rsidRDefault="00AB532F" w:rsidP="00503B8A">
      <w:pPr>
        <w:pStyle w:val="Tablewriting"/>
        <w:spacing w:before="0" w:after="0"/>
        <w:contextualSpacing/>
        <w:rPr>
          <w:sz w:val="24"/>
          <w:szCs w:val="24"/>
        </w:rPr>
      </w:pPr>
      <w:r>
        <w:rPr>
          <w:sz w:val="24"/>
          <w:szCs w:val="24"/>
        </w:rPr>
        <w:t xml:space="preserve">DUSC reviewed the utilisation of </w:t>
      </w:r>
      <w:r w:rsidR="006C4485">
        <w:rPr>
          <w:sz w:val="24"/>
          <w:szCs w:val="24"/>
        </w:rPr>
        <w:t xml:space="preserve">imatinib, </w:t>
      </w:r>
      <w:r w:rsidR="006C4485" w:rsidRPr="006C4485">
        <w:rPr>
          <w:sz w:val="24"/>
          <w:szCs w:val="24"/>
        </w:rPr>
        <w:t>ripretinib and sunitinib for the treatment of gastrointestinal stromal tumours</w:t>
      </w:r>
      <w:r w:rsidR="007D121E">
        <w:rPr>
          <w:sz w:val="24"/>
          <w:szCs w:val="24"/>
        </w:rPr>
        <w:t xml:space="preserve"> (GIST)</w:t>
      </w:r>
      <w:r w:rsidR="006C4485" w:rsidRPr="006C4485">
        <w:rPr>
          <w:sz w:val="24"/>
          <w:szCs w:val="24"/>
        </w:rPr>
        <w:t xml:space="preserve">. </w:t>
      </w:r>
      <w:r w:rsidR="00402100" w:rsidRPr="00402100">
        <w:rPr>
          <w:sz w:val="24"/>
          <w:szCs w:val="24"/>
        </w:rPr>
        <w:t>In 2022, 1,371 patients were supplied 9,406 prescriptions for the treatment of GIST</w:t>
      </w:r>
      <w:r w:rsidR="00D74E67">
        <w:rPr>
          <w:sz w:val="24"/>
          <w:szCs w:val="24"/>
        </w:rPr>
        <w:t xml:space="preserve"> and in 2023, </w:t>
      </w:r>
      <w:r w:rsidR="00402100" w:rsidRPr="00402100">
        <w:rPr>
          <w:sz w:val="24"/>
          <w:szCs w:val="24"/>
        </w:rPr>
        <w:t>1,431 patients were supplied 9,940 prescriptions</w:t>
      </w:r>
      <w:r w:rsidR="00D74E67">
        <w:rPr>
          <w:sz w:val="24"/>
          <w:szCs w:val="24"/>
        </w:rPr>
        <w:t xml:space="preserve">. </w:t>
      </w:r>
      <w:r w:rsidR="00C05221" w:rsidRPr="00C05221">
        <w:rPr>
          <w:sz w:val="24"/>
          <w:szCs w:val="24"/>
        </w:rPr>
        <w:t xml:space="preserve">DUSC noted the number of initiating patients in the metastatic setting had </w:t>
      </w:r>
      <w:r w:rsidR="00C05221" w:rsidRPr="00C05221">
        <w:rPr>
          <w:sz w:val="24"/>
          <w:szCs w:val="24"/>
        </w:rPr>
        <w:lastRenderedPageBreak/>
        <w:t xml:space="preserve">remained relatively stable, whereas </w:t>
      </w:r>
      <w:r w:rsidR="006079FB">
        <w:rPr>
          <w:sz w:val="24"/>
          <w:szCs w:val="24"/>
        </w:rPr>
        <w:t>there was an increase in the</w:t>
      </w:r>
      <w:r w:rsidR="00C05221" w:rsidRPr="00C05221">
        <w:rPr>
          <w:sz w:val="24"/>
          <w:szCs w:val="24"/>
        </w:rPr>
        <w:t xml:space="preserve"> number of initiating patients in the adjuvant setting.</w:t>
      </w:r>
      <w:r w:rsidR="006079FB">
        <w:rPr>
          <w:sz w:val="24"/>
          <w:szCs w:val="24"/>
        </w:rPr>
        <w:t xml:space="preserve"> </w:t>
      </w:r>
    </w:p>
    <w:p w14:paraId="319BCCE3" w14:textId="77777777" w:rsidR="00AB532F" w:rsidRDefault="00AB532F" w:rsidP="009D2858">
      <w:pPr>
        <w:rPr>
          <w:sz w:val="24"/>
          <w:szCs w:val="24"/>
        </w:rPr>
      </w:pPr>
    </w:p>
    <w:p w14:paraId="362BA808" w14:textId="13698A93" w:rsidR="004C41C0" w:rsidRPr="004C41C0" w:rsidRDefault="004C41C0" w:rsidP="009D2858">
      <w:pPr>
        <w:rPr>
          <w:rFonts w:eastAsia="Calibri"/>
          <w:b/>
          <w:sz w:val="24"/>
          <w:szCs w:val="24"/>
        </w:rPr>
      </w:pPr>
      <w:r w:rsidRPr="004C41C0">
        <w:rPr>
          <w:rFonts w:eastAsia="Calibri"/>
          <w:b/>
          <w:sz w:val="24"/>
          <w:szCs w:val="24"/>
        </w:rPr>
        <w:t>Zanubrutin</w:t>
      </w:r>
      <w:r w:rsidR="004B5FB7">
        <w:rPr>
          <w:rFonts w:eastAsia="Calibri"/>
          <w:b/>
          <w:sz w:val="24"/>
          <w:szCs w:val="24"/>
        </w:rPr>
        <w:t>i</w:t>
      </w:r>
      <w:r w:rsidRPr="004C41C0">
        <w:rPr>
          <w:rFonts w:eastAsia="Calibri"/>
          <w:b/>
          <w:sz w:val="24"/>
          <w:szCs w:val="24"/>
        </w:rPr>
        <w:t xml:space="preserve">b for </w:t>
      </w:r>
      <w:r w:rsidR="001759B2" w:rsidRPr="001759B2">
        <w:rPr>
          <w:rFonts w:eastAsia="Calibri"/>
          <w:b/>
          <w:sz w:val="24"/>
          <w:szCs w:val="24"/>
        </w:rPr>
        <w:t>Waldenström</w:t>
      </w:r>
      <w:r w:rsidRPr="004C41C0">
        <w:rPr>
          <w:rFonts w:eastAsia="Calibri"/>
          <w:b/>
          <w:sz w:val="24"/>
          <w:szCs w:val="24"/>
        </w:rPr>
        <w:t xml:space="preserve"> macroglobulinaemia</w:t>
      </w:r>
    </w:p>
    <w:p w14:paraId="1F2CE2A4" w14:textId="0DBDB80C" w:rsidR="004C41C0" w:rsidRDefault="004B5FB7" w:rsidP="009D2858">
      <w:pPr>
        <w:rPr>
          <w:sz w:val="24"/>
          <w:szCs w:val="24"/>
        </w:rPr>
      </w:pPr>
      <w:r>
        <w:rPr>
          <w:sz w:val="24"/>
          <w:szCs w:val="24"/>
        </w:rPr>
        <w:t xml:space="preserve">DUSC reviewed the utilisation of zanubrutinib for the treatment of </w:t>
      </w:r>
      <w:r w:rsidR="001759B2" w:rsidRPr="001759B2">
        <w:rPr>
          <w:sz w:val="24"/>
          <w:szCs w:val="24"/>
        </w:rPr>
        <w:t>Waldenström</w:t>
      </w:r>
      <w:r>
        <w:rPr>
          <w:sz w:val="24"/>
          <w:szCs w:val="24"/>
        </w:rPr>
        <w:t xml:space="preserve"> macroglobulinaemia. In </w:t>
      </w:r>
      <w:r w:rsidRPr="004B5FB7">
        <w:rPr>
          <w:sz w:val="24"/>
          <w:szCs w:val="24"/>
        </w:rPr>
        <w:t xml:space="preserve">2022-23, 413 patients were supplied 2,463 prescriptions and in 2023-24, 723 patients were supplied 4,962 prescriptions. </w:t>
      </w:r>
      <w:r w:rsidR="00D34F35" w:rsidRPr="00D34F35">
        <w:rPr>
          <w:sz w:val="24"/>
          <w:szCs w:val="24"/>
        </w:rPr>
        <w:t xml:space="preserve">More males than females </w:t>
      </w:r>
      <w:r w:rsidR="00D34F35">
        <w:rPr>
          <w:sz w:val="24"/>
          <w:szCs w:val="24"/>
        </w:rPr>
        <w:t>were</w:t>
      </w:r>
      <w:r w:rsidR="00D34F35" w:rsidRPr="00D34F35">
        <w:rPr>
          <w:sz w:val="24"/>
          <w:szCs w:val="24"/>
        </w:rPr>
        <w:t xml:space="preserve"> dispensed zanubrutinib</w:t>
      </w:r>
      <w:r w:rsidR="00D34F35">
        <w:rPr>
          <w:sz w:val="24"/>
          <w:szCs w:val="24"/>
        </w:rPr>
        <w:t xml:space="preserve"> </w:t>
      </w:r>
      <w:r w:rsidR="00D34F35" w:rsidRPr="00D34F35">
        <w:rPr>
          <w:sz w:val="24"/>
          <w:szCs w:val="24"/>
        </w:rPr>
        <w:t xml:space="preserve">at a ratio of approx. 5:3 which </w:t>
      </w:r>
      <w:r w:rsidR="00D34F35">
        <w:rPr>
          <w:sz w:val="24"/>
          <w:szCs w:val="24"/>
        </w:rPr>
        <w:t xml:space="preserve">DUSC noted </w:t>
      </w:r>
      <w:r w:rsidR="00D34F35" w:rsidRPr="00D34F35">
        <w:rPr>
          <w:sz w:val="24"/>
          <w:szCs w:val="24"/>
        </w:rPr>
        <w:t>mirror</w:t>
      </w:r>
      <w:r w:rsidR="00D34F35">
        <w:rPr>
          <w:sz w:val="24"/>
          <w:szCs w:val="24"/>
        </w:rPr>
        <w:t>ed</w:t>
      </w:r>
      <w:r w:rsidR="00D34F35" w:rsidRPr="00D34F35">
        <w:rPr>
          <w:sz w:val="24"/>
          <w:szCs w:val="24"/>
        </w:rPr>
        <w:t xml:space="preserve"> the incidence of </w:t>
      </w:r>
      <w:r w:rsidR="001759B2" w:rsidRPr="001759B2">
        <w:rPr>
          <w:sz w:val="24"/>
          <w:szCs w:val="24"/>
        </w:rPr>
        <w:t>Waldenström</w:t>
      </w:r>
      <w:r w:rsidR="00D34F35">
        <w:rPr>
          <w:sz w:val="24"/>
          <w:szCs w:val="24"/>
        </w:rPr>
        <w:t xml:space="preserve"> macroglobulinaemia </w:t>
      </w:r>
      <w:r w:rsidR="00D34F35" w:rsidRPr="00D34F35">
        <w:rPr>
          <w:sz w:val="24"/>
          <w:szCs w:val="24"/>
        </w:rPr>
        <w:t>in the Australian population</w:t>
      </w:r>
      <w:r w:rsidR="00D34F35">
        <w:rPr>
          <w:sz w:val="24"/>
          <w:szCs w:val="24"/>
        </w:rPr>
        <w:t>.</w:t>
      </w:r>
    </w:p>
    <w:p w14:paraId="7B591D14" w14:textId="77777777" w:rsidR="004C41C0" w:rsidRDefault="004C41C0" w:rsidP="009D2858">
      <w:pPr>
        <w:rPr>
          <w:sz w:val="24"/>
          <w:szCs w:val="24"/>
        </w:rPr>
      </w:pPr>
    </w:p>
    <w:p w14:paraId="329556B4" w14:textId="1AAB6373" w:rsidR="00044A87" w:rsidRPr="00044A87" w:rsidRDefault="00044A87" w:rsidP="00044A87">
      <w:pPr>
        <w:rPr>
          <w:sz w:val="24"/>
          <w:szCs w:val="24"/>
        </w:rPr>
      </w:pPr>
      <w:r w:rsidRPr="00044A87">
        <w:rPr>
          <w:sz w:val="24"/>
          <w:szCs w:val="24"/>
        </w:rPr>
        <w:t>DUSC requested that the utilisation reports be provided to the PBAC for consideration.</w:t>
      </w:r>
    </w:p>
    <w:p w14:paraId="172909C2" w14:textId="77777777" w:rsidR="004C41C0" w:rsidRDefault="004C41C0" w:rsidP="009D2858">
      <w:pPr>
        <w:rPr>
          <w:sz w:val="24"/>
          <w:szCs w:val="24"/>
        </w:rPr>
      </w:pPr>
    </w:p>
    <w:p w14:paraId="47783227" w14:textId="15DD6245"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D0F2" w14:textId="77777777" w:rsidR="00F479AE" w:rsidRDefault="00F479AE">
      <w:r>
        <w:separator/>
      </w:r>
    </w:p>
  </w:endnote>
  <w:endnote w:type="continuationSeparator" w:id="0">
    <w:p w14:paraId="4E5DF623" w14:textId="77777777" w:rsidR="00F479AE" w:rsidRDefault="00F479AE">
      <w:r>
        <w:continuationSeparator/>
      </w:r>
    </w:p>
  </w:endnote>
  <w:endnote w:type="continuationNotice" w:id="1">
    <w:p w14:paraId="1340F963" w14:textId="77777777" w:rsidR="00F479AE" w:rsidRDefault="00F47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482E" w14:textId="4146564E" w:rsidR="00BD0815" w:rsidRDefault="005C0F60">
    <w:pPr>
      <w:pStyle w:val="Footer"/>
    </w:pPr>
    <w:r>
      <w:rPr>
        <w:noProof/>
      </w:rPr>
      <mc:AlternateContent>
        <mc:Choice Requires="wps">
          <w:drawing>
            <wp:anchor distT="0" distB="0" distL="0" distR="0" simplePos="0" relativeHeight="251668480" behindDoc="0" locked="0" layoutInCell="1" allowOverlap="1" wp14:anchorId="4269BC30" wp14:editId="3D03BEBD">
              <wp:simplePos x="635" y="635"/>
              <wp:positionH relativeFrom="page">
                <wp:align>center</wp:align>
              </wp:positionH>
              <wp:positionV relativeFrom="page">
                <wp:align>bottom</wp:align>
              </wp:positionV>
              <wp:extent cx="622300" cy="376555"/>
              <wp:effectExtent l="0" t="0" r="6350" b="0"/>
              <wp:wrapNone/>
              <wp:docPr id="166778699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3CC2B3" w14:textId="50062C1C"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9BC30"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23CC2B3" w14:textId="50062C1C"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01495BE5" w:rsidR="00CA1AA9" w:rsidRDefault="005C0F60">
    <w:pPr>
      <w:pStyle w:val="Footer"/>
      <w:jc w:val="center"/>
    </w:pPr>
    <w:r>
      <w:rPr>
        <w:noProof/>
      </w:rPr>
      <mc:AlternateContent>
        <mc:Choice Requires="wps">
          <w:drawing>
            <wp:anchor distT="0" distB="0" distL="0" distR="0" simplePos="0" relativeHeight="251669504" behindDoc="0" locked="0" layoutInCell="1" allowOverlap="1" wp14:anchorId="7657085A" wp14:editId="06368ED8">
              <wp:simplePos x="915035" y="10379710"/>
              <wp:positionH relativeFrom="page">
                <wp:align>center</wp:align>
              </wp:positionH>
              <wp:positionV relativeFrom="page">
                <wp:align>bottom</wp:align>
              </wp:positionV>
              <wp:extent cx="622300" cy="376555"/>
              <wp:effectExtent l="0" t="0" r="6350" b="0"/>
              <wp:wrapNone/>
              <wp:docPr id="171199755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4D343" w14:textId="76E97346"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7085A"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1C4D343" w14:textId="76E97346"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2</w:t>
    </w:r>
    <w:r w:rsidR="00CA1AA9">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1D45C351" w:rsidR="00CA1AA9" w:rsidRDefault="005C0F60">
    <w:pPr>
      <w:pStyle w:val="Footer"/>
      <w:jc w:val="center"/>
    </w:pPr>
    <w:r>
      <w:rPr>
        <w:noProof/>
      </w:rPr>
      <mc:AlternateContent>
        <mc:Choice Requires="wps">
          <w:drawing>
            <wp:anchor distT="0" distB="0" distL="0" distR="0" simplePos="0" relativeHeight="251667456" behindDoc="0" locked="0" layoutInCell="1" allowOverlap="1" wp14:anchorId="1862C296" wp14:editId="2BB3D9AF">
              <wp:simplePos x="914400" y="10382250"/>
              <wp:positionH relativeFrom="page">
                <wp:align>center</wp:align>
              </wp:positionH>
              <wp:positionV relativeFrom="page">
                <wp:align>bottom</wp:align>
              </wp:positionV>
              <wp:extent cx="622300" cy="376555"/>
              <wp:effectExtent l="0" t="0" r="6350" b="0"/>
              <wp:wrapNone/>
              <wp:docPr id="191672631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F5CC11" w14:textId="1FA29114"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2C296" id="_x0000_t202" coordsize="21600,21600" o:spt="202" path="m,l,21600r21600,l21600,xe">
              <v:stroke joinstyle="miter"/>
              <v:path gradientshapeok="t" o:connecttype="rect"/>
            </v:shapetype>
            <v:shape id="Text Box 10" o:spid="_x0000_s1031" type="#_x0000_t202" alt="OFFICIAL" style="position:absolute;left:0;text-align:left;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BF5CC11" w14:textId="1FA29114"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1</w:t>
    </w:r>
    <w:r w:rsidR="00CA1AA9">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CAF8" w14:textId="77777777" w:rsidR="00F479AE" w:rsidRDefault="00F479AE">
      <w:r>
        <w:separator/>
      </w:r>
    </w:p>
  </w:footnote>
  <w:footnote w:type="continuationSeparator" w:id="0">
    <w:p w14:paraId="363EF74E" w14:textId="77777777" w:rsidR="00F479AE" w:rsidRDefault="00F479AE">
      <w:r>
        <w:continuationSeparator/>
      </w:r>
    </w:p>
  </w:footnote>
  <w:footnote w:type="continuationNotice" w:id="1">
    <w:p w14:paraId="71CC3D78" w14:textId="77777777" w:rsidR="00F479AE" w:rsidRDefault="00F47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7131" w14:textId="3BEE61A9" w:rsidR="00BD0815" w:rsidRDefault="005C0F60">
    <w:pPr>
      <w:pStyle w:val="Header"/>
    </w:pPr>
    <w:r>
      <w:rPr>
        <w:noProof/>
      </w:rPr>
      <mc:AlternateContent>
        <mc:Choice Requires="wps">
          <w:drawing>
            <wp:anchor distT="0" distB="0" distL="0" distR="0" simplePos="0" relativeHeight="251665408" behindDoc="0" locked="0" layoutInCell="1" allowOverlap="1" wp14:anchorId="432575D9" wp14:editId="7E1FA1A8">
              <wp:simplePos x="635" y="635"/>
              <wp:positionH relativeFrom="page">
                <wp:align>center</wp:align>
              </wp:positionH>
              <wp:positionV relativeFrom="page">
                <wp:align>top</wp:align>
              </wp:positionV>
              <wp:extent cx="622300" cy="376555"/>
              <wp:effectExtent l="0" t="0" r="6350" b="4445"/>
              <wp:wrapNone/>
              <wp:docPr id="14719204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095F09" w14:textId="3F8FBE33"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575D9"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1095F09" w14:textId="3F8FBE33"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DCB6" w14:textId="2400DE34" w:rsidR="00BD0815" w:rsidRDefault="005C0F60">
    <w:pPr>
      <w:pStyle w:val="Header"/>
    </w:pPr>
    <w:r>
      <w:rPr>
        <w:noProof/>
      </w:rPr>
      <mc:AlternateContent>
        <mc:Choice Requires="wps">
          <w:drawing>
            <wp:anchor distT="0" distB="0" distL="0" distR="0" simplePos="0" relativeHeight="251666432" behindDoc="0" locked="0" layoutInCell="1" allowOverlap="1" wp14:anchorId="505923B1" wp14:editId="590F962A">
              <wp:simplePos x="915035" y="180975"/>
              <wp:positionH relativeFrom="page">
                <wp:align>center</wp:align>
              </wp:positionH>
              <wp:positionV relativeFrom="page">
                <wp:align>top</wp:align>
              </wp:positionV>
              <wp:extent cx="622300" cy="376555"/>
              <wp:effectExtent l="0" t="0" r="6350" b="4445"/>
              <wp:wrapNone/>
              <wp:docPr id="119079571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53C7A9" w14:textId="501F8F9C"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923B1"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353C7A9" w14:textId="501F8F9C"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67968EA0" w:rsidR="00CA1AA9" w:rsidRDefault="005C0F60">
    <w:pPr>
      <w:pStyle w:val="Header"/>
    </w:pPr>
    <w:r>
      <w:rPr>
        <w:noProof/>
      </w:rPr>
      <mc:AlternateContent>
        <mc:Choice Requires="wps">
          <w:drawing>
            <wp:anchor distT="0" distB="0" distL="0" distR="0" simplePos="0" relativeHeight="251664384" behindDoc="0" locked="0" layoutInCell="1" allowOverlap="1" wp14:anchorId="15EA8504" wp14:editId="76562C2D">
              <wp:simplePos x="914400" y="180975"/>
              <wp:positionH relativeFrom="page">
                <wp:align>center</wp:align>
              </wp:positionH>
              <wp:positionV relativeFrom="page">
                <wp:align>top</wp:align>
              </wp:positionV>
              <wp:extent cx="622300" cy="376555"/>
              <wp:effectExtent l="0" t="0" r="6350" b="4445"/>
              <wp:wrapNone/>
              <wp:docPr id="153667333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B16D55" w14:textId="77BC5E9F"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A8504"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EB16D55" w14:textId="77BC5E9F" w:rsidR="005C0F60" w:rsidRPr="005C0F60" w:rsidRDefault="005C0F60" w:rsidP="005C0F60">
                    <w:pPr>
                      <w:rPr>
                        <w:rFonts w:ascii="Aptos" w:eastAsia="Aptos" w:hAnsi="Aptos" w:cs="Aptos"/>
                        <w:noProof/>
                        <w:color w:val="FF0000"/>
                        <w:sz w:val="24"/>
                        <w:szCs w:val="24"/>
                      </w:rPr>
                    </w:pPr>
                    <w:r w:rsidRPr="005C0F60">
                      <w:rPr>
                        <w:rFonts w:ascii="Aptos" w:eastAsia="Aptos" w:hAnsi="Aptos" w:cs="Aptos"/>
                        <w:noProof/>
                        <w:color w:val="FF0000"/>
                        <w:sz w:val="24"/>
                        <w:szCs w:val="24"/>
                      </w:rPr>
                      <w:t>OFFICIAL</w:t>
                    </w:r>
                  </w:p>
                </w:txbxContent>
              </v:textbox>
              <w10:wrap anchorx="page" anchory="page"/>
            </v:shape>
          </w:pict>
        </mc:Fallback>
      </mc:AlternateContent>
    </w:r>
    <w:r w:rsidR="00D562AF">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22A1E993" w:rsidR="00CA1AA9" w:rsidRPr="00CA347D" w:rsidRDefault="00CA1AA9" w:rsidP="00CA347D">
    <w:pPr>
      <w:pStyle w:val="Heading1"/>
    </w:pPr>
    <w:r w:rsidRPr="00CA347D">
      <w:rPr>
        <w:rStyle w:val="Heading1Char"/>
        <w:b/>
      </w:rPr>
      <w:t>Outcome Statement</w:t>
    </w:r>
    <w:r w:rsidR="00097C1F">
      <w:rPr>
        <w:rStyle w:val="Heading1Char"/>
        <w:b/>
      </w:rPr>
      <w:t xml:space="preserve"> </w:t>
    </w:r>
    <w:r w:rsidR="00514B27">
      <w:rPr>
        <w:rStyle w:val="Heading1Char"/>
        <w:b/>
      </w:rPr>
      <w:t>4 April</w:t>
    </w:r>
    <w:r w:rsidR="00950EA9">
      <w:rPr>
        <w:rStyle w:val="Heading1Char"/>
        <w:b/>
      </w:rPr>
      <w:t xml:space="preserve"> 202</w:t>
    </w:r>
    <w:r w:rsidR="001C1C37">
      <w:rPr>
        <w:rStyle w:val="Heading1Char"/>
        <w:b/>
      </w:rPr>
      <w:t>5</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D874D6"/>
    <w:multiLevelType w:val="hybridMultilevel"/>
    <w:tmpl w:val="E7E4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5"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DF448B"/>
    <w:multiLevelType w:val="hybridMultilevel"/>
    <w:tmpl w:val="AA68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909086">
    <w:abstractNumId w:val="16"/>
  </w:num>
  <w:num w:numId="2" w16cid:durableId="391345616">
    <w:abstractNumId w:val="13"/>
  </w:num>
  <w:num w:numId="3" w16cid:durableId="360859186">
    <w:abstractNumId w:val="25"/>
  </w:num>
  <w:num w:numId="4" w16cid:durableId="479730896">
    <w:abstractNumId w:val="7"/>
  </w:num>
  <w:num w:numId="5" w16cid:durableId="1193613503">
    <w:abstractNumId w:val="15"/>
  </w:num>
  <w:num w:numId="6" w16cid:durableId="76946386">
    <w:abstractNumId w:val="12"/>
  </w:num>
  <w:num w:numId="7" w16cid:durableId="445390201">
    <w:abstractNumId w:val="6"/>
  </w:num>
  <w:num w:numId="8" w16cid:durableId="1323851302">
    <w:abstractNumId w:val="23"/>
  </w:num>
  <w:num w:numId="9" w16cid:durableId="1761025288">
    <w:abstractNumId w:val="14"/>
  </w:num>
  <w:num w:numId="10" w16cid:durableId="592860998">
    <w:abstractNumId w:val="26"/>
  </w:num>
  <w:num w:numId="11" w16cid:durableId="2003699739">
    <w:abstractNumId w:val="21"/>
  </w:num>
  <w:num w:numId="12" w16cid:durableId="525213268">
    <w:abstractNumId w:val="22"/>
  </w:num>
  <w:num w:numId="13" w16cid:durableId="1490753689">
    <w:abstractNumId w:val="17"/>
  </w:num>
  <w:num w:numId="14" w16cid:durableId="566839862">
    <w:abstractNumId w:val="4"/>
  </w:num>
  <w:num w:numId="15" w16cid:durableId="643242601">
    <w:abstractNumId w:val="20"/>
  </w:num>
  <w:num w:numId="16" w16cid:durableId="545142945">
    <w:abstractNumId w:val="8"/>
  </w:num>
  <w:num w:numId="17" w16cid:durableId="1243762145">
    <w:abstractNumId w:val="24"/>
  </w:num>
  <w:num w:numId="18" w16cid:durableId="495072429">
    <w:abstractNumId w:val="3"/>
  </w:num>
  <w:num w:numId="19" w16cid:durableId="299766431">
    <w:abstractNumId w:val="28"/>
  </w:num>
  <w:num w:numId="20" w16cid:durableId="623314657">
    <w:abstractNumId w:val="27"/>
  </w:num>
  <w:num w:numId="21" w16cid:durableId="386802800">
    <w:abstractNumId w:val="0"/>
  </w:num>
  <w:num w:numId="22" w16cid:durableId="1388651285">
    <w:abstractNumId w:val="1"/>
  </w:num>
  <w:num w:numId="23" w16cid:durableId="610237130">
    <w:abstractNumId w:val="5"/>
  </w:num>
  <w:num w:numId="24" w16cid:durableId="539588858">
    <w:abstractNumId w:val="10"/>
  </w:num>
  <w:num w:numId="25" w16cid:durableId="1837917646">
    <w:abstractNumId w:val="11"/>
  </w:num>
  <w:num w:numId="26" w16cid:durableId="736706504">
    <w:abstractNumId w:val="2"/>
  </w:num>
  <w:num w:numId="27" w16cid:durableId="1702125044">
    <w:abstractNumId w:val="9"/>
  </w:num>
  <w:num w:numId="28" w16cid:durableId="609970000">
    <w:abstractNumId w:val="19"/>
  </w:num>
  <w:num w:numId="29" w16cid:durableId="1801341047">
    <w:abstractNumId w:val="30"/>
  </w:num>
  <w:num w:numId="30" w16cid:durableId="1208954973">
    <w:abstractNumId w:val="29"/>
  </w:num>
  <w:num w:numId="31" w16cid:durableId="124834237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D10"/>
    <w:rsid w:val="00006EF5"/>
    <w:rsid w:val="00007D7D"/>
    <w:rsid w:val="00010EA8"/>
    <w:rsid w:val="00011A32"/>
    <w:rsid w:val="000134E0"/>
    <w:rsid w:val="000142CB"/>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3C7E"/>
    <w:rsid w:val="0004475E"/>
    <w:rsid w:val="00044A87"/>
    <w:rsid w:val="00047105"/>
    <w:rsid w:val="0005073D"/>
    <w:rsid w:val="00054C1A"/>
    <w:rsid w:val="00055BF6"/>
    <w:rsid w:val="00056271"/>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86790"/>
    <w:rsid w:val="0009006A"/>
    <w:rsid w:val="00090474"/>
    <w:rsid w:val="00093ECA"/>
    <w:rsid w:val="00094597"/>
    <w:rsid w:val="00096B9B"/>
    <w:rsid w:val="00097102"/>
    <w:rsid w:val="0009747E"/>
    <w:rsid w:val="00097C1F"/>
    <w:rsid w:val="000A02F8"/>
    <w:rsid w:val="000A0713"/>
    <w:rsid w:val="000A13FE"/>
    <w:rsid w:val="000A1D80"/>
    <w:rsid w:val="000A31AD"/>
    <w:rsid w:val="000A4149"/>
    <w:rsid w:val="000A4C6F"/>
    <w:rsid w:val="000A5357"/>
    <w:rsid w:val="000A53A6"/>
    <w:rsid w:val="000A6C28"/>
    <w:rsid w:val="000B0B5A"/>
    <w:rsid w:val="000B14A0"/>
    <w:rsid w:val="000B2562"/>
    <w:rsid w:val="000B275B"/>
    <w:rsid w:val="000B52EE"/>
    <w:rsid w:val="000B5448"/>
    <w:rsid w:val="000C1D0B"/>
    <w:rsid w:val="000C2B83"/>
    <w:rsid w:val="000C39EF"/>
    <w:rsid w:val="000C529E"/>
    <w:rsid w:val="000C58C8"/>
    <w:rsid w:val="000C6EC9"/>
    <w:rsid w:val="000D0CF3"/>
    <w:rsid w:val="000D2142"/>
    <w:rsid w:val="000D285D"/>
    <w:rsid w:val="000D6712"/>
    <w:rsid w:val="000E178A"/>
    <w:rsid w:val="000E18F9"/>
    <w:rsid w:val="000E21C2"/>
    <w:rsid w:val="000E23E6"/>
    <w:rsid w:val="000E61B2"/>
    <w:rsid w:val="000F2459"/>
    <w:rsid w:val="000F2C6E"/>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17776"/>
    <w:rsid w:val="001215D4"/>
    <w:rsid w:val="00121F43"/>
    <w:rsid w:val="001223D1"/>
    <w:rsid w:val="00122C26"/>
    <w:rsid w:val="00122D81"/>
    <w:rsid w:val="00123237"/>
    <w:rsid w:val="00124EFE"/>
    <w:rsid w:val="00127795"/>
    <w:rsid w:val="00134C9F"/>
    <w:rsid w:val="00134CAD"/>
    <w:rsid w:val="00136203"/>
    <w:rsid w:val="0013714B"/>
    <w:rsid w:val="00137CE5"/>
    <w:rsid w:val="00140B94"/>
    <w:rsid w:val="00140CAF"/>
    <w:rsid w:val="00141172"/>
    <w:rsid w:val="001418EF"/>
    <w:rsid w:val="00142512"/>
    <w:rsid w:val="00144B72"/>
    <w:rsid w:val="00151940"/>
    <w:rsid w:val="00152272"/>
    <w:rsid w:val="001528A6"/>
    <w:rsid w:val="00153667"/>
    <w:rsid w:val="0015401F"/>
    <w:rsid w:val="00154D0A"/>
    <w:rsid w:val="001603AA"/>
    <w:rsid w:val="00160EF6"/>
    <w:rsid w:val="001667C1"/>
    <w:rsid w:val="00166CEB"/>
    <w:rsid w:val="00170E5B"/>
    <w:rsid w:val="0017116B"/>
    <w:rsid w:val="00174AD8"/>
    <w:rsid w:val="00174F99"/>
    <w:rsid w:val="001759B2"/>
    <w:rsid w:val="001776C6"/>
    <w:rsid w:val="001779FD"/>
    <w:rsid w:val="00181817"/>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5A3"/>
    <w:rsid w:val="001C2AD6"/>
    <w:rsid w:val="001C5A7B"/>
    <w:rsid w:val="001C61FD"/>
    <w:rsid w:val="001C6C85"/>
    <w:rsid w:val="001C7C04"/>
    <w:rsid w:val="001D07EF"/>
    <w:rsid w:val="001D0910"/>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2116"/>
    <w:rsid w:val="00224079"/>
    <w:rsid w:val="00224DF5"/>
    <w:rsid w:val="00225034"/>
    <w:rsid w:val="002269FD"/>
    <w:rsid w:val="00230201"/>
    <w:rsid w:val="00230732"/>
    <w:rsid w:val="00234FBD"/>
    <w:rsid w:val="00235EF9"/>
    <w:rsid w:val="002362A1"/>
    <w:rsid w:val="00237631"/>
    <w:rsid w:val="00240FA6"/>
    <w:rsid w:val="0024126B"/>
    <w:rsid w:val="002413AE"/>
    <w:rsid w:val="002421EE"/>
    <w:rsid w:val="00242420"/>
    <w:rsid w:val="00242DD3"/>
    <w:rsid w:val="00247102"/>
    <w:rsid w:val="00251409"/>
    <w:rsid w:val="00251875"/>
    <w:rsid w:val="00251AD9"/>
    <w:rsid w:val="002522B2"/>
    <w:rsid w:val="0025366B"/>
    <w:rsid w:val="002546D6"/>
    <w:rsid w:val="00255919"/>
    <w:rsid w:val="00261915"/>
    <w:rsid w:val="00261ED7"/>
    <w:rsid w:val="0026571A"/>
    <w:rsid w:val="0026645D"/>
    <w:rsid w:val="00267007"/>
    <w:rsid w:val="002720C8"/>
    <w:rsid w:val="002722F2"/>
    <w:rsid w:val="002725B8"/>
    <w:rsid w:val="00275278"/>
    <w:rsid w:val="00280C05"/>
    <w:rsid w:val="00281D24"/>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10C1"/>
    <w:rsid w:val="002D1148"/>
    <w:rsid w:val="002D1F79"/>
    <w:rsid w:val="002D210B"/>
    <w:rsid w:val="002D3C76"/>
    <w:rsid w:val="002D3FC7"/>
    <w:rsid w:val="002D50B7"/>
    <w:rsid w:val="002D516C"/>
    <w:rsid w:val="002D734E"/>
    <w:rsid w:val="002E2765"/>
    <w:rsid w:val="002E2E64"/>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C67"/>
    <w:rsid w:val="00335BE5"/>
    <w:rsid w:val="003361C9"/>
    <w:rsid w:val="00336261"/>
    <w:rsid w:val="00336E3A"/>
    <w:rsid w:val="00337241"/>
    <w:rsid w:val="00340575"/>
    <w:rsid w:val="003409D6"/>
    <w:rsid w:val="003448FC"/>
    <w:rsid w:val="003449AA"/>
    <w:rsid w:val="0034501C"/>
    <w:rsid w:val="003468B6"/>
    <w:rsid w:val="00347E17"/>
    <w:rsid w:val="003512F6"/>
    <w:rsid w:val="0035237B"/>
    <w:rsid w:val="0035266E"/>
    <w:rsid w:val="00352D12"/>
    <w:rsid w:val="0035418A"/>
    <w:rsid w:val="003555E8"/>
    <w:rsid w:val="003571C3"/>
    <w:rsid w:val="00357332"/>
    <w:rsid w:val="0035787B"/>
    <w:rsid w:val="003620F9"/>
    <w:rsid w:val="00362581"/>
    <w:rsid w:val="003650E3"/>
    <w:rsid w:val="0037063F"/>
    <w:rsid w:val="00371376"/>
    <w:rsid w:val="00372609"/>
    <w:rsid w:val="00372F13"/>
    <w:rsid w:val="0037338E"/>
    <w:rsid w:val="00373C2E"/>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A4887"/>
    <w:rsid w:val="003A5267"/>
    <w:rsid w:val="003A6327"/>
    <w:rsid w:val="003A7EDE"/>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601F"/>
    <w:rsid w:val="003E60A4"/>
    <w:rsid w:val="003E61E1"/>
    <w:rsid w:val="003E70CA"/>
    <w:rsid w:val="003E7DF1"/>
    <w:rsid w:val="003E7E2E"/>
    <w:rsid w:val="003F0120"/>
    <w:rsid w:val="003F021A"/>
    <w:rsid w:val="003F06C8"/>
    <w:rsid w:val="003F1927"/>
    <w:rsid w:val="003F1D52"/>
    <w:rsid w:val="003F1DCA"/>
    <w:rsid w:val="00402100"/>
    <w:rsid w:val="004029B9"/>
    <w:rsid w:val="00405743"/>
    <w:rsid w:val="00406535"/>
    <w:rsid w:val="00406FC4"/>
    <w:rsid w:val="00411CB6"/>
    <w:rsid w:val="00412451"/>
    <w:rsid w:val="004131AF"/>
    <w:rsid w:val="00414012"/>
    <w:rsid w:val="00414D1F"/>
    <w:rsid w:val="00415BE7"/>
    <w:rsid w:val="0042032E"/>
    <w:rsid w:val="00420529"/>
    <w:rsid w:val="00420E99"/>
    <w:rsid w:val="0042129E"/>
    <w:rsid w:val="004213FB"/>
    <w:rsid w:val="00421874"/>
    <w:rsid w:val="00423C42"/>
    <w:rsid w:val="004279D6"/>
    <w:rsid w:val="00435449"/>
    <w:rsid w:val="004374C3"/>
    <w:rsid w:val="00440119"/>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B5FB7"/>
    <w:rsid w:val="004C01CD"/>
    <w:rsid w:val="004C0C44"/>
    <w:rsid w:val="004C1966"/>
    <w:rsid w:val="004C3CFD"/>
    <w:rsid w:val="004C3F0A"/>
    <w:rsid w:val="004C41C0"/>
    <w:rsid w:val="004C424D"/>
    <w:rsid w:val="004C7FA9"/>
    <w:rsid w:val="004D0311"/>
    <w:rsid w:val="004D15A9"/>
    <w:rsid w:val="004D5636"/>
    <w:rsid w:val="004D6063"/>
    <w:rsid w:val="004D6303"/>
    <w:rsid w:val="004D75BE"/>
    <w:rsid w:val="004E4D89"/>
    <w:rsid w:val="004E5A1F"/>
    <w:rsid w:val="004E6728"/>
    <w:rsid w:val="004E6F2D"/>
    <w:rsid w:val="004F049D"/>
    <w:rsid w:val="004F083B"/>
    <w:rsid w:val="004F17CC"/>
    <w:rsid w:val="004F201C"/>
    <w:rsid w:val="004F57FE"/>
    <w:rsid w:val="004F60E0"/>
    <w:rsid w:val="004F6113"/>
    <w:rsid w:val="004F6927"/>
    <w:rsid w:val="004F6E52"/>
    <w:rsid w:val="00503251"/>
    <w:rsid w:val="00503449"/>
    <w:rsid w:val="00503B8A"/>
    <w:rsid w:val="00507DE4"/>
    <w:rsid w:val="005105BE"/>
    <w:rsid w:val="005121DF"/>
    <w:rsid w:val="00512CE1"/>
    <w:rsid w:val="00513E5D"/>
    <w:rsid w:val="00514817"/>
    <w:rsid w:val="00514B27"/>
    <w:rsid w:val="005153B2"/>
    <w:rsid w:val="0051701B"/>
    <w:rsid w:val="0052236D"/>
    <w:rsid w:val="00525282"/>
    <w:rsid w:val="00525347"/>
    <w:rsid w:val="0052725D"/>
    <w:rsid w:val="005317C8"/>
    <w:rsid w:val="005363CA"/>
    <w:rsid w:val="00536FAF"/>
    <w:rsid w:val="00540349"/>
    <w:rsid w:val="00540FBB"/>
    <w:rsid w:val="005414F3"/>
    <w:rsid w:val="00541A35"/>
    <w:rsid w:val="00543CD8"/>
    <w:rsid w:val="005468C1"/>
    <w:rsid w:val="00546A61"/>
    <w:rsid w:val="00547C8A"/>
    <w:rsid w:val="00550717"/>
    <w:rsid w:val="00550B68"/>
    <w:rsid w:val="00554F00"/>
    <w:rsid w:val="00554F6F"/>
    <w:rsid w:val="00556042"/>
    <w:rsid w:val="00561441"/>
    <w:rsid w:val="00561CB3"/>
    <w:rsid w:val="0056289C"/>
    <w:rsid w:val="005646E2"/>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92C"/>
    <w:rsid w:val="00594A71"/>
    <w:rsid w:val="00595475"/>
    <w:rsid w:val="005A0BF8"/>
    <w:rsid w:val="005A1F05"/>
    <w:rsid w:val="005A3487"/>
    <w:rsid w:val="005A4F6D"/>
    <w:rsid w:val="005A5F3B"/>
    <w:rsid w:val="005B0558"/>
    <w:rsid w:val="005B1220"/>
    <w:rsid w:val="005B15E2"/>
    <w:rsid w:val="005B19CE"/>
    <w:rsid w:val="005B6350"/>
    <w:rsid w:val="005C053B"/>
    <w:rsid w:val="005C0F60"/>
    <w:rsid w:val="005C148E"/>
    <w:rsid w:val="005C3A03"/>
    <w:rsid w:val="005C5161"/>
    <w:rsid w:val="005C6E50"/>
    <w:rsid w:val="005D1BB0"/>
    <w:rsid w:val="005D399E"/>
    <w:rsid w:val="005D4EB2"/>
    <w:rsid w:val="005D696D"/>
    <w:rsid w:val="005D6FA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079FB"/>
    <w:rsid w:val="006101FC"/>
    <w:rsid w:val="00610F72"/>
    <w:rsid w:val="006118CB"/>
    <w:rsid w:val="006127C4"/>
    <w:rsid w:val="00613A63"/>
    <w:rsid w:val="006146D0"/>
    <w:rsid w:val="0061504D"/>
    <w:rsid w:val="0062017A"/>
    <w:rsid w:val="0062222D"/>
    <w:rsid w:val="00622522"/>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94A"/>
    <w:rsid w:val="00660972"/>
    <w:rsid w:val="0066136F"/>
    <w:rsid w:val="00663A67"/>
    <w:rsid w:val="00665A90"/>
    <w:rsid w:val="00667381"/>
    <w:rsid w:val="00670770"/>
    <w:rsid w:val="00670BD6"/>
    <w:rsid w:val="00670E22"/>
    <w:rsid w:val="006723D5"/>
    <w:rsid w:val="00673FCC"/>
    <w:rsid w:val="00674A52"/>
    <w:rsid w:val="00676304"/>
    <w:rsid w:val="00677B98"/>
    <w:rsid w:val="0068031D"/>
    <w:rsid w:val="006806A8"/>
    <w:rsid w:val="006814DF"/>
    <w:rsid w:val="00682564"/>
    <w:rsid w:val="006826C3"/>
    <w:rsid w:val="00683F49"/>
    <w:rsid w:val="006878A3"/>
    <w:rsid w:val="00692AAD"/>
    <w:rsid w:val="00692B74"/>
    <w:rsid w:val="006946E1"/>
    <w:rsid w:val="00695073"/>
    <w:rsid w:val="00695BF3"/>
    <w:rsid w:val="006969FE"/>
    <w:rsid w:val="00697BC7"/>
    <w:rsid w:val="006A0AB6"/>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4485"/>
    <w:rsid w:val="006C48FE"/>
    <w:rsid w:val="006C4C24"/>
    <w:rsid w:val="006C588F"/>
    <w:rsid w:val="006C6B3B"/>
    <w:rsid w:val="006D07AD"/>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1356"/>
    <w:rsid w:val="006F186C"/>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1A10"/>
    <w:rsid w:val="00713D66"/>
    <w:rsid w:val="0071514B"/>
    <w:rsid w:val="0071525A"/>
    <w:rsid w:val="0071558A"/>
    <w:rsid w:val="00715E10"/>
    <w:rsid w:val="007166A9"/>
    <w:rsid w:val="00722564"/>
    <w:rsid w:val="0072634E"/>
    <w:rsid w:val="00726FE1"/>
    <w:rsid w:val="007327B8"/>
    <w:rsid w:val="00735BBE"/>
    <w:rsid w:val="0073626D"/>
    <w:rsid w:val="007404D5"/>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20E2"/>
    <w:rsid w:val="00764AF4"/>
    <w:rsid w:val="00766D92"/>
    <w:rsid w:val="00766DBB"/>
    <w:rsid w:val="00773A6B"/>
    <w:rsid w:val="00774373"/>
    <w:rsid w:val="0077734A"/>
    <w:rsid w:val="0077796E"/>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570B"/>
    <w:rsid w:val="007C06D7"/>
    <w:rsid w:val="007C0BB4"/>
    <w:rsid w:val="007C1BE1"/>
    <w:rsid w:val="007C44F4"/>
    <w:rsid w:val="007C4782"/>
    <w:rsid w:val="007C4B1F"/>
    <w:rsid w:val="007D02AE"/>
    <w:rsid w:val="007D121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4FD5"/>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399C"/>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295D"/>
    <w:rsid w:val="008E4589"/>
    <w:rsid w:val="008E66D2"/>
    <w:rsid w:val="008E75E5"/>
    <w:rsid w:val="008E763F"/>
    <w:rsid w:val="008E7888"/>
    <w:rsid w:val="008E7C67"/>
    <w:rsid w:val="008F1340"/>
    <w:rsid w:val="008F259D"/>
    <w:rsid w:val="008F4AB2"/>
    <w:rsid w:val="008F4F94"/>
    <w:rsid w:val="008F62A4"/>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95"/>
    <w:rsid w:val="00950EA9"/>
    <w:rsid w:val="00954475"/>
    <w:rsid w:val="009562F1"/>
    <w:rsid w:val="00957BA4"/>
    <w:rsid w:val="00957DBC"/>
    <w:rsid w:val="00962BB2"/>
    <w:rsid w:val="00965552"/>
    <w:rsid w:val="0096600D"/>
    <w:rsid w:val="0096605A"/>
    <w:rsid w:val="009671FF"/>
    <w:rsid w:val="00975BCB"/>
    <w:rsid w:val="009760B1"/>
    <w:rsid w:val="00982C4C"/>
    <w:rsid w:val="00990492"/>
    <w:rsid w:val="0099244F"/>
    <w:rsid w:val="009950E1"/>
    <w:rsid w:val="0099648E"/>
    <w:rsid w:val="0099671D"/>
    <w:rsid w:val="00997B97"/>
    <w:rsid w:val="00997DB5"/>
    <w:rsid w:val="009A22C0"/>
    <w:rsid w:val="009A3030"/>
    <w:rsid w:val="009A5AD3"/>
    <w:rsid w:val="009B1BF9"/>
    <w:rsid w:val="009B25AF"/>
    <w:rsid w:val="009B2906"/>
    <w:rsid w:val="009B62DA"/>
    <w:rsid w:val="009C32BA"/>
    <w:rsid w:val="009C3860"/>
    <w:rsid w:val="009C4D57"/>
    <w:rsid w:val="009C5C1E"/>
    <w:rsid w:val="009C5FCE"/>
    <w:rsid w:val="009C6EB1"/>
    <w:rsid w:val="009D0881"/>
    <w:rsid w:val="009D1661"/>
    <w:rsid w:val="009D1C4B"/>
    <w:rsid w:val="009D2858"/>
    <w:rsid w:val="009D3B7F"/>
    <w:rsid w:val="009D4354"/>
    <w:rsid w:val="009D57D8"/>
    <w:rsid w:val="009D6949"/>
    <w:rsid w:val="009D71B6"/>
    <w:rsid w:val="009D7A81"/>
    <w:rsid w:val="009E130A"/>
    <w:rsid w:val="009E13E7"/>
    <w:rsid w:val="009E18B1"/>
    <w:rsid w:val="009E23F2"/>
    <w:rsid w:val="009E28D0"/>
    <w:rsid w:val="009E2CA6"/>
    <w:rsid w:val="009E345B"/>
    <w:rsid w:val="009E5AA4"/>
    <w:rsid w:val="009E5D90"/>
    <w:rsid w:val="009E754B"/>
    <w:rsid w:val="009E7BA2"/>
    <w:rsid w:val="009F1A70"/>
    <w:rsid w:val="009F37E6"/>
    <w:rsid w:val="009F44EE"/>
    <w:rsid w:val="009F597A"/>
    <w:rsid w:val="009F5D71"/>
    <w:rsid w:val="009F61DE"/>
    <w:rsid w:val="009F7D69"/>
    <w:rsid w:val="00A02C13"/>
    <w:rsid w:val="00A06FDB"/>
    <w:rsid w:val="00A10603"/>
    <w:rsid w:val="00A117DF"/>
    <w:rsid w:val="00A1378E"/>
    <w:rsid w:val="00A13CD6"/>
    <w:rsid w:val="00A140B4"/>
    <w:rsid w:val="00A20CBD"/>
    <w:rsid w:val="00A23071"/>
    <w:rsid w:val="00A2319C"/>
    <w:rsid w:val="00A23FDA"/>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184E"/>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693"/>
    <w:rsid w:val="00A96763"/>
    <w:rsid w:val="00AA23A2"/>
    <w:rsid w:val="00AA45FE"/>
    <w:rsid w:val="00AA5D66"/>
    <w:rsid w:val="00AA7FC1"/>
    <w:rsid w:val="00AB154D"/>
    <w:rsid w:val="00AB2981"/>
    <w:rsid w:val="00AB4A37"/>
    <w:rsid w:val="00AB532F"/>
    <w:rsid w:val="00AB6DF6"/>
    <w:rsid w:val="00AC2C8E"/>
    <w:rsid w:val="00AC42CE"/>
    <w:rsid w:val="00AC6543"/>
    <w:rsid w:val="00AD3D16"/>
    <w:rsid w:val="00AD405E"/>
    <w:rsid w:val="00AD4534"/>
    <w:rsid w:val="00AD52F5"/>
    <w:rsid w:val="00AD61AC"/>
    <w:rsid w:val="00AE0098"/>
    <w:rsid w:val="00AE0F62"/>
    <w:rsid w:val="00AE2C4F"/>
    <w:rsid w:val="00AE3D57"/>
    <w:rsid w:val="00AE46E7"/>
    <w:rsid w:val="00AE47EB"/>
    <w:rsid w:val="00AE5790"/>
    <w:rsid w:val="00AE5D15"/>
    <w:rsid w:val="00AE7D19"/>
    <w:rsid w:val="00AF083B"/>
    <w:rsid w:val="00AF1FCD"/>
    <w:rsid w:val="00AF3F9D"/>
    <w:rsid w:val="00AF54A2"/>
    <w:rsid w:val="00AF646A"/>
    <w:rsid w:val="00AF70FA"/>
    <w:rsid w:val="00B0144A"/>
    <w:rsid w:val="00B028E7"/>
    <w:rsid w:val="00B0323A"/>
    <w:rsid w:val="00B10FFD"/>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0A7"/>
    <w:rsid w:val="00B561D0"/>
    <w:rsid w:val="00B57213"/>
    <w:rsid w:val="00B60A40"/>
    <w:rsid w:val="00B613BB"/>
    <w:rsid w:val="00B61405"/>
    <w:rsid w:val="00B636E4"/>
    <w:rsid w:val="00B66DA3"/>
    <w:rsid w:val="00B66FD7"/>
    <w:rsid w:val="00B673CF"/>
    <w:rsid w:val="00B679AA"/>
    <w:rsid w:val="00B721AD"/>
    <w:rsid w:val="00B73D79"/>
    <w:rsid w:val="00B73EC0"/>
    <w:rsid w:val="00B748A3"/>
    <w:rsid w:val="00B75998"/>
    <w:rsid w:val="00B77F65"/>
    <w:rsid w:val="00B83E80"/>
    <w:rsid w:val="00B8425D"/>
    <w:rsid w:val="00B84720"/>
    <w:rsid w:val="00B84722"/>
    <w:rsid w:val="00B85744"/>
    <w:rsid w:val="00B85E10"/>
    <w:rsid w:val="00B92105"/>
    <w:rsid w:val="00B93651"/>
    <w:rsid w:val="00B94D51"/>
    <w:rsid w:val="00B94E75"/>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0FF7"/>
    <w:rsid w:val="00BC2E04"/>
    <w:rsid w:val="00BC71C3"/>
    <w:rsid w:val="00BD0815"/>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221"/>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24E0"/>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8AA"/>
    <w:rsid w:val="00C72A99"/>
    <w:rsid w:val="00C73D5B"/>
    <w:rsid w:val="00C74A39"/>
    <w:rsid w:val="00C750B3"/>
    <w:rsid w:val="00C76321"/>
    <w:rsid w:val="00C77308"/>
    <w:rsid w:val="00C804FD"/>
    <w:rsid w:val="00C80B0A"/>
    <w:rsid w:val="00C814DC"/>
    <w:rsid w:val="00C83918"/>
    <w:rsid w:val="00C844E5"/>
    <w:rsid w:val="00C84F8A"/>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943"/>
    <w:rsid w:val="00CC09B0"/>
    <w:rsid w:val="00CC4E06"/>
    <w:rsid w:val="00CC4F1F"/>
    <w:rsid w:val="00CD1FF1"/>
    <w:rsid w:val="00CD355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4F35"/>
    <w:rsid w:val="00D3652F"/>
    <w:rsid w:val="00D3696D"/>
    <w:rsid w:val="00D36D8C"/>
    <w:rsid w:val="00D37EA6"/>
    <w:rsid w:val="00D412C9"/>
    <w:rsid w:val="00D43FC3"/>
    <w:rsid w:val="00D50E3F"/>
    <w:rsid w:val="00D51210"/>
    <w:rsid w:val="00D5162A"/>
    <w:rsid w:val="00D51FE0"/>
    <w:rsid w:val="00D55ED4"/>
    <w:rsid w:val="00D562AF"/>
    <w:rsid w:val="00D5726A"/>
    <w:rsid w:val="00D573C4"/>
    <w:rsid w:val="00D5754B"/>
    <w:rsid w:val="00D61A07"/>
    <w:rsid w:val="00D61C73"/>
    <w:rsid w:val="00D62701"/>
    <w:rsid w:val="00D63DE9"/>
    <w:rsid w:val="00D67AB7"/>
    <w:rsid w:val="00D716A5"/>
    <w:rsid w:val="00D71C23"/>
    <w:rsid w:val="00D71C86"/>
    <w:rsid w:val="00D73D6C"/>
    <w:rsid w:val="00D74700"/>
    <w:rsid w:val="00D74E67"/>
    <w:rsid w:val="00D75023"/>
    <w:rsid w:val="00D758A2"/>
    <w:rsid w:val="00D75B7D"/>
    <w:rsid w:val="00D75B8D"/>
    <w:rsid w:val="00D776E5"/>
    <w:rsid w:val="00D801D7"/>
    <w:rsid w:val="00D83E68"/>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6B93"/>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5E71"/>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332C"/>
    <w:rsid w:val="00E637D2"/>
    <w:rsid w:val="00E63B16"/>
    <w:rsid w:val="00E63C49"/>
    <w:rsid w:val="00E63C9A"/>
    <w:rsid w:val="00E6555F"/>
    <w:rsid w:val="00E72175"/>
    <w:rsid w:val="00E77E9D"/>
    <w:rsid w:val="00E805BC"/>
    <w:rsid w:val="00E855DB"/>
    <w:rsid w:val="00E867CE"/>
    <w:rsid w:val="00E86E76"/>
    <w:rsid w:val="00E905F2"/>
    <w:rsid w:val="00E91369"/>
    <w:rsid w:val="00E929BF"/>
    <w:rsid w:val="00E9717F"/>
    <w:rsid w:val="00E97D3B"/>
    <w:rsid w:val="00EA019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A24"/>
    <w:rsid w:val="00EC7AD6"/>
    <w:rsid w:val="00ED088C"/>
    <w:rsid w:val="00ED127B"/>
    <w:rsid w:val="00ED1541"/>
    <w:rsid w:val="00ED262E"/>
    <w:rsid w:val="00ED27C8"/>
    <w:rsid w:val="00ED4688"/>
    <w:rsid w:val="00ED55CD"/>
    <w:rsid w:val="00ED6B09"/>
    <w:rsid w:val="00EE315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479AE"/>
    <w:rsid w:val="00F50775"/>
    <w:rsid w:val="00F50B51"/>
    <w:rsid w:val="00F51D99"/>
    <w:rsid w:val="00F52BA8"/>
    <w:rsid w:val="00F54517"/>
    <w:rsid w:val="00F55FF7"/>
    <w:rsid w:val="00F5721A"/>
    <w:rsid w:val="00F57CF8"/>
    <w:rsid w:val="00F64BDE"/>
    <w:rsid w:val="00F651BE"/>
    <w:rsid w:val="00F65CEF"/>
    <w:rsid w:val="00F66C36"/>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7075"/>
    <w:rsid w:val="00FC796A"/>
    <w:rsid w:val="00FD030A"/>
    <w:rsid w:val="00FD2D1B"/>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customStyle="1" w:styleId="UnresolvedMention1">
    <w:name w:val="Unresolved Mention1"/>
    <w:basedOn w:val="DefaultParagraphFont"/>
    <w:uiPriority w:val="99"/>
    <w:semiHidden/>
    <w:unhideWhenUsed/>
    <w:rsid w:val="00B976CE"/>
    <w:rPr>
      <w:color w:val="605E5C"/>
      <w:shd w:val="clear" w:color="auto" w:fill="E1DFDD"/>
    </w:rPr>
  </w:style>
  <w:style w:type="paragraph" w:customStyle="1" w:styleId="Tablewriting">
    <w:name w:val="Table writing"/>
    <w:basedOn w:val="Normal"/>
    <w:qFormat/>
    <w:rsid w:val="006C4485"/>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may-2025-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may-2025-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4DAA-B2F0-4C71-9E19-0BE0B0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3686</Characters>
  <Application>Microsoft Office Word</Application>
  <DocSecurity>0</DocSecurity>
  <Lines>72</Lines>
  <Paragraphs>24</Paragraphs>
  <ScaleCrop>false</ScaleCrop>
  <LinksUpToDate>false</LinksUpToDate>
  <CharactersWithSpaces>4300</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2026-03-11T04:28:00Z</dcterms:created>
  <dcterms:modified xsi:type="dcterms:W3CDTF">2026-03-11T04:28:00Z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5b97c634,57bbb96f,46fa19bf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723eec2f,636868ef,660b0270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2026-03-11T04:28:18Z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78bbe1b7-c0c6-47ec-bd86-fdb07e48aad2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