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04C" w:rsidRPr="009C323B" w:rsidRDefault="008E404C" w:rsidP="009C323B">
      <w:pPr>
        <w:pStyle w:val="Heading1"/>
        <w:jc w:val="center"/>
        <w:rPr>
          <w:b/>
          <w:color w:val="auto"/>
        </w:rPr>
      </w:pPr>
      <w:r w:rsidRPr="009C323B">
        <w:rPr>
          <w:b/>
          <w:color w:val="auto"/>
        </w:rPr>
        <w:t xml:space="preserve">PBS </w:t>
      </w:r>
      <w:r w:rsidR="001C68BD" w:rsidRPr="009C323B">
        <w:rPr>
          <w:b/>
          <w:color w:val="auto"/>
        </w:rPr>
        <w:t>Transparency and Efficiencies</w:t>
      </w:r>
      <w:r w:rsidRPr="009C323B">
        <w:rPr>
          <w:b/>
          <w:color w:val="auto"/>
        </w:rPr>
        <w:t xml:space="preserve"> Subgroup</w:t>
      </w:r>
    </w:p>
    <w:p w:rsidR="008E404C" w:rsidRPr="009C323B" w:rsidRDefault="007D1D84" w:rsidP="009C323B">
      <w:pPr>
        <w:pStyle w:val="Heading2"/>
        <w:jc w:val="center"/>
        <w:rPr>
          <w:b/>
          <w:color w:val="auto"/>
        </w:rPr>
      </w:pPr>
      <w:r>
        <w:rPr>
          <w:b/>
          <w:color w:val="auto"/>
        </w:rPr>
        <w:t>20 September &amp; 30 October</w:t>
      </w:r>
      <w:r w:rsidR="008E404C" w:rsidRPr="009C323B">
        <w:rPr>
          <w:b/>
          <w:color w:val="auto"/>
        </w:rPr>
        <w:t xml:space="preserve"> 2019</w:t>
      </w:r>
    </w:p>
    <w:p w:rsidR="001C68BD" w:rsidRDefault="001C68BD" w:rsidP="009C323B">
      <w:pPr>
        <w:pStyle w:val="Heading3"/>
        <w:jc w:val="center"/>
        <w:rPr>
          <w:b/>
          <w:color w:val="auto"/>
        </w:rPr>
      </w:pPr>
      <w:r w:rsidRPr="009C323B">
        <w:rPr>
          <w:b/>
          <w:color w:val="auto"/>
        </w:rPr>
        <w:t>Communique</w:t>
      </w:r>
    </w:p>
    <w:p w:rsidR="009C323B" w:rsidRPr="009C323B" w:rsidRDefault="009C323B" w:rsidP="009C323B"/>
    <w:p w:rsidR="00422C37" w:rsidRDefault="001C68BD" w:rsidP="001C68BD">
      <w:pPr>
        <w:rPr>
          <w:rFonts w:asciiTheme="minorHAnsi" w:hAnsiTheme="minorHAnsi" w:cstheme="minorHAnsi"/>
          <w:sz w:val="22"/>
          <w:szCs w:val="22"/>
        </w:rPr>
      </w:pPr>
      <w:r w:rsidRPr="00550BC0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Transparency and Efficiencies</w:t>
      </w:r>
      <w:r w:rsidRPr="00550BC0">
        <w:rPr>
          <w:rFonts w:asciiTheme="minorHAnsi" w:hAnsiTheme="minorHAnsi" w:cstheme="minorHAnsi"/>
          <w:sz w:val="22"/>
          <w:szCs w:val="22"/>
        </w:rPr>
        <w:t xml:space="preserve"> Subgroup met </w:t>
      </w:r>
      <w:r w:rsidR="00422C37">
        <w:rPr>
          <w:rFonts w:asciiTheme="minorHAnsi" w:hAnsiTheme="minorHAnsi" w:cstheme="minorHAnsi"/>
          <w:sz w:val="22"/>
          <w:szCs w:val="22"/>
        </w:rPr>
        <w:t>on 20 September and 30 October 2019.</w:t>
      </w:r>
      <w:r w:rsidRPr="00550BC0">
        <w:rPr>
          <w:rFonts w:asciiTheme="minorHAnsi" w:hAnsiTheme="minorHAnsi" w:cstheme="minorHAnsi"/>
          <w:sz w:val="22"/>
          <w:szCs w:val="22"/>
        </w:rPr>
        <w:t xml:space="preserve"> Attendees included representatives from the Generic and Biosimilar Medicines Association (GBMA), Medicines Australia</w:t>
      </w:r>
      <w:r>
        <w:rPr>
          <w:rFonts w:asciiTheme="minorHAnsi" w:hAnsiTheme="minorHAnsi" w:cstheme="minorHAnsi"/>
          <w:sz w:val="22"/>
          <w:szCs w:val="22"/>
        </w:rPr>
        <w:t xml:space="preserve"> (MA)</w:t>
      </w:r>
      <w:r w:rsidRPr="00550BC0">
        <w:rPr>
          <w:rFonts w:asciiTheme="minorHAnsi" w:hAnsiTheme="minorHAnsi" w:cstheme="minorHAnsi"/>
          <w:sz w:val="22"/>
          <w:szCs w:val="22"/>
        </w:rPr>
        <w:t>, industry and the Department of Health (the department).</w:t>
      </w:r>
    </w:p>
    <w:p w:rsidR="001C68BD" w:rsidRDefault="00422C37" w:rsidP="001C68B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 the 20 September meeting, m</w:t>
      </w:r>
      <w:r w:rsidR="001C68BD">
        <w:rPr>
          <w:rFonts w:asciiTheme="minorHAnsi" w:hAnsiTheme="minorHAnsi" w:cstheme="minorHAnsi"/>
          <w:sz w:val="22"/>
          <w:szCs w:val="22"/>
        </w:rPr>
        <w:t>embers</w:t>
      </w:r>
      <w:r>
        <w:rPr>
          <w:rFonts w:asciiTheme="minorHAnsi" w:hAnsiTheme="minorHAnsi" w:cstheme="minorHAnsi"/>
          <w:sz w:val="22"/>
          <w:szCs w:val="22"/>
        </w:rPr>
        <w:t xml:space="preserve"> were provided an update on the Health Products Portal and an overview of the Stage 2 PBS process improvements. Members also discussed the consumer Medicines Status Website (MSW) and the criteria for the</w:t>
      </w:r>
      <w:r w:rsidR="001C68BD">
        <w:rPr>
          <w:rFonts w:asciiTheme="minorHAnsi" w:hAnsiTheme="minorHAnsi" w:cstheme="minorHAnsi"/>
          <w:sz w:val="22"/>
          <w:szCs w:val="22"/>
        </w:rPr>
        <w:t xml:space="preserve"> standardised redact</w:t>
      </w:r>
      <w:r>
        <w:rPr>
          <w:rFonts w:asciiTheme="minorHAnsi" w:hAnsiTheme="minorHAnsi" w:cstheme="minorHAnsi"/>
          <w:sz w:val="22"/>
          <w:szCs w:val="22"/>
        </w:rPr>
        <w:t>ion of Public Summary Documents. Members also agreed to the publication of subgroup communiques biannually.</w:t>
      </w:r>
    </w:p>
    <w:p w:rsidR="00422C37" w:rsidRDefault="00422C37" w:rsidP="001C68B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 the 30 October meeting</w:t>
      </w:r>
      <w:r w:rsidR="0017787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members were provided a de</w:t>
      </w:r>
      <w:r w:rsidR="008D6543">
        <w:rPr>
          <w:rFonts w:asciiTheme="minorHAnsi" w:hAnsiTheme="minorHAnsi" w:cstheme="minorHAnsi"/>
          <w:sz w:val="22"/>
          <w:szCs w:val="22"/>
        </w:rPr>
        <w:t>monstration of the consumer MSW.</w:t>
      </w:r>
      <w:r w:rsidR="00C02CA6">
        <w:rPr>
          <w:rFonts w:asciiTheme="minorHAnsi" w:hAnsiTheme="minorHAnsi" w:cstheme="minorHAnsi"/>
          <w:sz w:val="22"/>
          <w:szCs w:val="22"/>
        </w:rPr>
        <w:t xml:space="preserve"> Members disc</w:t>
      </w:r>
      <w:r w:rsidR="002B148F">
        <w:rPr>
          <w:rFonts w:asciiTheme="minorHAnsi" w:hAnsiTheme="minorHAnsi" w:cstheme="minorHAnsi"/>
          <w:sz w:val="22"/>
          <w:szCs w:val="22"/>
        </w:rPr>
        <w:t>ussed statutory price reduction</w:t>
      </w:r>
      <w:r w:rsidR="00731A75">
        <w:rPr>
          <w:rFonts w:asciiTheme="minorHAnsi" w:hAnsiTheme="minorHAnsi" w:cstheme="minorHAnsi"/>
          <w:sz w:val="22"/>
          <w:szCs w:val="22"/>
        </w:rPr>
        <w:t>s</w:t>
      </w:r>
      <w:bookmarkStart w:id="0" w:name="_GoBack"/>
      <w:bookmarkEnd w:id="0"/>
      <w:r w:rsidR="002B148F">
        <w:rPr>
          <w:rFonts w:asciiTheme="minorHAnsi" w:hAnsiTheme="minorHAnsi" w:cstheme="minorHAnsi"/>
          <w:sz w:val="22"/>
          <w:szCs w:val="22"/>
        </w:rPr>
        <w:t xml:space="preserve"> and</w:t>
      </w:r>
      <w:r w:rsidR="00C02CA6">
        <w:rPr>
          <w:rFonts w:asciiTheme="minorHAnsi" w:hAnsiTheme="minorHAnsi" w:cstheme="minorHAnsi"/>
          <w:sz w:val="22"/>
          <w:szCs w:val="22"/>
        </w:rPr>
        <w:t xml:space="preserve"> </w:t>
      </w:r>
      <w:r w:rsidR="00C02CA6" w:rsidRPr="00C02CA6">
        <w:rPr>
          <w:rFonts w:asciiTheme="minorHAnsi" w:hAnsiTheme="minorHAnsi" w:cstheme="minorHAnsi"/>
          <w:sz w:val="22"/>
          <w:szCs w:val="22"/>
        </w:rPr>
        <w:t>the impact of existing reference pricing policy</w:t>
      </w:r>
      <w:r w:rsidR="002B148F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Members also discussed PBS cost recovery including the 2018-19 Cost Recovery Implementation Statement outcome and proposed</w:t>
      </w:r>
      <w:r w:rsidR="00C45F90">
        <w:rPr>
          <w:rFonts w:asciiTheme="minorHAnsi" w:hAnsiTheme="minorHAnsi" w:cstheme="minorHAnsi"/>
          <w:sz w:val="22"/>
          <w:szCs w:val="22"/>
        </w:rPr>
        <w:t xml:space="preserve"> cost recovery arrangements that would apply</w:t>
      </w:r>
      <w:r w:rsidR="004D0FB8">
        <w:rPr>
          <w:rFonts w:asciiTheme="minorHAnsi" w:hAnsiTheme="minorHAnsi" w:cstheme="minorHAnsi"/>
          <w:sz w:val="22"/>
          <w:szCs w:val="22"/>
        </w:rPr>
        <w:t xml:space="preserve"> </w:t>
      </w:r>
      <w:r w:rsidR="00C45F90">
        <w:rPr>
          <w:rFonts w:asciiTheme="minorHAnsi" w:hAnsiTheme="minorHAnsi" w:cstheme="minorHAnsi"/>
          <w:sz w:val="22"/>
          <w:szCs w:val="22"/>
        </w:rPr>
        <w:t xml:space="preserve">from </w:t>
      </w:r>
      <w:r>
        <w:rPr>
          <w:rFonts w:asciiTheme="minorHAnsi" w:hAnsiTheme="minorHAnsi" w:cstheme="minorHAnsi"/>
          <w:sz w:val="22"/>
          <w:szCs w:val="22"/>
        </w:rPr>
        <w:t>1 July 2020</w:t>
      </w:r>
      <w:r w:rsidR="00C45F90">
        <w:rPr>
          <w:rFonts w:asciiTheme="minorHAnsi" w:hAnsiTheme="minorHAnsi" w:cstheme="minorHAnsi"/>
          <w:sz w:val="22"/>
          <w:szCs w:val="22"/>
        </w:rPr>
        <w:t>.</w:t>
      </w:r>
    </w:p>
    <w:p w:rsidR="00BF3AA0" w:rsidRDefault="001C68B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next meeting of the Transparency and Efficiencies subgroup will be held in </w:t>
      </w:r>
      <w:r w:rsidR="00422C37">
        <w:rPr>
          <w:rFonts w:asciiTheme="minorHAnsi" w:hAnsiTheme="minorHAnsi" w:cstheme="minorHAnsi"/>
          <w:sz w:val="22"/>
          <w:szCs w:val="22"/>
        </w:rPr>
        <w:t>January 2020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D1D84" w:rsidRPr="009C323B" w:rsidRDefault="007D1D84" w:rsidP="007D1D84">
      <w:pPr>
        <w:rPr>
          <w:rFonts w:asciiTheme="minorHAnsi" w:hAnsiTheme="minorHAnsi" w:cstheme="minorHAnsi"/>
          <w:sz w:val="22"/>
          <w:szCs w:val="22"/>
        </w:rPr>
      </w:pPr>
    </w:p>
    <w:sectPr w:rsidR="007D1D84" w:rsidRPr="009C32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630" w:rsidRDefault="00D60630" w:rsidP="00D60630">
      <w:pPr>
        <w:spacing w:after="0" w:line="240" w:lineRule="auto"/>
      </w:pPr>
      <w:r>
        <w:separator/>
      </w:r>
    </w:p>
  </w:endnote>
  <w:endnote w:type="continuationSeparator" w:id="0">
    <w:p w:rsidR="00D60630" w:rsidRDefault="00D60630" w:rsidP="00D60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630" w:rsidRDefault="00D60630" w:rsidP="00D60630">
      <w:pPr>
        <w:spacing w:after="0" w:line="240" w:lineRule="auto"/>
      </w:pPr>
      <w:r>
        <w:separator/>
      </w:r>
    </w:p>
  </w:footnote>
  <w:footnote w:type="continuationSeparator" w:id="0">
    <w:p w:rsidR="00D60630" w:rsidRDefault="00D60630" w:rsidP="00D60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1567"/>
    <w:multiLevelType w:val="hybridMultilevel"/>
    <w:tmpl w:val="9C669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0EC"/>
    <w:multiLevelType w:val="hybridMultilevel"/>
    <w:tmpl w:val="B4DCE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4C3A0C"/>
    <w:multiLevelType w:val="hybridMultilevel"/>
    <w:tmpl w:val="29285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A0"/>
    <w:rsid w:val="00017825"/>
    <w:rsid w:val="00052F97"/>
    <w:rsid w:val="0017787B"/>
    <w:rsid w:val="001C68BD"/>
    <w:rsid w:val="00217554"/>
    <w:rsid w:val="00232F84"/>
    <w:rsid w:val="00280050"/>
    <w:rsid w:val="002B148F"/>
    <w:rsid w:val="00322618"/>
    <w:rsid w:val="003B3ECF"/>
    <w:rsid w:val="00422C37"/>
    <w:rsid w:val="004526E7"/>
    <w:rsid w:val="004D0FB8"/>
    <w:rsid w:val="0060755F"/>
    <w:rsid w:val="00675D99"/>
    <w:rsid w:val="00731A75"/>
    <w:rsid w:val="007D1D84"/>
    <w:rsid w:val="008D6543"/>
    <w:rsid w:val="008E404C"/>
    <w:rsid w:val="009C323B"/>
    <w:rsid w:val="00A85E30"/>
    <w:rsid w:val="00BF3AA0"/>
    <w:rsid w:val="00C02CA6"/>
    <w:rsid w:val="00C3378A"/>
    <w:rsid w:val="00C45F90"/>
    <w:rsid w:val="00D60630"/>
    <w:rsid w:val="00F1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86C958A"/>
  <w15:chartTrackingRefBased/>
  <w15:docId w15:val="{1E012058-C47D-42C0-A5ED-0B4FA675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2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3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32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C68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8BD"/>
    <w:pPr>
      <w:spacing w:after="0" w:line="240" w:lineRule="auto"/>
    </w:pPr>
    <w:rPr>
      <w:rFonts w:eastAsia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8BD"/>
    <w:rPr>
      <w:rFonts w:eastAsia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06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630"/>
  </w:style>
  <w:style w:type="paragraph" w:styleId="Footer">
    <w:name w:val="footer"/>
    <w:basedOn w:val="Normal"/>
    <w:link w:val="FooterChar"/>
    <w:uiPriority w:val="99"/>
    <w:unhideWhenUsed/>
    <w:rsid w:val="00D606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630"/>
  </w:style>
  <w:style w:type="character" w:customStyle="1" w:styleId="Heading1Char">
    <w:name w:val="Heading 1 Char"/>
    <w:basedOn w:val="DefaultParagraphFont"/>
    <w:link w:val="Heading1"/>
    <w:uiPriority w:val="9"/>
    <w:rsid w:val="009C32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32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323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Web">
    <w:name w:val="Normal (Web)"/>
    <w:basedOn w:val="Normal"/>
    <w:uiPriority w:val="99"/>
    <w:unhideWhenUsed/>
    <w:rsid w:val="007D1D84"/>
    <w:pPr>
      <w:spacing w:before="100" w:beforeAutospacing="1" w:after="100" w:afterAutospacing="1" w:line="240" w:lineRule="auto"/>
    </w:pPr>
    <w:rPr>
      <w:rFonts w:eastAsiaTheme="minorEastAsia"/>
      <w:lang w:eastAsia="en-AU"/>
    </w:rPr>
  </w:style>
  <w:style w:type="paragraph" w:styleId="ListParagraph">
    <w:name w:val="List Paragraph"/>
    <w:aliases w:val="Figure_name,List Paragraph1,Numbered Indented Text,Bullet- First level,List NUmber,Listenabsatz1,lp1,List Paragraph11,Style 2,TOC style,List Paragraph2,List Paragraph Char Char,Number_1,SGLText List Paragraph,new,Colorful List - Accent 11"/>
    <w:basedOn w:val="Normal"/>
    <w:link w:val="ListParagraphChar"/>
    <w:uiPriority w:val="34"/>
    <w:qFormat/>
    <w:rsid w:val="007D1D84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istParagraphChar">
    <w:name w:val="List Paragraph Char"/>
    <w:aliases w:val="Figure_name Char,List Paragraph1 Char,Numbered Indented Text Char,Bullet- First level Char,List NUmber Char,Listenabsatz1 Char,lp1 Char,List Paragraph11 Char,Style 2 Char,TOC style Char,List Paragraph2 Char,Number_1 Char,new Char"/>
    <w:basedOn w:val="DefaultParagraphFont"/>
    <w:link w:val="ListParagraph"/>
    <w:uiPriority w:val="34"/>
    <w:qFormat/>
    <w:locked/>
    <w:rsid w:val="007D1D8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1005</Characters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2020-04-03T05:13:00Z</dcterms:created>
  <dcterms:modified xsi:type="dcterms:W3CDTF">2020-05-04T23:48:00Z</dcterms:modified>
</cp:coreProperties>
</file>