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E2AA6" w14:textId="77777777" w:rsidR="00C42C20" w:rsidRDefault="00CF3A0E">
      <w:pPr>
        <w:pStyle w:val="Heading"/>
        <w:jc w:val="center"/>
        <w:rPr>
          <w:rFonts w:ascii="Helvetica" w:eastAsia="Helvetica" w:hAnsi="Helvetica" w:cs="Helvetica"/>
          <w:b/>
          <w:bCs/>
          <w:color w:val="000000"/>
          <w:u w:color="000000"/>
        </w:rPr>
      </w:pPr>
      <w:r>
        <w:rPr>
          <w:rFonts w:ascii="Helvetica" w:hAnsi="Helvetica"/>
          <w:b/>
          <w:bCs/>
          <w:color w:val="000000"/>
          <w:u w:color="000000"/>
        </w:rPr>
        <w:t>Access to Medicines Working Group</w:t>
      </w:r>
    </w:p>
    <w:p w14:paraId="0DA6FA03" w14:textId="77777777" w:rsidR="00C42C20" w:rsidRDefault="00CF3A0E">
      <w:pPr>
        <w:pStyle w:val="Heading2"/>
        <w:jc w:val="center"/>
        <w:rPr>
          <w:rFonts w:ascii="Helvetica" w:eastAsia="Helvetica" w:hAnsi="Helvetica" w:cs="Helvetica"/>
          <w:b/>
          <w:bCs/>
          <w:i/>
          <w:iCs/>
          <w:color w:val="000000"/>
          <w:u w:color="000000"/>
        </w:rPr>
      </w:pPr>
      <w:r>
        <w:rPr>
          <w:rFonts w:ascii="Helvetica" w:hAnsi="Helvetica"/>
          <w:b/>
          <w:bCs/>
          <w:color w:val="000000"/>
          <w:u w:color="000000"/>
        </w:rPr>
        <w:t>Communique</w:t>
      </w:r>
    </w:p>
    <w:p w14:paraId="59D1FCCC" w14:textId="3C48519F" w:rsidR="00C42C20" w:rsidRDefault="005E7890">
      <w:pPr>
        <w:pStyle w:val="Heading3"/>
        <w:spacing w:after="360"/>
        <w:jc w:val="center"/>
        <w:rPr>
          <w:rFonts w:ascii="Helvetica" w:hAnsi="Helvetica"/>
          <w:b/>
          <w:bCs/>
          <w:color w:val="000000"/>
          <w:u w:color="000000"/>
        </w:rPr>
      </w:pPr>
      <w:r>
        <w:rPr>
          <w:rFonts w:ascii="Helvetica" w:hAnsi="Helvetica"/>
          <w:b/>
          <w:bCs/>
          <w:color w:val="000000"/>
          <w:u w:color="000000"/>
        </w:rPr>
        <w:t>12 July 2021</w:t>
      </w:r>
    </w:p>
    <w:p w14:paraId="67DC0D0A" w14:textId="43FC724E" w:rsidR="00C42C20" w:rsidRDefault="00CF3A0E">
      <w:pPr>
        <w:pStyle w:val="Body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Access to Medicines Working Group (AMWG) met </w:t>
      </w:r>
      <w:r w:rsidR="005E7890">
        <w:rPr>
          <w:rFonts w:ascii="Calibri" w:hAnsi="Calibri"/>
          <w:sz w:val="22"/>
          <w:szCs w:val="22"/>
        </w:rPr>
        <w:t xml:space="preserve">via videoconference on 12 July 2021. </w:t>
      </w:r>
      <w:r>
        <w:rPr>
          <w:rFonts w:ascii="Calibri" w:hAnsi="Calibri"/>
          <w:sz w:val="22"/>
          <w:szCs w:val="22"/>
        </w:rPr>
        <w:t xml:space="preserve">Attendees included representatives from Medicines Australia, the pharmaceutical </w:t>
      </w:r>
      <w:proofErr w:type="gramStart"/>
      <w:r>
        <w:rPr>
          <w:rFonts w:ascii="Calibri" w:hAnsi="Calibri"/>
          <w:sz w:val="22"/>
          <w:szCs w:val="22"/>
        </w:rPr>
        <w:t>industry</w:t>
      </w:r>
      <w:proofErr w:type="gramEnd"/>
      <w:r>
        <w:rPr>
          <w:rFonts w:ascii="Calibri" w:hAnsi="Calibri"/>
          <w:sz w:val="22"/>
          <w:szCs w:val="22"/>
        </w:rPr>
        <w:t xml:space="preserve"> and the Department of Health.</w:t>
      </w:r>
    </w:p>
    <w:p w14:paraId="37BC0BCD" w14:textId="643B4D3B" w:rsidR="00AE652B" w:rsidRDefault="00AE652B" w:rsidP="00F2049B">
      <w:pPr>
        <w:pStyle w:val="Body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</w:t>
      </w:r>
      <w:r w:rsidR="00B009BC">
        <w:rPr>
          <w:rFonts w:ascii="Calibri" w:hAnsi="Calibri"/>
          <w:sz w:val="22"/>
          <w:szCs w:val="22"/>
        </w:rPr>
        <w:t xml:space="preserve">pdates were provided </w:t>
      </w:r>
      <w:r>
        <w:rPr>
          <w:rFonts w:ascii="Calibri" w:hAnsi="Calibri"/>
          <w:sz w:val="22"/>
          <w:szCs w:val="22"/>
        </w:rPr>
        <w:t xml:space="preserve">on each of the AMWG subgroups for members’ </w:t>
      </w:r>
      <w:r w:rsidR="00B009BC">
        <w:rPr>
          <w:rFonts w:ascii="Calibri" w:hAnsi="Calibri"/>
          <w:sz w:val="22"/>
          <w:szCs w:val="22"/>
        </w:rPr>
        <w:t xml:space="preserve">consideration. </w:t>
      </w:r>
      <w:r>
        <w:rPr>
          <w:rFonts w:ascii="Calibri" w:hAnsi="Calibri"/>
          <w:sz w:val="22"/>
          <w:szCs w:val="22"/>
        </w:rPr>
        <w:t>In an update on the joint AMWG and Generic Medicines Working Group Biosimilar Policy Subgroup, m</w:t>
      </w:r>
      <w:r w:rsidR="00B009BC">
        <w:rPr>
          <w:rFonts w:ascii="Calibri" w:hAnsi="Calibri"/>
          <w:sz w:val="22"/>
          <w:szCs w:val="22"/>
        </w:rPr>
        <w:t xml:space="preserve">embers noted that </w:t>
      </w:r>
      <w:r w:rsidR="00CF3A0E">
        <w:rPr>
          <w:rFonts w:ascii="Calibri" w:hAnsi="Calibri"/>
          <w:sz w:val="22"/>
          <w:szCs w:val="22"/>
        </w:rPr>
        <w:t>since the last AMWG meeting in</w:t>
      </w:r>
      <w:r w:rsidR="005E7890">
        <w:rPr>
          <w:rFonts w:ascii="Calibri" w:hAnsi="Calibri"/>
          <w:sz w:val="22"/>
          <w:szCs w:val="22"/>
        </w:rPr>
        <w:t xml:space="preserve"> October</w:t>
      </w:r>
      <w:r w:rsidR="00CF3A0E">
        <w:rPr>
          <w:rFonts w:ascii="Calibri" w:hAnsi="Calibri"/>
          <w:sz w:val="22"/>
          <w:szCs w:val="22"/>
        </w:rPr>
        <w:t xml:space="preserve"> 2020, the biosimilar market share continues to steadily increase. </w:t>
      </w:r>
    </w:p>
    <w:p w14:paraId="0886DB2F" w14:textId="06B0C5D1" w:rsidR="00B009BC" w:rsidRDefault="00AE652B" w:rsidP="00F2049B">
      <w:pPr>
        <w:pStyle w:val="BodyA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</w:t>
      </w:r>
      <w:r w:rsidR="00E7617F">
        <w:rPr>
          <w:rFonts w:ascii="Calibri" w:hAnsi="Calibri"/>
          <w:sz w:val="22"/>
          <w:szCs w:val="22"/>
        </w:rPr>
        <w:t xml:space="preserve">he AMWG </w:t>
      </w:r>
      <w:r>
        <w:rPr>
          <w:rFonts w:ascii="Calibri" w:hAnsi="Calibri"/>
          <w:sz w:val="22"/>
          <w:szCs w:val="22"/>
        </w:rPr>
        <w:t xml:space="preserve">noted that the </w:t>
      </w:r>
      <w:r w:rsidR="00E7617F">
        <w:rPr>
          <w:rFonts w:ascii="Calibri" w:hAnsi="Calibri"/>
          <w:sz w:val="22"/>
          <w:szCs w:val="22"/>
        </w:rPr>
        <w:t>Streamlined Pathways Subgroup (SPS)</w:t>
      </w:r>
      <w:r>
        <w:rPr>
          <w:rFonts w:ascii="Calibri" w:hAnsi="Calibri"/>
          <w:sz w:val="22"/>
          <w:szCs w:val="22"/>
        </w:rPr>
        <w:t xml:space="preserve"> is continuing to monitor implementation of Stage 2 PBS process improvements, which have been in place for six months. </w:t>
      </w:r>
      <w:r w:rsidR="00B009BC">
        <w:rPr>
          <w:rFonts w:ascii="Calibri" w:hAnsi="Calibri"/>
          <w:sz w:val="22"/>
          <w:szCs w:val="22"/>
        </w:rPr>
        <w:t>Members agreed to seek J</w:t>
      </w:r>
      <w:r w:rsidR="00E7617F">
        <w:rPr>
          <w:rFonts w:ascii="Calibri" w:hAnsi="Calibri"/>
          <w:sz w:val="22"/>
          <w:szCs w:val="22"/>
        </w:rPr>
        <w:t xml:space="preserve">oint </w:t>
      </w:r>
      <w:r w:rsidR="00B009BC">
        <w:rPr>
          <w:rFonts w:ascii="Calibri" w:hAnsi="Calibri"/>
          <w:sz w:val="22"/>
          <w:szCs w:val="22"/>
        </w:rPr>
        <w:t>O</w:t>
      </w:r>
      <w:r w:rsidR="00E7617F">
        <w:rPr>
          <w:rFonts w:ascii="Calibri" w:hAnsi="Calibri"/>
          <w:sz w:val="22"/>
          <w:szCs w:val="22"/>
        </w:rPr>
        <w:t xml:space="preserve">versight </w:t>
      </w:r>
      <w:r w:rsidR="00B009BC">
        <w:rPr>
          <w:rFonts w:ascii="Calibri" w:hAnsi="Calibri"/>
          <w:sz w:val="22"/>
          <w:szCs w:val="22"/>
        </w:rPr>
        <w:t>C</w:t>
      </w:r>
      <w:r w:rsidR="00E7617F">
        <w:rPr>
          <w:rFonts w:ascii="Calibri" w:hAnsi="Calibri"/>
          <w:sz w:val="22"/>
          <w:szCs w:val="22"/>
        </w:rPr>
        <w:t>ommittee</w:t>
      </w:r>
      <w:r w:rsidR="00B009BC">
        <w:rPr>
          <w:rFonts w:ascii="Calibri" w:hAnsi="Calibri"/>
          <w:sz w:val="22"/>
          <w:szCs w:val="22"/>
        </w:rPr>
        <w:t xml:space="preserve"> </w:t>
      </w:r>
      <w:r w:rsidR="00E7617F">
        <w:rPr>
          <w:rFonts w:ascii="Calibri" w:hAnsi="Calibri"/>
          <w:sz w:val="22"/>
          <w:szCs w:val="22"/>
        </w:rPr>
        <w:t xml:space="preserve">(JOC) </w:t>
      </w:r>
      <w:r w:rsidR="00B009BC">
        <w:rPr>
          <w:rFonts w:ascii="Calibri" w:hAnsi="Calibri"/>
          <w:sz w:val="22"/>
          <w:szCs w:val="22"/>
        </w:rPr>
        <w:t>endorsement f</w:t>
      </w:r>
      <w:r w:rsidR="00E7617F">
        <w:rPr>
          <w:rFonts w:ascii="Calibri" w:hAnsi="Calibri"/>
          <w:sz w:val="22"/>
          <w:szCs w:val="22"/>
        </w:rPr>
        <w:t>or</w:t>
      </w:r>
      <w:r w:rsidR="00B009BC">
        <w:rPr>
          <w:rFonts w:ascii="Calibri" w:hAnsi="Calibri"/>
          <w:sz w:val="22"/>
          <w:szCs w:val="22"/>
        </w:rPr>
        <w:t xml:space="preserve"> 12 Stage 2 metrics proposed by the </w:t>
      </w:r>
      <w:r w:rsidR="00E7617F">
        <w:rPr>
          <w:rFonts w:ascii="Calibri" w:hAnsi="Calibri"/>
          <w:sz w:val="22"/>
          <w:szCs w:val="22"/>
        </w:rPr>
        <w:t>SPS</w:t>
      </w:r>
      <w:r w:rsidR="00B009BC">
        <w:rPr>
          <w:rFonts w:ascii="Calibri" w:hAnsi="Calibri"/>
          <w:sz w:val="22"/>
          <w:szCs w:val="22"/>
        </w:rPr>
        <w:t xml:space="preserve"> for publication. The AMWG agreed that </w:t>
      </w:r>
      <w:r w:rsidR="005E5BF0">
        <w:rPr>
          <w:rFonts w:ascii="Calibri" w:hAnsi="Calibri"/>
          <w:sz w:val="22"/>
          <w:szCs w:val="22"/>
        </w:rPr>
        <w:t xml:space="preserve">the </w:t>
      </w:r>
      <w:r w:rsidR="00B009BC">
        <w:rPr>
          <w:rFonts w:ascii="Calibri" w:hAnsi="Calibri"/>
          <w:sz w:val="22"/>
          <w:szCs w:val="22"/>
        </w:rPr>
        <w:t>SPS will continue to explore additional Stage 2 metrics, including qualitative metrics and will report back to the AMWG in early 2022.</w:t>
      </w:r>
      <w:r w:rsidR="00B009BC" w:rsidRPr="00F80A5A">
        <w:rPr>
          <w:rFonts w:ascii="Calibri" w:hAnsi="Calibri"/>
          <w:sz w:val="22"/>
          <w:szCs w:val="22"/>
        </w:rPr>
        <w:t xml:space="preserve"> </w:t>
      </w:r>
      <w:r w:rsidR="00B009BC">
        <w:rPr>
          <w:rFonts w:ascii="Calibri" w:hAnsi="Calibri"/>
          <w:sz w:val="22"/>
          <w:szCs w:val="22"/>
        </w:rPr>
        <w:t xml:space="preserve">The first Stage 2 metrics report will be published in late 2022 to allow 12 months of Stage 2 implementation. </w:t>
      </w:r>
      <w:r w:rsidR="00E7617F">
        <w:rPr>
          <w:rFonts w:ascii="Calibri" w:hAnsi="Calibri"/>
          <w:sz w:val="22"/>
          <w:szCs w:val="22"/>
        </w:rPr>
        <w:t>For Stage 1 metrics, t</w:t>
      </w:r>
      <w:r w:rsidR="00B009BC">
        <w:rPr>
          <w:rFonts w:ascii="Calibri" w:hAnsi="Calibri"/>
          <w:sz w:val="22"/>
          <w:szCs w:val="22"/>
        </w:rPr>
        <w:t xml:space="preserve">he next annual report is expected to be published around September 2021 following </w:t>
      </w:r>
      <w:r w:rsidR="006F4191">
        <w:rPr>
          <w:rFonts w:ascii="Calibri" w:hAnsi="Calibri"/>
          <w:sz w:val="22"/>
          <w:szCs w:val="22"/>
        </w:rPr>
        <w:t xml:space="preserve">out-of-session </w:t>
      </w:r>
      <w:r w:rsidR="00B009BC">
        <w:rPr>
          <w:rFonts w:ascii="Calibri" w:hAnsi="Calibri"/>
          <w:sz w:val="22"/>
          <w:szCs w:val="22"/>
        </w:rPr>
        <w:t xml:space="preserve">endorsement by the </w:t>
      </w:r>
      <w:r w:rsidR="00E7617F">
        <w:rPr>
          <w:rFonts w:ascii="Calibri" w:hAnsi="Calibri"/>
          <w:sz w:val="22"/>
          <w:szCs w:val="22"/>
        </w:rPr>
        <w:t>JOC.</w:t>
      </w:r>
    </w:p>
    <w:p w14:paraId="414763BD" w14:textId="050BF37E" w:rsidR="00CD4776" w:rsidRPr="00B2522C" w:rsidRDefault="00B2522C">
      <w:pPr>
        <w:pStyle w:val="BodyA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Through updates on the Transparency and Efficiencies Subgroup, m</w:t>
      </w:r>
      <w:r w:rsidR="009433BD">
        <w:rPr>
          <w:rFonts w:ascii="Calibri" w:hAnsi="Calibri"/>
          <w:sz w:val="22"/>
          <w:szCs w:val="22"/>
        </w:rPr>
        <w:t xml:space="preserve">embers noted </w:t>
      </w:r>
      <w:r w:rsidR="00AE652B">
        <w:rPr>
          <w:rFonts w:ascii="Calibri" w:hAnsi="Calibri"/>
          <w:sz w:val="22"/>
          <w:szCs w:val="22"/>
        </w:rPr>
        <w:t xml:space="preserve">that </w:t>
      </w:r>
      <w:r w:rsidR="009433BD">
        <w:rPr>
          <w:rFonts w:ascii="Calibri" w:hAnsi="Calibri"/>
          <w:sz w:val="22"/>
          <w:szCs w:val="22"/>
        </w:rPr>
        <w:t>the 2021-22 Cost Recovery Implementation Statement (CRIS) is available on the PBS websit</w:t>
      </w:r>
      <w:r>
        <w:rPr>
          <w:rFonts w:ascii="Calibri" w:hAnsi="Calibri"/>
          <w:sz w:val="22"/>
          <w:szCs w:val="22"/>
        </w:rPr>
        <w:t>e</w:t>
      </w:r>
      <w:r w:rsidR="009433BD">
        <w:rPr>
          <w:rFonts w:ascii="Calibri" w:hAnsi="Calibri"/>
          <w:sz w:val="22"/>
          <w:szCs w:val="22"/>
        </w:rPr>
        <w:t>. The CRIS addresses consultation feedback received in April 2021. As outlined in the CRIS, an independent review of the PBS cost model is expected to occur after January 2022.</w:t>
      </w:r>
      <w:r w:rsidR="009433BD" w:rsidRPr="00862EB1">
        <w:rPr>
          <w:rFonts w:ascii="Calibri" w:hAnsi="Calibri"/>
          <w:sz w:val="22"/>
          <w:szCs w:val="22"/>
        </w:rPr>
        <w:t xml:space="preserve"> </w:t>
      </w:r>
      <w:r w:rsidR="006F4191">
        <w:rPr>
          <w:rFonts w:ascii="Calibri" w:hAnsi="Calibri"/>
          <w:sz w:val="22"/>
          <w:szCs w:val="22"/>
        </w:rPr>
        <w:t xml:space="preserve">The scope of the review will be shared with AMWG at the next meeting. </w:t>
      </w:r>
      <w:r w:rsidR="009433BD" w:rsidRPr="00862EB1">
        <w:rPr>
          <w:rFonts w:ascii="Calibri" w:hAnsi="Calibri"/>
          <w:sz w:val="22"/>
          <w:szCs w:val="22"/>
        </w:rPr>
        <w:t xml:space="preserve">The review </w:t>
      </w:r>
      <w:r w:rsidR="009433BD">
        <w:rPr>
          <w:rFonts w:ascii="Calibri" w:hAnsi="Calibri"/>
          <w:sz w:val="22"/>
          <w:szCs w:val="22"/>
        </w:rPr>
        <w:t>is intended to en</w:t>
      </w:r>
      <w:r w:rsidR="009433BD" w:rsidRPr="00862EB1">
        <w:rPr>
          <w:rFonts w:ascii="Calibri" w:hAnsi="Calibri"/>
          <w:sz w:val="22"/>
          <w:szCs w:val="22"/>
        </w:rPr>
        <w:t>sure that fees reflect the most efficient costs for providing government services</w:t>
      </w:r>
      <w:r w:rsidR="005E5BF0">
        <w:rPr>
          <w:rFonts w:ascii="Calibri" w:hAnsi="Calibri"/>
          <w:sz w:val="22"/>
          <w:szCs w:val="22"/>
        </w:rPr>
        <w:t xml:space="preserve"> and outcomes of this review will be provided through the CRIS.</w:t>
      </w:r>
    </w:p>
    <w:p w14:paraId="7DD36C1C" w14:textId="2F3E7B40" w:rsidR="00C42C20" w:rsidRDefault="00CF3A0E">
      <w:pPr>
        <w:pStyle w:val="BodyA"/>
      </w:pPr>
      <w:r>
        <w:rPr>
          <w:rFonts w:ascii="Calibri" w:hAnsi="Calibri"/>
          <w:sz w:val="22"/>
          <w:szCs w:val="22"/>
        </w:rPr>
        <w:t>The</w:t>
      </w:r>
      <w:r w:rsidR="00402291">
        <w:rPr>
          <w:rFonts w:ascii="Calibri" w:hAnsi="Calibri"/>
          <w:sz w:val="22"/>
          <w:szCs w:val="22"/>
        </w:rPr>
        <w:t xml:space="preserve"> AMWG members will reconvene at the</w:t>
      </w:r>
      <w:r>
        <w:rPr>
          <w:rFonts w:ascii="Calibri" w:hAnsi="Calibri"/>
          <w:sz w:val="22"/>
          <w:szCs w:val="22"/>
        </w:rPr>
        <w:t xml:space="preserve"> nex</w:t>
      </w:r>
      <w:r w:rsidR="00402291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 xml:space="preserve"> meeting</w:t>
      </w:r>
      <w:r w:rsidR="00AE652B">
        <w:rPr>
          <w:rFonts w:ascii="Calibri" w:hAnsi="Calibri"/>
          <w:sz w:val="22"/>
          <w:szCs w:val="22"/>
        </w:rPr>
        <w:t xml:space="preserve"> which</w:t>
      </w:r>
      <w:r w:rsidR="00F80A5A">
        <w:rPr>
          <w:rFonts w:ascii="Calibri" w:hAnsi="Calibri"/>
          <w:sz w:val="22"/>
          <w:szCs w:val="22"/>
        </w:rPr>
        <w:t xml:space="preserve"> </w:t>
      </w:r>
      <w:r w:rsidR="00AE652B">
        <w:rPr>
          <w:rFonts w:ascii="Calibri" w:hAnsi="Calibri"/>
          <w:sz w:val="22"/>
          <w:szCs w:val="22"/>
        </w:rPr>
        <w:t xml:space="preserve">is </w:t>
      </w:r>
      <w:r w:rsidR="00F80A5A">
        <w:rPr>
          <w:rFonts w:ascii="Calibri" w:hAnsi="Calibri"/>
          <w:sz w:val="22"/>
          <w:szCs w:val="22"/>
        </w:rPr>
        <w:t xml:space="preserve">expected to be </w:t>
      </w:r>
      <w:r>
        <w:rPr>
          <w:rFonts w:ascii="Calibri" w:hAnsi="Calibri"/>
          <w:sz w:val="22"/>
          <w:szCs w:val="22"/>
        </w:rPr>
        <w:t xml:space="preserve">held in </w:t>
      </w:r>
      <w:r w:rsidR="00507933">
        <w:rPr>
          <w:rFonts w:ascii="Calibri" w:hAnsi="Calibri"/>
          <w:sz w:val="22"/>
          <w:szCs w:val="22"/>
        </w:rPr>
        <w:t>November</w:t>
      </w:r>
      <w:r>
        <w:rPr>
          <w:rFonts w:ascii="Calibri" w:hAnsi="Calibri"/>
          <w:sz w:val="22"/>
          <w:szCs w:val="22"/>
        </w:rPr>
        <w:t xml:space="preserve"> 2021. </w:t>
      </w:r>
    </w:p>
    <w:sectPr w:rsidR="00C42C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E61C8" w14:textId="77777777" w:rsidR="0054096E" w:rsidRDefault="0054096E">
      <w:r>
        <w:separator/>
      </w:r>
    </w:p>
  </w:endnote>
  <w:endnote w:type="continuationSeparator" w:id="0">
    <w:p w14:paraId="685AFBE2" w14:textId="77777777" w:rsidR="0054096E" w:rsidRDefault="0054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56964" w14:textId="77777777" w:rsidR="00AE652B" w:rsidRDefault="00AE65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289C2" w14:textId="77777777" w:rsidR="00C42C20" w:rsidRDefault="00C42C20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2DE42" w14:textId="77777777" w:rsidR="00AE652B" w:rsidRDefault="00AE6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3BA322" w14:textId="77777777" w:rsidR="0054096E" w:rsidRDefault="0054096E">
      <w:r>
        <w:separator/>
      </w:r>
    </w:p>
  </w:footnote>
  <w:footnote w:type="continuationSeparator" w:id="0">
    <w:p w14:paraId="04950421" w14:textId="77777777" w:rsidR="0054096E" w:rsidRDefault="00540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34A4C" w14:textId="77777777" w:rsidR="00AE652B" w:rsidRDefault="00AE65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7116C" w14:textId="45978982" w:rsidR="00C42C20" w:rsidRDefault="00C42C20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D4E27" w14:textId="77777777" w:rsidR="00AE652B" w:rsidRDefault="00AE65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20"/>
    <w:rsid w:val="00011A87"/>
    <w:rsid w:val="000F5EAE"/>
    <w:rsid w:val="001B3085"/>
    <w:rsid w:val="00284DCD"/>
    <w:rsid w:val="002F714B"/>
    <w:rsid w:val="00402291"/>
    <w:rsid w:val="00455B5A"/>
    <w:rsid w:val="00507933"/>
    <w:rsid w:val="0054096E"/>
    <w:rsid w:val="005E5BF0"/>
    <w:rsid w:val="005E7890"/>
    <w:rsid w:val="006F4191"/>
    <w:rsid w:val="00862EB1"/>
    <w:rsid w:val="00882BFD"/>
    <w:rsid w:val="009433BD"/>
    <w:rsid w:val="009E578C"/>
    <w:rsid w:val="00A65B49"/>
    <w:rsid w:val="00A72A33"/>
    <w:rsid w:val="00A94109"/>
    <w:rsid w:val="00AE652B"/>
    <w:rsid w:val="00B009BC"/>
    <w:rsid w:val="00B2522C"/>
    <w:rsid w:val="00C42C20"/>
    <w:rsid w:val="00CC0AC0"/>
    <w:rsid w:val="00CC77DF"/>
    <w:rsid w:val="00CD4776"/>
    <w:rsid w:val="00CF3A0E"/>
    <w:rsid w:val="00D13950"/>
    <w:rsid w:val="00DE0BCE"/>
    <w:rsid w:val="00E204EB"/>
    <w:rsid w:val="00E7617F"/>
    <w:rsid w:val="00F2049B"/>
    <w:rsid w:val="00F8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0E3FBF"/>
  <w15:docId w15:val="{F848B0FC-6974-46A5-B23C-04E833D5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2">
    <w:name w:val="heading 2"/>
    <w:next w:val="BodyA"/>
    <w:pPr>
      <w:keepNext/>
      <w:keepLines/>
      <w:spacing w:before="40" w:line="259" w:lineRule="auto"/>
      <w:outlineLvl w:val="1"/>
    </w:pPr>
    <w:rPr>
      <w:rFonts w:ascii="Calibri Light" w:hAnsi="Calibri Light" w:cs="Arial Unicode MS"/>
      <w:color w:val="2E74B5"/>
      <w:sz w:val="26"/>
      <w:szCs w:val="26"/>
      <w:u w:color="2E74B5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ing3">
    <w:name w:val="heading 3"/>
    <w:next w:val="BodyA"/>
    <w:pPr>
      <w:keepNext/>
      <w:keepLines/>
      <w:spacing w:before="40" w:line="259" w:lineRule="auto"/>
      <w:outlineLvl w:val="2"/>
    </w:pPr>
    <w:rPr>
      <w:rFonts w:ascii="Calibri Light" w:hAnsi="Calibri Light" w:cs="Arial Unicode MS"/>
      <w:color w:val="1F4D78"/>
      <w:sz w:val="24"/>
      <w:szCs w:val="24"/>
      <w:u w:color="1F4D78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A"/>
    <w:pPr>
      <w:keepNext/>
      <w:keepLines/>
      <w:spacing w:before="240" w:line="259" w:lineRule="auto"/>
      <w:outlineLvl w:val="0"/>
    </w:pPr>
    <w:rPr>
      <w:rFonts w:ascii="Calibri Light" w:hAnsi="Calibri Light" w:cs="Arial Unicode MS"/>
      <w:color w:val="2E74B5"/>
      <w:sz w:val="32"/>
      <w:szCs w:val="32"/>
      <w:u w:color="2E74B5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after="160" w:line="259" w:lineRule="auto"/>
    </w:pPr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A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A87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72A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A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A3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A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A33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E65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52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E65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52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2021-07-30T05:15:00Z</cp:lastPrinted>
  <dcterms:created xsi:type="dcterms:W3CDTF">2021-08-09T03:48:00Z</dcterms:created>
  <dcterms:modified xsi:type="dcterms:W3CDTF">2021-08-25T01:57:00Z</dcterms:modified>
</cp:coreProperties>
</file>