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tblInd w:w="-885" w:type="dxa"/>
        <w:tblLook w:val="04A0" w:firstRow="1" w:lastRow="0" w:firstColumn="1" w:lastColumn="0" w:noHBand="0" w:noVBand="1"/>
        <w:tblDescription w:val="6CPA Supporting Fact Sheet"/>
      </w:tblPr>
      <w:tblGrid>
        <w:gridCol w:w="3120"/>
        <w:gridCol w:w="7654"/>
      </w:tblGrid>
      <w:tr w:rsidR="00063D8C" w:rsidRPr="00063D8C" w:rsidTr="00B3679F">
        <w:tc>
          <w:tcPr>
            <w:tcW w:w="3120" w:type="dxa"/>
          </w:tcPr>
          <w:p w:rsidR="00063D8C" w:rsidRPr="00063D8C" w:rsidRDefault="00063D8C">
            <w:pPr>
              <w:rPr>
                <w:b/>
              </w:rPr>
            </w:pPr>
            <w:r w:rsidRPr="00063D8C">
              <w:rPr>
                <w:b/>
              </w:rPr>
              <w:t>Measure</w:t>
            </w:r>
          </w:p>
        </w:tc>
        <w:tc>
          <w:tcPr>
            <w:tcW w:w="7654" w:type="dxa"/>
          </w:tcPr>
          <w:p w:rsidR="00063D8C" w:rsidRPr="00063D8C" w:rsidRDefault="00063D8C">
            <w:pPr>
              <w:rPr>
                <w:b/>
              </w:rPr>
            </w:pPr>
            <w:r w:rsidRPr="00063D8C">
              <w:rPr>
                <w:b/>
              </w:rPr>
              <w:t>Description</w:t>
            </w:r>
          </w:p>
        </w:tc>
      </w:tr>
      <w:tr w:rsidR="00063D8C" w:rsidTr="00B3679F">
        <w:tc>
          <w:tcPr>
            <w:tcW w:w="3120" w:type="dxa"/>
          </w:tcPr>
          <w:p w:rsidR="00063D8C" w:rsidRDefault="00063D8C" w:rsidP="00063D8C">
            <w:r w:rsidRPr="00063D8C">
              <w:t>One-off 5% statutory price reduction after an F1 drug has been listed for at least 5 years</w:t>
            </w:r>
          </w:p>
        </w:tc>
        <w:tc>
          <w:tcPr>
            <w:tcW w:w="7654" w:type="dxa"/>
          </w:tcPr>
          <w:p w:rsidR="00063D8C" w:rsidRPr="00EC3753" w:rsidRDefault="00EC3753" w:rsidP="00EC375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theme="minorBidi"/>
                <w:sz w:val="24"/>
              </w:rPr>
            </w:pPr>
            <w:r>
              <w:rPr>
                <w:rFonts w:ascii="Times New Roman" w:hAnsi="Times New Roman" w:cstheme="minorBidi"/>
                <w:sz w:val="24"/>
              </w:rPr>
              <w:t>O</w:t>
            </w:r>
            <w:r w:rsidR="007F2A25" w:rsidRPr="009D3EB0">
              <w:rPr>
                <w:rFonts w:ascii="Times New Roman" w:hAnsi="Times New Roman" w:cstheme="minorBidi"/>
                <w:sz w:val="24"/>
              </w:rPr>
              <w:t>ne-off statutory price reduction of five per cent for all medicines in the F1 formulary</w:t>
            </w:r>
            <w:r>
              <w:rPr>
                <w:rFonts w:ascii="Times New Roman" w:hAnsi="Times New Roman" w:cstheme="minorBidi"/>
                <w:sz w:val="24"/>
              </w:rPr>
              <w:t xml:space="preserve"> (on patent drugs)</w:t>
            </w:r>
            <w:r w:rsidR="007F2A25" w:rsidRPr="009D3EB0">
              <w:rPr>
                <w:rFonts w:ascii="Times New Roman" w:hAnsi="Times New Roman" w:cstheme="minorBidi"/>
                <w:sz w:val="24"/>
              </w:rPr>
              <w:t xml:space="preserve"> after they have been listed on t</w:t>
            </w:r>
            <w:r w:rsidR="009D3EB0" w:rsidRPr="009D3EB0">
              <w:rPr>
                <w:rFonts w:ascii="Times New Roman" w:hAnsi="Times New Roman" w:cstheme="minorBidi"/>
                <w:sz w:val="24"/>
              </w:rPr>
              <w:t>he PBS for at least five years</w:t>
            </w:r>
            <w:r>
              <w:rPr>
                <w:rFonts w:ascii="Times New Roman" w:hAnsi="Times New Roman" w:cstheme="minorBidi"/>
                <w:sz w:val="24"/>
              </w:rPr>
              <w:t xml:space="preserve">.  </w:t>
            </w:r>
          </w:p>
        </w:tc>
      </w:tr>
      <w:tr w:rsidR="00063D8C" w:rsidTr="00B3679F">
        <w:tc>
          <w:tcPr>
            <w:tcW w:w="3120" w:type="dxa"/>
          </w:tcPr>
          <w:p w:rsidR="004F201F" w:rsidRDefault="00063D8C" w:rsidP="00B3679F">
            <w:r w:rsidRPr="00063D8C">
              <w:t xml:space="preserve">Price Disclosure </w:t>
            </w:r>
            <w:r w:rsidR="004F201F">
              <w:t xml:space="preserve">amendments: </w:t>
            </w:r>
          </w:p>
        </w:tc>
        <w:tc>
          <w:tcPr>
            <w:tcW w:w="7654" w:type="dxa"/>
          </w:tcPr>
          <w:p w:rsidR="007F2A25" w:rsidRPr="00EC3753" w:rsidRDefault="00EC3753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R</w:t>
            </w:r>
            <w:r w:rsidR="007F2A25" w:rsidRPr="009D3EB0">
              <w:rPr>
                <w:rFonts w:ascii="Times New Roman" w:eastAsiaTheme="minorHAnsi" w:hAnsi="Times New Roman" w:cstheme="minorBidi"/>
                <w:sz w:val="24"/>
              </w:rPr>
              <w:t xml:space="preserve">emove the originator brand from the calculation of the weighted average disclosed price for drugs </w:t>
            </w:r>
            <w:r w:rsidR="00D85D9B">
              <w:rPr>
                <w:rFonts w:ascii="Times New Roman" w:eastAsiaTheme="minorHAnsi" w:hAnsi="Times New Roman" w:cstheme="minorBidi"/>
                <w:sz w:val="24"/>
              </w:rPr>
              <w:t>subject to brand competition (</w:t>
            </w:r>
            <w:r w:rsidR="007F2A25" w:rsidRPr="009D3EB0">
              <w:rPr>
                <w:rFonts w:ascii="Times New Roman" w:eastAsiaTheme="minorHAnsi" w:hAnsi="Times New Roman" w:cstheme="minorBidi"/>
                <w:sz w:val="24"/>
              </w:rPr>
              <w:t>listed on F2</w:t>
            </w:r>
            <w:r w:rsidR="00D85D9B">
              <w:rPr>
                <w:rFonts w:ascii="Times New Roman" w:eastAsiaTheme="minorHAnsi" w:hAnsi="Times New Roman" w:cstheme="minorBidi"/>
                <w:sz w:val="24"/>
              </w:rPr>
              <w:t>)</w:t>
            </w:r>
            <w:r w:rsidR="007F2A25" w:rsidRPr="009D3EB0">
              <w:rPr>
                <w:rFonts w:ascii="Times New Roman" w:eastAsiaTheme="minorHAnsi" w:hAnsi="Times New Roman" w:cstheme="minorBidi"/>
                <w:sz w:val="24"/>
              </w:rPr>
              <w:t xml:space="preserve"> for three years or more.</w:t>
            </w:r>
            <w:r>
              <w:rPr>
                <w:rFonts w:ascii="Times New Roman" w:eastAsiaTheme="minorHAnsi" w:hAnsi="Times New Roman" w:cstheme="minorBidi"/>
                <w:sz w:val="24"/>
              </w:rPr>
              <w:t xml:space="preserve"> </w:t>
            </w:r>
            <w:r w:rsidRPr="00EC3753">
              <w:rPr>
                <w:rFonts w:ascii="Times New Roman" w:eastAsiaTheme="minorHAnsi" w:hAnsi="Times New Roman" w:cstheme="minorBidi"/>
                <w:sz w:val="24"/>
              </w:rPr>
              <w:t>It means</w:t>
            </w:r>
            <w:r w:rsidR="004F201F" w:rsidRPr="00EC3753">
              <w:rPr>
                <w:rFonts w:ascii="Times New Roman" w:eastAsiaTheme="minorHAnsi" w:hAnsi="Times New Roman" w:cstheme="minorBidi"/>
                <w:sz w:val="24"/>
              </w:rPr>
              <w:t xml:space="preserve"> h</w:t>
            </w:r>
            <w:r w:rsidR="007F2A25" w:rsidRPr="00EC3753">
              <w:rPr>
                <w:rFonts w:ascii="Times New Roman" w:eastAsiaTheme="minorHAnsi" w:hAnsi="Times New Roman" w:cstheme="minorBidi"/>
                <w:sz w:val="24"/>
              </w:rPr>
              <w:t xml:space="preserve">igher price reductions </w:t>
            </w:r>
            <w:r w:rsidRPr="00EC3753">
              <w:rPr>
                <w:rFonts w:ascii="Times New Roman" w:eastAsiaTheme="minorHAnsi" w:hAnsi="Times New Roman" w:cstheme="minorBidi"/>
                <w:sz w:val="24"/>
              </w:rPr>
              <w:t>for those medicines still discounting but only after generic market share has been firmly established</w:t>
            </w:r>
            <w:r w:rsidR="007F2A25" w:rsidRPr="00EC3753">
              <w:rPr>
                <w:rFonts w:ascii="Times New Roman" w:eastAsiaTheme="minorHAnsi" w:hAnsi="Times New Roman" w:cstheme="minorBidi"/>
                <w:sz w:val="24"/>
              </w:rPr>
              <w:t>.</w:t>
            </w:r>
          </w:p>
          <w:p w:rsidR="004F201F" w:rsidRPr="004F201F" w:rsidRDefault="00EC3753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F</w:t>
            </w:r>
            <w:r w:rsidR="004F201F" w:rsidRPr="009D3EB0">
              <w:rPr>
                <w:rFonts w:ascii="Times New Roman" w:eastAsiaTheme="minorHAnsi" w:hAnsi="Times New Roman" w:cstheme="minorBidi"/>
                <w:sz w:val="24"/>
              </w:rPr>
              <w:t>low</w:t>
            </w:r>
            <w:r w:rsidR="004F201F" w:rsidRPr="009D3EB0">
              <w:rPr>
                <w:rFonts w:ascii="Times New Roman" w:eastAsiaTheme="minorHAnsi" w:hAnsi="Times New Roman" w:cstheme="minorBidi"/>
                <w:sz w:val="24"/>
              </w:rPr>
              <w:noBreakHyphen/>
              <w:t xml:space="preserve">on price disclosure reductions from single ingredient medicines (e.g. atorvastatin) to combination items (e.g.  </w:t>
            </w:r>
            <w:proofErr w:type="gramStart"/>
            <w:r w:rsidR="004F201F" w:rsidRPr="009D3EB0">
              <w:rPr>
                <w:rFonts w:ascii="Times New Roman" w:eastAsiaTheme="minorHAnsi" w:hAnsi="Times New Roman" w:cstheme="minorBidi"/>
                <w:sz w:val="24"/>
              </w:rPr>
              <w:t>amlodipine</w:t>
            </w:r>
            <w:proofErr w:type="gramEnd"/>
            <w:r w:rsidR="004F201F" w:rsidRPr="009D3EB0">
              <w:rPr>
                <w:rFonts w:ascii="Times New Roman" w:eastAsiaTheme="minorHAnsi" w:hAnsi="Times New Roman" w:cstheme="minorBidi"/>
                <w:sz w:val="24"/>
              </w:rPr>
              <w:t xml:space="preserve"> and atorvastatin)</w:t>
            </w:r>
            <w:r>
              <w:rPr>
                <w:rFonts w:ascii="Times New Roman" w:eastAsiaTheme="minorHAnsi" w:hAnsi="Times New Roman" w:cstheme="minorBidi"/>
                <w:sz w:val="24"/>
              </w:rPr>
              <w:t xml:space="preserve"> to ensure government pays the same price for a medicine</w:t>
            </w:r>
            <w:r w:rsidR="004F201F" w:rsidRPr="009D3EB0">
              <w:rPr>
                <w:rFonts w:ascii="Times New Roman" w:eastAsiaTheme="minorHAnsi" w:hAnsi="Times New Roman" w:cstheme="minorBidi"/>
                <w:sz w:val="24"/>
              </w:rPr>
              <w:t>.</w:t>
            </w:r>
          </w:p>
        </w:tc>
      </w:tr>
      <w:tr w:rsidR="00063D8C" w:rsidTr="00B3679F">
        <w:tc>
          <w:tcPr>
            <w:tcW w:w="3120" w:type="dxa"/>
          </w:tcPr>
          <w:p w:rsidR="00063D8C" w:rsidRDefault="00063D8C">
            <w:r w:rsidRPr="00063D8C">
              <w:t xml:space="preserve">Allowing Discounting </w:t>
            </w:r>
            <w:r>
              <w:t xml:space="preserve">of the </w:t>
            </w:r>
            <w:r w:rsidRPr="00063D8C">
              <w:t>PBS Patient Co-Payment</w:t>
            </w:r>
          </w:p>
        </w:tc>
        <w:tc>
          <w:tcPr>
            <w:tcW w:w="7654" w:type="dxa"/>
          </w:tcPr>
          <w:p w:rsidR="00063D8C" w:rsidRPr="00461351" w:rsidRDefault="00EC3753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D3EB0">
              <w:rPr>
                <w:rFonts w:ascii="Times New Roman" w:hAnsi="Times New Roman"/>
                <w:sz w:val="24"/>
                <w:szCs w:val="24"/>
              </w:rPr>
              <w:t>harmacists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will be able to 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 xml:space="preserve">discount PBS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general and concessional 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>co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noBreakHyphen/>
              <w:t xml:space="preserve">payments by up to </w:t>
            </w:r>
            <w:r>
              <w:rPr>
                <w:rFonts w:ascii="Times New Roman" w:hAnsi="Times New Roman"/>
                <w:sz w:val="24"/>
                <w:szCs w:val="24"/>
              </w:rPr>
              <w:t>$1.</w:t>
            </w:r>
            <w:r w:rsidR="00461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A25" w:rsidRPr="00461351">
              <w:rPr>
                <w:rFonts w:ascii="Times New Roman" w:hAnsi="Times New Roman"/>
                <w:sz w:val="24"/>
                <w:szCs w:val="24"/>
              </w:rPr>
              <w:t>The discount will be entirely at the pharmacist’s decision and it will be at their cost.</w:t>
            </w:r>
          </w:p>
        </w:tc>
      </w:tr>
      <w:tr w:rsidR="00063D8C" w:rsidTr="00B3679F">
        <w:tc>
          <w:tcPr>
            <w:tcW w:w="3120" w:type="dxa"/>
          </w:tcPr>
          <w:p w:rsidR="00063D8C" w:rsidRDefault="00063D8C" w:rsidP="00EC3753">
            <w:r w:rsidRPr="00063D8C">
              <w:t>Expansion of PBS early supply prov</w:t>
            </w:r>
            <w:r w:rsidR="00EC3753">
              <w:t>ision ‘Safety-net 20 Day rule’</w:t>
            </w:r>
          </w:p>
        </w:tc>
        <w:tc>
          <w:tcPr>
            <w:tcW w:w="7654" w:type="dxa"/>
          </w:tcPr>
          <w:p w:rsidR="007F2A25" w:rsidRPr="00EC3753" w:rsidRDefault="00EC3753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Extends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 xml:space="preserve"> the existing Safety Net 20 Day Rule to apply to a broader range of PBS medicines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recommended by the </w:t>
            </w:r>
            <w:r w:rsidR="007F2A25" w:rsidRPr="00EC3753">
              <w:rPr>
                <w:rFonts w:ascii="Times New Roman" w:hAnsi="Times New Roman"/>
                <w:sz w:val="24"/>
                <w:szCs w:val="24"/>
              </w:rPr>
              <w:t>P</w:t>
            </w:r>
            <w:r w:rsidR="009D3EB0" w:rsidRPr="00EC3753">
              <w:rPr>
                <w:rFonts w:ascii="Times New Roman" w:hAnsi="Times New Roman"/>
                <w:sz w:val="24"/>
                <w:szCs w:val="24"/>
              </w:rPr>
              <w:t xml:space="preserve">harmaceutical </w:t>
            </w:r>
            <w:r w:rsidR="007F2A25" w:rsidRPr="00EC3753">
              <w:rPr>
                <w:rFonts w:ascii="Times New Roman" w:hAnsi="Times New Roman"/>
                <w:sz w:val="24"/>
                <w:szCs w:val="24"/>
              </w:rPr>
              <w:t>B</w:t>
            </w:r>
            <w:r w:rsidR="009D3EB0" w:rsidRPr="00EC3753">
              <w:rPr>
                <w:rFonts w:ascii="Times New Roman" w:hAnsi="Times New Roman"/>
                <w:sz w:val="24"/>
                <w:szCs w:val="24"/>
              </w:rPr>
              <w:t xml:space="preserve">enefits </w:t>
            </w:r>
            <w:r w:rsidR="007F2A25" w:rsidRPr="00EC3753">
              <w:rPr>
                <w:rFonts w:ascii="Times New Roman" w:hAnsi="Times New Roman"/>
                <w:sz w:val="24"/>
                <w:szCs w:val="24"/>
              </w:rPr>
              <w:t>A</w:t>
            </w:r>
            <w:r w:rsidR="009D3EB0" w:rsidRPr="00EC3753">
              <w:rPr>
                <w:rFonts w:ascii="Times New Roman" w:hAnsi="Times New Roman"/>
                <w:sz w:val="24"/>
                <w:szCs w:val="24"/>
              </w:rPr>
              <w:t xml:space="preserve">dvisory </w:t>
            </w:r>
            <w:r w:rsidR="007F2A25" w:rsidRPr="00EC3753">
              <w:rPr>
                <w:rFonts w:ascii="Times New Roman" w:hAnsi="Times New Roman"/>
                <w:sz w:val="24"/>
                <w:szCs w:val="24"/>
              </w:rPr>
              <w:t>C</w:t>
            </w:r>
            <w:r w:rsidR="009D3EB0" w:rsidRPr="00EC3753">
              <w:rPr>
                <w:rFonts w:ascii="Times New Roman" w:hAnsi="Times New Roman"/>
                <w:sz w:val="24"/>
                <w:szCs w:val="24"/>
              </w:rPr>
              <w:t>ommittee (PBAC)</w:t>
            </w:r>
            <w:r w:rsidR="007F2A25" w:rsidRPr="00EC3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D9B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="00D85D9B" w:rsidRPr="00EC3753">
              <w:rPr>
                <w:rFonts w:ascii="Times New Roman" w:hAnsi="Times New Roman"/>
                <w:sz w:val="24"/>
                <w:szCs w:val="24"/>
              </w:rPr>
              <w:t>clinically</w:t>
            </w:r>
            <w:r w:rsidR="007F2A25" w:rsidRPr="00EC3753">
              <w:rPr>
                <w:rFonts w:ascii="Times New Roman" w:hAnsi="Times New Roman"/>
                <w:sz w:val="24"/>
                <w:szCs w:val="24"/>
              </w:rPr>
              <w:t xml:space="preserve"> appropriate.</w:t>
            </w:r>
            <w:r w:rsidR="009D3EB0" w:rsidRPr="00EC3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3D8C" w:rsidRPr="009D3EB0" w:rsidRDefault="00D85D9B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Exclusions </w:t>
            </w:r>
            <w:r w:rsidRPr="009D3EB0">
              <w:rPr>
                <w:rFonts w:ascii="Times New Roman" w:hAnsi="Times New Roman"/>
                <w:sz w:val="24"/>
                <w:szCs w:val="24"/>
              </w:rPr>
              <w:t>include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 xml:space="preserve"> treatments for cancer, palliative care listings, and individual treatments with high dosage variability.</w:t>
            </w:r>
          </w:p>
        </w:tc>
      </w:tr>
      <w:tr w:rsidR="00063D8C" w:rsidTr="00B3679F">
        <w:tc>
          <w:tcPr>
            <w:tcW w:w="3120" w:type="dxa"/>
          </w:tcPr>
          <w:p w:rsidR="00063D8C" w:rsidRDefault="00063D8C" w:rsidP="00EC3753">
            <w:r w:rsidRPr="00063D8C">
              <w:t xml:space="preserve">Removing </w:t>
            </w:r>
            <w:r w:rsidR="00EC3753">
              <w:t xml:space="preserve">some </w:t>
            </w:r>
            <w:r w:rsidRPr="00063D8C">
              <w:t xml:space="preserve">OTC medicines from PBS, </w:t>
            </w:r>
          </w:p>
        </w:tc>
        <w:tc>
          <w:tcPr>
            <w:tcW w:w="7654" w:type="dxa"/>
          </w:tcPr>
          <w:p w:rsidR="00063D8C" w:rsidRDefault="00EC3753" w:rsidP="00461351">
            <w:pPr>
              <w:pStyle w:val="ListParagraph"/>
              <w:numPr>
                <w:ilvl w:val="0"/>
                <w:numId w:val="3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>emove certain over the counter (OTC) medicines from the PBS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consistent with the advice of 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>reflect advice by the PBAC.</w:t>
            </w:r>
          </w:p>
          <w:p w:rsidR="00EC3753" w:rsidRPr="009D3EB0" w:rsidRDefault="00EC3753" w:rsidP="00461351">
            <w:pPr>
              <w:pStyle w:val="ListParagraph"/>
              <w:numPr>
                <w:ilvl w:val="0"/>
                <w:numId w:val="3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 exclusions include high cost OTCs, particular patient populations and clinical needs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palliative care).</w:t>
            </w:r>
          </w:p>
          <w:p w:rsidR="007F2A25" w:rsidRPr="009D3EB0" w:rsidRDefault="007F2A25" w:rsidP="00461351">
            <w:pPr>
              <w:pStyle w:val="ListParagraph"/>
              <w:numPr>
                <w:ilvl w:val="0"/>
                <w:numId w:val="3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D3EB0">
              <w:rPr>
                <w:rFonts w:ascii="Times New Roman" w:hAnsi="Times New Roman"/>
                <w:sz w:val="24"/>
                <w:szCs w:val="24"/>
              </w:rPr>
              <w:t>In general, OTC medicines are available at relatively low cost for consumers directly from the pharmacy</w:t>
            </w:r>
            <w:r w:rsidR="00EC3753">
              <w:rPr>
                <w:rFonts w:ascii="Times New Roman" w:hAnsi="Times New Roman"/>
                <w:sz w:val="24"/>
                <w:szCs w:val="24"/>
              </w:rPr>
              <w:t xml:space="preserve"> or supermarket</w:t>
            </w:r>
            <w:r w:rsidRPr="009D3EB0">
              <w:rPr>
                <w:rFonts w:ascii="Times New Roman" w:hAnsi="Times New Roman"/>
                <w:sz w:val="24"/>
                <w:szCs w:val="24"/>
              </w:rPr>
              <w:t>.  But for the PBS, the cost of these products to the Government is disproportionately high</w:t>
            </w:r>
            <w:r w:rsidR="00EC3753">
              <w:rPr>
                <w:rFonts w:ascii="Times New Roman" w:hAnsi="Times New Roman"/>
                <w:sz w:val="24"/>
                <w:szCs w:val="24"/>
              </w:rPr>
              <w:t xml:space="preserve"> due to dispensing fees</w:t>
            </w:r>
            <w:r w:rsidRPr="009D3E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3D8C" w:rsidTr="00B3679F">
        <w:tc>
          <w:tcPr>
            <w:tcW w:w="3120" w:type="dxa"/>
          </w:tcPr>
          <w:p w:rsidR="00063D8C" w:rsidRDefault="00063D8C">
            <w:r w:rsidRPr="00063D8C">
              <w:t xml:space="preserve">PBS Reimbursement for </w:t>
            </w:r>
            <w:proofErr w:type="spellStart"/>
            <w:r w:rsidRPr="00063D8C">
              <w:t>Biosimiliar</w:t>
            </w:r>
            <w:proofErr w:type="spellEnd"/>
            <w:r w:rsidRPr="00063D8C">
              <w:t xml:space="preserve"> Medicines</w:t>
            </w:r>
          </w:p>
        </w:tc>
        <w:tc>
          <w:tcPr>
            <w:tcW w:w="7654" w:type="dxa"/>
          </w:tcPr>
          <w:p w:rsidR="007F2A25" w:rsidRPr="009D3EB0" w:rsidRDefault="00EC3753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Recognises PBAC policy approach to use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biosimilar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medicines as they enter the PBS </w:t>
            </w:r>
            <w:r w:rsidR="00461351">
              <w:rPr>
                <w:rFonts w:ascii="Times New Roman" w:hAnsi="Times New Roman"/>
                <w:sz w:val="24"/>
                <w:szCs w:val="24"/>
              </w:rPr>
              <w:t>market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the flow-on implications for pricing policy </w:t>
            </w:r>
            <w:r w:rsidR="00461351">
              <w:rPr>
                <w:rFonts w:ascii="Times New Roman" w:hAnsi="Times New Roman"/>
                <w:sz w:val="24"/>
                <w:szCs w:val="24"/>
              </w:rPr>
              <w:t>such as price disclosure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63D8C" w:rsidRPr="007F2A25" w:rsidRDefault="00EC3753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Includes an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 xml:space="preserve"> education campaign for consumers and specialist clinicians on the safety and efficacy of </w:t>
            </w:r>
            <w:proofErr w:type="spellStart"/>
            <w:r w:rsidR="007F2A25" w:rsidRPr="009D3EB0">
              <w:rPr>
                <w:rFonts w:ascii="Times New Roman" w:hAnsi="Times New Roman"/>
                <w:sz w:val="24"/>
                <w:szCs w:val="24"/>
              </w:rPr>
              <w:t>biosimilar</w:t>
            </w:r>
            <w:proofErr w:type="spellEnd"/>
            <w:r w:rsidR="007F2A25" w:rsidRPr="009D3EB0">
              <w:rPr>
                <w:rFonts w:ascii="Times New Roman" w:hAnsi="Times New Roman"/>
                <w:sz w:val="24"/>
                <w:szCs w:val="24"/>
              </w:rPr>
              <w:t xml:space="preserve"> medicines.</w:t>
            </w:r>
          </w:p>
        </w:tc>
      </w:tr>
      <w:tr w:rsidR="00063D8C" w:rsidTr="00B3679F">
        <w:tc>
          <w:tcPr>
            <w:tcW w:w="3120" w:type="dxa"/>
          </w:tcPr>
          <w:p w:rsidR="00063D8C" w:rsidRDefault="00063D8C">
            <w:r w:rsidRPr="00063D8C">
              <w:t>Increasing PBS price change points from three to six a year</w:t>
            </w:r>
          </w:p>
        </w:tc>
        <w:tc>
          <w:tcPr>
            <w:tcW w:w="7654" w:type="dxa"/>
          </w:tcPr>
          <w:p w:rsidR="00063D8C" w:rsidRPr="007F2A25" w:rsidRDefault="007F2A25" w:rsidP="00C02835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Theme="majorHAnsi" w:hAnsiTheme="majorHAnsi" w:cs="Arial"/>
                <w:sz w:val="24"/>
                <w:szCs w:val="24"/>
              </w:rPr>
            </w:pPr>
            <w:r w:rsidRPr="009D3EB0">
              <w:rPr>
                <w:rFonts w:ascii="Times New Roman" w:hAnsi="Times New Roman"/>
                <w:sz w:val="24"/>
                <w:szCs w:val="24"/>
              </w:rPr>
              <w:t xml:space="preserve">This increases the number of opportunities for the first </w:t>
            </w:r>
            <w:r w:rsidR="00D85D9B">
              <w:rPr>
                <w:rFonts w:ascii="Times New Roman" w:hAnsi="Times New Roman"/>
                <w:sz w:val="24"/>
                <w:szCs w:val="24"/>
              </w:rPr>
              <w:t>new</w:t>
            </w:r>
            <w:r w:rsidR="00D85D9B" w:rsidRPr="009D3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EB0">
              <w:rPr>
                <w:rFonts w:ascii="Times New Roman" w:hAnsi="Times New Roman"/>
                <w:sz w:val="24"/>
                <w:szCs w:val="24"/>
              </w:rPr>
              <w:t>brand of an F1 medicine to be listed on the PBS, as this can only occur on a price change point.</w:t>
            </w:r>
            <w:r w:rsidR="00461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3D8C" w:rsidTr="00B3679F">
        <w:tc>
          <w:tcPr>
            <w:tcW w:w="3120" w:type="dxa"/>
          </w:tcPr>
          <w:p w:rsidR="00063D8C" w:rsidRDefault="00063D8C">
            <w:r w:rsidRPr="00063D8C">
              <w:t>Re-focusing premium-free dispensing incentive to only apply where is a brand premium</w:t>
            </w:r>
          </w:p>
        </w:tc>
        <w:tc>
          <w:tcPr>
            <w:tcW w:w="7654" w:type="dxa"/>
          </w:tcPr>
          <w:p w:rsidR="007F2A25" w:rsidRPr="009D3EB0" w:rsidRDefault="00461351" w:rsidP="00461351">
            <w:pPr>
              <w:pStyle w:val="ListParagraph"/>
              <w:numPr>
                <w:ilvl w:val="0"/>
                <w:numId w:val="5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 xml:space="preserve"> Premium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noBreakHyphen/>
              <w:t>Free Dispensi</w:t>
            </w:r>
            <w:r>
              <w:rPr>
                <w:rFonts w:ascii="Times New Roman" w:hAnsi="Times New Roman"/>
                <w:sz w:val="24"/>
                <w:szCs w:val="24"/>
              </w:rPr>
              <w:t>ng Incentive will be targeted to only apply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 xml:space="preserve"> when there is a premium for another brand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the same medicine. Medicines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that do not have any brands with a brand premium will no longer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be eligible for the payment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063D8C" w:rsidRPr="009D3EB0" w:rsidRDefault="007F2A25" w:rsidP="00461351">
            <w:pPr>
              <w:pStyle w:val="ListParagraph"/>
              <w:numPr>
                <w:ilvl w:val="0"/>
                <w:numId w:val="5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Cs w:val="24"/>
              </w:rPr>
            </w:pPr>
            <w:r w:rsidRPr="009D3EB0">
              <w:rPr>
                <w:rFonts w:ascii="Times New Roman" w:hAnsi="Times New Roman"/>
                <w:sz w:val="24"/>
                <w:szCs w:val="24"/>
              </w:rPr>
              <w:t>This will better support the uptake of generic medicines, and further reduce the cost of these medicines for consumers and the tax-payer.</w:t>
            </w:r>
            <w:r w:rsidRPr="009D3EB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063D8C" w:rsidTr="00B3679F">
        <w:tc>
          <w:tcPr>
            <w:tcW w:w="3120" w:type="dxa"/>
          </w:tcPr>
          <w:p w:rsidR="00063D8C" w:rsidRDefault="004F201F">
            <w:r>
              <w:t>Efficiencies in supply arrangements</w:t>
            </w:r>
          </w:p>
        </w:tc>
        <w:tc>
          <w:tcPr>
            <w:tcW w:w="7654" w:type="dxa"/>
          </w:tcPr>
          <w:p w:rsidR="007F2A25" w:rsidRPr="009D3EB0" w:rsidRDefault="00461351" w:rsidP="00461351">
            <w:pPr>
              <w:pStyle w:val="ListParagraph"/>
              <w:numPr>
                <w:ilvl w:val="1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>ontinue to support the PBS supply chain by maintaining current funding levels for the Community Services Obligation (CSO), with a freeze to current indexation;</w:t>
            </w:r>
          </w:p>
          <w:p w:rsidR="004F201F" w:rsidRPr="009D3EB0" w:rsidRDefault="007F2A25" w:rsidP="00461351">
            <w:pPr>
              <w:pStyle w:val="ListParagraph"/>
              <w:numPr>
                <w:ilvl w:val="1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</w:rPr>
            </w:pPr>
            <w:r w:rsidRPr="009D3EB0">
              <w:rPr>
                <w:rFonts w:ascii="Times New Roman" w:hAnsi="Times New Roman"/>
                <w:sz w:val="24"/>
                <w:szCs w:val="24"/>
              </w:rPr>
              <w:t xml:space="preserve">seek efficiencies </w:t>
            </w:r>
            <w:r w:rsidR="004F201F" w:rsidRPr="009D3EB0">
              <w:rPr>
                <w:rFonts w:ascii="Times New Roman" w:hAnsi="Times New Roman"/>
                <w:sz w:val="24"/>
                <w:szCs w:val="24"/>
              </w:rPr>
              <w:t>in the supply and delivery of diabetes products to consumers through the established CSO distribution network;</w:t>
            </w:r>
          </w:p>
          <w:p w:rsidR="007F2A25" w:rsidRPr="009D3EB0" w:rsidRDefault="004F201F" w:rsidP="00461351">
            <w:pPr>
              <w:pStyle w:val="ListParagraph"/>
              <w:numPr>
                <w:ilvl w:val="1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</w:rPr>
            </w:pPr>
            <w:r w:rsidRPr="009D3EB0">
              <w:rPr>
                <w:rFonts w:ascii="Times New Roman" w:hAnsi="Times New Roman"/>
                <w:sz w:val="24"/>
                <w:szCs w:val="24"/>
              </w:rPr>
              <w:lastRenderedPageBreak/>
              <w:t>revi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>ew and relax</w:t>
            </w:r>
            <w:r w:rsidRPr="009D3EB0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 xml:space="preserve"> reporting requirements for specific obligations under the CSO</w:t>
            </w:r>
            <w:r w:rsidRPr="009D3EB0">
              <w:rPr>
                <w:rFonts w:ascii="Times New Roman" w:hAnsi="Times New Roman"/>
                <w:sz w:val="24"/>
                <w:szCs w:val="24"/>
              </w:rPr>
              <w:t>, where appropriate</w:t>
            </w:r>
            <w:r w:rsidR="007F2A25" w:rsidRPr="009D3EB0">
              <w:rPr>
                <w:rFonts w:ascii="Times New Roman" w:hAnsi="Times New Roman"/>
                <w:sz w:val="24"/>
                <w:szCs w:val="24"/>
              </w:rPr>
              <w:t>;</w:t>
            </w:r>
            <w:r w:rsidRPr="009D3EB0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</w:p>
          <w:p w:rsidR="00063D8C" w:rsidRDefault="007F2A25" w:rsidP="00461351">
            <w:pPr>
              <w:pStyle w:val="ListParagraph"/>
              <w:numPr>
                <w:ilvl w:val="1"/>
                <w:numId w:val="1"/>
              </w:numPr>
              <w:spacing w:after="40"/>
              <w:ind w:left="357" w:hanging="357"/>
              <w:contextualSpacing w:val="0"/>
            </w:pPr>
            <w:proofErr w:type="gramStart"/>
            <w:r w:rsidRPr="009D3EB0">
              <w:rPr>
                <w:rFonts w:ascii="Times New Roman" w:hAnsi="Times New Roman"/>
                <w:sz w:val="24"/>
                <w:szCs w:val="24"/>
              </w:rPr>
              <w:t>ensure</w:t>
            </w:r>
            <w:proofErr w:type="gramEnd"/>
            <w:r w:rsidRPr="009D3EB0">
              <w:rPr>
                <w:rFonts w:ascii="Times New Roman" w:hAnsi="Times New Roman"/>
                <w:sz w:val="24"/>
                <w:szCs w:val="24"/>
              </w:rPr>
              <w:t xml:space="preserve"> wholesaler remuneration and funding arrangements are comprehensively reviewed as part of the 6CPA review of pharmacy regulation and remuneration.</w:t>
            </w:r>
          </w:p>
        </w:tc>
      </w:tr>
      <w:tr w:rsidR="00063D8C" w:rsidTr="00B3679F">
        <w:tc>
          <w:tcPr>
            <w:tcW w:w="3120" w:type="dxa"/>
          </w:tcPr>
          <w:p w:rsidR="00063D8C" w:rsidRDefault="004F201F" w:rsidP="004F201F">
            <w:r>
              <w:lastRenderedPageBreak/>
              <w:t>Pharmacy r</w:t>
            </w:r>
            <w:r w:rsidR="00063D8C" w:rsidRPr="00063D8C">
              <w:t>emuneration</w:t>
            </w:r>
            <w:r>
              <w:t xml:space="preserve"> amendments; AHI and changing indexation factors</w:t>
            </w:r>
          </w:p>
        </w:tc>
        <w:tc>
          <w:tcPr>
            <w:tcW w:w="7654" w:type="dxa"/>
          </w:tcPr>
          <w:p w:rsidR="004F201F" w:rsidRPr="0066184F" w:rsidRDefault="0066184F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6184F">
              <w:rPr>
                <w:rFonts w:ascii="Times New Roman" w:hAnsi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/>
                <w:sz w:val="24"/>
                <w:szCs w:val="24"/>
              </w:rPr>
              <w:t>agreement</w:t>
            </w:r>
            <w:r w:rsidR="004F201F" w:rsidRPr="00661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will r</w:t>
            </w:r>
            <w:r w:rsidR="004F201F" w:rsidRPr="0066184F">
              <w:rPr>
                <w:rFonts w:ascii="Times New Roman" w:hAnsi="Times New Roman"/>
                <w:sz w:val="24"/>
                <w:szCs w:val="24"/>
              </w:rPr>
              <w:t xml:space="preserve">educe the direct impact of PBS pricing policy on pharmacy, through the introduction of a fixed ‘Administrative, Handling and Infrastructure’ fee which will replace the previous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retail </w:t>
            </w:r>
            <w:r w:rsidR="004F201F" w:rsidRPr="0066184F">
              <w:rPr>
                <w:rFonts w:ascii="Times New Roman" w:hAnsi="Times New Roman"/>
                <w:sz w:val="24"/>
                <w:szCs w:val="24"/>
              </w:rPr>
              <w:t>‘mark-up’ remuneration model for pharmacy.  This will essentially delink pharmacy remuneration from PBS prices;</w:t>
            </w:r>
          </w:p>
          <w:p w:rsidR="004F201F" w:rsidRDefault="0066184F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</w:pPr>
            <w:r>
              <w:rPr>
                <w:rFonts w:ascii="Times New Roman" w:hAnsi="Times New Roman"/>
                <w:sz w:val="24"/>
                <w:szCs w:val="24"/>
              </w:rPr>
              <w:t>It will also l</w:t>
            </w:r>
            <w:r w:rsidR="004F201F" w:rsidRPr="009D3EB0">
              <w:rPr>
                <w:rFonts w:ascii="Times New Roman" w:hAnsi="Times New Roman"/>
                <w:sz w:val="24"/>
                <w:szCs w:val="24"/>
              </w:rPr>
              <w:t>ink increases to remuneration under the Agreement to the Consumer Price Index.  Consistent with other health programmes, this will recognise the business and retail realities of the community pharmacy environment.</w:t>
            </w:r>
          </w:p>
        </w:tc>
      </w:tr>
      <w:tr w:rsidR="00063D8C" w:rsidTr="00B3679F">
        <w:tc>
          <w:tcPr>
            <w:tcW w:w="3120" w:type="dxa"/>
          </w:tcPr>
          <w:p w:rsidR="00063D8C" w:rsidRDefault="00063D8C">
            <w:r w:rsidRPr="00063D8C">
              <w:t>Promoting innovative Pharmacy Through Trialling New Programmes and Services</w:t>
            </w:r>
          </w:p>
        </w:tc>
        <w:tc>
          <w:tcPr>
            <w:tcW w:w="7654" w:type="dxa"/>
          </w:tcPr>
          <w:p w:rsidR="00063D8C" w:rsidRPr="009D3EB0" w:rsidRDefault="00461351" w:rsidP="00461351">
            <w:pPr>
              <w:pStyle w:val="ListParagraph"/>
              <w:numPr>
                <w:ilvl w:val="0"/>
                <w:numId w:val="7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Existing </w:t>
            </w:r>
            <w:r w:rsidR="004F201F" w:rsidRPr="009D3EB0">
              <w:rPr>
                <w:rFonts w:ascii="Times New Roman" w:hAnsi="Times New Roman"/>
                <w:sz w:val="24"/>
                <w:szCs w:val="24"/>
              </w:rPr>
              <w:t xml:space="preserve">programmes and services will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continue but will </w:t>
            </w:r>
            <w:r w:rsidR="004F201F" w:rsidRPr="009D3EB0">
              <w:rPr>
                <w:rFonts w:ascii="Times New Roman" w:hAnsi="Times New Roman"/>
                <w:sz w:val="24"/>
                <w:szCs w:val="24"/>
              </w:rPr>
              <w:t>be evaluated by the Medical Services Advisory Committee (MSAC).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Existing programmes will be completed in the first two years of the Agreement for government consideration.</w:t>
            </w:r>
          </w:p>
          <w:p w:rsidR="009D3EB0" w:rsidRPr="009D3EB0" w:rsidRDefault="00461351" w:rsidP="00461351">
            <w:pPr>
              <w:pStyle w:val="ListParagraph"/>
              <w:numPr>
                <w:ilvl w:val="0"/>
                <w:numId w:val="7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D3EB0" w:rsidRPr="009D3EB0">
              <w:rPr>
                <w:rFonts w:ascii="Times New Roman" w:hAnsi="Times New Roman"/>
                <w:sz w:val="24"/>
                <w:szCs w:val="24"/>
              </w:rPr>
              <w:t>rials of phar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macy programmes and services will </w:t>
            </w:r>
            <w:r w:rsidR="009D3EB0" w:rsidRPr="009D3EB0">
              <w:rPr>
                <w:rFonts w:ascii="Times New Roman" w:hAnsi="Times New Roman"/>
                <w:sz w:val="24"/>
                <w:szCs w:val="24"/>
              </w:rPr>
              <w:t>investigate an expanded role for pharmacists in a number of priority areas.  Consultation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consumers, pharmacists, and other primary health clinicians</w:t>
            </w:r>
            <w:r w:rsidR="009D3EB0" w:rsidRPr="009D3EB0">
              <w:rPr>
                <w:rFonts w:ascii="Times New Roman" w:hAnsi="Times New Roman"/>
                <w:sz w:val="24"/>
                <w:szCs w:val="24"/>
              </w:rPr>
              <w:t xml:space="preserve"> will be undertaken to determine priority areas for trials.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Trials will be undertaken in first two years of the Agreement</w:t>
            </w:r>
          </w:p>
        </w:tc>
      </w:tr>
      <w:tr w:rsidR="00063D8C" w:rsidTr="00B3679F">
        <w:tc>
          <w:tcPr>
            <w:tcW w:w="3120" w:type="dxa"/>
          </w:tcPr>
          <w:p w:rsidR="00063D8C" w:rsidRDefault="00063D8C">
            <w:r w:rsidRPr="00063D8C">
              <w:t>Maintain and refocus fees for the Efficient Funding of Chemotherapy</w:t>
            </w:r>
          </w:p>
        </w:tc>
        <w:tc>
          <w:tcPr>
            <w:tcW w:w="7654" w:type="dxa"/>
          </w:tcPr>
          <w:p w:rsidR="009D3EB0" w:rsidRPr="009D3EB0" w:rsidRDefault="009D3EB0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D3EB0">
              <w:rPr>
                <w:rFonts w:ascii="Times New Roman" w:hAnsi="Times New Roman"/>
                <w:sz w:val="24"/>
                <w:szCs w:val="24"/>
              </w:rPr>
              <w:t>In additi</w:t>
            </w:r>
            <w:r w:rsidR="00C02835">
              <w:rPr>
                <w:rFonts w:ascii="Times New Roman" w:hAnsi="Times New Roman"/>
                <w:sz w:val="24"/>
                <w:szCs w:val="24"/>
              </w:rPr>
              <w:t>on to the existing fee of $80.26</w:t>
            </w:r>
            <w:bookmarkStart w:id="0" w:name="_GoBack"/>
            <w:bookmarkEnd w:id="0"/>
            <w:r w:rsidRPr="009D3EB0">
              <w:rPr>
                <w:rFonts w:ascii="Times New Roman" w:hAnsi="Times New Roman"/>
                <w:sz w:val="24"/>
                <w:szCs w:val="24"/>
              </w:rPr>
              <w:t xml:space="preserve"> per chemotherapy infusion, a fee of:</w:t>
            </w:r>
          </w:p>
          <w:p w:rsidR="009D3EB0" w:rsidRPr="009D3EB0" w:rsidRDefault="009D3EB0" w:rsidP="00461351">
            <w:pPr>
              <w:pStyle w:val="ListParagraph"/>
              <w:numPr>
                <w:ilvl w:val="0"/>
                <w:numId w:val="8"/>
              </w:numPr>
              <w:spacing w:after="40"/>
              <w:ind w:left="742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D3EB0">
              <w:rPr>
                <w:rFonts w:ascii="Times New Roman" w:hAnsi="Times New Roman"/>
                <w:sz w:val="24"/>
                <w:szCs w:val="24"/>
              </w:rPr>
              <w:t>$60 per infusion will be paid to compounders that meet</w:t>
            </w:r>
            <w:r w:rsidR="0071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EB0">
              <w:rPr>
                <w:rFonts w:ascii="Times New Roman" w:hAnsi="Times New Roman"/>
                <w:sz w:val="24"/>
                <w:szCs w:val="24"/>
              </w:rPr>
              <w:t>TGA licensing requirements; and</w:t>
            </w:r>
          </w:p>
          <w:p w:rsidR="009D3EB0" w:rsidRPr="009D3EB0" w:rsidRDefault="009D3EB0" w:rsidP="00461351">
            <w:pPr>
              <w:pStyle w:val="ListParagraph"/>
              <w:numPr>
                <w:ilvl w:val="0"/>
                <w:numId w:val="8"/>
              </w:numPr>
              <w:spacing w:after="40"/>
              <w:ind w:left="742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D3EB0">
              <w:rPr>
                <w:rFonts w:ascii="Times New Roman" w:hAnsi="Times New Roman"/>
                <w:sz w:val="24"/>
                <w:szCs w:val="24"/>
              </w:rPr>
              <w:t>$40 per infusion will be paid to all other providers.</w:t>
            </w:r>
          </w:p>
          <w:p w:rsidR="009D3EB0" w:rsidRPr="009D3EB0" w:rsidRDefault="009D3EB0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D3EB0">
              <w:rPr>
                <w:rFonts w:ascii="Times New Roman" w:hAnsi="Times New Roman"/>
                <w:sz w:val="24"/>
                <w:szCs w:val="24"/>
              </w:rPr>
              <w:t>The new fee structure will:</w:t>
            </w:r>
          </w:p>
          <w:p w:rsidR="009D3EB0" w:rsidRPr="009D3EB0" w:rsidRDefault="009D3EB0" w:rsidP="00461351">
            <w:pPr>
              <w:pStyle w:val="ListParagraph"/>
              <w:numPr>
                <w:ilvl w:val="0"/>
                <w:numId w:val="10"/>
              </w:numPr>
              <w:spacing w:after="40"/>
              <w:ind w:left="742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D3EB0">
              <w:rPr>
                <w:rFonts w:ascii="Times New Roman" w:hAnsi="Times New Roman"/>
                <w:sz w:val="24"/>
                <w:szCs w:val="24"/>
              </w:rPr>
              <w:t>incentivise compounders to become TGA compliant; and</w:t>
            </w:r>
          </w:p>
          <w:p w:rsidR="00063D8C" w:rsidRPr="00461351" w:rsidRDefault="009D3EB0" w:rsidP="00461351">
            <w:pPr>
              <w:pStyle w:val="ListParagraph"/>
              <w:numPr>
                <w:ilvl w:val="0"/>
                <w:numId w:val="10"/>
              </w:numPr>
              <w:spacing w:after="40"/>
              <w:ind w:left="742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3EB0">
              <w:rPr>
                <w:rFonts w:ascii="Times New Roman" w:hAnsi="Times New Roman"/>
                <w:sz w:val="24"/>
                <w:szCs w:val="24"/>
              </w:rPr>
              <w:t>ensure</w:t>
            </w:r>
            <w:proofErr w:type="gramEnd"/>
            <w:r w:rsidRPr="009D3EB0">
              <w:rPr>
                <w:rFonts w:ascii="Times New Roman" w:hAnsi="Times New Roman"/>
                <w:sz w:val="24"/>
                <w:szCs w:val="24"/>
              </w:rPr>
              <w:t xml:space="preserve"> that high quality chemotherapy standards are maintained in Australia.</w:t>
            </w:r>
          </w:p>
        </w:tc>
      </w:tr>
      <w:tr w:rsidR="00063D8C" w:rsidTr="00B3679F">
        <w:tc>
          <w:tcPr>
            <w:tcW w:w="3120" w:type="dxa"/>
          </w:tcPr>
          <w:p w:rsidR="00063D8C" w:rsidRDefault="00063D8C">
            <w:r w:rsidRPr="00063D8C">
              <w:t>Streamlining PBAC</w:t>
            </w:r>
          </w:p>
        </w:tc>
        <w:tc>
          <w:tcPr>
            <w:tcW w:w="7654" w:type="dxa"/>
          </w:tcPr>
          <w:p w:rsidR="009D3EB0" w:rsidRPr="009D3EB0" w:rsidRDefault="00461351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Expand</w:t>
            </w:r>
            <w:r w:rsidR="009D3EB0" w:rsidRPr="009D3EB0">
              <w:rPr>
                <w:rFonts w:ascii="Times New Roman" w:eastAsiaTheme="minorHAnsi" w:hAnsi="Times New Roman"/>
                <w:sz w:val="24"/>
                <w:szCs w:val="24"/>
              </w:rPr>
              <w:t xml:space="preserve"> the PBAC membership from 18 to 21 members, including a new Deputy Chair, and provide the opportunity for members to be nominated and appointed from industry.</w:t>
            </w:r>
          </w:p>
          <w:p w:rsidR="00063D8C" w:rsidRPr="009D3EB0" w:rsidRDefault="00461351" w:rsidP="00461351">
            <w:pPr>
              <w:pStyle w:val="ListParagraph"/>
              <w:numPr>
                <w:ilvl w:val="0"/>
                <w:numId w:val="1"/>
              </w:numPr>
              <w:spacing w:after="40"/>
              <w:ind w:left="357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Establish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a </w:t>
            </w:r>
            <w:r w:rsidR="009D3EB0" w:rsidRPr="009D3EB0">
              <w:rPr>
                <w:rFonts w:ascii="Times New Roman" w:eastAsiaTheme="minorHAnsi" w:hAnsi="Times New Roman"/>
                <w:sz w:val="24"/>
                <w:szCs w:val="24"/>
              </w:rPr>
              <w:t xml:space="preserve"> PBAC</w:t>
            </w:r>
            <w:proofErr w:type="gramEnd"/>
            <w:r w:rsidR="009D3EB0" w:rsidRPr="009D3EB0">
              <w:rPr>
                <w:rFonts w:ascii="Times New Roman" w:eastAsiaTheme="minorHAnsi" w:hAnsi="Times New Roman"/>
                <w:sz w:val="24"/>
                <w:szCs w:val="24"/>
              </w:rPr>
              <w:t xml:space="preserve"> Executive for triaging and considering certain applications.</w:t>
            </w:r>
          </w:p>
        </w:tc>
      </w:tr>
    </w:tbl>
    <w:p w:rsidR="007F4E20" w:rsidRDefault="007F4E20"/>
    <w:sectPr w:rsidR="007F4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89" w:rsidRDefault="00985689" w:rsidP="00985689">
      <w:pPr>
        <w:spacing w:after="0" w:line="240" w:lineRule="auto"/>
      </w:pPr>
      <w:r>
        <w:separator/>
      </w:r>
    </w:p>
  </w:endnote>
  <w:endnote w:type="continuationSeparator" w:id="0">
    <w:p w:rsidR="00985689" w:rsidRDefault="00985689" w:rsidP="0098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89" w:rsidRDefault="009856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89" w:rsidRDefault="009856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89" w:rsidRDefault="009856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89" w:rsidRDefault="00985689" w:rsidP="00985689">
      <w:pPr>
        <w:spacing w:after="0" w:line="240" w:lineRule="auto"/>
      </w:pPr>
      <w:r>
        <w:separator/>
      </w:r>
    </w:p>
  </w:footnote>
  <w:footnote w:type="continuationSeparator" w:id="0">
    <w:p w:rsidR="00985689" w:rsidRDefault="00985689" w:rsidP="0098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89" w:rsidRDefault="009856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89" w:rsidRDefault="009856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89" w:rsidRDefault="009856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110"/>
    <w:multiLevelType w:val="hybridMultilevel"/>
    <w:tmpl w:val="2F2408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62746"/>
    <w:multiLevelType w:val="hybridMultilevel"/>
    <w:tmpl w:val="A1FCC83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B65BD5"/>
    <w:multiLevelType w:val="hybridMultilevel"/>
    <w:tmpl w:val="897E1B78"/>
    <w:lvl w:ilvl="0" w:tplc="0C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1B0F4DE5"/>
    <w:multiLevelType w:val="hybridMultilevel"/>
    <w:tmpl w:val="10922F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B1884"/>
    <w:multiLevelType w:val="hybridMultilevel"/>
    <w:tmpl w:val="78F6DA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A932BB"/>
    <w:multiLevelType w:val="hybridMultilevel"/>
    <w:tmpl w:val="D1F2CA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E47456"/>
    <w:multiLevelType w:val="hybridMultilevel"/>
    <w:tmpl w:val="AC1064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8D6C84"/>
    <w:multiLevelType w:val="multilevel"/>
    <w:tmpl w:val="C07286AE"/>
    <w:lvl w:ilvl="0">
      <w:start w:val="1"/>
      <w:numFmt w:val="decimal"/>
      <w:pStyle w:val="Heading1"/>
      <w:suff w:val="space"/>
      <w:lvlText w:val="Chapter %1"/>
      <w:lvlJc w:val="left"/>
      <w:pPr>
        <w:ind w:left="226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2"/>
        </w:tabs>
        <w:ind w:left="852" w:hanging="284"/>
      </w:pPr>
      <w:rPr>
        <w:rFonts w:hint="default"/>
        <w:b/>
        <w:i w:val="0"/>
        <w:sz w:val="28"/>
        <w:szCs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5B44136D"/>
    <w:multiLevelType w:val="hybridMultilevel"/>
    <w:tmpl w:val="E9DC50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411812"/>
    <w:multiLevelType w:val="hybridMultilevel"/>
    <w:tmpl w:val="1EC84A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764666"/>
    <w:multiLevelType w:val="hybridMultilevel"/>
    <w:tmpl w:val="04BE3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FC"/>
    <w:rsid w:val="000440CD"/>
    <w:rsid w:val="00063D8C"/>
    <w:rsid w:val="00461351"/>
    <w:rsid w:val="004D34FC"/>
    <w:rsid w:val="004F201F"/>
    <w:rsid w:val="0066184F"/>
    <w:rsid w:val="0071365F"/>
    <w:rsid w:val="007F2A25"/>
    <w:rsid w:val="007F4E20"/>
    <w:rsid w:val="00985689"/>
    <w:rsid w:val="009D3EB0"/>
    <w:rsid w:val="00B27BF6"/>
    <w:rsid w:val="00B3679F"/>
    <w:rsid w:val="00C02835"/>
    <w:rsid w:val="00D85D9B"/>
    <w:rsid w:val="00DF5923"/>
    <w:rsid w:val="00E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201F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4F201F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qFormat/>
    <w:rsid w:val="004F201F"/>
    <w:pPr>
      <w:keepNext/>
      <w:numPr>
        <w:ilvl w:val="3"/>
        <w:numId w:val="6"/>
      </w:numPr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4F201F"/>
    <w:pPr>
      <w:numPr>
        <w:ilvl w:val="4"/>
        <w:numId w:val="6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qFormat/>
    <w:rsid w:val="004F201F"/>
    <w:pPr>
      <w:numPr>
        <w:ilvl w:val="5"/>
        <w:numId w:val="6"/>
      </w:numPr>
      <w:spacing w:before="240" w:after="60" w:line="240" w:lineRule="auto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4F201F"/>
    <w:pPr>
      <w:numPr>
        <w:ilvl w:val="6"/>
        <w:numId w:val="6"/>
      </w:numPr>
      <w:spacing w:before="240" w:after="60" w:line="240" w:lineRule="auto"/>
      <w:outlineLvl w:val="6"/>
    </w:pPr>
    <w:rPr>
      <w:rFonts w:eastAsia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4F201F"/>
    <w:pPr>
      <w:numPr>
        <w:ilvl w:val="7"/>
        <w:numId w:val="6"/>
      </w:num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F201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7F2A25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List Paragraph1 Char,Recommendation Char"/>
    <w:link w:val="ListParagraph"/>
    <w:uiPriority w:val="34"/>
    <w:rsid w:val="007F2A25"/>
    <w:rPr>
      <w:rFonts w:ascii="Calibri" w:eastAsia="Calibri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4F201F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4F201F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4F201F"/>
    <w:rPr>
      <w:rFonts w:eastAsia="Times New Roman" w:cs="Times New Roman"/>
      <w:b/>
      <w:bCs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4F201F"/>
    <w:rPr>
      <w:rFonts w:eastAsia="Times New Roman" w:cs="Times New Roman"/>
      <w:b/>
      <w:bCs/>
      <w:i/>
      <w:iCs/>
      <w:sz w:val="26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4F201F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4F201F"/>
    <w:rPr>
      <w:rFonts w:eastAsia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4F201F"/>
    <w:rPr>
      <w:rFonts w:eastAsia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4F201F"/>
    <w:rPr>
      <w:rFonts w:ascii="Arial" w:eastAsia="Times New Roman" w:hAnsi="Arial" w:cs="Arial"/>
      <w:sz w:val="22"/>
    </w:rPr>
  </w:style>
  <w:style w:type="paragraph" w:customStyle="1" w:styleId="CharCharCharChar">
    <w:name w:val="Char Char Char Char"/>
    <w:basedOn w:val="Normal"/>
    <w:rsid w:val="004F201F"/>
    <w:pPr>
      <w:spacing w:after="0" w:line="240" w:lineRule="auto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689"/>
  </w:style>
  <w:style w:type="paragraph" w:styleId="Footer">
    <w:name w:val="footer"/>
    <w:basedOn w:val="Normal"/>
    <w:link w:val="FooterChar"/>
    <w:uiPriority w:val="99"/>
    <w:unhideWhenUsed/>
    <w:rsid w:val="00985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201F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4F201F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qFormat/>
    <w:rsid w:val="004F201F"/>
    <w:pPr>
      <w:keepNext/>
      <w:numPr>
        <w:ilvl w:val="3"/>
        <w:numId w:val="6"/>
      </w:numPr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4F201F"/>
    <w:pPr>
      <w:numPr>
        <w:ilvl w:val="4"/>
        <w:numId w:val="6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qFormat/>
    <w:rsid w:val="004F201F"/>
    <w:pPr>
      <w:numPr>
        <w:ilvl w:val="5"/>
        <w:numId w:val="6"/>
      </w:numPr>
      <w:spacing w:before="240" w:after="60" w:line="240" w:lineRule="auto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4F201F"/>
    <w:pPr>
      <w:numPr>
        <w:ilvl w:val="6"/>
        <w:numId w:val="6"/>
      </w:numPr>
      <w:spacing w:before="240" w:after="60" w:line="240" w:lineRule="auto"/>
      <w:outlineLvl w:val="6"/>
    </w:pPr>
    <w:rPr>
      <w:rFonts w:eastAsia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4F201F"/>
    <w:pPr>
      <w:numPr>
        <w:ilvl w:val="7"/>
        <w:numId w:val="6"/>
      </w:num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F201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7F2A25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List Paragraph1 Char,Recommendation Char"/>
    <w:link w:val="ListParagraph"/>
    <w:uiPriority w:val="34"/>
    <w:rsid w:val="007F2A25"/>
    <w:rPr>
      <w:rFonts w:ascii="Calibri" w:eastAsia="Calibri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4F201F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4F201F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4F201F"/>
    <w:rPr>
      <w:rFonts w:eastAsia="Times New Roman" w:cs="Times New Roman"/>
      <w:b/>
      <w:bCs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4F201F"/>
    <w:rPr>
      <w:rFonts w:eastAsia="Times New Roman" w:cs="Times New Roman"/>
      <w:b/>
      <w:bCs/>
      <w:i/>
      <w:iCs/>
      <w:sz w:val="26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4F201F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4F201F"/>
    <w:rPr>
      <w:rFonts w:eastAsia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4F201F"/>
    <w:rPr>
      <w:rFonts w:eastAsia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4F201F"/>
    <w:rPr>
      <w:rFonts w:ascii="Arial" w:eastAsia="Times New Roman" w:hAnsi="Arial" w:cs="Arial"/>
      <w:sz w:val="22"/>
    </w:rPr>
  </w:style>
  <w:style w:type="paragraph" w:customStyle="1" w:styleId="CharCharCharChar">
    <w:name w:val="Char Char Char Char"/>
    <w:basedOn w:val="Normal"/>
    <w:rsid w:val="004F201F"/>
    <w:pPr>
      <w:spacing w:after="0" w:line="240" w:lineRule="auto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689"/>
  </w:style>
  <w:style w:type="paragraph" w:styleId="Footer">
    <w:name w:val="footer"/>
    <w:basedOn w:val="Normal"/>
    <w:link w:val="FooterChar"/>
    <w:uiPriority w:val="99"/>
    <w:unhideWhenUsed/>
    <w:rsid w:val="00985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2015-07-10T05:52:00Z</dcterms:created>
  <dcterms:modified xsi:type="dcterms:W3CDTF">2015-07-10T05:52:00Z</dcterms:modified>
</cp:coreProperties>
</file>