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1A" w:rsidRDefault="0012041A" w:rsidP="00D91A73">
      <w:pPr>
        <w:pStyle w:val="Heading1"/>
      </w:pPr>
      <w:bookmarkStart w:id="0" w:name="_Toc423526965"/>
      <w:bookmarkStart w:id="1" w:name="_GoBack"/>
      <w:bookmarkEnd w:id="1"/>
      <w:r>
        <w:t>Pharmaceutical Services</w:t>
      </w:r>
      <w:r w:rsidR="002B4D11">
        <w:t xml:space="preserve"> Federal Committee of Inquiry – </w:t>
      </w:r>
      <w:r>
        <w:t>Operations</w:t>
      </w:r>
      <w:bookmarkEnd w:id="0"/>
    </w:p>
    <w:p w:rsidR="002B4D11" w:rsidRDefault="002B4D11" w:rsidP="002B4D11">
      <w:pPr>
        <w:tabs>
          <w:tab w:val="left" w:pos="4678"/>
        </w:tabs>
        <w:rPr>
          <w:b/>
        </w:rPr>
      </w:pPr>
    </w:p>
    <w:p w:rsidR="0012041A" w:rsidRPr="002E72C1" w:rsidRDefault="0012041A" w:rsidP="002B4D11">
      <w:pPr>
        <w:tabs>
          <w:tab w:val="left" w:pos="4678"/>
        </w:tabs>
        <w:rPr>
          <w:b/>
        </w:rPr>
      </w:pPr>
      <w:r w:rsidRPr="002E72C1">
        <w:rPr>
          <w:b/>
        </w:rPr>
        <w:t>What will the measure do?</w:t>
      </w:r>
    </w:p>
    <w:p w:rsidR="0012041A" w:rsidRDefault="002B4D11" w:rsidP="002B4D11">
      <w:pPr>
        <w:tabs>
          <w:tab w:val="left" w:pos="4678"/>
        </w:tabs>
      </w:pPr>
      <w:r>
        <w:t>The Government</w:t>
      </w:r>
      <w:r w:rsidR="00687DA7">
        <w:t xml:space="preserve"> will </w:t>
      </w:r>
      <w:r w:rsidR="0012041A" w:rsidRPr="000B1542">
        <w:t xml:space="preserve">establish the Pharmaceutical Services Federal Committee of Inquiry (the Committee) under the </w:t>
      </w:r>
      <w:r w:rsidR="0012041A" w:rsidRPr="000B1542">
        <w:rPr>
          <w:i/>
        </w:rPr>
        <w:t>National Health Act 1953</w:t>
      </w:r>
      <w:r w:rsidR="0012041A">
        <w:rPr>
          <w:i/>
        </w:rPr>
        <w:t xml:space="preserve"> (</w:t>
      </w:r>
      <w:r w:rsidR="0012041A" w:rsidRPr="002B4D11">
        <w:t>the Act</w:t>
      </w:r>
      <w:r>
        <w:t>).</w:t>
      </w:r>
      <w:r w:rsidR="0012041A">
        <w:rPr>
          <w:i/>
        </w:rPr>
        <w:t xml:space="preserve"> </w:t>
      </w:r>
    </w:p>
    <w:p w:rsidR="002B4D11" w:rsidRDefault="002B4D11" w:rsidP="002B4D11">
      <w:pPr>
        <w:tabs>
          <w:tab w:val="left" w:pos="4678"/>
        </w:tabs>
      </w:pPr>
    </w:p>
    <w:p w:rsidR="0012041A" w:rsidRDefault="0012041A" w:rsidP="002B4D11">
      <w:pPr>
        <w:tabs>
          <w:tab w:val="left" w:pos="4678"/>
        </w:tabs>
      </w:pPr>
      <w:r>
        <w:t>The role of the Committee is to inquire into</w:t>
      </w:r>
      <w:r w:rsidR="002B4D11">
        <w:t>,</w:t>
      </w:r>
      <w:r>
        <w:t xml:space="preserve"> and report </w:t>
      </w:r>
      <w:r w:rsidR="002B4D11">
        <w:t xml:space="preserve">on, </w:t>
      </w:r>
      <w:r>
        <w:t>matters relating to the services or conduct of approved pharmacists</w:t>
      </w:r>
      <w:r w:rsidR="002B4D11">
        <w:t>’</w:t>
      </w:r>
      <w:r>
        <w:t xml:space="preserve"> supply</w:t>
      </w:r>
      <w:r w:rsidR="002B4D11">
        <w:t xml:space="preserve"> of</w:t>
      </w:r>
      <w:r>
        <w:t xml:space="preserve"> pharmaceutical benefits.  This includes inquiries into alleged instances of misconduct of approved pharmacists, including </w:t>
      </w:r>
      <w:r w:rsidR="00687DA7">
        <w:t>cases</w:t>
      </w:r>
      <w:r>
        <w:t xml:space="preserve"> where approved pharmacists </w:t>
      </w:r>
      <w:r w:rsidR="00687DA7">
        <w:t xml:space="preserve">may be claiming </w:t>
      </w:r>
      <w:r>
        <w:t>supplies made from non-approved pharmacy premises.</w:t>
      </w:r>
    </w:p>
    <w:p w:rsidR="002B4D11" w:rsidRDefault="002B4D11" w:rsidP="002B4D11">
      <w:pPr>
        <w:tabs>
          <w:tab w:val="left" w:pos="4678"/>
        </w:tabs>
        <w:rPr>
          <w:i/>
        </w:rPr>
      </w:pPr>
    </w:p>
    <w:p w:rsidR="0012041A" w:rsidRDefault="002B4D11" w:rsidP="002B4D11">
      <w:pPr>
        <w:tabs>
          <w:tab w:val="left" w:pos="4678"/>
        </w:tabs>
      </w:pPr>
      <w:r>
        <w:t xml:space="preserve">The Act </w:t>
      </w:r>
      <w:r w:rsidR="0012041A" w:rsidRPr="003762C4">
        <w:t>allows for the Committee to investigate suspected misconduct by pharmacists approved under Section 90 of</w:t>
      </w:r>
      <w:r>
        <w:t xml:space="preserve"> the Act.</w:t>
      </w:r>
      <w:r w:rsidR="0012041A" w:rsidRPr="003762C4">
        <w:t xml:space="preserve">  Following an investigation, the Committee is required to provide a report to either the Minister or the Secretary on its findings.</w:t>
      </w:r>
      <w:r>
        <w:t xml:space="preserve">  The Government</w:t>
      </w:r>
      <w:r w:rsidR="0012041A">
        <w:t xml:space="preserve"> is allocating</w:t>
      </w:r>
      <w:r>
        <w:t xml:space="preserve"> the</w:t>
      </w:r>
      <w:r w:rsidR="0012041A">
        <w:t xml:space="preserve"> necessary resources to support the administration and operation of the Committee, given Pharmacy Location Rules will be continuing as part of the Sixth Community Pharmacy Agreement (6CPA).</w:t>
      </w:r>
    </w:p>
    <w:p w:rsidR="002B4D11" w:rsidRDefault="002B4D11" w:rsidP="002B4D11">
      <w:pPr>
        <w:tabs>
          <w:tab w:val="left" w:pos="4678"/>
        </w:tabs>
        <w:rPr>
          <w:b/>
        </w:rPr>
      </w:pPr>
    </w:p>
    <w:p w:rsidR="0012041A" w:rsidRPr="00CD2F79" w:rsidRDefault="0012041A" w:rsidP="002B4D11">
      <w:pPr>
        <w:tabs>
          <w:tab w:val="left" w:pos="4678"/>
        </w:tabs>
        <w:rPr>
          <w:b/>
        </w:rPr>
      </w:pPr>
      <w:r w:rsidRPr="00CD2F79">
        <w:rPr>
          <w:b/>
        </w:rPr>
        <w:t>What is the impact?</w:t>
      </w:r>
    </w:p>
    <w:p w:rsidR="00FE770E" w:rsidRDefault="0012041A" w:rsidP="002B4D11">
      <w:pPr>
        <w:tabs>
          <w:tab w:val="left" w:pos="4678"/>
        </w:tabs>
      </w:pPr>
      <w:r>
        <w:t>After considering a report from this Committee, t</w:t>
      </w:r>
      <w:r w:rsidRPr="0092180C">
        <w:t>he Minister may impose a number of compliance measures which can include repri</w:t>
      </w:r>
      <w:r w:rsidR="002B4D11">
        <w:t>manding the approved pharmacist,</w:t>
      </w:r>
      <w:r w:rsidRPr="0092180C">
        <w:t xml:space="preserve"> </w:t>
      </w:r>
      <w:r w:rsidR="002B4D11">
        <w:t xml:space="preserve">or </w:t>
      </w:r>
      <w:r w:rsidRPr="0092180C">
        <w:t>suspending or revoking their approval.  This is in addition to any recovery of monies</w:t>
      </w:r>
      <w:r w:rsidR="00687DA7">
        <w:t xml:space="preserve"> by the Department of Human Services of inappropriately claimed benefits.</w:t>
      </w:r>
    </w:p>
    <w:p w:rsidR="00FE770E" w:rsidRDefault="00FE770E"/>
    <w:sectPr w:rsidR="00FE770E" w:rsidSect="006C5D9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C8" w:rsidRDefault="00AD02C8" w:rsidP="00906C4D">
      <w:r>
        <w:separator/>
      </w:r>
    </w:p>
  </w:endnote>
  <w:endnote w:type="continuationSeparator" w:id="0">
    <w:p w:rsidR="00AD02C8" w:rsidRDefault="00AD02C8" w:rsidP="0090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873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2C8" w:rsidRDefault="00AD02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AD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D02C8" w:rsidRDefault="00AD02C8" w:rsidP="00906C4D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C8" w:rsidRDefault="00AD02C8" w:rsidP="00401CBF">
    <w:pPr>
      <w:pStyle w:val="Footer"/>
      <w:jc w:val="right"/>
    </w:pPr>
    <w:r>
      <w:rPr>
        <w:rStyle w:val="IntenseReference"/>
        <w:b w:val="0"/>
        <w:bCs w:val="0"/>
        <w:i w:val="0"/>
        <w:smallCaps w:val="0"/>
        <w:color w:val="auto"/>
        <w:spacing w:val="0"/>
      </w:rPr>
      <w:t>L</w:t>
    </w:r>
    <w:r w:rsidR="004C6E0C">
      <w:rPr>
        <w:rStyle w:val="IntenseReference"/>
        <w:b w:val="0"/>
        <w:bCs w:val="0"/>
        <w:i w:val="0"/>
        <w:smallCaps w:val="0"/>
        <w:color w:val="auto"/>
        <w:spacing w:val="0"/>
      </w:rPr>
      <w:t xml:space="preserve">ast Updated </w:t>
    </w:r>
    <w:r w:rsidR="008E0447" w:rsidRPr="008E0447">
      <w:rPr>
        <w:rStyle w:val="IntenseReference"/>
        <w:b w:val="0"/>
        <w:bCs w:val="0"/>
        <w:i w:val="0"/>
        <w:smallCaps w:val="0"/>
        <w:color w:val="auto"/>
        <w:spacing w:val="0"/>
      </w:rPr>
      <w:t>25 June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C8" w:rsidRDefault="00AD02C8" w:rsidP="00906C4D">
      <w:r>
        <w:separator/>
      </w:r>
    </w:p>
  </w:footnote>
  <w:footnote w:type="continuationSeparator" w:id="0">
    <w:p w:rsidR="00AD02C8" w:rsidRDefault="00AD02C8" w:rsidP="0090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61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&quot;&quot;"/>
    </w:tblPr>
    <w:tblGrid>
      <w:gridCol w:w="1951"/>
      <w:gridCol w:w="6660"/>
    </w:tblGrid>
    <w:tr w:rsidR="00AD02C8" w:rsidTr="00AD02C8">
      <w:trPr>
        <w:trHeight w:val="1353"/>
      </w:trPr>
      <w:tc>
        <w:tcPr>
          <w:tcW w:w="1951" w:type="dxa"/>
        </w:tcPr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3360" behindDoc="0" locked="0" layoutInCell="1" allowOverlap="1" wp14:anchorId="4EEEE18E" wp14:editId="3D4FDFA0">
                <wp:simplePos x="0" y="0"/>
                <wp:positionH relativeFrom="column">
                  <wp:posOffset>-50800</wp:posOffset>
                </wp:positionH>
                <wp:positionV relativeFrom="paragraph">
                  <wp:posOffset>127000</wp:posOffset>
                </wp:positionV>
                <wp:extent cx="880745" cy="582930"/>
                <wp:effectExtent l="0" t="0" r="0" b="7620"/>
                <wp:wrapTopAndBottom/>
                <wp:docPr id="1" name="Picture 1" descr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H_stacke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  <w:t>FACT SHEETS – PBS Access &amp; Sustainability Measures</w:t>
          </w: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</w:tc>
    </w:tr>
  </w:tbl>
  <w:p w:rsidR="00AD02C8" w:rsidRDefault="00AD02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61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&quot;&quot;"/>
    </w:tblPr>
    <w:tblGrid>
      <w:gridCol w:w="1951"/>
      <w:gridCol w:w="6660"/>
    </w:tblGrid>
    <w:tr w:rsidR="00DE0D1F" w:rsidTr="001F2F3C">
      <w:trPr>
        <w:trHeight w:val="1353"/>
      </w:trPr>
      <w:tc>
        <w:tcPr>
          <w:tcW w:w="1951" w:type="dxa"/>
        </w:tcPr>
        <w:p w:rsidR="00DE0D1F" w:rsidRDefault="00DE0D1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5408" behindDoc="0" locked="0" layoutInCell="1" allowOverlap="1" wp14:anchorId="75DAA3AF" wp14:editId="5FC66443">
                <wp:simplePos x="0" y="0"/>
                <wp:positionH relativeFrom="column">
                  <wp:posOffset>-50800</wp:posOffset>
                </wp:positionH>
                <wp:positionV relativeFrom="paragraph">
                  <wp:posOffset>127000</wp:posOffset>
                </wp:positionV>
                <wp:extent cx="880745" cy="582930"/>
                <wp:effectExtent l="0" t="0" r="0" b="7620"/>
                <wp:wrapTopAndBottom/>
                <wp:docPr id="2" name="Picture 2" descr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H_stacke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DE0D1F" w:rsidRDefault="00DE0D1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DE0D1F" w:rsidRDefault="00DE0D1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DE0D1F" w:rsidRDefault="00DE0D1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  <w:t>FACT SHEETS – PBS Access &amp; Sustainability Measures</w:t>
          </w:r>
        </w:p>
        <w:p w:rsidR="00DE0D1F" w:rsidRDefault="00DE0D1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DE0D1F" w:rsidRDefault="00DE0D1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</w:tc>
    </w:tr>
  </w:tbl>
  <w:p w:rsidR="00AD02C8" w:rsidRDefault="00AD02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ED4"/>
    <w:multiLevelType w:val="hybridMultilevel"/>
    <w:tmpl w:val="170A3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6079E"/>
    <w:multiLevelType w:val="hybridMultilevel"/>
    <w:tmpl w:val="C1AA283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0F073ED0"/>
    <w:multiLevelType w:val="hybridMultilevel"/>
    <w:tmpl w:val="8884C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F64E0"/>
    <w:multiLevelType w:val="hybridMultilevel"/>
    <w:tmpl w:val="C16825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0E1825"/>
    <w:multiLevelType w:val="hybridMultilevel"/>
    <w:tmpl w:val="E6C6C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91662"/>
    <w:multiLevelType w:val="hybridMultilevel"/>
    <w:tmpl w:val="BCCC5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BC7"/>
    <w:multiLevelType w:val="hybridMultilevel"/>
    <w:tmpl w:val="B36A9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65EE1"/>
    <w:multiLevelType w:val="hybridMultilevel"/>
    <w:tmpl w:val="3268507E"/>
    <w:lvl w:ilvl="0" w:tplc="0C090001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8">
    <w:nsid w:val="432F11FC"/>
    <w:multiLevelType w:val="hybridMultilevel"/>
    <w:tmpl w:val="5E765D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B468CC"/>
    <w:multiLevelType w:val="hybridMultilevel"/>
    <w:tmpl w:val="71241468"/>
    <w:lvl w:ilvl="0" w:tplc="0C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>
    <w:nsid w:val="45353A56"/>
    <w:multiLevelType w:val="hybridMultilevel"/>
    <w:tmpl w:val="69568B5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7937"/>
    <w:multiLevelType w:val="hybridMultilevel"/>
    <w:tmpl w:val="03B20F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890884"/>
    <w:multiLevelType w:val="hybridMultilevel"/>
    <w:tmpl w:val="EF4CE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313FE7"/>
    <w:multiLevelType w:val="hybridMultilevel"/>
    <w:tmpl w:val="27FA20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75865"/>
    <w:multiLevelType w:val="hybridMultilevel"/>
    <w:tmpl w:val="A3BE42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4136D"/>
    <w:multiLevelType w:val="hybridMultilevel"/>
    <w:tmpl w:val="D30E6E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0352B"/>
    <w:multiLevelType w:val="hybridMultilevel"/>
    <w:tmpl w:val="F7482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40580"/>
    <w:multiLevelType w:val="hybridMultilevel"/>
    <w:tmpl w:val="6F3E2B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5740B3"/>
    <w:multiLevelType w:val="hybridMultilevel"/>
    <w:tmpl w:val="C62C13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F0E19"/>
    <w:multiLevelType w:val="hybridMultilevel"/>
    <w:tmpl w:val="0FCE9A10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67296CA5"/>
    <w:multiLevelType w:val="hybridMultilevel"/>
    <w:tmpl w:val="E28466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4C4724"/>
    <w:multiLevelType w:val="hybridMultilevel"/>
    <w:tmpl w:val="C3D8D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133E2"/>
    <w:multiLevelType w:val="hybridMultilevel"/>
    <w:tmpl w:val="2CECBFBA"/>
    <w:lvl w:ilvl="0" w:tplc="7E227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FFEF494">
      <w:start w:val="1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2"/>
  </w:num>
  <w:num w:numId="4">
    <w:abstractNumId w:val="5"/>
  </w:num>
  <w:num w:numId="5">
    <w:abstractNumId w:val="2"/>
  </w:num>
  <w:num w:numId="6">
    <w:abstractNumId w:val="20"/>
  </w:num>
  <w:num w:numId="7">
    <w:abstractNumId w:val="3"/>
  </w:num>
  <w:num w:numId="8">
    <w:abstractNumId w:val="1"/>
  </w:num>
  <w:num w:numId="9">
    <w:abstractNumId w:val="7"/>
  </w:num>
  <w:num w:numId="10">
    <w:abstractNumId w:val="19"/>
  </w:num>
  <w:num w:numId="11">
    <w:abstractNumId w:val="21"/>
  </w:num>
  <w:num w:numId="12">
    <w:abstractNumId w:val="4"/>
  </w:num>
  <w:num w:numId="13">
    <w:abstractNumId w:val="15"/>
  </w:num>
  <w:num w:numId="14">
    <w:abstractNumId w:val="10"/>
  </w:num>
  <w:num w:numId="15">
    <w:abstractNumId w:val="18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8"/>
  </w:num>
  <w:num w:numId="21">
    <w:abstractNumId w:val="6"/>
  </w:num>
  <w:num w:numId="22">
    <w:abstractNumId w:val="16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61"/>
    <w:rsid w:val="00003743"/>
    <w:rsid w:val="00006284"/>
    <w:rsid w:val="000229EA"/>
    <w:rsid w:val="00040744"/>
    <w:rsid w:val="00067456"/>
    <w:rsid w:val="000729DA"/>
    <w:rsid w:val="00082E60"/>
    <w:rsid w:val="000D3CD7"/>
    <w:rsid w:val="000E1D55"/>
    <w:rsid w:val="000E7858"/>
    <w:rsid w:val="00105BEA"/>
    <w:rsid w:val="0011154C"/>
    <w:rsid w:val="0011569B"/>
    <w:rsid w:val="0012041A"/>
    <w:rsid w:val="001402C3"/>
    <w:rsid w:val="00141B25"/>
    <w:rsid w:val="001877E3"/>
    <w:rsid w:val="001B3443"/>
    <w:rsid w:val="001C585A"/>
    <w:rsid w:val="001C6122"/>
    <w:rsid w:val="001D7084"/>
    <w:rsid w:val="001E0BEE"/>
    <w:rsid w:val="001E2F60"/>
    <w:rsid w:val="001F5F8E"/>
    <w:rsid w:val="00204E61"/>
    <w:rsid w:val="00230827"/>
    <w:rsid w:val="00230B2B"/>
    <w:rsid w:val="00233927"/>
    <w:rsid w:val="00237512"/>
    <w:rsid w:val="00254DCD"/>
    <w:rsid w:val="00270C88"/>
    <w:rsid w:val="00273578"/>
    <w:rsid w:val="002909CA"/>
    <w:rsid w:val="00294781"/>
    <w:rsid w:val="0029481B"/>
    <w:rsid w:val="002A0ED7"/>
    <w:rsid w:val="002A4044"/>
    <w:rsid w:val="002B4D11"/>
    <w:rsid w:val="002D70A2"/>
    <w:rsid w:val="0030288B"/>
    <w:rsid w:val="0030786C"/>
    <w:rsid w:val="00336247"/>
    <w:rsid w:val="0035550A"/>
    <w:rsid w:val="0039598E"/>
    <w:rsid w:val="003C1348"/>
    <w:rsid w:val="003D17F9"/>
    <w:rsid w:val="003D526F"/>
    <w:rsid w:val="00401CBF"/>
    <w:rsid w:val="00411C1F"/>
    <w:rsid w:val="0041681F"/>
    <w:rsid w:val="004433F6"/>
    <w:rsid w:val="00460FC4"/>
    <w:rsid w:val="004736C2"/>
    <w:rsid w:val="004867E2"/>
    <w:rsid w:val="004C0212"/>
    <w:rsid w:val="004C366A"/>
    <w:rsid w:val="004C6E0C"/>
    <w:rsid w:val="004E7204"/>
    <w:rsid w:val="004F05CF"/>
    <w:rsid w:val="004F2CB4"/>
    <w:rsid w:val="004F5492"/>
    <w:rsid w:val="00517AED"/>
    <w:rsid w:val="005239F1"/>
    <w:rsid w:val="005304D2"/>
    <w:rsid w:val="00555501"/>
    <w:rsid w:val="005645C2"/>
    <w:rsid w:val="00571365"/>
    <w:rsid w:val="00572F07"/>
    <w:rsid w:val="0057537F"/>
    <w:rsid w:val="00576AD8"/>
    <w:rsid w:val="0059583D"/>
    <w:rsid w:val="00606B11"/>
    <w:rsid w:val="006361D7"/>
    <w:rsid w:val="0066313B"/>
    <w:rsid w:val="00663A52"/>
    <w:rsid w:val="0067057C"/>
    <w:rsid w:val="00687DA7"/>
    <w:rsid w:val="00691E48"/>
    <w:rsid w:val="006B172E"/>
    <w:rsid w:val="006B763E"/>
    <w:rsid w:val="006C5D96"/>
    <w:rsid w:val="006D0540"/>
    <w:rsid w:val="00704E6B"/>
    <w:rsid w:val="007653C6"/>
    <w:rsid w:val="007B21BE"/>
    <w:rsid w:val="007E0316"/>
    <w:rsid w:val="007E2CDD"/>
    <w:rsid w:val="007F4DC0"/>
    <w:rsid w:val="007F6205"/>
    <w:rsid w:val="008264EB"/>
    <w:rsid w:val="00833E1A"/>
    <w:rsid w:val="00834A3B"/>
    <w:rsid w:val="008350ED"/>
    <w:rsid w:val="00846AD5"/>
    <w:rsid w:val="00860855"/>
    <w:rsid w:val="00864CF2"/>
    <w:rsid w:val="00870D64"/>
    <w:rsid w:val="0087327D"/>
    <w:rsid w:val="00883718"/>
    <w:rsid w:val="00896CBC"/>
    <w:rsid w:val="008B687A"/>
    <w:rsid w:val="008D3E26"/>
    <w:rsid w:val="008D71B5"/>
    <w:rsid w:val="008E0447"/>
    <w:rsid w:val="008F7085"/>
    <w:rsid w:val="0090411D"/>
    <w:rsid w:val="009062AE"/>
    <w:rsid w:val="00906C4D"/>
    <w:rsid w:val="00931C36"/>
    <w:rsid w:val="00936E83"/>
    <w:rsid w:val="0098539B"/>
    <w:rsid w:val="009F4DAC"/>
    <w:rsid w:val="00A236D2"/>
    <w:rsid w:val="00A377A2"/>
    <w:rsid w:val="00A43929"/>
    <w:rsid w:val="00A4512D"/>
    <w:rsid w:val="00A705AF"/>
    <w:rsid w:val="00A8199B"/>
    <w:rsid w:val="00A83784"/>
    <w:rsid w:val="00AA26ED"/>
    <w:rsid w:val="00AC506B"/>
    <w:rsid w:val="00AC627D"/>
    <w:rsid w:val="00AC6A1A"/>
    <w:rsid w:val="00AD02C8"/>
    <w:rsid w:val="00AD30CE"/>
    <w:rsid w:val="00AE00E4"/>
    <w:rsid w:val="00AE13CA"/>
    <w:rsid w:val="00AE4E1D"/>
    <w:rsid w:val="00AE53E1"/>
    <w:rsid w:val="00AE612B"/>
    <w:rsid w:val="00AE6ECB"/>
    <w:rsid w:val="00AF7A19"/>
    <w:rsid w:val="00B201C3"/>
    <w:rsid w:val="00B3747E"/>
    <w:rsid w:val="00B4112F"/>
    <w:rsid w:val="00B42851"/>
    <w:rsid w:val="00B57A5C"/>
    <w:rsid w:val="00B9342D"/>
    <w:rsid w:val="00B9669A"/>
    <w:rsid w:val="00BA5C93"/>
    <w:rsid w:val="00BE6BAC"/>
    <w:rsid w:val="00C439A9"/>
    <w:rsid w:val="00C5701E"/>
    <w:rsid w:val="00C573B1"/>
    <w:rsid w:val="00CB5B1A"/>
    <w:rsid w:val="00CC212C"/>
    <w:rsid w:val="00D00CEE"/>
    <w:rsid w:val="00D25919"/>
    <w:rsid w:val="00D43FE7"/>
    <w:rsid w:val="00D63DD7"/>
    <w:rsid w:val="00D91A73"/>
    <w:rsid w:val="00DE0D1F"/>
    <w:rsid w:val="00E129E5"/>
    <w:rsid w:val="00E271D3"/>
    <w:rsid w:val="00E664BA"/>
    <w:rsid w:val="00EA6FF0"/>
    <w:rsid w:val="00F00C7B"/>
    <w:rsid w:val="00F01336"/>
    <w:rsid w:val="00F305E8"/>
    <w:rsid w:val="00F641B7"/>
    <w:rsid w:val="00F70EBD"/>
    <w:rsid w:val="00F77C4D"/>
    <w:rsid w:val="00FB07AF"/>
    <w:rsid w:val="00FB1011"/>
    <w:rsid w:val="00FB1F10"/>
    <w:rsid w:val="00FC1E52"/>
    <w:rsid w:val="00FC6ECD"/>
    <w:rsid w:val="00FE770E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uiPriority w:val="39"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8B687A"/>
    <w:pPr>
      <w:spacing w:after="100"/>
    </w:pPr>
  </w:style>
  <w:style w:type="table" w:styleId="TableGrid">
    <w:name w:val="Table Grid"/>
    <w:basedOn w:val="TableNormal"/>
    <w:uiPriority w:val="59"/>
    <w:rsid w:val="006C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C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01CBF"/>
    <w:pPr>
      <w:spacing w:after="120"/>
      <w:ind w:left="1134"/>
    </w:pPr>
    <w:rPr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401CBF"/>
    <w:rPr>
      <w:sz w:val="24"/>
    </w:rPr>
  </w:style>
  <w:style w:type="paragraph" w:styleId="Index2">
    <w:name w:val="index 2"/>
    <w:basedOn w:val="Normal"/>
    <w:next w:val="Normal"/>
    <w:autoRedefine/>
    <w:rsid w:val="001F5F8E"/>
    <w:pPr>
      <w:ind w:left="480" w:hanging="240"/>
    </w:pPr>
  </w:style>
  <w:style w:type="paragraph" w:styleId="Index1">
    <w:name w:val="index 1"/>
    <w:basedOn w:val="Normal"/>
    <w:next w:val="Normal"/>
    <w:autoRedefine/>
    <w:rsid w:val="001F5F8E"/>
    <w:pPr>
      <w:ind w:left="240" w:hanging="2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uiPriority w:val="39"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8B687A"/>
    <w:pPr>
      <w:spacing w:after="100"/>
    </w:pPr>
  </w:style>
  <w:style w:type="table" w:styleId="TableGrid">
    <w:name w:val="Table Grid"/>
    <w:basedOn w:val="TableNormal"/>
    <w:uiPriority w:val="59"/>
    <w:rsid w:val="006C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C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01CBF"/>
    <w:pPr>
      <w:spacing w:after="120"/>
      <w:ind w:left="1134"/>
    </w:pPr>
    <w:rPr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401CBF"/>
    <w:rPr>
      <w:sz w:val="24"/>
    </w:rPr>
  </w:style>
  <w:style w:type="paragraph" w:styleId="Index2">
    <w:name w:val="index 2"/>
    <w:basedOn w:val="Normal"/>
    <w:next w:val="Normal"/>
    <w:autoRedefine/>
    <w:rsid w:val="001F5F8E"/>
    <w:pPr>
      <w:ind w:left="480" w:hanging="240"/>
    </w:pPr>
  </w:style>
  <w:style w:type="paragraph" w:styleId="Index1">
    <w:name w:val="index 1"/>
    <w:basedOn w:val="Normal"/>
    <w:next w:val="Normal"/>
    <w:autoRedefine/>
    <w:rsid w:val="001F5F8E"/>
    <w:pPr>
      <w:ind w:left="240" w:hanging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09CE-DBA8-4A01-8817-AC4DA2A7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2016-06-08T00:32:00Z</dcterms:created>
  <dcterms:modified xsi:type="dcterms:W3CDTF">2016-06-08T01:53:00Z</dcterms:modified>
</cp:coreProperties>
</file>