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47" w:rsidRPr="00160D02" w:rsidRDefault="00336247" w:rsidP="00D91A73">
      <w:pPr>
        <w:pStyle w:val="Heading1"/>
      </w:pPr>
      <w:bookmarkStart w:id="0" w:name="_Toc423526963"/>
      <w:bookmarkStart w:id="1" w:name="_GoBack"/>
      <w:bookmarkEnd w:id="1"/>
      <w:r w:rsidRPr="00160D02">
        <w:t>Efficient National Diabetes Services Scheme Supply and Delivery Arrangements</w:t>
      </w:r>
      <w:bookmarkEnd w:id="0"/>
    </w:p>
    <w:p w:rsidR="00336247" w:rsidRDefault="00336247" w:rsidP="00336247">
      <w:pPr>
        <w:tabs>
          <w:tab w:val="left" w:pos="4678"/>
        </w:tabs>
        <w:rPr>
          <w:b/>
          <w:color w:val="000000"/>
        </w:rPr>
      </w:pPr>
    </w:p>
    <w:p w:rsidR="00931C36" w:rsidRPr="0079555F" w:rsidRDefault="00931C36" w:rsidP="00931C36">
      <w:pPr>
        <w:tabs>
          <w:tab w:val="left" w:pos="4678"/>
        </w:tabs>
        <w:rPr>
          <w:b/>
          <w:color w:val="000000"/>
        </w:rPr>
      </w:pPr>
      <w:r w:rsidRPr="0079555F">
        <w:rPr>
          <w:b/>
          <w:color w:val="000000"/>
        </w:rPr>
        <w:t>What will the measure do?</w:t>
      </w:r>
    </w:p>
    <w:p w:rsidR="00931C36" w:rsidRPr="0079555F" w:rsidRDefault="00931C36" w:rsidP="00931C36">
      <w:pPr>
        <w:tabs>
          <w:tab w:val="left" w:pos="4678"/>
        </w:tabs>
        <w:rPr>
          <w:color w:val="000000"/>
        </w:rPr>
      </w:pPr>
      <w:r w:rsidRPr="0079555F">
        <w:rPr>
          <w:color w:val="000000"/>
        </w:rPr>
        <w:t>From 1 July 2016, the Commonwealth will create efficiencies in the delivery of products under the National Diabetes Services Scheme (NDSS) by directing product supply and delivery through the established Community Services Obligation (CSO) distribution network to community pharmacy.</w:t>
      </w:r>
    </w:p>
    <w:p w:rsidR="00931C36" w:rsidRPr="0079555F" w:rsidRDefault="00931C36" w:rsidP="00931C36">
      <w:pPr>
        <w:tabs>
          <w:tab w:val="left" w:pos="4678"/>
        </w:tabs>
        <w:rPr>
          <w:color w:val="000000"/>
        </w:rPr>
      </w:pPr>
    </w:p>
    <w:p w:rsidR="00931C36" w:rsidRPr="0079555F" w:rsidRDefault="00931C36" w:rsidP="00931C36">
      <w:pPr>
        <w:tabs>
          <w:tab w:val="left" w:pos="4678"/>
        </w:tabs>
        <w:rPr>
          <w:color w:val="000000"/>
        </w:rPr>
      </w:pPr>
      <w:r w:rsidRPr="0079555F">
        <w:rPr>
          <w:color w:val="000000"/>
        </w:rPr>
        <w:t>The CSO Funding Pool already supports supply of the full range of Pharmaceutical Benefits Scheme (PBS) medicines to community pharmacies across Australia within 24 hours, regardless of location.  In addition, community pharmacy comprises over 96% of NDSS access points in Australia.</w:t>
      </w:r>
    </w:p>
    <w:p w:rsidR="00931C36" w:rsidRPr="0079555F" w:rsidRDefault="00931C36" w:rsidP="00931C36">
      <w:pPr>
        <w:tabs>
          <w:tab w:val="left" w:pos="4678"/>
        </w:tabs>
        <w:rPr>
          <w:color w:val="000000"/>
        </w:rPr>
      </w:pPr>
    </w:p>
    <w:p w:rsidR="00931C36" w:rsidRPr="0079555F" w:rsidRDefault="00931C36" w:rsidP="00931C36">
      <w:pPr>
        <w:tabs>
          <w:tab w:val="left" w:pos="4678"/>
        </w:tabs>
        <w:rPr>
          <w:color w:val="000000"/>
        </w:rPr>
      </w:pPr>
      <w:r w:rsidRPr="0079555F">
        <w:rPr>
          <w:color w:val="000000"/>
        </w:rPr>
        <w:t>While this change will mean NDSS products will generally only be available through pharmacy in the future, this is consistent with how people access their medicines and in some cases will increase access for consumers.  An example includes insulin pump consumables, which are currently only available by mail order or through State and Territory Diabetes Associations.</w:t>
      </w:r>
    </w:p>
    <w:p w:rsidR="00931C36" w:rsidRPr="0079555F" w:rsidRDefault="00931C36" w:rsidP="00931C36">
      <w:pPr>
        <w:tabs>
          <w:tab w:val="left" w:pos="4678"/>
        </w:tabs>
        <w:rPr>
          <w:color w:val="000000"/>
        </w:rPr>
      </w:pPr>
    </w:p>
    <w:p w:rsidR="00931C36" w:rsidRPr="0079555F" w:rsidRDefault="00931C36" w:rsidP="00931C36">
      <w:pPr>
        <w:tabs>
          <w:tab w:val="left" w:pos="4678"/>
        </w:tabs>
        <w:rPr>
          <w:color w:val="000000"/>
        </w:rPr>
      </w:pPr>
      <w:r w:rsidRPr="0079555F">
        <w:rPr>
          <w:color w:val="000000"/>
        </w:rPr>
        <w:t xml:space="preserve">This measure does not impact the range of products available to eligible registrants under the NDSS, which remains based on clinical evidence.  It only impacts on supply and delivery arrangements of these products to Australians. </w:t>
      </w:r>
    </w:p>
    <w:p w:rsidR="00931C36" w:rsidRPr="0079555F" w:rsidRDefault="00931C36" w:rsidP="00931C36">
      <w:pPr>
        <w:tabs>
          <w:tab w:val="left" w:pos="4678"/>
        </w:tabs>
        <w:rPr>
          <w:color w:val="000000"/>
        </w:rPr>
      </w:pPr>
    </w:p>
    <w:p w:rsidR="00931C36" w:rsidRPr="0079555F" w:rsidRDefault="00931C36" w:rsidP="00931C36">
      <w:pPr>
        <w:tabs>
          <w:tab w:val="left" w:pos="4678"/>
        </w:tabs>
        <w:rPr>
          <w:color w:val="000000"/>
        </w:rPr>
      </w:pPr>
      <w:r w:rsidRPr="0079555F">
        <w:rPr>
          <w:color w:val="000000"/>
        </w:rPr>
        <w:t>The Department will work through the implementation of these new arrangements with Diabetes Australia and other affected stakeholders to ensure that people with diabetes continue to be able to readily access the products they need to manage their diabetes, no matter their location.</w:t>
      </w:r>
    </w:p>
    <w:p w:rsidR="00931C36" w:rsidRPr="0079555F" w:rsidRDefault="00931C36" w:rsidP="00931C36">
      <w:pPr>
        <w:tabs>
          <w:tab w:val="left" w:pos="4678"/>
        </w:tabs>
        <w:rPr>
          <w:color w:val="000000"/>
        </w:rPr>
      </w:pPr>
    </w:p>
    <w:p w:rsidR="00931C36" w:rsidRPr="0079555F" w:rsidRDefault="00931C36" w:rsidP="00931C36">
      <w:pPr>
        <w:tabs>
          <w:tab w:val="left" w:pos="4678"/>
        </w:tabs>
        <w:rPr>
          <w:b/>
          <w:color w:val="000000"/>
        </w:rPr>
      </w:pPr>
      <w:r w:rsidRPr="0079555F">
        <w:rPr>
          <w:b/>
          <w:color w:val="000000"/>
        </w:rPr>
        <w:t>What is the impact?</w:t>
      </w:r>
    </w:p>
    <w:p w:rsidR="00931C36" w:rsidRPr="0079555F" w:rsidRDefault="00931C36" w:rsidP="00931C36">
      <w:pPr>
        <w:tabs>
          <w:tab w:val="left" w:pos="4678"/>
        </w:tabs>
        <w:rPr>
          <w:color w:val="000000"/>
        </w:rPr>
      </w:pPr>
      <w:r w:rsidRPr="0079555F">
        <w:rPr>
          <w:color w:val="000000"/>
        </w:rPr>
        <w:t>All Australians who need access to subsidised diabetes products will still have access to these products through community pharmacy.  Around 94% of patients already access these products through community pharmacy.</w:t>
      </w:r>
    </w:p>
    <w:p w:rsidR="00931C36" w:rsidRPr="0079555F" w:rsidRDefault="00931C36" w:rsidP="00931C36">
      <w:pPr>
        <w:tabs>
          <w:tab w:val="left" w:pos="4678"/>
        </w:tabs>
        <w:rPr>
          <w:color w:val="000000"/>
        </w:rPr>
      </w:pPr>
    </w:p>
    <w:p w:rsidR="00931C36" w:rsidRPr="0079555F" w:rsidRDefault="00931C36" w:rsidP="00931C36">
      <w:pPr>
        <w:tabs>
          <w:tab w:val="left" w:pos="4678"/>
        </w:tabs>
        <w:rPr>
          <w:color w:val="000000"/>
        </w:rPr>
      </w:pPr>
      <w:r w:rsidRPr="0079555F">
        <w:rPr>
          <w:color w:val="000000"/>
        </w:rPr>
        <w:t xml:space="preserve">The benefits of this measure include cost efficiencies through consolidated deliveries of PBS medicines and NDSS products, improved timely access through the provision of products within a set time period nation-wide, and improved customer access by enabling pharmacies to directly order and supply insulin pump consumables to registrants. </w:t>
      </w:r>
    </w:p>
    <w:p w:rsidR="00931C36" w:rsidRPr="0079555F" w:rsidRDefault="00931C36" w:rsidP="00931C36">
      <w:pPr>
        <w:tabs>
          <w:tab w:val="left" w:pos="4678"/>
        </w:tabs>
        <w:rPr>
          <w:color w:val="000000"/>
        </w:rPr>
      </w:pPr>
    </w:p>
    <w:p w:rsidR="00FE770E" w:rsidRPr="00426511" w:rsidRDefault="00931C36" w:rsidP="00426511">
      <w:pPr>
        <w:tabs>
          <w:tab w:val="left" w:pos="4678"/>
        </w:tabs>
        <w:rPr>
          <w:b/>
          <w:lang w:eastAsia="en-AU"/>
        </w:rPr>
      </w:pPr>
      <w:r w:rsidRPr="0079555F">
        <w:rPr>
          <w:color w:val="000000"/>
        </w:rPr>
        <w:t>It is expected that the efficiencies from new supply arrangements will enable a proportion of the savings from this measure to be reinvested in registrant services and activities which help people more effectively self-manage their diabetes, such as through improved education and support services.</w:t>
      </w:r>
      <w:r w:rsidRPr="0079555F">
        <w:t xml:space="preserve"> </w:t>
      </w:r>
    </w:p>
    <w:sectPr w:rsidR="00FE770E" w:rsidRPr="00426511" w:rsidSect="006C5D96">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C8" w:rsidRDefault="00AD02C8" w:rsidP="00906C4D">
      <w:r>
        <w:separator/>
      </w:r>
    </w:p>
  </w:endnote>
  <w:endnote w:type="continuationSeparator" w:id="0">
    <w:p w:rsidR="00AD02C8" w:rsidRDefault="00AD02C8" w:rsidP="0090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1867"/>
      <w:docPartObj>
        <w:docPartGallery w:val="Page Numbers (Bottom of Page)"/>
        <w:docPartUnique/>
      </w:docPartObj>
    </w:sdtPr>
    <w:sdtEndPr>
      <w:rPr>
        <w:noProof/>
      </w:rPr>
    </w:sdtEndPr>
    <w:sdtContent>
      <w:p w:rsidR="00AD02C8" w:rsidRDefault="00AD02C8">
        <w:pPr>
          <w:pStyle w:val="Footer"/>
          <w:jc w:val="right"/>
        </w:pPr>
        <w:r>
          <w:fldChar w:fldCharType="begin"/>
        </w:r>
        <w:r>
          <w:instrText xml:space="preserve"> PAGE   \* MERGEFORMAT </w:instrText>
        </w:r>
        <w:r>
          <w:fldChar w:fldCharType="separate"/>
        </w:r>
        <w:r w:rsidR="00787479">
          <w:rPr>
            <w:noProof/>
          </w:rPr>
          <w:t>2</w:t>
        </w:r>
        <w:r>
          <w:rPr>
            <w:noProof/>
          </w:rPr>
          <w:fldChar w:fldCharType="end"/>
        </w:r>
      </w:p>
    </w:sdtContent>
  </w:sdt>
  <w:p w:rsidR="00AD02C8" w:rsidRDefault="00AD02C8" w:rsidP="00906C4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8" w:rsidRDefault="00AD02C8" w:rsidP="00401CBF">
    <w:pPr>
      <w:pStyle w:val="Footer"/>
      <w:jc w:val="right"/>
    </w:pPr>
    <w:r>
      <w:rPr>
        <w:rStyle w:val="IntenseReference"/>
        <w:b w:val="0"/>
        <w:bCs w:val="0"/>
        <w:i w:val="0"/>
        <w:smallCaps w:val="0"/>
        <w:color w:val="auto"/>
        <w:spacing w:val="0"/>
      </w:rPr>
      <w:t>L</w:t>
    </w:r>
    <w:r w:rsidR="004C6E0C">
      <w:rPr>
        <w:rStyle w:val="IntenseReference"/>
        <w:b w:val="0"/>
        <w:bCs w:val="0"/>
        <w:i w:val="0"/>
        <w:smallCaps w:val="0"/>
        <w:color w:val="auto"/>
        <w:spacing w:val="0"/>
      </w:rPr>
      <w:t xml:space="preserve">ast Updated </w:t>
    </w:r>
    <w:r w:rsidR="00902811" w:rsidRPr="00902811">
      <w:rPr>
        <w:rStyle w:val="IntenseReference"/>
        <w:b w:val="0"/>
        <w:bCs w:val="0"/>
        <w:i w:val="0"/>
        <w:smallCaps w:val="0"/>
        <w:color w:val="auto"/>
        <w:spacing w:val="0"/>
      </w:rPr>
      <w:t>1 July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C8" w:rsidRDefault="00AD02C8" w:rsidP="00906C4D">
      <w:r>
        <w:separator/>
      </w:r>
    </w:p>
  </w:footnote>
  <w:footnote w:type="continuationSeparator" w:id="0">
    <w:p w:rsidR="00AD02C8" w:rsidRDefault="00AD02C8" w:rsidP="0090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AD02C8" w:rsidTr="00AD02C8">
      <w:trPr>
        <w:trHeight w:val="1353"/>
      </w:trPr>
      <w:tc>
        <w:tcPr>
          <w:tcW w:w="1951" w:type="dxa"/>
        </w:tcPr>
        <w:p w:rsidR="00AD02C8" w:rsidRDefault="00AD02C8" w:rsidP="00AD02C8">
          <w:pPr>
            <w:rPr>
              <w:rStyle w:val="IntenseReference"/>
              <w:b w:val="0"/>
              <w:bCs w:val="0"/>
              <w:i w:val="0"/>
              <w:smallCaps w:val="0"/>
              <w:color w:val="auto"/>
              <w:spacing w:val="0"/>
            </w:rPr>
          </w:pPr>
          <w:r>
            <w:rPr>
              <w:noProof/>
              <w:lang w:eastAsia="en-AU"/>
            </w:rPr>
            <w:drawing>
              <wp:anchor distT="0" distB="0" distL="114300" distR="114300" simplePos="0" relativeHeight="251663360" behindDoc="0" locked="0" layoutInCell="1" allowOverlap="1" wp14:anchorId="1F9D29DE" wp14:editId="6B5BEB49">
                <wp:simplePos x="0" y="0"/>
                <wp:positionH relativeFrom="column">
                  <wp:posOffset>-50800</wp:posOffset>
                </wp:positionH>
                <wp:positionV relativeFrom="paragraph">
                  <wp:posOffset>127000</wp:posOffset>
                </wp:positionV>
                <wp:extent cx="880745" cy="582930"/>
                <wp:effectExtent l="0" t="0" r="0" b="762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tc>
    </w:tr>
  </w:tbl>
  <w:p w:rsidR="00AD02C8" w:rsidRDefault="00AD0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787479" w:rsidTr="001F2F3C">
      <w:trPr>
        <w:trHeight w:val="1353"/>
      </w:trPr>
      <w:tc>
        <w:tcPr>
          <w:tcW w:w="1951" w:type="dxa"/>
        </w:tcPr>
        <w:p w:rsidR="00787479" w:rsidRDefault="00787479" w:rsidP="001F2F3C">
          <w:pPr>
            <w:rPr>
              <w:rStyle w:val="IntenseReference"/>
              <w:b w:val="0"/>
              <w:bCs w:val="0"/>
              <w:i w:val="0"/>
              <w:smallCaps w:val="0"/>
              <w:color w:val="auto"/>
              <w:spacing w:val="0"/>
            </w:rPr>
          </w:pPr>
          <w:r>
            <w:rPr>
              <w:noProof/>
              <w:lang w:eastAsia="en-AU"/>
            </w:rPr>
            <w:drawing>
              <wp:anchor distT="0" distB="0" distL="114300" distR="114300" simplePos="0" relativeHeight="251665408" behindDoc="0" locked="0" layoutInCell="1" allowOverlap="1" wp14:anchorId="1B9BF9D1" wp14:editId="49CB906E">
                <wp:simplePos x="0" y="0"/>
                <wp:positionH relativeFrom="column">
                  <wp:posOffset>-50800</wp:posOffset>
                </wp:positionH>
                <wp:positionV relativeFrom="paragraph">
                  <wp:posOffset>127000</wp:posOffset>
                </wp:positionV>
                <wp:extent cx="880745" cy="582930"/>
                <wp:effectExtent l="0" t="0" r="0" b="7620"/>
                <wp:wrapTopAndBottom/>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787479" w:rsidRDefault="00787479" w:rsidP="001F2F3C">
          <w:pPr>
            <w:rPr>
              <w:rStyle w:val="IntenseReference"/>
              <w:b w:val="0"/>
              <w:bCs w:val="0"/>
              <w:i w:val="0"/>
              <w:smallCaps w:val="0"/>
              <w:color w:val="auto"/>
              <w:spacing w:val="0"/>
            </w:rPr>
          </w:pPr>
        </w:p>
        <w:p w:rsidR="00787479" w:rsidRDefault="00787479" w:rsidP="001F2F3C">
          <w:pPr>
            <w:rPr>
              <w:rStyle w:val="IntenseReference"/>
              <w:b w:val="0"/>
              <w:bCs w:val="0"/>
              <w:i w:val="0"/>
              <w:smallCaps w:val="0"/>
              <w:color w:val="auto"/>
              <w:spacing w:val="0"/>
            </w:rPr>
          </w:pPr>
        </w:p>
        <w:p w:rsidR="00787479" w:rsidRDefault="00787479" w:rsidP="001F2F3C">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787479" w:rsidRDefault="00787479" w:rsidP="001F2F3C">
          <w:pPr>
            <w:rPr>
              <w:rStyle w:val="IntenseReference"/>
              <w:b w:val="0"/>
              <w:bCs w:val="0"/>
              <w:i w:val="0"/>
              <w:smallCaps w:val="0"/>
              <w:color w:val="auto"/>
              <w:spacing w:val="0"/>
            </w:rPr>
          </w:pPr>
        </w:p>
        <w:p w:rsidR="00787479" w:rsidRDefault="00787479" w:rsidP="001F2F3C">
          <w:pPr>
            <w:rPr>
              <w:rStyle w:val="IntenseReference"/>
              <w:b w:val="0"/>
              <w:bCs w:val="0"/>
              <w:i w:val="0"/>
              <w:smallCaps w:val="0"/>
              <w:color w:val="auto"/>
              <w:spacing w:val="0"/>
            </w:rPr>
          </w:pPr>
        </w:p>
      </w:tc>
    </w:tr>
  </w:tbl>
  <w:p w:rsidR="00AD02C8" w:rsidRDefault="00AD0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ED4"/>
    <w:multiLevelType w:val="hybridMultilevel"/>
    <w:tmpl w:val="170A3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F6079E"/>
    <w:multiLevelType w:val="hybridMultilevel"/>
    <w:tmpl w:val="C1AA28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nsid w:val="0F073ED0"/>
    <w:multiLevelType w:val="hybridMultilevel"/>
    <w:tmpl w:val="8884C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6F64E0"/>
    <w:multiLevelType w:val="hybridMultilevel"/>
    <w:tmpl w:val="C16825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70E1825"/>
    <w:multiLevelType w:val="hybridMultilevel"/>
    <w:tmpl w:val="E6C6C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2891662"/>
    <w:multiLevelType w:val="hybridMultilevel"/>
    <w:tmpl w:val="BCCC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BD7BC7"/>
    <w:multiLevelType w:val="hybridMultilevel"/>
    <w:tmpl w:val="B36A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465EE1"/>
    <w:multiLevelType w:val="hybridMultilevel"/>
    <w:tmpl w:val="3268507E"/>
    <w:lvl w:ilvl="0" w:tplc="0C090001">
      <w:start w:val="1"/>
      <w:numFmt w:val="bullet"/>
      <w:lvlText w:val=""/>
      <w:lvlJc w:val="left"/>
      <w:pPr>
        <w:ind w:left="150" w:hanging="360"/>
      </w:pPr>
      <w:rPr>
        <w:rFonts w:ascii="Symbol" w:hAnsi="Symbol" w:hint="default"/>
      </w:rPr>
    </w:lvl>
    <w:lvl w:ilvl="1" w:tplc="0C090003" w:tentative="1">
      <w:start w:val="1"/>
      <w:numFmt w:val="bullet"/>
      <w:lvlText w:val="o"/>
      <w:lvlJc w:val="left"/>
      <w:pPr>
        <w:ind w:left="870" w:hanging="360"/>
      </w:pPr>
      <w:rPr>
        <w:rFonts w:ascii="Courier New" w:hAnsi="Courier New" w:cs="Courier New" w:hint="default"/>
      </w:rPr>
    </w:lvl>
    <w:lvl w:ilvl="2" w:tplc="0C090005" w:tentative="1">
      <w:start w:val="1"/>
      <w:numFmt w:val="bullet"/>
      <w:lvlText w:val=""/>
      <w:lvlJc w:val="left"/>
      <w:pPr>
        <w:ind w:left="1590" w:hanging="360"/>
      </w:pPr>
      <w:rPr>
        <w:rFonts w:ascii="Wingdings" w:hAnsi="Wingdings" w:hint="default"/>
      </w:rPr>
    </w:lvl>
    <w:lvl w:ilvl="3" w:tplc="0C090001" w:tentative="1">
      <w:start w:val="1"/>
      <w:numFmt w:val="bullet"/>
      <w:lvlText w:val=""/>
      <w:lvlJc w:val="left"/>
      <w:pPr>
        <w:ind w:left="2310" w:hanging="360"/>
      </w:pPr>
      <w:rPr>
        <w:rFonts w:ascii="Symbol" w:hAnsi="Symbol" w:hint="default"/>
      </w:rPr>
    </w:lvl>
    <w:lvl w:ilvl="4" w:tplc="0C090003" w:tentative="1">
      <w:start w:val="1"/>
      <w:numFmt w:val="bullet"/>
      <w:lvlText w:val="o"/>
      <w:lvlJc w:val="left"/>
      <w:pPr>
        <w:ind w:left="3030" w:hanging="360"/>
      </w:pPr>
      <w:rPr>
        <w:rFonts w:ascii="Courier New" w:hAnsi="Courier New" w:cs="Courier New" w:hint="default"/>
      </w:rPr>
    </w:lvl>
    <w:lvl w:ilvl="5" w:tplc="0C090005" w:tentative="1">
      <w:start w:val="1"/>
      <w:numFmt w:val="bullet"/>
      <w:lvlText w:val=""/>
      <w:lvlJc w:val="left"/>
      <w:pPr>
        <w:ind w:left="3750" w:hanging="360"/>
      </w:pPr>
      <w:rPr>
        <w:rFonts w:ascii="Wingdings" w:hAnsi="Wingdings" w:hint="default"/>
      </w:rPr>
    </w:lvl>
    <w:lvl w:ilvl="6" w:tplc="0C090001" w:tentative="1">
      <w:start w:val="1"/>
      <w:numFmt w:val="bullet"/>
      <w:lvlText w:val=""/>
      <w:lvlJc w:val="left"/>
      <w:pPr>
        <w:ind w:left="4470" w:hanging="360"/>
      </w:pPr>
      <w:rPr>
        <w:rFonts w:ascii="Symbol" w:hAnsi="Symbol" w:hint="default"/>
      </w:rPr>
    </w:lvl>
    <w:lvl w:ilvl="7" w:tplc="0C090003" w:tentative="1">
      <w:start w:val="1"/>
      <w:numFmt w:val="bullet"/>
      <w:lvlText w:val="o"/>
      <w:lvlJc w:val="left"/>
      <w:pPr>
        <w:ind w:left="5190" w:hanging="360"/>
      </w:pPr>
      <w:rPr>
        <w:rFonts w:ascii="Courier New" w:hAnsi="Courier New" w:cs="Courier New" w:hint="default"/>
      </w:rPr>
    </w:lvl>
    <w:lvl w:ilvl="8" w:tplc="0C090005" w:tentative="1">
      <w:start w:val="1"/>
      <w:numFmt w:val="bullet"/>
      <w:lvlText w:val=""/>
      <w:lvlJc w:val="left"/>
      <w:pPr>
        <w:ind w:left="5910" w:hanging="360"/>
      </w:pPr>
      <w:rPr>
        <w:rFonts w:ascii="Wingdings" w:hAnsi="Wingdings" w:hint="default"/>
      </w:rPr>
    </w:lvl>
  </w:abstractNum>
  <w:abstractNum w:abstractNumId="8">
    <w:nsid w:val="432F11FC"/>
    <w:multiLevelType w:val="hybridMultilevel"/>
    <w:tmpl w:val="5E765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4B468CC"/>
    <w:multiLevelType w:val="hybridMultilevel"/>
    <w:tmpl w:val="71241468"/>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0">
    <w:nsid w:val="45353A56"/>
    <w:multiLevelType w:val="hybridMultilevel"/>
    <w:tmpl w:val="69568B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657937"/>
    <w:multiLevelType w:val="hybridMultilevel"/>
    <w:tmpl w:val="03B20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B890884"/>
    <w:multiLevelType w:val="hybridMultilevel"/>
    <w:tmpl w:val="EF4CE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F313FE7"/>
    <w:multiLevelType w:val="hybridMultilevel"/>
    <w:tmpl w:val="27FA20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8575865"/>
    <w:multiLevelType w:val="hybridMultilevel"/>
    <w:tmpl w:val="A3BE424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B44136D"/>
    <w:multiLevelType w:val="hybridMultilevel"/>
    <w:tmpl w:val="D30E6E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5BB0352B"/>
    <w:multiLevelType w:val="hybridMultilevel"/>
    <w:tmpl w:val="F748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C40580"/>
    <w:multiLevelType w:val="hybridMultilevel"/>
    <w:tmpl w:val="6F3E2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05740B3"/>
    <w:multiLevelType w:val="hybridMultilevel"/>
    <w:tmpl w:val="C62C13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2F0E19"/>
    <w:multiLevelType w:val="hybridMultilevel"/>
    <w:tmpl w:val="0FCE9A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nsid w:val="67296CA5"/>
    <w:multiLevelType w:val="hybridMultilevel"/>
    <w:tmpl w:val="E284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4C4724"/>
    <w:multiLevelType w:val="hybridMultilevel"/>
    <w:tmpl w:val="C3D8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5133E2"/>
    <w:multiLevelType w:val="hybridMultilevel"/>
    <w:tmpl w:val="2CECBFBA"/>
    <w:lvl w:ilvl="0" w:tplc="7E22700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FFEF494">
      <w:start w:val="15"/>
      <w:numFmt w:val="bullet"/>
      <w:lvlText w:val="-"/>
      <w:lvlJc w:val="left"/>
      <w:pPr>
        <w:tabs>
          <w:tab w:val="num" w:pos="1800"/>
        </w:tabs>
        <w:ind w:left="1800" w:hanging="360"/>
      </w:pPr>
      <w:rPr>
        <w:rFonts w:ascii="Times New Roman" w:eastAsia="Times New Roman" w:hAnsi="Times New Roman" w:cs="Times New Roman"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22"/>
  </w:num>
  <w:num w:numId="4">
    <w:abstractNumId w:val="5"/>
  </w:num>
  <w:num w:numId="5">
    <w:abstractNumId w:val="2"/>
  </w:num>
  <w:num w:numId="6">
    <w:abstractNumId w:val="20"/>
  </w:num>
  <w:num w:numId="7">
    <w:abstractNumId w:val="3"/>
  </w:num>
  <w:num w:numId="8">
    <w:abstractNumId w:val="1"/>
  </w:num>
  <w:num w:numId="9">
    <w:abstractNumId w:val="7"/>
  </w:num>
  <w:num w:numId="10">
    <w:abstractNumId w:val="19"/>
  </w:num>
  <w:num w:numId="11">
    <w:abstractNumId w:val="21"/>
  </w:num>
  <w:num w:numId="12">
    <w:abstractNumId w:val="4"/>
  </w:num>
  <w:num w:numId="13">
    <w:abstractNumId w:val="15"/>
  </w:num>
  <w:num w:numId="14">
    <w:abstractNumId w:val="10"/>
  </w:num>
  <w:num w:numId="15">
    <w:abstractNumId w:val="18"/>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8"/>
  </w:num>
  <w:num w:numId="21">
    <w:abstractNumId w:val="6"/>
  </w:num>
  <w:num w:numId="22">
    <w:abstractNumId w:val="16"/>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61"/>
    <w:rsid w:val="00003743"/>
    <w:rsid w:val="00006284"/>
    <w:rsid w:val="000229EA"/>
    <w:rsid w:val="00040744"/>
    <w:rsid w:val="00067456"/>
    <w:rsid w:val="000729DA"/>
    <w:rsid w:val="00082E60"/>
    <w:rsid w:val="000D3CD7"/>
    <w:rsid w:val="000E1D55"/>
    <w:rsid w:val="000E7858"/>
    <w:rsid w:val="00105BEA"/>
    <w:rsid w:val="0011154C"/>
    <w:rsid w:val="0011569B"/>
    <w:rsid w:val="0012041A"/>
    <w:rsid w:val="001402C3"/>
    <w:rsid w:val="00141B25"/>
    <w:rsid w:val="001877E3"/>
    <w:rsid w:val="001B3443"/>
    <w:rsid w:val="001C585A"/>
    <w:rsid w:val="001C6122"/>
    <w:rsid w:val="001D7084"/>
    <w:rsid w:val="001E0BEE"/>
    <w:rsid w:val="001E2F60"/>
    <w:rsid w:val="001F5F8E"/>
    <w:rsid w:val="00204E61"/>
    <w:rsid w:val="00230827"/>
    <w:rsid w:val="00230B2B"/>
    <w:rsid w:val="00233927"/>
    <w:rsid w:val="00237512"/>
    <w:rsid w:val="00254DCD"/>
    <w:rsid w:val="00270C88"/>
    <w:rsid w:val="00273578"/>
    <w:rsid w:val="002909CA"/>
    <w:rsid w:val="00294781"/>
    <w:rsid w:val="0029481B"/>
    <w:rsid w:val="002A0ED7"/>
    <w:rsid w:val="002A4044"/>
    <w:rsid w:val="002B4D11"/>
    <w:rsid w:val="002D70A2"/>
    <w:rsid w:val="0030288B"/>
    <w:rsid w:val="0030786C"/>
    <w:rsid w:val="00336247"/>
    <w:rsid w:val="0035550A"/>
    <w:rsid w:val="0039598E"/>
    <w:rsid w:val="003C1348"/>
    <w:rsid w:val="003D17F9"/>
    <w:rsid w:val="003D526F"/>
    <w:rsid w:val="00401CBF"/>
    <w:rsid w:val="00411C1F"/>
    <w:rsid w:val="0041681F"/>
    <w:rsid w:val="00426511"/>
    <w:rsid w:val="004433F6"/>
    <w:rsid w:val="00460FC4"/>
    <w:rsid w:val="004736C2"/>
    <w:rsid w:val="004867E2"/>
    <w:rsid w:val="004C0212"/>
    <w:rsid w:val="004C366A"/>
    <w:rsid w:val="004C6E0C"/>
    <w:rsid w:val="004E7204"/>
    <w:rsid w:val="004F05CF"/>
    <w:rsid w:val="004F2CB4"/>
    <w:rsid w:val="004F5492"/>
    <w:rsid w:val="00517AED"/>
    <w:rsid w:val="005239F1"/>
    <w:rsid w:val="005304D2"/>
    <w:rsid w:val="00555501"/>
    <w:rsid w:val="005645C2"/>
    <w:rsid w:val="00571365"/>
    <w:rsid w:val="00572F07"/>
    <w:rsid w:val="0057537F"/>
    <w:rsid w:val="00576AD8"/>
    <w:rsid w:val="0059583D"/>
    <w:rsid w:val="00606B11"/>
    <w:rsid w:val="006361D7"/>
    <w:rsid w:val="0066313B"/>
    <w:rsid w:val="00663A52"/>
    <w:rsid w:val="0067057C"/>
    <w:rsid w:val="00687DA7"/>
    <w:rsid w:val="00691E48"/>
    <w:rsid w:val="006B172E"/>
    <w:rsid w:val="006B763E"/>
    <w:rsid w:val="006C5D96"/>
    <w:rsid w:val="006D0540"/>
    <w:rsid w:val="00704E6B"/>
    <w:rsid w:val="007653C6"/>
    <w:rsid w:val="00787479"/>
    <w:rsid w:val="007B21BE"/>
    <w:rsid w:val="007E0316"/>
    <w:rsid w:val="007E2CDD"/>
    <w:rsid w:val="007F4DC0"/>
    <w:rsid w:val="007F6205"/>
    <w:rsid w:val="008264EB"/>
    <w:rsid w:val="00833E1A"/>
    <w:rsid w:val="00834A3B"/>
    <w:rsid w:val="008350ED"/>
    <w:rsid w:val="00846AD5"/>
    <w:rsid w:val="00860855"/>
    <w:rsid w:val="00864CF2"/>
    <w:rsid w:val="00870D64"/>
    <w:rsid w:val="0087327D"/>
    <w:rsid w:val="00883718"/>
    <w:rsid w:val="00896CBC"/>
    <w:rsid w:val="008B687A"/>
    <w:rsid w:val="008D3E26"/>
    <w:rsid w:val="008D71B5"/>
    <w:rsid w:val="008F7085"/>
    <w:rsid w:val="00902811"/>
    <w:rsid w:val="0090411D"/>
    <w:rsid w:val="009062AE"/>
    <w:rsid w:val="00906C4D"/>
    <w:rsid w:val="00931C36"/>
    <w:rsid w:val="00936E83"/>
    <w:rsid w:val="0098539B"/>
    <w:rsid w:val="009F4DAC"/>
    <w:rsid w:val="00A236D2"/>
    <w:rsid w:val="00A377A2"/>
    <w:rsid w:val="00A43929"/>
    <w:rsid w:val="00A4512D"/>
    <w:rsid w:val="00A705AF"/>
    <w:rsid w:val="00A8199B"/>
    <w:rsid w:val="00A83784"/>
    <w:rsid w:val="00AA26ED"/>
    <w:rsid w:val="00AC506B"/>
    <w:rsid w:val="00AC627D"/>
    <w:rsid w:val="00AC6A1A"/>
    <w:rsid w:val="00AD02C8"/>
    <w:rsid w:val="00AD30CE"/>
    <w:rsid w:val="00AE00E4"/>
    <w:rsid w:val="00AE13CA"/>
    <w:rsid w:val="00AE4E1D"/>
    <w:rsid w:val="00AE53E1"/>
    <w:rsid w:val="00AE612B"/>
    <w:rsid w:val="00AE6ECB"/>
    <w:rsid w:val="00AF7A19"/>
    <w:rsid w:val="00B201C3"/>
    <w:rsid w:val="00B3747E"/>
    <w:rsid w:val="00B4112F"/>
    <w:rsid w:val="00B42851"/>
    <w:rsid w:val="00B53CAC"/>
    <w:rsid w:val="00B57A5C"/>
    <w:rsid w:val="00B9342D"/>
    <w:rsid w:val="00B9669A"/>
    <w:rsid w:val="00BA5C93"/>
    <w:rsid w:val="00BE6BAC"/>
    <w:rsid w:val="00C439A9"/>
    <w:rsid w:val="00C5701E"/>
    <w:rsid w:val="00C573B1"/>
    <w:rsid w:val="00CB5B1A"/>
    <w:rsid w:val="00CC212C"/>
    <w:rsid w:val="00D00CEE"/>
    <w:rsid w:val="00D25919"/>
    <w:rsid w:val="00D43FE7"/>
    <w:rsid w:val="00D63DD7"/>
    <w:rsid w:val="00D91A73"/>
    <w:rsid w:val="00E129E5"/>
    <w:rsid w:val="00E271D3"/>
    <w:rsid w:val="00E664BA"/>
    <w:rsid w:val="00EA6FF0"/>
    <w:rsid w:val="00F00C7B"/>
    <w:rsid w:val="00F01336"/>
    <w:rsid w:val="00F305E8"/>
    <w:rsid w:val="00F641B7"/>
    <w:rsid w:val="00F70EBD"/>
    <w:rsid w:val="00F77C4D"/>
    <w:rsid w:val="00FB07AF"/>
    <w:rsid w:val="00FB1011"/>
    <w:rsid w:val="00FB1F10"/>
    <w:rsid w:val="00FC1E52"/>
    <w:rsid w:val="00FC6ECD"/>
    <w:rsid w:val="00FE770E"/>
    <w:rsid w:val="00FF4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1828">
      <w:bodyDiv w:val="1"/>
      <w:marLeft w:val="0"/>
      <w:marRight w:val="0"/>
      <w:marTop w:val="0"/>
      <w:marBottom w:val="0"/>
      <w:divBdr>
        <w:top w:val="none" w:sz="0" w:space="0" w:color="auto"/>
        <w:left w:val="none" w:sz="0" w:space="0" w:color="auto"/>
        <w:bottom w:val="none" w:sz="0" w:space="0" w:color="auto"/>
        <w:right w:val="none" w:sz="0" w:space="0" w:color="auto"/>
      </w:divBdr>
    </w:div>
    <w:div w:id="476730024">
      <w:bodyDiv w:val="1"/>
      <w:marLeft w:val="0"/>
      <w:marRight w:val="0"/>
      <w:marTop w:val="0"/>
      <w:marBottom w:val="0"/>
      <w:divBdr>
        <w:top w:val="none" w:sz="0" w:space="0" w:color="auto"/>
        <w:left w:val="none" w:sz="0" w:space="0" w:color="auto"/>
        <w:bottom w:val="none" w:sz="0" w:space="0" w:color="auto"/>
        <w:right w:val="none" w:sz="0" w:space="0" w:color="auto"/>
      </w:divBdr>
    </w:div>
    <w:div w:id="9524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4AED5-DB73-42BD-B374-FEB5F36D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2016-06-08T00:35:00Z</dcterms:created>
  <dcterms:modified xsi:type="dcterms:W3CDTF">2016-06-08T01:56:00Z</dcterms:modified>
</cp:coreProperties>
</file>