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678E3" w14:textId="77777777" w:rsidR="00DB2825" w:rsidRDefault="00DB2825" w:rsidP="00DB2825">
      <w:pPr>
        <w:pStyle w:val="Heading1"/>
      </w:pPr>
      <w:bookmarkStart w:id="0" w:name="_GoBack"/>
      <w:r>
        <w:t xml:space="preserve">Fact sheet </w:t>
      </w:r>
      <w:r w:rsidR="0094244C">
        <w:t>3</w:t>
      </w:r>
      <w:r>
        <w:t xml:space="preserve"> - Strategic Agreement with Medicines Australia – </w:t>
      </w:r>
      <w:r w:rsidR="00D75763">
        <w:t xml:space="preserve">Health Technology Assessment </w:t>
      </w:r>
      <w:r w:rsidR="00B7128D">
        <w:t xml:space="preserve">Policy and Methods </w:t>
      </w:r>
      <w:r w:rsidR="00D75763">
        <w:t>Review</w:t>
      </w:r>
    </w:p>
    <w:bookmarkEnd w:id="0"/>
    <w:p w14:paraId="7118A5E1" w14:textId="77777777" w:rsidR="00DB2825" w:rsidRDefault="00DB2825" w:rsidP="00DB2825"/>
    <w:p w14:paraId="59A0AE09" w14:textId="4E74AD7D" w:rsidR="002A7C5A" w:rsidRDefault="00FF2EB5" w:rsidP="00DB2825">
      <w:r>
        <w:t>T</w:t>
      </w:r>
      <w:r w:rsidR="002A7C5A">
        <w:t>he Australian Government</w:t>
      </w:r>
      <w:r>
        <w:t xml:space="preserve"> and Medicines Australia </w:t>
      </w:r>
      <w:r w:rsidR="002A7C5A">
        <w:t xml:space="preserve">have the shared goals of: </w:t>
      </w:r>
    </w:p>
    <w:p w14:paraId="04416E82" w14:textId="5192B218" w:rsidR="002A7C5A" w:rsidRDefault="002A7C5A" w:rsidP="002A7C5A">
      <w:pPr>
        <w:pStyle w:val="ListParagraph"/>
        <w:numPr>
          <w:ilvl w:val="0"/>
          <w:numId w:val="1"/>
        </w:numPr>
      </w:pPr>
      <w:r>
        <w:t xml:space="preserve">Reducing time to access </w:t>
      </w:r>
      <w:r w:rsidR="00CB0773">
        <w:t xml:space="preserve">to emerging treatments </w:t>
      </w:r>
      <w:r>
        <w:t xml:space="preserve">for Australian patients so that they can access new </w:t>
      </w:r>
      <w:r w:rsidR="00E57E0E">
        <w:t xml:space="preserve">and innovative </w:t>
      </w:r>
      <w:r>
        <w:t>health technologies as early as possible; and</w:t>
      </w:r>
    </w:p>
    <w:p w14:paraId="5D391F88" w14:textId="77777777" w:rsidR="002A7C5A" w:rsidRDefault="002A7C5A" w:rsidP="002A7C5A">
      <w:pPr>
        <w:pStyle w:val="ListParagraph"/>
        <w:numPr>
          <w:ilvl w:val="0"/>
          <w:numId w:val="1"/>
        </w:numPr>
      </w:pPr>
      <w:r>
        <w:t>Maintaining the attractiveness of Australia as a first-launch country for new medicines;</w:t>
      </w:r>
    </w:p>
    <w:p w14:paraId="737B87FC" w14:textId="77777777" w:rsidR="002A7C5A" w:rsidRDefault="002A7C5A" w:rsidP="002A7C5A">
      <w:pPr>
        <w:pStyle w:val="ListParagraph"/>
        <w:numPr>
          <w:ilvl w:val="0"/>
          <w:numId w:val="1"/>
        </w:numPr>
      </w:pPr>
      <w:r>
        <w:t xml:space="preserve">Building on Australia’s status as a world leader in providing patients affordable access to healthcare. </w:t>
      </w:r>
    </w:p>
    <w:p w14:paraId="4ACFEF2E" w14:textId="52A3EEE5" w:rsidR="005F7958" w:rsidRDefault="00B7128D" w:rsidP="00DB2825">
      <w:r>
        <w:t>The Australian Government has agreed to support a</w:t>
      </w:r>
      <w:r w:rsidR="005F7958">
        <w:t>n independent review</w:t>
      </w:r>
      <w:r w:rsidR="00DD1997">
        <w:t xml:space="preserve"> </w:t>
      </w:r>
      <w:r>
        <w:t>of Health Technology Assessment</w:t>
      </w:r>
      <w:r w:rsidR="004C4852">
        <w:t xml:space="preserve"> (HTA)</w:t>
      </w:r>
      <w:r>
        <w:t xml:space="preserve"> </w:t>
      </w:r>
      <w:r w:rsidR="00DD1997">
        <w:t xml:space="preserve">current </w:t>
      </w:r>
      <w:r w:rsidR="005F7958">
        <w:t xml:space="preserve">policy and </w:t>
      </w:r>
      <w:r w:rsidR="00DD1997">
        <w:t>methods used by the Pharmaceutical Benefits Advisory Committee (PBAC) to assess new medicines for listing on the Pharmaceutical Benefits Scheme (PBS), contemporary research</w:t>
      </w:r>
      <w:r w:rsidR="00360A99">
        <w:t>,</w:t>
      </w:r>
      <w:r w:rsidR="00DD1997">
        <w:t xml:space="preserve"> and relevant methodologies and purchasing practices used by comparable international jurisdictions. </w:t>
      </w:r>
    </w:p>
    <w:p w14:paraId="651CB7BF" w14:textId="62386F7B" w:rsidR="002A7C5A" w:rsidRDefault="00080439" w:rsidP="00DB2825">
      <w:r>
        <w:t xml:space="preserve">The HTA review </w:t>
      </w:r>
      <w:r w:rsidR="00133AAC">
        <w:t xml:space="preserve">is </w:t>
      </w:r>
      <w:r>
        <w:t>a mutual</w:t>
      </w:r>
      <w:r w:rsidR="00133AAC">
        <w:t xml:space="preserve"> acknowledgement</w:t>
      </w:r>
      <w:r>
        <w:t xml:space="preserve"> by the Government and</w:t>
      </w:r>
      <w:r w:rsidR="00360A99">
        <w:t xml:space="preserve"> the</w:t>
      </w:r>
      <w:r>
        <w:t xml:space="preserve"> medicines industry</w:t>
      </w:r>
      <w:r w:rsidR="00133AAC">
        <w:t xml:space="preserve"> that medical technology is progressing rapidly and </w:t>
      </w:r>
      <w:r w:rsidR="005F7958">
        <w:t xml:space="preserve">a step-change is required to keep pace with advances in science as well as </w:t>
      </w:r>
      <w:r w:rsidR="002A7C5A">
        <w:t>continuous evaluation and improvement</w:t>
      </w:r>
      <w:r w:rsidR="00604C34">
        <w:t xml:space="preserve"> to help ensure</w:t>
      </w:r>
      <w:r w:rsidR="00360A99">
        <w:t xml:space="preserve"> </w:t>
      </w:r>
      <w:r w:rsidR="002A7C5A">
        <w:t>access</w:t>
      </w:r>
      <w:r w:rsidR="00604C34">
        <w:t xml:space="preserve"> as early as possible</w:t>
      </w:r>
      <w:r w:rsidR="002A7C5A">
        <w:t xml:space="preserve"> </w:t>
      </w:r>
      <w:r>
        <w:t>to</w:t>
      </w:r>
      <w:r w:rsidR="00F53899">
        <w:t xml:space="preserve"> the most effective medicines</w:t>
      </w:r>
      <w:r>
        <w:t xml:space="preserve"> </w:t>
      </w:r>
      <w:r w:rsidR="002A7C5A">
        <w:t>for</w:t>
      </w:r>
      <w:r>
        <w:t xml:space="preserve"> all</w:t>
      </w:r>
      <w:r w:rsidR="002A7C5A">
        <w:t xml:space="preserve"> Australians.</w:t>
      </w:r>
      <w:r w:rsidR="002755A8">
        <w:t xml:space="preserve"> </w:t>
      </w:r>
    </w:p>
    <w:p w14:paraId="19C1F521" w14:textId="77777777" w:rsidR="002A7C5A" w:rsidRDefault="002A7C5A" w:rsidP="00DB2825">
      <w:r>
        <w:t xml:space="preserve">The review will </w:t>
      </w:r>
      <w:r w:rsidR="008A2734">
        <w:t xml:space="preserve">consider a number of important areas including: </w:t>
      </w:r>
    </w:p>
    <w:p w14:paraId="40E5A531" w14:textId="2A19A172" w:rsidR="00DD1997" w:rsidRDefault="00DD1997" w:rsidP="008A2734">
      <w:pPr>
        <w:pStyle w:val="ListParagraph"/>
        <w:numPr>
          <w:ilvl w:val="0"/>
          <w:numId w:val="1"/>
        </w:numPr>
      </w:pPr>
      <w:r>
        <w:t>selection of comparator(s)</w:t>
      </w:r>
      <w:r w:rsidR="003E6A31">
        <w:t xml:space="preserve"> </w:t>
      </w:r>
    </w:p>
    <w:p w14:paraId="44FF171A" w14:textId="77777777" w:rsidR="008A2734" w:rsidRDefault="008A2734" w:rsidP="008A2734">
      <w:pPr>
        <w:pStyle w:val="ListParagraph"/>
        <w:numPr>
          <w:ilvl w:val="0"/>
          <w:numId w:val="1"/>
        </w:numPr>
      </w:pPr>
      <w:r>
        <w:t>methods for evaluating rare diseases for reimbursement</w:t>
      </w:r>
      <w:r w:rsidR="00DD1997">
        <w:t xml:space="preserve"> and alternative funding pathways if required</w:t>
      </w:r>
    </w:p>
    <w:p w14:paraId="0926132B" w14:textId="77777777" w:rsidR="008A2734" w:rsidRDefault="008A2734" w:rsidP="008A2734">
      <w:pPr>
        <w:pStyle w:val="ListParagraph"/>
        <w:numPr>
          <w:ilvl w:val="0"/>
          <w:numId w:val="1"/>
        </w:numPr>
      </w:pPr>
      <w:r>
        <w:t>methods for evaluating new and emerging technologies (including cell and gene therapies, and other precision</w:t>
      </w:r>
      <w:r w:rsidR="00DD503C">
        <w:t>-</w:t>
      </w:r>
      <w:r>
        <w:t>based medicines)</w:t>
      </w:r>
      <w:r w:rsidR="00DD1997">
        <w:t xml:space="preserve"> and the suitability of existing funding pathways as required</w:t>
      </w:r>
    </w:p>
    <w:p w14:paraId="14BA207B" w14:textId="34152566" w:rsidR="008A2734" w:rsidRDefault="008A2734" w:rsidP="008A2734">
      <w:pPr>
        <w:pStyle w:val="ListParagraph"/>
        <w:numPr>
          <w:ilvl w:val="0"/>
          <w:numId w:val="1"/>
        </w:numPr>
      </w:pPr>
      <w:r>
        <w:t>methods for evaluating all new medicines and vaccines</w:t>
      </w:r>
    </w:p>
    <w:p w14:paraId="437CC994" w14:textId="2A489911" w:rsidR="00DD1997" w:rsidRDefault="00DD1997" w:rsidP="008A2734">
      <w:pPr>
        <w:pStyle w:val="ListParagraph"/>
        <w:numPr>
          <w:ilvl w:val="0"/>
          <w:numId w:val="1"/>
        </w:numPr>
      </w:pPr>
      <w:r>
        <w:t>u</w:t>
      </w:r>
      <w:r w:rsidR="008A2734">
        <w:t>se of real</w:t>
      </w:r>
      <w:r w:rsidR="00DD503C">
        <w:t>-</w:t>
      </w:r>
      <w:r w:rsidR="008A2734">
        <w:t>world evidence including from sources other than randomised controlled trials</w:t>
      </w:r>
    </w:p>
    <w:p w14:paraId="254E03C4" w14:textId="77777777" w:rsidR="00DD1997" w:rsidRDefault="00DD1997" w:rsidP="008A2734">
      <w:pPr>
        <w:pStyle w:val="ListParagraph"/>
        <w:numPr>
          <w:ilvl w:val="0"/>
          <w:numId w:val="1"/>
        </w:numPr>
      </w:pPr>
      <w:r>
        <w:t>managing clinical, economic, financial and other uncertainty</w:t>
      </w:r>
    </w:p>
    <w:p w14:paraId="3CF3373E" w14:textId="34534B23" w:rsidR="008A2734" w:rsidRDefault="00DD1997" w:rsidP="008A2734">
      <w:pPr>
        <w:pStyle w:val="ListParagraph"/>
        <w:numPr>
          <w:ilvl w:val="0"/>
          <w:numId w:val="1"/>
        </w:numPr>
      </w:pPr>
      <w:r>
        <w:t>the feasibility of international work</w:t>
      </w:r>
      <w:r w:rsidR="00410432">
        <w:t>-</w:t>
      </w:r>
      <w:r>
        <w:t>sharing for reimbursement submissions</w:t>
      </w:r>
    </w:p>
    <w:p w14:paraId="599B1279" w14:textId="7A764472" w:rsidR="00FF2EB5" w:rsidRDefault="002A7C5A" w:rsidP="00DB2825">
      <w:r>
        <w:t xml:space="preserve">The review will be overseen by a Committee that is independently chaired, and includes a patient representative, a member nominated by Medicines Australia, a Government Nominee, the Chair of the PBAC and </w:t>
      </w:r>
      <w:r w:rsidR="001B7670">
        <w:t>the</w:t>
      </w:r>
      <w:r>
        <w:t xml:space="preserve"> independent Chair. </w:t>
      </w:r>
      <w:r w:rsidR="00FF2EB5">
        <w:t>The Chair</w:t>
      </w:r>
      <w:r w:rsidR="00DD1997">
        <w:t>person</w:t>
      </w:r>
      <w:r w:rsidR="00FF2EB5">
        <w:t xml:space="preserve"> and </w:t>
      </w:r>
      <w:r w:rsidR="00DD1997">
        <w:t xml:space="preserve">membership of the HTA Review Reference Committee will be approved by the Australian Government.   </w:t>
      </w:r>
    </w:p>
    <w:p w14:paraId="0BB02852" w14:textId="1C31A753" w:rsidR="00E57E0E" w:rsidRDefault="000E5BF9" w:rsidP="00DB2825">
      <w:r>
        <w:t xml:space="preserve">The HTA policy and methods review will be conducted during the first year of the Agreement (2022-23 </w:t>
      </w:r>
      <w:r w:rsidR="001B7670">
        <w:t>f</w:t>
      </w:r>
      <w:r>
        <w:t xml:space="preserve">inancial </w:t>
      </w:r>
      <w:r w:rsidR="001B7670">
        <w:t>y</w:t>
      </w:r>
      <w:r>
        <w:t>ear)</w:t>
      </w:r>
      <w:r w:rsidR="005F7958">
        <w:t xml:space="preserve"> with milestones for implementation of </w:t>
      </w:r>
      <w:r w:rsidR="007A4D78">
        <w:t>recommendations</w:t>
      </w:r>
      <w:r>
        <w:t>.</w:t>
      </w:r>
      <w:r w:rsidR="00410432">
        <w:t xml:space="preserve"> </w:t>
      </w:r>
      <w:r w:rsidR="00410432" w:rsidRPr="00410432">
        <w:t xml:space="preserve">The Minister will </w:t>
      </w:r>
      <w:r w:rsidR="00410432">
        <w:t xml:space="preserve">also </w:t>
      </w:r>
      <w:r w:rsidR="00410432" w:rsidRPr="00410432">
        <w:t xml:space="preserve">seek early advice from the PBAC as to whether the base case discount rate </w:t>
      </w:r>
      <w:r w:rsidR="001B7670">
        <w:t xml:space="preserve">currently </w:t>
      </w:r>
      <w:r w:rsidR="00410432" w:rsidRPr="00410432">
        <w:t>outlined in the PBAC guidelines aligns with international best practice.</w:t>
      </w:r>
    </w:p>
    <w:p w14:paraId="01942160" w14:textId="14FBCE6D" w:rsidR="002755A8" w:rsidRDefault="00E57E0E" w:rsidP="00DB2825">
      <w:r w:rsidRPr="00E57E0E">
        <w:t>The review will support the continuous improvement of Australia’s HTA process</w:t>
      </w:r>
      <w:r w:rsidR="00604C34">
        <w:t xml:space="preserve"> and access to the most effective medicines for Australians</w:t>
      </w:r>
      <w:r w:rsidRPr="00E57E0E">
        <w:t xml:space="preserve">, </w:t>
      </w:r>
      <w:r w:rsidR="00604C34">
        <w:t xml:space="preserve">in </w:t>
      </w:r>
      <w:r w:rsidR="00360A99">
        <w:t>parallel</w:t>
      </w:r>
      <w:r w:rsidRPr="00E57E0E">
        <w:t xml:space="preserve"> with the review of the National Medicines Policy, and </w:t>
      </w:r>
      <w:r w:rsidR="00604C34">
        <w:t xml:space="preserve">informed by submissions to </w:t>
      </w:r>
      <w:r w:rsidRPr="00E57E0E">
        <w:t xml:space="preserve">the inquiry into approval processes for new drugs and novel medical technologies in Australia </w:t>
      </w:r>
      <w:r w:rsidR="00604C34">
        <w:t>that was conducted</w:t>
      </w:r>
      <w:r w:rsidRPr="00E57E0E">
        <w:t xml:space="preserve"> by House of Representatives Standing Committee on Health, Aged Care</w:t>
      </w:r>
      <w:r w:rsidR="00604C34">
        <w:t>, and any recommendations arising from that inquiry</w:t>
      </w:r>
      <w:r w:rsidRPr="00E57E0E">
        <w:t>.</w:t>
      </w:r>
      <w:r w:rsidR="00604C34">
        <w:t xml:space="preserve"> </w:t>
      </w:r>
      <w:r w:rsidR="002755A8">
        <w:t xml:space="preserve"> </w:t>
      </w:r>
    </w:p>
    <w:p w14:paraId="7145B7A0" w14:textId="2FD5D3B7" w:rsidR="00410432" w:rsidRDefault="002755A8" w:rsidP="00DB2825">
      <w:r>
        <w:t>The review will also help ensure Australia is a global priority for launching new medicines and that delays in accessing innovative therapies for patients are reduced</w:t>
      </w:r>
      <w:r w:rsidR="00E84986">
        <w:t>. This is important in the rapidly evolving international environment</w:t>
      </w:r>
      <w:r>
        <w:t>.</w:t>
      </w:r>
      <w:r w:rsidR="00410432" w:rsidRPr="00410432">
        <w:t xml:space="preserve">  </w:t>
      </w:r>
    </w:p>
    <w:p w14:paraId="45169D8A" w14:textId="6273A510" w:rsidR="00DB2825" w:rsidRDefault="001C441B" w:rsidP="002C5B23">
      <w:pPr>
        <w:pStyle w:val="Heading2"/>
      </w:pPr>
      <w:r w:rsidRPr="001C441B">
        <w:t xml:space="preserve">Why is this </w:t>
      </w:r>
      <w:r w:rsidRPr="002C5B23">
        <w:t>important</w:t>
      </w:r>
      <w:r w:rsidRPr="001C441B">
        <w:t xml:space="preserve">?  </w:t>
      </w:r>
      <w:r w:rsidR="00DB2825" w:rsidRPr="001C441B">
        <w:t xml:space="preserve"> </w:t>
      </w:r>
    </w:p>
    <w:p w14:paraId="4DD195F3" w14:textId="20F39859" w:rsidR="00F25758" w:rsidRDefault="00F25758" w:rsidP="00F25758">
      <w:r>
        <w:t>Health Technology Assessment refers to the processes and mechanisms based on scientific evidence used to assess the comparative quality, safety, efficacy, effectiveness and cost-effectiveness of health technologies.</w:t>
      </w:r>
    </w:p>
    <w:p w14:paraId="0FA6A129" w14:textId="76D31B2E" w:rsidR="008A2734" w:rsidRDefault="00CE39A3" w:rsidP="00DB2825">
      <w:r w:rsidRPr="00CE39A3">
        <w:lastRenderedPageBreak/>
        <w:t xml:space="preserve">For medicines on the PBS, this process is overseen by the PBAC who consider </w:t>
      </w:r>
      <w:r w:rsidR="00B86C9C">
        <w:t xml:space="preserve">effectiveness and </w:t>
      </w:r>
      <w:r>
        <w:t>cost of new medicines when de</w:t>
      </w:r>
      <w:r w:rsidR="00011512">
        <w:t>termining</w:t>
      </w:r>
      <w:r>
        <w:t xml:space="preserve"> whether to recommend to the Minister that they should be listed on the PBS.</w:t>
      </w:r>
      <w:r w:rsidR="00DD503C">
        <w:t xml:space="preserve"> </w:t>
      </w:r>
    </w:p>
    <w:p w14:paraId="06815633" w14:textId="758E277C" w:rsidR="00CE39A3" w:rsidRPr="00CE39A3" w:rsidRDefault="00DD503C" w:rsidP="00DB2825">
      <w:r>
        <w:t>It is important to ensure that they are continually evaluated and updated so that they remain fit for purpose</w:t>
      </w:r>
      <w:r w:rsidR="00B86C9C">
        <w:t xml:space="preserve"> and deliver best value for the community.</w:t>
      </w:r>
      <w:r>
        <w:t xml:space="preserve"> </w:t>
      </w:r>
    </w:p>
    <w:p w14:paraId="47F4EB98" w14:textId="77777777" w:rsidR="002C5B23" w:rsidRDefault="001C441B" w:rsidP="002C5B23">
      <w:pPr>
        <w:pStyle w:val="Heading2"/>
      </w:pPr>
      <w:r>
        <w:t>Who will benefit</w:t>
      </w:r>
      <w:r w:rsidRPr="001C441B">
        <w:t xml:space="preserve">?   </w:t>
      </w:r>
    </w:p>
    <w:p w14:paraId="5732F10E" w14:textId="0E82B8B7" w:rsidR="00E57E0E" w:rsidRDefault="00DD503C" w:rsidP="001C441B">
      <w:r w:rsidRPr="00DD503C">
        <w:t xml:space="preserve">Australian patients who will continue to benefit from access to </w:t>
      </w:r>
      <w:r w:rsidR="00B86C9C">
        <w:t xml:space="preserve">affordable </w:t>
      </w:r>
      <w:r w:rsidRPr="00DD503C">
        <w:t>breakthrough</w:t>
      </w:r>
      <w:r w:rsidR="00E57E0E">
        <w:t>,</w:t>
      </w:r>
      <w:r w:rsidRPr="00DD503C">
        <w:t xml:space="preserve"> </w:t>
      </w:r>
      <w:r w:rsidR="00E57E0E">
        <w:t>innovative</w:t>
      </w:r>
      <w:r w:rsidR="00E57E0E" w:rsidRPr="00DD503C">
        <w:t xml:space="preserve"> </w:t>
      </w:r>
      <w:r w:rsidRPr="00DD503C">
        <w:t xml:space="preserve">medicines as early as possible. </w:t>
      </w:r>
    </w:p>
    <w:p w14:paraId="374F4443" w14:textId="7951EE61" w:rsidR="00DD503C" w:rsidRDefault="00DD503C" w:rsidP="001C441B">
      <w:r w:rsidRPr="00DD503C">
        <w:t xml:space="preserve">The medicines industry who will benefit from stability and certainty for investment in new medicines and </w:t>
      </w:r>
      <w:r w:rsidR="00080439">
        <w:t xml:space="preserve">assessment </w:t>
      </w:r>
      <w:r w:rsidRPr="00DD503C">
        <w:t xml:space="preserve">processes that </w:t>
      </w:r>
      <w:r w:rsidR="00080439">
        <w:t xml:space="preserve">remain world class and </w:t>
      </w:r>
      <w:r w:rsidRPr="00DD503C">
        <w:t xml:space="preserve">keep pace </w:t>
      </w:r>
      <w:r>
        <w:t xml:space="preserve">with rapid advances in medicine </w:t>
      </w:r>
      <w:r w:rsidR="00080439">
        <w:t>enabling</w:t>
      </w:r>
      <w:r>
        <w:t xml:space="preserve"> them to be marketed and funded in Australia as they emerge. </w:t>
      </w:r>
      <w:r w:rsidRPr="00DD503C">
        <w:t xml:space="preserve"> </w:t>
      </w:r>
    </w:p>
    <w:p w14:paraId="0C92F11B" w14:textId="2768B5E9" w:rsidR="00574405" w:rsidRPr="00DD503C" w:rsidRDefault="00574405" w:rsidP="00574405">
      <w:r>
        <w:t>The Australian economy will benefit from improved health outcomes,</w:t>
      </w:r>
      <w:r w:rsidR="00360A99">
        <w:t xml:space="preserve"> and</w:t>
      </w:r>
      <w:r>
        <w:t xml:space="preserve"> continued investment in research and innovation</w:t>
      </w:r>
      <w:r w:rsidR="00D32E02">
        <w:t>.</w:t>
      </w:r>
      <w:r>
        <w:t xml:space="preserve"> </w:t>
      </w:r>
    </w:p>
    <w:p w14:paraId="07456727" w14:textId="77777777" w:rsidR="00574405" w:rsidRDefault="00574405" w:rsidP="001C441B"/>
    <w:sectPr w:rsidR="005744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E38B7" w14:textId="77777777" w:rsidR="007B71A1" w:rsidRDefault="007B71A1" w:rsidP="00D60F96">
      <w:pPr>
        <w:spacing w:after="0" w:line="240" w:lineRule="auto"/>
      </w:pPr>
      <w:r>
        <w:separator/>
      </w:r>
    </w:p>
  </w:endnote>
  <w:endnote w:type="continuationSeparator" w:id="0">
    <w:p w14:paraId="4C86624F" w14:textId="77777777" w:rsidR="007B71A1" w:rsidRDefault="007B71A1" w:rsidP="00D6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0469" w14:textId="77777777" w:rsidR="00306FC0" w:rsidRDefault="00306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8059C" w14:textId="01E4EC2C" w:rsidR="00D60F96" w:rsidRPr="00D60F96" w:rsidRDefault="00D60F96">
    <w:pPr>
      <w:pStyle w:val="Footer"/>
      <w:rPr>
        <w:b/>
        <w:b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32ABD" w14:textId="77777777" w:rsidR="00306FC0" w:rsidRDefault="00306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0167" w14:textId="77777777" w:rsidR="007B71A1" w:rsidRDefault="007B71A1" w:rsidP="00D60F96">
      <w:pPr>
        <w:spacing w:after="0" w:line="240" w:lineRule="auto"/>
      </w:pPr>
      <w:r>
        <w:separator/>
      </w:r>
    </w:p>
  </w:footnote>
  <w:footnote w:type="continuationSeparator" w:id="0">
    <w:p w14:paraId="63C2B7E5" w14:textId="77777777" w:rsidR="007B71A1" w:rsidRDefault="007B71A1" w:rsidP="00D6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AC57" w14:textId="77777777" w:rsidR="00306FC0" w:rsidRDefault="00306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4391" w14:textId="75B635DD" w:rsidR="00D60F96" w:rsidRPr="00D60F96" w:rsidRDefault="00D60F96">
    <w:pPr>
      <w:pStyle w:val="Head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DD61" w14:textId="77777777" w:rsidR="00306FC0" w:rsidRDefault="00306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C700F"/>
    <w:multiLevelType w:val="hybridMultilevel"/>
    <w:tmpl w:val="602CFB9E"/>
    <w:lvl w:ilvl="0" w:tplc="12E897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B1"/>
    <w:rsid w:val="00011512"/>
    <w:rsid w:val="000669EB"/>
    <w:rsid w:val="00080439"/>
    <w:rsid w:val="000B00AB"/>
    <w:rsid w:val="000E5BF9"/>
    <w:rsid w:val="00133AAC"/>
    <w:rsid w:val="001B7670"/>
    <w:rsid w:val="001C441B"/>
    <w:rsid w:val="001F164C"/>
    <w:rsid w:val="002755A8"/>
    <w:rsid w:val="00280050"/>
    <w:rsid w:val="002A7C5A"/>
    <w:rsid w:val="002C0C32"/>
    <w:rsid w:val="002C5B23"/>
    <w:rsid w:val="002D596D"/>
    <w:rsid w:val="00306FC0"/>
    <w:rsid w:val="00360A99"/>
    <w:rsid w:val="003E6A31"/>
    <w:rsid w:val="00410432"/>
    <w:rsid w:val="004638A7"/>
    <w:rsid w:val="004A1AB1"/>
    <w:rsid w:val="004C4852"/>
    <w:rsid w:val="00502074"/>
    <w:rsid w:val="00524953"/>
    <w:rsid w:val="00561855"/>
    <w:rsid w:val="00574405"/>
    <w:rsid w:val="005F7958"/>
    <w:rsid w:val="00604C34"/>
    <w:rsid w:val="0065321B"/>
    <w:rsid w:val="007238BD"/>
    <w:rsid w:val="007A1356"/>
    <w:rsid w:val="007A4D78"/>
    <w:rsid w:val="007B4BD3"/>
    <w:rsid w:val="007B71A1"/>
    <w:rsid w:val="00895A96"/>
    <w:rsid w:val="008A2734"/>
    <w:rsid w:val="009305AE"/>
    <w:rsid w:val="00934D97"/>
    <w:rsid w:val="0094244C"/>
    <w:rsid w:val="00A14769"/>
    <w:rsid w:val="00A675EA"/>
    <w:rsid w:val="00B26135"/>
    <w:rsid w:val="00B43B08"/>
    <w:rsid w:val="00B7128D"/>
    <w:rsid w:val="00B86C9C"/>
    <w:rsid w:val="00BC419B"/>
    <w:rsid w:val="00C17254"/>
    <w:rsid w:val="00CB0773"/>
    <w:rsid w:val="00CE39A3"/>
    <w:rsid w:val="00D32E02"/>
    <w:rsid w:val="00D60F96"/>
    <w:rsid w:val="00D75763"/>
    <w:rsid w:val="00DB2825"/>
    <w:rsid w:val="00DD1997"/>
    <w:rsid w:val="00DD503C"/>
    <w:rsid w:val="00E57E0E"/>
    <w:rsid w:val="00E84986"/>
    <w:rsid w:val="00EA1BB6"/>
    <w:rsid w:val="00F14D6C"/>
    <w:rsid w:val="00F218C1"/>
    <w:rsid w:val="00F25758"/>
    <w:rsid w:val="00F4772E"/>
    <w:rsid w:val="00F53899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9DC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25"/>
  </w:style>
  <w:style w:type="paragraph" w:styleId="Heading1">
    <w:name w:val="heading 1"/>
    <w:basedOn w:val="Normal"/>
    <w:next w:val="Normal"/>
    <w:link w:val="Heading1Char"/>
    <w:uiPriority w:val="9"/>
    <w:qFormat/>
    <w:rsid w:val="00DB282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B23"/>
    <w:pPr>
      <w:outlineLvl w:val="1"/>
    </w:pPr>
    <w:rPr>
      <w:b/>
      <w:bCs/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8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8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8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8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8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8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B23"/>
    <w:rPr>
      <w:b/>
      <w:bCs/>
      <w:color w:val="44546A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82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82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82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82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82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82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82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282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B28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82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82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282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B2825"/>
    <w:rPr>
      <w:b/>
      <w:bCs/>
    </w:rPr>
  </w:style>
  <w:style w:type="character" w:styleId="Emphasis">
    <w:name w:val="Emphasis"/>
    <w:basedOn w:val="DefaultParagraphFont"/>
    <w:uiPriority w:val="20"/>
    <w:qFormat/>
    <w:rsid w:val="00DB2825"/>
    <w:rPr>
      <w:i/>
      <w:iCs/>
    </w:rPr>
  </w:style>
  <w:style w:type="paragraph" w:styleId="NoSpacing">
    <w:name w:val="No Spacing"/>
    <w:uiPriority w:val="1"/>
    <w:qFormat/>
    <w:rsid w:val="00DB28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282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82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82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82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B28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28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282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282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282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2825"/>
    <w:pPr>
      <w:outlineLvl w:val="9"/>
    </w:pPr>
  </w:style>
  <w:style w:type="paragraph" w:styleId="ListParagraph">
    <w:name w:val="List Paragraph"/>
    <w:basedOn w:val="Normal"/>
    <w:uiPriority w:val="34"/>
    <w:qFormat/>
    <w:rsid w:val="002A7C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C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C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0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F96"/>
  </w:style>
  <w:style w:type="paragraph" w:styleId="Footer">
    <w:name w:val="footer"/>
    <w:basedOn w:val="Normal"/>
    <w:link w:val="FooterChar"/>
    <w:uiPriority w:val="99"/>
    <w:unhideWhenUsed/>
    <w:rsid w:val="00D60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AE0EB8771FABE4BB83C48BD3FD18756" ma:contentTypeVersion="" ma:contentTypeDescription="PDMS Document Site Content Type" ma:contentTypeScope="" ma:versionID="eb35f7ed0d3482e270c816fd4e752801">
  <xsd:schema xmlns:xsd="http://www.w3.org/2001/XMLSchema" xmlns:xs="http://www.w3.org/2001/XMLSchema" xmlns:p="http://schemas.microsoft.com/office/2006/metadata/properties" xmlns:ns2="CB790812-C0BD-46C9-97DA-C36621ECDCB1" targetNamespace="http://schemas.microsoft.com/office/2006/metadata/properties" ma:root="true" ma:fieldsID="b830b65f72ad04ae44d2d66b78c3af96" ns2:_="">
    <xsd:import namespace="CB790812-C0BD-46C9-97DA-C36621ECDCB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0812-C0BD-46C9-97DA-C36621ECDCB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790812-C0BD-46C9-97DA-C36621ECDC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6FA6-5154-434C-868A-F58477708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0812-C0BD-46C9-97DA-C36621EC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A3C1B-97E7-40A5-AADD-451E6B45E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93211-391C-4A02-BD04-B226DB12AEF6}">
  <ds:schemaRefs>
    <ds:schemaRef ds:uri="http://purl.org/dc/elements/1.1/"/>
    <ds:schemaRef ds:uri="http://schemas.microsoft.com/office/2006/metadata/properties"/>
    <ds:schemaRef ds:uri="CB790812-C0BD-46C9-97DA-C36621ECDC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443077-F69B-4441-8A30-E0AB1746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3 - Strategic Agreement with Medicines Australia – Health Technology Assessment Policy and Methods Review</dc:title>
  <dc:subject/>
  <dc:creator/>
  <cp:keywords/>
  <dc:description/>
  <cp:lastModifiedBy/>
  <cp:revision>1</cp:revision>
  <dcterms:created xsi:type="dcterms:W3CDTF">2021-09-05T02:05:00Z</dcterms:created>
  <dcterms:modified xsi:type="dcterms:W3CDTF">2021-09-13T10:48:00Z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0x010100266966F133664895A6EE3632470D45F5005AE0EB8771FABE4BB83C48BD3FD18756</vt:lpwstr>
  </property>
</Properties>
</file>