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8D" w:rsidRPr="00884F3B" w:rsidRDefault="00131B8D" w:rsidP="00884F3B">
      <w:pPr>
        <w:pStyle w:val="Title"/>
        <w:jc w:val="center"/>
        <w:rPr>
          <w:rFonts w:ascii="Arial" w:eastAsia="Arial" w:hAnsi="Arial" w:cs="Arial"/>
          <w:sz w:val="72"/>
          <w:szCs w:val="72"/>
        </w:rPr>
      </w:pPr>
      <w:bookmarkStart w:id="0" w:name="_GoBack"/>
      <w:bookmarkEnd w:id="0"/>
      <w:r w:rsidRPr="00884F3B">
        <w:rPr>
          <w:rFonts w:ascii="Arial" w:eastAsia="Arial" w:hAnsi="Arial" w:cs="Arial"/>
          <w:sz w:val="72"/>
          <w:szCs w:val="72"/>
        </w:rPr>
        <w:t>PROGRESS</w:t>
      </w:r>
      <w:r w:rsidRPr="00884F3B">
        <w:rPr>
          <w:rFonts w:ascii="Arial" w:eastAsia="Arial" w:hAnsi="Arial" w:cs="Arial"/>
          <w:spacing w:val="-40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z w:val="72"/>
          <w:szCs w:val="72"/>
        </w:rPr>
        <w:t>UPDATE</w:t>
      </w:r>
      <w:r w:rsidRPr="00884F3B">
        <w:rPr>
          <w:rFonts w:ascii="Arial" w:eastAsia="Arial" w:hAnsi="Arial" w:cs="Arial"/>
          <w:spacing w:val="-41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z w:val="72"/>
          <w:szCs w:val="72"/>
        </w:rPr>
        <w:t>ON</w:t>
      </w:r>
      <w:r w:rsidRPr="00884F3B">
        <w:rPr>
          <w:rFonts w:ascii="Arial" w:eastAsia="Arial" w:hAnsi="Arial" w:cs="Arial"/>
          <w:spacing w:val="-40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z w:val="72"/>
          <w:szCs w:val="72"/>
        </w:rPr>
        <w:t>THE E</w:t>
      </w:r>
      <w:r w:rsidRPr="00884F3B">
        <w:rPr>
          <w:rFonts w:ascii="Arial" w:eastAsia="Arial" w:hAnsi="Arial" w:cs="Arial"/>
          <w:spacing w:val="-19"/>
          <w:sz w:val="72"/>
          <w:szCs w:val="72"/>
        </w:rPr>
        <w:t>V</w:t>
      </w:r>
      <w:r w:rsidRPr="00884F3B">
        <w:rPr>
          <w:rFonts w:ascii="Arial" w:eastAsia="Arial" w:hAnsi="Arial" w:cs="Arial"/>
          <w:sz w:val="72"/>
          <w:szCs w:val="72"/>
        </w:rPr>
        <w:t>ALUATION</w:t>
      </w:r>
      <w:r w:rsidRPr="00884F3B">
        <w:rPr>
          <w:rFonts w:ascii="Arial" w:eastAsia="Arial" w:hAnsi="Arial" w:cs="Arial"/>
          <w:spacing w:val="115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pacing w:val="-19"/>
          <w:sz w:val="72"/>
          <w:szCs w:val="72"/>
        </w:rPr>
        <w:t>O</w:t>
      </w:r>
      <w:r w:rsidRPr="00884F3B">
        <w:rPr>
          <w:rFonts w:ascii="Arial" w:eastAsia="Arial" w:hAnsi="Arial" w:cs="Arial"/>
          <w:sz w:val="72"/>
          <w:szCs w:val="72"/>
        </w:rPr>
        <w:t>F</w:t>
      </w:r>
      <w:r w:rsidRPr="00884F3B">
        <w:rPr>
          <w:rFonts w:ascii="Arial" w:eastAsia="Arial" w:hAnsi="Arial" w:cs="Arial"/>
          <w:spacing w:val="-40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z w:val="72"/>
          <w:szCs w:val="72"/>
        </w:rPr>
        <w:t>THE</w:t>
      </w:r>
      <w:r w:rsidRPr="00884F3B">
        <w:rPr>
          <w:rFonts w:ascii="Arial" w:eastAsia="Arial" w:hAnsi="Arial" w:cs="Arial"/>
          <w:spacing w:val="-41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z w:val="72"/>
          <w:szCs w:val="72"/>
        </w:rPr>
        <w:t>NEW/EXPANDED 6CPA</w:t>
      </w:r>
      <w:r w:rsidRPr="00884F3B">
        <w:rPr>
          <w:rFonts w:ascii="Arial" w:eastAsia="Arial" w:hAnsi="Arial" w:cs="Arial"/>
          <w:spacing w:val="-40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z w:val="72"/>
          <w:szCs w:val="72"/>
        </w:rPr>
        <w:t>PHARMACY</w:t>
      </w:r>
      <w:r w:rsidRPr="00884F3B">
        <w:rPr>
          <w:rFonts w:ascii="Arial" w:eastAsia="Arial" w:hAnsi="Arial" w:cs="Arial"/>
          <w:spacing w:val="-41"/>
          <w:sz w:val="72"/>
          <w:szCs w:val="72"/>
        </w:rPr>
        <w:t xml:space="preserve"> </w:t>
      </w:r>
      <w:r w:rsidRPr="00884F3B">
        <w:rPr>
          <w:rFonts w:ascii="Arial" w:eastAsia="Arial" w:hAnsi="Arial" w:cs="Arial"/>
          <w:sz w:val="72"/>
          <w:szCs w:val="72"/>
        </w:rPr>
        <w:t>PROGRAMS</w:t>
      </w:r>
    </w:p>
    <w:p w:rsidR="00131B8D" w:rsidRDefault="00131B8D" w:rsidP="00131B8D">
      <w:pPr>
        <w:spacing w:after="0" w:line="275" w:lineRule="auto"/>
        <w:ind w:left="4200" w:right="4630"/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 xml:space="preserve">Joe </w:t>
      </w:r>
      <w:proofErr w:type="spellStart"/>
      <w:r>
        <w:rPr>
          <w:rFonts w:ascii="Arial" w:eastAsia="Arial" w:hAnsi="Arial" w:cs="Arial"/>
          <w:color w:val="000000"/>
          <w:sz w:val="40"/>
          <w:szCs w:val="40"/>
        </w:rPr>
        <w:t>Scuteri</w:t>
      </w:r>
      <w:proofErr w:type="spellEnd"/>
    </w:p>
    <w:p w:rsidR="00131B8D" w:rsidRDefault="00131B8D" w:rsidP="00131B8D">
      <w:pPr>
        <w:spacing w:after="0" w:line="275" w:lineRule="auto"/>
        <w:ind w:left="4200" w:right="4630"/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Managing Director</w:t>
      </w:r>
    </w:p>
    <w:p w:rsidR="00131B8D" w:rsidRDefault="00131B8D" w:rsidP="00131B8D">
      <w:pPr>
        <w:spacing w:after="0" w:line="275" w:lineRule="auto"/>
        <w:ind w:left="4200" w:right="4630"/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HealthConsult</w:t>
      </w: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131B8D" w:rsidRPr="007655D9" w:rsidRDefault="00131B8D" w:rsidP="007655D9">
      <w:pPr>
        <w:pStyle w:val="Heading1"/>
        <w:rPr>
          <w:rFonts w:eastAsia="Arial" w:cs="Arial"/>
          <w:b w:val="0"/>
          <w:szCs w:val="48"/>
        </w:rPr>
      </w:pPr>
      <w:r w:rsidRPr="007655D9">
        <w:rPr>
          <w:rFonts w:eastAsia="Arial" w:cs="Arial"/>
          <w:b w:val="0"/>
          <w:szCs w:val="48"/>
        </w:rPr>
        <w:lastRenderedPageBreak/>
        <w:t>Evaluation</w:t>
      </w:r>
      <w:r w:rsidRPr="007655D9">
        <w:rPr>
          <w:rFonts w:eastAsia="Arial" w:cs="Arial"/>
          <w:b w:val="0"/>
          <w:spacing w:val="-40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of</w:t>
      </w:r>
      <w:r w:rsidRPr="007655D9">
        <w:rPr>
          <w:rFonts w:eastAsia="Arial" w:cs="Arial"/>
          <w:b w:val="0"/>
          <w:spacing w:val="-40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the</w:t>
      </w:r>
      <w:r w:rsidRPr="007655D9">
        <w:rPr>
          <w:rFonts w:eastAsia="Arial" w:cs="Arial"/>
          <w:b w:val="0"/>
          <w:spacing w:val="-41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new</w:t>
      </w:r>
      <w:r w:rsidRPr="007655D9">
        <w:rPr>
          <w:rFonts w:eastAsia="Arial" w:cs="Arial"/>
          <w:b w:val="0"/>
          <w:spacing w:val="-40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and</w:t>
      </w:r>
      <w:r w:rsidRPr="007655D9">
        <w:rPr>
          <w:rFonts w:eastAsia="Arial" w:cs="Arial"/>
          <w:b w:val="0"/>
          <w:spacing w:val="-40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expanded</w:t>
      </w:r>
      <w:r w:rsidRPr="007655D9">
        <w:rPr>
          <w:rFonts w:eastAsia="Arial" w:cs="Arial"/>
          <w:b w:val="0"/>
          <w:spacing w:val="-41"/>
          <w:szCs w:val="48"/>
        </w:rPr>
        <w:t xml:space="preserve"> </w:t>
      </w:r>
      <w:r w:rsidR="00884F3B" w:rsidRPr="007655D9">
        <w:rPr>
          <w:rFonts w:eastAsia="Arial" w:cs="Arial"/>
          <w:b w:val="0"/>
          <w:szCs w:val="48"/>
        </w:rPr>
        <w:t>c</w:t>
      </w:r>
      <w:r w:rsidRPr="007655D9">
        <w:rPr>
          <w:rFonts w:eastAsia="Arial" w:cs="Arial"/>
          <w:b w:val="0"/>
          <w:szCs w:val="48"/>
        </w:rPr>
        <w:t>ommunity</w:t>
      </w:r>
      <w:r w:rsidR="00884F3B" w:rsidRPr="007655D9">
        <w:rPr>
          <w:rFonts w:eastAsia="Arial" w:cs="Arial"/>
          <w:b w:val="0"/>
          <w:szCs w:val="48"/>
        </w:rPr>
        <w:t xml:space="preserve"> p</w:t>
      </w:r>
      <w:r w:rsidRPr="007655D9">
        <w:rPr>
          <w:rFonts w:eastAsia="Arial" w:cs="Arial"/>
          <w:b w:val="0"/>
          <w:szCs w:val="48"/>
        </w:rPr>
        <w:t>harmacy</w:t>
      </w:r>
      <w:r w:rsidRPr="007655D9">
        <w:rPr>
          <w:rFonts w:eastAsia="Arial" w:cs="Arial"/>
          <w:b w:val="0"/>
          <w:spacing w:val="-39"/>
          <w:szCs w:val="48"/>
        </w:rPr>
        <w:t xml:space="preserve"> </w:t>
      </w:r>
      <w:r w:rsidR="00884F3B" w:rsidRPr="007655D9">
        <w:rPr>
          <w:rFonts w:eastAsia="Arial" w:cs="Arial"/>
          <w:b w:val="0"/>
          <w:szCs w:val="48"/>
        </w:rPr>
        <w:t>p</w:t>
      </w:r>
      <w:r w:rsidRPr="007655D9">
        <w:rPr>
          <w:rFonts w:eastAsia="Arial" w:cs="Arial"/>
          <w:b w:val="0"/>
          <w:szCs w:val="48"/>
        </w:rPr>
        <w:t>rograms</w:t>
      </w:r>
      <w:r w:rsidRPr="007655D9">
        <w:rPr>
          <w:rFonts w:eastAsia="Arial" w:cs="Arial"/>
          <w:b w:val="0"/>
          <w:spacing w:val="-40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funded</w:t>
      </w:r>
      <w:r w:rsidRPr="007655D9">
        <w:rPr>
          <w:rFonts w:eastAsia="Arial" w:cs="Arial"/>
          <w:b w:val="0"/>
          <w:spacing w:val="-40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under</w:t>
      </w:r>
      <w:r w:rsidRPr="007655D9">
        <w:rPr>
          <w:rFonts w:eastAsia="Arial" w:cs="Arial"/>
          <w:b w:val="0"/>
          <w:spacing w:val="-41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the</w:t>
      </w:r>
      <w:r w:rsidRPr="007655D9">
        <w:rPr>
          <w:rFonts w:eastAsia="Arial" w:cs="Arial"/>
          <w:b w:val="0"/>
          <w:spacing w:val="-40"/>
          <w:szCs w:val="48"/>
        </w:rPr>
        <w:t xml:space="preserve"> </w:t>
      </w:r>
      <w:r w:rsidRPr="007655D9">
        <w:rPr>
          <w:rFonts w:eastAsia="Arial" w:cs="Arial"/>
          <w:b w:val="0"/>
          <w:szCs w:val="48"/>
        </w:rPr>
        <w:t>6CPA</w:t>
      </w:r>
    </w:p>
    <w:p w:rsidR="00131B8D" w:rsidRPr="00131B8D" w:rsidRDefault="00131B8D">
      <w:pPr>
        <w:rPr>
          <w:rFonts w:ascii="Arial" w:eastAsia="Arial" w:hAnsi="Arial" w:cs="Arial"/>
          <w:b/>
          <w:bCs/>
          <w:color w:val="808080"/>
          <w:sz w:val="24"/>
          <w:szCs w:val="24"/>
          <w:u w:val="single"/>
        </w:rPr>
      </w:pPr>
    </w:p>
    <w:p w:rsidR="00131B8D" w:rsidRDefault="00131B8D" w:rsidP="007655D9">
      <w:pPr>
        <w:jc w:val="center"/>
        <w:rPr>
          <w:rFonts w:ascii="Arial" w:eastAsia="Arial" w:hAnsi="Arial" w:cs="Arial"/>
          <w:b/>
          <w:bCs/>
          <w:color w:val="808080"/>
          <w:sz w:val="48"/>
          <w:szCs w:val="48"/>
          <w:u w:val="single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67A51890" wp14:editId="43AC30A4">
            <wp:extent cx="8067826" cy="3390900"/>
            <wp:effectExtent l="0" t="0" r="9525" b="0"/>
            <wp:docPr id="152" name="Picture 152" descr="Image shows that tasks 2, 3 and 4 of the evaluation of the new and expanded community pharmacy programs funded under the 6CPA are currently being completed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76037" cy="339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808080"/>
          <w:sz w:val="48"/>
          <w:szCs w:val="48"/>
          <w:u w:val="single"/>
        </w:rPr>
        <w:br w:type="page"/>
      </w:r>
    </w:p>
    <w:p w:rsidR="00E70CDC" w:rsidRPr="00E70CDC" w:rsidRDefault="00E70CDC" w:rsidP="00143D7C">
      <w:pPr>
        <w:pStyle w:val="Heading2"/>
        <w:rPr>
          <w:rFonts w:eastAsia="Arial"/>
        </w:rPr>
      </w:pPr>
      <w:r w:rsidRPr="00E70CDC">
        <w:rPr>
          <w:rFonts w:eastAsia="Arial"/>
        </w:rPr>
        <w:lastRenderedPageBreak/>
        <w:t>Task 1: Assist with initial design of new/expanded programs</w:t>
      </w:r>
    </w:p>
    <w:p w:rsidR="00F81628" w:rsidRDefault="00F8162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Developed logic model for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each program</w:t>
      </w:r>
    </w:p>
    <w:p w:rsidR="00F81628" w:rsidRDefault="00960247">
      <w:pPr>
        <w:spacing w:before="116" w:after="0" w:line="297" w:lineRule="auto"/>
        <w:ind w:left="432" w:right="927" w:hanging="431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Design Minimum Dataset (MDS)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specification for each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program </w:t>
      </w: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253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MedsCheck (routine data collection)</w:t>
      </w:r>
    </w:p>
    <w:p w:rsidR="00F81628" w:rsidRDefault="00960247">
      <w:pPr>
        <w:spacing w:after="0" w:line="300" w:lineRule="auto"/>
        <w:ind w:left="432" w:right="444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253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Diabetes MedsCheck (routine data collection) </w:t>
      </w: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253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Staged Supply (routine data collection)</w:t>
      </w:r>
    </w:p>
    <w:p w:rsidR="00F81628" w:rsidRPr="00143D7C" w:rsidRDefault="00960247" w:rsidP="00373066">
      <w:pPr>
        <w:spacing w:after="0" w:line="240" w:lineRule="auto"/>
        <w:ind w:right="-20"/>
        <w:rPr>
          <w:rStyle w:val="Heading2Char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253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Dose Administration Aids (routine data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collection</w:t>
      </w:r>
      <w:proofErr w:type="gramStart"/>
      <w:r>
        <w:rPr>
          <w:rFonts w:ascii="Arial" w:eastAsia="Arial" w:hAnsi="Arial" w:cs="Arial"/>
          <w:color w:val="000000"/>
          <w:sz w:val="36"/>
          <w:szCs w:val="36"/>
        </w:rPr>
        <w:t>)</w:t>
      </w:r>
      <w:proofErr w:type="gramEnd"/>
      <w:r w:rsidR="00373066">
        <w:rPr>
          <w:rFonts w:eastAsia="Arial"/>
        </w:rPr>
        <w:br w:type="page"/>
      </w:r>
      <w:r w:rsidR="00373066" w:rsidRPr="00143D7C">
        <w:rPr>
          <w:rStyle w:val="Heading2Char"/>
        </w:rPr>
        <w:lastRenderedPageBreak/>
        <w:t>Task 1: Program logic models – an example</w:t>
      </w:r>
    </w:p>
    <w:p w:rsidR="00373066" w:rsidRDefault="0037306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73066" w:rsidRDefault="00373066">
      <w:pPr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w:lastRenderedPageBreak/>
        <w:drawing>
          <wp:inline distT="0" distB="0" distL="0" distR="0">
            <wp:extent cx="8229600" cy="4650940"/>
            <wp:effectExtent l="0" t="0" r="0" b="0"/>
            <wp:docPr id="73" name="Picture 73" descr="An example of a program logic mode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8229600" cy="465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br w:type="page"/>
      </w:r>
    </w:p>
    <w:p w:rsidR="00F81628" w:rsidRDefault="00960247" w:rsidP="00143D7C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2: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Monitoring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and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reporting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on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the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new/expanded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programs</w:t>
      </w:r>
    </w:p>
    <w:p w:rsidR="00F81628" w:rsidRDefault="00F8162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Prepared Monitoring and Reporting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Framework</w:t>
      </w:r>
    </w:p>
    <w:p w:rsidR="00F81628" w:rsidRDefault="00960247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Developed quality assurance process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and associated database</w:t>
      </w:r>
    </w:p>
    <w:p w:rsidR="00F81628" w:rsidRDefault="00960247">
      <w:pPr>
        <w:spacing w:after="0" w:line="250" w:lineRule="auto"/>
        <w:ind w:left="450" w:right="1460" w:hanging="45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Commenced receipt of claims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data and MDS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data from the Department (via secure web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portal) on a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six-monthly interval</w:t>
      </w:r>
    </w:p>
    <w:p w:rsidR="00F81628" w:rsidRDefault="00960247">
      <w:pPr>
        <w:spacing w:after="0" w:line="250" w:lineRule="auto"/>
        <w:ind w:left="450" w:right="303" w:hanging="45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Analysis of each data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batch received highlights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minor changes that can be made in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how claims data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is collected or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reported by the pharmacies to the Guild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to improve data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quality.</w:t>
      </w:r>
    </w:p>
    <w:p w:rsidR="00143D7C" w:rsidRDefault="00960247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Prepare five (six-monthly) Program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Monitoring Reports</w:t>
      </w:r>
    </w:p>
    <w:p w:rsidR="00143D7C" w:rsidRDefault="00143D7C" w:rsidP="00143D7C">
      <w:pPr>
        <w:rPr>
          <w:rFonts w:eastAsia="Arial"/>
        </w:rPr>
      </w:pPr>
      <w:r>
        <w:rPr>
          <w:rFonts w:eastAsia="Arial"/>
        </w:rPr>
        <w:br w:type="page"/>
      </w:r>
    </w:p>
    <w:p w:rsidR="00F81628" w:rsidRDefault="00960247" w:rsidP="00143D7C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2: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Monitoring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and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reporting</w:t>
      </w:r>
    </w:p>
    <w:p w:rsidR="00F81628" w:rsidRDefault="00F8162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81628" w:rsidRDefault="00960247">
      <w:pPr>
        <w:spacing w:after="0" w:line="248" w:lineRule="auto"/>
        <w:ind w:right="481"/>
        <w:jc w:val="center"/>
        <w:rPr>
          <w:rFonts w:ascii="Arial" w:eastAsia="Arial" w:hAnsi="Arial" w:cs="Arial"/>
          <w:color w:val="201035"/>
          <w:sz w:val="36"/>
          <w:szCs w:val="36"/>
        </w:rPr>
      </w:pP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Period 1 report provided to Australian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Government Department of Health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in May 2018, covering data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submitted in respect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of</w:t>
      </w:r>
      <w:r>
        <w:rPr>
          <w:rFonts w:ascii="Arial" w:eastAsia="Arial" w:hAnsi="Arial" w:cs="Arial"/>
          <w:color w:val="201035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July to December 2017</w:t>
      </w:r>
    </w:p>
    <w:p w:rsidR="00F81628" w:rsidRDefault="00960247">
      <w:pPr>
        <w:spacing w:after="0" w:line="249" w:lineRule="auto"/>
        <w:ind w:left="450" w:right="276" w:hanging="450"/>
        <w:rPr>
          <w:rFonts w:ascii="Arial" w:eastAsia="Arial" w:hAnsi="Arial" w:cs="Arial"/>
          <w:color w:val="201035"/>
          <w:sz w:val="36"/>
          <w:szCs w:val="36"/>
        </w:rPr>
      </w:pP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Period 2 reporting has been recently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provided to HealthConsult covering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the period from November to April</w:t>
      </w:r>
      <w:r>
        <w:rPr>
          <w:rFonts w:ascii="Arial" w:eastAsia="Arial" w:hAnsi="Arial" w:cs="Arial"/>
          <w:color w:val="201035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2018 (time window changed to accommodate the identified lag in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data receipt)</w:t>
      </w:r>
    </w:p>
    <w:p w:rsidR="00F81628" w:rsidRDefault="00960247">
      <w:pPr>
        <w:spacing w:after="0" w:line="277" w:lineRule="auto"/>
        <w:ind w:left="720" w:right="2799" w:hanging="720"/>
        <w:rPr>
          <w:rFonts w:ascii="Arial" w:eastAsia="Arial" w:hAnsi="Arial" w:cs="Arial"/>
          <w:color w:val="201035"/>
          <w:sz w:val="36"/>
          <w:szCs w:val="36"/>
        </w:rPr>
      </w:pP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The reports produced currently cover the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 xml:space="preserve">following programs </w:t>
      </w: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MedsCheck and Diabetes MedsCheck</w:t>
      </w:r>
    </w:p>
    <w:p w:rsidR="00F81628" w:rsidRDefault="00960247">
      <w:pPr>
        <w:spacing w:after="0" w:line="277" w:lineRule="auto"/>
        <w:ind w:left="720" w:right="7679"/>
        <w:rPr>
          <w:rFonts w:ascii="Arial" w:eastAsia="Arial" w:hAnsi="Arial" w:cs="Arial"/>
          <w:color w:val="201035"/>
          <w:sz w:val="36"/>
          <w:szCs w:val="36"/>
        </w:rPr>
      </w:pP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 xml:space="preserve">Dose Administration Aids </w:t>
      </w: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Staged Supply</w:t>
      </w:r>
    </w:p>
    <w:p w:rsidR="00143D7C" w:rsidRDefault="00960247">
      <w:pPr>
        <w:spacing w:after="0" w:line="248" w:lineRule="auto"/>
        <w:ind w:left="450" w:right="-20" w:hanging="450"/>
        <w:rPr>
          <w:rFonts w:ascii="Arial" w:eastAsia="Arial" w:hAnsi="Arial" w:cs="Arial"/>
          <w:color w:val="201035"/>
          <w:sz w:val="36"/>
          <w:szCs w:val="36"/>
        </w:rPr>
      </w:pP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Gradual expansion and clarification of data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collection results in much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improved insight into the operations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of the programs</w:t>
      </w:r>
      <w:r>
        <w:rPr>
          <w:rFonts w:ascii="Arial" w:eastAsia="Arial" w:hAnsi="Arial" w:cs="Arial"/>
          <w:color w:val="20103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01035"/>
          <w:sz w:val="36"/>
          <w:szCs w:val="36"/>
        </w:rPr>
        <w:t>through analysis</w:t>
      </w:r>
    </w:p>
    <w:p w:rsidR="00143D7C" w:rsidRDefault="00143D7C" w:rsidP="00143D7C">
      <w:pPr>
        <w:rPr>
          <w:rFonts w:eastAsia="Arial"/>
        </w:rPr>
      </w:pPr>
      <w:r>
        <w:rPr>
          <w:rFonts w:eastAsia="Arial"/>
        </w:rPr>
        <w:br w:type="page"/>
      </w:r>
    </w:p>
    <w:p w:rsidR="00F81628" w:rsidRPr="00143D7C" w:rsidRDefault="00960247" w:rsidP="00143D7C">
      <w:pPr>
        <w:pStyle w:val="Heading2"/>
        <w:spacing w:before="0" w:line="240" w:lineRule="auto"/>
      </w:pPr>
      <w:r w:rsidRPr="00143D7C">
        <w:lastRenderedPageBreak/>
        <w:t>Task 2: Monitoring and reporting – some examples</w:t>
      </w:r>
    </w:p>
    <w:p w:rsidR="00F81628" w:rsidRPr="00143D7C" w:rsidRDefault="00143D7C" w:rsidP="00143D7C">
      <w:pPr>
        <w:spacing w:after="0" w:line="240" w:lineRule="auto"/>
        <w:rPr>
          <w:sz w:val="32"/>
          <w:szCs w:val="32"/>
        </w:rPr>
      </w:pPr>
      <w:r w:rsidRPr="00143D7C">
        <w:rPr>
          <w:sz w:val="32"/>
          <w:szCs w:val="32"/>
        </w:rPr>
        <w:t>Number of Staged Supply Collection Claims by Gender (Period 1 Report)</w:t>
      </w:r>
    </w:p>
    <w:p w:rsidR="00F81628" w:rsidRPr="00143D7C" w:rsidRDefault="00960247" w:rsidP="00143D7C">
      <w:pPr>
        <w:spacing w:after="0" w:line="240" w:lineRule="auto"/>
      </w:pPr>
      <w:r w:rsidRPr="00143D7C">
        <w:rPr>
          <w:noProof/>
          <w:lang w:val="en-AU" w:eastAsia="en-AU"/>
        </w:rPr>
        <w:drawing>
          <wp:inline distT="0" distB="0" distL="0" distR="0" wp14:anchorId="71CF9D25" wp14:editId="44CC84AF">
            <wp:extent cx="4916009" cy="1899729"/>
            <wp:effectExtent l="0" t="0" r="0" b="5715"/>
            <wp:docPr id="106" name="drawingObject106" descr="Pie chart showing number of Staged Supply collection claims by gender. 52.8% Male; 47% Female; 0.2% Intersex or Indeterminate; 0.1% Not Answered.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916009" cy="1899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D7C" w:rsidRPr="00143D7C" w:rsidRDefault="00143D7C" w:rsidP="00143D7C">
      <w:pPr>
        <w:spacing w:after="0" w:line="240" w:lineRule="auto"/>
        <w:rPr>
          <w:sz w:val="32"/>
          <w:szCs w:val="32"/>
        </w:rPr>
      </w:pPr>
      <w:r w:rsidRPr="00143D7C">
        <w:rPr>
          <w:sz w:val="32"/>
          <w:szCs w:val="32"/>
        </w:rPr>
        <w:t>Average number of prescription medicines by age group (Diabetes MedsCheck) (Period 1 Report)</w:t>
      </w:r>
    </w:p>
    <w:p w:rsidR="00143D7C" w:rsidRDefault="00143D7C" w:rsidP="00143D7C">
      <w:pPr>
        <w:spacing w:after="0" w:line="240" w:lineRule="auto"/>
      </w:pPr>
      <w:r w:rsidRPr="00143D7C">
        <w:rPr>
          <w:noProof/>
          <w:lang w:val="en-AU" w:eastAsia="en-AU"/>
        </w:rPr>
        <w:lastRenderedPageBreak/>
        <w:drawing>
          <wp:inline distT="0" distB="0" distL="0" distR="0" wp14:anchorId="619016B2" wp14:editId="6FC38A6B">
            <wp:extent cx="5949950" cy="2164080"/>
            <wp:effectExtent l="0" t="0" r="0" b="7620"/>
            <wp:docPr id="108" name="drawingObject108" descr="Bar graph showing the average number of prescription medicines by age group for Diabetes MedsCheck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94995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:rsidR="00F81628" w:rsidRDefault="00F81628">
      <w:pPr>
        <w:sectPr w:rsidR="00F816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4400" w:h="10800" w:orient="landscape"/>
          <w:pgMar w:top="1134" w:right="850" w:bottom="108" w:left="863" w:header="720" w:footer="720" w:gutter="0"/>
          <w:cols w:space="708"/>
        </w:sectPr>
      </w:pPr>
    </w:p>
    <w:p w:rsidR="00F81628" w:rsidRDefault="00960247" w:rsidP="00143D7C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3: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Evaluation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of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the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new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and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expanded</w:t>
      </w:r>
      <w:r>
        <w:rPr>
          <w:rFonts w:eastAsia="Arial"/>
          <w:spacing w:val="72"/>
        </w:rPr>
        <w:t xml:space="preserve"> </w:t>
      </w:r>
      <w:r>
        <w:rPr>
          <w:rFonts w:eastAsia="Arial"/>
          <w:spacing w:val="-19"/>
        </w:rPr>
        <w:t>p</w:t>
      </w:r>
      <w:r>
        <w:rPr>
          <w:rFonts w:eastAsia="Arial"/>
        </w:rPr>
        <w:t>rograms</w:t>
      </w:r>
    </w:p>
    <w:p w:rsidR="00F81628" w:rsidRDefault="00F8162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81628" w:rsidRDefault="00960247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>Key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evaluation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questions:</w:t>
      </w:r>
    </w:p>
    <w:p w:rsidR="00F81628" w:rsidRDefault="00F8162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81628" w:rsidRDefault="00960247">
      <w:pPr>
        <w:spacing w:after="0" w:line="250" w:lineRule="auto"/>
        <w:ind w:left="288" w:right="-20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Do the programs improve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patient’s understanding of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their medications and the importance of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adhering to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prescribed medication regime?</w:t>
      </w:r>
    </w:p>
    <w:p w:rsidR="00F81628" w:rsidRDefault="00960247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Do the programs improve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defined health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outcomes of patients?</w:t>
      </w:r>
    </w:p>
    <w:p w:rsidR="00F81628" w:rsidRDefault="00960247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Are the programs cost-effective?</w:t>
      </w:r>
    </w:p>
    <w:p w:rsidR="00143D7C" w:rsidRDefault="00960247">
      <w:pPr>
        <w:spacing w:after="0" w:line="250" w:lineRule="auto"/>
        <w:ind w:left="288" w:right="888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What are the barriers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and enablers to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providing effective patient-</w:t>
      </w:r>
      <w:proofErr w:type="spellStart"/>
      <w:r>
        <w:rPr>
          <w:rFonts w:ascii="Arial" w:eastAsia="Arial" w:hAnsi="Arial" w:cs="Arial"/>
          <w:color w:val="000000"/>
          <w:sz w:val="40"/>
          <w:szCs w:val="40"/>
        </w:rPr>
        <w:t>centred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 xml:space="preserve"> programs and how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can the programs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be strengthened?</w:t>
      </w:r>
    </w:p>
    <w:p w:rsidR="00143D7C" w:rsidRDefault="00143D7C" w:rsidP="00143D7C">
      <w:pPr>
        <w:rPr>
          <w:rFonts w:eastAsia="Arial"/>
        </w:rPr>
      </w:pPr>
      <w:r>
        <w:rPr>
          <w:rFonts w:eastAsia="Arial"/>
        </w:rPr>
        <w:br w:type="page"/>
      </w:r>
    </w:p>
    <w:p w:rsidR="00F81628" w:rsidRDefault="00960247" w:rsidP="00143D7C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3: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Evaluation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of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the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new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and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expanded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6CPA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programs</w:t>
      </w:r>
    </w:p>
    <w:p w:rsidR="00F81628" w:rsidRDefault="00F81628">
      <w:pPr>
        <w:spacing w:after="113" w:line="240" w:lineRule="exact"/>
        <w:rPr>
          <w:rFonts w:ascii="Arial" w:eastAsia="Arial" w:hAnsi="Arial" w:cs="Arial"/>
          <w:sz w:val="24"/>
          <w:szCs w:val="24"/>
        </w:rPr>
      </w:pPr>
    </w:p>
    <w:p w:rsidR="00F81628" w:rsidRDefault="00960247">
      <w:pPr>
        <w:tabs>
          <w:tab w:val="left" w:pos="450"/>
        </w:tabs>
        <w:spacing w:after="0" w:line="339" w:lineRule="auto"/>
        <w:ind w:right="5735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Develop evaluation frameworks for each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in-scope program </w:t>
      </w: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Obtain ethics and AIHW (for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linked data) approval</w:t>
      </w:r>
    </w:p>
    <w:p w:rsidR="00F81628" w:rsidRDefault="00960247">
      <w:pPr>
        <w:spacing w:after="0" w:line="250" w:lineRule="auto"/>
        <w:ind w:left="450" w:right="557" w:hanging="45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Recruitment of about 120 community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pharmacies (not all pharmacies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will be required to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collect on all programs as will be too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burdensome)</w:t>
      </w:r>
    </w:p>
    <w:p w:rsidR="00F81628" w:rsidRDefault="00960247">
      <w:pPr>
        <w:tabs>
          <w:tab w:val="left" w:pos="852"/>
        </w:tabs>
        <w:spacing w:before="60" w:after="0" w:line="240" w:lineRule="auto"/>
        <w:ind w:left="40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About 300 patients to be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recruited for MedsCheck only,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with an estimated 60%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follow-up rate</w:t>
      </w:r>
    </w:p>
    <w:p w:rsidR="00F81628" w:rsidRDefault="00960247">
      <w:pPr>
        <w:tabs>
          <w:tab w:val="left" w:pos="852"/>
        </w:tabs>
        <w:spacing w:before="74" w:after="0" w:line="295" w:lineRule="auto"/>
        <w:ind w:left="40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About 300 patients to be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recruited for Diabetes MedsCheck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only, with an estimated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60% follow-up rate </w:t>
      </w: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About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300 patients to be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recruited for Staged Supply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(SS) only, with an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estimated 60% follow-up rate</w:t>
      </w:r>
    </w:p>
    <w:p w:rsidR="00F81628" w:rsidRDefault="00960247">
      <w:pPr>
        <w:spacing w:after="0" w:line="250" w:lineRule="auto"/>
        <w:ind w:left="852" w:right="374" w:hanging="45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About 300 patients to be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recruited for Dose Administration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Aids (DAA) only, with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an estimated 60% follow-up rate</w:t>
      </w:r>
    </w:p>
    <w:p w:rsidR="00F81628" w:rsidRDefault="00960247">
      <w:pPr>
        <w:tabs>
          <w:tab w:val="left" w:pos="852"/>
        </w:tabs>
        <w:spacing w:before="60" w:after="0" w:line="240" w:lineRule="auto"/>
        <w:ind w:left="40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About 1800 patients recruited that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are participating in multiple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6CPA programs simultaneously</w:t>
      </w:r>
    </w:p>
    <w:p w:rsidR="00F81628" w:rsidRDefault="00F81628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50" w:lineRule="auto"/>
        <w:ind w:left="447" w:right="252" w:hanging="447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C5B01C"/>
          <w:spacing w:val="-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Recruitment of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consumers in each pharmacy will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occur between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01035"/>
          <w:sz w:val="28"/>
          <w:szCs w:val="28"/>
        </w:rPr>
        <w:t>1</w:t>
      </w:r>
      <w:proofErr w:type="spellStart"/>
      <w:r>
        <w:rPr>
          <w:rFonts w:ascii="Arial" w:eastAsia="Arial" w:hAnsi="Arial" w:cs="Arial"/>
          <w:b/>
          <w:bCs/>
          <w:color w:val="201035"/>
          <w:w w:val="103"/>
          <w:position w:val="8"/>
          <w:sz w:val="18"/>
          <w:szCs w:val="18"/>
        </w:rPr>
        <w:t>st</w:t>
      </w:r>
      <w:proofErr w:type="spellEnd"/>
      <w:r>
        <w:rPr>
          <w:rFonts w:ascii="Arial" w:eastAsia="Arial" w:hAnsi="Arial" w:cs="Arial"/>
          <w:color w:val="201035"/>
          <w:spacing w:val="29"/>
          <w:position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01035"/>
          <w:sz w:val="28"/>
          <w:szCs w:val="28"/>
        </w:rPr>
        <w:t>October</w:t>
      </w:r>
      <w:r>
        <w:rPr>
          <w:rFonts w:ascii="Arial" w:eastAsia="Arial" w:hAnsi="Arial" w:cs="Arial"/>
          <w:color w:val="20103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01035"/>
          <w:sz w:val="28"/>
          <w:szCs w:val="28"/>
        </w:rPr>
        <w:t>and</w:t>
      </w:r>
      <w:r>
        <w:rPr>
          <w:rFonts w:ascii="Arial" w:eastAsia="Arial" w:hAnsi="Arial" w:cs="Arial"/>
          <w:color w:val="20103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01035"/>
          <w:sz w:val="28"/>
          <w:szCs w:val="28"/>
        </w:rPr>
        <w:t>3</w:t>
      </w:r>
      <w:r>
        <w:rPr>
          <w:rFonts w:ascii="Arial" w:eastAsia="Arial" w:hAnsi="Arial" w:cs="Arial"/>
          <w:b/>
          <w:bCs/>
          <w:color w:val="201035"/>
          <w:spacing w:val="1"/>
          <w:sz w:val="28"/>
          <w:szCs w:val="28"/>
        </w:rPr>
        <w:t>1</w:t>
      </w:r>
      <w:proofErr w:type="spellStart"/>
      <w:r>
        <w:rPr>
          <w:rFonts w:ascii="Arial" w:eastAsia="Arial" w:hAnsi="Arial" w:cs="Arial"/>
          <w:b/>
          <w:bCs/>
          <w:color w:val="201035"/>
          <w:w w:val="103"/>
          <w:position w:val="8"/>
          <w:sz w:val="18"/>
          <w:szCs w:val="18"/>
        </w:rPr>
        <w:t>st</w:t>
      </w:r>
      <w:proofErr w:type="spellEnd"/>
      <w:r>
        <w:rPr>
          <w:rFonts w:ascii="Arial" w:eastAsia="Arial" w:hAnsi="Arial" w:cs="Arial"/>
          <w:color w:val="201035"/>
          <w:spacing w:val="29"/>
          <w:position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01035"/>
          <w:sz w:val="28"/>
          <w:szCs w:val="28"/>
        </w:rPr>
        <w:t>December</w:t>
      </w:r>
      <w:r>
        <w:rPr>
          <w:rFonts w:ascii="Arial" w:eastAsia="Arial" w:hAnsi="Arial" w:cs="Arial"/>
          <w:color w:val="20103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01035"/>
          <w:sz w:val="28"/>
          <w:szCs w:val="28"/>
        </w:rPr>
        <w:t>2018</w:t>
      </w:r>
      <w:r>
        <w:rPr>
          <w:rFonts w:ascii="Arial" w:eastAsia="Arial" w:hAnsi="Arial" w:cs="Arial"/>
          <w:color w:val="20103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with all follow-up data collection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completed by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30</w:t>
      </w:r>
      <w:proofErr w:type="spellStart"/>
      <w:r>
        <w:rPr>
          <w:rFonts w:ascii="Arial" w:eastAsia="Arial" w:hAnsi="Arial" w:cs="Arial"/>
          <w:b/>
          <w:bCs/>
          <w:color w:val="000000"/>
          <w:w w:val="103"/>
          <w:position w:val="8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pacing w:val="28"/>
          <w:position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June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2019</w:t>
      </w:r>
    </w:p>
    <w:p w:rsidR="00F81628" w:rsidRDefault="00F81628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50" w:lineRule="auto"/>
        <w:ind w:left="447" w:right="91" w:hanging="447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lastRenderedPageBreak/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C5B01C"/>
          <w:spacing w:val="-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Pharmacist to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collect required service level data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at two time points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on each consumer (initial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contact and at follow-up (6 months or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cessation of the service)</w:t>
      </w:r>
    </w:p>
    <w:p w:rsidR="00F81628" w:rsidRDefault="00F81628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490A14" w:rsidRDefault="00960247" w:rsidP="00490A14">
      <w:pPr>
        <w:spacing w:after="0" w:line="250" w:lineRule="auto"/>
        <w:ind w:left="447" w:right="60" w:hanging="447"/>
        <w:rPr>
          <w:rFonts w:eastAsia="Arial"/>
        </w:rPr>
      </w:pPr>
      <w:r>
        <w:rPr>
          <w:rFonts w:ascii="Arial" w:eastAsia="Arial" w:hAnsi="Arial" w:cs="Arial"/>
          <w:color w:val="C5B01C"/>
          <w:w w:val="103"/>
          <w:sz w:val="24"/>
          <w:szCs w:val="24"/>
        </w:rPr>
        <w:t>•</w:t>
      </w:r>
      <w:r>
        <w:rPr>
          <w:rFonts w:ascii="Arial" w:eastAsia="Arial" w:hAnsi="Arial" w:cs="Arial"/>
          <w:color w:val="C5B01C"/>
          <w:sz w:val="24"/>
          <w:szCs w:val="24"/>
        </w:rPr>
        <w:tab/>
      </w:r>
      <w:r>
        <w:rPr>
          <w:rFonts w:ascii="Arial" w:eastAsia="Arial" w:hAnsi="Arial" w:cs="Arial"/>
          <w:color w:val="C5B01C"/>
          <w:spacing w:val="-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Pharmacist to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provide consumers with a survey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at both time points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and collect the completed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surveys for postage to HealthConsult for data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entry.</w:t>
      </w:r>
      <w:r w:rsidR="00490A14">
        <w:rPr>
          <w:rFonts w:eastAsia="Arial"/>
        </w:rPr>
        <w:br w:type="page"/>
      </w:r>
    </w:p>
    <w:p w:rsidR="00F81628" w:rsidRDefault="00960247" w:rsidP="00490A14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3: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Evaluation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of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the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new/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expanded</w:t>
      </w:r>
      <w:r>
        <w:rPr>
          <w:rFonts w:eastAsia="Arial"/>
          <w:spacing w:val="71"/>
        </w:rPr>
        <w:t xml:space="preserve"> </w:t>
      </w:r>
      <w:r>
        <w:rPr>
          <w:rFonts w:eastAsia="Arial"/>
          <w:spacing w:val="-19"/>
        </w:rPr>
        <w:t>p</w:t>
      </w:r>
      <w:r>
        <w:rPr>
          <w:rFonts w:eastAsia="Arial"/>
        </w:rPr>
        <w:t>rograms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–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key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questions</w:t>
      </w:r>
    </w:p>
    <w:p w:rsidR="00F81628" w:rsidRDefault="00F81628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50" w:lineRule="auto"/>
        <w:ind w:left="555" w:right="1386" w:hanging="288"/>
        <w:rPr>
          <w:rFonts w:ascii="Arial" w:eastAsia="Arial" w:hAnsi="Arial" w:cs="Arial"/>
          <w:b/>
          <w:bCs/>
          <w:color w:val="000000"/>
          <w:sz w:val="38"/>
          <w:szCs w:val="38"/>
        </w:rPr>
      </w:pPr>
      <w:r>
        <w:rPr>
          <w:rFonts w:ascii="Arial" w:eastAsia="Arial" w:hAnsi="Arial" w:cs="Arial"/>
          <w:color w:val="C5B01C"/>
          <w:w w:val="101"/>
          <w:sz w:val="33"/>
          <w:szCs w:val="33"/>
        </w:rPr>
        <w:t>•</w:t>
      </w:r>
      <w:r>
        <w:rPr>
          <w:rFonts w:ascii="Arial" w:eastAsia="Arial" w:hAnsi="Arial" w:cs="Arial"/>
          <w:color w:val="C5B01C"/>
          <w:spacing w:val="79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Do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the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programs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improve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patients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understanding</w:t>
      </w:r>
      <w:r>
        <w:rPr>
          <w:rFonts w:ascii="Arial" w:eastAsia="Arial" w:hAnsi="Arial" w:cs="Arial"/>
          <w:color w:val="000000"/>
          <w:spacing w:val="-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of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their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medications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and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the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importance</w:t>
      </w:r>
      <w:r>
        <w:rPr>
          <w:rFonts w:ascii="Arial" w:eastAsia="Arial" w:hAnsi="Arial" w:cs="Arial"/>
          <w:color w:val="000000"/>
          <w:spacing w:val="-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of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adhering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to</w:t>
      </w:r>
      <w:r>
        <w:rPr>
          <w:rFonts w:ascii="Arial" w:eastAsia="Arial" w:hAnsi="Arial" w:cs="Arial"/>
          <w:color w:val="000000"/>
          <w:spacing w:val="-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the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prescribed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medication</w:t>
      </w:r>
      <w:r>
        <w:rPr>
          <w:rFonts w:ascii="Arial" w:eastAsia="Arial" w:hAnsi="Arial" w:cs="Arial"/>
          <w:color w:val="00000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8"/>
          <w:szCs w:val="38"/>
        </w:rPr>
        <w:t>regime?</w:t>
      </w:r>
    </w:p>
    <w:p w:rsidR="00F81628" w:rsidRDefault="00960247">
      <w:pPr>
        <w:spacing w:before="117" w:after="0" w:line="240" w:lineRule="auto"/>
        <w:ind w:left="699" w:right="-20"/>
        <w:rPr>
          <w:rFonts w:ascii="Arial" w:eastAsia="Arial" w:hAnsi="Arial" w:cs="Arial"/>
          <w:color w:val="000000"/>
          <w:sz w:val="34"/>
          <w:szCs w:val="34"/>
        </w:rPr>
      </w:pPr>
      <w:r>
        <w:rPr>
          <w:rFonts w:ascii="Arial" w:eastAsia="Arial" w:hAnsi="Arial" w:cs="Arial"/>
          <w:color w:val="C5B01C"/>
          <w:sz w:val="30"/>
          <w:szCs w:val="30"/>
        </w:rPr>
        <w:t>•</w:t>
      </w:r>
      <w:r>
        <w:rPr>
          <w:rFonts w:ascii="Arial" w:eastAsia="Arial" w:hAnsi="Arial" w:cs="Arial"/>
          <w:color w:val="C5B01C"/>
          <w:spacing w:val="100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Changes to a patient’s</w:t>
      </w:r>
      <w:r>
        <w:rPr>
          <w:rFonts w:ascii="Arial" w:eastAsia="Arial" w:hAnsi="Arial" w:cs="Arial"/>
          <w:color w:val="000000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medication profile as a</w:t>
      </w:r>
      <w:r>
        <w:rPr>
          <w:rFonts w:ascii="Arial" w:eastAsia="Arial" w:hAnsi="Arial" w:cs="Arial"/>
          <w:color w:val="000000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result of program</w:t>
      </w:r>
      <w:r>
        <w:rPr>
          <w:rFonts w:ascii="Arial" w:eastAsia="Arial" w:hAnsi="Arial" w:cs="Arial"/>
          <w:color w:val="000000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participation</w:t>
      </w:r>
    </w:p>
    <w:p w:rsidR="00F81628" w:rsidRDefault="00960247">
      <w:pPr>
        <w:spacing w:after="0" w:line="240" w:lineRule="auto"/>
        <w:ind w:left="699" w:right="-20"/>
        <w:rPr>
          <w:rFonts w:ascii="Arial" w:eastAsia="Arial" w:hAnsi="Arial" w:cs="Arial"/>
          <w:color w:val="000000"/>
          <w:sz w:val="34"/>
          <w:szCs w:val="34"/>
        </w:rPr>
      </w:pPr>
      <w:r>
        <w:rPr>
          <w:rFonts w:ascii="Arial" w:eastAsia="Arial" w:hAnsi="Arial" w:cs="Arial"/>
          <w:color w:val="C5B01C"/>
          <w:sz w:val="30"/>
          <w:szCs w:val="30"/>
        </w:rPr>
        <w:t>•</w:t>
      </w:r>
      <w:r>
        <w:rPr>
          <w:rFonts w:ascii="Arial" w:eastAsia="Arial" w:hAnsi="Arial" w:cs="Arial"/>
          <w:color w:val="C5B01C"/>
          <w:spacing w:val="100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Patient Reported Medication Adherence,</w:t>
      </w:r>
      <w:r>
        <w:rPr>
          <w:rFonts w:ascii="Arial" w:eastAsia="Arial" w:hAnsi="Arial" w:cs="Arial"/>
          <w:color w:val="000000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e.g.:</w:t>
      </w:r>
    </w:p>
    <w:p w:rsidR="00F81628" w:rsidRDefault="00960247">
      <w:pPr>
        <w:spacing w:before="86" w:after="0" w:line="240" w:lineRule="auto"/>
        <w:ind w:left="1131" w:right="-20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C5B01C"/>
          <w:sz w:val="28"/>
          <w:szCs w:val="28"/>
        </w:rPr>
        <w:t>•</w:t>
      </w:r>
      <w:r>
        <w:rPr>
          <w:rFonts w:ascii="Arial" w:eastAsia="Arial" w:hAnsi="Arial" w:cs="Arial"/>
          <w:color w:val="C5B01C"/>
          <w:spacing w:val="1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Adherence to Refills and Medications</w:t>
      </w:r>
      <w:r>
        <w:rPr>
          <w:rFonts w:ascii="Arial" w:eastAsia="Arial" w:hAnsi="Arial" w:cs="Arial"/>
          <w:color w:val="000000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Scales (ARMS)</w:t>
      </w:r>
    </w:p>
    <w:p w:rsidR="00F81628" w:rsidRDefault="00960247">
      <w:pPr>
        <w:spacing w:after="0" w:line="240" w:lineRule="auto"/>
        <w:ind w:left="699" w:right="-20"/>
        <w:rPr>
          <w:rFonts w:ascii="Arial" w:eastAsia="Arial" w:hAnsi="Arial" w:cs="Arial"/>
          <w:color w:val="000000"/>
          <w:sz w:val="34"/>
          <w:szCs w:val="34"/>
        </w:rPr>
      </w:pPr>
      <w:r>
        <w:rPr>
          <w:rFonts w:ascii="Arial" w:eastAsia="Arial" w:hAnsi="Arial" w:cs="Arial"/>
          <w:color w:val="C5B01C"/>
          <w:sz w:val="30"/>
          <w:szCs w:val="30"/>
        </w:rPr>
        <w:t>•</w:t>
      </w:r>
      <w:r>
        <w:rPr>
          <w:rFonts w:ascii="Arial" w:eastAsia="Arial" w:hAnsi="Arial" w:cs="Arial"/>
          <w:color w:val="C5B01C"/>
          <w:spacing w:val="100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Changes to patient reported satisfaction, e.g.:</w:t>
      </w:r>
    </w:p>
    <w:p w:rsidR="00F81628" w:rsidRDefault="00960247">
      <w:pPr>
        <w:spacing w:before="86" w:after="0" w:line="240" w:lineRule="auto"/>
        <w:ind w:left="1131" w:right="-20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C5B01C"/>
          <w:sz w:val="28"/>
          <w:szCs w:val="28"/>
        </w:rPr>
        <w:t>•</w:t>
      </w:r>
      <w:r>
        <w:rPr>
          <w:rFonts w:ascii="Arial" w:eastAsia="Arial" w:hAnsi="Arial" w:cs="Arial"/>
          <w:color w:val="C5B01C"/>
          <w:spacing w:val="1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Treatment Satisfaction Questionnaire for Medication</w:t>
      </w:r>
      <w:r>
        <w:rPr>
          <w:rFonts w:ascii="Arial" w:eastAsia="Arial" w:hAnsi="Arial" w:cs="Arial"/>
          <w:color w:val="000000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(TSQM)</w:t>
      </w:r>
    </w:p>
    <w:p w:rsidR="00F81628" w:rsidRDefault="00960247">
      <w:pPr>
        <w:spacing w:after="0" w:line="329" w:lineRule="auto"/>
        <w:ind w:left="1131" w:right="1373" w:hanging="431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C5B01C"/>
          <w:sz w:val="30"/>
          <w:szCs w:val="30"/>
        </w:rPr>
        <w:t>•</w:t>
      </w:r>
      <w:r>
        <w:rPr>
          <w:rFonts w:ascii="Arial" w:eastAsia="Arial" w:hAnsi="Arial" w:cs="Arial"/>
          <w:color w:val="C5B01C"/>
          <w:spacing w:val="100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Changes in patient reported</w:t>
      </w:r>
      <w:r>
        <w:rPr>
          <w:rFonts w:ascii="Arial" w:eastAsia="Arial" w:hAnsi="Arial" w:cs="Arial"/>
          <w:color w:val="000000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side-effects/reported adverse event(</w:t>
      </w:r>
      <w:r>
        <w:rPr>
          <w:rFonts w:ascii="Arial" w:eastAsia="Arial" w:hAnsi="Arial" w:cs="Arial"/>
          <w:color w:val="000000"/>
          <w:spacing w:val="5"/>
          <w:sz w:val="34"/>
          <w:szCs w:val="34"/>
        </w:rPr>
        <w:t>s</w:t>
      </w:r>
      <w:r>
        <w:rPr>
          <w:rFonts w:ascii="Arial" w:eastAsia="Arial" w:hAnsi="Arial" w:cs="Arial"/>
          <w:color w:val="000000"/>
          <w:sz w:val="34"/>
          <w:szCs w:val="34"/>
        </w:rPr>
        <w:t xml:space="preserve">) e.g.: </w:t>
      </w:r>
      <w:r>
        <w:rPr>
          <w:rFonts w:ascii="Arial" w:eastAsia="Arial" w:hAnsi="Arial" w:cs="Arial"/>
          <w:color w:val="C5B01C"/>
          <w:sz w:val="28"/>
          <w:szCs w:val="28"/>
        </w:rPr>
        <w:t>•</w:t>
      </w:r>
      <w:r>
        <w:rPr>
          <w:rFonts w:ascii="Arial" w:eastAsia="Arial" w:hAnsi="Arial" w:cs="Arial"/>
          <w:color w:val="C5B01C"/>
          <w:spacing w:val="1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Generic Assessment of Side Effects</w:t>
      </w:r>
      <w:r>
        <w:rPr>
          <w:rFonts w:ascii="Arial" w:eastAsia="Arial" w:hAnsi="Arial" w:cs="Arial"/>
          <w:color w:val="000000"/>
          <w:spacing w:val="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(GASE)</w:t>
      </w:r>
    </w:p>
    <w:p w:rsidR="00490A14" w:rsidRDefault="00960247" w:rsidP="00490A14">
      <w:pPr>
        <w:spacing w:after="0" w:line="326" w:lineRule="auto"/>
        <w:ind w:left="699" w:right="3552"/>
        <w:rPr>
          <w:rFonts w:eastAsia="Arial"/>
        </w:rPr>
      </w:pPr>
      <w:r>
        <w:rPr>
          <w:rFonts w:ascii="Arial" w:eastAsia="Arial" w:hAnsi="Arial" w:cs="Arial"/>
          <w:color w:val="C5B01C"/>
          <w:sz w:val="30"/>
          <w:szCs w:val="30"/>
        </w:rPr>
        <w:t>•</w:t>
      </w:r>
      <w:r>
        <w:rPr>
          <w:rFonts w:ascii="Arial" w:eastAsia="Arial" w:hAnsi="Arial" w:cs="Arial"/>
          <w:color w:val="C5B01C"/>
          <w:spacing w:val="100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Changes as witnessed by</w:t>
      </w:r>
      <w:r>
        <w:rPr>
          <w:rFonts w:ascii="Arial" w:eastAsia="Arial" w:hAnsi="Arial" w:cs="Arial"/>
          <w:color w:val="000000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stakeholders and pharmacists</w:t>
      </w:r>
      <w:r>
        <w:rPr>
          <w:rFonts w:ascii="Arial" w:eastAsia="Arial" w:hAnsi="Arial" w:cs="Arial"/>
          <w:color w:val="000000"/>
          <w:spacing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C5B01C"/>
          <w:sz w:val="30"/>
          <w:szCs w:val="30"/>
        </w:rPr>
        <w:t>•</w:t>
      </w:r>
      <w:r>
        <w:rPr>
          <w:rFonts w:ascii="Arial" w:eastAsia="Arial" w:hAnsi="Arial" w:cs="Arial"/>
          <w:color w:val="C5B01C"/>
          <w:spacing w:val="100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Program Monitoring Reports (Attachment</w:t>
      </w:r>
      <w:r>
        <w:rPr>
          <w:rFonts w:ascii="Arial" w:eastAsia="Arial" w:hAnsi="Arial" w:cs="Arial"/>
          <w:color w:val="000000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</w:rPr>
        <w:t>A submissions)</w:t>
      </w:r>
      <w:r w:rsidR="00490A14">
        <w:rPr>
          <w:rFonts w:eastAsia="Arial"/>
        </w:rPr>
        <w:br w:type="page"/>
      </w:r>
    </w:p>
    <w:p w:rsidR="00F81628" w:rsidRDefault="00960247" w:rsidP="00490A14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3: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Evaluation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of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the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new/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expanded</w:t>
      </w:r>
      <w:r>
        <w:rPr>
          <w:rFonts w:eastAsia="Arial"/>
          <w:spacing w:val="71"/>
        </w:rPr>
        <w:t xml:space="preserve"> </w:t>
      </w:r>
      <w:r>
        <w:rPr>
          <w:rFonts w:eastAsia="Arial"/>
          <w:spacing w:val="-19"/>
        </w:rPr>
        <w:t>p</w:t>
      </w:r>
      <w:r>
        <w:rPr>
          <w:rFonts w:eastAsia="Arial"/>
        </w:rPr>
        <w:t>rograms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–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key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questions</w:t>
      </w:r>
    </w:p>
    <w:p w:rsidR="00F81628" w:rsidRDefault="00F8162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50" w:lineRule="auto"/>
        <w:ind w:left="527" w:right="1708" w:hanging="288"/>
        <w:rPr>
          <w:rFonts w:ascii="Arial" w:eastAsia="Arial" w:hAnsi="Arial" w:cs="Arial"/>
          <w:b/>
          <w:bCs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Do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the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programs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improve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the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defined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health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outcomes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of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patients?</w:t>
      </w:r>
    </w:p>
    <w:p w:rsidR="00F81628" w:rsidRDefault="00960247">
      <w:pPr>
        <w:spacing w:after="0" w:line="296" w:lineRule="auto"/>
        <w:ind w:left="1103" w:right="5767" w:hanging="431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Improvements in medication adherence: </w:t>
      </w:r>
      <w:r>
        <w:rPr>
          <w:rFonts w:ascii="Arial" w:eastAsia="Arial" w:hAnsi="Arial" w:cs="Arial"/>
          <w:color w:val="C5B01C"/>
          <w:w w:val="103"/>
          <w:sz w:val="29"/>
          <w:szCs w:val="29"/>
        </w:rPr>
        <w:t>•</w:t>
      </w:r>
      <w:r>
        <w:rPr>
          <w:rFonts w:ascii="Arial" w:eastAsia="Arial" w:hAnsi="Arial" w:cs="Arial"/>
          <w:color w:val="C5B01C"/>
          <w:spacing w:val="103"/>
          <w:sz w:val="29"/>
          <w:szCs w:val="29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32"/>
          <w:szCs w:val="32"/>
        </w:rPr>
        <w:t>MedsIndex</w:t>
      </w:r>
      <w:proofErr w:type="spellEnd"/>
    </w:p>
    <w:p w:rsidR="00F81628" w:rsidRDefault="00960247">
      <w:pPr>
        <w:spacing w:after="0" w:line="240" w:lineRule="auto"/>
        <w:ind w:left="1103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C5B01C"/>
          <w:w w:val="103"/>
          <w:sz w:val="29"/>
          <w:szCs w:val="29"/>
        </w:rPr>
        <w:t>•</w:t>
      </w:r>
      <w:r>
        <w:rPr>
          <w:rFonts w:ascii="Arial" w:eastAsia="Arial" w:hAnsi="Arial" w:cs="Arial"/>
          <w:color w:val="C5B01C"/>
          <w:spacing w:val="103"/>
          <w:sz w:val="29"/>
          <w:szCs w:val="29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Adherence to Refills and Medications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Scales (ARMS)</w:t>
      </w:r>
    </w:p>
    <w:p w:rsidR="00F81628" w:rsidRDefault="00960247">
      <w:pPr>
        <w:spacing w:after="0" w:line="293" w:lineRule="auto"/>
        <w:ind w:left="1103" w:right="5868" w:hanging="431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Changes in health related quality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of life: </w:t>
      </w:r>
      <w:r>
        <w:rPr>
          <w:rFonts w:ascii="Arial" w:eastAsia="Arial" w:hAnsi="Arial" w:cs="Arial"/>
          <w:color w:val="C5B01C"/>
          <w:w w:val="103"/>
          <w:sz w:val="29"/>
          <w:szCs w:val="29"/>
        </w:rPr>
        <w:t>•</w:t>
      </w:r>
      <w:r>
        <w:rPr>
          <w:rFonts w:ascii="Arial" w:eastAsia="Arial" w:hAnsi="Arial" w:cs="Arial"/>
          <w:color w:val="C5B01C"/>
          <w:spacing w:val="103"/>
          <w:sz w:val="29"/>
          <w:szCs w:val="29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Assessment of Quality of Life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4D</w:t>
      </w:r>
    </w:p>
    <w:p w:rsidR="00F81628" w:rsidRDefault="00960247">
      <w:pPr>
        <w:spacing w:after="0" w:line="240" w:lineRule="auto"/>
        <w:ind w:left="671"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Changes in patient reported side-effects/reported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adverse event(s)</w:t>
      </w:r>
    </w:p>
    <w:p w:rsidR="00F81628" w:rsidRDefault="00960247">
      <w:pPr>
        <w:spacing w:after="0" w:line="240" w:lineRule="auto"/>
        <w:ind w:left="671"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Changes as witnessed by stakeholders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and pharmacists</w:t>
      </w:r>
    </w:p>
    <w:p w:rsidR="00490A14" w:rsidRDefault="00960247" w:rsidP="00490A14">
      <w:pPr>
        <w:spacing w:after="0" w:line="240" w:lineRule="auto"/>
        <w:ind w:left="671" w:right="-20"/>
        <w:rPr>
          <w:rFonts w:eastAsia="Arial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Program Monitoring Reports (Attachment A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submissions)</w:t>
      </w:r>
      <w:r w:rsidR="00490A14">
        <w:rPr>
          <w:rFonts w:eastAsia="Arial"/>
        </w:rPr>
        <w:br w:type="page"/>
      </w:r>
    </w:p>
    <w:p w:rsidR="00F81628" w:rsidRDefault="00960247" w:rsidP="00490A14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3: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Evaluation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of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the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new/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expanded</w:t>
      </w:r>
      <w:r>
        <w:rPr>
          <w:rFonts w:eastAsia="Arial"/>
          <w:spacing w:val="71"/>
        </w:rPr>
        <w:t xml:space="preserve"> </w:t>
      </w:r>
      <w:r>
        <w:rPr>
          <w:rFonts w:eastAsia="Arial"/>
          <w:spacing w:val="-19"/>
        </w:rPr>
        <w:t>p</w:t>
      </w:r>
      <w:r>
        <w:rPr>
          <w:rFonts w:eastAsia="Arial"/>
        </w:rPr>
        <w:t>rograms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–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key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questions</w:t>
      </w:r>
    </w:p>
    <w:p w:rsidR="00F81628" w:rsidRDefault="00F8162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Are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the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programs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cost-effective?</w:t>
      </w:r>
    </w:p>
    <w:p w:rsidR="00F81628" w:rsidRDefault="00960247">
      <w:pPr>
        <w:spacing w:after="0" w:line="250" w:lineRule="auto"/>
        <w:ind w:left="566" w:right="243" w:hanging="288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Outcome-based measures collected as part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of the</w:t>
      </w:r>
      <w:r>
        <w:rPr>
          <w:rFonts w:ascii="Arial" w:eastAsia="Arial" w:hAnsi="Arial" w:cs="Arial"/>
          <w:color w:val="000000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evaluation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phas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e</w:t>
      </w:r>
      <w:r>
        <w:rPr>
          <w:rFonts w:ascii="Arial" w:eastAsia="Arial" w:hAnsi="Arial" w:cs="Arial"/>
          <w:color w:val="000000"/>
          <w:sz w:val="36"/>
          <w:szCs w:val="36"/>
        </w:rPr>
        <w:t>, linked to costing study estimates identified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in the 6CPA</w:t>
      </w:r>
      <w:r>
        <w:rPr>
          <w:rFonts w:ascii="Arial" w:eastAsia="Arial" w:hAnsi="Arial" w:cs="Arial"/>
          <w:color w:val="000000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costing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phase</w:t>
      </w:r>
      <w:r>
        <w:rPr>
          <w:rFonts w:ascii="Arial" w:eastAsia="Arial" w:hAnsi="Arial" w:cs="Arial"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(Task 4).</w:t>
      </w:r>
    </w:p>
    <w:p w:rsidR="00F81628" w:rsidRDefault="00960247">
      <w:pPr>
        <w:spacing w:after="0" w:line="250" w:lineRule="auto"/>
        <w:ind w:left="566" w:right="190" w:hanging="288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Following assessments made for participants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in a single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6CPA program as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well as participants in one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or more 6CPA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programs (to assess possible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synergistic effects of multiple programs).</w:t>
      </w:r>
    </w:p>
    <w:p w:rsidR="00F81628" w:rsidRDefault="00960247">
      <w:pPr>
        <w:spacing w:before="119" w:after="0" w:line="240" w:lineRule="auto"/>
        <w:ind w:left="278"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Cost per unit change in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primary outcome measures</w:t>
      </w:r>
    </w:p>
    <w:p w:rsidR="00F81628" w:rsidRDefault="00960247">
      <w:pPr>
        <w:spacing w:before="75" w:after="0" w:line="289" w:lineRule="auto"/>
        <w:ind w:left="562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C5B01C"/>
          <w:w w:val="103"/>
          <w:sz w:val="29"/>
          <w:szCs w:val="29"/>
        </w:rPr>
        <w:t>•</w:t>
      </w:r>
      <w:r>
        <w:rPr>
          <w:rFonts w:ascii="Arial" w:eastAsia="Arial" w:hAnsi="Arial" w:cs="Arial"/>
          <w:color w:val="C5B01C"/>
          <w:spacing w:val="103"/>
          <w:sz w:val="29"/>
          <w:szCs w:val="29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Cost per unit change (baseline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to six months/cessation)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in patient-reported Quality of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Life </w:t>
      </w:r>
      <w:r>
        <w:rPr>
          <w:rFonts w:ascii="Arial" w:eastAsia="Arial" w:hAnsi="Arial" w:cs="Arial"/>
          <w:color w:val="C5B01C"/>
          <w:w w:val="103"/>
          <w:sz w:val="29"/>
          <w:szCs w:val="29"/>
        </w:rPr>
        <w:t>•</w:t>
      </w:r>
      <w:r>
        <w:rPr>
          <w:rFonts w:ascii="Arial" w:eastAsia="Arial" w:hAnsi="Arial" w:cs="Arial"/>
          <w:color w:val="C5B01C"/>
          <w:spacing w:val="103"/>
          <w:sz w:val="29"/>
          <w:szCs w:val="29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Cost per unit change (baseline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to six months/cessation)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in treatment satisfaction</w:t>
      </w:r>
    </w:p>
    <w:p w:rsidR="00F81628" w:rsidRDefault="00960247">
      <w:pPr>
        <w:spacing w:after="0" w:line="240" w:lineRule="auto"/>
        <w:ind w:left="562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C5B01C"/>
          <w:w w:val="103"/>
          <w:sz w:val="29"/>
          <w:szCs w:val="29"/>
        </w:rPr>
        <w:t>•</w:t>
      </w:r>
      <w:r>
        <w:rPr>
          <w:rFonts w:ascii="Arial" w:eastAsia="Arial" w:hAnsi="Arial" w:cs="Arial"/>
          <w:color w:val="C5B01C"/>
          <w:spacing w:val="103"/>
          <w:sz w:val="29"/>
          <w:szCs w:val="29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Cost per unit change (baseline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to six months/cessation)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in medication adherence</w:t>
      </w:r>
    </w:p>
    <w:p w:rsidR="00F81628" w:rsidRDefault="00960247">
      <w:pPr>
        <w:spacing w:after="0" w:line="320" w:lineRule="auto"/>
        <w:ind w:left="278" w:right="2767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lastRenderedPageBreak/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Change in health care resource use (pre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and post intervention) </w:t>
      </w: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Pharmacists perception of cost-effectiveness</w:t>
      </w:r>
    </w:p>
    <w:p w:rsidR="00490A14" w:rsidRDefault="00960247" w:rsidP="00490A14">
      <w:pPr>
        <w:spacing w:after="0" w:line="240" w:lineRule="auto"/>
        <w:ind w:left="278" w:right="-20"/>
        <w:rPr>
          <w:rFonts w:eastAsia="Arial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Stakeholder perception of cost-effectiveness</w:t>
      </w:r>
      <w:r w:rsidR="00490A14">
        <w:rPr>
          <w:rFonts w:eastAsia="Arial"/>
        </w:rPr>
        <w:br w:type="page"/>
      </w:r>
    </w:p>
    <w:p w:rsidR="00F81628" w:rsidRDefault="00960247" w:rsidP="00490A14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3: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Evaluation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of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the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new/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expanded</w:t>
      </w:r>
      <w:r>
        <w:rPr>
          <w:rFonts w:eastAsia="Arial"/>
          <w:spacing w:val="71"/>
        </w:rPr>
        <w:t xml:space="preserve"> </w:t>
      </w:r>
      <w:r>
        <w:rPr>
          <w:rFonts w:eastAsia="Arial"/>
          <w:spacing w:val="-19"/>
        </w:rPr>
        <w:t>p</w:t>
      </w:r>
      <w:r>
        <w:rPr>
          <w:rFonts w:eastAsia="Arial"/>
        </w:rPr>
        <w:t>rograms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–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key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questions</w:t>
      </w:r>
    </w:p>
    <w:p w:rsidR="00F81628" w:rsidRDefault="00F8162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50" w:lineRule="auto"/>
        <w:ind w:left="473" w:right="1340" w:hanging="288"/>
        <w:rPr>
          <w:rFonts w:ascii="Arial" w:eastAsia="Arial" w:hAnsi="Arial" w:cs="Arial"/>
          <w:b/>
          <w:bCs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What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are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the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barriers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and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enablers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to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providing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an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effective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patient-</w:t>
      </w:r>
      <w:proofErr w:type="spellStart"/>
      <w:r>
        <w:rPr>
          <w:rFonts w:ascii="Arial" w:eastAsia="Arial" w:hAnsi="Arial" w:cs="Arial"/>
          <w:b/>
          <w:bCs/>
          <w:color w:val="000000"/>
          <w:sz w:val="40"/>
          <w:szCs w:val="40"/>
        </w:rPr>
        <w:t>centred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programs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and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how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the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programs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be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strengthened?</w:t>
      </w:r>
    </w:p>
    <w:p w:rsidR="00F81628" w:rsidRDefault="00960247">
      <w:pPr>
        <w:spacing w:after="0" w:line="240" w:lineRule="auto"/>
        <w:ind w:left="617"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Patient satisfaction with the service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(weighted with other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factors)</w:t>
      </w:r>
    </w:p>
    <w:p w:rsidR="00F81628" w:rsidRDefault="00960247">
      <w:pPr>
        <w:spacing w:after="0" w:line="240" w:lineRule="auto"/>
        <w:ind w:left="617"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Stakeholder and pharmacist opinions</w:t>
      </w:r>
    </w:p>
    <w:p w:rsidR="00490A14" w:rsidRDefault="00960247" w:rsidP="00490A14">
      <w:pPr>
        <w:spacing w:after="0" w:line="240" w:lineRule="auto"/>
        <w:ind w:left="617" w:right="-20"/>
        <w:rPr>
          <w:rFonts w:eastAsia="Arial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Analysis of case study sites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(pharmacies)</w:t>
      </w:r>
      <w:r w:rsidR="00490A14">
        <w:rPr>
          <w:rFonts w:eastAsia="Arial"/>
        </w:rPr>
        <w:br w:type="page"/>
      </w:r>
    </w:p>
    <w:p w:rsidR="00F81628" w:rsidRDefault="00960247" w:rsidP="00490A14">
      <w:pPr>
        <w:pStyle w:val="Heading2"/>
        <w:rPr>
          <w:rFonts w:eastAsia="Arial"/>
        </w:rPr>
      </w:pPr>
      <w:r>
        <w:rPr>
          <w:rFonts w:eastAsia="Arial"/>
          <w:b/>
        </w:rPr>
        <w:lastRenderedPageBreak/>
        <w:t>Task</w:t>
      </w:r>
      <w:r>
        <w:rPr>
          <w:rFonts w:eastAsia="Arial"/>
          <w:spacing w:val="-40"/>
        </w:rPr>
        <w:t xml:space="preserve"> </w:t>
      </w:r>
      <w:r>
        <w:rPr>
          <w:rFonts w:eastAsia="Arial"/>
          <w:b/>
        </w:rPr>
        <w:t>4:</w:t>
      </w:r>
      <w:r>
        <w:rPr>
          <w:rFonts w:eastAsia="Arial"/>
          <w:spacing w:val="-39"/>
        </w:rPr>
        <w:t xml:space="preserve"> </w:t>
      </w:r>
      <w:r>
        <w:rPr>
          <w:rFonts w:eastAsia="Arial"/>
        </w:rPr>
        <w:t>Activity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based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costing</w:t>
      </w:r>
    </w:p>
    <w:p w:rsidR="00F81628" w:rsidRDefault="00F8162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F81628" w:rsidRDefault="00960247">
      <w:pPr>
        <w:spacing w:after="0" w:line="250" w:lineRule="auto"/>
        <w:ind w:left="450" w:right="1393" w:hanging="45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Recruit 20 pharmacies to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be involved in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costing DAA and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SS programs</w:t>
      </w:r>
    </w:p>
    <w:p w:rsidR="00F81628" w:rsidRDefault="00960247">
      <w:pPr>
        <w:spacing w:after="0" w:line="250" w:lineRule="auto"/>
        <w:ind w:left="450" w:right="204" w:hanging="45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Conduct costing for SS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and DAA programs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between </w:t>
      </w:r>
      <w:r>
        <w:rPr>
          <w:rFonts w:ascii="Arial" w:eastAsia="Arial" w:hAnsi="Arial" w:cs="Arial"/>
          <w:color w:val="000000"/>
          <w:spacing w:val="6"/>
          <w:sz w:val="40"/>
          <w:szCs w:val="40"/>
        </w:rPr>
        <w:t>1</w:t>
      </w:r>
      <w:proofErr w:type="spellStart"/>
      <w:r>
        <w:rPr>
          <w:rFonts w:ascii="Arial" w:eastAsia="Arial" w:hAnsi="Arial" w:cs="Arial"/>
          <w:color w:val="000000"/>
          <w:w w:val="102"/>
          <w:position w:val="12"/>
          <w:sz w:val="26"/>
          <w:szCs w:val="26"/>
        </w:rPr>
        <w:t>s</w:t>
      </w:r>
      <w:r>
        <w:rPr>
          <w:rFonts w:ascii="Arial" w:eastAsia="Arial" w:hAnsi="Arial" w:cs="Arial"/>
          <w:color w:val="000000"/>
          <w:w w:val="101"/>
          <w:position w:val="12"/>
          <w:sz w:val="26"/>
          <w:szCs w:val="26"/>
        </w:rPr>
        <w:t>t</w:t>
      </w:r>
      <w:proofErr w:type="spellEnd"/>
      <w:r>
        <w:rPr>
          <w:rFonts w:ascii="Arial" w:eastAsia="Arial" w:hAnsi="Arial" w:cs="Arial"/>
          <w:color w:val="000000"/>
          <w:spacing w:val="39"/>
          <w:position w:val="12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February to 10</w:t>
      </w:r>
      <w:proofErr w:type="spellStart"/>
      <w:r>
        <w:rPr>
          <w:rFonts w:ascii="Arial" w:eastAsia="Arial" w:hAnsi="Arial" w:cs="Arial"/>
          <w:color w:val="000000"/>
          <w:w w:val="101"/>
          <w:position w:val="12"/>
          <w:sz w:val="26"/>
          <w:szCs w:val="26"/>
        </w:rPr>
        <w:t>t</w:t>
      </w:r>
      <w:r>
        <w:rPr>
          <w:rFonts w:ascii="Arial" w:eastAsia="Arial" w:hAnsi="Arial" w:cs="Arial"/>
          <w:color w:val="000000"/>
          <w:w w:val="102"/>
          <w:position w:val="12"/>
          <w:sz w:val="26"/>
          <w:szCs w:val="26"/>
        </w:rPr>
        <w:t>h</w:t>
      </w:r>
      <w:proofErr w:type="spellEnd"/>
      <w:r>
        <w:rPr>
          <w:rFonts w:ascii="Arial" w:eastAsia="Arial" w:hAnsi="Arial" w:cs="Arial"/>
          <w:color w:val="000000"/>
          <w:spacing w:val="38"/>
          <w:position w:val="12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August 2018 – field work completed,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results being processed.</w:t>
      </w:r>
    </w:p>
    <w:p w:rsidR="00F81628" w:rsidRDefault="00960247">
      <w:pPr>
        <w:spacing w:after="0" w:line="250" w:lineRule="auto"/>
        <w:ind w:left="450" w:right="814" w:hanging="45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Recruit 20 pharmacies and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10 independent pharmacists to be involved in costing MedsCheck,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Diabetes MedsCheck and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HMR</w:t>
      </w:r>
    </w:p>
    <w:p w:rsidR="00490A14" w:rsidRDefault="00960247" w:rsidP="00490A14">
      <w:pPr>
        <w:spacing w:after="0" w:line="250" w:lineRule="auto"/>
        <w:ind w:left="450" w:right="636" w:hanging="450"/>
        <w:rPr>
          <w:rFonts w:eastAsia="Arial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23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Conduct costing for MedsCheck,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Diabetes MedsCheck and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HMR programs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 xml:space="preserve">between 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>1</w:t>
      </w:r>
      <w:proofErr w:type="spellStart"/>
      <w:r>
        <w:rPr>
          <w:rFonts w:ascii="Arial" w:eastAsia="Arial" w:hAnsi="Arial" w:cs="Arial"/>
          <w:color w:val="000000"/>
          <w:w w:val="102"/>
          <w:position w:val="12"/>
          <w:sz w:val="26"/>
          <w:szCs w:val="26"/>
        </w:rPr>
        <w:t>s</w:t>
      </w:r>
      <w:r>
        <w:rPr>
          <w:rFonts w:ascii="Arial" w:eastAsia="Arial" w:hAnsi="Arial" w:cs="Arial"/>
          <w:color w:val="000000"/>
          <w:w w:val="101"/>
          <w:position w:val="12"/>
          <w:sz w:val="26"/>
          <w:szCs w:val="26"/>
        </w:rPr>
        <w:t>t</w:t>
      </w:r>
      <w:proofErr w:type="spellEnd"/>
      <w:r>
        <w:rPr>
          <w:rFonts w:ascii="Arial" w:eastAsia="Arial" w:hAnsi="Arial" w:cs="Arial"/>
          <w:color w:val="000000"/>
          <w:spacing w:val="38"/>
          <w:position w:val="12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August to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15</w:t>
      </w:r>
      <w:proofErr w:type="spellStart"/>
      <w:r>
        <w:rPr>
          <w:rFonts w:ascii="Arial" w:eastAsia="Arial" w:hAnsi="Arial" w:cs="Arial"/>
          <w:color w:val="000000"/>
          <w:w w:val="101"/>
          <w:position w:val="12"/>
          <w:sz w:val="26"/>
          <w:szCs w:val="26"/>
        </w:rPr>
        <w:t>t</w:t>
      </w:r>
      <w:r>
        <w:rPr>
          <w:rFonts w:ascii="Arial" w:eastAsia="Arial" w:hAnsi="Arial" w:cs="Arial"/>
          <w:color w:val="000000"/>
          <w:w w:val="102"/>
          <w:position w:val="12"/>
          <w:sz w:val="26"/>
          <w:szCs w:val="26"/>
        </w:rPr>
        <w:t>h</w:t>
      </w:r>
      <w:proofErr w:type="spellEnd"/>
      <w:r>
        <w:rPr>
          <w:rFonts w:ascii="Arial" w:eastAsia="Arial" w:hAnsi="Arial" w:cs="Arial"/>
          <w:color w:val="000000"/>
          <w:spacing w:val="38"/>
          <w:position w:val="12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February 2019</w:t>
      </w:r>
      <w:proofErr w:type="gramEnd"/>
      <w:r w:rsidR="00490A14">
        <w:rPr>
          <w:rFonts w:eastAsia="Arial"/>
        </w:rPr>
        <w:br w:type="page"/>
      </w:r>
    </w:p>
    <w:p w:rsidR="00F81628" w:rsidRPr="00490A14" w:rsidRDefault="00490A14" w:rsidP="00490A14">
      <w:pPr>
        <w:pStyle w:val="Heading2"/>
      </w:pPr>
      <w:r w:rsidRPr="00490A14">
        <w:lastRenderedPageBreak/>
        <w:t xml:space="preserve">Task 4: Activity based costing process flow diagram – an example </w:t>
      </w:r>
    </w:p>
    <w:p w:rsidR="00490A14" w:rsidRDefault="00490A14" w:rsidP="00490A14">
      <w:pPr>
        <w:rPr>
          <w:rFonts w:eastAsia="Arial"/>
        </w:rPr>
      </w:pPr>
      <w:r w:rsidRPr="00490A14">
        <w:rPr>
          <w:noProof/>
          <w:lang w:val="en-AU" w:eastAsia="en-AU"/>
        </w:rPr>
        <w:lastRenderedPageBreak/>
        <w:drawing>
          <wp:inline distT="0" distB="0" distL="0" distR="0" wp14:anchorId="49ED575E" wp14:editId="313D8E5C">
            <wp:extent cx="7956071" cy="4588738"/>
            <wp:effectExtent l="0" t="0" r="6985" b="2540"/>
            <wp:docPr id="197" name="drawingObject197" descr="An example of a flow chart for the activity based costing process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956071" cy="4588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/>
        </w:rPr>
        <w:br w:type="page"/>
      </w:r>
    </w:p>
    <w:p w:rsidR="00F81628" w:rsidRPr="00BC65AA" w:rsidRDefault="00960247" w:rsidP="00BC65AA">
      <w:pPr>
        <w:pStyle w:val="Heading2"/>
      </w:pPr>
      <w:r w:rsidRPr="00BC65AA">
        <w:lastRenderedPageBreak/>
        <w:t>Task 5: Suggested refinements to the programs moving forward</w:t>
      </w:r>
    </w:p>
    <w:p w:rsidR="00BC65AA" w:rsidRDefault="00BC65AA" w:rsidP="00BC65AA">
      <w:pPr>
        <w:jc w:val="center"/>
      </w:pPr>
      <w:r w:rsidRPr="00BC65AA">
        <w:rPr>
          <w:noProof/>
          <w:lang w:val="en-AU" w:eastAsia="en-AU"/>
        </w:rPr>
        <w:drawing>
          <wp:inline distT="0" distB="0" distL="0" distR="0" wp14:anchorId="7FEAE579" wp14:editId="71725C39">
            <wp:extent cx="2724150" cy="1905000"/>
            <wp:effectExtent l="0" t="0" r="0" b="0"/>
            <wp:docPr id="210" name="drawingObject210" descr="A sign that reads 'under construction'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7241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:rsidR="00F81628" w:rsidRDefault="00960247" w:rsidP="000B03C4">
      <w:pPr>
        <w:pStyle w:val="Heading2"/>
        <w:rPr>
          <w:rFonts w:eastAsia="Arial"/>
        </w:rPr>
      </w:pPr>
      <w:r>
        <w:rPr>
          <w:rFonts w:eastAsia="Arial"/>
        </w:rPr>
        <w:lastRenderedPageBreak/>
        <w:t>How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can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stakeholders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contribute/participate?</w:t>
      </w:r>
    </w:p>
    <w:p w:rsidR="00F81628" w:rsidRDefault="00F81628">
      <w:pPr>
        <w:spacing w:after="85" w:line="240" w:lineRule="exact"/>
        <w:rPr>
          <w:rFonts w:ascii="Arial" w:eastAsia="Arial" w:hAnsi="Arial" w:cs="Arial"/>
          <w:sz w:val="24"/>
          <w:szCs w:val="24"/>
        </w:rPr>
      </w:pPr>
    </w:p>
    <w:p w:rsidR="00F81628" w:rsidRDefault="00960247">
      <w:pPr>
        <w:spacing w:after="0" w:line="225" w:lineRule="auto"/>
        <w:ind w:left="288" w:right="-20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Case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study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sites: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Engagement from case study sites essential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to ensure a representative perspective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the programs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and their</w:t>
      </w:r>
      <w:r>
        <w:rPr>
          <w:rFonts w:ascii="Arial" w:eastAsia="Arial" w:hAnsi="Arial" w:cs="Arial"/>
          <w:color w:val="000000"/>
          <w:spacing w:val="36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national </w:t>
      </w:r>
      <w:proofErr w:type="spellStart"/>
      <w:r>
        <w:rPr>
          <w:rFonts w:ascii="Arial" w:eastAsia="Arial" w:hAnsi="Arial" w:cs="Arial"/>
          <w:color w:val="000000"/>
          <w:sz w:val="40"/>
          <w:szCs w:val="40"/>
        </w:rPr>
        <w:t>implementaion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>, identifying their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weaknesses and strengths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at a ‘grass roots’ level.</w:t>
      </w:r>
    </w:p>
    <w:p w:rsidR="00F81628" w:rsidRDefault="00960247">
      <w:pPr>
        <w:spacing w:before="96" w:after="0" w:line="225" w:lineRule="auto"/>
        <w:ind w:left="288" w:right="200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Stakeholder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interviews:</w:t>
      </w:r>
      <w:r>
        <w:rPr>
          <w:rFonts w:ascii="Arial" w:eastAsia="Arial" w:hAnsi="Arial" w:cs="Arial"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Engagement from stakeholders critical to ensure a diverse view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the programs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as well as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identification of knock-on effects of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programs to other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health services.</w:t>
      </w:r>
    </w:p>
    <w:p w:rsidR="00F81628" w:rsidRDefault="00960247">
      <w:pPr>
        <w:spacing w:before="96" w:after="0" w:line="225" w:lineRule="auto"/>
        <w:ind w:left="288" w:right="131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Data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submissions: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Importance of data completeness, particularly in relation to participant follow-up.</w:t>
      </w:r>
    </w:p>
    <w:p w:rsidR="000B03C4" w:rsidRDefault="00960247" w:rsidP="000B03C4">
      <w:pPr>
        <w:spacing w:before="96" w:after="0" w:line="225" w:lineRule="auto"/>
        <w:ind w:left="288" w:right="-20" w:hanging="288"/>
        <w:rPr>
          <w:rFonts w:eastAsia="Arial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Pharmacist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survey: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Survey participants engage in understanding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questions and providing sufficient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detail in their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responses. The</w:t>
      </w:r>
      <w:r>
        <w:rPr>
          <w:rFonts w:ascii="Arial" w:eastAsia="Arial" w:hAnsi="Arial" w:cs="Arial"/>
          <w:color w:val="000000"/>
          <w:spacing w:val="107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survey is a chance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for providers to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underscore how they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feel the programs are performing.</w:t>
      </w:r>
    </w:p>
    <w:sectPr w:rsidR="000B03C4">
      <w:pgSz w:w="14400" w:h="10800" w:orient="landscape"/>
      <w:pgMar w:top="1134" w:right="850" w:bottom="108" w:left="8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8D" w:rsidRDefault="00131B8D" w:rsidP="00131B8D">
      <w:pPr>
        <w:spacing w:after="0" w:line="240" w:lineRule="auto"/>
      </w:pPr>
      <w:r>
        <w:separator/>
      </w:r>
    </w:p>
  </w:endnote>
  <w:endnote w:type="continuationSeparator" w:id="0">
    <w:p w:rsidR="00131B8D" w:rsidRDefault="00131B8D" w:rsidP="0013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C0" w:rsidRDefault="009D01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C0" w:rsidRDefault="009D01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C0" w:rsidRDefault="009D0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8D" w:rsidRDefault="00131B8D" w:rsidP="00131B8D">
      <w:pPr>
        <w:spacing w:after="0" w:line="240" w:lineRule="auto"/>
      </w:pPr>
      <w:r>
        <w:separator/>
      </w:r>
    </w:p>
  </w:footnote>
  <w:footnote w:type="continuationSeparator" w:id="0">
    <w:p w:rsidR="00131B8D" w:rsidRDefault="00131B8D" w:rsidP="0013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C0" w:rsidRDefault="009D01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8D" w:rsidRDefault="00131B8D" w:rsidP="00131B8D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7EAFDE34" wp14:editId="3BEC640E">
          <wp:extent cx="7639050" cy="909177"/>
          <wp:effectExtent l="0" t="0" r="0" b="5715"/>
          <wp:docPr id="1" name="Picture 1" descr="Australian Government Department of Health logo; Sixth Community Pharmacy Agreement logo; The Pharmacy Guild of Australia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578" cy="912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C0" w:rsidRDefault="009D0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28"/>
    <w:rsid w:val="00051C4F"/>
    <w:rsid w:val="000B03C4"/>
    <w:rsid w:val="000D2E7F"/>
    <w:rsid w:val="00131B8D"/>
    <w:rsid w:val="00143D7C"/>
    <w:rsid w:val="001D1352"/>
    <w:rsid w:val="001E730B"/>
    <w:rsid w:val="00373066"/>
    <w:rsid w:val="003822DE"/>
    <w:rsid w:val="003D5995"/>
    <w:rsid w:val="00425FF5"/>
    <w:rsid w:val="00490A14"/>
    <w:rsid w:val="007655D9"/>
    <w:rsid w:val="00884F3B"/>
    <w:rsid w:val="00960247"/>
    <w:rsid w:val="009D01C0"/>
    <w:rsid w:val="00AF7241"/>
    <w:rsid w:val="00BC65AA"/>
    <w:rsid w:val="00E70CDC"/>
    <w:rsid w:val="00F8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CD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06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8D"/>
  </w:style>
  <w:style w:type="paragraph" w:styleId="Footer">
    <w:name w:val="footer"/>
    <w:basedOn w:val="Normal"/>
    <w:link w:val="FooterChar"/>
    <w:uiPriority w:val="99"/>
    <w:unhideWhenUsed/>
    <w:rsid w:val="00131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8D"/>
  </w:style>
  <w:style w:type="paragraph" w:styleId="BalloonText">
    <w:name w:val="Balloon Text"/>
    <w:basedOn w:val="Normal"/>
    <w:link w:val="BalloonTextChar"/>
    <w:uiPriority w:val="99"/>
    <w:semiHidden/>
    <w:unhideWhenUsed/>
    <w:rsid w:val="0013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8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4F3B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F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70CDC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3066"/>
    <w:rPr>
      <w:rFonts w:ascii="Arial" w:eastAsiaTheme="majorEastAsia" w:hAnsi="Arial" w:cstheme="majorBidi"/>
      <w:bCs/>
      <w:sz w:val="4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CD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06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8D"/>
  </w:style>
  <w:style w:type="paragraph" w:styleId="Footer">
    <w:name w:val="footer"/>
    <w:basedOn w:val="Normal"/>
    <w:link w:val="FooterChar"/>
    <w:uiPriority w:val="99"/>
    <w:unhideWhenUsed/>
    <w:rsid w:val="00131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8D"/>
  </w:style>
  <w:style w:type="paragraph" w:styleId="BalloonText">
    <w:name w:val="Balloon Text"/>
    <w:basedOn w:val="Normal"/>
    <w:link w:val="BalloonTextChar"/>
    <w:uiPriority w:val="99"/>
    <w:semiHidden/>
    <w:unhideWhenUsed/>
    <w:rsid w:val="0013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8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4F3B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F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70CDC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3066"/>
    <w:rPr>
      <w:rFonts w:ascii="Arial" w:eastAsiaTheme="majorEastAsia" w:hAnsi="Arial" w:cstheme="majorBidi"/>
      <w:bCs/>
      <w:sz w:val="4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2018-10-18T23:26:00Z</dcterms:created>
  <dcterms:modified xsi:type="dcterms:W3CDTF">2018-10-18T23:40:00Z</dcterms:modified>
</cp:coreProperties>
</file>