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B9043" w14:textId="2EC8421D" w:rsidR="00166DB1" w:rsidRPr="00CC3926" w:rsidRDefault="00166DB1" w:rsidP="00A77355">
      <w:pPr>
        <w:pStyle w:val="Coverheading"/>
      </w:pPr>
      <w:bookmarkStart w:id="0" w:name="_Hlk522781977"/>
      <w:r w:rsidRPr="00CC3926">
        <w:t>AUSTRALIAN GOVERNMENT DEPARTMENT OF HEALTH</w:t>
      </w:r>
    </w:p>
    <w:p w14:paraId="539D27A7" w14:textId="6521F06B" w:rsidR="00166DB1" w:rsidRPr="00166DB1" w:rsidRDefault="00166DB1" w:rsidP="00A77355">
      <w:pPr>
        <w:pStyle w:val="DocumentTitle"/>
      </w:pPr>
      <w:r w:rsidRPr="00166DB1">
        <w:t>Review of Ongoing Pharmacy Workforce Programs</w:t>
      </w:r>
    </w:p>
    <w:p w14:paraId="621114CE" w14:textId="5763D122" w:rsidR="00166DB1" w:rsidRPr="00A77355" w:rsidRDefault="00166DB1" w:rsidP="00A77355">
      <w:pPr>
        <w:pStyle w:val="Covertitle"/>
        <w:rPr>
          <w:b w:val="0"/>
        </w:rPr>
      </w:pPr>
      <w:r w:rsidRPr="00A77355">
        <w:rPr>
          <w:b w:val="0"/>
        </w:rPr>
        <w:t>FINAL REPORT</w:t>
      </w:r>
    </w:p>
    <w:p w14:paraId="16A8D949" w14:textId="724D8676" w:rsidR="00166DB1" w:rsidRPr="00CC3926" w:rsidRDefault="00166DB1" w:rsidP="00A77355">
      <w:pPr>
        <w:pStyle w:val="DocumentPublishDate"/>
        <w:spacing w:after="1200"/>
      </w:pPr>
      <w:r w:rsidRPr="00CC3926">
        <w:t>19 September 2017</w:t>
      </w:r>
    </w:p>
    <w:p w14:paraId="232C4D69" w14:textId="4B2CF8DA" w:rsidR="00AD03B9" w:rsidRPr="00AD03B9" w:rsidRDefault="00AD03B9" w:rsidP="00AD03B9">
      <w:pPr>
        <w:spacing w:before="840" w:after="120" w:line="360" w:lineRule="auto"/>
        <w:rPr>
          <w:rFonts w:ascii="Franklin Gothic Book" w:eastAsia="Garamond" w:hAnsi="Franklin Gothic Book"/>
          <w:i/>
          <w:color w:val="000000"/>
          <w:sz w:val="24"/>
          <w:szCs w:val="24"/>
        </w:rPr>
      </w:pPr>
      <w:r w:rsidRPr="00AD03B9">
        <w:rPr>
          <w:rFonts w:ascii="Franklin Gothic Book" w:eastAsia="Garamond" w:hAnsi="Franklin Gothic Book"/>
          <w:i/>
          <w:color w:val="000000"/>
          <w:sz w:val="24"/>
          <w:szCs w:val="24"/>
        </w:rPr>
        <w:t>Our Vision</w:t>
      </w:r>
    </w:p>
    <w:p w14:paraId="17538D87" w14:textId="216E7CA7" w:rsidR="00AD03B9" w:rsidRPr="00AD03B9" w:rsidRDefault="00AD03B9" w:rsidP="00166DB1">
      <w:pPr>
        <w:spacing w:after="120" w:line="360" w:lineRule="auto"/>
        <w:rPr>
          <w:rFonts w:ascii="Franklin Gothic Book" w:eastAsia="Garamond" w:hAnsi="Franklin Gothic Book"/>
          <w:i/>
          <w:color w:val="000000"/>
          <w:sz w:val="24"/>
          <w:szCs w:val="24"/>
        </w:rPr>
      </w:pPr>
      <w:r w:rsidRPr="00AD03B9">
        <w:rPr>
          <w:rFonts w:ascii="Franklin Gothic Book" w:eastAsia="Garamond" w:hAnsi="Franklin Gothic Book"/>
          <w:i/>
          <w:color w:val="000000"/>
          <w:sz w:val="24"/>
          <w:szCs w:val="24"/>
        </w:rPr>
        <w:t>To positively impact people’s lives by helping create better health services</w:t>
      </w:r>
    </w:p>
    <w:p w14:paraId="26B0C4A6" w14:textId="4D58C624" w:rsidR="00AD03B9" w:rsidRPr="00AD03B9" w:rsidRDefault="00AD03B9" w:rsidP="00166DB1">
      <w:pPr>
        <w:spacing w:after="120" w:line="360" w:lineRule="auto"/>
        <w:rPr>
          <w:rFonts w:ascii="Franklin Gothic Book" w:eastAsia="Garamond" w:hAnsi="Franklin Gothic Book"/>
          <w:i/>
          <w:color w:val="000000"/>
          <w:sz w:val="24"/>
          <w:szCs w:val="24"/>
        </w:rPr>
      </w:pPr>
      <w:r w:rsidRPr="00AD03B9">
        <w:rPr>
          <w:rFonts w:ascii="Franklin Gothic Book" w:eastAsia="Garamond" w:hAnsi="Franklin Gothic Book"/>
          <w:i/>
          <w:color w:val="000000"/>
          <w:sz w:val="24"/>
          <w:szCs w:val="24"/>
        </w:rPr>
        <w:t>Our Mission</w:t>
      </w:r>
    </w:p>
    <w:p w14:paraId="61B6263F" w14:textId="4843A5D2" w:rsidR="00AD03B9" w:rsidRPr="00AD03B9" w:rsidRDefault="00AD03B9" w:rsidP="00166DB1">
      <w:pPr>
        <w:spacing w:after="120" w:line="360" w:lineRule="auto"/>
        <w:rPr>
          <w:rFonts w:ascii="Franklin Gothic Book" w:eastAsia="Garamond" w:hAnsi="Franklin Gothic Book"/>
          <w:i/>
          <w:color w:val="000000"/>
          <w:sz w:val="24"/>
          <w:szCs w:val="24"/>
        </w:rPr>
      </w:pPr>
      <w:r w:rsidRPr="00AD03B9">
        <w:rPr>
          <w:rFonts w:ascii="Franklin Gothic Book" w:eastAsia="Garamond" w:hAnsi="Franklin Gothic Book"/>
          <w:i/>
          <w:color w:val="000000"/>
          <w:sz w:val="24"/>
          <w:szCs w:val="24"/>
        </w:rPr>
        <w:t>To use our management consulting skills to provide expert advice and support to health funders, service providers and users</w:t>
      </w:r>
    </w:p>
    <w:p w14:paraId="663D5688" w14:textId="77777777" w:rsidR="00AD03B9" w:rsidRDefault="00AD03B9" w:rsidP="00166DB1">
      <w:pPr>
        <w:spacing w:after="120" w:line="360" w:lineRule="auto"/>
        <w:rPr>
          <w:rFonts w:ascii="Franklin Gothic Book" w:eastAsia="Garamond" w:hAnsi="Franklin Gothic Book"/>
          <w:color w:val="000000"/>
          <w:sz w:val="24"/>
          <w:szCs w:val="24"/>
        </w:rPr>
      </w:pPr>
    </w:p>
    <w:p w14:paraId="70503B42" w14:textId="77777777" w:rsidR="00AD03B9" w:rsidRDefault="00AD03B9" w:rsidP="00166DB1">
      <w:pPr>
        <w:spacing w:after="120" w:line="360" w:lineRule="auto"/>
        <w:rPr>
          <w:rFonts w:ascii="Franklin Gothic Book" w:eastAsia="Garamond" w:hAnsi="Franklin Gothic Book"/>
          <w:color w:val="000000"/>
          <w:sz w:val="24"/>
          <w:szCs w:val="24"/>
        </w:rPr>
        <w:sectPr w:rsidR="00AD03B9" w:rsidSect="00AD03B9">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2268" w:right="1304" w:bottom="851" w:left="737" w:header="567" w:footer="284" w:gutter="0"/>
          <w:cols w:space="227"/>
          <w:docGrid w:linePitch="360"/>
        </w:sectPr>
      </w:pPr>
    </w:p>
    <w:p w14:paraId="5A272E89" w14:textId="70EBCD0A" w:rsidR="002E1F1A" w:rsidRDefault="00166DB1">
      <w:pPr>
        <w:pStyle w:val="TOC5"/>
        <w:rPr>
          <w:rFonts w:asciiTheme="minorHAnsi" w:eastAsiaTheme="minorEastAsia" w:hAnsiTheme="minorHAnsi" w:cstheme="minorBidi"/>
          <w:caps w:val="0"/>
          <w:noProof/>
          <w:color w:val="auto"/>
          <w:spacing w:val="0"/>
          <w:sz w:val="22"/>
          <w:szCs w:val="22"/>
          <w:lang w:eastAsia="en-AU"/>
        </w:rPr>
      </w:pPr>
      <w:r w:rsidRPr="00166DB1">
        <w:rPr>
          <w:rFonts w:ascii="Franklin Gothic Book" w:eastAsia="Garamond" w:hAnsi="Franklin Gothic Book"/>
          <w:caps w:val="0"/>
          <w:color w:val="000000"/>
        </w:rPr>
        <w:lastRenderedPageBreak/>
        <w:fldChar w:fldCharType="begin"/>
      </w:r>
      <w:r w:rsidRPr="00166DB1">
        <w:rPr>
          <w:rFonts w:ascii="Franklin Gothic Book" w:eastAsia="Garamond" w:hAnsi="Franklin Gothic Book"/>
          <w:caps w:val="0"/>
          <w:color w:val="000000"/>
        </w:rPr>
        <w:instrText xml:space="preserve"> TOC \h \z \t "Heading 1,2,Heading 2,3,Heading 3,4,Section Page Title,5,ES Heading 1,1,Heading Appendix 2,3" </w:instrText>
      </w:r>
      <w:r w:rsidRPr="00166DB1">
        <w:rPr>
          <w:rFonts w:ascii="Franklin Gothic Book" w:eastAsia="Garamond" w:hAnsi="Franklin Gothic Book"/>
          <w:caps w:val="0"/>
          <w:color w:val="000000"/>
        </w:rPr>
        <w:fldChar w:fldCharType="separate"/>
      </w:r>
      <w:hyperlink w:anchor="_Toc523322031" w:history="1">
        <w:r w:rsidR="002E1F1A" w:rsidRPr="00A867E6">
          <w:rPr>
            <w:rStyle w:val="Hyperlink"/>
            <w:noProof/>
          </w:rPr>
          <w:t>PART A – CONTEXT</w:t>
        </w:r>
        <w:r w:rsidR="002E1F1A">
          <w:rPr>
            <w:noProof/>
            <w:webHidden/>
          </w:rPr>
          <w:tab/>
        </w:r>
        <w:r w:rsidR="002E1F1A">
          <w:rPr>
            <w:noProof/>
            <w:webHidden/>
          </w:rPr>
          <w:fldChar w:fldCharType="begin"/>
        </w:r>
        <w:r w:rsidR="002E1F1A">
          <w:rPr>
            <w:noProof/>
            <w:webHidden/>
          </w:rPr>
          <w:instrText xml:space="preserve"> PAGEREF _Toc523322031 \h </w:instrText>
        </w:r>
        <w:r w:rsidR="002E1F1A">
          <w:rPr>
            <w:noProof/>
            <w:webHidden/>
          </w:rPr>
        </w:r>
        <w:r w:rsidR="002E1F1A">
          <w:rPr>
            <w:noProof/>
            <w:webHidden/>
          </w:rPr>
          <w:fldChar w:fldCharType="separate"/>
        </w:r>
        <w:r w:rsidR="002E1F1A">
          <w:rPr>
            <w:noProof/>
            <w:webHidden/>
          </w:rPr>
          <w:t>1</w:t>
        </w:r>
        <w:r w:rsidR="002E1F1A">
          <w:rPr>
            <w:noProof/>
            <w:webHidden/>
          </w:rPr>
          <w:fldChar w:fldCharType="end"/>
        </w:r>
      </w:hyperlink>
    </w:p>
    <w:p w14:paraId="2C313236" w14:textId="1EE11C82" w:rsidR="002E1F1A" w:rsidRDefault="000B3762">
      <w:pPr>
        <w:pStyle w:val="TOC2"/>
        <w:rPr>
          <w:rFonts w:asciiTheme="minorHAnsi" w:eastAsiaTheme="minorEastAsia" w:hAnsiTheme="minorHAnsi" w:cstheme="minorBidi"/>
          <w:caps w:val="0"/>
          <w:noProof/>
          <w:color w:val="auto"/>
          <w:spacing w:val="0"/>
          <w:sz w:val="22"/>
          <w:szCs w:val="22"/>
          <w:u w:val="none"/>
          <w:lang w:eastAsia="en-AU"/>
        </w:rPr>
      </w:pPr>
      <w:hyperlink w:anchor="_Toc523322032" w:history="1">
        <w:r w:rsidR="002E1F1A" w:rsidRPr="00A867E6">
          <w:rPr>
            <w:rStyle w:val="Hyperlink"/>
            <w:noProof/>
            <w:lang w:val="en-US"/>
          </w:rPr>
          <w:t>1</w:t>
        </w:r>
        <w:r w:rsidR="002E1F1A">
          <w:rPr>
            <w:rFonts w:asciiTheme="minorHAnsi" w:eastAsiaTheme="minorEastAsia" w:hAnsiTheme="minorHAnsi" w:cstheme="minorBidi"/>
            <w:caps w:val="0"/>
            <w:noProof/>
            <w:color w:val="auto"/>
            <w:spacing w:val="0"/>
            <w:sz w:val="22"/>
            <w:szCs w:val="22"/>
            <w:u w:val="none"/>
            <w:lang w:eastAsia="en-AU"/>
          </w:rPr>
          <w:tab/>
        </w:r>
        <w:r w:rsidR="002E1F1A" w:rsidRPr="00A867E6">
          <w:rPr>
            <w:rStyle w:val="Hyperlink"/>
            <w:noProof/>
            <w:lang w:val="en-US"/>
          </w:rPr>
          <w:t>Introduction</w:t>
        </w:r>
        <w:r w:rsidR="002E1F1A">
          <w:rPr>
            <w:noProof/>
            <w:webHidden/>
          </w:rPr>
          <w:tab/>
        </w:r>
        <w:r w:rsidR="002E1F1A">
          <w:rPr>
            <w:noProof/>
            <w:webHidden/>
          </w:rPr>
          <w:fldChar w:fldCharType="begin"/>
        </w:r>
        <w:r w:rsidR="002E1F1A">
          <w:rPr>
            <w:noProof/>
            <w:webHidden/>
          </w:rPr>
          <w:instrText xml:space="preserve"> PAGEREF _Toc523322032 \h </w:instrText>
        </w:r>
        <w:r w:rsidR="002E1F1A">
          <w:rPr>
            <w:noProof/>
            <w:webHidden/>
          </w:rPr>
        </w:r>
        <w:r w:rsidR="002E1F1A">
          <w:rPr>
            <w:noProof/>
            <w:webHidden/>
          </w:rPr>
          <w:fldChar w:fldCharType="separate"/>
        </w:r>
        <w:r w:rsidR="002E1F1A">
          <w:rPr>
            <w:noProof/>
            <w:webHidden/>
          </w:rPr>
          <w:t>2</w:t>
        </w:r>
        <w:r w:rsidR="002E1F1A">
          <w:rPr>
            <w:noProof/>
            <w:webHidden/>
          </w:rPr>
          <w:fldChar w:fldCharType="end"/>
        </w:r>
      </w:hyperlink>
    </w:p>
    <w:p w14:paraId="7660166F" w14:textId="2DAFA8BA" w:rsidR="002E1F1A" w:rsidRDefault="000B3762">
      <w:pPr>
        <w:pStyle w:val="TOC3"/>
        <w:rPr>
          <w:rFonts w:asciiTheme="minorHAnsi" w:eastAsiaTheme="minorEastAsia" w:hAnsiTheme="minorHAnsi" w:cstheme="minorBidi"/>
          <w:caps w:val="0"/>
          <w:noProof/>
          <w:color w:val="auto"/>
          <w:sz w:val="22"/>
          <w:szCs w:val="22"/>
          <w:lang w:eastAsia="en-AU"/>
        </w:rPr>
      </w:pPr>
      <w:hyperlink w:anchor="_Toc523322033" w:history="1">
        <w:r w:rsidR="002E1F1A" w:rsidRPr="00A867E6">
          <w:rPr>
            <w:rStyle w:val="Hyperlink"/>
            <w:noProof/>
          </w:rPr>
          <w:t>1.1</w:t>
        </w:r>
        <w:r w:rsidR="002E1F1A">
          <w:rPr>
            <w:rFonts w:asciiTheme="minorHAnsi" w:eastAsiaTheme="minorEastAsia" w:hAnsiTheme="minorHAnsi" w:cstheme="minorBidi"/>
            <w:caps w:val="0"/>
            <w:noProof/>
            <w:color w:val="auto"/>
            <w:sz w:val="22"/>
            <w:szCs w:val="22"/>
            <w:lang w:eastAsia="en-AU"/>
          </w:rPr>
          <w:tab/>
        </w:r>
        <w:r w:rsidR="002E1F1A" w:rsidRPr="00A867E6">
          <w:rPr>
            <w:rStyle w:val="Hyperlink"/>
            <w:noProof/>
          </w:rPr>
          <w:t>Background</w:t>
        </w:r>
        <w:r w:rsidR="002E1F1A">
          <w:rPr>
            <w:noProof/>
            <w:webHidden/>
          </w:rPr>
          <w:tab/>
        </w:r>
        <w:r w:rsidR="002E1F1A">
          <w:rPr>
            <w:noProof/>
            <w:webHidden/>
          </w:rPr>
          <w:fldChar w:fldCharType="begin"/>
        </w:r>
        <w:r w:rsidR="002E1F1A">
          <w:rPr>
            <w:noProof/>
            <w:webHidden/>
          </w:rPr>
          <w:instrText xml:space="preserve"> PAGEREF _Toc523322033 \h </w:instrText>
        </w:r>
        <w:r w:rsidR="002E1F1A">
          <w:rPr>
            <w:noProof/>
            <w:webHidden/>
          </w:rPr>
        </w:r>
        <w:r w:rsidR="002E1F1A">
          <w:rPr>
            <w:noProof/>
            <w:webHidden/>
          </w:rPr>
          <w:fldChar w:fldCharType="separate"/>
        </w:r>
        <w:r w:rsidR="002E1F1A">
          <w:rPr>
            <w:noProof/>
            <w:webHidden/>
          </w:rPr>
          <w:t>2</w:t>
        </w:r>
        <w:r w:rsidR="002E1F1A">
          <w:rPr>
            <w:noProof/>
            <w:webHidden/>
          </w:rPr>
          <w:fldChar w:fldCharType="end"/>
        </w:r>
      </w:hyperlink>
    </w:p>
    <w:p w14:paraId="5F4991D7" w14:textId="3AB40600" w:rsidR="002E1F1A" w:rsidRDefault="000B3762">
      <w:pPr>
        <w:pStyle w:val="TOC3"/>
        <w:rPr>
          <w:rFonts w:asciiTheme="minorHAnsi" w:eastAsiaTheme="minorEastAsia" w:hAnsiTheme="minorHAnsi" w:cstheme="minorBidi"/>
          <w:caps w:val="0"/>
          <w:noProof/>
          <w:color w:val="auto"/>
          <w:sz w:val="22"/>
          <w:szCs w:val="22"/>
          <w:lang w:eastAsia="en-AU"/>
        </w:rPr>
      </w:pPr>
      <w:hyperlink w:anchor="_Toc523322034" w:history="1">
        <w:r w:rsidR="002E1F1A" w:rsidRPr="00A867E6">
          <w:rPr>
            <w:rStyle w:val="Hyperlink"/>
            <w:noProof/>
          </w:rPr>
          <w:t>1.2</w:t>
        </w:r>
        <w:r w:rsidR="002E1F1A">
          <w:rPr>
            <w:rFonts w:asciiTheme="minorHAnsi" w:eastAsiaTheme="minorEastAsia" w:hAnsiTheme="minorHAnsi" w:cstheme="minorBidi"/>
            <w:caps w:val="0"/>
            <w:noProof/>
            <w:color w:val="auto"/>
            <w:sz w:val="22"/>
            <w:szCs w:val="22"/>
            <w:lang w:eastAsia="en-AU"/>
          </w:rPr>
          <w:tab/>
        </w:r>
        <w:r w:rsidR="002E1F1A" w:rsidRPr="00A867E6">
          <w:rPr>
            <w:rStyle w:val="Hyperlink"/>
            <w:noProof/>
          </w:rPr>
          <w:t>Individual Programs within scope</w:t>
        </w:r>
        <w:r w:rsidR="002E1F1A">
          <w:rPr>
            <w:noProof/>
            <w:webHidden/>
          </w:rPr>
          <w:tab/>
        </w:r>
        <w:r w:rsidR="002E1F1A">
          <w:rPr>
            <w:noProof/>
            <w:webHidden/>
          </w:rPr>
          <w:fldChar w:fldCharType="begin"/>
        </w:r>
        <w:r w:rsidR="002E1F1A">
          <w:rPr>
            <w:noProof/>
            <w:webHidden/>
          </w:rPr>
          <w:instrText xml:space="preserve"> PAGEREF _Toc523322034 \h </w:instrText>
        </w:r>
        <w:r w:rsidR="002E1F1A">
          <w:rPr>
            <w:noProof/>
            <w:webHidden/>
          </w:rPr>
        </w:r>
        <w:r w:rsidR="002E1F1A">
          <w:rPr>
            <w:noProof/>
            <w:webHidden/>
          </w:rPr>
          <w:fldChar w:fldCharType="separate"/>
        </w:r>
        <w:r w:rsidR="002E1F1A">
          <w:rPr>
            <w:noProof/>
            <w:webHidden/>
          </w:rPr>
          <w:t>2</w:t>
        </w:r>
        <w:r w:rsidR="002E1F1A">
          <w:rPr>
            <w:noProof/>
            <w:webHidden/>
          </w:rPr>
          <w:fldChar w:fldCharType="end"/>
        </w:r>
      </w:hyperlink>
    </w:p>
    <w:p w14:paraId="246CC624" w14:textId="09525760" w:rsidR="002E1F1A" w:rsidRDefault="000B3762">
      <w:pPr>
        <w:pStyle w:val="TOC4"/>
        <w:rPr>
          <w:rFonts w:asciiTheme="minorHAnsi" w:eastAsiaTheme="minorEastAsia" w:hAnsiTheme="minorHAnsi" w:cstheme="minorBidi"/>
          <w:color w:val="auto"/>
          <w:spacing w:val="0"/>
          <w:sz w:val="22"/>
          <w:szCs w:val="22"/>
          <w:lang w:eastAsia="en-AU"/>
        </w:rPr>
      </w:pPr>
      <w:hyperlink w:anchor="_Toc523322035" w:history="1">
        <w:r w:rsidR="002E1F1A" w:rsidRPr="00A867E6">
          <w:rPr>
            <w:rStyle w:val="Hyperlink"/>
          </w:rPr>
          <w:t>1.2.1</w:t>
        </w:r>
        <w:r w:rsidR="002E1F1A">
          <w:rPr>
            <w:rFonts w:asciiTheme="minorHAnsi" w:eastAsiaTheme="minorEastAsia" w:hAnsiTheme="minorHAnsi" w:cstheme="minorBidi"/>
            <w:color w:val="auto"/>
            <w:spacing w:val="0"/>
            <w:sz w:val="22"/>
            <w:szCs w:val="22"/>
            <w:lang w:eastAsia="en-AU"/>
          </w:rPr>
          <w:tab/>
        </w:r>
        <w:r w:rsidR="002E1F1A" w:rsidRPr="00A867E6">
          <w:rPr>
            <w:rStyle w:val="Hyperlink"/>
          </w:rPr>
          <w:t>Rural Workforce Package</w:t>
        </w:r>
        <w:r w:rsidR="002E1F1A">
          <w:rPr>
            <w:webHidden/>
          </w:rPr>
          <w:tab/>
        </w:r>
        <w:r w:rsidR="002E1F1A">
          <w:rPr>
            <w:webHidden/>
          </w:rPr>
          <w:fldChar w:fldCharType="begin"/>
        </w:r>
        <w:r w:rsidR="002E1F1A">
          <w:rPr>
            <w:webHidden/>
          </w:rPr>
          <w:instrText xml:space="preserve"> PAGEREF _Toc523322035 \h </w:instrText>
        </w:r>
        <w:r w:rsidR="002E1F1A">
          <w:rPr>
            <w:webHidden/>
          </w:rPr>
        </w:r>
        <w:r w:rsidR="002E1F1A">
          <w:rPr>
            <w:webHidden/>
          </w:rPr>
          <w:fldChar w:fldCharType="separate"/>
        </w:r>
        <w:r w:rsidR="002E1F1A">
          <w:rPr>
            <w:webHidden/>
          </w:rPr>
          <w:t>2</w:t>
        </w:r>
        <w:r w:rsidR="002E1F1A">
          <w:rPr>
            <w:webHidden/>
          </w:rPr>
          <w:fldChar w:fldCharType="end"/>
        </w:r>
      </w:hyperlink>
    </w:p>
    <w:p w14:paraId="7BFA0F2B" w14:textId="7BB7E204" w:rsidR="002E1F1A" w:rsidRDefault="000B3762">
      <w:pPr>
        <w:pStyle w:val="TOC4"/>
        <w:rPr>
          <w:rFonts w:asciiTheme="minorHAnsi" w:eastAsiaTheme="minorEastAsia" w:hAnsiTheme="minorHAnsi" w:cstheme="minorBidi"/>
          <w:color w:val="auto"/>
          <w:spacing w:val="0"/>
          <w:sz w:val="22"/>
          <w:szCs w:val="22"/>
          <w:lang w:eastAsia="en-AU"/>
        </w:rPr>
      </w:pPr>
      <w:hyperlink w:anchor="_Toc523322036" w:history="1">
        <w:r w:rsidR="002E1F1A" w:rsidRPr="00A867E6">
          <w:rPr>
            <w:rStyle w:val="Hyperlink"/>
          </w:rPr>
          <w:t>1.2.2</w:t>
        </w:r>
        <w:r w:rsidR="002E1F1A">
          <w:rPr>
            <w:rFonts w:asciiTheme="minorHAnsi" w:eastAsiaTheme="minorEastAsia" w:hAnsiTheme="minorHAnsi" w:cstheme="minorBidi"/>
            <w:color w:val="auto"/>
            <w:spacing w:val="0"/>
            <w:sz w:val="22"/>
            <w:szCs w:val="22"/>
            <w:lang w:eastAsia="en-AU"/>
          </w:rPr>
          <w:tab/>
        </w:r>
        <w:r w:rsidR="002E1F1A" w:rsidRPr="00A867E6">
          <w:rPr>
            <w:rStyle w:val="Hyperlink"/>
          </w:rPr>
          <w:t>Aboriginal and Torres Strait Islander Workforce Package</w:t>
        </w:r>
        <w:r w:rsidR="002E1F1A">
          <w:rPr>
            <w:webHidden/>
          </w:rPr>
          <w:tab/>
        </w:r>
        <w:r w:rsidR="002E1F1A">
          <w:rPr>
            <w:webHidden/>
          </w:rPr>
          <w:fldChar w:fldCharType="begin"/>
        </w:r>
        <w:r w:rsidR="002E1F1A">
          <w:rPr>
            <w:webHidden/>
          </w:rPr>
          <w:instrText xml:space="preserve"> PAGEREF _Toc523322036 \h </w:instrText>
        </w:r>
        <w:r w:rsidR="002E1F1A">
          <w:rPr>
            <w:webHidden/>
          </w:rPr>
        </w:r>
        <w:r w:rsidR="002E1F1A">
          <w:rPr>
            <w:webHidden/>
          </w:rPr>
          <w:fldChar w:fldCharType="separate"/>
        </w:r>
        <w:r w:rsidR="002E1F1A">
          <w:rPr>
            <w:webHidden/>
          </w:rPr>
          <w:t>2</w:t>
        </w:r>
        <w:r w:rsidR="002E1F1A">
          <w:rPr>
            <w:webHidden/>
          </w:rPr>
          <w:fldChar w:fldCharType="end"/>
        </w:r>
      </w:hyperlink>
    </w:p>
    <w:p w14:paraId="4324D863" w14:textId="56362BD9" w:rsidR="002E1F1A" w:rsidRDefault="000B3762">
      <w:pPr>
        <w:pStyle w:val="TOC3"/>
        <w:rPr>
          <w:rFonts w:asciiTheme="minorHAnsi" w:eastAsiaTheme="minorEastAsia" w:hAnsiTheme="minorHAnsi" w:cstheme="minorBidi"/>
          <w:caps w:val="0"/>
          <w:noProof/>
          <w:color w:val="auto"/>
          <w:sz w:val="22"/>
          <w:szCs w:val="22"/>
          <w:lang w:eastAsia="en-AU"/>
        </w:rPr>
      </w:pPr>
      <w:hyperlink w:anchor="_Toc523322037" w:history="1">
        <w:r w:rsidR="002E1F1A" w:rsidRPr="00A867E6">
          <w:rPr>
            <w:rStyle w:val="Hyperlink"/>
            <w:noProof/>
          </w:rPr>
          <w:t>1.3</w:t>
        </w:r>
        <w:r w:rsidR="002E1F1A">
          <w:rPr>
            <w:rFonts w:asciiTheme="minorHAnsi" w:eastAsiaTheme="minorEastAsia" w:hAnsiTheme="minorHAnsi" w:cstheme="minorBidi"/>
            <w:caps w:val="0"/>
            <w:noProof/>
            <w:color w:val="auto"/>
            <w:sz w:val="22"/>
            <w:szCs w:val="22"/>
            <w:lang w:eastAsia="en-AU"/>
          </w:rPr>
          <w:tab/>
        </w:r>
        <w:r w:rsidR="002E1F1A" w:rsidRPr="00A867E6">
          <w:rPr>
            <w:rStyle w:val="Hyperlink"/>
            <w:noProof/>
          </w:rPr>
          <w:t>Evaluation scope</w:t>
        </w:r>
        <w:r w:rsidR="002E1F1A">
          <w:rPr>
            <w:noProof/>
            <w:webHidden/>
          </w:rPr>
          <w:tab/>
        </w:r>
        <w:r w:rsidR="002E1F1A">
          <w:rPr>
            <w:noProof/>
            <w:webHidden/>
          </w:rPr>
          <w:fldChar w:fldCharType="begin"/>
        </w:r>
        <w:r w:rsidR="002E1F1A">
          <w:rPr>
            <w:noProof/>
            <w:webHidden/>
          </w:rPr>
          <w:instrText xml:space="preserve"> PAGEREF _Toc523322037 \h </w:instrText>
        </w:r>
        <w:r w:rsidR="002E1F1A">
          <w:rPr>
            <w:noProof/>
            <w:webHidden/>
          </w:rPr>
        </w:r>
        <w:r w:rsidR="002E1F1A">
          <w:rPr>
            <w:noProof/>
            <w:webHidden/>
          </w:rPr>
          <w:fldChar w:fldCharType="separate"/>
        </w:r>
        <w:r w:rsidR="002E1F1A">
          <w:rPr>
            <w:noProof/>
            <w:webHidden/>
          </w:rPr>
          <w:t>3</w:t>
        </w:r>
        <w:r w:rsidR="002E1F1A">
          <w:rPr>
            <w:noProof/>
            <w:webHidden/>
          </w:rPr>
          <w:fldChar w:fldCharType="end"/>
        </w:r>
      </w:hyperlink>
    </w:p>
    <w:p w14:paraId="778E19DD" w14:textId="2E41B097" w:rsidR="002E1F1A" w:rsidRDefault="000B3762">
      <w:pPr>
        <w:pStyle w:val="TOC3"/>
        <w:rPr>
          <w:rFonts w:asciiTheme="minorHAnsi" w:eastAsiaTheme="minorEastAsia" w:hAnsiTheme="minorHAnsi" w:cstheme="minorBidi"/>
          <w:caps w:val="0"/>
          <w:noProof/>
          <w:color w:val="auto"/>
          <w:sz w:val="22"/>
          <w:szCs w:val="22"/>
          <w:lang w:eastAsia="en-AU"/>
        </w:rPr>
      </w:pPr>
      <w:hyperlink w:anchor="_Toc523322038" w:history="1">
        <w:r w:rsidR="002E1F1A" w:rsidRPr="00A867E6">
          <w:rPr>
            <w:rStyle w:val="Hyperlink"/>
            <w:noProof/>
          </w:rPr>
          <w:t>1.4</w:t>
        </w:r>
        <w:r w:rsidR="002E1F1A">
          <w:rPr>
            <w:rFonts w:asciiTheme="minorHAnsi" w:eastAsiaTheme="minorEastAsia" w:hAnsiTheme="minorHAnsi" w:cstheme="minorBidi"/>
            <w:caps w:val="0"/>
            <w:noProof/>
            <w:color w:val="auto"/>
            <w:sz w:val="22"/>
            <w:szCs w:val="22"/>
            <w:lang w:eastAsia="en-AU"/>
          </w:rPr>
          <w:tab/>
        </w:r>
        <w:r w:rsidR="002E1F1A" w:rsidRPr="00A867E6">
          <w:rPr>
            <w:rStyle w:val="Hyperlink"/>
            <w:noProof/>
          </w:rPr>
          <w:t>Document purpose and structure</w:t>
        </w:r>
        <w:r w:rsidR="002E1F1A">
          <w:rPr>
            <w:noProof/>
            <w:webHidden/>
          </w:rPr>
          <w:tab/>
        </w:r>
        <w:r w:rsidR="002E1F1A">
          <w:rPr>
            <w:noProof/>
            <w:webHidden/>
          </w:rPr>
          <w:fldChar w:fldCharType="begin"/>
        </w:r>
        <w:r w:rsidR="002E1F1A">
          <w:rPr>
            <w:noProof/>
            <w:webHidden/>
          </w:rPr>
          <w:instrText xml:space="preserve"> PAGEREF _Toc523322038 \h </w:instrText>
        </w:r>
        <w:r w:rsidR="002E1F1A">
          <w:rPr>
            <w:noProof/>
            <w:webHidden/>
          </w:rPr>
        </w:r>
        <w:r w:rsidR="002E1F1A">
          <w:rPr>
            <w:noProof/>
            <w:webHidden/>
          </w:rPr>
          <w:fldChar w:fldCharType="separate"/>
        </w:r>
        <w:r w:rsidR="002E1F1A">
          <w:rPr>
            <w:noProof/>
            <w:webHidden/>
          </w:rPr>
          <w:t>3</w:t>
        </w:r>
        <w:r w:rsidR="002E1F1A">
          <w:rPr>
            <w:noProof/>
            <w:webHidden/>
          </w:rPr>
          <w:fldChar w:fldCharType="end"/>
        </w:r>
      </w:hyperlink>
    </w:p>
    <w:p w14:paraId="21833391" w14:textId="6C30BE3D" w:rsidR="002E1F1A" w:rsidRDefault="000B3762">
      <w:pPr>
        <w:pStyle w:val="TOC2"/>
        <w:rPr>
          <w:rFonts w:asciiTheme="minorHAnsi" w:eastAsiaTheme="minorEastAsia" w:hAnsiTheme="minorHAnsi" w:cstheme="minorBidi"/>
          <w:caps w:val="0"/>
          <w:noProof/>
          <w:color w:val="auto"/>
          <w:spacing w:val="0"/>
          <w:sz w:val="22"/>
          <w:szCs w:val="22"/>
          <w:u w:val="none"/>
          <w:lang w:eastAsia="en-AU"/>
        </w:rPr>
      </w:pPr>
      <w:hyperlink w:anchor="_Toc523322039" w:history="1">
        <w:r w:rsidR="002E1F1A" w:rsidRPr="00A867E6">
          <w:rPr>
            <w:rStyle w:val="Hyperlink"/>
            <w:noProof/>
            <w:lang w:val="en-US"/>
          </w:rPr>
          <w:t>2</w:t>
        </w:r>
        <w:r w:rsidR="002E1F1A">
          <w:rPr>
            <w:rFonts w:asciiTheme="minorHAnsi" w:eastAsiaTheme="minorEastAsia" w:hAnsiTheme="minorHAnsi" w:cstheme="minorBidi"/>
            <w:caps w:val="0"/>
            <w:noProof/>
            <w:color w:val="auto"/>
            <w:spacing w:val="0"/>
            <w:sz w:val="22"/>
            <w:szCs w:val="22"/>
            <w:u w:val="none"/>
            <w:lang w:eastAsia="en-AU"/>
          </w:rPr>
          <w:tab/>
        </w:r>
        <w:r w:rsidR="002E1F1A" w:rsidRPr="00A867E6">
          <w:rPr>
            <w:rStyle w:val="Hyperlink"/>
            <w:noProof/>
            <w:lang w:val="en-US"/>
          </w:rPr>
          <w:t>Overview of the Programs</w:t>
        </w:r>
        <w:r w:rsidR="002E1F1A">
          <w:rPr>
            <w:noProof/>
            <w:webHidden/>
          </w:rPr>
          <w:tab/>
        </w:r>
        <w:r w:rsidR="002E1F1A">
          <w:rPr>
            <w:noProof/>
            <w:webHidden/>
          </w:rPr>
          <w:fldChar w:fldCharType="begin"/>
        </w:r>
        <w:r w:rsidR="002E1F1A">
          <w:rPr>
            <w:noProof/>
            <w:webHidden/>
          </w:rPr>
          <w:instrText xml:space="preserve"> PAGEREF _Toc523322039 \h </w:instrText>
        </w:r>
        <w:r w:rsidR="002E1F1A">
          <w:rPr>
            <w:noProof/>
            <w:webHidden/>
          </w:rPr>
        </w:r>
        <w:r w:rsidR="002E1F1A">
          <w:rPr>
            <w:noProof/>
            <w:webHidden/>
          </w:rPr>
          <w:fldChar w:fldCharType="separate"/>
        </w:r>
        <w:r w:rsidR="002E1F1A">
          <w:rPr>
            <w:noProof/>
            <w:webHidden/>
          </w:rPr>
          <w:t>4</w:t>
        </w:r>
        <w:r w:rsidR="002E1F1A">
          <w:rPr>
            <w:noProof/>
            <w:webHidden/>
          </w:rPr>
          <w:fldChar w:fldCharType="end"/>
        </w:r>
      </w:hyperlink>
    </w:p>
    <w:p w14:paraId="415DF3F4" w14:textId="0E5AB894" w:rsidR="002E1F1A" w:rsidRDefault="000B3762">
      <w:pPr>
        <w:pStyle w:val="TOC3"/>
        <w:rPr>
          <w:rFonts w:asciiTheme="minorHAnsi" w:eastAsiaTheme="minorEastAsia" w:hAnsiTheme="minorHAnsi" w:cstheme="minorBidi"/>
          <w:caps w:val="0"/>
          <w:noProof/>
          <w:color w:val="auto"/>
          <w:sz w:val="22"/>
          <w:szCs w:val="22"/>
          <w:lang w:eastAsia="en-AU"/>
        </w:rPr>
      </w:pPr>
      <w:hyperlink w:anchor="_Toc523322040" w:history="1">
        <w:r w:rsidR="002E1F1A" w:rsidRPr="00A867E6">
          <w:rPr>
            <w:rStyle w:val="Hyperlink"/>
            <w:noProof/>
          </w:rPr>
          <w:t>2.1</w:t>
        </w:r>
        <w:r w:rsidR="002E1F1A">
          <w:rPr>
            <w:rFonts w:asciiTheme="minorHAnsi" w:eastAsiaTheme="minorEastAsia" w:hAnsiTheme="minorHAnsi" w:cstheme="minorBidi"/>
            <w:caps w:val="0"/>
            <w:noProof/>
            <w:color w:val="auto"/>
            <w:sz w:val="22"/>
            <w:szCs w:val="22"/>
            <w:lang w:eastAsia="en-AU"/>
          </w:rPr>
          <w:tab/>
        </w:r>
        <w:r w:rsidR="002E1F1A" w:rsidRPr="00A867E6">
          <w:rPr>
            <w:rStyle w:val="Hyperlink"/>
            <w:noProof/>
          </w:rPr>
          <w:t>Context</w:t>
        </w:r>
        <w:r w:rsidR="002E1F1A">
          <w:rPr>
            <w:noProof/>
            <w:webHidden/>
          </w:rPr>
          <w:tab/>
        </w:r>
        <w:r w:rsidR="002E1F1A">
          <w:rPr>
            <w:noProof/>
            <w:webHidden/>
          </w:rPr>
          <w:fldChar w:fldCharType="begin"/>
        </w:r>
        <w:r w:rsidR="002E1F1A">
          <w:rPr>
            <w:noProof/>
            <w:webHidden/>
          </w:rPr>
          <w:instrText xml:space="preserve"> PAGEREF _Toc523322040 \h </w:instrText>
        </w:r>
        <w:r w:rsidR="002E1F1A">
          <w:rPr>
            <w:noProof/>
            <w:webHidden/>
          </w:rPr>
        </w:r>
        <w:r w:rsidR="002E1F1A">
          <w:rPr>
            <w:noProof/>
            <w:webHidden/>
          </w:rPr>
          <w:fldChar w:fldCharType="separate"/>
        </w:r>
        <w:r w:rsidR="002E1F1A">
          <w:rPr>
            <w:noProof/>
            <w:webHidden/>
          </w:rPr>
          <w:t>4</w:t>
        </w:r>
        <w:r w:rsidR="002E1F1A">
          <w:rPr>
            <w:noProof/>
            <w:webHidden/>
          </w:rPr>
          <w:fldChar w:fldCharType="end"/>
        </w:r>
      </w:hyperlink>
    </w:p>
    <w:p w14:paraId="4C64ACE9" w14:textId="79EC42FC" w:rsidR="002E1F1A" w:rsidRDefault="000B3762">
      <w:pPr>
        <w:pStyle w:val="TOC3"/>
        <w:rPr>
          <w:rFonts w:asciiTheme="minorHAnsi" w:eastAsiaTheme="minorEastAsia" w:hAnsiTheme="minorHAnsi" w:cstheme="minorBidi"/>
          <w:caps w:val="0"/>
          <w:noProof/>
          <w:color w:val="auto"/>
          <w:sz w:val="22"/>
          <w:szCs w:val="22"/>
          <w:lang w:eastAsia="en-AU"/>
        </w:rPr>
      </w:pPr>
      <w:hyperlink w:anchor="_Toc523322041" w:history="1">
        <w:r w:rsidR="002E1F1A" w:rsidRPr="00A867E6">
          <w:rPr>
            <w:rStyle w:val="Hyperlink"/>
            <w:noProof/>
          </w:rPr>
          <w:t>2.2</w:t>
        </w:r>
        <w:r w:rsidR="002E1F1A">
          <w:rPr>
            <w:rFonts w:asciiTheme="minorHAnsi" w:eastAsiaTheme="minorEastAsia" w:hAnsiTheme="minorHAnsi" w:cstheme="minorBidi"/>
            <w:caps w:val="0"/>
            <w:noProof/>
            <w:color w:val="auto"/>
            <w:sz w:val="22"/>
            <w:szCs w:val="22"/>
            <w:lang w:eastAsia="en-AU"/>
          </w:rPr>
          <w:tab/>
        </w:r>
        <w:r w:rsidR="002E1F1A" w:rsidRPr="00A867E6">
          <w:rPr>
            <w:rStyle w:val="Hyperlink"/>
            <w:noProof/>
          </w:rPr>
          <w:t>Program objectives and program aims</w:t>
        </w:r>
        <w:r w:rsidR="002E1F1A">
          <w:rPr>
            <w:noProof/>
            <w:webHidden/>
          </w:rPr>
          <w:tab/>
        </w:r>
        <w:r w:rsidR="002E1F1A">
          <w:rPr>
            <w:noProof/>
            <w:webHidden/>
          </w:rPr>
          <w:fldChar w:fldCharType="begin"/>
        </w:r>
        <w:r w:rsidR="002E1F1A">
          <w:rPr>
            <w:noProof/>
            <w:webHidden/>
          </w:rPr>
          <w:instrText xml:space="preserve"> PAGEREF _Toc523322041 \h </w:instrText>
        </w:r>
        <w:r w:rsidR="002E1F1A">
          <w:rPr>
            <w:noProof/>
            <w:webHidden/>
          </w:rPr>
        </w:r>
        <w:r w:rsidR="002E1F1A">
          <w:rPr>
            <w:noProof/>
            <w:webHidden/>
          </w:rPr>
          <w:fldChar w:fldCharType="separate"/>
        </w:r>
        <w:r w:rsidR="002E1F1A">
          <w:rPr>
            <w:noProof/>
            <w:webHidden/>
          </w:rPr>
          <w:t>4</w:t>
        </w:r>
        <w:r w:rsidR="002E1F1A">
          <w:rPr>
            <w:noProof/>
            <w:webHidden/>
          </w:rPr>
          <w:fldChar w:fldCharType="end"/>
        </w:r>
      </w:hyperlink>
    </w:p>
    <w:p w14:paraId="4D4A353E" w14:textId="15F4B42B" w:rsidR="002E1F1A" w:rsidRDefault="000B3762">
      <w:pPr>
        <w:pStyle w:val="TOC3"/>
        <w:rPr>
          <w:rFonts w:asciiTheme="minorHAnsi" w:eastAsiaTheme="minorEastAsia" w:hAnsiTheme="minorHAnsi" w:cstheme="minorBidi"/>
          <w:caps w:val="0"/>
          <w:noProof/>
          <w:color w:val="auto"/>
          <w:sz w:val="22"/>
          <w:szCs w:val="22"/>
          <w:lang w:eastAsia="en-AU"/>
        </w:rPr>
      </w:pPr>
      <w:hyperlink w:anchor="_Toc523322042" w:history="1">
        <w:r w:rsidR="002E1F1A" w:rsidRPr="00A867E6">
          <w:rPr>
            <w:rStyle w:val="Hyperlink"/>
            <w:noProof/>
          </w:rPr>
          <w:t>2.3</w:t>
        </w:r>
        <w:r w:rsidR="002E1F1A">
          <w:rPr>
            <w:rFonts w:asciiTheme="minorHAnsi" w:eastAsiaTheme="minorEastAsia" w:hAnsiTheme="minorHAnsi" w:cstheme="minorBidi"/>
            <w:caps w:val="0"/>
            <w:noProof/>
            <w:color w:val="auto"/>
            <w:sz w:val="22"/>
            <w:szCs w:val="22"/>
            <w:lang w:eastAsia="en-AU"/>
          </w:rPr>
          <w:tab/>
        </w:r>
        <w:r w:rsidR="002E1F1A" w:rsidRPr="00A867E6">
          <w:rPr>
            <w:rStyle w:val="Hyperlink"/>
            <w:noProof/>
          </w:rPr>
          <w:t>Program Categorisation for evaluation purposes</w:t>
        </w:r>
        <w:r w:rsidR="002E1F1A">
          <w:rPr>
            <w:noProof/>
            <w:webHidden/>
          </w:rPr>
          <w:tab/>
        </w:r>
        <w:r w:rsidR="002E1F1A">
          <w:rPr>
            <w:noProof/>
            <w:webHidden/>
          </w:rPr>
          <w:fldChar w:fldCharType="begin"/>
        </w:r>
        <w:r w:rsidR="002E1F1A">
          <w:rPr>
            <w:noProof/>
            <w:webHidden/>
          </w:rPr>
          <w:instrText xml:space="preserve"> PAGEREF _Toc523322042 \h </w:instrText>
        </w:r>
        <w:r w:rsidR="002E1F1A">
          <w:rPr>
            <w:noProof/>
            <w:webHidden/>
          </w:rPr>
        </w:r>
        <w:r w:rsidR="002E1F1A">
          <w:rPr>
            <w:noProof/>
            <w:webHidden/>
          </w:rPr>
          <w:fldChar w:fldCharType="separate"/>
        </w:r>
        <w:r w:rsidR="002E1F1A">
          <w:rPr>
            <w:noProof/>
            <w:webHidden/>
          </w:rPr>
          <w:t>6</w:t>
        </w:r>
        <w:r w:rsidR="002E1F1A">
          <w:rPr>
            <w:noProof/>
            <w:webHidden/>
          </w:rPr>
          <w:fldChar w:fldCharType="end"/>
        </w:r>
      </w:hyperlink>
    </w:p>
    <w:p w14:paraId="32E97A1E" w14:textId="5A163C72" w:rsidR="002E1F1A" w:rsidRDefault="000B3762">
      <w:pPr>
        <w:pStyle w:val="TOC3"/>
        <w:rPr>
          <w:rFonts w:asciiTheme="minorHAnsi" w:eastAsiaTheme="minorEastAsia" w:hAnsiTheme="minorHAnsi" w:cstheme="minorBidi"/>
          <w:caps w:val="0"/>
          <w:noProof/>
          <w:color w:val="auto"/>
          <w:sz w:val="22"/>
          <w:szCs w:val="22"/>
          <w:lang w:eastAsia="en-AU"/>
        </w:rPr>
      </w:pPr>
      <w:hyperlink w:anchor="_Toc523322043" w:history="1">
        <w:r w:rsidR="002E1F1A" w:rsidRPr="00A867E6">
          <w:rPr>
            <w:rStyle w:val="Hyperlink"/>
            <w:noProof/>
          </w:rPr>
          <w:t>2.4</w:t>
        </w:r>
        <w:r w:rsidR="002E1F1A">
          <w:rPr>
            <w:rFonts w:asciiTheme="minorHAnsi" w:eastAsiaTheme="minorEastAsia" w:hAnsiTheme="minorHAnsi" w:cstheme="minorBidi"/>
            <w:caps w:val="0"/>
            <w:noProof/>
            <w:color w:val="auto"/>
            <w:sz w:val="22"/>
            <w:szCs w:val="22"/>
            <w:lang w:eastAsia="en-AU"/>
          </w:rPr>
          <w:tab/>
        </w:r>
        <w:r w:rsidR="002E1F1A" w:rsidRPr="00A867E6">
          <w:rPr>
            <w:rStyle w:val="Hyperlink"/>
            <w:noProof/>
          </w:rPr>
          <w:t>Expenditure and activity by Program: summary</w:t>
        </w:r>
        <w:r w:rsidR="002E1F1A">
          <w:rPr>
            <w:noProof/>
            <w:webHidden/>
          </w:rPr>
          <w:tab/>
        </w:r>
        <w:r w:rsidR="002E1F1A">
          <w:rPr>
            <w:noProof/>
            <w:webHidden/>
          </w:rPr>
          <w:fldChar w:fldCharType="begin"/>
        </w:r>
        <w:r w:rsidR="002E1F1A">
          <w:rPr>
            <w:noProof/>
            <w:webHidden/>
          </w:rPr>
          <w:instrText xml:space="preserve"> PAGEREF _Toc523322043 \h </w:instrText>
        </w:r>
        <w:r w:rsidR="002E1F1A">
          <w:rPr>
            <w:noProof/>
            <w:webHidden/>
          </w:rPr>
        </w:r>
        <w:r w:rsidR="002E1F1A">
          <w:rPr>
            <w:noProof/>
            <w:webHidden/>
          </w:rPr>
          <w:fldChar w:fldCharType="separate"/>
        </w:r>
        <w:r w:rsidR="002E1F1A">
          <w:rPr>
            <w:noProof/>
            <w:webHidden/>
          </w:rPr>
          <w:t>6</w:t>
        </w:r>
        <w:r w:rsidR="002E1F1A">
          <w:rPr>
            <w:noProof/>
            <w:webHidden/>
          </w:rPr>
          <w:fldChar w:fldCharType="end"/>
        </w:r>
      </w:hyperlink>
    </w:p>
    <w:p w14:paraId="41FEAEA2" w14:textId="3495BF75" w:rsidR="002E1F1A" w:rsidRDefault="000B3762">
      <w:pPr>
        <w:pStyle w:val="TOC2"/>
        <w:rPr>
          <w:rFonts w:asciiTheme="minorHAnsi" w:eastAsiaTheme="minorEastAsia" w:hAnsiTheme="minorHAnsi" w:cstheme="minorBidi"/>
          <w:caps w:val="0"/>
          <w:noProof/>
          <w:color w:val="auto"/>
          <w:spacing w:val="0"/>
          <w:sz w:val="22"/>
          <w:szCs w:val="22"/>
          <w:u w:val="none"/>
          <w:lang w:eastAsia="en-AU"/>
        </w:rPr>
      </w:pPr>
      <w:hyperlink w:anchor="_Toc523322044" w:history="1">
        <w:r w:rsidR="002E1F1A" w:rsidRPr="00A867E6">
          <w:rPr>
            <w:rStyle w:val="Hyperlink"/>
            <w:noProof/>
            <w:lang w:val="en-US"/>
          </w:rPr>
          <w:t>3</w:t>
        </w:r>
        <w:r w:rsidR="002E1F1A">
          <w:rPr>
            <w:rFonts w:asciiTheme="minorHAnsi" w:eastAsiaTheme="minorEastAsia" w:hAnsiTheme="minorHAnsi" w:cstheme="minorBidi"/>
            <w:caps w:val="0"/>
            <w:noProof/>
            <w:color w:val="auto"/>
            <w:spacing w:val="0"/>
            <w:sz w:val="22"/>
            <w:szCs w:val="22"/>
            <w:u w:val="none"/>
            <w:lang w:eastAsia="en-AU"/>
          </w:rPr>
          <w:tab/>
        </w:r>
        <w:r w:rsidR="002E1F1A" w:rsidRPr="00A867E6">
          <w:rPr>
            <w:rStyle w:val="Hyperlink"/>
            <w:noProof/>
            <w:lang w:val="en-US"/>
          </w:rPr>
          <w:t>Methodology</w:t>
        </w:r>
        <w:r w:rsidR="002E1F1A">
          <w:rPr>
            <w:noProof/>
            <w:webHidden/>
          </w:rPr>
          <w:tab/>
        </w:r>
        <w:r w:rsidR="002E1F1A">
          <w:rPr>
            <w:noProof/>
            <w:webHidden/>
          </w:rPr>
          <w:fldChar w:fldCharType="begin"/>
        </w:r>
        <w:r w:rsidR="002E1F1A">
          <w:rPr>
            <w:noProof/>
            <w:webHidden/>
          </w:rPr>
          <w:instrText xml:space="preserve"> PAGEREF _Toc523322044 \h </w:instrText>
        </w:r>
        <w:r w:rsidR="002E1F1A">
          <w:rPr>
            <w:noProof/>
            <w:webHidden/>
          </w:rPr>
        </w:r>
        <w:r w:rsidR="002E1F1A">
          <w:rPr>
            <w:noProof/>
            <w:webHidden/>
          </w:rPr>
          <w:fldChar w:fldCharType="separate"/>
        </w:r>
        <w:r w:rsidR="002E1F1A">
          <w:rPr>
            <w:noProof/>
            <w:webHidden/>
          </w:rPr>
          <w:t>9</w:t>
        </w:r>
        <w:r w:rsidR="002E1F1A">
          <w:rPr>
            <w:noProof/>
            <w:webHidden/>
          </w:rPr>
          <w:fldChar w:fldCharType="end"/>
        </w:r>
      </w:hyperlink>
    </w:p>
    <w:p w14:paraId="627E5F9B" w14:textId="6644C20F" w:rsidR="002E1F1A" w:rsidRDefault="000B3762">
      <w:pPr>
        <w:pStyle w:val="TOC3"/>
        <w:rPr>
          <w:rFonts w:asciiTheme="minorHAnsi" w:eastAsiaTheme="minorEastAsia" w:hAnsiTheme="minorHAnsi" w:cstheme="minorBidi"/>
          <w:caps w:val="0"/>
          <w:noProof/>
          <w:color w:val="auto"/>
          <w:sz w:val="22"/>
          <w:szCs w:val="22"/>
          <w:lang w:eastAsia="en-AU"/>
        </w:rPr>
      </w:pPr>
      <w:hyperlink w:anchor="_Toc523322045" w:history="1">
        <w:r w:rsidR="002E1F1A" w:rsidRPr="00A867E6">
          <w:rPr>
            <w:rStyle w:val="Hyperlink"/>
            <w:noProof/>
          </w:rPr>
          <w:t>3.1</w:t>
        </w:r>
        <w:r w:rsidR="002E1F1A">
          <w:rPr>
            <w:rFonts w:asciiTheme="minorHAnsi" w:eastAsiaTheme="minorEastAsia" w:hAnsiTheme="minorHAnsi" w:cstheme="minorBidi"/>
            <w:caps w:val="0"/>
            <w:noProof/>
            <w:color w:val="auto"/>
            <w:sz w:val="22"/>
            <w:szCs w:val="22"/>
            <w:lang w:eastAsia="en-AU"/>
          </w:rPr>
          <w:tab/>
        </w:r>
        <w:r w:rsidR="002E1F1A" w:rsidRPr="00A867E6">
          <w:rPr>
            <w:rStyle w:val="Hyperlink"/>
            <w:noProof/>
          </w:rPr>
          <w:t>Project approach and timing</w:t>
        </w:r>
        <w:r w:rsidR="002E1F1A">
          <w:rPr>
            <w:noProof/>
            <w:webHidden/>
          </w:rPr>
          <w:tab/>
        </w:r>
        <w:r w:rsidR="002E1F1A">
          <w:rPr>
            <w:noProof/>
            <w:webHidden/>
          </w:rPr>
          <w:fldChar w:fldCharType="begin"/>
        </w:r>
        <w:r w:rsidR="002E1F1A">
          <w:rPr>
            <w:noProof/>
            <w:webHidden/>
          </w:rPr>
          <w:instrText xml:space="preserve"> PAGEREF _Toc523322045 \h </w:instrText>
        </w:r>
        <w:r w:rsidR="002E1F1A">
          <w:rPr>
            <w:noProof/>
            <w:webHidden/>
          </w:rPr>
        </w:r>
        <w:r w:rsidR="002E1F1A">
          <w:rPr>
            <w:noProof/>
            <w:webHidden/>
          </w:rPr>
          <w:fldChar w:fldCharType="separate"/>
        </w:r>
        <w:r w:rsidR="002E1F1A">
          <w:rPr>
            <w:noProof/>
            <w:webHidden/>
          </w:rPr>
          <w:t>9</w:t>
        </w:r>
        <w:r w:rsidR="002E1F1A">
          <w:rPr>
            <w:noProof/>
            <w:webHidden/>
          </w:rPr>
          <w:fldChar w:fldCharType="end"/>
        </w:r>
      </w:hyperlink>
    </w:p>
    <w:p w14:paraId="2526A696" w14:textId="3D03F931" w:rsidR="002E1F1A" w:rsidRDefault="000B3762">
      <w:pPr>
        <w:pStyle w:val="TOC3"/>
        <w:rPr>
          <w:rFonts w:asciiTheme="minorHAnsi" w:eastAsiaTheme="minorEastAsia" w:hAnsiTheme="minorHAnsi" w:cstheme="minorBidi"/>
          <w:caps w:val="0"/>
          <w:noProof/>
          <w:color w:val="auto"/>
          <w:sz w:val="22"/>
          <w:szCs w:val="22"/>
          <w:lang w:eastAsia="en-AU"/>
        </w:rPr>
      </w:pPr>
      <w:hyperlink w:anchor="_Toc523322046" w:history="1">
        <w:r w:rsidR="002E1F1A" w:rsidRPr="00A867E6">
          <w:rPr>
            <w:rStyle w:val="Hyperlink"/>
            <w:noProof/>
          </w:rPr>
          <w:t>3.2</w:t>
        </w:r>
        <w:r w:rsidR="002E1F1A">
          <w:rPr>
            <w:rFonts w:asciiTheme="minorHAnsi" w:eastAsiaTheme="minorEastAsia" w:hAnsiTheme="minorHAnsi" w:cstheme="minorBidi"/>
            <w:caps w:val="0"/>
            <w:noProof/>
            <w:color w:val="auto"/>
            <w:sz w:val="22"/>
            <w:szCs w:val="22"/>
            <w:lang w:eastAsia="en-AU"/>
          </w:rPr>
          <w:tab/>
        </w:r>
        <w:r w:rsidR="002E1F1A" w:rsidRPr="00A867E6">
          <w:rPr>
            <w:rStyle w:val="Hyperlink"/>
            <w:noProof/>
          </w:rPr>
          <w:t>Data Collection methods</w:t>
        </w:r>
        <w:r w:rsidR="002E1F1A">
          <w:rPr>
            <w:noProof/>
            <w:webHidden/>
          </w:rPr>
          <w:tab/>
        </w:r>
        <w:r w:rsidR="002E1F1A">
          <w:rPr>
            <w:noProof/>
            <w:webHidden/>
          </w:rPr>
          <w:fldChar w:fldCharType="begin"/>
        </w:r>
        <w:r w:rsidR="002E1F1A">
          <w:rPr>
            <w:noProof/>
            <w:webHidden/>
          </w:rPr>
          <w:instrText xml:space="preserve"> PAGEREF _Toc523322046 \h </w:instrText>
        </w:r>
        <w:r w:rsidR="002E1F1A">
          <w:rPr>
            <w:noProof/>
            <w:webHidden/>
          </w:rPr>
        </w:r>
        <w:r w:rsidR="002E1F1A">
          <w:rPr>
            <w:noProof/>
            <w:webHidden/>
          </w:rPr>
          <w:fldChar w:fldCharType="separate"/>
        </w:r>
        <w:r w:rsidR="002E1F1A">
          <w:rPr>
            <w:noProof/>
            <w:webHidden/>
          </w:rPr>
          <w:t>9</w:t>
        </w:r>
        <w:r w:rsidR="002E1F1A">
          <w:rPr>
            <w:noProof/>
            <w:webHidden/>
          </w:rPr>
          <w:fldChar w:fldCharType="end"/>
        </w:r>
      </w:hyperlink>
    </w:p>
    <w:p w14:paraId="56D183D6" w14:textId="317A396F" w:rsidR="002E1F1A" w:rsidRDefault="000B3762">
      <w:pPr>
        <w:pStyle w:val="TOC4"/>
        <w:rPr>
          <w:rFonts w:asciiTheme="minorHAnsi" w:eastAsiaTheme="minorEastAsia" w:hAnsiTheme="minorHAnsi" w:cstheme="minorBidi"/>
          <w:color w:val="auto"/>
          <w:spacing w:val="0"/>
          <w:sz w:val="22"/>
          <w:szCs w:val="22"/>
          <w:lang w:eastAsia="en-AU"/>
        </w:rPr>
      </w:pPr>
      <w:hyperlink w:anchor="_Toc523322047" w:history="1">
        <w:r w:rsidR="002E1F1A" w:rsidRPr="00A867E6">
          <w:rPr>
            <w:rStyle w:val="Hyperlink"/>
          </w:rPr>
          <w:t>3.2.1</w:t>
        </w:r>
        <w:r w:rsidR="002E1F1A">
          <w:rPr>
            <w:rFonts w:asciiTheme="minorHAnsi" w:eastAsiaTheme="minorEastAsia" w:hAnsiTheme="minorHAnsi" w:cstheme="minorBidi"/>
            <w:color w:val="auto"/>
            <w:spacing w:val="0"/>
            <w:sz w:val="22"/>
            <w:szCs w:val="22"/>
            <w:lang w:eastAsia="en-AU"/>
          </w:rPr>
          <w:tab/>
        </w:r>
        <w:r w:rsidR="002E1F1A" w:rsidRPr="00A867E6">
          <w:rPr>
            <w:rStyle w:val="Hyperlink"/>
          </w:rPr>
          <w:t>Data limitations</w:t>
        </w:r>
        <w:r w:rsidR="002E1F1A">
          <w:rPr>
            <w:webHidden/>
          </w:rPr>
          <w:tab/>
        </w:r>
        <w:r w:rsidR="002E1F1A">
          <w:rPr>
            <w:webHidden/>
          </w:rPr>
          <w:fldChar w:fldCharType="begin"/>
        </w:r>
        <w:r w:rsidR="002E1F1A">
          <w:rPr>
            <w:webHidden/>
          </w:rPr>
          <w:instrText xml:space="preserve"> PAGEREF _Toc523322047 \h </w:instrText>
        </w:r>
        <w:r w:rsidR="002E1F1A">
          <w:rPr>
            <w:webHidden/>
          </w:rPr>
        </w:r>
        <w:r w:rsidR="002E1F1A">
          <w:rPr>
            <w:webHidden/>
          </w:rPr>
          <w:fldChar w:fldCharType="separate"/>
        </w:r>
        <w:r w:rsidR="002E1F1A">
          <w:rPr>
            <w:webHidden/>
          </w:rPr>
          <w:t>10</w:t>
        </w:r>
        <w:r w:rsidR="002E1F1A">
          <w:rPr>
            <w:webHidden/>
          </w:rPr>
          <w:fldChar w:fldCharType="end"/>
        </w:r>
      </w:hyperlink>
    </w:p>
    <w:p w14:paraId="3EBB7D30" w14:textId="71DC6B77" w:rsidR="002E1F1A" w:rsidRDefault="000B3762">
      <w:pPr>
        <w:pStyle w:val="TOC4"/>
        <w:rPr>
          <w:rFonts w:asciiTheme="minorHAnsi" w:eastAsiaTheme="minorEastAsia" w:hAnsiTheme="minorHAnsi" w:cstheme="minorBidi"/>
          <w:color w:val="auto"/>
          <w:spacing w:val="0"/>
          <w:sz w:val="22"/>
          <w:szCs w:val="22"/>
          <w:lang w:eastAsia="en-AU"/>
        </w:rPr>
      </w:pPr>
      <w:hyperlink w:anchor="_Toc523322048" w:history="1">
        <w:r w:rsidR="002E1F1A" w:rsidRPr="00A867E6">
          <w:rPr>
            <w:rStyle w:val="Hyperlink"/>
          </w:rPr>
          <w:t>3.2.2</w:t>
        </w:r>
        <w:r w:rsidR="002E1F1A">
          <w:rPr>
            <w:rFonts w:asciiTheme="minorHAnsi" w:eastAsiaTheme="minorEastAsia" w:hAnsiTheme="minorHAnsi" w:cstheme="minorBidi"/>
            <w:color w:val="auto"/>
            <w:spacing w:val="0"/>
            <w:sz w:val="22"/>
            <w:szCs w:val="22"/>
            <w:lang w:eastAsia="en-AU"/>
          </w:rPr>
          <w:tab/>
        </w:r>
        <w:r w:rsidR="002E1F1A" w:rsidRPr="00A867E6">
          <w:rPr>
            <w:rStyle w:val="Hyperlink"/>
          </w:rPr>
          <w:t>Audited statements: limitations</w:t>
        </w:r>
        <w:r w:rsidR="002E1F1A">
          <w:rPr>
            <w:webHidden/>
          </w:rPr>
          <w:tab/>
        </w:r>
        <w:r w:rsidR="002E1F1A">
          <w:rPr>
            <w:webHidden/>
          </w:rPr>
          <w:fldChar w:fldCharType="begin"/>
        </w:r>
        <w:r w:rsidR="002E1F1A">
          <w:rPr>
            <w:webHidden/>
          </w:rPr>
          <w:instrText xml:space="preserve"> PAGEREF _Toc523322048 \h </w:instrText>
        </w:r>
        <w:r w:rsidR="002E1F1A">
          <w:rPr>
            <w:webHidden/>
          </w:rPr>
        </w:r>
        <w:r w:rsidR="002E1F1A">
          <w:rPr>
            <w:webHidden/>
          </w:rPr>
          <w:fldChar w:fldCharType="separate"/>
        </w:r>
        <w:r w:rsidR="002E1F1A">
          <w:rPr>
            <w:webHidden/>
          </w:rPr>
          <w:t>10</w:t>
        </w:r>
        <w:r w:rsidR="002E1F1A">
          <w:rPr>
            <w:webHidden/>
          </w:rPr>
          <w:fldChar w:fldCharType="end"/>
        </w:r>
      </w:hyperlink>
    </w:p>
    <w:p w14:paraId="39BE691D" w14:textId="75FEBB29" w:rsidR="002E1F1A" w:rsidRDefault="000B3762">
      <w:pPr>
        <w:pStyle w:val="TOC4"/>
        <w:rPr>
          <w:rFonts w:asciiTheme="minorHAnsi" w:eastAsiaTheme="minorEastAsia" w:hAnsiTheme="minorHAnsi" w:cstheme="minorBidi"/>
          <w:color w:val="auto"/>
          <w:spacing w:val="0"/>
          <w:sz w:val="22"/>
          <w:szCs w:val="22"/>
          <w:lang w:eastAsia="en-AU"/>
        </w:rPr>
      </w:pPr>
      <w:hyperlink w:anchor="_Toc523322049" w:history="1">
        <w:r w:rsidR="002E1F1A" w:rsidRPr="00A867E6">
          <w:rPr>
            <w:rStyle w:val="Hyperlink"/>
          </w:rPr>
          <w:t>3.2.3</w:t>
        </w:r>
        <w:r w:rsidR="002E1F1A">
          <w:rPr>
            <w:rFonts w:asciiTheme="minorHAnsi" w:eastAsiaTheme="minorEastAsia" w:hAnsiTheme="minorHAnsi" w:cstheme="minorBidi"/>
            <w:color w:val="auto"/>
            <w:spacing w:val="0"/>
            <w:sz w:val="22"/>
            <w:szCs w:val="22"/>
            <w:lang w:eastAsia="en-AU"/>
          </w:rPr>
          <w:tab/>
        </w:r>
        <w:r w:rsidR="002E1F1A" w:rsidRPr="00A867E6">
          <w:rPr>
            <w:rStyle w:val="Hyperlink"/>
          </w:rPr>
          <w:t>Workforce data: lack of historical trendline data</w:t>
        </w:r>
        <w:r w:rsidR="002E1F1A">
          <w:rPr>
            <w:webHidden/>
          </w:rPr>
          <w:tab/>
        </w:r>
        <w:r w:rsidR="002E1F1A">
          <w:rPr>
            <w:webHidden/>
          </w:rPr>
          <w:fldChar w:fldCharType="begin"/>
        </w:r>
        <w:r w:rsidR="002E1F1A">
          <w:rPr>
            <w:webHidden/>
          </w:rPr>
          <w:instrText xml:space="preserve"> PAGEREF _Toc523322049 \h </w:instrText>
        </w:r>
        <w:r w:rsidR="002E1F1A">
          <w:rPr>
            <w:webHidden/>
          </w:rPr>
        </w:r>
        <w:r w:rsidR="002E1F1A">
          <w:rPr>
            <w:webHidden/>
          </w:rPr>
          <w:fldChar w:fldCharType="separate"/>
        </w:r>
        <w:r w:rsidR="002E1F1A">
          <w:rPr>
            <w:webHidden/>
          </w:rPr>
          <w:t>10</w:t>
        </w:r>
        <w:r w:rsidR="002E1F1A">
          <w:rPr>
            <w:webHidden/>
          </w:rPr>
          <w:fldChar w:fldCharType="end"/>
        </w:r>
      </w:hyperlink>
    </w:p>
    <w:p w14:paraId="58D34CBC" w14:textId="47020470" w:rsidR="002E1F1A" w:rsidRDefault="000B3762">
      <w:pPr>
        <w:pStyle w:val="TOC4"/>
        <w:rPr>
          <w:rFonts w:asciiTheme="minorHAnsi" w:eastAsiaTheme="minorEastAsia" w:hAnsiTheme="minorHAnsi" w:cstheme="minorBidi"/>
          <w:color w:val="auto"/>
          <w:spacing w:val="0"/>
          <w:sz w:val="22"/>
          <w:szCs w:val="22"/>
          <w:lang w:eastAsia="en-AU"/>
        </w:rPr>
      </w:pPr>
      <w:hyperlink w:anchor="_Toc523322050" w:history="1">
        <w:r w:rsidR="002E1F1A" w:rsidRPr="00A867E6">
          <w:rPr>
            <w:rStyle w:val="Hyperlink"/>
          </w:rPr>
          <w:t>3.2.4</w:t>
        </w:r>
        <w:r w:rsidR="002E1F1A">
          <w:rPr>
            <w:rFonts w:asciiTheme="minorHAnsi" w:eastAsiaTheme="minorEastAsia" w:hAnsiTheme="minorHAnsi" w:cstheme="minorBidi"/>
            <w:color w:val="auto"/>
            <w:spacing w:val="0"/>
            <w:sz w:val="22"/>
            <w:szCs w:val="22"/>
            <w:lang w:eastAsia="en-AU"/>
          </w:rPr>
          <w:tab/>
        </w:r>
        <w:r w:rsidR="002E1F1A" w:rsidRPr="00A867E6">
          <w:rPr>
            <w:rStyle w:val="Hyperlink"/>
          </w:rPr>
          <w:t>Calculation of program unit costs: limitations in determining the overhead component</w:t>
        </w:r>
        <w:r w:rsidR="002E1F1A">
          <w:rPr>
            <w:webHidden/>
          </w:rPr>
          <w:tab/>
        </w:r>
        <w:r w:rsidR="002E1F1A">
          <w:rPr>
            <w:webHidden/>
          </w:rPr>
          <w:fldChar w:fldCharType="begin"/>
        </w:r>
        <w:r w:rsidR="002E1F1A">
          <w:rPr>
            <w:webHidden/>
          </w:rPr>
          <w:instrText xml:space="preserve"> PAGEREF _Toc523322050 \h </w:instrText>
        </w:r>
        <w:r w:rsidR="002E1F1A">
          <w:rPr>
            <w:webHidden/>
          </w:rPr>
        </w:r>
        <w:r w:rsidR="002E1F1A">
          <w:rPr>
            <w:webHidden/>
          </w:rPr>
          <w:fldChar w:fldCharType="separate"/>
        </w:r>
        <w:r w:rsidR="002E1F1A">
          <w:rPr>
            <w:webHidden/>
          </w:rPr>
          <w:t>11</w:t>
        </w:r>
        <w:r w:rsidR="002E1F1A">
          <w:rPr>
            <w:webHidden/>
          </w:rPr>
          <w:fldChar w:fldCharType="end"/>
        </w:r>
      </w:hyperlink>
    </w:p>
    <w:p w14:paraId="3D33A1E9" w14:textId="3510998F" w:rsidR="002E1F1A" w:rsidRDefault="000B3762">
      <w:pPr>
        <w:pStyle w:val="TOC4"/>
        <w:rPr>
          <w:rFonts w:asciiTheme="minorHAnsi" w:eastAsiaTheme="minorEastAsia" w:hAnsiTheme="minorHAnsi" w:cstheme="minorBidi"/>
          <w:color w:val="auto"/>
          <w:spacing w:val="0"/>
          <w:sz w:val="22"/>
          <w:szCs w:val="22"/>
          <w:lang w:eastAsia="en-AU"/>
        </w:rPr>
      </w:pPr>
      <w:hyperlink w:anchor="_Toc523322051" w:history="1">
        <w:r w:rsidR="002E1F1A" w:rsidRPr="00A867E6">
          <w:rPr>
            <w:rStyle w:val="Hyperlink"/>
          </w:rPr>
          <w:t>3.2.5</w:t>
        </w:r>
        <w:r w:rsidR="002E1F1A">
          <w:rPr>
            <w:rFonts w:asciiTheme="minorHAnsi" w:eastAsiaTheme="minorEastAsia" w:hAnsiTheme="minorHAnsi" w:cstheme="minorBidi"/>
            <w:color w:val="auto"/>
            <w:spacing w:val="0"/>
            <w:sz w:val="22"/>
            <w:szCs w:val="22"/>
            <w:lang w:eastAsia="en-AU"/>
          </w:rPr>
          <w:tab/>
        </w:r>
        <w:r w:rsidR="002E1F1A" w:rsidRPr="00A867E6">
          <w:rPr>
            <w:rStyle w:val="Hyperlink"/>
          </w:rPr>
          <w:t>Comparison of FTE across geographic areas</w:t>
        </w:r>
        <w:r w:rsidR="002E1F1A">
          <w:rPr>
            <w:webHidden/>
          </w:rPr>
          <w:tab/>
        </w:r>
        <w:r w:rsidR="002E1F1A">
          <w:rPr>
            <w:webHidden/>
          </w:rPr>
          <w:fldChar w:fldCharType="begin"/>
        </w:r>
        <w:r w:rsidR="002E1F1A">
          <w:rPr>
            <w:webHidden/>
          </w:rPr>
          <w:instrText xml:space="preserve"> PAGEREF _Toc523322051 \h </w:instrText>
        </w:r>
        <w:r w:rsidR="002E1F1A">
          <w:rPr>
            <w:webHidden/>
          </w:rPr>
        </w:r>
        <w:r w:rsidR="002E1F1A">
          <w:rPr>
            <w:webHidden/>
          </w:rPr>
          <w:fldChar w:fldCharType="separate"/>
        </w:r>
        <w:r w:rsidR="002E1F1A">
          <w:rPr>
            <w:webHidden/>
          </w:rPr>
          <w:t>11</w:t>
        </w:r>
        <w:r w:rsidR="002E1F1A">
          <w:rPr>
            <w:webHidden/>
          </w:rPr>
          <w:fldChar w:fldCharType="end"/>
        </w:r>
      </w:hyperlink>
    </w:p>
    <w:p w14:paraId="00D74AC7" w14:textId="464DCCE5" w:rsidR="002E1F1A" w:rsidRDefault="000B3762">
      <w:pPr>
        <w:pStyle w:val="TOC5"/>
        <w:rPr>
          <w:rFonts w:asciiTheme="minorHAnsi" w:eastAsiaTheme="minorEastAsia" w:hAnsiTheme="minorHAnsi" w:cstheme="minorBidi"/>
          <w:caps w:val="0"/>
          <w:noProof/>
          <w:color w:val="auto"/>
          <w:spacing w:val="0"/>
          <w:sz w:val="22"/>
          <w:szCs w:val="22"/>
          <w:lang w:eastAsia="en-AU"/>
        </w:rPr>
      </w:pPr>
      <w:hyperlink w:anchor="_Toc523322052" w:history="1">
        <w:r w:rsidR="002E1F1A" w:rsidRPr="00A867E6">
          <w:rPr>
            <w:rStyle w:val="Hyperlink"/>
            <w:noProof/>
          </w:rPr>
          <w:t>PART B – FINDINGS</w:t>
        </w:r>
        <w:r w:rsidR="002E1F1A">
          <w:rPr>
            <w:noProof/>
            <w:webHidden/>
          </w:rPr>
          <w:tab/>
        </w:r>
        <w:r w:rsidR="002E1F1A">
          <w:rPr>
            <w:noProof/>
            <w:webHidden/>
          </w:rPr>
          <w:fldChar w:fldCharType="begin"/>
        </w:r>
        <w:r w:rsidR="002E1F1A">
          <w:rPr>
            <w:noProof/>
            <w:webHidden/>
          </w:rPr>
          <w:instrText xml:space="preserve"> PAGEREF _Toc523322052 \h </w:instrText>
        </w:r>
        <w:r w:rsidR="002E1F1A">
          <w:rPr>
            <w:noProof/>
            <w:webHidden/>
          </w:rPr>
        </w:r>
        <w:r w:rsidR="002E1F1A">
          <w:rPr>
            <w:noProof/>
            <w:webHidden/>
          </w:rPr>
          <w:fldChar w:fldCharType="separate"/>
        </w:r>
        <w:r w:rsidR="002E1F1A">
          <w:rPr>
            <w:noProof/>
            <w:webHidden/>
          </w:rPr>
          <w:t>12</w:t>
        </w:r>
        <w:r w:rsidR="002E1F1A">
          <w:rPr>
            <w:noProof/>
            <w:webHidden/>
          </w:rPr>
          <w:fldChar w:fldCharType="end"/>
        </w:r>
      </w:hyperlink>
    </w:p>
    <w:p w14:paraId="5E5C73AE" w14:textId="660D7785" w:rsidR="002E1F1A" w:rsidRDefault="000B3762">
      <w:pPr>
        <w:pStyle w:val="TOC2"/>
        <w:rPr>
          <w:rFonts w:asciiTheme="minorHAnsi" w:eastAsiaTheme="minorEastAsia" w:hAnsiTheme="minorHAnsi" w:cstheme="minorBidi"/>
          <w:caps w:val="0"/>
          <w:noProof/>
          <w:color w:val="auto"/>
          <w:spacing w:val="0"/>
          <w:sz w:val="22"/>
          <w:szCs w:val="22"/>
          <w:u w:val="none"/>
          <w:lang w:eastAsia="en-AU"/>
        </w:rPr>
      </w:pPr>
      <w:hyperlink w:anchor="_Toc523322053" w:history="1">
        <w:r w:rsidR="002E1F1A" w:rsidRPr="00A867E6">
          <w:rPr>
            <w:rStyle w:val="Hyperlink"/>
            <w:noProof/>
            <w:lang w:val="en-US"/>
          </w:rPr>
          <w:t>4</w:t>
        </w:r>
        <w:r w:rsidR="002E1F1A">
          <w:rPr>
            <w:rFonts w:asciiTheme="minorHAnsi" w:eastAsiaTheme="minorEastAsia" w:hAnsiTheme="minorHAnsi" w:cstheme="minorBidi"/>
            <w:caps w:val="0"/>
            <w:noProof/>
            <w:color w:val="auto"/>
            <w:spacing w:val="0"/>
            <w:sz w:val="22"/>
            <w:szCs w:val="22"/>
            <w:u w:val="none"/>
            <w:lang w:eastAsia="en-AU"/>
          </w:rPr>
          <w:tab/>
        </w:r>
        <w:r w:rsidR="002E1F1A" w:rsidRPr="00A867E6">
          <w:rPr>
            <w:rStyle w:val="Hyperlink"/>
            <w:noProof/>
            <w:lang w:val="en-US"/>
          </w:rPr>
          <w:t>Appropriateness</w:t>
        </w:r>
        <w:r w:rsidR="002E1F1A">
          <w:rPr>
            <w:noProof/>
            <w:webHidden/>
          </w:rPr>
          <w:tab/>
        </w:r>
        <w:r w:rsidR="002E1F1A">
          <w:rPr>
            <w:noProof/>
            <w:webHidden/>
          </w:rPr>
          <w:fldChar w:fldCharType="begin"/>
        </w:r>
        <w:r w:rsidR="002E1F1A">
          <w:rPr>
            <w:noProof/>
            <w:webHidden/>
          </w:rPr>
          <w:instrText xml:space="preserve"> PAGEREF _Toc523322053 \h </w:instrText>
        </w:r>
        <w:r w:rsidR="002E1F1A">
          <w:rPr>
            <w:noProof/>
            <w:webHidden/>
          </w:rPr>
        </w:r>
        <w:r w:rsidR="002E1F1A">
          <w:rPr>
            <w:noProof/>
            <w:webHidden/>
          </w:rPr>
          <w:fldChar w:fldCharType="separate"/>
        </w:r>
        <w:r w:rsidR="002E1F1A">
          <w:rPr>
            <w:noProof/>
            <w:webHidden/>
          </w:rPr>
          <w:t>13</w:t>
        </w:r>
        <w:r w:rsidR="002E1F1A">
          <w:rPr>
            <w:noProof/>
            <w:webHidden/>
          </w:rPr>
          <w:fldChar w:fldCharType="end"/>
        </w:r>
      </w:hyperlink>
    </w:p>
    <w:p w14:paraId="1BCECDAE" w14:textId="2E4254D5" w:rsidR="002E1F1A" w:rsidRDefault="000B3762">
      <w:pPr>
        <w:pStyle w:val="TOC3"/>
        <w:rPr>
          <w:rFonts w:asciiTheme="minorHAnsi" w:eastAsiaTheme="minorEastAsia" w:hAnsiTheme="minorHAnsi" w:cstheme="minorBidi"/>
          <w:caps w:val="0"/>
          <w:noProof/>
          <w:color w:val="auto"/>
          <w:sz w:val="22"/>
          <w:szCs w:val="22"/>
          <w:lang w:eastAsia="en-AU"/>
        </w:rPr>
      </w:pPr>
      <w:hyperlink w:anchor="_Toc523322054" w:history="1">
        <w:r w:rsidR="002E1F1A" w:rsidRPr="00A867E6">
          <w:rPr>
            <w:rStyle w:val="Hyperlink"/>
            <w:noProof/>
          </w:rPr>
          <w:t>4.1</w:t>
        </w:r>
        <w:r w:rsidR="002E1F1A">
          <w:rPr>
            <w:rFonts w:asciiTheme="minorHAnsi" w:eastAsiaTheme="minorEastAsia" w:hAnsiTheme="minorHAnsi" w:cstheme="minorBidi"/>
            <w:caps w:val="0"/>
            <w:noProof/>
            <w:color w:val="auto"/>
            <w:sz w:val="22"/>
            <w:szCs w:val="22"/>
            <w:lang w:eastAsia="en-AU"/>
          </w:rPr>
          <w:tab/>
        </w:r>
        <w:r w:rsidR="002E1F1A" w:rsidRPr="00A867E6">
          <w:rPr>
            <w:rStyle w:val="Hyperlink"/>
            <w:noProof/>
          </w:rPr>
          <w:t>Distribution of the pharmacy workforce: underlying need</w:t>
        </w:r>
        <w:r w:rsidR="002E1F1A">
          <w:rPr>
            <w:noProof/>
            <w:webHidden/>
          </w:rPr>
          <w:tab/>
        </w:r>
        <w:r w:rsidR="002E1F1A">
          <w:rPr>
            <w:noProof/>
            <w:webHidden/>
          </w:rPr>
          <w:fldChar w:fldCharType="begin"/>
        </w:r>
        <w:r w:rsidR="002E1F1A">
          <w:rPr>
            <w:noProof/>
            <w:webHidden/>
          </w:rPr>
          <w:instrText xml:space="preserve"> PAGEREF _Toc523322054 \h </w:instrText>
        </w:r>
        <w:r w:rsidR="002E1F1A">
          <w:rPr>
            <w:noProof/>
            <w:webHidden/>
          </w:rPr>
        </w:r>
        <w:r w:rsidR="002E1F1A">
          <w:rPr>
            <w:noProof/>
            <w:webHidden/>
          </w:rPr>
          <w:fldChar w:fldCharType="separate"/>
        </w:r>
        <w:r w:rsidR="002E1F1A">
          <w:rPr>
            <w:noProof/>
            <w:webHidden/>
          </w:rPr>
          <w:t>14</w:t>
        </w:r>
        <w:r w:rsidR="002E1F1A">
          <w:rPr>
            <w:noProof/>
            <w:webHidden/>
          </w:rPr>
          <w:fldChar w:fldCharType="end"/>
        </w:r>
      </w:hyperlink>
    </w:p>
    <w:p w14:paraId="67B547A1" w14:textId="4DCA6398" w:rsidR="002E1F1A" w:rsidRDefault="000B3762">
      <w:pPr>
        <w:pStyle w:val="TOC3"/>
        <w:rPr>
          <w:rFonts w:asciiTheme="minorHAnsi" w:eastAsiaTheme="minorEastAsia" w:hAnsiTheme="minorHAnsi" w:cstheme="minorBidi"/>
          <w:caps w:val="0"/>
          <w:noProof/>
          <w:color w:val="auto"/>
          <w:sz w:val="22"/>
          <w:szCs w:val="22"/>
          <w:lang w:eastAsia="en-AU"/>
        </w:rPr>
      </w:pPr>
      <w:hyperlink w:anchor="_Toc523322055" w:history="1">
        <w:r w:rsidR="002E1F1A" w:rsidRPr="00A867E6">
          <w:rPr>
            <w:rStyle w:val="Hyperlink"/>
            <w:noProof/>
          </w:rPr>
          <w:t>4.2</w:t>
        </w:r>
        <w:r w:rsidR="002E1F1A">
          <w:rPr>
            <w:rFonts w:asciiTheme="minorHAnsi" w:eastAsiaTheme="minorEastAsia" w:hAnsiTheme="minorHAnsi" w:cstheme="minorBidi"/>
            <w:caps w:val="0"/>
            <w:noProof/>
            <w:color w:val="auto"/>
            <w:sz w:val="22"/>
            <w:szCs w:val="22"/>
            <w:lang w:eastAsia="en-AU"/>
          </w:rPr>
          <w:tab/>
        </w:r>
        <w:r w:rsidR="002E1F1A" w:rsidRPr="00A867E6">
          <w:rPr>
            <w:rStyle w:val="Hyperlink"/>
            <w:noProof/>
          </w:rPr>
          <w:t>Program design: Appropriateness</w:t>
        </w:r>
        <w:r w:rsidR="002E1F1A">
          <w:rPr>
            <w:noProof/>
            <w:webHidden/>
          </w:rPr>
          <w:tab/>
        </w:r>
        <w:r w:rsidR="002E1F1A">
          <w:rPr>
            <w:noProof/>
            <w:webHidden/>
          </w:rPr>
          <w:fldChar w:fldCharType="begin"/>
        </w:r>
        <w:r w:rsidR="002E1F1A">
          <w:rPr>
            <w:noProof/>
            <w:webHidden/>
          </w:rPr>
          <w:instrText xml:space="preserve"> PAGEREF _Toc523322055 \h </w:instrText>
        </w:r>
        <w:r w:rsidR="002E1F1A">
          <w:rPr>
            <w:noProof/>
            <w:webHidden/>
          </w:rPr>
        </w:r>
        <w:r w:rsidR="002E1F1A">
          <w:rPr>
            <w:noProof/>
            <w:webHidden/>
          </w:rPr>
          <w:fldChar w:fldCharType="separate"/>
        </w:r>
        <w:r w:rsidR="002E1F1A">
          <w:rPr>
            <w:noProof/>
            <w:webHidden/>
          </w:rPr>
          <w:t>16</w:t>
        </w:r>
        <w:r w:rsidR="002E1F1A">
          <w:rPr>
            <w:noProof/>
            <w:webHidden/>
          </w:rPr>
          <w:fldChar w:fldCharType="end"/>
        </w:r>
      </w:hyperlink>
    </w:p>
    <w:p w14:paraId="3089C6E7" w14:textId="5C143BF2" w:rsidR="002E1F1A" w:rsidRDefault="000B3762">
      <w:pPr>
        <w:pStyle w:val="TOC4"/>
        <w:rPr>
          <w:rFonts w:asciiTheme="minorHAnsi" w:eastAsiaTheme="minorEastAsia" w:hAnsiTheme="minorHAnsi" w:cstheme="minorBidi"/>
          <w:color w:val="auto"/>
          <w:spacing w:val="0"/>
          <w:sz w:val="22"/>
          <w:szCs w:val="22"/>
          <w:lang w:eastAsia="en-AU"/>
        </w:rPr>
      </w:pPr>
      <w:hyperlink w:anchor="_Toc523322056" w:history="1">
        <w:r w:rsidR="002E1F1A" w:rsidRPr="00A867E6">
          <w:rPr>
            <w:rStyle w:val="Hyperlink"/>
            <w:rFonts w:eastAsia="Times New Roman"/>
          </w:rPr>
          <w:t>4.2.1</w:t>
        </w:r>
        <w:r w:rsidR="002E1F1A">
          <w:rPr>
            <w:rFonts w:asciiTheme="minorHAnsi" w:eastAsiaTheme="minorEastAsia" w:hAnsiTheme="minorHAnsi" w:cstheme="minorBidi"/>
            <w:color w:val="auto"/>
            <w:spacing w:val="0"/>
            <w:sz w:val="22"/>
            <w:szCs w:val="22"/>
            <w:lang w:eastAsia="en-AU"/>
          </w:rPr>
          <w:tab/>
        </w:r>
        <w:r w:rsidR="002E1F1A" w:rsidRPr="00A867E6">
          <w:rPr>
            <w:rStyle w:val="Hyperlink"/>
            <w:rFonts w:eastAsia="Times New Roman"/>
          </w:rPr>
          <w:t>Recruitment component programs</w:t>
        </w:r>
        <w:r w:rsidR="002E1F1A">
          <w:rPr>
            <w:webHidden/>
          </w:rPr>
          <w:tab/>
        </w:r>
        <w:r w:rsidR="002E1F1A">
          <w:rPr>
            <w:webHidden/>
          </w:rPr>
          <w:fldChar w:fldCharType="begin"/>
        </w:r>
        <w:r w:rsidR="002E1F1A">
          <w:rPr>
            <w:webHidden/>
          </w:rPr>
          <w:instrText xml:space="preserve"> PAGEREF _Toc523322056 \h </w:instrText>
        </w:r>
        <w:r w:rsidR="002E1F1A">
          <w:rPr>
            <w:webHidden/>
          </w:rPr>
        </w:r>
        <w:r w:rsidR="002E1F1A">
          <w:rPr>
            <w:webHidden/>
          </w:rPr>
          <w:fldChar w:fldCharType="separate"/>
        </w:r>
        <w:r w:rsidR="002E1F1A">
          <w:rPr>
            <w:webHidden/>
          </w:rPr>
          <w:t>16</w:t>
        </w:r>
        <w:r w:rsidR="002E1F1A">
          <w:rPr>
            <w:webHidden/>
          </w:rPr>
          <w:fldChar w:fldCharType="end"/>
        </w:r>
      </w:hyperlink>
    </w:p>
    <w:p w14:paraId="30A05679" w14:textId="7A573D7A" w:rsidR="002E1F1A" w:rsidRDefault="000B3762">
      <w:pPr>
        <w:pStyle w:val="TOC4"/>
        <w:rPr>
          <w:rFonts w:asciiTheme="minorHAnsi" w:eastAsiaTheme="minorEastAsia" w:hAnsiTheme="minorHAnsi" w:cstheme="minorBidi"/>
          <w:color w:val="auto"/>
          <w:spacing w:val="0"/>
          <w:sz w:val="22"/>
          <w:szCs w:val="22"/>
          <w:lang w:eastAsia="en-AU"/>
        </w:rPr>
      </w:pPr>
      <w:hyperlink w:anchor="_Toc523322057" w:history="1">
        <w:r w:rsidR="002E1F1A" w:rsidRPr="00A867E6">
          <w:rPr>
            <w:rStyle w:val="Hyperlink"/>
            <w:rFonts w:eastAsia="Times New Roman"/>
          </w:rPr>
          <w:t>4.2.2</w:t>
        </w:r>
        <w:r w:rsidR="002E1F1A">
          <w:rPr>
            <w:rFonts w:asciiTheme="minorHAnsi" w:eastAsiaTheme="minorEastAsia" w:hAnsiTheme="minorHAnsi" w:cstheme="minorBidi"/>
            <w:color w:val="auto"/>
            <w:spacing w:val="0"/>
            <w:sz w:val="22"/>
            <w:szCs w:val="22"/>
            <w:lang w:eastAsia="en-AU"/>
          </w:rPr>
          <w:tab/>
        </w:r>
        <w:r w:rsidR="002E1F1A" w:rsidRPr="00A867E6">
          <w:rPr>
            <w:rStyle w:val="Hyperlink"/>
            <w:rFonts w:eastAsia="Times New Roman"/>
          </w:rPr>
          <w:t>Retention component programs</w:t>
        </w:r>
        <w:r w:rsidR="002E1F1A">
          <w:rPr>
            <w:webHidden/>
          </w:rPr>
          <w:tab/>
        </w:r>
        <w:r w:rsidR="002E1F1A">
          <w:rPr>
            <w:webHidden/>
          </w:rPr>
          <w:fldChar w:fldCharType="begin"/>
        </w:r>
        <w:r w:rsidR="002E1F1A">
          <w:rPr>
            <w:webHidden/>
          </w:rPr>
          <w:instrText xml:space="preserve"> PAGEREF _Toc523322057 \h </w:instrText>
        </w:r>
        <w:r w:rsidR="002E1F1A">
          <w:rPr>
            <w:webHidden/>
          </w:rPr>
        </w:r>
        <w:r w:rsidR="002E1F1A">
          <w:rPr>
            <w:webHidden/>
          </w:rPr>
          <w:fldChar w:fldCharType="separate"/>
        </w:r>
        <w:r w:rsidR="002E1F1A">
          <w:rPr>
            <w:webHidden/>
          </w:rPr>
          <w:t>17</w:t>
        </w:r>
        <w:r w:rsidR="002E1F1A">
          <w:rPr>
            <w:webHidden/>
          </w:rPr>
          <w:fldChar w:fldCharType="end"/>
        </w:r>
      </w:hyperlink>
    </w:p>
    <w:p w14:paraId="12222F89" w14:textId="2A6488C3" w:rsidR="002E1F1A" w:rsidRDefault="000B3762">
      <w:pPr>
        <w:pStyle w:val="TOC4"/>
        <w:rPr>
          <w:rFonts w:asciiTheme="minorHAnsi" w:eastAsiaTheme="minorEastAsia" w:hAnsiTheme="minorHAnsi" w:cstheme="minorBidi"/>
          <w:color w:val="auto"/>
          <w:spacing w:val="0"/>
          <w:sz w:val="22"/>
          <w:szCs w:val="22"/>
          <w:lang w:eastAsia="en-AU"/>
        </w:rPr>
      </w:pPr>
      <w:hyperlink w:anchor="_Toc523322058" w:history="1">
        <w:r w:rsidR="002E1F1A" w:rsidRPr="00A867E6">
          <w:rPr>
            <w:rStyle w:val="Hyperlink"/>
            <w:rFonts w:eastAsia="Times New Roman"/>
          </w:rPr>
          <w:t>4.2.3</w:t>
        </w:r>
        <w:r w:rsidR="002E1F1A">
          <w:rPr>
            <w:rFonts w:asciiTheme="minorHAnsi" w:eastAsiaTheme="minorEastAsia" w:hAnsiTheme="minorHAnsi" w:cstheme="minorBidi"/>
            <w:color w:val="auto"/>
            <w:spacing w:val="0"/>
            <w:sz w:val="22"/>
            <w:szCs w:val="22"/>
            <w:lang w:eastAsia="en-AU"/>
          </w:rPr>
          <w:tab/>
        </w:r>
        <w:r w:rsidR="002E1F1A" w:rsidRPr="00A867E6">
          <w:rPr>
            <w:rStyle w:val="Hyperlink"/>
            <w:rFonts w:eastAsia="Times New Roman"/>
          </w:rPr>
          <w:t>Other workforce support component programs</w:t>
        </w:r>
        <w:r w:rsidR="002E1F1A">
          <w:rPr>
            <w:webHidden/>
          </w:rPr>
          <w:tab/>
        </w:r>
        <w:r w:rsidR="002E1F1A">
          <w:rPr>
            <w:webHidden/>
          </w:rPr>
          <w:fldChar w:fldCharType="begin"/>
        </w:r>
        <w:r w:rsidR="002E1F1A">
          <w:rPr>
            <w:webHidden/>
          </w:rPr>
          <w:instrText xml:space="preserve"> PAGEREF _Toc523322058 \h </w:instrText>
        </w:r>
        <w:r w:rsidR="002E1F1A">
          <w:rPr>
            <w:webHidden/>
          </w:rPr>
        </w:r>
        <w:r w:rsidR="002E1F1A">
          <w:rPr>
            <w:webHidden/>
          </w:rPr>
          <w:fldChar w:fldCharType="separate"/>
        </w:r>
        <w:r w:rsidR="002E1F1A">
          <w:rPr>
            <w:webHidden/>
          </w:rPr>
          <w:t>17</w:t>
        </w:r>
        <w:r w:rsidR="002E1F1A">
          <w:rPr>
            <w:webHidden/>
          </w:rPr>
          <w:fldChar w:fldCharType="end"/>
        </w:r>
      </w:hyperlink>
    </w:p>
    <w:p w14:paraId="44864A80" w14:textId="2FCABA2A" w:rsidR="002E1F1A" w:rsidRDefault="000B3762">
      <w:pPr>
        <w:pStyle w:val="TOC3"/>
        <w:rPr>
          <w:rFonts w:asciiTheme="minorHAnsi" w:eastAsiaTheme="minorEastAsia" w:hAnsiTheme="minorHAnsi" w:cstheme="minorBidi"/>
          <w:caps w:val="0"/>
          <w:noProof/>
          <w:color w:val="auto"/>
          <w:sz w:val="22"/>
          <w:szCs w:val="22"/>
          <w:lang w:eastAsia="en-AU"/>
        </w:rPr>
      </w:pPr>
      <w:hyperlink w:anchor="_Toc523322059" w:history="1">
        <w:r w:rsidR="002E1F1A" w:rsidRPr="00A867E6">
          <w:rPr>
            <w:rStyle w:val="Hyperlink"/>
            <w:noProof/>
          </w:rPr>
          <w:t>4.3</w:t>
        </w:r>
        <w:r w:rsidR="002E1F1A">
          <w:rPr>
            <w:rFonts w:asciiTheme="minorHAnsi" w:eastAsiaTheme="minorEastAsia" w:hAnsiTheme="minorHAnsi" w:cstheme="minorBidi"/>
            <w:caps w:val="0"/>
            <w:noProof/>
            <w:color w:val="auto"/>
            <w:sz w:val="22"/>
            <w:szCs w:val="22"/>
            <w:lang w:eastAsia="en-AU"/>
          </w:rPr>
          <w:tab/>
        </w:r>
        <w:r w:rsidR="002E1F1A" w:rsidRPr="00A867E6">
          <w:rPr>
            <w:rStyle w:val="Hyperlink"/>
            <w:noProof/>
          </w:rPr>
          <w:t>Access to Medicines: Underlying Need of Aboriginal and Torres Strait Islander People</w:t>
        </w:r>
        <w:r w:rsidR="002E1F1A">
          <w:rPr>
            <w:noProof/>
            <w:webHidden/>
          </w:rPr>
          <w:tab/>
        </w:r>
        <w:r w:rsidR="002E1F1A">
          <w:rPr>
            <w:noProof/>
            <w:webHidden/>
          </w:rPr>
          <w:fldChar w:fldCharType="begin"/>
        </w:r>
        <w:r w:rsidR="002E1F1A">
          <w:rPr>
            <w:noProof/>
            <w:webHidden/>
          </w:rPr>
          <w:instrText xml:space="preserve"> PAGEREF _Toc523322059 \h </w:instrText>
        </w:r>
        <w:r w:rsidR="002E1F1A">
          <w:rPr>
            <w:noProof/>
            <w:webHidden/>
          </w:rPr>
        </w:r>
        <w:r w:rsidR="002E1F1A">
          <w:rPr>
            <w:noProof/>
            <w:webHidden/>
          </w:rPr>
          <w:fldChar w:fldCharType="separate"/>
        </w:r>
        <w:r w:rsidR="002E1F1A">
          <w:rPr>
            <w:noProof/>
            <w:webHidden/>
          </w:rPr>
          <w:t>18</w:t>
        </w:r>
        <w:r w:rsidR="002E1F1A">
          <w:rPr>
            <w:noProof/>
            <w:webHidden/>
          </w:rPr>
          <w:fldChar w:fldCharType="end"/>
        </w:r>
      </w:hyperlink>
    </w:p>
    <w:p w14:paraId="6EE4DF06" w14:textId="0AC68ADA" w:rsidR="002E1F1A" w:rsidRDefault="000B3762">
      <w:pPr>
        <w:pStyle w:val="TOC3"/>
        <w:rPr>
          <w:rFonts w:asciiTheme="minorHAnsi" w:eastAsiaTheme="minorEastAsia" w:hAnsiTheme="minorHAnsi" w:cstheme="minorBidi"/>
          <w:caps w:val="0"/>
          <w:noProof/>
          <w:color w:val="auto"/>
          <w:sz w:val="22"/>
          <w:szCs w:val="22"/>
          <w:lang w:eastAsia="en-AU"/>
        </w:rPr>
      </w:pPr>
      <w:hyperlink w:anchor="_Toc523322060" w:history="1">
        <w:r w:rsidR="002E1F1A" w:rsidRPr="00A867E6">
          <w:rPr>
            <w:rStyle w:val="Hyperlink"/>
            <w:noProof/>
          </w:rPr>
          <w:t>4.4</w:t>
        </w:r>
        <w:r w:rsidR="002E1F1A">
          <w:rPr>
            <w:rFonts w:asciiTheme="minorHAnsi" w:eastAsiaTheme="minorEastAsia" w:hAnsiTheme="minorHAnsi" w:cstheme="minorBidi"/>
            <w:caps w:val="0"/>
            <w:noProof/>
            <w:color w:val="auto"/>
            <w:sz w:val="22"/>
            <w:szCs w:val="22"/>
            <w:lang w:eastAsia="en-AU"/>
          </w:rPr>
          <w:tab/>
        </w:r>
        <w:r w:rsidR="002E1F1A" w:rsidRPr="00A867E6">
          <w:rPr>
            <w:rStyle w:val="Hyperlink"/>
            <w:noProof/>
          </w:rPr>
          <w:t>Program design: Appropriateness</w:t>
        </w:r>
        <w:r w:rsidR="002E1F1A">
          <w:rPr>
            <w:noProof/>
            <w:webHidden/>
          </w:rPr>
          <w:tab/>
        </w:r>
        <w:r w:rsidR="002E1F1A">
          <w:rPr>
            <w:noProof/>
            <w:webHidden/>
          </w:rPr>
          <w:fldChar w:fldCharType="begin"/>
        </w:r>
        <w:r w:rsidR="002E1F1A">
          <w:rPr>
            <w:noProof/>
            <w:webHidden/>
          </w:rPr>
          <w:instrText xml:space="preserve"> PAGEREF _Toc523322060 \h </w:instrText>
        </w:r>
        <w:r w:rsidR="002E1F1A">
          <w:rPr>
            <w:noProof/>
            <w:webHidden/>
          </w:rPr>
        </w:r>
        <w:r w:rsidR="002E1F1A">
          <w:rPr>
            <w:noProof/>
            <w:webHidden/>
          </w:rPr>
          <w:fldChar w:fldCharType="separate"/>
        </w:r>
        <w:r w:rsidR="002E1F1A">
          <w:rPr>
            <w:noProof/>
            <w:webHidden/>
          </w:rPr>
          <w:t>18</w:t>
        </w:r>
        <w:r w:rsidR="002E1F1A">
          <w:rPr>
            <w:noProof/>
            <w:webHidden/>
          </w:rPr>
          <w:fldChar w:fldCharType="end"/>
        </w:r>
      </w:hyperlink>
    </w:p>
    <w:p w14:paraId="5D4CD0CE" w14:textId="74DE3A84" w:rsidR="002E1F1A" w:rsidRDefault="000B3762">
      <w:pPr>
        <w:pStyle w:val="TOC4"/>
        <w:rPr>
          <w:rFonts w:asciiTheme="minorHAnsi" w:eastAsiaTheme="minorEastAsia" w:hAnsiTheme="minorHAnsi" w:cstheme="minorBidi"/>
          <w:color w:val="auto"/>
          <w:spacing w:val="0"/>
          <w:sz w:val="22"/>
          <w:szCs w:val="22"/>
          <w:lang w:eastAsia="en-AU"/>
        </w:rPr>
      </w:pPr>
      <w:hyperlink w:anchor="_Toc523322061" w:history="1">
        <w:r w:rsidR="002E1F1A" w:rsidRPr="00A867E6">
          <w:rPr>
            <w:rStyle w:val="Hyperlink"/>
          </w:rPr>
          <w:t>4.4.1</w:t>
        </w:r>
        <w:r w:rsidR="002E1F1A">
          <w:rPr>
            <w:rFonts w:asciiTheme="minorHAnsi" w:eastAsiaTheme="minorEastAsia" w:hAnsiTheme="minorHAnsi" w:cstheme="minorBidi"/>
            <w:color w:val="auto"/>
            <w:spacing w:val="0"/>
            <w:sz w:val="22"/>
            <w:szCs w:val="22"/>
            <w:lang w:eastAsia="en-AU"/>
          </w:rPr>
          <w:tab/>
        </w:r>
        <w:r w:rsidR="002E1F1A" w:rsidRPr="00A867E6">
          <w:rPr>
            <w:rStyle w:val="Hyperlink"/>
          </w:rPr>
          <w:t>Aboriginal and Torres Strait Islander Pharmacy Assistant Traineeship Scheme</w:t>
        </w:r>
        <w:r w:rsidR="002E1F1A">
          <w:rPr>
            <w:webHidden/>
          </w:rPr>
          <w:tab/>
        </w:r>
        <w:r w:rsidR="002E1F1A">
          <w:rPr>
            <w:webHidden/>
          </w:rPr>
          <w:fldChar w:fldCharType="begin"/>
        </w:r>
        <w:r w:rsidR="002E1F1A">
          <w:rPr>
            <w:webHidden/>
          </w:rPr>
          <w:instrText xml:space="preserve"> PAGEREF _Toc523322061 \h </w:instrText>
        </w:r>
        <w:r w:rsidR="002E1F1A">
          <w:rPr>
            <w:webHidden/>
          </w:rPr>
        </w:r>
        <w:r w:rsidR="002E1F1A">
          <w:rPr>
            <w:webHidden/>
          </w:rPr>
          <w:fldChar w:fldCharType="separate"/>
        </w:r>
        <w:r w:rsidR="002E1F1A">
          <w:rPr>
            <w:webHidden/>
          </w:rPr>
          <w:t>18</w:t>
        </w:r>
        <w:r w:rsidR="002E1F1A">
          <w:rPr>
            <w:webHidden/>
          </w:rPr>
          <w:fldChar w:fldCharType="end"/>
        </w:r>
      </w:hyperlink>
    </w:p>
    <w:p w14:paraId="66F350C4" w14:textId="1F5EC0EF" w:rsidR="002E1F1A" w:rsidRDefault="000B3762">
      <w:pPr>
        <w:pStyle w:val="TOC2"/>
        <w:rPr>
          <w:rFonts w:asciiTheme="minorHAnsi" w:eastAsiaTheme="minorEastAsia" w:hAnsiTheme="minorHAnsi" w:cstheme="minorBidi"/>
          <w:caps w:val="0"/>
          <w:noProof/>
          <w:color w:val="auto"/>
          <w:spacing w:val="0"/>
          <w:sz w:val="22"/>
          <w:szCs w:val="22"/>
          <w:u w:val="none"/>
          <w:lang w:eastAsia="en-AU"/>
        </w:rPr>
      </w:pPr>
      <w:hyperlink w:anchor="_Toc523322062" w:history="1">
        <w:r w:rsidR="002E1F1A" w:rsidRPr="00A867E6">
          <w:rPr>
            <w:rStyle w:val="Hyperlink"/>
            <w:noProof/>
            <w:lang w:val="en-US"/>
          </w:rPr>
          <w:t>5</w:t>
        </w:r>
        <w:r w:rsidR="002E1F1A">
          <w:rPr>
            <w:rFonts w:asciiTheme="minorHAnsi" w:eastAsiaTheme="minorEastAsia" w:hAnsiTheme="minorHAnsi" w:cstheme="minorBidi"/>
            <w:caps w:val="0"/>
            <w:noProof/>
            <w:color w:val="auto"/>
            <w:spacing w:val="0"/>
            <w:sz w:val="22"/>
            <w:szCs w:val="22"/>
            <w:u w:val="none"/>
            <w:lang w:eastAsia="en-AU"/>
          </w:rPr>
          <w:tab/>
        </w:r>
        <w:r w:rsidR="002E1F1A" w:rsidRPr="00A867E6">
          <w:rPr>
            <w:rStyle w:val="Hyperlink"/>
            <w:noProof/>
            <w:lang w:val="en-US"/>
          </w:rPr>
          <w:t>Effectiveness</w:t>
        </w:r>
        <w:r w:rsidR="002E1F1A">
          <w:rPr>
            <w:noProof/>
            <w:webHidden/>
          </w:rPr>
          <w:tab/>
        </w:r>
        <w:r w:rsidR="002E1F1A">
          <w:rPr>
            <w:noProof/>
            <w:webHidden/>
          </w:rPr>
          <w:fldChar w:fldCharType="begin"/>
        </w:r>
        <w:r w:rsidR="002E1F1A">
          <w:rPr>
            <w:noProof/>
            <w:webHidden/>
          </w:rPr>
          <w:instrText xml:space="preserve"> PAGEREF _Toc523322062 \h </w:instrText>
        </w:r>
        <w:r w:rsidR="002E1F1A">
          <w:rPr>
            <w:noProof/>
            <w:webHidden/>
          </w:rPr>
        </w:r>
        <w:r w:rsidR="002E1F1A">
          <w:rPr>
            <w:noProof/>
            <w:webHidden/>
          </w:rPr>
          <w:fldChar w:fldCharType="separate"/>
        </w:r>
        <w:r w:rsidR="002E1F1A">
          <w:rPr>
            <w:noProof/>
            <w:webHidden/>
          </w:rPr>
          <w:t>20</w:t>
        </w:r>
        <w:r w:rsidR="002E1F1A">
          <w:rPr>
            <w:noProof/>
            <w:webHidden/>
          </w:rPr>
          <w:fldChar w:fldCharType="end"/>
        </w:r>
      </w:hyperlink>
    </w:p>
    <w:p w14:paraId="1F6E588E" w14:textId="6BC977BB" w:rsidR="002E1F1A" w:rsidRDefault="000B3762">
      <w:pPr>
        <w:pStyle w:val="TOC3"/>
        <w:rPr>
          <w:rFonts w:asciiTheme="minorHAnsi" w:eastAsiaTheme="minorEastAsia" w:hAnsiTheme="minorHAnsi" w:cstheme="minorBidi"/>
          <w:caps w:val="0"/>
          <w:noProof/>
          <w:color w:val="auto"/>
          <w:sz w:val="22"/>
          <w:szCs w:val="22"/>
          <w:lang w:eastAsia="en-AU"/>
        </w:rPr>
      </w:pPr>
      <w:hyperlink w:anchor="_Toc523322063" w:history="1">
        <w:r w:rsidR="002E1F1A" w:rsidRPr="00A867E6">
          <w:rPr>
            <w:rStyle w:val="Hyperlink"/>
            <w:noProof/>
          </w:rPr>
          <w:t>5.1</w:t>
        </w:r>
        <w:r w:rsidR="002E1F1A">
          <w:rPr>
            <w:rFonts w:asciiTheme="minorHAnsi" w:eastAsiaTheme="minorEastAsia" w:hAnsiTheme="minorHAnsi" w:cstheme="minorBidi"/>
            <w:caps w:val="0"/>
            <w:noProof/>
            <w:color w:val="auto"/>
            <w:sz w:val="22"/>
            <w:szCs w:val="22"/>
            <w:lang w:eastAsia="en-AU"/>
          </w:rPr>
          <w:tab/>
        </w:r>
        <w:r w:rsidR="002E1F1A" w:rsidRPr="00A867E6">
          <w:rPr>
            <w:rStyle w:val="Hyperlink"/>
            <w:noProof/>
          </w:rPr>
          <w:t>Estimated Shortfall in Community Pharmacists Relative to Program Impacts</w:t>
        </w:r>
        <w:r w:rsidR="002E1F1A">
          <w:rPr>
            <w:noProof/>
            <w:webHidden/>
          </w:rPr>
          <w:tab/>
        </w:r>
        <w:r w:rsidR="002E1F1A">
          <w:rPr>
            <w:noProof/>
            <w:webHidden/>
          </w:rPr>
          <w:fldChar w:fldCharType="begin"/>
        </w:r>
        <w:r w:rsidR="002E1F1A">
          <w:rPr>
            <w:noProof/>
            <w:webHidden/>
          </w:rPr>
          <w:instrText xml:space="preserve"> PAGEREF _Toc523322063 \h </w:instrText>
        </w:r>
        <w:r w:rsidR="002E1F1A">
          <w:rPr>
            <w:noProof/>
            <w:webHidden/>
          </w:rPr>
        </w:r>
        <w:r w:rsidR="002E1F1A">
          <w:rPr>
            <w:noProof/>
            <w:webHidden/>
          </w:rPr>
          <w:fldChar w:fldCharType="separate"/>
        </w:r>
        <w:r w:rsidR="002E1F1A">
          <w:rPr>
            <w:noProof/>
            <w:webHidden/>
          </w:rPr>
          <w:t>21</w:t>
        </w:r>
        <w:r w:rsidR="002E1F1A">
          <w:rPr>
            <w:noProof/>
            <w:webHidden/>
          </w:rPr>
          <w:fldChar w:fldCharType="end"/>
        </w:r>
      </w:hyperlink>
    </w:p>
    <w:p w14:paraId="674801E5" w14:textId="7F42EF22" w:rsidR="002E1F1A" w:rsidRDefault="000B3762">
      <w:pPr>
        <w:pStyle w:val="TOC3"/>
        <w:rPr>
          <w:rFonts w:asciiTheme="minorHAnsi" w:eastAsiaTheme="minorEastAsia" w:hAnsiTheme="minorHAnsi" w:cstheme="minorBidi"/>
          <w:caps w:val="0"/>
          <w:noProof/>
          <w:color w:val="auto"/>
          <w:sz w:val="22"/>
          <w:szCs w:val="22"/>
          <w:lang w:eastAsia="en-AU"/>
        </w:rPr>
      </w:pPr>
      <w:hyperlink w:anchor="_Toc523322064" w:history="1">
        <w:r w:rsidR="002E1F1A" w:rsidRPr="00A867E6">
          <w:rPr>
            <w:rStyle w:val="Hyperlink"/>
            <w:noProof/>
          </w:rPr>
          <w:t>5.2</w:t>
        </w:r>
        <w:r w:rsidR="002E1F1A">
          <w:rPr>
            <w:rFonts w:asciiTheme="minorHAnsi" w:eastAsiaTheme="minorEastAsia" w:hAnsiTheme="minorHAnsi" w:cstheme="minorBidi"/>
            <w:caps w:val="0"/>
            <w:noProof/>
            <w:color w:val="auto"/>
            <w:sz w:val="22"/>
            <w:szCs w:val="22"/>
            <w:lang w:eastAsia="en-AU"/>
          </w:rPr>
          <w:tab/>
        </w:r>
        <w:r w:rsidR="002E1F1A" w:rsidRPr="00A867E6">
          <w:rPr>
            <w:rStyle w:val="Hyperlink"/>
            <w:noProof/>
          </w:rPr>
          <w:t>Assessing impact: Program effects relative to underlying need</w:t>
        </w:r>
        <w:r w:rsidR="002E1F1A">
          <w:rPr>
            <w:noProof/>
            <w:webHidden/>
          </w:rPr>
          <w:tab/>
        </w:r>
        <w:r w:rsidR="002E1F1A">
          <w:rPr>
            <w:noProof/>
            <w:webHidden/>
          </w:rPr>
          <w:fldChar w:fldCharType="begin"/>
        </w:r>
        <w:r w:rsidR="002E1F1A">
          <w:rPr>
            <w:noProof/>
            <w:webHidden/>
          </w:rPr>
          <w:instrText xml:space="preserve"> PAGEREF _Toc523322064 \h </w:instrText>
        </w:r>
        <w:r w:rsidR="002E1F1A">
          <w:rPr>
            <w:noProof/>
            <w:webHidden/>
          </w:rPr>
        </w:r>
        <w:r w:rsidR="002E1F1A">
          <w:rPr>
            <w:noProof/>
            <w:webHidden/>
          </w:rPr>
          <w:fldChar w:fldCharType="separate"/>
        </w:r>
        <w:r w:rsidR="002E1F1A">
          <w:rPr>
            <w:noProof/>
            <w:webHidden/>
          </w:rPr>
          <w:t>22</w:t>
        </w:r>
        <w:r w:rsidR="002E1F1A">
          <w:rPr>
            <w:noProof/>
            <w:webHidden/>
          </w:rPr>
          <w:fldChar w:fldCharType="end"/>
        </w:r>
      </w:hyperlink>
    </w:p>
    <w:p w14:paraId="507DA4E1" w14:textId="462B51B4" w:rsidR="002E1F1A" w:rsidRDefault="000B3762">
      <w:pPr>
        <w:pStyle w:val="TOC3"/>
        <w:rPr>
          <w:rFonts w:asciiTheme="minorHAnsi" w:eastAsiaTheme="minorEastAsia" w:hAnsiTheme="minorHAnsi" w:cstheme="minorBidi"/>
          <w:caps w:val="0"/>
          <w:noProof/>
          <w:color w:val="auto"/>
          <w:sz w:val="22"/>
          <w:szCs w:val="22"/>
          <w:lang w:eastAsia="en-AU"/>
        </w:rPr>
      </w:pPr>
      <w:hyperlink w:anchor="_Toc523322065" w:history="1">
        <w:r w:rsidR="002E1F1A" w:rsidRPr="00A867E6">
          <w:rPr>
            <w:rStyle w:val="Hyperlink"/>
            <w:noProof/>
          </w:rPr>
          <w:t>5.3</w:t>
        </w:r>
        <w:r w:rsidR="002E1F1A">
          <w:rPr>
            <w:rFonts w:asciiTheme="minorHAnsi" w:eastAsiaTheme="minorEastAsia" w:hAnsiTheme="minorHAnsi" w:cstheme="minorBidi"/>
            <w:caps w:val="0"/>
            <w:noProof/>
            <w:color w:val="auto"/>
            <w:sz w:val="22"/>
            <w:szCs w:val="22"/>
            <w:lang w:eastAsia="en-AU"/>
          </w:rPr>
          <w:tab/>
        </w:r>
        <w:r w:rsidR="002E1F1A" w:rsidRPr="00A867E6">
          <w:rPr>
            <w:rStyle w:val="Hyperlink"/>
            <w:noProof/>
          </w:rPr>
          <w:t>rural workforce package: impacts on recipients</w:t>
        </w:r>
        <w:r w:rsidR="002E1F1A">
          <w:rPr>
            <w:noProof/>
            <w:webHidden/>
          </w:rPr>
          <w:tab/>
        </w:r>
        <w:r w:rsidR="002E1F1A">
          <w:rPr>
            <w:noProof/>
            <w:webHidden/>
          </w:rPr>
          <w:fldChar w:fldCharType="begin"/>
        </w:r>
        <w:r w:rsidR="002E1F1A">
          <w:rPr>
            <w:noProof/>
            <w:webHidden/>
          </w:rPr>
          <w:instrText xml:space="preserve"> PAGEREF _Toc523322065 \h </w:instrText>
        </w:r>
        <w:r w:rsidR="002E1F1A">
          <w:rPr>
            <w:noProof/>
            <w:webHidden/>
          </w:rPr>
        </w:r>
        <w:r w:rsidR="002E1F1A">
          <w:rPr>
            <w:noProof/>
            <w:webHidden/>
          </w:rPr>
          <w:fldChar w:fldCharType="separate"/>
        </w:r>
        <w:r w:rsidR="002E1F1A">
          <w:rPr>
            <w:noProof/>
            <w:webHidden/>
          </w:rPr>
          <w:t>23</w:t>
        </w:r>
        <w:r w:rsidR="002E1F1A">
          <w:rPr>
            <w:noProof/>
            <w:webHidden/>
          </w:rPr>
          <w:fldChar w:fldCharType="end"/>
        </w:r>
      </w:hyperlink>
    </w:p>
    <w:p w14:paraId="7F2B1AC9" w14:textId="42EE90CC" w:rsidR="002E1F1A" w:rsidRDefault="000B3762">
      <w:pPr>
        <w:pStyle w:val="TOC4"/>
        <w:rPr>
          <w:rFonts w:asciiTheme="minorHAnsi" w:eastAsiaTheme="minorEastAsia" w:hAnsiTheme="minorHAnsi" w:cstheme="minorBidi"/>
          <w:color w:val="auto"/>
          <w:spacing w:val="0"/>
          <w:sz w:val="22"/>
          <w:szCs w:val="22"/>
          <w:lang w:eastAsia="en-AU"/>
        </w:rPr>
      </w:pPr>
      <w:hyperlink w:anchor="_Toc523322066" w:history="1">
        <w:r w:rsidR="002E1F1A" w:rsidRPr="00A867E6">
          <w:rPr>
            <w:rStyle w:val="Hyperlink"/>
          </w:rPr>
          <w:t>5.3.1</w:t>
        </w:r>
        <w:r w:rsidR="002E1F1A">
          <w:rPr>
            <w:rFonts w:asciiTheme="minorHAnsi" w:eastAsiaTheme="minorEastAsia" w:hAnsiTheme="minorHAnsi" w:cstheme="minorBidi"/>
            <w:color w:val="auto"/>
            <w:spacing w:val="0"/>
            <w:sz w:val="22"/>
            <w:szCs w:val="22"/>
            <w:lang w:eastAsia="en-AU"/>
          </w:rPr>
          <w:tab/>
        </w:r>
        <w:r w:rsidR="002E1F1A" w:rsidRPr="00A867E6">
          <w:rPr>
            <w:rStyle w:val="Hyperlink"/>
          </w:rPr>
          <w:t>Workforce recruitment programs</w:t>
        </w:r>
        <w:r w:rsidR="002E1F1A">
          <w:rPr>
            <w:webHidden/>
          </w:rPr>
          <w:tab/>
        </w:r>
        <w:r w:rsidR="002E1F1A">
          <w:rPr>
            <w:webHidden/>
          </w:rPr>
          <w:fldChar w:fldCharType="begin"/>
        </w:r>
        <w:r w:rsidR="002E1F1A">
          <w:rPr>
            <w:webHidden/>
          </w:rPr>
          <w:instrText xml:space="preserve"> PAGEREF _Toc523322066 \h </w:instrText>
        </w:r>
        <w:r w:rsidR="002E1F1A">
          <w:rPr>
            <w:webHidden/>
          </w:rPr>
        </w:r>
        <w:r w:rsidR="002E1F1A">
          <w:rPr>
            <w:webHidden/>
          </w:rPr>
          <w:fldChar w:fldCharType="separate"/>
        </w:r>
        <w:r w:rsidR="002E1F1A">
          <w:rPr>
            <w:webHidden/>
          </w:rPr>
          <w:t>23</w:t>
        </w:r>
        <w:r w:rsidR="002E1F1A">
          <w:rPr>
            <w:webHidden/>
          </w:rPr>
          <w:fldChar w:fldCharType="end"/>
        </w:r>
      </w:hyperlink>
    </w:p>
    <w:p w14:paraId="33AF8310" w14:textId="34382020" w:rsidR="002E1F1A" w:rsidRDefault="000B3762">
      <w:pPr>
        <w:pStyle w:val="TOC4"/>
        <w:rPr>
          <w:rFonts w:asciiTheme="minorHAnsi" w:eastAsiaTheme="minorEastAsia" w:hAnsiTheme="minorHAnsi" w:cstheme="minorBidi"/>
          <w:color w:val="auto"/>
          <w:spacing w:val="0"/>
          <w:sz w:val="22"/>
          <w:szCs w:val="22"/>
          <w:lang w:eastAsia="en-AU"/>
        </w:rPr>
      </w:pPr>
      <w:hyperlink w:anchor="_Toc523322067" w:history="1">
        <w:r w:rsidR="002E1F1A" w:rsidRPr="00A867E6">
          <w:rPr>
            <w:rStyle w:val="Hyperlink"/>
          </w:rPr>
          <w:t>5.3.2</w:t>
        </w:r>
        <w:r w:rsidR="002E1F1A">
          <w:rPr>
            <w:rFonts w:asciiTheme="minorHAnsi" w:eastAsiaTheme="minorEastAsia" w:hAnsiTheme="minorHAnsi" w:cstheme="minorBidi"/>
            <w:color w:val="auto"/>
            <w:spacing w:val="0"/>
            <w:sz w:val="22"/>
            <w:szCs w:val="22"/>
            <w:lang w:eastAsia="en-AU"/>
          </w:rPr>
          <w:tab/>
        </w:r>
        <w:r w:rsidR="002E1F1A" w:rsidRPr="00A867E6">
          <w:rPr>
            <w:rStyle w:val="Hyperlink"/>
          </w:rPr>
          <w:t>Workforce retention programs</w:t>
        </w:r>
        <w:r w:rsidR="002E1F1A">
          <w:rPr>
            <w:webHidden/>
          </w:rPr>
          <w:tab/>
        </w:r>
        <w:r w:rsidR="002E1F1A">
          <w:rPr>
            <w:webHidden/>
          </w:rPr>
          <w:fldChar w:fldCharType="begin"/>
        </w:r>
        <w:r w:rsidR="002E1F1A">
          <w:rPr>
            <w:webHidden/>
          </w:rPr>
          <w:instrText xml:space="preserve"> PAGEREF _Toc523322067 \h </w:instrText>
        </w:r>
        <w:r w:rsidR="002E1F1A">
          <w:rPr>
            <w:webHidden/>
          </w:rPr>
        </w:r>
        <w:r w:rsidR="002E1F1A">
          <w:rPr>
            <w:webHidden/>
          </w:rPr>
          <w:fldChar w:fldCharType="separate"/>
        </w:r>
        <w:r w:rsidR="002E1F1A">
          <w:rPr>
            <w:webHidden/>
          </w:rPr>
          <w:t>24</w:t>
        </w:r>
        <w:r w:rsidR="002E1F1A">
          <w:rPr>
            <w:webHidden/>
          </w:rPr>
          <w:fldChar w:fldCharType="end"/>
        </w:r>
      </w:hyperlink>
    </w:p>
    <w:p w14:paraId="6F43C1F8" w14:textId="3F042E65" w:rsidR="002E1F1A" w:rsidRDefault="000B3762">
      <w:pPr>
        <w:pStyle w:val="TOC4"/>
        <w:rPr>
          <w:rFonts w:asciiTheme="minorHAnsi" w:eastAsiaTheme="minorEastAsia" w:hAnsiTheme="minorHAnsi" w:cstheme="minorBidi"/>
          <w:color w:val="auto"/>
          <w:spacing w:val="0"/>
          <w:sz w:val="22"/>
          <w:szCs w:val="22"/>
          <w:lang w:eastAsia="en-AU"/>
        </w:rPr>
      </w:pPr>
      <w:hyperlink w:anchor="_Toc523322068" w:history="1">
        <w:r w:rsidR="002E1F1A" w:rsidRPr="00A867E6">
          <w:rPr>
            <w:rStyle w:val="Hyperlink"/>
          </w:rPr>
          <w:t>5.3.3</w:t>
        </w:r>
        <w:r w:rsidR="002E1F1A">
          <w:rPr>
            <w:rFonts w:asciiTheme="minorHAnsi" w:eastAsiaTheme="minorEastAsia" w:hAnsiTheme="minorHAnsi" w:cstheme="minorBidi"/>
            <w:color w:val="auto"/>
            <w:spacing w:val="0"/>
            <w:sz w:val="22"/>
            <w:szCs w:val="22"/>
            <w:lang w:eastAsia="en-AU"/>
          </w:rPr>
          <w:tab/>
        </w:r>
        <w:r w:rsidR="002E1F1A" w:rsidRPr="00A867E6">
          <w:rPr>
            <w:rStyle w:val="Hyperlink"/>
          </w:rPr>
          <w:t>Other workforce support programs</w:t>
        </w:r>
        <w:r w:rsidR="002E1F1A">
          <w:rPr>
            <w:webHidden/>
          </w:rPr>
          <w:tab/>
        </w:r>
        <w:r w:rsidR="002E1F1A">
          <w:rPr>
            <w:webHidden/>
          </w:rPr>
          <w:fldChar w:fldCharType="begin"/>
        </w:r>
        <w:r w:rsidR="002E1F1A">
          <w:rPr>
            <w:webHidden/>
          </w:rPr>
          <w:instrText xml:space="preserve"> PAGEREF _Toc523322068 \h </w:instrText>
        </w:r>
        <w:r w:rsidR="002E1F1A">
          <w:rPr>
            <w:webHidden/>
          </w:rPr>
        </w:r>
        <w:r w:rsidR="002E1F1A">
          <w:rPr>
            <w:webHidden/>
          </w:rPr>
          <w:fldChar w:fldCharType="separate"/>
        </w:r>
        <w:r w:rsidR="002E1F1A">
          <w:rPr>
            <w:webHidden/>
          </w:rPr>
          <w:t>25</w:t>
        </w:r>
        <w:r w:rsidR="002E1F1A">
          <w:rPr>
            <w:webHidden/>
          </w:rPr>
          <w:fldChar w:fldCharType="end"/>
        </w:r>
      </w:hyperlink>
    </w:p>
    <w:p w14:paraId="15753A09" w14:textId="576292EA" w:rsidR="002E1F1A" w:rsidRDefault="000B3762">
      <w:pPr>
        <w:pStyle w:val="TOC3"/>
        <w:rPr>
          <w:rFonts w:asciiTheme="minorHAnsi" w:eastAsiaTheme="minorEastAsia" w:hAnsiTheme="minorHAnsi" w:cstheme="minorBidi"/>
          <w:caps w:val="0"/>
          <w:noProof/>
          <w:color w:val="auto"/>
          <w:sz w:val="22"/>
          <w:szCs w:val="22"/>
          <w:lang w:eastAsia="en-AU"/>
        </w:rPr>
      </w:pPr>
      <w:hyperlink w:anchor="_Toc523322069" w:history="1">
        <w:r w:rsidR="002E1F1A" w:rsidRPr="00A867E6">
          <w:rPr>
            <w:rStyle w:val="Hyperlink"/>
            <w:noProof/>
          </w:rPr>
          <w:t>5.4</w:t>
        </w:r>
        <w:r w:rsidR="002E1F1A">
          <w:rPr>
            <w:rFonts w:asciiTheme="minorHAnsi" w:eastAsiaTheme="minorEastAsia" w:hAnsiTheme="minorHAnsi" w:cstheme="minorBidi"/>
            <w:caps w:val="0"/>
            <w:noProof/>
            <w:color w:val="auto"/>
            <w:sz w:val="22"/>
            <w:szCs w:val="22"/>
            <w:lang w:eastAsia="en-AU"/>
          </w:rPr>
          <w:tab/>
        </w:r>
        <w:r w:rsidR="002E1F1A" w:rsidRPr="00A867E6">
          <w:rPr>
            <w:rStyle w:val="Hyperlink"/>
            <w:noProof/>
          </w:rPr>
          <w:t>Effectiveness in addressing underlying need</w:t>
        </w:r>
        <w:r w:rsidR="002E1F1A">
          <w:rPr>
            <w:noProof/>
            <w:webHidden/>
          </w:rPr>
          <w:tab/>
        </w:r>
        <w:r w:rsidR="002E1F1A">
          <w:rPr>
            <w:noProof/>
            <w:webHidden/>
          </w:rPr>
          <w:fldChar w:fldCharType="begin"/>
        </w:r>
        <w:r w:rsidR="002E1F1A">
          <w:rPr>
            <w:noProof/>
            <w:webHidden/>
          </w:rPr>
          <w:instrText xml:space="preserve"> PAGEREF _Toc523322069 \h </w:instrText>
        </w:r>
        <w:r w:rsidR="002E1F1A">
          <w:rPr>
            <w:noProof/>
            <w:webHidden/>
          </w:rPr>
        </w:r>
        <w:r w:rsidR="002E1F1A">
          <w:rPr>
            <w:noProof/>
            <w:webHidden/>
          </w:rPr>
          <w:fldChar w:fldCharType="separate"/>
        </w:r>
        <w:r w:rsidR="002E1F1A">
          <w:rPr>
            <w:noProof/>
            <w:webHidden/>
          </w:rPr>
          <w:t>25</w:t>
        </w:r>
        <w:r w:rsidR="002E1F1A">
          <w:rPr>
            <w:noProof/>
            <w:webHidden/>
          </w:rPr>
          <w:fldChar w:fldCharType="end"/>
        </w:r>
      </w:hyperlink>
    </w:p>
    <w:p w14:paraId="4D403752" w14:textId="0151EC8D" w:rsidR="002E1F1A" w:rsidRDefault="000B3762">
      <w:pPr>
        <w:pStyle w:val="TOC3"/>
        <w:rPr>
          <w:rFonts w:asciiTheme="minorHAnsi" w:eastAsiaTheme="minorEastAsia" w:hAnsiTheme="minorHAnsi" w:cstheme="minorBidi"/>
          <w:caps w:val="0"/>
          <w:noProof/>
          <w:color w:val="auto"/>
          <w:sz w:val="22"/>
          <w:szCs w:val="22"/>
          <w:lang w:eastAsia="en-AU"/>
        </w:rPr>
      </w:pPr>
      <w:hyperlink w:anchor="_Toc523322070" w:history="1">
        <w:r w:rsidR="002E1F1A" w:rsidRPr="00A867E6">
          <w:rPr>
            <w:rStyle w:val="Hyperlink"/>
            <w:noProof/>
          </w:rPr>
          <w:t>5.5</w:t>
        </w:r>
        <w:r w:rsidR="002E1F1A">
          <w:rPr>
            <w:rFonts w:asciiTheme="minorHAnsi" w:eastAsiaTheme="minorEastAsia" w:hAnsiTheme="minorHAnsi" w:cstheme="minorBidi"/>
            <w:caps w:val="0"/>
            <w:noProof/>
            <w:color w:val="auto"/>
            <w:sz w:val="22"/>
            <w:szCs w:val="22"/>
            <w:lang w:eastAsia="en-AU"/>
          </w:rPr>
          <w:tab/>
        </w:r>
        <w:r w:rsidR="002E1F1A" w:rsidRPr="00A867E6">
          <w:rPr>
            <w:rStyle w:val="Hyperlink"/>
            <w:noProof/>
          </w:rPr>
          <w:t>Evaluation limitations: pharmacy Assistants</w:t>
        </w:r>
        <w:r w:rsidR="002E1F1A">
          <w:rPr>
            <w:noProof/>
            <w:webHidden/>
          </w:rPr>
          <w:tab/>
        </w:r>
        <w:r w:rsidR="002E1F1A">
          <w:rPr>
            <w:noProof/>
            <w:webHidden/>
          </w:rPr>
          <w:fldChar w:fldCharType="begin"/>
        </w:r>
        <w:r w:rsidR="002E1F1A">
          <w:rPr>
            <w:noProof/>
            <w:webHidden/>
          </w:rPr>
          <w:instrText xml:space="preserve"> PAGEREF _Toc523322070 \h </w:instrText>
        </w:r>
        <w:r w:rsidR="002E1F1A">
          <w:rPr>
            <w:noProof/>
            <w:webHidden/>
          </w:rPr>
        </w:r>
        <w:r w:rsidR="002E1F1A">
          <w:rPr>
            <w:noProof/>
            <w:webHidden/>
          </w:rPr>
          <w:fldChar w:fldCharType="separate"/>
        </w:r>
        <w:r w:rsidR="002E1F1A">
          <w:rPr>
            <w:noProof/>
            <w:webHidden/>
          </w:rPr>
          <w:t>27</w:t>
        </w:r>
        <w:r w:rsidR="002E1F1A">
          <w:rPr>
            <w:noProof/>
            <w:webHidden/>
          </w:rPr>
          <w:fldChar w:fldCharType="end"/>
        </w:r>
      </w:hyperlink>
    </w:p>
    <w:p w14:paraId="33972CA4" w14:textId="6057D807" w:rsidR="002E1F1A" w:rsidRDefault="000B3762">
      <w:pPr>
        <w:pStyle w:val="TOC3"/>
        <w:rPr>
          <w:rFonts w:asciiTheme="minorHAnsi" w:eastAsiaTheme="minorEastAsia" w:hAnsiTheme="minorHAnsi" w:cstheme="minorBidi"/>
          <w:caps w:val="0"/>
          <w:noProof/>
          <w:color w:val="auto"/>
          <w:sz w:val="22"/>
          <w:szCs w:val="22"/>
          <w:lang w:eastAsia="en-AU"/>
        </w:rPr>
      </w:pPr>
      <w:hyperlink w:anchor="_Toc523322071" w:history="1">
        <w:r w:rsidR="002E1F1A" w:rsidRPr="00A867E6">
          <w:rPr>
            <w:rStyle w:val="Hyperlink"/>
            <w:noProof/>
          </w:rPr>
          <w:t>5.6</w:t>
        </w:r>
        <w:r w:rsidR="002E1F1A">
          <w:rPr>
            <w:rFonts w:asciiTheme="minorHAnsi" w:eastAsiaTheme="minorEastAsia" w:hAnsiTheme="minorHAnsi" w:cstheme="minorBidi"/>
            <w:caps w:val="0"/>
            <w:noProof/>
            <w:color w:val="auto"/>
            <w:sz w:val="22"/>
            <w:szCs w:val="22"/>
            <w:lang w:eastAsia="en-AU"/>
          </w:rPr>
          <w:tab/>
        </w:r>
        <w:r w:rsidR="002E1F1A" w:rsidRPr="00A867E6">
          <w:rPr>
            <w:rStyle w:val="Hyperlink"/>
            <w:noProof/>
          </w:rPr>
          <w:t>Enhancing availability of culturally appropriate services component programs</w:t>
        </w:r>
        <w:r w:rsidR="002E1F1A">
          <w:rPr>
            <w:noProof/>
            <w:webHidden/>
          </w:rPr>
          <w:tab/>
        </w:r>
        <w:r w:rsidR="002E1F1A">
          <w:rPr>
            <w:noProof/>
            <w:webHidden/>
          </w:rPr>
          <w:fldChar w:fldCharType="begin"/>
        </w:r>
        <w:r w:rsidR="002E1F1A">
          <w:rPr>
            <w:noProof/>
            <w:webHidden/>
          </w:rPr>
          <w:instrText xml:space="preserve"> PAGEREF _Toc523322071 \h </w:instrText>
        </w:r>
        <w:r w:rsidR="002E1F1A">
          <w:rPr>
            <w:noProof/>
            <w:webHidden/>
          </w:rPr>
        </w:r>
        <w:r w:rsidR="002E1F1A">
          <w:rPr>
            <w:noProof/>
            <w:webHidden/>
          </w:rPr>
          <w:fldChar w:fldCharType="separate"/>
        </w:r>
        <w:r w:rsidR="002E1F1A">
          <w:rPr>
            <w:noProof/>
            <w:webHidden/>
          </w:rPr>
          <w:t>27</w:t>
        </w:r>
        <w:r w:rsidR="002E1F1A">
          <w:rPr>
            <w:noProof/>
            <w:webHidden/>
          </w:rPr>
          <w:fldChar w:fldCharType="end"/>
        </w:r>
      </w:hyperlink>
    </w:p>
    <w:p w14:paraId="49985FFA" w14:textId="2756D6EC" w:rsidR="002E1F1A" w:rsidRDefault="000B3762">
      <w:pPr>
        <w:pStyle w:val="TOC4"/>
        <w:rPr>
          <w:rFonts w:asciiTheme="minorHAnsi" w:eastAsiaTheme="minorEastAsia" w:hAnsiTheme="minorHAnsi" w:cstheme="minorBidi"/>
          <w:color w:val="auto"/>
          <w:spacing w:val="0"/>
          <w:sz w:val="22"/>
          <w:szCs w:val="22"/>
          <w:lang w:eastAsia="en-AU"/>
        </w:rPr>
      </w:pPr>
      <w:hyperlink w:anchor="_Toc523322072" w:history="1">
        <w:r w:rsidR="002E1F1A" w:rsidRPr="00A867E6">
          <w:rPr>
            <w:rStyle w:val="Hyperlink"/>
          </w:rPr>
          <w:t>5.6.1</w:t>
        </w:r>
        <w:r w:rsidR="002E1F1A">
          <w:rPr>
            <w:rFonts w:asciiTheme="minorHAnsi" w:eastAsiaTheme="minorEastAsia" w:hAnsiTheme="minorHAnsi" w:cstheme="minorBidi"/>
            <w:color w:val="auto"/>
            <w:spacing w:val="0"/>
            <w:sz w:val="22"/>
            <w:szCs w:val="22"/>
            <w:lang w:eastAsia="en-AU"/>
          </w:rPr>
          <w:tab/>
        </w:r>
        <w:r w:rsidR="002E1F1A" w:rsidRPr="00A867E6">
          <w:rPr>
            <w:rStyle w:val="Hyperlink"/>
          </w:rPr>
          <w:t>Aboriginal and Torres Strait Islander Pharmacy Assistant Traineeship Scheme</w:t>
        </w:r>
        <w:r w:rsidR="002E1F1A">
          <w:rPr>
            <w:webHidden/>
          </w:rPr>
          <w:tab/>
        </w:r>
        <w:r w:rsidR="002E1F1A">
          <w:rPr>
            <w:webHidden/>
          </w:rPr>
          <w:fldChar w:fldCharType="begin"/>
        </w:r>
        <w:r w:rsidR="002E1F1A">
          <w:rPr>
            <w:webHidden/>
          </w:rPr>
          <w:instrText xml:space="preserve"> PAGEREF _Toc523322072 \h </w:instrText>
        </w:r>
        <w:r w:rsidR="002E1F1A">
          <w:rPr>
            <w:webHidden/>
          </w:rPr>
        </w:r>
        <w:r w:rsidR="002E1F1A">
          <w:rPr>
            <w:webHidden/>
          </w:rPr>
          <w:fldChar w:fldCharType="separate"/>
        </w:r>
        <w:r w:rsidR="002E1F1A">
          <w:rPr>
            <w:webHidden/>
          </w:rPr>
          <w:t>27</w:t>
        </w:r>
        <w:r w:rsidR="002E1F1A">
          <w:rPr>
            <w:webHidden/>
          </w:rPr>
          <w:fldChar w:fldCharType="end"/>
        </w:r>
      </w:hyperlink>
    </w:p>
    <w:p w14:paraId="75A6CFD6" w14:textId="239E6562" w:rsidR="002E1F1A" w:rsidRDefault="000B3762">
      <w:pPr>
        <w:pStyle w:val="TOC3"/>
        <w:rPr>
          <w:rFonts w:asciiTheme="minorHAnsi" w:eastAsiaTheme="minorEastAsia" w:hAnsiTheme="minorHAnsi" w:cstheme="minorBidi"/>
          <w:caps w:val="0"/>
          <w:noProof/>
          <w:color w:val="auto"/>
          <w:sz w:val="22"/>
          <w:szCs w:val="22"/>
          <w:lang w:eastAsia="en-AU"/>
        </w:rPr>
      </w:pPr>
      <w:hyperlink w:anchor="_Toc523322073" w:history="1">
        <w:r w:rsidR="002E1F1A" w:rsidRPr="00A867E6">
          <w:rPr>
            <w:rStyle w:val="Hyperlink"/>
            <w:noProof/>
          </w:rPr>
          <w:t>5.7</w:t>
        </w:r>
        <w:r w:rsidR="002E1F1A">
          <w:rPr>
            <w:rFonts w:asciiTheme="minorHAnsi" w:eastAsiaTheme="minorEastAsia" w:hAnsiTheme="minorHAnsi" w:cstheme="minorBidi"/>
            <w:caps w:val="0"/>
            <w:noProof/>
            <w:color w:val="auto"/>
            <w:sz w:val="22"/>
            <w:szCs w:val="22"/>
            <w:lang w:eastAsia="en-AU"/>
          </w:rPr>
          <w:tab/>
        </w:r>
        <w:r w:rsidR="002E1F1A" w:rsidRPr="00A867E6">
          <w:rPr>
            <w:rStyle w:val="Hyperlink"/>
            <w:noProof/>
          </w:rPr>
          <w:t>Overall conclusion on effectiveness</w:t>
        </w:r>
        <w:r w:rsidR="002E1F1A">
          <w:rPr>
            <w:noProof/>
            <w:webHidden/>
          </w:rPr>
          <w:tab/>
        </w:r>
        <w:r w:rsidR="002E1F1A">
          <w:rPr>
            <w:noProof/>
            <w:webHidden/>
          </w:rPr>
          <w:fldChar w:fldCharType="begin"/>
        </w:r>
        <w:r w:rsidR="002E1F1A">
          <w:rPr>
            <w:noProof/>
            <w:webHidden/>
          </w:rPr>
          <w:instrText xml:space="preserve"> PAGEREF _Toc523322073 \h </w:instrText>
        </w:r>
        <w:r w:rsidR="002E1F1A">
          <w:rPr>
            <w:noProof/>
            <w:webHidden/>
          </w:rPr>
        </w:r>
        <w:r w:rsidR="002E1F1A">
          <w:rPr>
            <w:noProof/>
            <w:webHidden/>
          </w:rPr>
          <w:fldChar w:fldCharType="separate"/>
        </w:r>
        <w:r w:rsidR="002E1F1A">
          <w:rPr>
            <w:noProof/>
            <w:webHidden/>
          </w:rPr>
          <w:t>27</w:t>
        </w:r>
        <w:r w:rsidR="002E1F1A">
          <w:rPr>
            <w:noProof/>
            <w:webHidden/>
          </w:rPr>
          <w:fldChar w:fldCharType="end"/>
        </w:r>
      </w:hyperlink>
    </w:p>
    <w:p w14:paraId="1B8032AA" w14:textId="2041B34F" w:rsidR="002E1F1A" w:rsidRDefault="000B3762">
      <w:pPr>
        <w:pStyle w:val="TOC2"/>
        <w:rPr>
          <w:rFonts w:asciiTheme="minorHAnsi" w:eastAsiaTheme="minorEastAsia" w:hAnsiTheme="minorHAnsi" w:cstheme="minorBidi"/>
          <w:caps w:val="0"/>
          <w:noProof/>
          <w:color w:val="auto"/>
          <w:spacing w:val="0"/>
          <w:sz w:val="22"/>
          <w:szCs w:val="22"/>
          <w:u w:val="none"/>
          <w:lang w:eastAsia="en-AU"/>
        </w:rPr>
      </w:pPr>
      <w:hyperlink w:anchor="_Toc523322074" w:history="1">
        <w:r w:rsidR="002E1F1A" w:rsidRPr="00A867E6">
          <w:rPr>
            <w:rStyle w:val="Hyperlink"/>
            <w:noProof/>
            <w:lang w:val="en-US"/>
          </w:rPr>
          <w:t>6</w:t>
        </w:r>
        <w:r w:rsidR="002E1F1A">
          <w:rPr>
            <w:rFonts w:asciiTheme="minorHAnsi" w:eastAsiaTheme="minorEastAsia" w:hAnsiTheme="minorHAnsi" w:cstheme="minorBidi"/>
            <w:caps w:val="0"/>
            <w:noProof/>
            <w:color w:val="auto"/>
            <w:spacing w:val="0"/>
            <w:sz w:val="22"/>
            <w:szCs w:val="22"/>
            <w:u w:val="none"/>
            <w:lang w:eastAsia="en-AU"/>
          </w:rPr>
          <w:tab/>
        </w:r>
        <w:r w:rsidR="002E1F1A" w:rsidRPr="00A867E6">
          <w:rPr>
            <w:rStyle w:val="Hyperlink"/>
            <w:noProof/>
            <w:lang w:val="en-US"/>
          </w:rPr>
          <w:t>Efficiency</w:t>
        </w:r>
        <w:r w:rsidR="002E1F1A">
          <w:rPr>
            <w:noProof/>
            <w:webHidden/>
          </w:rPr>
          <w:tab/>
        </w:r>
        <w:r w:rsidR="002E1F1A">
          <w:rPr>
            <w:noProof/>
            <w:webHidden/>
          </w:rPr>
          <w:fldChar w:fldCharType="begin"/>
        </w:r>
        <w:r w:rsidR="002E1F1A">
          <w:rPr>
            <w:noProof/>
            <w:webHidden/>
          </w:rPr>
          <w:instrText xml:space="preserve"> PAGEREF _Toc523322074 \h </w:instrText>
        </w:r>
        <w:r w:rsidR="002E1F1A">
          <w:rPr>
            <w:noProof/>
            <w:webHidden/>
          </w:rPr>
        </w:r>
        <w:r w:rsidR="002E1F1A">
          <w:rPr>
            <w:noProof/>
            <w:webHidden/>
          </w:rPr>
          <w:fldChar w:fldCharType="separate"/>
        </w:r>
        <w:r w:rsidR="002E1F1A">
          <w:rPr>
            <w:noProof/>
            <w:webHidden/>
          </w:rPr>
          <w:t>29</w:t>
        </w:r>
        <w:r w:rsidR="002E1F1A">
          <w:rPr>
            <w:noProof/>
            <w:webHidden/>
          </w:rPr>
          <w:fldChar w:fldCharType="end"/>
        </w:r>
      </w:hyperlink>
    </w:p>
    <w:p w14:paraId="20246938" w14:textId="6F0BDB7D" w:rsidR="002E1F1A" w:rsidRDefault="000B3762">
      <w:pPr>
        <w:pStyle w:val="TOC3"/>
        <w:rPr>
          <w:rFonts w:asciiTheme="minorHAnsi" w:eastAsiaTheme="minorEastAsia" w:hAnsiTheme="minorHAnsi" w:cstheme="minorBidi"/>
          <w:caps w:val="0"/>
          <w:noProof/>
          <w:color w:val="auto"/>
          <w:sz w:val="22"/>
          <w:szCs w:val="22"/>
          <w:lang w:eastAsia="en-AU"/>
        </w:rPr>
      </w:pPr>
      <w:hyperlink w:anchor="_Toc523322075" w:history="1">
        <w:r w:rsidR="002E1F1A" w:rsidRPr="00A867E6">
          <w:rPr>
            <w:rStyle w:val="Hyperlink"/>
            <w:noProof/>
          </w:rPr>
          <w:t>6.1</w:t>
        </w:r>
        <w:r w:rsidR="002E1F1A">
          <w:rPr>
            <w:rFonts w:asciiTheme="minorHAnsi" w:eastAsiaTheme="minorEastAsia" w:hAnsiTheme="minorHAnsi" w:cstheme="minorBidi"/>
            <w:caps w:val="0"/>
            <w:noProof/>
            <w:color w:val="auto"/>
            <w:sz w:val="22"/>
            <w:szCs w:val="22"/>
            <w:lang w:eastAsia="en-AU"/>
          </w:rPr>
          <w:tab/>
        </w:r>
        <w:r w:rsidR="002E1F1A" w:rsidRPr="00A867E6">
          <w:rPr>
            <w:rStyle w:val="Hyperlink"/>
            <w:noProof/>
          </w:rPr>
          <w:t>Program governance</w:t>
        </w:r>
        <w:r w:rsidR="002E1F1A">
          <w:rPr>
            <w:noProof/>
            <w:webHidden/>
          </w:rPr>
          <w:tab/>
        </w:r>
        <w:r w:rsidR="002E1F1A">
          <w:rPr>
            <w:noProof/>
            <w:webHidden/>
          </w:rPr>
          <w:fldChar w:fldCharType="begin"/>
        </w:r>
        <w:r w:rsidR="002E1F1A">
          <w:rPr>
            <w:noProof/>
            <w:webHidden/>
          </w:rPr>
          <w:instrText xml:space="preserve"> PAGEREF _Toc523322075 \h </w:instrText>
        </w:r>
        <w:r w:rsidR="002E1F1A">
          <w:rPr>
            <w:noProof/>
            <w:webHidden/>
          </w:rPr>
        </w:r>
        <w:r w:rsidR="002E1F1A">
          <w:rPr>
            <w:noProof/>
            <w:webHidden/>
          </w:rPr>
          <w:fldChar w:fldCharType="separate"/>
        </w:r>
        <w:r w:rsidR="002E1F1A">
          <w:rPr>
            <w:noProof/>
            <w:webHidden/>
          </w:rPr>
          <w:t>30</w:t>
        </w:r>
        <w:r w:rsidR="002E1F1A">
          <w:rPr>
            <w:noProof/>
            <w:webHidden/>
          </w:rPr>
          <w:fldChar w:fldCharType="end"/>
        </w:r>
      </w:hyperlink>
    </w:p>
    <w:p w14:paraId="2FE54B6F" w14:textId="438C2104" w:rsidR="002E1F1A" w:rsidRDefault="000B3762">
      <w:pPr>
        <w:pStyle w:val="TOC3"/>
        <w:rPr>
          <w:rFonts w:asciiTheme="minorHAnsi" w:eastAsiaTheme="minorEastAsia" w:hAnsiTheme="minorHAnsi" w:cstheme="minorBidi"/>
          <w:caps w:val="0"/>
          <w:noProof/>
          <w:color w:val="auto"/>
          <w:sz w:val="22"/>
          <w:szCs w:val="22"/>
          <w:lang w:eastAsia="en-AU"/>
        </w:rPr>
      </w:pPr>
      <w:hyperlink w:anchor="_Toc523322076" w:history="1">
        <w:r w:rsidR="002E1F1A" w:rsidRPr="00A867E6">
          <w:rPr>
            <w:rStyle w:val="Hyperlink"/>
            <w:noProof/>
          </w:rPr>
          <w:t>6.2</w:t>
        </w:r>
        <w:r w:rsidR="002E1F1A">
          <w:rPr>
            <w:rFonts w:asciiTheme="minorHAnsi" w:eastAsiaTheme="minorEastAsia" w:hAnsiTheme="minorHAnsi" w:cstheme="minorBidi"/>
            <w:caps w:val="0"/>
            <w:noProof/>
            <w:color w:val="auto"/>
            <w:sz w:val="22"/>
            <w:szCs w:val="22"/>
            <w:lang w:eastAsia="en-AU"/>
          </w:rPr>
          <w:tab/>
        </w:r>
        <w:r w:rsidR="002E1F1A" w:rsidRPr="00A867E6">
          <w:rPr>
            <w:rStyle w:val="Hyperlink"/>
            <w:noProof/>
          </w:rPr>
          <w:t>Mix of program types</w:t>
        </w:r>
        <w:r w:rsidR="002E1F1A">
          <w:rPr>
            <w:noProof/>
            <w:webHidden/>
          </w:rPr>
          <w:tab/>
        </w:r>
        <w:r w:rsidR="002E1F1A">
          <w:rPr>
            <w:noProof/>
            <w:webHidden/>
          </w:rPr>
          <w:fldChar w:fldCharType="begin"/>
        </w:r>
        <w:r w:rsidR="002E1F1A">
          <w:rPr>
            <w:noProof/>
            <w:webHidden/>
          </w:rPr>
          <w:instrText xml:space="preserve"> PAGEREF _Toc523322076 \h </w:instrText>
        </w:r>
        <w:r w:rsidR="002E1F1A">
          <w:rPr>
            <w:noProof/>
            <w:webHidden/>
          </w:rPr>
        </w:r>
        <w:r w:rsidR="002E1F1A">
          <w:rPr>
            <w:noProof/>
            <w:webHidden/>
          </w:rPr>
          <w:fldChar w:fldCharType="separate"/>
        </w:r>
        <w:r w:rsidR="002E1F1A">
          <w:rPr>
            <w:noProof/>
            <w:webHidden/>
          </w:rPr>
          <w:t>30</w:t>
        </w:r>
        <w:r w:rsidR="002E1F1A">
          <w:rPr>
            <w:noProof/>
            <w:webHidden/>
          </w:rPr>
          <w:fldChar w:fldCharType="end"/>
        </w:r>
      </w:hyperlink>
    </w:p>
    <w:p w14:paraId="0A8B9CBF" w14:textId="2F9BBB01" w:rsidR="002E1F1A" w:rsidRDefault="000B3762">
      <w:pPr>
        <w:pStyle w:val="TOC4"/>
        <w:rPr>
          <w:rFonts w:asciiTheme="minorHAnsi" w:eastAsiaTheme="minorEastAsia" w:hAnsiTheme="minorHAnsi" w:cstheme="minorBidi"/>
          <w:color w:val="auto"/>
          <w:spacing w:val="0"/>
          <w:sz w:val="22"/>
          <w:szCs w:val="22"/>
          <w:lang w:eastAsia="en-AU"/>
        </w:rPr>
      </w:pPr>
      <w:hyperlink w:anchor="_Toc523322077" w:history="1">
        <w:r w:rsidR="002E1F1A" w:rsidRPr="00A867E6">
          <w:rPr>
            <w:rStyle w:val="Hyperlink"/>
          </w:rPr>
          <w:t>6.2.1</w:t>
        </w:r>
        <w:r w:rsidR="002E1F1A">
          <w:rPr>
            <w:rFonts w:asciiTheme="minorHAnsi" w:eastAsiaTheme="minorEastAsia" w:hAnsiTheme="minorHAnsi" w:cstheme="minorBidi"/>
            <w:color w:val="auto"/>
            <w:spacing w:val="0"/>
            <w:sz w:val="22"/>
            <w:szCs w:val="22"/>
            <w:lang w:eastAsia="en-AU"/>
          </w:rPr>
          <w:tab/>
        </w:r>
        <w:r w:rsidR="002E1F1A" w:rsidRPr="00A867E6">
          <w:rPr>
            <w:rStyle w:val="Hyperlink"/>
          </w:rPr>
          <w:t>Recruitment and support programs</w:t>
        </w:r>
        <w:r w:rsidR="002E1F1A">
          <w:rPr>
            <w:webHidden/>
          </w:rPr>
          <w:tab/>
        </w:r>
        <w:r w:rsidR="002E1F1A">
          <w:rPr>
            <w:webHidden/>
          </w:rPr>
          <w:fldChar w:fldCharType="begin"/>
        </w:r>
        <w:r w:rsidR="002E1F1A">
          <w:rPr>
            <w:webHidden/>
          </w:rPr>
          <w:instrText xml:space="preserve"> PAGEREF _Toc523322077 \h </w:instrText>
        </w:r>
        <w:r w:rsidR="002E1F1A">
          <w:rPr>
            <w:webHidden/>
          </w:rPr>
        </w:r>
        <w:r w:rsidR="002E1F1A">
          <w:rPr>
            <w:webHidden/>
          </w:rPr>
          <w:fldChar w:fldCharType="separate"/>
        </w:r>
        <w:r w:rsidR="002E1F1A">
          <w:rPr>
            <w:webHidden/>
          </w:rPr>
          <w:t>31</w:t>
        </w:r>
        <w:r w:rsidR="002E1F1A">
          <w:rPr>
            <w:webHidden/>
          </w:rPr>
          <w:fldChar w:fldCharType="end"/>
        </w:r>
      </w:hyperlink>
    </w:p>
    <w:p w14:paraId="29090070" w14:textId="3F0C8FA0" w:rsidR="002E1F1A" w:rsidRDefault="000B3762">
      <w:pPr>
        <w:pStyle w:val="TOC4"/>
        <w:rPr>
          <w:rFonts w:asciiTheme="minorHAnsi" w:eastAsiaTheme="minorEastAsia" w:hAnsiTheme="minorHAnsi" w:cstheme="minorBidi"/>
          <w:color w:val="auto"/>
          <w:spacing w:val="0"/>
          <w:sz w:val="22"/>
          <w:szCs w:val="22"/>
          <w:lang w:eastAsia="en-AU"/>
        </w:rPr>
      </w:pPr>
      <w:hyperlink w:anchor="_Toc523322078" w:history="1">
        <w:r w:rsidR="002E1F1A" w:rsidRPr="00A867E6">
          <w:rPr>
            <w:rStyle w:val="Hyperlink"/>
          </w:rPr>
          <w:t>6.2.2</w:t>
        </w:r>
        <w:r w:rsidR="002E1F1A">
          <w:rPr>
            <w:rFonts w:asciiTheme="minorHAnsi" w:eastAsiaTheme="minorEastAsia" w:hAnsiTheme="minorHAnsi" w:cstheme="minorBidi"/>
            <w:color w:val="auto"/>
            <w:spacing w:val="0"/>
            <w:sz w:val="22"/>
            <w:szCs w:val="22"/>
            <w:lang w:eastAsia="en-AU"/>
          </w:rPr>
          <w:tab/>
        </w:r>
        <w:r w:rsidR="002E1F1A" w:rsidRPr="00A867E6">
          <w:rPr>
            <w:rStyle w:val="Hyperlink"/>
          </w:rPr>
          <w:t>Retention programs</w:t>
        </w:r>
        <w:r w:rsidR="002E1F1A">
          <w:rPr>
            <w:webHidden/>
          </w:rPr>
          <w:tab/>
        </w:r>
        <w:r w:rsidR="002E1F1A">
          <w:rPr>
            <w:webHidden/>
          </w:rPr>
          <w:fldChar w:fldCharType="begin"/>
        </w:r>
        <w:r w:rsidR="002E1F1A">
          <w:rPr>
            <w:webHidden/>
          </w:rPr>
          <w:instrText xml:space="preserve"> PAGEREF _Toc523322078 \h </w:instrText>
        </w:r>
        <w:r w:rsidR="002E1F1A">
          <w:rPr>
            <w:webHidden/>
          </w:rPr>
        </w:r>
        <w:r w:rsidR="002E1F1A">
          <w:rPr>
            <w:webHidden/>
          </w:rPr>
          <w:fldChar w:fldCharType="separate"/>
        </w:r>
        <w:r w:rsidR="002E1F1A">
          <w:rPr>
            <w:webHidden/>
          </w:rPr>
          <w:t>31</w:t>
        </w:r>
        <w:r w:rsidR="002E1F1A">
          <w:rPr>
            <w:webHidden/>
          </w:rPr>
          <w:fldChar w:fldCharType="end"/>
        </w:r>
      </w:hyperlink>
    </w:p>
    <w:p w14:paraId="5962933D" w14:textId="1813D612" w:rsidR="002E1F1A" w:rsidRDefault="000B3762">
      <w:pPr>
        <w:pStyle w:val="TOC4"/>
        <w:rPr>
          <w:rFonts w:asciiTheme="minorHAnsi" w:eastAsiaTheme="minorEastAsia" w:hAnsiTheme="minorHAnsi" w:cstheme="minorBidi"/>
          <w:color w:val="auto"/>
          <w:spacing w:val="0"/>
          <w:sz w:val="22"/>
          <w:szCs w:val="22"/>
          <w:lang w:eastAsia="en-AU"/>
        </w:rPr>
      </w:pPr>
      <w:hyperlink w:anchor="_Toc523322079" w:history="1">
        <w:r w:rsidR="002E1F1A" w:rsidRPr="00A867E6">
          <w:rPr>
            <w:rStyle w:val="Hyperlink"/>
          </w:rPr>
          <w:t>6.2.3</w:t>
        </w:r>
        <w:r w:rsidR="002E1F1A">
          <w:rPr>
            <w:rFonts w:asciiTheme="minorHAnsi" w:eastAsiaTheme="minorEastAsia" w:hAnsiTheme="minorHAnsi" w:cstheme="minorBidi"/>
            <w:color w:val="auto"/>
            <w:spacing w:val="0"/>
            <w:sz w:val="22"/>
            <w:szCs w:val="22"/>
            <w:lang w:eastAsia="en-AU"/>
          </w:rPr>
          <w:tab/>
        </w:r>
        <w:r w:rsidR="002E1F1A" w:rsidRPr="00A867E6">
          <w:rPr>
            <w:rStyle w:val="Hyperlink"/>
          </w:rPr>
          <w:t>Enhanced culturally appropriate service access programs</w:t>
        </w:r>
        <w:r w:rsidR="002E1F1A">
          <w:rPr>
            <w:webHidden/>
          </w:rPr>
          <w:tab/>
        </w:r>
        <w:r w:rsidR="002E1F1A">
          <w:rPr>
            <w:webHidden/>
          </w:rPr>
          <w:fldChar w:fldCharType="begin"/>
        </w:r>
        <w:r w:rsidR="002E1F1A">
          <w:rPr>
            <w:webHidden/>
          </w:rPr>
          <w:instrText xml:space="preserve"> PAGEREF _Toc523322079 \h </w:instrText>
        </w:r>
        <w:r w:rsidR="002E1F1A">
          <w:rPr>
            <w:webHidden/>
          </w:rPr>
        </w:r>
        <w:r w:rsidR="002E1F1A">
          <w:rPr>
            <w:webHidden/>
          </w:rPr>
          <w:fldChar w:fldCharType="separate"/>
        </w:r>
        <w:r w:rsidR="002E1F1A">
          <w:rPr>
            <w:webHidden/>
          </w:rPr>
          <w:t>34</w:t>
        </w:r>
        <w:r w:rsidR="002E1F1A">
          <w:rPr>
            <w:webHidden/>
          </w:rPr>
          <w:fldChar w:fldCharType="end"/>
        </w:r>
      </w:hyperlink>
    </w:p>
    <w:p w14:paraId="35B78119" w14:textId="05CC622C" w:rsidR="002E1F1A" w:rsidRDefault="000B3762">
      <w:pPr>
        <w:pStyle w:val="TOC3"/>
        <w:rPr>
          <w:rFonts w:asciiTheme="minorHAnsi" w:eastAsiaTheme="minorEastAsia" w:hAnsiTheme="minorHAnsi" w:cstheme="minorBidi"/>
          <w:caps w:val="0"/>
          <w:noProof/>
          <w:color w:val="auto"/>
          <w:sz w:val="22"/>
          <w:szCs w:val="22"/>
          <w:lang w:eastAsia="en-AU"/>
        </w:rPr>
      </w:pPr>
      <w:hyperlink w:anchor="_Toc523322080" w:history="1">
        <w:r w:rsidR="002E1F1A" w:rsidRPr="00A867E6">
          <w:rPr>
            <w:rStyle w:val="Hyperlink"/>
            <w:noProof/>
          </w:rPr>
          <w:t>6.3</w:t>
        </w:r>
        <w:r w:rsidR="002E1F1A">
          <w:rPr>
            <w:rFonts w:asciiTheme="minorHAnsi" w:eastAsiaTheme="minorEastAsia" w:hAnsiTheme="minorHAnsi" w:cstheme="minorBidi"/>
            <w:caps w:val="0"/>
            <w:noProof/>
            <w:color w:val="auto"/>
            <w:sz w:val="22"/>
            <w:szCs w:val="22"/>
            <w:lang w:eastAsia="en-AU"/>
          </w:rPr>
          <w:tab/>
        </w:r>
        <w:r w:rsidR="002E1F1A" w:rsidRPr="00A867E6">
          <w:rPr>
            <w:rStyle w:val="Hyperlink"/>
            <w:noProof/>
          </w:rPr>
          <w:t>Unit cost and administrative overheads</w:t>
        </w:r>
        <w:r w:rsidR="002E1F1A">
          <w:rPr>
            <w:noProof/>
            <w:webHidden/>
          </w:rPr>
          <w:tab/>
        </w:r>
        <w:r w:rsidR="002E1F1A">
          <w:rPr>
            <w:noProof/>
            <w:webHidden/>
          </w:rPr>
          <w:fldChar w:fldCharType="begin"/>
        </w:r>
        <w:r w:rsidR="002E1F1A">
          <w:rPr>
            <w:noProof/>
            <w:webHidden/>
          </w:rPr>
          <w:instrText xml:space="preserve"> PAGEREF _Toc523322080 \h </w:instrText>
        </w:r>
        <w:r w:rsidR="002E1F1A">
          <w:rPr>
            <w:noProof/>
            <w:webHidden/>
          </w:rPr>
        </w:r>
        <w:r w:rsidR="002E1F1A">
          <w:rPr>
            <w:noProof/>
            <w:webHidden/>
          </w:rPr>
          <w:fldChar w:fldCharType="separate"/>
        </w:r>
        <w:r w:rsidR="002E1F1A">
          <w:rPr>
            <w:noProof/>
            <w:webHidden/>
          </w:rPr>
          <w:t>34</w:t>
        </w:r>
        <w:r w:rsidR="002E1F1A">
          <w:rPr>
            <w:noProof/>
            <w:webHidden/>
          </w:rPr>
          <w:fldChar w:fldCharType="end"/>
        </w:r>
      </w:hyperlink>
    </w:p>
    <w:p w14:paraId="5BE0722C" w14:textId="447CE899" w:rsidR="002E1F1A" w:rsidRDefault="000B3762">
      <w:pPr>
        <w:pStyle w:val="TOC3"/>
        <w:rPr>
          <w:rFonts w:asciiTheme="minorHAnsi" w:eastAsiaTheme="minorEastAsia" w:hAnsiTheme="minorHAnsi" w:cstheme="minorBidi"/>
          <w:caps w:val="0"/>
          <w:noProof/>
          <w:color w:val="auto"/>
          <w:sz w:val="22"/>
          <w:szCs w:val="22"/>
          <w:lang w:eastAsia="en-AU"/>
        </w:rPr>
      </w:pPr>
      <w:hyperlink w:anchor="_Toc523322081" w:history="1">
        <w:r w:rsidR="002E1F1A" w:rsidRPr="00A867E6">
          <w:rPr>
            <w:rStyle w:val="Hyperlink"/>
            <w:noProof/>
          </w:rPr>
          <w:t>6.4</w:t>
        </w:r>
        <w:r w:rsidR="002E1F1A">
          <w:rPr>
            <w:rFonts w:asciiTheme="minorHAnsi" w:eastAsiaTheme="minorEastAsia" w:hAnsiTheme="minorHAnsi" w:cstheme="minorBidi"/>
            <w:caps w:val="0"/>
            <w:noProof/>
            <w:color w:val="auto"/>
            <w:sz w:val="22"/>
            <w:szCs w:val="22"/>
            <w:lang w:eastAsia="en-AU"/>
          </w:rPr>
          <w:tab/>
        </w:r>
        <w:r w:rsidR="002E1F1A" w:rsidRPr="00A867E6">
          <w:rPr>
            <w:rStyle w:val="Hyperlink"/>
            <w:noProof/>
          </w:rPr>
          <w:t>Rank correlation analysis</w:t>
        </w:r>
        <w:r w:rsidR="002E1F1A">
          <w:rPr>
            <w:noProof/>
            <w:webHidden/>
          </w:rPr>
          <w:tab/>
        </w:r>
        <w:r w:rsidR="002E1F1A">
          <w:rPr>
            <w:noProof/>
            <w:webHidden/>
          </w:rPr>
          <w:fldChar w:fldCharType="begin"/>
        </w:r>
        <w:r w:rsidR="002E1F1A">
          <w:rPr>
            <w:noProof/>
            <w:webHidden/>
          </w:rPr>
          <w:instrText xml:space="preserve"> PAGEREF _Toc523322081 \h </w:instrText>
        </w:r>
        <w:r w:rsidR="002E1F1A">
          <w:rPr>
            <w:noProof/>
            <w:webHidden/>
          </w:rPr>
        </w:r>
        <w:r w:rsidR="002E1F1A">
          <w:rPr>
            <w:noProof/>
            <w:webHidden/>
          </w:rPr>
          <w:fldChar w:fldCharType="separate"/>
        </w:r>
        <w:r w:rsidR="002E1F1A">
          <w:rPr>
            <w:noProof/>
            <w:webHidden/>
          </w:rPr>
          <w:t>35</w:t>
        </w:r>
        <w:r w:rsidR="002E1F1A">
          <w:rPr>
            <w:noProof/>
            <w:webHidden/>
          </w:rPr>
          <w:fldChar w:fldCharType="end"/>
        </w:r>
      </w:hyperlink>
    </w:p>
    <w:p w14:paraId="4C88F6DF" w14:textId="6E0000F3" w:rsidR="002E1F1A" w:rsidRDefault="000B3762">
      <w:pPr>
        <w:pStyle w:val="TOC2"/>
        <w:rPr>
          <w:rFonts w:asciiTheme="minorHAnsi" w:eastAsiaTheme="minorEastAsia" w:hAnsiTheme="minorHAnsi" w:cstheme="minorBidi"/>
          <w:caps w:val="0"/>
          <w:noProof/>
          <w:color w:val="auto"/>
          <w:spacing w:val="0"/>
          <w:sz w:val="22"/>
          <w:szCs w:val="22"/>
          <w:u w:val="none"/>
          <w:lang w:eastAsia="en-AU"/>
        </w:rPr>
      </w:pPr>
      <w:hyperlink w:anchor="_Toc523322082" w:history="1">
        <w:r w:rsidR="002E1F1A" w:rsidRPr="00A867E6">
          <w:rPr>
            <w:rStyle w:val="Hyperlink"/>
            <w:noProof/>
            <w:lang w:val="en-US"/>
          </w:rPr>
          <w:t>7</w:t>
        </w:r>
        <w:r w:rsidR="002E1F1A">
          <w:rPr>
            <w:rFonts w:asciiTheme="minorHAnsi" w:eastAsiaTheme="minorEastAsia" w:hAnsiTheme="minorHAnsi" w:cstheme="minorBidi"/>
            <w:caps w:val="0"/>
            <w:noProof/>
            <w:color w:val="auto"/>
            <w:spacing w:val="0"/>
            <w:sz w:val="22"/>
            <w:szCs w:val="22"/>
            <w:u w:val="none"/>
            <w:lang w:eastAsia="en-AU"/>
          </w:rPr>
          <w:tab/>
        </w:r>
        <w:r w:rsidR="002E1F1A" w:rsidRPr="00A867E6">
          <w:rPr>
            <w:rStyle w:val="Hyperlink"/>
            <w:noProof/>
            <w:lang w:val="en-US"/>
          </w:rPr>
          <w:t>Conclusion and Options for Future development</w:t>
        </w:r>
        <w:r w:rsidR="002E1F1A">
          <w:rPr>
            <w:noProof/>
            <w:webHidden/>
          </w:rPr>
          <w:tab/>
        </w:r>
        <w:r w:rsidR="002E1F1A">
          <w:rPr>
            <w:noProof/>
            <w:webHidden/>
          </w:rPr>
          <w:fldChar w:fldCharType="begin"/>
        </w:r>
        <w:r w:rsidR="002E1F1A">
          <w:rPr>
            <w:noProof/>
            <w:webHidden/>
          </w:rPr>
          <w:instrText xml:space="preserve"> PAGEREF _Toc523322082 \h </w:instrText>
        </w:r>
        <w:r w:rsidR="002E1F1A">
          <w:rPr>
            <w:noProof/>
            <w:webHidden/>
          </w:rPr>
        </w:r>
        <w:r w:rsidR="002E1F1A">
          <w:rPr>
            <w:noProof/>
            <w:webHidden/>
          </w:rPr>
          <w:fldChar w:fldCharType="separate"/>
        </w:r>
        <w:r w:rsidR="002E1F1A">
          <w:rPr>
            <w:noProof/>
            <w:webHidden/>
          </w:rPr>
          <w:t>37</w:t>
        </w:r>
        <w:r w:rsidR="002E1F1A">
          <w:rPr>
            <w:noProof/>
            <w:webHidden/>
          </w:rPr>
          <w:fldChar w:fldCharType="end"/>
        </w:r>
      </w:hyperlink>
    </w:p>
    <w:p w14:paraId="3D73B0A3" w14:textId="7F8424C3" w:rsidR="002E1F1A" w:rsidRDefault="000B3762">
      <w:pPr>
        <w:pStyle w:val="TOC3"/>
        <w:rPr>
          <w:rFonts w:asciiTheme="minorHAnsi" w:eastAsiaTheme="minorEastAsia" w:hAnsiTheme="minorHAnsi" w:cstheme="minorBidi"/>
          <w:caps w:val="0"/>
          <w:noProof/>
          <w:color w:val="auto"/>
          <w:sz w:val="22"/>
          <w:szCs w:val="22"/>
          <w:lang w:eastAsia="en-AU"/>
        </w:rPr>
      </w:pPr>
      <w:hyperlink w:anchor="_Toc523322083" w:history="1">
        <w:r w:rsidR="002E1F1A" w:rsidRPr="00A867E6">
          <w:rPr>
            <w:rStyle w:val="Hyperlink"/>
            <w:noProof/>
          </w:rPr>
          <w:t>7.1</w:t>
        </w:r>
        <w:r w:rsidR="002E1F1A">
          <w:rPr>
            <w:rFonts w:asciiTheme="minorHAnsi" w:eastAsiaTheme="minorEastAsia" w:hAnsiTheme="minorHAnsi" w:cstheme="minorBidi"/>
            <w:caps w:val="0"/>
            <w:noProof/>
            <w:color w:val="auto"/>
            <w:sz w:val="22"/>
            <w:szCs w:val="22"/>
            <w:lang w:eastAsia="en-AU"/>
          </w:rPr>
          <w:tab/>
        </w:r>
        <w:r w:rsidR="002E1F1A" w:rsidRPr="00A867E6">
          <w:rPr>
            <w:rStyle w:val="Hyperlink"/>
            <w:noProof/>
          </w:rPr>
          <w:t>Summary of evaluation findings</w:t>
        </w:r>
        <w:r w:rsidR="002E1F1A">
          <w:rPr>
            <w:noProof/>
            <w:webHidden/>
          </w:rPr>
          <w:tab/>
        </w:r>
        <w:r w:rsidR="002E1F1A">
          <w:rPr>
            <w:noProof/>
            <w:webHidden/>
          </w:rPr>
          <w:fldChar w:fldCharType="begin"/>
        </w:r>
        <w:r w:rsidR="002E1F1A">
          <w:rPr>
            <w:noProof/>
            <w:webHidden/>
          </w:rPr>
          <w:instrText xml:space="preserve"> PAGEREF _Toc523322083 \h </w:instrText>
        </w:r>
        <w:r w:rsidR="002E1F1A">
          <w:rPr>
            <w:noProof/>
            <w:webHidden/>
          </w:rPr>
        </w:r>
        <w:r w:rsidR="002E1F1A">
          <w:rPr>
            <w:noProof/>
            <w:webHidden/>
          </w:rPr>
          <w:fldChar w:fldCharType="separate"/>
        </w:r>
        <w:r w:rsidR="002E1F1A">
          <w:rPr>
            <w:noProof/>
            <w:webHidden/>
          </w:rPr>
          <w:t>37</w:t>
        </w:r>
        <w:r w:rsidR="002E1F1A">
          <w:rPr>
            <w:noProof/>
            <w:webHidden/>
          </w:rPr>
          <w:fldChar w:fldCharType="end"/>
        </w:r>
      </w:hyperlink>
    </w:p>
    <w:p w14:paraId="1A4C3F13" w14:textId="3679230F" w:rsidR="002E1F1A" w:rsidRDefault="000B3762">
      <w:pPr>
        <w:pStyle w:val="TOC3"/>
        <w:rPr>
          <w:rFonts w:asciiTheme="minorHAnsi" w:eastAsiaTheme="minorEastAsia" w:hAnsiTheme="minorHAnsi" w:cstheme="minorBidi"/>
          <w:caps w:val="0"/>
          <w:noProof/>
          <w:color w:val="auto"/>
          <w:sz w:val="22"/>
          <w:szCs w:val="22"/>
          <w:lang w:eastAsia="en-AU"/>
        </w:rPr>
      </w:pPr>
      <w:hyperlink w:anchor="_Toc523322084" w:history="1">
        <w:r w:rsidR="002E1F1A" w:rsidRPr="00A867E6">
          <w:rPr>
            <w:rStyle w:val="Hyperlink"/>
            <w:noProof/>
          </w:rPr>
          <w:t>7.2</w:t>
        </w:r>
        <w:r w:rsidR="002E1F1A">
          <w:rPr>
            <w:rFonts w:asciiTheme="minorHAnsi" w:eastAsiaTheme="minorEastAsia" w:hAnsiTheme="minorHAnsi" w:cstheme="minorBidi"/>
            <w:caps w:val="0"/>
            <w:noProof/>
            <w:color w:val="auto"/>
            <w:sz w:val="22"/>
            <w:szCs w:val="22"/>
            <w:lang w:eastAsia="en-AU"/>
          </w:rPr>
          <w:tab/>
        </w:r>
        <w:r w:rsidR="002E1F1A" w:rsidRPr="00A867E6">
          <w:rPr>
            <w:rStyle w:val="Hyperlink"/>
            <w:noProof/>
          </w:rPr>
          <w:t>Alternative models of service delivery</w:t>
        </w:r>
        <w:r w:rsidR="002E1F1A">
          <w:rPr>
            <w:noProof/>
            <w:webHidden/>
          </w:rPr>
          <w:tab/>
        </w:r>
        <w:r w:rsidR="002E1F1A">
          <w:rPr>
            <w:noProof/>
            <w:webHidden/>
          </w:rPr>
          <w:fldChar w:fldCharType="begin"/>
        </w:r>
        <w:r w:rsidR="002E1F1A">
          <w:rPr>
            <w:noProof/>
            <w:webHidden/>
          </w:rPr>
          <w:instrText xml:space="preserve"> PAGEREF _Toc523322084 \h </w:instrText>
        </w:r>
        <w:r w:rsidR="002E1F1A">
          <w:rPr>
            <w:noProof/>
            <w:webHidden/>
          </w:rPr>
        </w:r>
        <w:r w:rsidR="002E1F1A">
          <w:rPr>
            <w:noProof/>
            <w:webHidden/>
          </w:rPr>
          <w:fldChar w:fldCharType="separate"/>
        </w:r>
        <w:r w:rsidR="002E1F1A">
          <w:rPr>
            <w:noProof/>
            <w:webHidden/>
          </w:rPr>
          <w:t>40</w:t>
        </w:r>
        <w:r w:rsidR="002E1F1A">
          <w:rPr>
            <w:noProof/>
            <w:webHidden/>
          </w:rPr>
          <w:fldChar w:fldCharType="end"/>
        </w:r>
      </w:hyperlink>
    </w:p>
    <w:p w14:paraId="7A1C77EB" w14:textId="61F1C66B" w:rsidR="002E1F1A" w:rsidRDefault="000B3762">
      <w:pPr>
        <w:pStyle w:val="TOC3"/>
        <w:rPr>
          <w:rFonts w:asciiTheme="minorHAnsi" w:eastAsiaTheme="minorEastAsia" w:hAnsiTheme="minorHAnsi" w:cstheme="minorBidi"/>
          <w:caps w:val="0"/>
          <w:noProof/>
          <w:color w:val="auto"/>
          <w:sz w:val="22"/>
          <w:szCs w:val="22"/>
          <w:lang w:eastAsia="en-AU"/>
        </w:rPr>
      </w:pPr>
      <w:hyperlink w:anchor="_Toc523322085" w:history="1">
        <w:r w:rsidR="002E1F1A" w:rsidRPr="00A867E6">
          <w:rPr>
            <w:rStyle w:val="Hyperlink"/>
            <w:noProof/>
          </w:rPr>
          <w:t>7.3</w:t>
        </w:r>
        <w:r w:rsidR="002E1F1A">
          <w:rPr>
            <w:rFonts w:asciiTheme="minorHAnsi" w:eastAsiaTheme="minorEastAsia" w:hAnsiTheme="minorHAnsi" w:cstheme="minorBidi"/>
            <w:caps w:val="0"/>
            <w:noProof/>
            <w:color w:val="auto"/>
            <w:sz w:val="22"/>
            <w:szCs w:val="22"/>
            <w:lang w:eastAsia="en-AU"/>
          </w:rPr>
          <w:tab/>
        </w:r>
        <w:r w:rsidR="002E1F1A" w:rsidRPr="00A867E6">
          <w:rPr>
            <w:rStyle w:val="Hyperlink"/>
            <w:noProof/>
          </w:rPr>
          <w:t>Options for future development</w:t>
        </w:r>
        <w:r w:rsidR="002E1F1A">
          <w:rPr>
            <w:noProof/>
            <w:webHidden/>
          </w:rPr>
          <w:tab/>
        </w:r>
        <w:r w:rsidR="002E1F1A">
          <w:rPr>
            <w:noProof/>
            <w:webHidden/>
          </w:rPr>
          <w:fldChar w:fldCharType="begin"/>
        </w:r>
        <w:r w:rsidR="002E1F1A">
          <w:rPr>
            <w:noProof/>
            <w:webHidden/>
          </w:rPr>
          <w:instrText xml:space="preserve"> PAGEREF _Toc523322085 \h </w:instrText>
        </w:r>
        <w:r w:rsidR="002E1F1A">
          <w:rPr>
            <w:noProof/>
            <w:webHidden/>
          </w:rPr>
        </w:r>
        <w:r w:rsidR="002E1F1A">
          <w:rPr>
            <w:noProof/>
            <w:webHidden/>
          </w:rPr>
          <w:fldChar w:fldCharType="separate"/>
        </w:r>
        <w:r w:rsidR="002E1F1A">
          <w:rPr>
            <w:noProof/>
            <w:webHidden/>
          </w:rPr>
          <w:t>40</w:t>
        </w:r>
        <w:r w:rsidR="002E1F1A">
          <w:rPr>
            <w:noProof/>
            <w:webHidden/>
          </w:rPr>
          <w:fldChar w:fldCharType="end"/>
        </w:r>
      </w:hyperlink>
    </w:p>
    <w:p w14:paraId="31315F2B" w14:textId="64DB3E8B" w:rsidR="002E1F1A" w:rsidRDefault="000B3762">
      <w:pPr>
        <w:pStyle w:val="TOC3"/>
        <w:rPr>
          <w:rFonts w:asciiTheme="minorHAnsi" w:eastAsiaTheme="minorEastAsia" w:hAnsiTheme="minorHAnsi" w:cstheme="minorBidi"/>
          <w:caps w:val="0"/>
          <w:noProof/>
          <w:color w:val="auto"/>
          <w:sz w:val="22"/>
          <w:szCs w:val="22"/>
          <w:lang w:eastAsia="en-AU"/>
        </w:rPr>
      </w:pPr>
      <w:hyperlink w:anchor="_Toc523322086" w:history="1">
        <w:r w:rsidR="002E1F1A" w:rsidRPr="00A867E6">
          <w:rPr>
            <w:rStyle w:val="Hyperlink"/>
            <w:noProof/>
          </w:rPr>
          <w:t>7.4</w:t>
        </w:r>
        <w:r w:rsidR="002E1F1A">
          <w:rPr>
            <w:rFonts w:asciiTheme="minorHAnsi" w:eastAsiaTheme="minorEastAsia" w:hAnsiTheme="minorHAnsi" w:cstheme="minorBidi"/>
            <w:caps w:val="0"/>
            <w:noProof/>
            <w:color w:val="auto"/>
            <w:sz w:val="22"/>
            <w:szCs w:val="22"/>
            <w:lang w:eastAsia="en-AU"/>
          </w:rPr>
          <w:tab/>
        </w:r>
        <w:r w:rsidR="002E1F1A" w:rsidRPr="00A867E6">
          <w:rPr>
            <w:rStyle w:val="Hyperlink"/>
            <w:noProof/>
          </w:rPr>
          <w:t>Conclusion</w:t>
        </w:r>
        <w:r w:rsidR="002E1F1A">
          <w:rPr>
            <w:noProof/>
            <w:webHidden/>
          </w:rPr>
          <w:tab/>
        </w:r>
        <w:r w:rsidR="002E1F1A">
          <w:rPr>
            <w:noProof/>
            <w:webHidden/>
          </w:rPr>
          <w:fldChar w:fldCharType="begin"/>
        </w:r>
        <w:r w:rsidR="002E1F1A">
          <w:rPr>
            <w:noProof/>
            <w:webHidden/>
          </w:rPr>
          <w:instrText xml:space="preserve"> PAGEREF _Toc523322086 \h </w:instrText>
        </w:r>
        <w:r w:rsidR="002E1F1A">
          <w:rPr>
            <w:noProof/>
            <w:webHidden/>
          </w:rPr>
        </w:r>
        <w:r w:rsidR="002E1F1A">
          <w:rPr>
            <w:noProof/>
            <w:webHidden/>
          </w:rPr>
          <w:fldChar w:fldCharType="separate"/>
        </w:r>
        <w:r w:rsidR="002E1F1A">
          <w:rPr>
            <w:noProof/>
            <w:webHidden/>
          </w:rPr>
          <w:t>47</w:t>
        </w:r>
        <w:r w:rsidR="002E1F1A">
          <w:rPr>
            <w:noProof/>
            <w:webHidden/>
          </w:rPr>
          <w:fldChar w:fldCharType="end"/>
        </w:r>
      </w:hyperlink>
    </w:p>
    <w:p w14:paraId="4E1CC492" w14:textId="518BB497" w:rsidR="002E1F1A" w:rsidRDefault="000B3762">
      <w:pPr>
        <w:pStyle w:val="TOC2"/>
        <w:rPr>
          <w:rFonts w:asciiTheme="minorHAnsi" w:eastAsiaTheme="minorEastAsia" w:hAnsiTheme="minorHAnsi" w:cstheme="minorBidi"/>
          <w:caps w:val="0"/>
          <w:noProof/>
          <w:color w:val="auto"/>
          <w:spacing w:val="0"/>
          <w:sz w:val="22"/>
          <w:szCs w:val="22"/>
          <w:u w:val="none"/>
          <w:lang w:eastAsia="en-AU"/>
        </w:rPr>
      </w:pPr>
      <w:hyperlink w:anchor="_Toc523322087" w:history="1">
        <w:r w:rsidR="002E1F1A" w:rsidRPr="00A867E6">
          <w:rPr>
            <w:rStyle w:val="Hyperlink"/>
            <w:noProof/>
            <w:lang w:val="en-US"/>
          </w:rPr>
          <w:t>8</w:t>
        </w:r>
        <w:r w:rsidR="002E1F1A">
          <w:rPr>
            <w:rFonts w:asciiTheme="minorHAnsi" w:eastAsiaTheme="minorEastAsia" w:hAnsiTheme="minorHAnsi" w:cstheme="minorBidi"/>
            <w:caps w:val="0"/>
            <w:noProof/>
            <w:color w:val="auto"/>
            <w:spacing w:val="0"/>
            <w:sz w:val="22"/>
            <w:szCs w:val="22"/>
            <w:u w:val="none"/>
            <w:lang w:eastAsia="en-AU"/>
          </w:rPr>
          <w:tab/>
        </w:r>
        <w:r w:rsidR="002E1F1A" w:rsidRPr="00A867E6">
          <w:rPr>
            <w:rStyle w:val="Hyperlink"/>
            <w:noProof/>
            <w:lang w:val="en-US"/>
          </w:rPr>
          <w:t>Appendices</w:t>
        </w:r>
        <w:r w:rsidR="002E1F1A">
          <w:rPr>
            <w:noProof/>
            <w:webHidden/>
          </w:rPr>
          <w:tab/>
        </w:r>
        <w:r w:rsidR="002E1F1A">
          <w:rPr>
            <w:noProof/>
            <w:webHidden/>
          </w:rPr>
          <w:fldChar w:fldCharType="begin"/>
        </w:r>
        <w:r w:rsidR="002E1F1A">
          <w:rPr>
            <w:noProof/>
            <w:webHidden/>
          </w:rPr>
          <w:instrText xml:space="preserve"> PAGEREF _Toc523322087 \h </w:instrText>
        </w:r>
        <w:r w:rsidR="002E1F1A">
          <w:rPr>
            <w:noProof/>
            <w:webHidden/>
          </w:rPr>
        </w:r>
        <w:r w:rsidR="002E1F1A">
          <w:rPr>
            <w:noProof/>
            <w:webHidden/>
          </w:rPr>
          <w:fldChar w:fldCharType="separate"/>
        </w:r>
        <w:r w:rsidR="002E1F1A">
          <w:rPr>
            <w:noProof/>
            <w:webHidden/>
          </w:rPr>
          <w:t>48</w:t>
        </w:r>
        <w:r w:rsidR="002E1F1A">
          <w:rPr>
            <w:noProof/>
            <w:webHidden/>
          </w:rPr>
          <w:fldChar w:fldCharType="end"/>
        </w:r>
      </w:hyperlink>
    </w:p>
    <w:p w14:paraId="40ADE79C" w14:textId="17FB4FFA" w:rsidR="002E1F1A" w:rsidRDefault="000B3762">
      <w:pPr>
        <w:pStyle w:val="TOC3"/>
        <w:tabs>
          <w:tab w:val="left" w:pos="1760"/>
        </w:tabs>
        <w:rPr>
          <w:rFonts w:asciiTheme="minorHAnsi" w:eastAsiaTheme="minorEastAsia" w:hAnsiTheme="minorHAnsi" w:cstheme="minorBidi"/>
          <w:caps w:val="0"/>
          <w:noProof/>
          <w:color w:val="auto"/>
          <w:sz w:val="22"/>
          <w:szCs w:val="22"/>
          <w:lang w:eastAsia="en-AU"/>
        </w:rPr>
      </w:pPr>
      <w:hyperlink w:anchor="_Toc523322088" w:history="1">
        <w:r w:rsidR="002E1F1A" w:rsidRPr="00A867E6">
          <w:rPr>
            <w:rStyle w:val="Hyperlink"/>
            <w:noProof/>
          </w:rPr>
          <w:t>Appendix A</w:t>
        </w:r>
        <w:r w:rsidR="002E1F1A">
          <w:rPr>
            <w:rFonts w:asciiTheme="minorHAnsi" w:eastAsiaTheme="minorEastAsia" w:hAnsiTheme="minorHAnsi" w:cstheme="minorBidi"/>
            <w:caps w:val="0"/>
            <w:noProof/>
            <w:color w:val="auto"/>
            <w:sz w:val="22"/>
            <w:szCs w:val="22"/>
            <w:lang w:eastAsia="en-AU"/>
          </w:rPr>
          <w:tab/>
        </w:r>
        <w:r w:rsidR="002E1F1A" w:rsidRPr="00A867E6">
          <w:rPr>
            <w:rStyle w:val="Hyperlink"/>
            <w:noProof/>
          </w:rPr>
          <w:t>Historical Evolution of Program Objectives</w:t>
        </w:r>
        <w:r w:rsidR="002E1F1A">
          <w:rPr>
            <w:noProof/>
            <w:webHidden/>
          </w:rPr>
          <w:tab/>
        </w:r>
        <w:r w:rsidR="002E1F1A">
          <w:rPr>
            <w:noProof/>
            <w:webHidden/>
          </w:rPr>
          <w:fldChar w:fldCharType="begin"/>
        </w:r>
        <w:r w:rsidR="002E1F1A">
          <w:rPr>
            <w:noProof/>
            <w:webHidden/>
          </w:rPr>
          <w:instrText xml:space="preserve"> PAGEREF _Toc523322088 \h </w:instrText>
        </w:r>
        <w:r w:rsidR="002E1F1A">
          <w:rPr>
            <w:noProof/>
            <w:webHidden/>
          </w:rPr>
        </w:r>
        <w:r w:rsidR="002E1F1A">
          <w:rPr>
            <w:noProof/>
            <w:webHidden/>
          </w:rPr>
          <w:fldChar w:fldCharType="separate"/>
        </w:r>
        <w:r w:rsidR="002E1F1A">
          <w:rPr>
            <w:noProof/>
            <w:webHidden/>
          </w:rPr>
          <w:t>48</w:t>
        </w:r>
        <w:r w:rsidR="002E1F1A">
          <w:rPr>
            <w:noProof/>
            <w:webHidden/>
          </w:rPr>
          <w:fldChar w:fldCharType="end"/>
        </w:r>
      </w:hyperlink>
    </w:p>
    <w:p w14:paraId="6A9B2BF4" w14:textId="05BBEBF7" w:rsidR="002E1F1A" w:rsidRDefault="000B3762">
      <w:pPr>
        <w:pStyle w:val="TOC3"/>
        <w:tabs>
          <w:tab w:val="left" w:pos="1760"/>
        </w:tabs>
        <w:rPr>
          <w:rFonts w:asciiTheme="minorHAnsi" w:eastAsiaTheme="minorEastAsia" w:hAnsiTheme="minorHAnsi" w:cstheme="minorBidi"/>
          <w:caps w:val="0"/>
          <w:noProof/>
          <w:color w:val="auto"/>
          <w:sz w:val="22"/>
          <w:szCs w:val="22"/>
          <w:lang w:eastAsia="en-AU"/>
        </w:rPr>
      </w:pPr>
      <w:hyperlink w:anchor="_Toc523322089" w:history="1">
        <w:r w:rsidR="002E1F1A" w:rsidRPr="00A867E6">
          <w:rPr>
            <w:rStyle w:val="Hyperlink"/>
            <w:noProof/>
          </w:rPr>
          <w:t>Appendix B</w:t>
        </w:r>
        <w:r w:rsidR="002E1F1A">
          <w:rPr>
            <w:rFonts w:asciiTheme="minorHAnsi" w:eastAsiaTheme="minorEastAsia" w:hAnsiTheme="minorHAnsi" w:cstheme="minorBidi"/>
            <w:caps w:val="0"/>
            <w:noProof/>
            <w:color w:val="auto"/>
            <w:sz w:val="22"/>
            <w:szCs w:val="22"/>
            <w:lang w:eastAsia="en-AU"/>
          </w:rPr>
          <w:tab/>
        </w:r>
        <w:r w:rsidR="002E1F1A" w:rsidRPr="00A867E6">
          <w:rPr>
            <w:rStyle w:val="Hyperlink"/>
            <w:noProof/>
          </w:rPr>
          <w:t>Other influencing programs</w:t>
        </w:r>
        <w:r w:rsidR="002E1F1A">
          <w:rPr>
            <w:noProof/>
            <w:webHidden/>
          </w:rPr>
          <w:tab/>
        </w:r>
        <w:r w:rsidR="002E1F1A">
          <w:rPr>
            <w:noProof/>
            <w:webHidden/>
          </w:rPr>
          <w:fldChar w:fldCharType="begin"/>
        </w:r>
        <w:r w:rsidR="002E1F1A">
          <w:rPr>
            <w:noProof/>
            <w:webHidden/>
          </w:rPr>
          <w:instrText xml:space="preserve"> PAGEREF _Toc523322089 \h </w:instrText>
        </w:r>
        <w:r w:rsidR="002E1F1A">
          <w:rPr>
            <w:noProof/>
            <w:webHidden/>
          </w:rPr>
        </w:r>
        <w:r w:rsidR="002E1F1A">
          <w:rPr>
            <w:noProof/>
            <w:webHidden/>
          </w:rPr>
          <w:fldChar w:fldCharType="separate"/>
        </w:r>
        <w:r w:rsidR="002E1F1A">
          <w:rPr>
            <w:noProof/>
            <w:webHidden/>
          </w:rPr>
          <w:t>50</w:t>
        </w:r>
        <w:r w:rsidR="002E1F1A">
          <w:rPr>
            <w:noProof/>
            <w:webHidden/>
          </w:rPr>
          <w:fldChar w:fldCharType="end"/>
        </w:r>
      </w:hyperlink>
    </w:p>
    <w:p w14:paraId="5DF21923" w14:textId="07C68A6A" w:rsidR="002E1F1A" w:rsidRDefault="000B3762">
      <w:pPr>
        <w:pStyle w:val="TOC3"/>
        <w:tabs>
          <w:tab w:val="left" w:pos="1760"/>
        </w:tabs>
        <w:rPr>
          <w:rFonts w:asciiTheme="minorHAnsi" w:eastAsiaTheme="minorEastAsia" w:hAnsiTheme="minorHAnsi" w:cstheme="minorBidi"/>
          <w:caps w:val="0"/>
          <w:noProof/>
          <w:color w:val="auto"/>
          <w:sz w:val="22"/>
          <w:szCs w:val="22"/>
          <w:lang w:eastAsia="en-AU"/>
        </w:rPr>
      </w:pPr>
      <w:hyperlink w:anchor="_Toc523322090" w:history="1">
        <w:r w:rsidR="002E1F1A" w:rsidRPr="00A867E6">
          <w:rPr>
            <w:rStyle w:val="Hyperlink"/>
            <w:noProof/>
          </w:rPr>
          <w:t>Appendix C</w:t>
        </w:r>
        <w:r w:rsidR="002E1F1A">
          <w:rPr>
            <w:rFonts w:asciiTheme="minorHAnsi" w:eastAsiaTheme="minorEastAsia" w:hAnsiTheme="minorHAnsi" w:cstheme="minorBidi"/>
            <w:caps w:val="0"/>
            <w:noProof/>
            <w:color w:val="auto"/>
            <w:sz w:val="22"/>
            <w:szCs w:val="22"/>
            <w:lang w:eastAsia="en-AU"/>
          </w:rPr>
          <w:tab/>
        </w:r>
        <w:r w:rsidR="002E1F1A" w:rsidRPr="00A867E6">
          <w:rPr>
            <w:rStyle w:val="Hyperlink"/>
            <w:noProof/>
          </w:rPr>
          <w:t>Additional pharmacists required in regional areas to achieve parity – magnitude estimation technique</w:t>
        </w:r>
        <w:r w:rsidR="002E1F1A">
          <w:rPr>
            <w:noProof/>
            <w:webHidden/>
          </w:rPr>
          <w:tab/>
        </w:r>
        <w:r w:rsidR="002E1F1A">
          <w:rPr>
            <w:noProof/>
            <w:webHidden/>
          </w:rPr>
          <w:fldChar w:fldCharType="begin"/>
        </w:r>
        <w:r w:rsidR="002E1F1A">
          <w:rPr>
            <w:noProof/>
            <w:webHidden/>
          </w:rPr>
          <w:instrText xml:space="preserve"> PAGEREF _Toc523322090 \h </w:instrText>
        </w:r>
        <w:r w:rsidR="002E1F1A">
          <w:rPr>
            <w:noProof/>
            <w:webHidden/>
          </w:rPr>
        </w:r>
        <w:r w:rsidR="002E1F1A">
          <w:rPr>
            <w:noProof/>
            <w:webHidden/>
          </w:rPr>
          <w:fldChar w:fldCharType="separate"/>
        </w:r>
        <w:r w:rsidR="002E1F1A">
          <w:rPr>
            <w:noProof/>
            <w:webHidden/>
          </w:rPr>
          <w:t>51</w:t>
        </w:r>
        <w:r w:rsidR="002E1F1A">
          <w:rPr>
            <w:noProof/>
            <w:webHidden/>
          </w:rPr>
          <w:fldChar w:fldCharType="end"/>
        </w:r>
      </w:hyperlink>
    </w:p>
    <w:p w14:paraId="2BBB4A54" w14:textId="1D1ECF02" w:rsidR="002E1F1A" w:rsidRDefault="000B3762">
      <w:pPr>
        <w:pStyle w:val="TOC3"/>
        <w:tabs>
          <w:tab w:val="left" w:pos="1760"/>
        </w:tabs>
        <w:rPr>
          <w:rFonts w:asciiTheme="minorHAnsi" w:eastAsiaTheme="minorEastAsia" w:hAnsiTheme="minorHAnsi" w:cstheme="minorBidi"/>
          <w:caps w:val="0"/>
          <w:noProof/>
          <w:color w:val="auto"/>
          <w:sz w:val="22"/>
          <w:szCs w:val="22"/>
          <w:lang w:eastAsia="en-AU"/>
        </w:rPr>
      </w:pPr>
      <w:hyperlink w:anchor="_Toc523322091" w:history="1">
        <w:r w:rsidR="002E1F1A" w:rsidRPr="00A867E6">
          <w:rPr>
            <w:rStyle w:val="Hyperlink"/>
            <w:noProof/>
          </w:rPr>
          <w:t>Appendix D</w:t>
        </w:r>
        <w:r w:rsidR="002E1F1A">
          <w:rPr>
            <w:rFonts w:asciiTheme="minorHAnsi" w:eastAsiaTheme="minorEastAsia" w:hAnsiTheme="minorHAnsi" w:cstheme="minorBidi"/>
            <w:caps w:val="0"/>
            <w:noProof/>
            <w:color w:val="auto"/>
            <w:sz w:val="22"/>
            <w:szCs w:val="22"/>
            <w:lang w:eastAsia="en-AU"/>
          </w:rPr>
          <w:tab/>
        </w:r>
        <w:r w:rsidR="002E1F1A" w:rsidRPr="00A867E6">
          <w:rPr>
            <w:rStyle w:val="Hyperlink"/>
            <w:noProof/>
          </w:rPr>
          <w:t>Comparator Workforce Programs</w:t>
        </w:r>
        <w:r w:rsidR="002E1F1A">
          <w:rPr>
            <w:noProof/>
            <w:webHidden/>
          </w:rPr>
          <w:tab/>
        </w:r>
        <w:r w:rsidR="002E1F1A">
          <w:rPr>
            <w:noProof/>
            <w:webHidden/>
          </w:rPr>
          <w:fldChar w:fldCharType="begin"/>
        </w:r>
        <w:r w:rsidR="002E1F1A">
          <w:rPr>
            <w:noProof/>
            <w:webHidden/>
          </w:rPr>
          <w:instrText xml:space="preserve"> PAGEREF _Toc523322091 \h </w:instrText>
        </w:r>
        <w:r w:rsidR="002E1F1A">
          <w:rPr>
            <w:noProof/>
            <w:webHidden/>
          </w:rPr>
        </w:r>
        <w:r w:rsidR="002E1F1A">
          <w:rPr>
            <w:noProof/>
            <w:webHidden/>
          </w:rPr>
          <w:fldChar w:fldCharType="separate"/>
        </w:r>
        <w:r w:rsidR="002E1F1A">
          <w:rPr>
            <w:noProof/>
            <w:webHidden/>
          </w:rPr>
          <w:t>52</w:t>
        </w:r>
        <w:r w:rsidR="002E1F1A">
          <w:rPr>
            <w:noProof/>
            <w:webHidden/>
          </w:rPr>
          <w:fldChar w:fldCharType="end"/>
        </w:r>
      </w:hyperlink>
    </w:p>
    <w:p w14:paraId="4B1F4099" w14:textId="5CB50C63" w:rsidR="002E1F1A" w:rsidRDefault="000B3762">
      <w:pPr>
        <w:pStyle w:val="TOC3"/>
        <w:tabs>
          <w:tab w:val="left" w:pos="1760"/>
        </w:tabs>
        <w:rPr>
          <w:rFonts w:asciiTheme="minorHAnsi" w:eastAsiaTheme="minorEastAsia" w:hAnsiTheme="minorHAnsi" w:cstheme="minorBidi"/>
          <w:caps w:val="0"/>
          <w:noProof/>
          <w:color w:val="auto"/>
          <w:sz w:val="22"/>
          <w:szCs w:val="22"/>
          <w:lang w:eastAsia="en-AU"/>
        </w:rPr>
      </w:pPr>
      <w:hyperlink w:anchor="_Toc523322092" w:history="1">
        <w:r w:rsidR="002E1F1A" w:rsidRPr="00A867E6">
          <w:rPr>
            <w:rStyle w:val="Hyperlink"/>
            <w:noProof/>
          </w:rPr>
          <w:t>Appendix E</w:t>
        </w:r>
        <w:r w:rsidR="002E1F1A">
          <w:rPr>
            <w:rFonts w:asciiTheme="minorHAnsi" w:eastAsiaTheme="minorEastAsia" w:hAnsiTheme="minorHAnsi" w:cstheme="minorBidi"/>
            <w:caps w:val="0"/>
            <w:noProof/>
            <w:color w:val="auto"/>
            <w:sz w:val="22"/>
            <w:szCs w:val="22"/>
            <w:lang w:eastAsia="en-AU"/>
          </w:rPr>
          <w:tab/>
        </w:r>
        <w:r w:rsidR="002E1F1A" w:rsidRPr="00A867E6">
          <w:rPr>
            <w:rStyle w:val="Hyperlink"/>
            <w:noProof/>
          </w:rPr>
          <w:t>Unit cost of Pharmacy workforce programs</w:t>
        </w:r>
        <w:r w:rsidR="002E1F1A">
          <w:rPr>
            <w:noProof/>
            <w:webHidden/>
          </w:rPr>
          <w:tab/>
        </w:r>
        <w:r w:rsidR="002E1F1A">
          <w:rPr>
            <w:noProof/>
            <w:webHidden/>
          </w:rPr>
          <w:fldChar w:fldCharType="begin"/>
        </w:r>
        <w:r w:rsidR="002E1F1A">
          <w:rPr>
            <w:noProof/>
            <w:webHidden/>
          </w:rPr>
          <w:instrText xml:space="preserve"> PAGEREF _Toc523322092 \h </w:instrText>
        </w:r>
        <w:r w:rsidR="002E1F1A">
          <w:rPr>
            <w:noProof/>
            <w:webHidden/>
          </w:rPr>
        </w:r>
        <w:r w:rsidR="002E1F1A">
          <w:rPr>
            <w:noProof/>
            <w:webHidden/>
          </w:rPr>
          <w:fldChar w:fldCharType="separate"/>
        </w:r>
        <w:r w:rsidR="002E1F1A">
          <w:rPr>
            <w:noProof/>
            <w:webHidden/>
          </w:rPr>
          <w:t>53</w:t>
        </w:r>
        <w:r w:rsidR="002E1F1A">
          <w:rPr>
            <w:noProof/>
            <w:webHidden/>
          </w:rPr>
          <w:fldChar w:fldCharType="end"/>
        </w:r>
      </w:hyperlink>
    </w:p>
    <w:p w14:paraId="08FDFD62" w14:textId="1AB959FD" w:rsidR="002E1F1A" w:rsidRDefault="000B3762">
      <w:pPr>
        <w:pStyle w:val="TOC3"/>
        <w:tabs>
          <w:tab w:val="left" w:pos="1760"/>
        </w:tabs>
        <w:rPr>
          <w:rFonts w:asciiTheme="minorHAnsi" w:eastAsiaTheme="minorEastAsia" w:hAnsiTheme="minorHAnsi" w:cstheme="minorBidi"/>
          <w:caps w:val="0"/>
          <w:noProof/>
          <w:color w:val="auto"/>
          <w:sz w:val="22"/>
          <w:szCs w:val="22"/>
          <w:lang w:eastAsia="en-AU"/>
        </w:rPr>
      </w:pPr>
      <w:hyperlink w:anchor="_Toc523322093" w:history="1">
        <w:r w:rsidR="002E1F1A" w:rsidRPr="00A867E6">
          <w:rPr>
            <w:rStyle w:val="Hyperlink"/>
            <w:noProof/>
          </w:rPr>
          <w:t>Appendix F</w:t>
        </w:r>
        <w:r w:rsidR="002E1F1A">
          <w:rPr>
            <w:rFonts w:asciiTheme="minorHAnsi" w:eastAsiaTheme="minorEastAsia" w:hAnsiTheme="minorHAnsi" w:cstheme="minorBidi"/>
            <w:caps w:val="0"/>
            <w:noProof/>
            <w:color w:val="auto"/>
            <w:sz w:val="22"/>
            <w:szCs w:val="22"/>
            <w:lang w:eastAsia="en-AU"/>
          </w:rPr>
          <w:tab/>
        </w:r>
        <w:r w:rsidR="002E1F1A" w:rsidRPr="00A867E6">
          <w:rPr>
            <w:rStyle w:val="Hyperlink"/>
            <w:noProof/>
          </w:rPr>
          <w:t>Rank correlation analysis scores</w:t>
        </w:r>
        <w:r w:rsidR="002E1F1A">
          <w:rPr>
            <w:noProof/>
            <w:webHidden/>
          </w:rPr>
          <w:tab/>
        </w:r>
        <w:r w:rsidR="002E1F1A">
          <w:rPr>
            <w:noProof/>
            <w:webHidden/>
          </w:rPr>
          <w:fldChar w:fldCharType="begin"/>
        </w:r>
        <w:r w:rsidR="002E1F1A">
          <w:rPr>
            <w:noProof/>
            <w:webHidden/>
          </w:rPr>
          <w:instrText xml:space="preserve"> PAGEREF _Toc523322093 \h </w:instrText>
        </w:r>
        <w:r w:rsidR="002E1F1A">
          <w:rPr>
            <w:noProof/>
            <w:webHidden/>
          </w:rPr>
        </w:r>
        <w:r w:rsidR="002E1F1A">
          <w:rPr>
            <w:noProof/>
            <w:webHidden/>
          </w:rPr>
          <w:fldChar w:fldCharType="separate"/>
        </w:r>
        <w:r w:rsidR="002E1F1A">
          <w:rPr>
            <w:noProof/>
            <w:webHidden/>
          </w:rPr>
          <w:t>55</w:t>
        </w:r>
        <w:r w:rsidR="002E1F1A">
          <w:rPr>
            <w:noProof/>
            <w:webHidden/>
          </w:rPr>
          <w:fldChar w:fldCharType="end"/>
        </w:r>
      </w:hyperlink>
    </w:p>
    <w:p w14:paraId="12EE5D3D" w14:textId="0D98CDB1" w:rsidR="002E1F1A" w:rsidRDefault="000B3762">
      <w:pPr>
        <w:pStyle w:val="TOC3"/>
        <w:tabs>
          <w:tab w:val="left" w:pos="1760"/>
        </w:tabs>
        <w:rPr>
          <w:rFonts w:asciiTheme="minorHAnsi" w:eastAsiaTheme="minorEastAsia" w:hAnsiTheme="minorHAnsi" w:cstheme="minorBidi"/>
          <w:caps w:val="0"/>
          <w:noProof/>
          <w:color w:val="auto"/>
          <w:sz w:val="22"/>
          <w:szCs w:val="22"/>
          <w:lang w:eastAsia="en-AU"/>
        </w:rPr>
      </w:pPr>
      <w:hyperlink w:anchor="_Toc523322094" w:history="1">
        <w:r w:rsidR="002E1F1A" w:rsidRPr="00A867E6">
          <w:rPr>
            <w:rStyle w:val="Hyperlink"/>
            <w:noProof/>
          </w:rPr>
          <w:t>Appendix G</w:t>
        </w:r>
        <w:r w:rsidR="002E1F1A">
          <w:rPr>
            <w:rFonts w:asciiTheme="minorHAnsi" w:eastAsiaTheme="minorEastAsia" w:hAnsiTheme="minorHAnsi" w:cstheme="minorBidi"/>
            <w:caps w:val="0"/>
            <w:noProof/>
            <w:color w:val="auto"/>
            <w:sz w:val="22"/>
            <w:szCs w:val="22"/>
            <w:lang w:eastAsia="en-AU"/>
          </w:rPr>
          <w:tab/>
        </w:r>
        <w:r w:rsidR="002E1F1A" w:rsidRPr="00A867E6">
          <w:rPr>
            <w:rStyle w:val="Hyperlink"/>
            <w:noProof/>
          </w:rPr>
          <w:t>References</w:t>
        </w:r>
        <w:r w:rsidR="002E1F1A">
          <w:rPr>
            <w:noProof/>
            <w:webHidden/>
          </w:rPr>
          <w:tab/>
        </w:r>
        <w:r w:rsidR="002E1F1A">
          <w:rPr>
            <w:noProof/>
            <w:webHidden/>
          </w:rPr>
          <w:fldChar w:fldCharType="begin"/>
        </w:r>
        <w:r w:rsidR="002E1F1A">
          <w:rPr>
            <w:noProof/>
            <w:webHidden/>
          </w:rPr>
          <w:instrText xml:space="preserve"> PAGEREF _Toc523322094 \h </w:instrText>
        </w:r>
        <w:r w:rsidR="002E1F1A">
          <w:rPr>
            <w:noProof/>
            <w:webHidden/>
          </w:rPr>
        </w:r>
        <w:r w:rsidR="002E1F1A">
          <w:rPr>
            <w:noProof/>
            <w:webHidden/>
          </w:rPr>
          <w:fldChar w:fldCharType="separate"/>
        </w:r>
        <w:r w:rsidR="002E1F1A">
          <w:rPr>
            <w:noProof/>
            <w:webHidden/>
          </w:rPr>
          <w:t>57</w:t>
        </w:r>
        <w:r w:rsidR="002E1F1A">
          <w:rPr>
            <w:noProof/>
            <w:webHidden/>
          </w:rPr>
          <w:fldChar w:fldCharType="end"/>
        </w:r>
      </w:hyperlink>
    </w:p>
    <w:p w14:paraId="22E79A6B" w14:textId="01C76981"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fldChar w:fldCharType="end"/>
      </w:r>
    </w:p>
    <w:p w14:paraId="2A1BC414" w14:textId="77777777" w:rsidR="00166DB1" w:rsidRPr="00166DB1" w:rsidRDefault="00166DB1" w:rsidP="00166DB1">
      <w:pPr>
        <w:spacing w:before="85" w:after="85"/>
        <w:rPr>
          <w:rFonts w:ascii="Garamond" w:eastAsia="Garamond" w:hAnsi="Garamond"/>
          <w:color w:val="000000"/>
        </w:rPr>
      </w:pPr>
    </w:p>
    <w:p w14:paraId="063DF881" w14:textId="77777777" w:rsidR="00166DB1" w:rsidRPr="00166DB1" w:rsidRDefault="00166DB1" w:rsidP="00166DB1">
      <w:pPr>
        <w:spacing w:before="85" w:after="85"/>
        <w:rPr>
          <w:rFonts w:ascii="Garamond" w:eastAsia="Garamond" w:hAnsi="Garamond"/>
          <w:color w:val="000000"/>
        </w:rPr>
        <w:sectPr w:rsidR="00166DB1" w:rsidRPr="00166DB1" w:rsidSect="00720069">
          <w:headerReference w:type="even" r:id="rId14"/>
          <w:headerReference w:type="default" r:id="rId15"/>
          <w:type w:val="continuous"/>
          <w:pgSz w:w="16840" w:h="11901" w:orient="landscape" w:code="9"/>
          <w:pgMar w:top="2268" w:right="1304" w:bottom="851" w:left="737" w:header="567" w:footer="284" w:gutter="0"/>
          <w:pgNumType w:start="0"/>
          <w:cols w:num="2" w:space="708"/>
          <w:formProt w:val="0"/>
          <w:docGrid w:linePitch="272"/>
        </w:sectPr>
      </w:pPr>
    </w:p>
    <w:tbl>
      <w:tblPr>
        <w:tblStyle w:val="AbbreviationsTable"/>
        <w:tblW w:w="5000" w:type="pct"/>
        <w:tblLayout w:type="fixed"/>
        <w:tblLook w:val="04A0" w:firstRow="1" w:lastRow="0" w:firstColumn="1" w:lastColumn="0" w:noHBand="0" w:noVBand="1"/>
        <w:tblCaption w:val="Abbreviations and Glossary"/>
        <w:tblDescription w:val="List of Abbreviations and Glossary of terms used in the document."/>
      </w:tblPr>
      <w:tblGrid>
        <w:gridCol w:w="1531"/>
        <w:gridCol w:w="5513"/>
      </w:tblGrid>
      <w:tr w:rsidR="000B3762" w:rsidRPr="00166DB1" w14:paraId="304B1783" w14:textId="77777777" w:rsidTr="000B3762">
        <w:trPr>
          <w:tblHeader/>
        </w:trPr>
        <w:tc>
          <w:tcPr>
            <w:cnfStyle w:val="001000000000" w:firstRow="0" w:lastRow="0" w:firstColumn="1" w:lastColumn="0" w:oddVBand="0" w:evenVBand="0" w:oddHBand="0" w:evenHBand="0" w:firstRowFirstColumn="0" w:firstRowLastColumn="0" w:lastRowFirstColumn="0" w:lastRowLastColumn="0"/>
            <w:tcW w:w="1531" w:type="dxa"/>
          </w:tcPr>
          <w:p w14:paraId="79B87792" w14:textId="22D42DE7" w:rsidR="000B3762" w:rsidRPr="000B3762" w:rsidRDefault="000B3762" w:rsidP="00166DB1">
            <w:pPr>
              <w:spacing w:before="60" w:after="60" w:line="220" w:lineRule="atLeast"/>
              <w:rPr>
                <w:rFonts w:ascii="Franklin Gothic Book" w:eastAsia="Garamond" w:hAnsi="Franklin Gothic Book"/>
                <w:b/>
                <w:color w:val="000000"/>
                <w:sz w:val="18"/>
              </w:rPr>
            </w:pPr>
            <w:r w:rsidRPr="000B3762">
              <w:rPr>
                <w:rFonts w:ascii="Franklin Gothic Book" w:eastAsia="Garamond" w:hAnsi="Franklin Gothic Book"/>
                <w:b/>
                <w:color w:val="000000"/>
                <w:sz w:val="18"/>
              </w:rPr>
              <w:lastRenderedPageBreak/>
              <w:t>Abbreviation</w:t>
            </w:r>
          </w:p>
        </w:tc>
        <w:tc>
          <w:tcPr>
            <w:tcW w:w="5513" w:type="dxa"/>
          </w:tcPr>
          <w:p w14:paraId="34D025E8" w14:textId="737D1F4E" w:rsidR="000B3762" w:rsidRPr="000B3762" w:rsidRDefault="000B3762" w:rsidP="00166DB1">
            <w:pPr>
              <w:spacing w:before="60" w:after="60" w:line="288" w:lineRule="atLeast"/>
              <w:ind w:left="57"/>
              <w:cnfStyle w:val="000000000000" w:firstRow="0" w:lastRow="0" w:firstColumn="0" w:lastColumn="0" w:oddVBand="0" w:evenVBand="0" w:oddHBand="0" w:evenHBand="0" w:firstRowFirstColumn="0" w:firstRowLastColumn="0" w:lastRowFirstColumn="0" w:lastRowLastColumn="0"/>
              <w:rPr>
                <w:rFonts w:ascii="Garamond" w:eastAsia="Garamond" w:hAnsi="Garamond"/>
                <w:b/>
                <w:color w:val="000000"/>
              </w:rPr>
            </w:pPr>
            <w:r w:rsidRPr="000B3762">
              <w:rPr>
                <w:rFonts w:ascii="Garamond" w:eastAsia="Garamond" w:hAnsi="Garamond"/>
                <w:b/>
                <w:color w:val="000000"/>
              </w:rPr>
              <w:t>Expanded Text</w:t>
            </w:r>
          </w:p>
        </w:tc>
      </w:tr>
      <w:tr w:rsidR="00166DB1" w:rsidRPr="00166DB1" w14:paraId="33EE0BBB" w14:textId="77777777" w:rsidTr="00720069">
        <w:tc>
          <w:tcPr>
            <w:cnfStyle w:val="001000000000" w:firstRow="0" w:lastRow="0" w:firstColumn="1" w:lastColumn="0" w:oddVBand="0" w:evenVBand="0" w:oddHBand="0" w:evenHBand="0" w:firstRowFirstColumn="0" w:firstRowLastColumn="0" w:lastRowFirstColumn="0" w:lastRowLastColumn="0"/>
            <w:tcW w:w="1531" w:type="dxa"/>
          </w:tcPr>
          <w:p w14:paraId="75E76D5D" w14:textId="77777777" w:rsidR="00166DB1" w:rsidRPr="00166DB1" w:rsidRDefault="00166DB1" w:rsidP="00166DB1">
            <w:pPr>
              <w:spacing w:before="60" w:after="60" w:line="220" w:lineRule="atLeast"/>
              <w:rPr>
                <w:rFonts w:ascii="Franklin Gothic Book" w:eastAsia="Garamond" w:hAnsi="Franklin Gothic Book"/>
                <w:color w:val="000000"/>
                <w:sz w:val="18"/>
              </w:rPr>
            </w:pPr>
            <w:r w:rsidRPr="00166DB1">
              <w:rPr>
                <w:rFonts w:ascii="Franklin Gothic Book" w:eastAsia="Garamond" w:hAnsi="Franklin Gothic Book"/>
                <w:color w:val="000000"/>
                <w:sz w:val="18"/>
              </w:rPr>
              <w:t>3CPA</w:t>
            </w:r>
          </w:p>
        </w:tc>
        <w:tc>
          <w:tcPr>
            <w:tcW w:w="5513" w:type="dxa"/>
          </w:tcPr>
          <w:p w14:paraId="4A5B8444" w14:textId="77777777" w:rsidR="00166DB1" w:rsidRPr="00166DB1" w:rsidDel="00704955" w:rsidRDefault="00166DB1" w:rsidP="00166DB1">
            <w:pPr>
              <w:spacing w:before="60" w:after="60" w:line="288" w:lineRule="atLeast"/>
              <w:ind w:left="57"/>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rPr>
            </w:pPr>
            <w:r w:rsidRPr="00166DB1">
              <w:rPr>
                <w:rFonts w:ascii="Garamond" w:eastAsia="Garamond" w:hAnsi="Garamond"/>
                <w:color w:val="000000"/>
              </w:rPr>
              <w:t>Third Community Pharmacy Agreement</w:t>
            </w:r>
          </w:p>
        </w:tc>
      </w:tr>
      <w:tr w:rsidR="00166DB1" w:rsidRPr="00166DB1" w14:paraId="5DB7F000" w14:textId="77777777" w:rsidTr="00720069">
        <w:tc>
          <w:tcPr>
            <w:cnfStyle w:val="001000000000" w:firstRow="0" w:lastRow="0" w:firstColumn="1" w:lastColumn="0" w:oddVBand="0" w:evenVBand="0" w:oddHBand="0" w:evenHBand="0" w:firstRowFirstColumn="0" w:firstRowLastColumn="0" w:lastRowFirstColumn="0" w:lastRowLastColumn="0"/>
            <w:tcW w:w="1531" w:type="dxa"/>
          </w:tcPr>
          <w:p w14:paraId="4E44D568" w14:textId="77777777" w:rsidR="00166DB1" w:rsidRPr="00166DB1" w:rsidRDefault="00166DB1" w:rsidP="00166DB1">
            <w:pPr>
              <w:spacing w:before="60" w:after="60" w:line="220" w:lineRule="atLeast"/>
              <w:rPr>
                <w:rFonts w:ascii="Franklin Gothic Book" w:eastAsia="Garamond" w:hAnsi="Franklin Gothic Book"/>
                <w:color w:val="000000"/>
                <w:sz w:val="18"/>
              </w:rPr>
            </w:pPr>
            <w:r w:rsidRPr="00166DB1">
              <w:rPr>
                <w:rFonts w:ascii="Franklin Gothic Book" w:eastAsia="Garamond" w:hAnsi="Franklin Gothic Book"/>
                <w:color w:val="000000"/>
                <w:sz w:val="18"/>
              </w:rPr>
              <w:t>4CPA</w:t>
            </w:r>
          </w:p>
        </w:tc>
        <w:tc>
          <w:tcPr>
            <w:tcW w:w="5513" w:type="dxa"/>
          </w:tcPr>
          <w:p w14:paraId="41BBD3C4" w14:textId="77777777" w:rsidR="00166DB1" w:rsidRPr="00166DB1" w:rsidRDefault="00166DB1" w:rsidP="00166DB1">
            <w:pPr>
              <w:spacing w:before="60" w:after="60" w:line="288" w:lineRule="atLeast"/>
              <w:ind w:left="57"/>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rPr>
            </w:pPr>
            <w:r w:rsidRPr="00166DB1">
              <w:rPr>
                <w:rFonts w:ascii="Garamond" w:eastAsia="Garamond" w:hAnsi="Garamond"/>
                <w:color w:val="000000"/>
              </w:rPr>
              <w:t>Fourth Community Pharmacy Agreement</w:t>
            </w:r>
          </w:p>
        </w:tc>
      </w:tr>
      <w:tr w:rsidR="00166DB1" w:rsidRPr="00166DB1" w14:paraId="3D5CEF28" w14:textId="77777777" w:rsidTr="00720069">
        <w:tc>
          <w:tcPr>
            <w:cnfStyle w:val="001000000000" w:firstRow="0" w:lastRow="0" w:firstColumn="1" w:lastColumn="0" w:oddVBand="0" w:evenVBand="0" w:oddHBand="0" w:evenHBand="0" w:firstRowFirstColumn="0" w:firstRowLastColumn="0" w:lastRowFirstColumn="0" w:lastRowLastColumn="0"/>
            <w:tcW w:w="1531" w:type="dxa"/>
          </w:tcPr>
          <w:p w14:paraId="747F1C1E" w14:textId="77777777" w:rsidR="00166DB1" w:rsidRPr="00166DB1" w:rsidRDefault="00166DB1" w:rsidP="00166DB1">
            <w:pPr>
              <w:spacing w:before="60" w:after="60" w:line="220" w:lineRule="atLeast"/>
              <w:rPr>
                <w:rFonts w:ascii="Franklin Gothic Book" w:eastAsia="Garamond" w:hAnsi="Franklin Gothic Book"/>
                <w:color w:val="000000"/>
                <w:sz w:val="18"/>
              </w:rPr>
            </w:pPr>
            <w:r w:rsidRPr="00166DB1">
              <w:rPr>
                <w:rFonts w:ascii="Franklin Gothic Book" w:eastAsia="Garamond" w:hAnsi="Franklin Gothic Book"/>
                <w:color w:val="000000"/>
                <w:sz w:val="18"/>
              </w:rPr>
              <w:t>5CPA</w:t>
            </w:r>
          </w:p>
        </w:tc>
        <w:tc>
          <w:tcPr>
            <w:tcW w:w="5513" w:type="dxa"/>
          </w:tcPr>
          <w:p w14:paraId="4B66AF39" w14:textId="77777777" w:rsidR="00166DB1" w:rsidRPr="00166DB1" w:rsidRDefault="00166DB1" w:rsidP="00166DB1">
            <w:pPr>
              <w:spacing w:before="60" w:after="60" w:line="288" w:lineRule="atLeast"/>
              <w:ind w:left="57"/>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rPr>
            </w:pPr>
            <w:r w:rsidRPr="00166DB1">
              <w:rPr>
                <w:rFonts w:ascii="Garamond" w:eastAsia="Garamond" w:hAnsi="Garamond"/>
                <w:color w:val="000000"/>
              </w:rPr>
              <w:t>Fifth Community Pharm</w:t>
            </w:r>
            <w:bookmarkStart w:id="1" w:name="_GoBack"/>
            <w:bookmarkEnd w:id="1"/>
            <w:r w:rsidRPr="00166DB1">
              <w:rPr>
                <w:rFonts w:ascii="Garamond" w:eastAsia="Garamond" w:hAnsi="Garamond"/>
                <w:color w:val="000000"/>
              </w:rPr>
              <w:t>acy Agreement</w:t>
            </w:r>
          </w:p>
        </w:tc>
      </w:tr>
      <w:tr w:rsidR="00166DB1" w:rsidRPr="00166DB1" w14:paraId="51645AA0" w14:textId="77777777" w:rsidTr="00720069">
        <w:tc>
          <w:tcPr>
            <w:cnfStyle w:val="001000000000" w:firstRow="0" w:lastRow="0" w:firstColumn="1" w:lastColumn="0" w:oddVBand="0" w:evenVBand="0" w:oddHBand="0" w:evenHBand="0" w:firstRowFirstColumn="0" w:firstRowLastColumn="0" w:lastRowFirstColumn="0" w:lastRowLastColumn="0"/>
            <w:tcW w:w="1531" w:type="dxa"/>
          </w:tcPr>
          <w:p w14:paraId="314F9604" w14:textId="77777777" w:rsidR="00166DB1" w:rsidRPr="00166DB1" w:rsidRDefault="00166DB1" w:rsidP="00166DB1">
            <w:pPr>
              <w:spacing w:before="60" w:after="60" w:line="220" w:lineRule="atLeast"/>
              <w:rPr>
                <w:rFonts w:ascii="Franklin Gothic Book" w:eastAsia="Garamond" w:hAnsi="Franklin Gothic Book"/>
                <w:color w:val="000000"/>
                <w:sz w:val="18"/>
              </w:rPr>
            </w:pPr>
            <w:r w:rsidRPr="00166DB1">
              <w:rPr>
                <w:rFonts w:ascii="Franklin Gothic Book" w:eastAsia="Garamond" w:hAnsi="Franklin Gothic Book"/>
                <w:color w:val="000000"/>
                <w:sz w:val="18"/>
              </w:rPr>
              <w:t>6CPA</w:t>
            </w:r>
          </w:p>
        </w:tc>
        <w:tc>
          <w:tcPr>
            <w:tcW w:w="5513" w:type="dxa"/>
          </w:tcPr>
          <w:p w14:paraId="553AF20A" w14:textId="77777777" w:rsidR="00166DB1" w:rsidRPr="00166DB1" w:rsidRDefault="00166DB1" w:rsidP="00166DB1">
            <w:pPr>
              <w:spacing w:before="60" w:after="60" w:line="288" w:lineRule="atLeast"/>
              <w:ind w:left="57"/>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rPr>
            </w:pPr>
            <w:r w:rsidRPr="00166DB1">
              <w:rPr>
                <w:rFonts w:ascii="Garamond" w:eastAsia="Garamond" w:hAnsi="Garamond"/>
                <w:color w:val="000000"/>
              </w:rPr>
              <w:t>Sixth Community Pharmacy Agreement</w:t>
            </w:r>
          </w:p>
        </w:tc>
      </w:tr>
      <w:tr w:rsidR="00166DB1" w:rsidRPr="00166DB1" w14:paraId="05B0E39F" w14:textId="77777777" w:rsidTr="00720069">
        <w:tc>
          <w:tcPr>
            <w:cnfStyle w:val="001000000000" w:firstRow="0" w:lastRow="0" w:firstColumn="1" w:lastColumn="0" w:oddVBand="0" w:evenVBand="0" w:oddHBand="0" w:evenHBand="0" w:firstRowFirstColumn="0" w:firstRowLastColumn="0" w:lastRowFirstColumn="0" w:lastRowLastColumn="0"/>
            <w:tcW w:w="1531" w:type="dxa"/>
          </w:tcPr>
          <w:p w14:paraId="11F582AC" w14:textId="77777777" w:rsidR="00166DB1" w:rsidRPr="00166DB1" w:rsidRDefault="00166DB1" w:rsidP="00166DB1">
            <w:pPr>
              <w:spacing w:before="60" w:after="60" w:line="220" w:lineRule="atLeast"/>
              <w:rPr>
                <w:rFonts w:ascii="Franklin Gothic Book" w:eastAsia="Garamond" w:hAnsi="Franklin Gothic Book"/>
                <w:color w:val="000000"/>
                <w:sz w:val="18"/>
              </w:rPr>
            </w:pPr>
            <w:r w:rsidRPr="00166DB1">
              <w:rPr>
                <w:rFonts w:ascii="Franklin Gothic Book" w:eastAsia="Garamond" w:hAnsi="Franklin Gothic Book"/>
                <w:color w:val="000000"/>
                <w:sz w:val="18"/>
              </w:rPr>
              <w:t>AACP</w:t>
            </w:r>
          </w:p>
        </w:tc>
        <w:tc>
          <w:tcPr>
            <w:tcW w:w="5513" w:type="dxa"/>
          </w:tcPr>
          <w:p w14:paraId="12A2AC19" w14:textId="77777777" w:rsidR="00166DB1" w:rsidRPr="00166DB1" w:rsidDel="00704955" w:rsidRDefault="00166DB1" w:rsidP="00166DB1">
            <w:pPr>
              <w:spacing w:before="60" w:after="60" w:line="288" w:lineRule="atLeast"/>
              <w:ind w:left="57"/>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rPr>
            </w:pPr>
            <w:r w:rsidRPr="00166DB1">
              <w:rPr>
                <w:rFonts w:ascii="Garamond" w:eastAsia="Garamond" w:hAnsi="Garamond"/>
                <w:color w:val="000000"/>
              </w:rPr>
              <w:t>Australian Association of Consultant Pharmacists</w:t>
            </w:r>
          </w:p>
        </w:tc>
      </w:tr>
      <w:tr w:rsidR="00166DB1" w:rsidRPr="00166DB1" w14:paraId="1F58DEDE" w14:textId="77777777" w:rsidTr="00720069">
        <w:tc>
          <w:tcPr>
            <w:cnfStyle w:val="001000000000" w:firstRow="0" w:lastRow="0" w:firstColumn="1" w:lastColumn="0" w:oddVBand="0" w:evenVBand="0" w:oddHBand="0" w:evenHBand="0" w:firstRowFirstColumn="0" w:firstRowLastColumn="0" w:lastRowFirstColumn="0" w:lastRowLastColumn="0"/>
            <w:tcW w:w="1531" w:type="dxa"/>
          </w:tcPr>
          <w:p w14:paraId="6E190880" w14:textId="77777777" w:rsidR="00166DB1" w:rsidRPr="00166DB1" w:rsidRDefault="00166DB1" w:rsidP="00166DB1">
            <w:pPr>
              <w:spacing w:before="60" w:after="60" w:line="220" w:lineRule="atLeast"/>
              <w:rPr>
                <w:rFonts w:ascii="Franklin Gothic Book" w:eastAsia="Garamond" w:hAnsi="Franklin Gothic Book"/>
                <w:color w:val="000000"/>
                <w:sz w:val="18"/>
              </w:rPr>
            </w:pPr>
            <w:r w:rsidRPr="00166DB1">
              <w:rPr>
                <w:rFonts w:ascii="Franklin Gothic Book" w:eastAsia="Garamond" w:hAnsi="Franklin Gothic Book"/>
                <w:color w:val="000000"/>
                <w:sz w:val="18"/>
              </w:rPr>
              <w:t>ABS</w:t>
            </w:r>
          </w:p>
        </w:tc>
        <w:tc>
          <w:tcPr>
            <w:tcW w:w="5513" w:type="dxa"/>
          </w:tcPr>
          <w:p w14:paraId="51680A1D" w14:textId="77777777" w:rsidR="00166DB1" w:rsidRPr="00166DB1" w:rsidRDefault="00166DB1" w:rsidP="00166DB1">
            <w:pPr>
              <w:spacing w:before="60" w:after="60" w:line="288" w:lineRule="atLeast"/>
              <w:ind w:left="57"/>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rPr>
            </w:pPr>
            <w:r w:rsidRPr="00166DB1">
              <w:rPr>
                <w:rFonts w:ascii="Garamond" w:eastAsia="Garamond" w:hAnsi="Garamond"/>
                <w:color w:val="000000"/>
              </w:rPr>
              <w:t>Australian Bureau of Statistics</w:t>
            </w:r>
          </w:p>
        </w:tc>
      </w:tr>
      <w:tr w:rsidR="00166DB1" w:rsidRPr="00166DB1" w14:paraId="31B03DDD" w14:textId="77777777" w:rsidTr="00720069">
        <w:tc>
          <w:tcPr>
            <w:cnfStyle w:val="001000000000" w:firstRow="0" w:lastRow="0" w:firstColumn="1" w:lastColumn="0" w:oddVBand="0" w:evenVBand="0" w:oddHBand="0" w:evenHBand="0" w:firstRowFirstColumn="0" w:firstRowLastColumn="0" w:lastRowFirstColumn="0" w:lastRowLastColumn="0"/>
            <w:tcW w:w="1531" w:type="dxa"/>
          </w:tcPr>
          <w:p w14:paraId="2F6AA671" w14:textId="77777777" w:rsidR="00166DB1" w:rsidRPr="00166DB1" w:rsidRDefault="00166DB1" w:rsidP="00166DB1">
            <w:pPr>
              <w:spacing w:before="60" w:after="60" w:line="220" w:lineRule="atLeast"/>
              <w:rPr>
                <w:rFonts w:ascii="Franklin Gothic Book" w:eastAsia="Garamond" w:hAnsi="Franklin Gothic Book"/>
                <w:color w:val="000000"/>
                <w:sz w:val="18"/>
              </w:rPr>
            </w:pPr>
            <w:r w:rsidRPr="00166DB1">
              <w:rPr>
                <w:rFonts w:ascii="Franklin Gothic Book" w:eastAsia="Garamond" w:hAnsi="Franklin Gothic Book"/>
                <w:color w:val="000000"/>
                <w:sz w:val="18"/>
              </w:rPr>
              <w:t>ACCHO</w:t>
            </w:r>
          </w:p>
        </w:tc>
        <w:tc>
          <w:tcPr>
            <w:tcW w:w="5513" w:type="dxa"/>
          </w:tcPr>
          <w:p w14:paraId="298014F2" w14:textId="77777777" w:rsidR="00166DB1" w:rsidRPr="00166DB1" w:rsidRDefault="00166DB1" w:rsidP="00166DB1">
            <w:pPr>
              <w:spacing w:before="60" w:after="60" w:line="288" w:lineRule="atLeast"/>
              <w:ind w:left="57"/>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rPr>
            </w:pPr>
            <w:r w:rsidRPr="00166DB1">
              <w:rPr>
                <w:rFonts w:ascii="Garamond" w:eastAsia="Garamond" w:hAnsi="Garamond"/>
                <w:color w:val="000000"/>
              </w:rPr>
              <w:t>Aboriginal Community Controlled Health Organisations</w:t>
            </w:r>
          </w:p>
        </w:tc>
      </w:tr>
      <w:tr w:rsidR="00166DB1" w:rsidRPr="00166DB1" w14:paraId="0D46DB3F" w14:textId="77777777" w:rsidTr="00720069">
        <w:tc>
          <w:tcPr>
            <w:cnfStyle w:val="001000000000" w:firstRow="0" w:lastRow="0" w:firstColumn="1" w:lastColumn="0" w:oddVBand="0" w:evenVBand="0" w:oddHBand="0" w:evenHBand="0" w:firstRowFirstColumn="0" w:firstRowLastColumn="0" w:lastRowFirstColumn="0" w:lastRowLastColumn="0"/>
            <w:tcW w:w="1531" w:type="dxa"/>
          </w:tcPr>
          <w:p w14:paraId="514218BB" w14:textId="77777777" w:rsidR="00166DB1" w:rsidRPr="00166DB1" w:rsidRDefault="00166DB1" w:rsidP="00166DB1">
            <w:pPr>
              <w:spacing w:before="60" w:after="60" w:line="220" w:lineRule="atLeast"/>
              <w:rPr>
                <w:rFonts w:ascii="Franklin Gothic Book" w:eastAsia="Garamond" w:hAnsi="Franklin Gothic Book"/>
                <w:color w:val="000000"/>
                <w:sz w:val="18"/>
              </w:rPr>
            </w:pPr>
            <w:r w:rsidRPr="00166DB1">
              <w:rPr>
                <w:rFonts w:ascii="Franklin Gothic Book" w:eastAsia="Garamond" w:hAnsi="Franklin Gothic Book"/>
                <w:color w:val="000000"/>
                <w:sz w:val="18"/>
              </w:rPr>
              <w:t>ACCHS</w:t>
            </w:r>
          </w:p>
        </w:tc>
        <w:tc>
          <w:tcPr>
            <w:tcW w:w="5513" w:type="dxa"/>
          </w:tcPr>
          <w:p w14:paraId="6FBBA8C7" w14:textId="77777777" w:rsidR="00166DB1" w:rsidRPr="00166DB1" w:rsidRDefault="00166DB1" w:rsidP="00166DB1">
            <w:pPr>
              <w:spacing w:before="60" w:after="60" w:line="288" w:lineRule="atLeast"/>
              <w:ind w:left="57"/>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rPr>
            </w:pPr>
            <w:r w:rsidRPr="00166DB1">
              <w:rPr>
                <w:rFonts w:ascii="Garamond" w:eastAsia="Garamond" w:hAnsi="Garamond"/>
                <w:color w:val="000000"/>
              </w:rPr>
              <w:t>Aboriginal Community Controlled Health Services</w:t>
            </w:r>
          </w:p>
        </w:tc>
      </w:tr>
      <w:tr w:rsidR="00166DB1" w:rsidRPr="00166DB1" w14:paraId="0D314401" w14:textId="77777777" w:rsidTr="00720069">
        <w:tc>
          <w:tcPr>
            <w:cnfStyle w:val="001000000000" w:firstRow="0" w:lastRow="0" w:firstColumn="1" w:lastColumn="0" w:oddVBand="0" w:evenVBand="0" w:oddHBand="0" w:evenHBand="0" w:firstRowFirstColumn="0" w:firstRowLastColumn="0" w:lastRowFirstColumn="0" w:lastRowLastColumn="0"/>
            <w:tcW w:w="1531" w:type="dxa"/>
          </w:tcPr>
          <w:p w14:paraId="7255CA96" w14:textId="77777777" w:rsidR="00166DB1" w:rsidRPr="00166DB1" w:rsidRDefault="00166DB1" w:rsidP="00166DB1">
            <w:pPr>
              <w:spacing w:before="60" w:after="60" w:line="220" w:lineRule="atLeast"/>
              <w:rPr>
                <w:rFonts w:ascii="Franklin Gothic Book" w:eastAsia="Garamond" w:hAnsi="Franklin Gothic Book"/>
                <w:color w:val="000000"/>
                <w:sz w:val="18"/>
              </w:rPr>
            </w:pPr>
            <w:r w:rsidRPr="00166DB1">
              <w:rPr>
                <w:rFonts w:ascii="Franklin Gothic Book" w:eastAsia="Garamond" w:hAnsi="Franklin Gothic Book"/>
                <w:color w:val="000000"/>
                <w:sz w:val="18"/>
              </w:rPr>
              <w:t>AHPRA</w:t>
            </w:r>
          </w:p>
        </w:tc>
        <w:tc>
          <w:tcPr>
            <w:tcW w:w="5513" w:type="dxa"/>
          </w:tcPr>
          <w:p w14:paraId="6049E05D" w14:textId="77777777" w:rsidR="00166DB1" w:rsidRPr="00166DB1" w:rsidRDefault="00166DB1" w:rsidP="00166DB1">
            <w:pPr>
              <w:spacing w:before="60" w:after="60" w:line="288" w:lineRule="atLeast"/>
              <w:ind w:left="57"/>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rPr>
            </w:pPr>
            <w:r w:rsidRPr="00166DB1">
              <w:rPr>
                <w:rFonts w:ascii="Garamond" w:eastAsia="Garamond" w:hAnsi="Garamond"/>
                <w:color w:val="000000"/>
              </w:rPr>
              <w:t>Australian Health Practitioner Regulation Agency</w:t>
            </w:r>
          </w:p>
        </w:tc>
      </w:tr>
      <w:tr w:rsidR="00166DB1" w:rsidRPr="00166DB1" w14:paraId="58765319" w14:textId="77777777" w:rsidTr="00720069">
        <w:tc>
          <w:tcPr>
            <w:cnfStyle w:val="001000000000" w:firstRow="0" w:lastRow="0" w:firstColumn="1" w:lastColumn="0" w:oddVBand="0" w:evenVBand="0" w:oddHBand="0" w:evenHBand="0" w:firstRowFirstColumn="0" w:firstRowLastColumn="0" w:lastRowFirstColumn="0" w:lastRowLastColumn="0"/>
            <w:tcW w:w="1531" w:type="dxa"/>
          </w:tcPr>
          <w:p w14:paraId="360A8346" w14:textId="77777777" w:rsidR="00166DB1" w:rsidRPr="00166DB1" w:rsidRDefault="00166DB1" w:rsidP="00166DB1">
            <w:pPr>
              <w:spacing w:before="60" w:after="60" w:line="220" w:lineRule="atLeast"/>
              <w:rPr>
                <w:rFonts w:ascii="Franklin Gothic Book" w:eastAsia="Garamond" w:hAnsi="Franklin Gothic Book"/>
                <w:color w:val="000000"/>
                <w:sz w:val="18"/>
              </w:rPr>
            </w:pPr>
            <w:r w:rsidRPr="00166DB1">
              <w:rPr>
                <w:rFonts w:ascii="Franklin Gothic Book" w:eastAsia="Garamond" w:hAnsi="Franklin Gothic Book"/>
                <w:color w:val="000000"/>
                <w:sz w:val="18"/>
              </w:rPr>
              <w:t>AHS</w:t>
            </w:r>
          </w:p>
        </w:tc>
        <w:tc>
          <w:tcPr>
            <w:tcW w:w="5513" w:type="dxa"/>
          </w:tcPr>
          <w:p w14:paraId="4C5AF503" w14:textId="77777777" w:rsidR="00166DB1" w:rsidRPr="00166DB1" w:rsidRDefault="00166DB1" w:rsidP="00166DB1">
            <w:pPr>
              <w:spacing w:before="60" w:after="60" w:line="288" w:lineRule="atLeast"/>
              <w:ind w:left="57"/>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rPr>
            </w:pPr>
            <w:r w:rsidRPr="00166DB1">
              <w:rPr>
                <w:rFonts w:ascii="Garamond" w:eastAsia="Garamond" w:hAnsi="Garamond"/>
                <w:color w:val="000000"/>
              </w:rPr>
              <w:t>Aboriginal Health Service</w:t>
            </w:r>
          </w:p>
        </w:tc>
      </w:tr>
      <w:tr w:rsidR="00166DB1" w:rsidRPr="00166DB1" w14:paraId="441A4F3D" w14:textId="77777777" w:rsidTr="00720069">
        <w:tc>
          <w:tcPr>
            <w:cnfStyle w:val="001000000000" w:firstRow="0" w:lastRow="0" w:firstColumn="1" w:lastColumn="0" w:oddVBand="0" w:evenVBand="0" w:oddHBand="0" w:evenHBand="0" w:firstRowFirstColumn="0" w:firstRowLastColumn="0" w:lastRowFirstColumn="0" w:lastRowLastColumn="0"/>
            <w:tcW w:w="1531" w:type="dxa"/>
          </w:tcPr>
          <w:p w14:paraId="4E5ECC35" w14:textId="77777777" w:rsidR="00166DB1" w:rsidRPr="00166DB1" w:rsidRDefault="00166DB1" w:rsidP="00166DB1">
            <w:pPr>
              <w:spacing w:before="60" w:after="60" w:line="220" w:lineRule="atLeast"/>
              <w:rPr>
                <w:rFonts w:ascii="Franklin Gothic Book" w:eastAsia="Garamond" w:hAnsi="Franklin Gothic Book"/>
                <w:color w:val="000000"/>
                <w:sz w:val="18"/>
              </w:rPr>
            </w:pPr>
            <w:r w:rsidRPr="00166DB1">
              <w:rPr>
                <w:rFonts w:ascii="Franklin Gothic Book" w:eastAsia="Garamond" w:hAnsi="Franklin Gothic Book"/>
                <w:color w:val="000000"/>
                <w:sz w:val="18"/>
              </w:rPr>
              <w:t>AIHW</w:t>
            </w:r>
          </w:p>
        </w:tc>
        <w:tc>
          <w:tcPr>
            <w:tcW w:w="5513" w:type="dxa"/>
          </w:tcPr>
          <w:p w14:paraId="25CCFD33" w14:textId="77777777" w:rsidR="00166DB1" w:rsidRPr="00166DB1" w:rsidRDefault="00166DB1" w:rsidP="00166DB1">
            <w:pPr>
              <w:spacing w:before="60" w:after="60" w:line="288" w:lineRule="atLeast"/>
              <w:ind w:left="57"/>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rPr>
            </w:pPr>
            <w:r w:rsidRPr="00166DB1">
              <w:rPr>
                <w:rFonts w:ascii="Garamond" w:eastAsia="Garamond" w:hAnsi="Garamond"/>
                <w:color w:val="000000"/>
              </w:rPr>
              <w:t>Australian Institute of Health and Welfare</w:t>
            </w:r>
          </w:p>
        </w:tc>
      </w:tr>
      <w:tr w:rsidR="00166DB1" w:rsidRPr="00166DB1" w14:paraId="3FEFCF25" w14:textId="77777777" w:rsidTr="00720069">
        <w:tc>
          <w:tcPr>
            <w:cnfStyle w:val="001000000000" w:firstRow="0" w:lastRow="0" w:firstColumn="1" w:lastColumn="0" w:oddVBand="0" w:evenVBand="0" w:oddHBand="0" w:evenHBand="0" w:firstRowFirstColumn="0" w:firstRowLastColumn="0" w:lastRowFirstColumn="0" w:lastRowLastColumn="0"/>
            <w:tcW w:w="1531" w:type="dxa"/>
          </w:tcPr>
          <w:p w14:paraId="405EBC77" w14:textId="77777777" w:rsidR="00166DB1" w:rsidRPr="00166DB1" w:rsidRDefault="00166DB1" w:rsidP="00166DB1">
            <w:pPr>
              <w:spacing w:before="60" w:after="60" w:line="220" w:lineRule="atLeast"/>
              <w:rPr>
                <w:rFonts w:ascii="Franklin Gothic Book" w:eastAsia="Garamond" w:hAnsi="Franklin Gothic Book"/>
                <w:color w:val="000000"/>
                <w:sz w:val="18"/>
              </w:rPr>
            </w:pPr>
            <w:r w:rsidRPr="00166DB1">
              <w:rPr>
                <w:rFonts w:ascii="Franklin Gothic Book" w:eastAsia="Garamond" w:hAnsi="Franklin Gothic Book"/>
                <w:color w:val="000000"/>
                <w:sz w:val="18"/>
              </w:rPr>
              <w:t>ARHEN</w:t>
            </w:r>
          </w:p>
        </w:tc>
        <w:tc>
          <w:tcPr>
            <w:tcW w:w="5513" w:type="dxa"/>
          </w:tcPr>
          <w:p w14:paraId="0D70EAE3" w14:textId="77777777" w:rsidR="00166DB1" w:rsidRPr="00166DB1" w:rsidRDefault="00166DB1" w:rsidP="00166DB1">
            <w:pPr>
              <w:spacing w:before="60" w:after="60" w:line="288" w:lineRule="atLeast"/>
              <w:ind w:left="57"/>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rPr>
            </w:pPr>
            <w:r w:rsidRPr="00166DB1">
              <w:rPr>
                <w:rFonts w:ascii="Garamond" w:eastAsia="Garamond" w:hAnsi="Garamond"/>
                <w:color w:val="000000"/>
              </w:rPr>
              <w:t>Australian Rural Health Education Network</w:t>
            </w:r>
          </w:p>
        </w:tc>
      </w:tr>
      <w:tr w:rsidR="00166DB1" w:rsidRPr="00166DB1" w14:paraId="121FCEB1" w14:textId="77777777" w:rsidTr="00720069">
        <w:tc>
          <w:tcPr>
            <w:cnfStyle w:val="001000000000" w:firstRow="0" w:lastRow="0" w:firstColumn="1" w:lastColumn="0" w:oddVBand="0" w:evenVBand="0" w:oddHBand="0" w:evenHBand="0" w:firstRowFirstColumn="0" w:firstRowLastColumn="0" w:lastRowFirstColumn="0" w:lastRowLastColumn="0"/>
            <w:tcW w:w="1531" w:type="dxa"/>
          </w:tcPr>
          <w:p w14:paraId="6DEA9F9F" w14:textId="77777777" w:rsidR="00166DB1" w:rsidRPr="00166DB1" w:rsidRDefault="00166DB1" w:rsidP="00166DB1">
            <w:pPr>
              <w:spacing w:before="60" w:after="60" w:line="220" w:lineRule="atLeast"/>
              <w:rPr>
                <w:rFonts w:ascii="Franklin Gothic Book" w:eastAsia="Garamond" w:hAnsi="Franklin Gothic Book"/>
                <w:color w:val="000000"/>
                <w:sz w:val="18"/>
              </w:rPr>
            </w:pPr>
            <w:r w:rsidRPr="00166DB1">
              <w:rPr>
                <w:rFonts w:ascii="Franklin Gothic Book" w:eastAsia="Garamond" w:hAnsi="Franklin Gothic Book"/>
                <w:color w:val="000000"/>
                <w:sz w:val="18"/>
              </w:rPr>
              <w:t>ATSI</w:t>
            </w:r>
          </w:p>
        </w:tc>
        <w:tc>
          <w:tcPr>
            <w:tcW w:w="5513" w:type="dxa"/>
          </w:tcPr>
          <w:p w14:paraId="5CFA8727" w14:textId="77777777" w:rsidR="00166DB1" w:rsidRPr="00166DB1" w:rsidRDefault="00166DB1" w:rsidP="00166DB1">
            <w:pPr>
              <w:spacing w:before="60" w:after="60" w:line="288" w:lineRule="atLeast"/>
              <w:ind w:left="57"/>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rPr>
            </w:pPr>
            <w:r w:rsidRPr="00166DB1">
              <w:rPr>
                <w:rFonts w:ascii="Garamond" w:eastAsia="Garamond" w:hAnsi="Garamond"/>
                <w:color w:val="000000"/>
              </w:rPr>
              <w:t>Aboriginal and Torres Strait Islander [people]</w:t>
            </w:r>
          </w:p>
        </w:tc>
      </w:tr>
      <w:tr w:rsidR="00166DB1" w:rsidRPr="00166DB1" w14:paraId="67756C7D" w14:textId="77777777" w:rsidTr="00720069">
        <w:tc>
          <w:tcPr>
            <w:cnfStyle w:val="001000000000" w:firstRow="0" w:lastRow="0" w:firstColumn="1" w:lastColumn="0" w:oddVBand="0" w:evenVBand="0" w:oddHBand="0" w:evenHBand="0" w:firstRowFirstColumn="0" w:firstRowLastColumn="0" w:lastRowFirstColumn="0" w:lastRowLastColumn="0"/>
            <w:tcW w:w="1531" w:type="dxa"/>
          </w:tcPr>
          <w:p w14:paraId="694928E0" w14:textId="77777777" w:rsidR="00166DB1" w:rsidRPr="00166DB1" w:rsidRDefault="00166DB1" w:rsidP="00166DB1">
            <w:pPr>
              <w:spacing w:before="60" w:after="60" w:line="220" w:lineRule="atLeast"/>
              <w:rPr>
                <w:rFonts w:ascii="Franklin Gothic Book" w:eastAsia="Garamond" w:hAnsi="Franklin Gothic Book"/>
                <w:color w:val="000000"/>
                <w:sz w:val="18"/>
              </w:rPr>
            </w:pPr>
            <w:r w:rsidRPr="00166DB1">
              <w:rPr>
                <w:rFonts w:ascii="Franklin Gothic Book" w:eastAsia="Garamond" w:hAnsi="Franklin Gothic Book"/>
                <w:color w:val="000000"/>
                <w:sz w:val="18"/>
              </w:rPr>
              <w:t>CPE</w:t>
            </w:r>
          </w:p>
        </w:tc>
        <w:tc>
          <w:tcPr>
            <w:tcW w:w="5513" w:type="dxa"/>
          </w:tcPr>
          <w:p w14:paraId="36B20BA4" w14:textId="77777777" w:rsidR="00166DB1" w:rsidRPr="00166DB1" w:rsidRDefault="00166DB1" w:rsidP="00166DB1">
            <w:pPr>
              <w:spacing w:before="60" w:after="60" w:line="288" w:lineRule="atLeast"/>
              <w:ind w:left="57"/>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rPr>
            </w:pPr>
            <w:r w:rsidRPr="00166DB1">
              <w:rPr>
                <w:rFonts w:ascii="Garamond" w:eastAsia="Garamond" w:hAnsi="Garamond"/>
                <w:color w:val="000000"/>
              </w:rPr>
              <w:t>Continuing Professional Education</w:t>
            </w:r>
          </w:p>
        </w:tc>
      </w:tr>
      <w:tr w:rsidR="00166DB1" w:rsidRPr="00166DB1" w14:paraId="7BA941E4" w14:textId="77777777" w:rsidTr="00720069">
        <w:tc>
          <w:tcPr>
            <w:cnfStyle w:val="001000000000" w:firstRow="0" w:lastRow="0" w:firstColumn="1" w:lastColumn="0" w:oddVBand="0" w:evenVBand="0" w:oddHBand="0" w:evenHBand="0" w:firstRowFirstColumn="0" w:firstRowLastColumn="0" w:lastRowFirstColumn="0" w:lastRowLastColumn="0"/>
            <w:tcW w:w="1531" w:type="dxa"/>
          </w:tcPr>
          <w:p w14:paraId="1ECFF66A" w14:textId="77777777" w:rsidR="00166DB1" w:rsidRPr="00166DB1" w:rsidRDefault="00166DB1" w:rsidP="00166DB1">
            <w:pPr>
              <w:spacing w:before="60" w:after="60" w:line="220" w:lineRule="atLeast"/>
              <w:rPr>
                <w:rFonts w:ascii="Franklin Gothic Book" w:eastAsia="Garamond" w:hAnsi="Franklin Gothic Book"/>
                <w:color w:val="000000"/>
                <w:sz w:val="18"/>
              </w:rPr>
            </w:pPr>
            <w:r w:rsidRPr="00166DB1">
              <w:rPr>
                <w:rFonts w:ascii="Franklin Gothic Book" w:eastAsia="Garamond" w:hAnsi="Franklin Gothic Book"/>
                <w:color w:val="000000"/>
                <w:sz w:val="18"/>
              </w:rPr>
              <w:t>CHF</w:t>
            </w:r>
          </w:p>
        </w:tc>
        <w:tc>
          <w:tcPr>
            <w:tcW w:w="5513" w:type="dxa"/>
          </w:tcPr>
          <w:p w14:paraId="2B2D15C7" w14:textId="77777777" w:rsidR="00166DB1" w:rsidRPr="00166DB1" w:rsidRDefault="00166DB1" w:rsidP="00166DB1">
            <w:pPr>
              <w:spacing w:before="60" w:after="60" w:line="288" w:lineRule="atLeast"/>
              <w:ind w:left="57"/>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rPr>
            </w:pPr>
            <w:r w:rsidRPr="00166DB1">
              <w:rPr>
                <w:rFonts w:ascii="Garamond" w:eastAsia="Garamond" w:hAnsi="Garamond"/>
                <w:color w:val="000000"/>
              </w:rPr>
              <w:t>Consumers Health Forum of Australia</w:t>
            </w:r>
          </w:p>
        </w:tc>
      </w:tr>
      <w:tr w:rsidR="00166DB1" w:rsidRPr="00166DB1" w14:paraId="410D4ED9" w14:textId="77777777" w:rsidTr="00720069">
        <w:tc>
          <w:tcPr>
            <w:cnfStyle w:val="001000000000" w:firstRow="0" w:lastRow="0" w:firstColumn="1" w:lastColumn="0" w:oddVBand="0" w:evenVBand="0" w:oddHBand="0" w:evenHBand="0" w:firstRowFirstColumn="0" w:firstRowLastColumn="0" w:lastRowFirstColumn="0" w:lastRowLastColumn="0"/>
            <w:tcW w:w="1531" w:type="dxa"/>
          </w:tcPr>
          <w:p w14:paraId="2751B66D" w14:textId="77777777" w:rsidR="00166DB1" w:rsidRPr="00166DB1" w:rsidRDefault="00166DB1" w:rsidP="00166DB1">
            <w:pPr>
              <w:spacing w:before="60" w:after="60" w:line="220" w:lineRule="atLeast"/>
              <w:rPr>
                <w:rFonts w:ascii="Franklin Gothic Book" w:eastAsia="Garamond" w:hAnsi="Franklin Gothic Book"/>
                <w:color w:val="000000"/>
                <w:sz w:val="18"/>
              </w:rPr>
            </w:pPr>
            <w:r w:rsidRPr="00166DB1">
              <w:rPr>
                <w:rFonts w:ascii="Franklin Gothic Book" w:eastAsia="Garamond" w:hAnsi="Franklin Gothic Book"/>
                <w:color w:val="000000"/>
                <w:sz w:val="18"/>
              </w:rPr>
              <w:t>Department, the</w:t>
            </w:r>
          </w:p>
        </w:tc>
        <w:tc>
          <w:tcPr>
            <w:tcW w:w="5513" w:type="dxa"/>
          </w:tcPr>
          <w:p w14:paraId="04D02AF9" w14:textId="77777777" w:rsidR="00166DB1" w:rsidRPr="00166DB1" w:rsidRDefault="00166DB1" w:rsidP="00166DB1">
            <w:pPr>
              <w:spacing w:before="60" w:after="60" w:line="288" w:lineRule="atLeast"/>
              <w:ind w:left="57"/>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rPr>
            </w:pPr>
            <w:r w:rsidRPr="00166DB1">
              <w:rPr>
                <w:rFonts w:ascii="Garamond" w:eastAsia="Garamond" w:hAnsi="Garamond"/>
                <w:color w:val="000000"/>
              </w:rPr>
              <w:t>The Australian Government Department of Health</w:t>
            </w:r>
          </w:p>
        </w:tc>
      </w:tr>
      <w:tr w:rsidR="00166DB1" w:rsidRPr="00166DB1" w14:paraId="5A889965" w14:textId="77777777" w:rsidTr="00720069">
        <w:tc>
          <w:tcPr>
            <w:cnfStyle w:val="001000000000" w:firstRow="0" w:lastRow="0" w:firstColumn="1" w:lastColumn="0" w:oddVBand="0" w:evenVBand="0" w:oddHBand="0" w:evenHBand="0" w:firstRowFirstColumn="0" w:firstRowLastColumn="0" w:lastRowFirstColumn="0" w:lastRowLastColumn="0"/>
            <w:tcW w:w="1531" w:type="dxa"/>
          </w:tcPr>
          <w:p w14:paraId="3696C41B" w14:textId="77777777" w:rsidR="00166DB1" w:rsidRPr="00166DB1" w:rsidRDefault="00166DB1" w:rsidP="00166DB1">
            <w:pPr>
              <w:spacing w:before="60" w:after="60" w:line="220" w:lineRule="atLeast"/>
              <w:rPr>
                <w:rFonts w:ascii="Franklin Gothic Book" w:eastAsia="Garamond" w:hAnsi="Franklin Gothic Book"/>
                <w:color w:val="000000"/>
                <w:sz w:val="18"/>
              </w:rPr>
            </w:pPr>
            <w:r w:rsidRPr="00166DB1">
              <w:rPr>
                <w:rFonts w:ascii="Franklin Gothic Book" w:eastAsia="Garamond" w:hAnsi="Franklin Gothic Book"/>
                <w:color w:val="000000"/>
                <w:sz w:val="18"/>
              </w:rPr>
              <w:t>FTE</w:t>
            </w:r>
          </w:p>
        </w:tc>
        <w:tc>
          <w:tcPr>
            <w:tcW w:w="5513" w:type="dxa"/>
          </w:tcPr>
          <w:p w14:paraId="50EE2184" w14:textId="77777777" w:rsidR="00166DB1" w:rsidRPr="00166DB1" w:rsidRDefault="00166DB1" w:rsidP="00166DB1">
            <w:pPr>
              <w:spacing w:before="60" w:after="60" w:line="288" w:lineRule="atLeast"/>
              <w:ind w:left="57"/>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rPr>
            </w:pPr>
            <w:r w:rsidRPr="00166DB1">
              <w:rPr>
                <w:rFonts w:ascii="Garamond" w:eastAsia="Garamond" w:hAnsi="Garamond"/>
                <w:color w:val="000000"/>
              </w:rPr>
              <w:t>Full-time equivalent</w:t>
            </w:r>
          </w:p>
        </w:tc>
      </w:tr>
      <w:tr w:rsidR="00166DB1" w:rsidRPr="00166DB1" w14:paraId="4EC15EF7" w14:textId="77777777" w:rsidTr="00720069">
        <w:tc>
          <w:tcPr>
            <w:cnfStyle w:val="001000000000" w:firstRow="0" w:lastRow="0" w:firstColumn="1" w:lastColumn="0" w:oddVBand="0" w:evenVBand="0" w:oddHBand="0" w:evenHBand="0" w:firstRowFirstColumn="0" w:firstRowLastColumn="0" w:lastRowFirstColumn="0" w:lastRowLastColumn="0"/>
            <w:tcW w:w="1531" w:type="dxa"/>
          </w:tcPr>
          <w:p w14:paraId="4571ACBB" w14:textId="77777777" w:rsidR="00166DB1" w:rsidRPr="00166DB1" w:rsidRDefault="00166DB1" w:rsidP="00166DB1">
            <w:pPr>
              <w:spacing w:before="60" w:after="60" w:line="220" w:lineRule="atLeast"/>
              <w:rPr>
                <w:rFonts w:ascii="Franklin Gothic Book" w:eastAsia="Garamond" w:hAnsi="Franklin Gothic Book"/>
                <w:color w:val="000000"/>
                <w:sz w:val="18"/>
              </w:rPr>
            </w:pPr>
            <w:r w:rsidRPr="00166DB1">
              <w:rPr>
                <w:rFonts w:ascii="Franklin Gothic Book" w:eastAsia="Garamond" w:hAnsi="Franklin Gothic Book"/>
                <w:color w:val="000000"/>
                <w:sz w:val="18"/>
              </w:rPr>
              <w:t>GP</w:t>
            </w:r>
          </w:p>
        </w:tc>
        <w:tc>
          <w:tcPr>
            <w:tcW w:w="5513" w:type="dxa"/>
          </w:tcPr>
          <w:p w14:paraId="34FC5122" w14:textId="77777777" w:rsidR="00166DB1" w:rsidRPr="00166DB1" w:rsidRDefault="00166DB1" w:rsidP="00166DB1">
            <w:pPr>
              <w:spacing w:before="60" w:after="60" w:line="288" w:lineRule="atLeast"/>
              <w:ind w:left="57"/>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rPr>
            </w:pPr>
            <w:r w:rsidRPr="00166DB1">
              <w:rPr>
                <w:rFonts w:ascii="Garamond" w:eastAsia="Garamond" w:hAnsi="Garamond"/>
                <w:color w:val="000000"/>
              </w:rPr>
              <w:t>General practitioner</w:t>
            </w:r>
          </w:p>
        </w:tc>
      </w:tr>
      <w:tr w:rsidR="00166DB1" w:rsidRPr="00166DB1" w14:paraId="29D06F1A" w14:textId="77777777" w:rsidTr="00720069">
        <w:tc>
          <w:tcPr>
            <w:cnfStyle w:val="001000000000" w:firstRow="0" w:lastRow="0" w:firstColumn="1" w:lastColumn="0" w:oddVBand="0" w:evenVBand="0" w:oddHBand="0" w:evenHBand="0" w:firstRowFirstColumn="0" w:firstRowLastColumn="0" w:lastRowFirstColumn="0" w:lastRowLastColumn="0"/>
            <w:tcW w:w="1531" w:type="dxa"/>
          </w:tcPr>
          <w:p w14:paraId="6B650CDC" w14:textId="77777777" w:rsidR="00166DB1" w:rsidRPr="00166DB1" w:rsidRDefault="00166DB1" w:rsidP="00166DB1">
            <w:pPr>
              <w:spacing w:before="60" w:after="60" w:line="220" w:lineRule="atLeast"/>
              <w:rPr>
                <w:rFonts w:ascii="Franklin Gothic Book" w:eastAsia="Garamond" w:hAnsi="Franklin Gothic Book"/>
                <w:color w:val="000000"/>
                <w:sz w:val="18"/>
              </w:rPr>
            </w:pPr>
            <w:r w:rsidRPr="00166DB1">
              <w:rPr>
                <w:rFonts w:ascii="Franklin Gothic Book" w:eastAsia="Garamond" w:hAnsi="Franklin Gothic Book"/>
                <w:color w:val="000000"/>
                <w:sz w:val="18"/>
              </w:rPr>
              <w:t>Guild, The</w:t>
            </w:r>
          </w:p>
        </w:tc>
        <w:tc>
          <w:tcPr>
            <w:tcW w:w="5513" w:type="dxa"/>
          </w:tcPr>
          <w:p w14:paraId="1EAB39AD" w14:textId="77777777" w:rsidR="00166DB1" w:rsidRPr="00166DB1" w:rsidRDefault="00166DB1" w:rsidP="00166DB1">
            <w:pPr>
              <w:spacing w:before="60" w:after="60" w:line="288" w:lineRule="atLeast"/>
              <w:ind w:left="57"/>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rPr>
            </w:pPr>
            <w:r w:rsidRPr="00166DB1">
              <w:rPr>
                <w:rFonts w:ascii="Garamond" w:eastAsia="Garamond" w:hAnsi="Garamond"/>
                <w:color w:val="000000"/>
              </w:rPr>
              <w:t>The Pharmacy Guild of Australia</w:t>
            </w:r>
          </w:p>
        </w:tc>
      </w:tr>
      <w:tr w:rsidR="00166DB1" w:rsidRPr="00166DB1" w14:paraId="0FDC83FA" w14:textId="77777777" w:rsidTr="00720069">
        <w:tc>
          <w:tcPr>
            <w:cnfStyle w:val="001000000000" w:firstRow="0" w:lastRow="0" w:firstColumn="1" w:lastColumn="0" w:oddVBand="0" w:evenVBand="0" w:oddHBand="0" w:evenHBand="0" w:firstRowFirstColumn="0" w:firstRowLastColumn="0" w:lastRowFirstColumn="0" w:lastRowLastColumn="0"/>
            <w:tcW w:w="1531" w:type="dxa"/>
          </w:tcPr>
          <w:p w14:paraId="3C42F656" w14:textId="77777777" w:rsidR="00166DB1" w:rsidRPr="00166DB1" w:rsidRDefault="00166DB1" w:rsidP="00166DB1">
            <w:pPr>
              <w:spacing w:before="60" w:after="60" w:line="220" w:lineRule="atLeast"/>
              <w:rPr>
                <w:rFonts w:ascii="Franklin Gothic Book" w:eastAsia="Garamond" w:hAnsi="Franklin Gothic Book"/>
                <w:color w:val="000000"/>
                <w:sz w:val="18"/>
              </w:rPr>
            </w:pPr>
            <w:r w:rsidRPr="00166DB1">
              <w:rPr>
                <w:rFonts w:ascii="Franklin Gothic Book" w:eastAsia="Garamond" w:hAnsi="Franklin Gothic Book"/>
                <w:color w:val="000000"/>
                <w:sz w:val="18"/>
              </w:rPr>
              <w:t>HMA</w:t>
            </w:r>
          </w:p>
        </w:tc>
        <w:tc>
          <w:tcPr>
            <w:tcW w:w="5513" w:type="dxa"/>
          </w:tcPr>
          <w:p w14:paraId="6FF11C6D" w14:textId="77777777" w:rsidR="00166DB1" w:rsidRPr="00166DB1" w:rsidRDefault="00166DB1" w:rsidP="00166DB1">
            <w:pPr>
              <w:spacing w:before="60" w:after="60" w:line="288" w:lineRule="atLeast"/>
              <w:ind w:left="57"/>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rPr>
            </w:pPr>
            <w:r w:rsidRPr="00166DB1">
              <w:rPr>
                <w:rFonts w:ascii="Garamond" w:eastAsia="Garamond" w:hAnsi="Garamond"/>
                <w:color w:val="000000"/>
              </w:rPr>
              <w:t>Healthcare Management Advisors</w:t>
            </w:r>
          </w:p>
        </w:tc>
      </w:tr>
      <w:tr w:rsidR="00166DB1" w:rsidRPr="00166DB1" w14:paraId="6280027C" w14:textId="77777777" w:rsidTr="00720069">
        <w:tc>
          <w:tcPr>
            <w:cnfStyle w:val="001000000000" w:firstRow="0" w:lastRow="0" w:firstColumn="1" w:lastColumn="0" w:oddVBand="0" w:evenVBand="0" w:oddHBand="0" w:evenHBand="0" w:firstRowFirstColumn="0" w:firstRowLastColumn="0" w:lastRowFirstColumn="0" w:lastRowLastColumn="0"/>
            <w:tcW w:w="1531" w:type="dxa"/>
          </w:tcPr>
          <w:p w14:paraId="19BFC366" w14:textId="77777777" w:rsidR="00166DB1" w:rsidRPr="00166DB1" w:rsidRDefault="00166DB1" w:rsidP="00166DB1">
            <w:pPr>
              <w:spacing w:before="60" w:after="60" w:line="220" w:lineRule="atLeast"/>
              <w:rPr>
                <w:rFonts w:ascii="Franklin Gothic Book" w:eastAsia="Garamond" w:hAnsi="Franklin Gothic Book"/>
                <w:color w:val="000000"/>
                <w:sz w:val="18"/>
              </w:rPr>
            </w:pPr>
            <w:r w:rsidRPr="00166DB1">
              <w:rPr>
                <w:rFonts w:ascii="Franklin Gothic Book" w:eastAsia="Garamond" w:hAnsi="Franklin Gothic Book"/>
                <w:color w:val="000000"/>
                <w:sz w:val="18"/>
              </w:rPr>
              <w:t>NACCHO</w:t>
            </w:r>
          </w:p>
        </w:tc>
        <w:tc>
          <w:tcPr>
            <w:tcW w:w="5513" w:type="dxa"/>
          </w:tcPr>
          <w:p w14:paraId="6CB7CEA8" w14:textId="77777777" w:rsidR="00166DB1" w:rsidRPr="00166DB1" w:rsidRDefault="00166DB1" w:rsidP="00166DB1">
            <w:pPr>
              <w:spacing w:before="60" w:after="60" w:line="288" w:lineRule="atLeast"/>
              <w:ind w:left="57"/>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rPr>
            </w:pPr>
            <w:r w:rsidRPr="00166DB1">
              <w:rPr>
                <w:rFonts w:ascii="Garamond" w:eastAsia="Garamond" w:hAnsi="Garamond"/>
                <w:color w:val="000000"/>
              </w:rPr>
              <w:t>National Aboriginal Community Controlled Health Organisation</w:t>
            </w:r>
          </w:p>
        </w:tc>
      </w:tr>
      <w:tr w:rsidR="00166DB1" w:rsidRPr="00166DB1" w14:paraId="0CF373A3" w14:textId="77777777" w:rsidTr="00720069">
        <w:tc>
          <w:tcPr>
            <w:cnfStyle w:val="001000000000" w:firstRow="0" w:lastRow="0" w:firstColumn="1" w:lastColumn="0" w:oddVBand="0" w:evenVBand="0" w:oddHBand="0" w:evenHBand="0" w:firstRowFirstColumn="0" w:firstRowLastColumn="0" w:lastRowFirstColumn="0" w:lastRowLastColumn="0"/>
            <w:tcW w:w="1531" w:type="dxa"/>
          </w:tcPr>
          <w:p w14:paraId="63EC27D6" w14:textId="77777777" w:rsidR="00166DB1" w:rsidRPr="00166DB1" w:rsidRDefault="00166DB1" w:rsidP="00166DB1">
            <w:pPr>
              <w:spacing w:before="60" w:after="60" w:line="220" w:lineRule="atLeast"/>
              <w:rPr>
                <w:rFonts w:ascii="Franklin Gothic Book" w:eastAsia="Garamond" w:hAnsi="Franklin Gothic Book"/>
                <w:color w:val="000000"/>
                <w:sz w:val="18"/>
              </w:rPr>
            </w:pPr>
            <w:r w:rsidRPr="00166DB1">
              <w:rPr>
                <w:rFonts w:ascii="Franklin Gothic Book" w:eastAsia="Garamond" w:hAnsi="Franklin Gothic Book"/>
                <w:color w:val="000000"/>
                <w:sz w:val="18"/>
              </w:rPr>
              <w:t>NHWDS</w:t>
            </w:r>
          </w:p>
        </w:tc>
        <w:tc>
          <w:tcPr>
            <w:tcW w:w="5513" w:type="dxa"/>
          </w:tcPr>
          <w:p w14:paraId="75C11FF2" w14:textId="77777777" w:rsidR="00166DB1" w:rsidRPr="00166DB1" w:rsidRDefault="00166DB1" w:rsidP="00166DB1">
            <w:pPr>
              <w:spacing w:before="60" w:after="60" w:line="288" w:lineRule="atLeast"/>
              <w:ind w:left="57"/>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rPr>
            </w:pPr>
            <w:r w:rsidRPr="00166DB1">
              <w:rPr>
                <w:rFonts w:ascii="Garamond" w:eastAsia="Garamond" w:hAnsi="Garamond"/>
                <w:color w:val="000000"/>
              </w:rPr>
              <w:t>National Health Workforce Dataset</w:t>
            </w:r>
          </w:p>
        </w:tc>
      </w:tr>
      <w:tr w:rsidR="00166DB1" w:rsidRPr="00166DB1" w14:paraId="32FD4482" w14:textId="77777777" w:rsidTr="00720069">
        <w:tc>
          <w:tcPr>
            <w:cnfStyle w:val="001000000000" w:firstRow="0" w:lastRow="0" w:firstColumn="1" w:lastColumn="0" w:oddVBand="0" w:evenVBand="0" w:oddHBand="0" w:evenHBand="0" w:firstRowFirstColumn="0" w:firstRowLastColumn="0" w:lastRowFirstColumn="0" w:lastRowLastColumn="0"/>
            <w:tcW w:w="1531" w:type="dxa"/>
          </w:tcPr>
          <w:p w14:paraId="72A7FD44" w14:textId="77777777" w:rsidR="00166DB1" w:rsidRPr="00166DB1" w:rsidRDefault="00166DB1" w:rsidP="00166DB1">
            <w:pPr>
              <w:keepNext/>
              <w:spacing w:before="60" w:after="60" w:line="220" w:lineRule="atLeast"/>
              <w:rPr>
                <w:rFonts w:ascii="Franklin Gothic Book" w:eastAsia="Garamond" w:hAnsi="Franklin Gothic Book"/>
                <w:color w:val="000000"/>
                <w:sz w:val="18"/>
              </w:rPr>
            </w:pPr>
            <w:r w:rsidRPr="00166DB1">
              <w:rPr>
                <w:rFonts w:ascii="Franklin Gothic Book" w:eastAsia="Garamond" w:hAnsi="Franklin Gothic Book"/>
                <w:color w:val="000000"/>
                <w:sz w:val="18"/>
              </w:rPr>
              <w:t>OHT</w:t>
            </w:r>
          </w:p>
        </w:tc>
        <w:tc>
          <w:tcPr>
            <w:tcW w:w="5513" w:type="dxa"/>
          </w:tcPr>
          <w:p w14:paraId="31AC1DBA" w14:textId="77777777" w:rsidR="00166DB1" w:rsidRPr="00166DB1" w:rsidRDefault="00166DB1" w:rsidP="00166DB1">
            <w:pPr>
              <w:spacing w:before="60" w:after="60" w:line="288" w:lineRule="atLeast"/>
              <w:ind w:left="57"/>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rPr>
            </w:pPr>
            <w:r w:rsidRPr="00166DB1">
              <w:rPr>
                <w:rFonts w:ascii="Garamond" w:eastAsia="Garamond" w:hAnsi="Garamond"/>
                <w:color w:val="000000"/>
              </w:rPr>
              <w:t>Oral health therapist</w:t>
            </w:r>
          </w:p>
        </w:tc>
      </w:tr>
      <w:tr w:rsidR="00166DB1" w:rsidRPr="00166DB1" w14:paraId="35E55554" w14:textId="77777777" w:rsidTr="00720069">
        <w:tc>
          <w:tcPr>
            <w:cnfStyle w:val="001000000000" w:firstRow="0" w:lastRow="0" w:firstColumn="1" w:lastColumn="0" w:oddVBand="0" w:evenVBand="0" w:oddHBand="0" w:evenHBand="0" w:firstRowFirstColumn="0" w:firstRowLastColumn="0" w:lastRowFirstColumn="0" w:lastRowLastColumn="0"/>
            <w:tcW w:w="1531" w:type="dxa"/>
          </w:tcPr>
          <w:p w14:paraId="393A0432" w14:textId="77777777" w:rsidR="00166DB1" w:rsidRPr="00166DB1" w:rsidRDefault="00166DB1" w:rsidP="00166DB1">
            <w:pPr>
              <w:keepNext/>
              <w:spacing w:before="60" w:after="60" w:line="220" w:lineRule="atLeast"/>
              <w:rPr>
                <w:rFonts w:ascii="Franklin Gothic Book" w:eastAsia="Garamond" w:hAnsi="Franklin Gothic Book"/>
                <w:color w:val="000000"/>
                <w:sz w:val="18"/>
              </w:rPr>
            </w:pPr>
            <w:r w:rsidRPr="00166DB1">
              <w:rPr>
                <w:rFonts w:ascii="Franklin Gothic Book" w:eastAsia="Garamond" w:hAnsi="Franklin Gothic Book"/>
                <w:color w:val="000000"/>
                <w:sz w:val="18"/>
              </w:rPr>
              <w:t>OT</w:t>
            </w:r>
          </w:p>
        </w:tc>
        <w:tc>
          <w:tcPr>
            <w:tcW w:w="5513" w:type="dxa"/>
          </w:tcPr>
          <w:p w14:paraId="01BFCB42" w14:textId="77777777" w:rsidR="00166DB1" w:rsidRPr="00166DB1" w:rsidRDefault="00166DB1" w:rsidP="00166DB1">
            <w:pPr>
              <w:spacing w:before="60" w:after="60" w:line="288" w:lineRule="atLeast"/>
              <w:ind w:left="57"/>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rPr>
            </w:pPr>
            <w:r w:rsidRPr="00166DB1">
              <w:rPr>
                <w:rFonts w:ascii="Garamond" w:eastAsia="Garamond" w:hAnsi="Garamond"/>
                <w:color w:val="000000"/>
              </w:rPr>
              <w:t>Occupational therapist</w:t>
            </w:r>
          </w:p>
        </w:tc>
      </w:tr>
      <w:tr w:rsidR="00166DB1" w:rsidRPr="00166DB1" w14:paraId="12C85120" w14:textId="77777777" w:rsidTr="00720069">
        <w:tc>
          <w:tcPr>
            <w:cnfStyle w:val="001000000000" w:firstRow="0" w:lastRow="0" w:firstColumn="1" w:lastColumn="0" w:oddVBand="0" w:evenVBand="0" w:oddHBand="0" w:evenHBand="0" w:firstRowFirstColumn="0" w:firstRowLastColumn="0" w:lastRowFirstColumn="0" w:lastRowLastColumn="0"/>
            <w:tcW w:w="1531" w:type="dxa"/>
          </w:tcPr>
          <w:p w14:paraId="3A0753C1" w14:textId="77777777" w:rsidR="00166DB1" w:rsidRPr="00166DB1" w:rsidRDefault="00166DB1" w:rsidP="00166DB1">
            <w:pPr>
              <w:spacing w:before="60" w:after="60" w:line="220" w:lineRule="atLeast"/>
              <w:rPr>
                <w:rFonts w:ascii="Franklin Gothic Book" w:eastAsia="Garamond" w:hAnsi="Franklin Gothic Book"/>
                <w:color w:val="000000"/>
                <w:sz w:val="18"/>
              </w:rPr>
            </w:pPr>
            <w:r w:rsidRPr="00166DB1">
              <w:rPr>
                <w:rFonts w:ascii="Franklin Gothic Book" w:eastAsia="Garamond" w:hAnsi="Franklin Gothic Book"/>
                <w:color w:val="000000"/>
                <w:sz w:val="18"/>
              </w:rPr>
              <w:t>PBS</w:t>
            </w:r>
          </w:p>
        </w:tc>
        <w:tc>
          <w:tcPr>
            <w:tcW w:w="5513" w:type="dxa"/>
          </w:tcPr>
          <w:p w14:paraId="4624F498" w14:textId="77777777" w:rsidR="00166DB1" w:rsidRPr="00166DB1" w:rsidRDefault="00166DB1" w:rsidP="00166DB1">
            <w:pPr>
              <w:spacing w:before="60" w:after="60" w:line="288" w:lineRule="atLeast"/>
              <w:ind w:left="57"/>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rPr>
            </w:pPr>
            <w:r w:rsidRPr="00166DB1">
              <w:rPr>
                <w:rFonts w:ascii="Garamond" w:eastAsia="Garamond" w:hAnsi="Garamond"/>
                <w:color w:val="000000"/>
              </w:rPr>
              <w:t>Pharmaceutical Benefits Scheme</w:t>
            </w:r>
          </w:p>
        </w:tc>
      </w:tr>
      <w:tr w:rsidR="00166DB1" w:rsidRPr="00166DB1" w14:paraId="5C65BD89" w14:textId="77777777" w:rsidTr="00720069">
        <w:tc>
          <w:tcPr>
            <w:cnfStyle w:val="001000000000" w:firstRow="0" w:lastRow="0" w:firstColumn="1" w:lastColumn="0" w:oddVBand="0" w:evenVBand="0" w:oddHBand="0" w:evenHBand="0" w:firstRowFirstColumn="0" w:firstRowLastColumn="0" w:lastRowFirstColumn="0" w:lastRowLastColumn="0"/>
            <w:tcW w:w="1531" w:type="dxa"/>
          </w:tcPr>
          <w:p w14:paraId="29DCED4D" w14:textId="77777777" w:rsidR="00166DB1" w:rsidRPr="00166DB1" w:rsidRDefault="00166DB1" w:rsidP="00166DB1">
            <w:pPr>
              <w:spacing w:before="60" w:after="60" w:line="220" w:lineRule="atLeast"/>
              <w:rPr>
                <w:rFonts w:ascii="Franklin Gothic Book" w:eastAsia="Garamond" w:hAnsi="Franklin Gothic Book"/>
                <w:color w:val="000000"/>
                <w:sz w:val="18"/>
              </w:rPr>
            </w:pPr>
            <w:r w:rsidRPr="00166DB1">
              <w:rPr>
                <w:rFonts w:ascii="Franklin Gothic Book" w:eastAsia="Garamond" w:hAnsi="Franklin Gothic Book"/>
                <w:color w:val="000000"/>
                <w:sz w:val="18"/>
              </w:rPr>
              <w:t>PhARIA</w:t>
            </w:r>
          </w:p>
        </w:tc>
        <w:tc>
          <w:tcPr>
            <w:tcW w:w="5513" w:type="dxa"/>
          </w:tcPr>
          <w:p w14:paraId="1B88710D" w14:textId="77777777" w:rsidR="00166DB1" w:rsidRPr="00166DB1" w:rsidRDefault="00166DB1" w:rsidP="00166DB1">
            <w:pPr>
              <w:spacing w:before="60" w:after="60" w:line="288" w:lineRule="atLeast"/>
              <w:ind w:left="57"/>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rPr>
            </w:pPr>
            <w:r w:rsidRPr="00166DB1">
              <w:rPr>
                <w:rFonts w:ascii="Garamond" w:eastAsia="Garamond" w:hAnsi="Garamond"/>
                <w:color w:val="000000"/>
              </w:rPr>
              <w:t>Pharmacy Access / Remoteness Index of Australia</w:t>
            </w:r>
          </w:p>
        </w:tc>
      </w:tr>
      <w:tr w:rsidR="00166DB1" w:rsidRPr="00166DB1" w14:paraId="7655CF93" w14:textId="77777777" w:rsidTr="00720069">
        <w:tc>
          <w:tcPr>
            <w:cnfStyle w:val="001000000000" w:firstRow="0" w:lastRow="0" w:firstColumn="1" w:lastColumn="0" w:oddVBand="0" w:evenVBand="0" w:oddHBand="0" w:evenHBand="0" w:firstRowFirstColumn="0" w:firstRowLastColumn="0" w:lastRowFirstColumn="0" w:lastRowLastColumn="0"/>
            <w:tcW w:w="1531" w:type="dxa"/>
          </w:tcPr>
          <w:p w14:paraId="46252B5A" w14:textId="77777777" w:rsidR="00166DB1" w:rsidRPr="00166DB1" w:rsidRDefault="00166DB1" w:rsidP="00166DB1">
            <w:pPr>
              <w:spacing w:before="60" w:after="60" w:line="220" w:lineRule="atLeast"/>
              <w:rPr>
                <w:rFonts w:ascii="Franklin Gothic Book" w:eastAsia="Garamond" w:hAnsi="Franklin Gothic Book"/>
                <w:color w:val="000000"/>
                <w:sz w:val="18"/>
              </w:rPr>
            </w:pPr>
            <w:r w:rsidRPr="00166DB1">
              <w:rPr>
                <w:rFonts w:ascii="Franklin Gothic Book" w:eastAsia="Garamond" w:hAnsi="Franklin Gothic Book"/>
                <w:color w:val="000000"/>
                <w:sz w:val="18"/>
              </w:rPr>
              <w:t>PSA</w:t>
            </w:r>
          </w:p>
        </w:tc>
        <w:tc>
          <w:tcPr>
            <w:tcW w:w="5513" w:type="dxa"/>
          </w:tcPr>
          <w:p w14:paraId="1AFCFBD5" w14:textId="77777777" w:rsidR="00166DB1" w:rsidRPr="00166DB1" w:rsidRDefault="00166DB1" w:rsidP="00166DB1">
            <w:pPr>
              <w:spacing w:before="60" w:after="60" w:line="288" w:lineRule="atLeast"/>
              <w:ind w:left="57"/>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rPr>
            </w:pPr>
            <w:r w:rsidRPr="00166DB1">
              <w:rPr>
                <w:rFonts w:ascii="Garamond" w:eastAsia="Garamond" w:hAnsi="Garamond"/>
                <w:color w:val="000000"/>
              </w:rPr>
              <w:t>Pharmaceutical Society of Australia</w:t>
            </w:r>
          </w:p>
        </w:tc>
      </w:tr>
      <w:tr w:rsidR="00166DB1" w:rsidRPr="00166DB1" w14:paraId="6A0C6D69" w14:textId="77777777" w:rsidTr="00720069">
        <w:tc>
          <w:tcPr>
            <w:cnfStyle w:val="001000000000" w:firstRow="0" w:lastRow="0" w:firstColumn="1" w:lastColumn="0" w:oddVBand="0" w:evenVBand="0" w:oddHBand="0" w:evenHBand="0" w:firstRowFirstColumn="0" w:firstRowLastColumn="0" w:lastRowFirstColumn="0" w:lastRowLastColumn="0"/>
            <w:tcW w:w="1531" w:type="dxa"/>
          </w:tcPr>
          <w:p w14:paraId="55093941" w14:textId="77777777" w:rsidR="00166DB1" w:rsidRPr="00166DB1" w:rsidRDefault="00166DB1" w:rsidP="00166DB1">
            <w:pPr>
              <w:spacing w:before="60" w:after="60" w:line="220" w:lineRule="atLeast"/>
              <w:rPr>
                <w:rFonts w:ascii="Franklin Gothic Book" w:eastAsia="Garamond" w:hAnsi="Franklin Gothic Book"/>
                <w:color w:val="000000"/>
                <w:sz w:val="18"/>
              </w:rPr>
            </w:pPr>
            <w:r w:rsidRPr="00166DB1">
              <w:rPr>
                <w:rFonts w:ascii="Franklin Gothic Book" w:eastAsia="Garamond" w:hAnsi="Franklin Gothic Book"/>
                <w:color w:val="000000"/>
                <w:sz w:val="18"/>
              </w:rPr>
              <w:t>QUM</w:t>
            </w:r>
          </w:p>
        </w:tc>
        <w:tc>
          <w:tcPr>
            <w:tcW w:w="5513" w:type="dxa"/>
          </w:tcPr>
          <w:p w14:paraId="5DE66062" w14:textId="77777777" w:rsidR="00166DB1" w:rsidRPr="00166DB1" w:rsidRDefault="00166DB1" w:rsidP="00166DB1">
            <w:pPr>
              <w:spacing w:before="60" w:after="60" w:line="288" w:lineRule="atLeast"/>
              <w:ind w:left="57"/>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rPr>
            </w:pPr>
            <w:r w:rsidRPr="00166DB1">
              <w:rPr>
                <w:rFonts w:ascii="Garamond" w:eastAsia="Garamond" w:hAnsi="Garamond"/>
                <w:color w:val="000000"/>
              </w:rPr>
              <w:t>Quality use of medicines</w:t>
            </w:r>
          </w:p>
        </w:tc>
      </w:tr>
      <w:tr w:rsidR="00166DB1" w:rsidRPr="00166DB1" w14:paraId="7DBB2DB3" w14:textId="77777777" w:rsidTr="00720069">
        <w:tc>
          <w:tcPr>
            <w:cnfStyle w:val="001000000000" w:firstRow="0" w:lastRow="0" w:firstColumn="1" w:lastColumn="0" w:oddVBand="0" w:evenVBand="0" w:oddHBand="0" w:evenHBand="0" w:firstRowFirstColumn="0" w:firstRowLastColumn="0" w:lastRowFirstColumn="0" w:lastRowLastColumn="0"/>
            <w:tcW w:w="1531" w:type="dxa"/>
          </w:tcPr>
          <w:p w14:paraId="79CE3EDD" w14:textId="77777777" w:rsidR="00166DB1" w:rsidRPr="00166DB1" w:rsidRDefault="00166DB1" w:rsidP="00166DB1">
            <w:pPr>
              <w:spacing w:before="60" w:after="60" w:line="220" w:lineRule="atLeast"/>
              <w:rPr>
                <w:rFonts w:ascii="Franklin Gothic Book" w:eastAsia="Garamond" w:hAnsi="Franklin Gothic Book"/>
                <w:color w:val="000000"/>
                <w:sz w:val="18"/>
              </w:rPr>
            </w:pPr>
            <w:r w:rsidRPr="00166DB1">
              <w:rPr>
                <w:rFonts w:ascii="Franklin Gothic Book" w:eastAsia="Garamond" w:hAnsi="Franklin Gothic Book"/>
                <w:color w:val="000000"/>
                <w:sz w:val="18"/>
              </w:rPr>
              <w:t>QUMAX</w:t>
            </w:r>
          </w:p>
        </w:tc>
        <w:tc>
          <w:tcPr>
            <w:tcW w:w="5513" w:type="dxa"/>
          </w:tcPr>
          <w:p w14:paraId="784EAFCC" w14:textId="77777777" w:rsidR="00166DB1" w:rsidRPr="00166DB1" w:rsidRDefault="00166DB1" w:rsidP="00166DB1">
            <w:pPr>
              <w:spacing w:before="60" w:after="60" w:line="288" w:lineRule="atLeast"/>
              <w:ind w:left="57"/>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rPr>
            </w:pPr>
            <w:r w:rsidRPr="00166DB1">
              <w:rPr>
                <w:rFonts w:ascii="Garamond" w:eastAsia="Garamond" w:hAnsi="Garamond"/>
                <w:color w:val="000000"/>
              </w:rPr>
              <w:t>Quality use of medicines maximised for Aboriginal and Torres Strait Islander People</w:t>
            </w:r>
          </w:p>
        </w:tc>
      </w:tr>
      <w:tr w:rsidR="00166DB1" w:rsidRPr="00166DB1" w14:paraId="6097D6A2" w14:textId="77777777" w:rsidTr="00720069">
        <w:tc>
          <w:tcPr>
            <w:cnfStyle w:val="001000000000" w:firstRow="0" w:lastRow="0" w:firstColumn="1" w:lastColumn="0" w:oddVBand="0" w:evenVBand="0" w:oddHBand="0" w:evenHBand="0" w:firstRowFirstColumn="0" w:firstRowLastColumn="0" w:lastRowFirstColumn="0" w:lastRowLastColumn="0"/>
            <w:tcW w:w="1531" w:type="dxa"/>
          </w:tcPr>
          <w:p w14:paraId="10D53154" w14:textId="77777777" w:rsidR="00166DB1" w:rsidRPr="00166DB1" w:rsidRDefault="00166DB1" w:rsidP="00166DB1">
            <w:pPr>
              <w:spacing w:before="60" w:after="60" w:line="220" w:lineRule="atLeast"/>
              <w:rPr>
                <w:rFonts w:ascii="Franklin Gothic Book" w:eastAsia="Garamond" w:hAnsi="Franklin Gothic Book"/>
                <w:color w:val="000000"/>
                <w:sz w:val="18"/>
              </w:rPr>
            </w:pPr>
            <w:r w:rsidRPr="00166DB1">
              <w:rPr>
                <w:rFonts w:ascii="Franklin Gothic Book" w:eastAsia="Garamond" w:hAnsi="Franklin Gothic Book"/>
                <w:color w:val="000000"/>
                <w:sz w:val="18"/>
              </w:rPr>
              <w:t>RAAHS</w:t>
            </w:r>
          </w:p>
        </w:tc>
        <w:tc>
          <w:tcPr>
            <w:tcW w:w="5513" w:type="dxa"/>
          </w:tcPr>
          <w:p w14:paraId="5DD21C62" w14:textId="77777777" w:rsidR="00166DB1" w:rsidRPr="00166DB1" w:rsidRDefault="00166DB1" w:rsidP="00166DB1">
            <w:pPr>
              <w:spacing w:before="60" w:after="60" w:line="288" w:lineRule="atLeast"/>
              <w:ind w:left="57"/>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rPr>
            </w:pPr>
            <w:r w:rsidRPr="00166DB1">
              <w:rPr>
                <w:rFonts w:ascii="Garamond" w:eastAsia="Garamond" w:hAnsi="Garamond"/>
                <w:color w:val="000000"/>
              </w:rPr>
              <w:t>Remote Area Aboriginal Health Service Program</w:t>
            </w:r>
          </w:p>
        </w:tc>
      </w:tr>
      <w:tr w:rsidR="00166DB1" w:rsidRPr="00166DB1" w14:paraId="4C15D8A2" w14:textId="77777777" w:rsidTr="00720069">
        <w:tc>
          <w:tcPr>
            <w:cnfStyle w:val="001000000000" w:firstRow="0" w:lastRow="0" w:firstColumn="1" w:lastColumn="0" w:oddVBand="0" w:evenVBand="0" w:oddHBand="0" w:evenHBand="0" w:firstRowFirstColumn="0" w:firstRowLastColumn="0" w:lastRowFirstColumn="0" w:lastRowLastColumn="0"/>
            <w:tcW w:w="1531" w:type="dxa"/>
          </w:tcPr>
          <w:p w14:paraId="3C11E86F" w14:textId="77777777" w:rsidR="00166DB1" w:rsidRPr="00166DB1" w:rsidRDefault="00166DB1" w:rsidP="00166DB1">
            <w:pPr>
              <w:spacing w:before="60" w:after="60" w:line="220" w:lineRule="atLeast"/>
              <w:rPr>
                <w:rFonts w:ascii="Franklin Gothic Book" w:eastAsia="Garamond" w:hAnsi="Franklin Gothic Book"/>
                <w:color w:val="000000"/>
                <w:sz w:val="18"/>
              </w:rPr>
            </w:pPr>
            <w:r w:rsidRPr="00166DB1">
              <w:rPr>
                <w:rFonts w:ascii="Franklin Gothic Book" w:eastAsia="Garamond" w:hAnsi="Franklin Gothic Book"/>
                <w:color w:val="000000"/>
                <w:sz w:val="18"/>
              </w:rPr>
              <w:t>RPLO</w:t>
            </w:r>
          </w:p>
        </w:tc>
        <w:tc>
          <w:tcPr>
            <w:tcW w:w="5513" w:type="dxa"/>
          </w:tcPr>
          <w:p w14:paraId="160EAD2A" w14:textId="77777777" w:rsidR="00166DB1" w:rsidRPr="00166DB1" w:rsidRDefault="00166DB1" w:rsidP="00166DB1">
            <w:pPr>
              <w:spacing w:before="60" w:after="60" w:line="288" w:lineRule="atLeast"/>
              <w:ind w:left="57"/>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rPr>
            </w:pPr>
            <w:r w:rsidRPr="00166DB1">
              <w:rPr>
                <w:rFonts w:ascii="Garamond" w:eastAsia="Garamond" w:hAnsi="Garamond"/>
                <w:color w:val="000000"/>
              </w:rPr>
              <w:t>Rural Pharmacy Liaison Officer</w:t>
            </w:r>
          </w:p>
        </w:tc>
      </w:tr>
      <w:tr w:rsidR="00166DB1" w:rsidRPr="00166DB1" w14:paraId="2AAD14C8" w14:textId="77777777" w:rsidTr="00720069">
        <w:tc>
          <w:tcPr>
            <w:cnfStyle w:val="001000000000" w:firstRow="0" w:lastRow="0" w:firstColumn="1" w:lastColumn="0" w:oddVBand="0" w:evenVBand="0" w:oddHBand="0" w:evenHBand="0" w:firstRowFirstColumn="0" w:firstRowLastColumn="0" w:lastRowFirstColumn="0" w:lastRowLastColumn="0"/>
            <w:tcW w:w="1531" w:type="dxa"/>
          </w:tcPr>
          <w:p w14:paraId="7D24976A" w14:textId="77777777" w:rsidR="00166DB1" w:rsidRPr="00166DB1" w:rsidRDefault="00166DB1" w:rsidP="00166DB1">
            <w:pPr>
              <w:spacing w:before="60" w:after="60" w:line="220" w:lineRule="atLeast"/>
              <w:rPr>
                <w:rFonts w:ascii="Franklin Gothic Book" w:eastAsia="Garamond" w:hAnsi="Franklin Gothic Book"/>
                <w:color w:val="000000"/>
                <w:sz w:val="18"/>
              </w:rPr>
            </w:pPr>
            <w:r w:rsidRPr="00166DB1">
              <w:rPr>
                <w:rFonts w:ascii="Franklin Gothic Book" w:eastAsia="Garamond" w:hAnsi="Franklin Gothic Book"/>
                <w:color w:val="000000"/>
                <w:sz w:val="18"/>
              </w:rPr>
              <w:t>RPMA</w:t>
            </w:r>
          </w:p>
        </w:tc>
        <w:tc>
          <w:tcPr>
            <w:tcW w:w="5513" w:type="dxa"/>
          </w:tcPr>
          <w:p w14:paraId="7FD1B22B" w14:textId="77777777" w:rsidR="00166DB1" w:rsidRPr="00166DB1" w:rsidRDefault="00166DB1" w:rsidP="00166DB1">
            <w:pPr>
              <w:spacing w:before="60" w:after="60" w:line="288" w:lineRule="atLeast"/>
              <w:ind w:left="57"/>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rPr>
            </w:pPr>
            <w:r w:rsidRPr="00166DB1">
              <w:rPr>
                <w:rFonts w:ascii="Garamond" w:eastAsia="Garamond" w:hAnsi="Garamond"/>
                <w:color w:val="000000"/>
              </w:rPr>
              <w:t>Rural Pharmacy Maintenance Allowance</w:t>
            </w:r>
          </w:p>
        </w:tc>
      </w:tr>
      <w:tr w:rsidR="00166DB1" w:rsidRPr="00166DB1" w14:paraId="7475958D" w14:textId="77777777" w:rsidTr="00720069">
        <w:tc>
          <w:tcPr>
            <w:cnfStyle w:val="001000000000" w:firstRow="0" w:lastRow="0" w:firstColumn="1" w:lastColumn="0" w:oddVBand="0" w:evenVBand="0" w:oddHBand="0" w:evenHBand="0" w:firstRowFirstColumn="0" w:firstRowLastColumn="0" w:lastRowFirstColumn="0" w:lastRowLastColumn="0"/>
            <w:tcW w:w="1531" w:type="dxa"/>
          </w:tcPr>
          <w:p w14:paraId="4D030B8E" w14:textId="77777777" w:rsidR="00166DB1" w:rsidRPr="00166DB1" w:rsidRDefault="00166DB1" w:rsidP="00166DB1">
            <w:pPr>
              <w:spacing w:before="60" w:after="60" w:line="220" w:lineRule="atLeast"/>
              <w:rPr>
                <w:rFonts w:ascii="Franklin Gothic Book" w:eastAsia="Garamond" w:hAnsi="Franklin Gothic Book"/>
                <w:color w:val="000000"/>
                <w:sz w:val="18"/>
              </w:rPr>
            </w:pPr>
            <w:r w:rsidRPr="00166DB1">
              <w:rPr>
                <w:rFonts w:ascii="Franklin Gothic Book" w:eastAsia="Garamond" w:hAnsi="Franklin Gothic Book"/>
                <w:color w:val="000000"/>
                <w:sz w:val="18"/>
              </w:rPr>
              <w:t>SHPA</w:t>
            </w:r>
          </w:p>
        </w:tc>
        <w:tc>
          <w:tcPr>
            <w:tcW w:w="5513" w:type="dxa"/>
          </w:tcPr>
          <w:p w14:paraId="08DF2AB2" w14:textId="77777777" w:rsidR="00166DB1" w:rsidRPr="00166DB1" w:rsidRDefault="00166DB1" w:rsidP="00166DB1">
            <w:pPr>
              <w:spacing w:before="60" w:after="60" w:line="288" w:lineRule="atLeast"/>
              <w:ind w:left="57"/>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rPr>
            </w:pPr>
            <w:r w:rsidRPr="00166DB1">
              <w:rPr>
                <w:rFonts w:ascii="Garamond" w:eastAsia="Garamond" w:hAnsi="Garamond"/>
                <w:color w:val="000000"/>
              </w:rPr>
              <w:t>Society of Hospital Pharmacists of Australia</w:t>
            </w:r>
          </w:p>
        </w:tc>
      </w:tr>
      <w:tr w:rsidR="00166DB1" w:rsidRPr="00166DB1" w14:paraId="2CC2A3FB" w14:textId="77777777" w:rsidTr="00720069">
        <w:tc>
          <w:tcPr>
            <w:cnfStyle w:val="001000000000" w:firstRow="0" w:lastRow="0" w:firstColumn="1" w:lastColumn="0" w:oddVBand="0" w:evenVBand="0" w:oddHBand="0" w:evenHBand="0" w:firstRowFirstColumn="0" w:firstRowLastColumn="0" w:lastRowFirstColumn="0" w:lastRowLastColumn="0"/>
            <w:tcW w:w="1531" w:type="dxa"/>
          </w:tcPr>
          <w:p w14:paraId="5DF7267A" w14:textId="77777777" w:rsidR="00166DB1" w:rsidRPr="00166DB1" w:rsidRDefault="00166DB1" w:rsidP="00166DB1">
            <w:pPr>
              <w:spacing w:before="60" w:after="60" w:line="220" w:lineRule="atLeast"/>
              <w:rPr>
                <w:rFonts w:ascii="Franklin Gothic Book" w:eastAsia="Garamond" w:hAnsi="Franklin Gothic Book"/>
                <w:color w:val="000000"/>
                <w:sz w:val="18"/>
              </w:rPr>
            </w:pPr>
            <w:r w:rsidRPr="00166DB1">
              <w:rPr>
                <w:rFonts w:ascii="Franklin Gothic Book" w:eastAsia="Garamond" w:hAnsi="Franklin Gothic Book"/>
                <w:color w:val="000000"/>
                <w:sz w:val="18"/>
              </w:rPr>
              <w:t>UDRH</w:t>
            </w:r>
          </w:p>
        </w:tc>
        <w:tc>
          <w:tcPr>
            <w:tcW w:w="5513" w:type="dxa"/>
          </w:tcPr>
          <w:p w14:paraId="6D8BF1A8" w14:textId="77777777" w:rsidR="00166DB1" w:rsidRPr="00166DB1" w:rsidRDefault="00166DB1" w:rsidP="00166DB1">
            <w:pPr>
              <w:spacing w:before="60" w:after="60" w:line="288" w:lineRule="atLeast"/>
              <w:ind w:left="57"/>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rPr>
            </w:pPr>
            <w:r w:rsidRPr="00166DB1">
              <w:rPr>
                <w:rFonts w:ascii="Garamond" w:eastAsia="Garamond" w:hAnsi="Garamond"/>
                <w:color w:val="000000"/>
              </w:rPr>
              <w:t>University Department of Rural Health</w:t>
            </w:r>
          </w:p>
        </w:tc>
      </w:tr>
    </w:tbl>
    <w:p w14:paraId="41DC1F8B" w14:textId="77777777" w:rsidR="003647AE" w:rsidRDefault="003647AE" w:rsidP="003647AE">
      <w:pPr>
        <w:widowControl w:val="0"/>
        <w:spacing w:after="170" w:line="384" w:lineRule="atLeast"/>
        <w:rPr>
          <w:rFonts w:ascii="Garamond" w:eastAsia="Times New Roman" w:hAnsi="Garamond"/>
          <w:b/>
          <w:bCs/>
          <w:caps/>
          <w:color w:val="000000"/>
          <w:spacing w:val="-3"/>
          <w:sz w:val="24"/>
          <w:szCs w:val="24"/>
          <w:u w:val="single"/>
        </w:rPr>
        <w:sectPr w:rsidR="003647AE" w:rsidSect="003647AE">
          <w:headerReference w:type="default" r:id="rId16"/>
          <w:footerReference w:type="default" r:id="rId17"/>
          <w:type w:val="continuous"/>
          <w:pgSz w:w="16839" w:h="11907" w:orient="landscape" w:code="9"/>
          <w:pgMar w:top="2268" w:right="1304" w:bottom="850" w:left="737" w:header="567" w:footer="284" w:gutter="0"/>
          <w:pgNumType w:fmt="lowerRoman" w:start="1"/>
          <w:cols w:num="2" w:space="709"/>
          <w:docGrid w:linePitch="360"/>
        </w:sectPr>
      </w:pPr>
      <w:bookmarkStart w:id="2" w:name="_Hlk522781771"/>
    </w:p>
    <w:p w14:paraId="2F26A80D" w14:textId="6EC8E817" w:rsidR="00D65552" w:rsidRDefault="00D65552" w:rsidP="0093538D">
      <w:pPr>
        <w:pStyle w:val="ChapterHeading"/>
      </w:pPr>
      <w:r>
        <w:lastRenderedPageBreak/>
        <w:t>EXECUTIVE SUMMARY</w:t>
      </w:r>
    </w:p>
    <w:p w14:paraId="2FF18655" w14:textId="5C93DA32" w:rsidR="00166DB1" w:rsidRPr="00166DB1" w:rsidRDefault="00166DB1" w:rsidP="00C72515">
      <w:pPr>
        <w:pStyle w:val="ESHeading2"/>
        <w:rPr>
          <w:rFonts w:eastAsia="Times New Roman"/>
        </w:rPr>
      </w:pPr>
      <w:r w:rsidRPr="00C72515">
        <w:t>Context</w:t>
      </w:r>
    </w:p>
    <w:p w14:paraId="5FBB4192" w14:textId="77777777" w:rsidR="00166DB1" w:rsidRPr="00166DB1" w:rsidRDefault="00166DB1" w:rsidP="00166DB1">
      <w:pPr>
        <w:spacing w:before="85" w:after="85"/>
        <w:rPr>
          <w:rFonts w:ascii="Garamond" w:eastAsia="Times New Roman" w:hAnsi="Garamond"/>
          <w:color w:val="000000"/>
        </w:rPr>
      </w:pPr>
      <w:r w:rsidRPr="00166DB1">
        <w:rPr>
          <w:rFonts w:ascii="Garamond" w:eastAsia="Times New Roman" w:hAnsi="Garamond"/>
          <w:color w:val="000000"/>
        </w:rPr>
        <w:t xml:space="preserve">The Australian Government Department of Health (the Department) engaged Healthcare Management Advisors (HMA) to evaluate the ongoing Pharmacy Workforce Package. These Package components are </w:t>
      </w:r>
      <w:r w:rsidRPr="00166DB1">
        <w:rPr>
          <w:rFonts w:ascii="Garamond" w:eastAsia="Garamond" w:hAnsi="Garamond"/>
          <w:color w:val="000000"/>
        </w:rPr>
        <w:t>funded under the 6th Community Pharmacy Agreement (6CPA) between The Pharmacy Guild of Australia (The Guild) and the Department.</w:t>
      </w:r>
    </w:p>
    <w:p w14:paraId="2DCF5DF3"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There were 12 components of the P</w:t>
      </w:r>
      <w:r w:rsidRPr="00166DB1">
        <w:rPr>
          <w:rFonts w:ascii="Garamond" w:eastAsia="Times New Roman" w:hAnsi="Garamond"/>
          <w:color w:val="000000"/>
        </w:rPr>
        <w:t xml:space="preserve">harmacy Workforce Package </w:t>
      </w:r>
      <w:r w:rsidRPr="00166DB1">
        <w:rPr>
          <w:rFonts w:ascii="Garamond" w:eastAsia="Garamond" w:hAnsi="Garamond"/>
          <w:color w:val="000000"/>
        </w:rPr>
        <w:t>within the project scope. For the purposes of the evaluation, these programs were categorised into two groups:</w:t>
      </w:r>
    </w:p>
    <w:p w14:paraId="0753F9F0" w14:textId="77777777" w:rsidR="00166DB1" w:rsidRPr="00F948C2" w:rsidRDefault="00166DB1" w:rsidP="009F66FB">
      <w:pPr>
        <w:pStyle w:val="ListParagraph"/>
        <w:numPr>
          <w:ilvl w:val="0"/>
          <w:numId w:val="9"/>
        </w:numPr>
        <w:tabs>
          <w:tab w:val="num" w:pos="170"/>
        </w:tabs>
        <w:spacing w:before="20" w:after="20"/>
        <w:rPr>
          <w:rFonts w:ascii="Garamond" w:eastAsia="Times New Roman" w:hAnsi="Garamond"/>
          <w:color w:val="000000"/>
        </w:rPr>
      </w:pPr>
      <w:r w:rsidRPr="00F948C2">
        <w:rPr>
          <w:rFonts w:ascii="Garamond" w:eastAsia="Times New Roman" w:hAnsi="Garamond"/>
          <w:color w:val="000000"/>
        </w:rPr>
        <w:t xml:space="preserve">the </w:t>
      </w:r>
      <w:r w:rsidRPr="00F948C2">
        <w:rPr>
          <w:rFonts w:ascii="Garamond" w:eastAsia="Times New Roman" w:hAnsi="Garamond"/>
          <w:i/>
          <w:color w:val="000000"/>
        </w:rPr>
        <w:t>Rural Workforce Package</w:t>
      </w:r>
      <w:r w:rsidRPr="00F948C2">
        <w:rPr>
          <w:rFonts w:ascii="Garamond" w:eastAsia="Times New Roman" w:hAnsi="Garamond"/>
          <w:color w:val="000000"/>
        </w:rPr>
        <w:t>, which primarily seeks to target recruitment and retention activities in PhARIA 2 or higher locations (10 programs)</w:t>
      </w:r>
    </w:p>
    <w:p w14:paraId="3BA82AAE" w14:textId="77777777" w:rsidR="00166DB1" w:rsidRPr="00F948C2" w:rsidRDefault="00166DB1" w:rsidP="009F66FB">
      <w:pPr>
        <w:pStyle w:val="ListParagraph"/>
        <w:numPr>
          <w:ilvl w:val="1"/>
          <w:numId w:val="10"/>
        </w:numPr>
        <w:tabs>
          <w:tab w:val="num" w:pos="397"/>
        </w:tabs>
        <w:spacing w:before="20" w:after="20"/>
        <w:ind w:hanging="938"/>
        <w:rPr>
          <w:rFonts w:ascii="Garamond" w:eastAsia="Times New Roman" w:hAnsi="Garamond"/>
          <w:color w:val="000000"/>
        </w:rPr>
      </w:pPr>
      <w:r w:rsidRPr="00F948C2">
        <w:rPr>
          <w:rFonts w:ascii="Garamond" w:eastAsia="Times New Roman" w:hAnsi="Garamond"/>
          <w:color w:val="000000"/>
        </w:rPr>
        <w:t>Rural Pharmacy Scholarship Scheme</w:t>
      </w:r>
    </w:p>
    <w:p w14:paraId="3D7A1B6B" w14:textId="77777777" w:rsidR="00166DB1" w:rsidRPr="00F948C2" w:rsidRDefault="00166DB1" w:rsidP="009F66FB">
      <w:pPr>
        <w:pStyle w:val="ListParagraph"/>
        <w:numPr>
          <w:ilvl w:val="1"/>
          <w:numId w:val="10"/>
        </w:numPr>
        <w:tabs>
          <w:tab w:val="num" w:pos="397"/>
        </w:tabs>
        <w:spacing w:before="20" w:after="20"/>
        <w:ind w:hanging="938"/>
        <w:rPr>
          <w:rFonts w:ascii="Garamond" w:eastAsia="Times New Roman" w:hAnsi="Garamond"/>
          <w:color w:val="000000"/>
        </w:rPr>
      </w:pPr>
      <w:r w:rsidRPr="00F948C2">
        <w:rPr>
          <w:rFonts w:ascii="Garamond" w:eastAsia="Times New Roman" w:hAnsi="Garamond"/>
          <w:color w:val="000000"/>
        </w:rPr>
        <w:t>Rural Pharmacy Scholarship Mentor Scheme</w:t>
      </w:r>
    </w:p>
    <w:p w14:paraId="107AB948" w14:textId="77777777" w:rsidR="00166DB1" w:rsidRPr="00F948C2" w:rsidRDefault="00166DB1" w:rsidP="009F66FB">
      <w:pPr>
        <w:pStyle w:val="ListParagraph"/>
        <w:numPr>
          <w:ilvl w:val="1"/>
          <w:numId w:val="10"/>
        </w:numPr>
        <w:tabs>
          <w:tab w:val="num" w:pos="397"/>
        </w:tabs>
        <w:spacing w:before="20" w:after="20"/>
        <w:ind w:hanging="938"/>
        <w:rPr>
          <w:rFonts w:ascii="Garamond" w:eastAsia="Times New Roman" w:hAnsi="Garamond"/>
          <w:color w:val="000000"/>
        </w:rPr>
      </w:pPr>
      <w:r w:rsidRPr="00F948C2">
        <w:rPr>
          <w:rFonts w:ascii="Garamond" w:eastAsia="Times New Roman" w:hAnsi="Garamond"/>
          <w:color w:val="000000"/>
        </w:rPr>
        <w:t>Intern Incentive Allowance for Rural Pharmacies</w:t>
      </w:r>
    </w:p>
    <w:p w14:paraId="4F22B7BA" w14:textId="77777777" w:rsidR="00166DB1" w:rsidRPr="00F948C2" w:rsidRDefault="00166DB1" w:rsidP="009F66FB">
      <w:pPr>
        <w:pStyle w:val="ListParagraph"/>
        <w:numPr>
          <w:ilvl w:val="1"/>
          <w:numId w:val="10"/>
        </w:numPr>
        <w:tabs>
          <w:tab w:val="num" w:pos="397"/>
        </w:tabs>
        <w:spacing w:before="20" w:after="20"/>
        <w:ind w:hanging="938"/>
        <w:rPr>
          <w:rFonts w:ascii="Garamond" w:eastAsia="Times New Roman" w:hAnsi="Garamond"/>
          <w:color w:val="000000"/>
        </w:rPr>
      </w:pPr>
      <w:r w:rsidRPr="00F948C2">
        <w:rPr>
          <w:rFonts w:ascii="Garamond" w:eastAsia="Times New Roman" w:hAnsi="Garamond"/>
          <w:color w:val="000000"/>
        </w:rPr>
        <w:t>Intern Incentive Allowance for Rural Pharmacies – Extension Program</w:t>
      </w:r>
    </w:p>
    <w:p w14:paraId="01EF39BC" w14:textId="77777777" w:rsidR="00166DB1" w:rsidRPr="00F948C2" w:rsidRDefault="00166DB1" w:rsidP="009F66FB">
      <w:pPr>
        <w:pStyle w:val="ListParagraph"/>
        <w:numPr>
          <w:ilvl w:val="1"/>
          <w:numId w:val="10"/>
        </w:numPr>
        <w:tabs>
          <w:tab w:val="num" w:pos="397"/>
        </w:tabs>
        <w:spacing w:before="20" w:after="20"/>
        <w:ind w:hanging="938"/>
        <w:rPr>
          <w:rFonts w:ascii="Garamond" w:eastAsia="Times New Roman" w:hAnsi="Garamond"/>
          <w:color w:val="000000"/>
        </w:rPr>
      </w:pPr>
      <w:r w:rsidRPr="00F948C2">
        <w:rPr>
          <w:rFonts w:ascii="Garamond" w:eastAsia="Times New Roman" w:hAnsi="Garamond"/>
          <w:color w:val="000000"/>
        </w:rPr>
        <w:t>Rural Intern Training Allowance</w:t>
      </w:r>
    </w:p>
    <w:p w14:paraId="518688A2" w14:textId="77777777" w:rsidR="00166DB1" w:rsidRPr="00F948C2" w:rsidRDefault="00166DB1" w:rsidP="009F66FB">
      <w:pPr>
        <w:pStyle w:val="ListParagraph"/>
        <w:numPr>
          <w:ilvl w:val="1"/>
          <w:numId w:val="10"/>
        </w:numPr>
        <w:tabs>
          <w:tab w:val="num" w:pos="397"/>
        </w:tabs>
        <w:spacing w:before="20" w:after="20"/>
        <w:ind w:hanging="938"/>
        <w:rPr>
          <w:rFonts w:ascii="Garamond" w:eastAsia="Times New Roman" w:hAnsi="Garamond"/>
          <w:color w:val="000000"/>
        </w:rPr>
      </w:pPr>
      <w:r w:rsidRPr="00F948C2">
        <w:rPr>
          <w:rFonts w:ascii="Garamond" w:eastAsia="Times New Roman" w:hAnsi="Garamond"/>
          <w:color w:val="000000"/>
        </w:rPr>
        <w:t>Rural Pharmacy Student Placement Allowance</w:t>
      </w:r>
    </w:p>
    <w:p w14:paraId="3134968E" w14:textId="77777777" w:rsidR="00166DB1" w:rsidRPr="00F948C2" w:rsidRDefault="00166DB1" w:rsidP="009F66FB">
      <w:pPr>
        <w:pStyle w:val="ListParagraph"/>
        <w:numPr>
          <w:ilvl w:val="1"/>
          <w:numId w:val="10"/>
        </w:numPr>
        <w:tabs>
          <w:tab w:val="num" w:pos="397"/>
        </w:tabs>
        <w:spacing w:before="20" w:after="20"/>
        <w:ind w:hanging="938"/>
        <w:rPr>
          <w:rFonts w:ascii="Garamond" w:eastAsia="Times New Roman" w:hAnsi="Garamond"/>
          <w:color w:val="000000"/>
        </w:rPr>
      </w:pPr>
      <w:r w:rsidRPr="00F948C2">
        <w:rPr>
          <w:rFonts w:ascii="Garamond" w:eastAsia="Times New Roman" w:hAnsi="Garamond"/>
          <w:color w:val="000000"/>
        </w:rPr>
        <w:t>Administrative Support to Pharmacy Schools</w:t>
      </w:r>
    </w:p>
    <w:p w14:paraId="49809F0D" w14:textId="77777777" w:rsidR="00166DB1" w:rsidRPr="00F948C2" w:rsidRDefault="00166DB1" w:rsidP="009F66FB">
      <w:pPr>
        <w:pStyle w:val="ListParagraph"/>
        <w:numPr>
          <w:ilvl w:val="1"/>
          <w:numId w:val="10"/>
        </w:numPr>
        <w:tabs>
          <w:tab w:val="num" w:pos="397"/>
        </w:tabs>
        <w:spacing w:before="20" w:after="20"/>
        <w:ind w:hanging="938"/>
        <w:rPr>
          <w:rFonts w:ascii="Garamond" w:eastAsia="Times New Roman" w:hAnsi="Garamond"/>
          <w:color w:val="000000"/>
        </w:rPr>
      </w:pPr>
      <w:r w:rsidRPr="00F948C2">
        <w:rPr>
          <w:rFonts w:ascii="Garamond" w:eastAsia="Times New Roman" w:hAnsi="Garamond"/>
          <w:color w:val="000000"/>
        </w:rPr>
        <w:t>Continuing Professional Educational Allowance</w:t>
      </w:r>
    </w:p>
    <w:p w14:paraId="66628AEA" w14:textId="77777777" w:rsidR="00166DB1" w:rsidRPr="00F948C2" w:rsidRDefault="00166DB1" w:rsidP="009F66FB">
      <w:pPr>
        <w:pStyle w:val="ListParagraph"/>
        <w:numPr>
          <w:ilvl w:val="1"/>
          <w:numId w:val="10"/>
        </w:numPr>
        <w:tabs>
          <w:tab w:val="num" w:pos="397"/>
        </w:tabs>
        <w:spacing w:before="20" w:after="20"/>
        <w:ind w:hanging="938"/>
        <w:rPr>
          <w:rFonts w:ascii="Garamond" w:eastAsia="Times New Roman" w:hAnsi="Garamond"/>
          <w:color w:val="000000"/>
        </w:rPr>
      </w:pPr>
      <w:r w:rsidRPr="00F948C2">
        <w:rPr>
          <w:rFonts w:ascii="Garamond" w:eastAsia="Times New Roman" w:hAnsi="Garamond"/>
          <w:color w:val="000000"/>
        </w:rPr>
        <w:t>Rural Pharmacy Liaison Officer Program, and</w:t>
      </w:r>
    </w:p>
    <w:p w14:paraId="6D782100" w14:textId="77777777" w:rsidR="00166DB1" w:rsidRPr="00F948C2" w:rsidRDefault="00166DB1" w:rsidP="009F66FB">
      <w:pPr>
        <w:pStyle w:val="ListParagraph"/>
        <w:numPr>
          <w:ilvl w:val="1"/>
          <w:numId w:val="10"/>
        </w:numPr>
        <w:tabs>
          <w:tab w:val="num" w:pos="397"/>
        </w:tabs>
        <w:spacing w:before="20" w:after="20"/>
        <w:ind w:hanging="938"/>
        <w:rPr>
          <w:rFonts w:ascii="Garamond" w:eastAsia="Times New Roman" w:hAnsi="Garamond"/>
          <w:color w:val="000000"/>
        </w:rPr>
      </w:pPr>
      <w:r w:rsidRPr="00F948C2">
        <w:rPr>
          <w:rFonts w:ascii="Garamond" w:eastAsia="Times New Roman" w:hAnsi="Garamond"/>
          <w:color w:val="000000"/>
        </w:rPr>
        <w:t xml:space="preserve">Emergency Locum Service. </w:t>
      </w:r>
    </w:p>
    <w:p w14:paraId="3496EFB7" w14:textId="77777777" w:rsidR="00166DB1" w:rsidRPr="00F948C2" w:rsidRDefault="00166DB1" w:rsidP="009F66FB">
      <w:pPr>
        <w:pStyle w:val="ListParagraph"/>
        <w:numPr>
          <w:ilvl w:val="0"/>
          <w:numId w:val="9"/>
        </w:numPr>
        <w:tabs>
          <w:tab w:val="num" w:pos="170"/>
        </w:tabs>
        <w:spacing w:before="20" w:after="20"/>
        <w:rPr>
          <w:rFonts w:ascii="Garamond" w:eastAsia="Times New Roman" w:hAnsi="Garamond"/>
          <w:color w:val="000000"/>
        </w:rPr>
      </w:pPr>
      <w:r w:rsidRPr="00F948C2">
        <w:rPr>
          <w:rFonts w:ascii="Garamond" w:eastAsia="Times New Roman" w:hAnsi="Garamond"/>
          <w:color w:val="000000"/>
        </w:rPr>
        <w:t xml:space="preserve">the </w:t>
      </w:r>
      <w:r w:rsidRPr="00F948C2">
        <w:rPr>
          <w:rFonts w:ascii="Garamond" w:eastAsia="Times New Roman" w:hAnsi="Garamond"/>
          <w:i/>
          <w:color w:val="000000"/>
        </w:rPr>
        <w:t>Aboriginal and Torres Strait Islander Workforce Package</w:t>
      </w:r>
      <w:r w:rsidRPr="00F948C2">
        <w:rPr>
          <w:rFonts w:ascii="Garamond" w:eastAsia="Times New Roman" w:hAnsi="Garamond"/>
          <w:color w:val="000000"/>
        </w:rPr>
        <w:t>, which has no specific geographic focus (2 programs):</w:t>
      </w:r>
    </w:p>
    <w:p w14:paraId="1D771CEB" w14:textId="77777777" w:rsidR="00166DB1" w:rsidRPr="00166DB1" w:rsidRDefault="00166DB1" w:rsidP="00166DB1">
      <w:pPr>
        <w:numPr>
          <w:ilvl w:val="1"/>
          <w:numId w:val="0"/>
        </w:numPr>
        <w:tabs>
          <w:tab w:val="num" w:pos="397"/>
        </w:tabs>
        <w:spacing w:before="20" w:after="20"/>
        <w:ind w:left="397" w:hanging="227"/>
        <w:rPr>
          <w:rFonts w:ascii="Garamond" w:eastAsia="Times New Roman" w:hAnsi="Garamond"/>
          <w:color w:val="000000"/>
        </w:rPr>
      </w:pPr>
      <w:r w:rsidRPr="00166DB1">
        <w:rPr>
          <w:rFonts w:ascii="Garamond" w:eastAsia="Times New Roman" w:hAnsi="Garamond"/>
          <w:color w:val="000000"/>
        </w:rPr>
        <w:t xml:space="preserve">Aboriginal and Torres Strait Islander Pharmacy Assistant Traineeship Scheme, and </w:t>
      </w:r>
    </w:p>
    <w:p w14:paraId="7D9D2A40" w14:textId="77777777" w:rsidR="00166DB1" w:rsidRPr="00166DB1" w:rsidRDefault="00166DB1" w:rsidP="00166DB1">
      <w:pPr>
        <w:numPr>
          <w:ilvl w:val="1"/>
          <w:numId w:val="0"/>
        </w:numPr>
        <w:tabs>
          <w:tab w:val="num" w:pos="397"/>
        </w:tabs>
        <w:spacing w:before="20" w:after="20"/>
        <w:ind w:left="397" w:hanging="227"/>
        <w:rPr>
          <w:rFonts w:ascii="Garamond" w:eastAsia="Times New Roman" w:hAnsi="Garamond"/>
          <w:color w:val="000000"/>
        </w:rPr>
      </w:pPr>
      <w:r w:rsidRPr="00166DB1">
        <w:rPr>
          <w:rFonts w:ascii="Garamond" w:eastAsia="Times New Roman" w:hAnsi="Garamond"/>
          <w:color w:val="000000"/>
        </w:rPr>
        <w:t>Aboriginal and Torres Strait Islander Pharmacy Scholarship Scheme.</w:t>
      </w:r>
    </w:p>
    <w:p w14:paraId="116AD303"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The project involved a standard evaluation assessment of </w:t>
      </w:r>
      <w:r w:rsidRPr="00166DB1">
        <w:rPr>
          <w:rFonts w:ascii="Garamond" w:eastAsia="Garamond" w:hAnsi="Garamond"/>
          <w:i/>
          <w:color w:val="000000"/>
        </w:rPr>
        <w:t>appropriateness</w:t>
      </w:r>
      <w:r w:rsidRPr="00166DB1">
        <w:rPr>
          <w:rFonts w:ascii="Garamond" w:eastAsia="Garamond" w:hAnsi="Garamond"/>
          <w:color w:val="000000"/>
        </w:rPr>
        <w:t xml:space="preserve">, </w:t>
      </w:r>
      <w:r w:rsidRPr="00166DB1">
        <w:rPr>
          <w:rFonts w:ascii="Garamond" w:eastAsia="Garamond" w:hAnsi="Garamond"/>
          <w:i/>
          <w:color w:val="000000"/>
        </w:rPr>
        <w:t>effectiveness</w:t>
      </w:r>
      <w:r w:rsidRPr="00166DB1">
        <w:rPr>
          <w:rFonts w:ascii="Garamond" w:eastAsia="Garamond" w:hAnsi="Garamond"/>
          <w:color w:val="000000"/>
        </w:rPr>
        <w:t xml:space="preserve"> and </w:t>
      </w:r>
      <w:r w:rsidRPr="00166DB1">
        <w:rPr>
          <w:rFonts w:ascii="Garamond" w:eastAsia="Garamond" w:hAnsi="Garamond"/>
          <w:i/>
          <w:color w:val="000000"/>
        </w:rPr>
        <w:t>efficiency</w:t>
      </w:r>
      <w:r w:rsidRPr="00166DB1">
        <w:rPr>
          <w:rFonts w:ascii="Garamond" w:eastAsia="Garamond" w:hAnsi="Garamond"/>
          <w:color w:val="000000"/>
        </w:rPr>
        <w:t xml:space="preserve"> at both an individual program and a package level. This document is the final report of the evaluation. It is accompanied by two further volumes: a detailed evaluation analysis of each individual program (Volume 2); and technical papers (Volume 3), including the literature scan, survey results and interim project deliverables. </w:t>
      </w:r>
    </w:p>
    <w:p w14:paraId="4A2DD402" w14:textId="77777777" w:rsidR="00166DB1" w:rsidRPr="00166DB1" w:rsidRDefault="00166DB1" w:rsidP="00C72515">
      <w:pPr>
        <w:pStyle w:val="ESHeading2"/>
        <w:rPr>
          <w:rFonts w:eastAsia="Times New Roman"/>
        </w:rPr>
      </w:pPr>
      <w:r w:rsidRPr="008A499C">
        <w:t>Overview</w:t>
      </w:r>
      <w:r w:rsidRPr="00166DB1">
        <w:rPr>
          <w:rFonts w:eastAsia="Times New Roman"/>
        </w:rPr>
        <w:t xml:space="preserve"> of the </w:t>
      </w:r>
      <w:r w:rsidRPr="00C72515">
        <w:t>programs</w:t>
      </w:r>
    </w:p>
    <w:p w14:paraId="5B2B3A39" w14:textId="77777777" w:rsidR="00166DB1" w:rsidRPr="00166DB1" w:rsidRDefault="00166DB1" w:rsidP="00166DB1">
      <w:pPr>
        <w:spacing w:before="85" w:after="85"/>
        <w:rPr>
          <w:rFonts w:ascii="Garamond" w:eastAsia="Times New Roman" w:hAnsi="Garamond"/>
          <w:color w:val="000000"/>
        </w:rPr>
      </w:pPr>
      <w:r w:rsidRPr="00166DB1">
        <w:rPr>
          <w:rFonts w:ascii="Garamond" w:eastAsia="Times New Roman" w:hAnsi="Garamond"/>
          <w:color w:val="000000"/>
        </w:rPr>
        <w:t xml:space="preserve">The value of the 12 in-scope programs is small – around </w:t>
      </w:r>
      <w:r w:rsidRPr="00166DB1">
        <w:rPr>
          <w:rFonts w:ascii="Times New Roman" w:eastAsia="Times New Roman" w:hAnsi="Times New Roman"/>
          <w:color w:val="000000"/>
        </w:rPr>
        <w:t>$</w:t>
      </w:r>
      <w:r w:rsidRPr="00166DB1">
        <w:rPr>
          <w:rFonts w:ascii="Garamond" w:eastAsia="Times New Roman" w:hAnsi="Garamond"/>
          <w:color w:val="000000"/>
        </w:rPr>
        <w:t>7.2m per annum or 4.1% of the 6CPA first year allocation to community pharmacy programs.</w:t>
      </w:r>
    </w:p>
    <w:p w14:paraId="24659352"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The 6CPA states that the Rural Workforce Package seeks to:</w:t>
      </w:r>
    </w:p>
    <w:p w14:paraId="67D178DE" w14:textId="77777777" w:rsidR="00166DB1" w:rsidRPr="00166DB1" w:rsidRDefault="00166DB1" w:rsidP="00166DB1">
      <w:pPr>
        <w:spacing w:before="85" w:after="85"/>
        <w:ind w:left="284" w:right="284"/>
        <w:rPr>
          <w:rFonts w:ascii="Times New Roman" w:eastAsia="Garamond" w:hAnsi="Times New Roman"/>
          <w:i/>
          <w:iCs/>
          <w:color w:val="000000"/>
          <w:sz w:val="20"/>
        </w:rPr>
      </w:pPr>
      <w:r w:rsidRPr="00166DB1">
        <w:rPr>
          <w:rFonts w:ascii="Times New Roman" w:eastAsia="Garamond" w:hAnsi="Times New Roman"/>
          <w:i/>
          <w:iCs/>
          <w:color w:val="000000"/>
          <w:sz w:val="20"/>
        </w:rPr>
        <w:t>‘fund a range of initiatives designed to</w:t>
      </w:r>
      <w:r w:rsidRPr="00166DB1">
        <w:rPr>
          <w:rFonts w:ascii="Times New Roman" w:eastAsia="Garamond" w:hAnsi="Times New Roman"/>
          <w:b/>
          <w:i/>
          <w:iCs/>
          <w:color w:val="000000"/>
          <w:sz w:val="20"/>
        </w:rPr>
        <w:t xml:space="preserve"> strengthen and support the rural pharmacy workforce</w:t>
      </w:r>
      <w:r w:rsidRPr="00166DB1">
        <w:rPr>
          <w:rFonts w:ascii="Times New Roman" w:eastAsia="Garamond" w:hAnsi="Times New Roman"/>
          <w:i/>
          <w:iCs/>
          <w:color w:val="000000"/>
          <w:sz w:val="20"/>
        </w:rPr>
        <w:t xml:space="preserve">, in turn </w:t>
      </w:r>
      <w:r w:rsidRPr="00166DB1">
        <w:rPr>
          <w:rFonts w:ascii="Times New Roman" w:eastAsia="Garamond" w:hAnsi="Times New Roman"/>
          <w:b/>
          <w:i/>
          <w:iCs/>
          <w:color w:val="000000"/>
          <w:sz w:val="20"/>
        </w:rPr>
        <w:t>to provide increased access to quality pharmacy services for consumers residing in rural and remote regions</w:t>
      </w:r>
      <w:r w:rsidRPr="00166DB1">
        <w:rPr>
          <w:rFonts w:ascii="Times New Roman" w:eastAsia="Garamond" w:hAnsi="Times New Roman"/>
          <w:i/>
          <w:iCs/>
          <w:color w:val="000000"/>
          <w:sz w:val="20"/>
        </w:rPr>
        <w:t xml:space="preserve"> of Australia’. </w:t>
      </w:r>
    </w:p>
    <w:p w14:paraId="6A16D2CF" w14:textId="77777777" w:rsidR="00166DB1" w:rsidRPr="00166DB1" w:rsidRDefault="00166DB1" w:rsidP="00166DB1">
      <w:pPr>
        <w:spacing w:before="85" w:after="85"/>
        <w:rPr>
          <w:rFonts w:ascii="Garamond" w:eastAsia="Times New Roman" w:hAnsi="Garamond"/>
          <w:color w:val="000000"/>
        </w:rPr>
      </w:pPr>
      <w:r w:rsidRPr="00166DB1">
        <w:rPr>
          <w:rFonts w:ascii="Garamond" w:eastAsia="Garamond" w:hAnsi="Garamond"/>
          <w:color w:val="000000"/>
        </w:rPr>
        <w:t xml:space="preserve">The purpose of the </w:t>
      </w:r>
      <w:r w:rsidRPr="00166DB1">
        <w:rPr>
          <w:rFonts w:ascii="Garamond" w:eastAsia="Times New Roman" w:hAnsi="Garamond"/>
          <w:color w:val="000000"/>
        </w:rPr>
        <w:t xml:space="preserve">Aboriginal and Torres Strait Islander Workforce Package is framed in similar terms. Its aims to: </w:t>
      </w:r>
    </w:p>
    <w:p w14:paraId="08A23A33" w14:textId="77777777" w:rsidR="00166DB1" w:rsidRPr="00166DB1" w:rsidRDefault="00166DB1" w:rsidP="00166DB1">
      <w:pPr>
        <w:spacing w:before="85" w:after="85"/>
        <w:ind w:left="284" w:right="284"/>
        <w:rPr>
          <w:rFonts w:ascii="Times New Roman" w:eastAsia="Garamond" w:hAnsi="Times New Roman"/>
          <w:i/>
          <w:iCs/>
          <w:color w:val="000000"/>
          <w:sz w:val="20"/>
        </w:rPr>
      </w:pPr>
      <w:r w:rsidRPr="00166DB1">
        <w:rPr>
          <w:rFonts w:ascii="Times New Roman" w:eastAsia="Garamond" w:hAnsi="Times New Roman"/>
          <w:i/>
          <w:iCs/>
          <w:color w:val="000000"/>
          <w:sz w:val="20"/>
        </w:rPr>
        <w:t xml:space="preserve">‘fund a range of initiatives designed to </w:t>
      </w:r>
      <w:r w:rsidRPr="00166DB1">
        <w:rPr>
          <w:rFonts w:ascii="Times New Roman" w:eastAsia="Garamond" w:hAnsi="Times New Roman"/>
          <w:b/>
          <w:i/>
          <w:iCs/>
          <w:color w:val="000000"/>
          <w:sz w:val="20"/>
        </w:rPr>
        <w:t xml:space="preserve">strengthen and support the ATSI </w:t>
      </w:r>
      <w:r w:rsidRPr="00166DB1">
        <w:rPr>
          <w:rFonts w:ascii="Times New Roman" w:eastAsia="Garamond" w:hAnsi="Times New Roman"/>
          <w:i/>
          <w:iCs/>
          <w:color w:val="000000"/>
          <w:sz w:val="20"/>
        </w:rPr>
        <w:t xml:space="preserve">(sic) </w:t>
      </w:r>
      <w:r w:rsidRPr="00166DB1">
        <w:rPr>
          <w:rFonts w:ascii="Times New Roman" w:eastAsia="Garamond" w:hAnsi="Times New Roman"/>
          <w:b/>
          <w:i/>
          <w:iCs/>
          <w:color w:val="000000"/>
          <w:sz w:val="20"/>
        </w:rPr>
        <w:t>pharmacy workforce</w:t>
      </w:r>
      <w:r w:rsidRPr="00166DB1">
        <w:rPr>
          <w:rFonts w:ascii="Times New Roman" w:eastAsia="Garamond" w:hAnsi="Times New Roman"/>
          <w:i/>
          <w:iCs/>
          <w:color w:val="000000"/>
          <w:sz w:val="20"/>
        </w:rPr>
        <w:t xml:space="preserve">, which in turn will </w:t>
      </w:r>
      <w:r w:rsidRPr="00166DB1">
        <w:rPr>
          <w:rFonts w:ascii="Times New Roman" w:eastAsia="Garamond" w:hAnsi="Times New Roman"/>
          <w:b/>
          <w:i/>
          <w:iCs/>
          <w:color w:val="000000"/>
          <w:sz w:val="20"/>
        </w:rPr>
        <w:t xml:space="preserve">provide improved, culturally-appropriate pharmacy services for ATSI </w:t>
      </w:r>
      <w:r w:rsidRPr="00166DB1">
        <w:rPr>
          <w:rFonts w:ascii="Times New Roman" w:eastAsia="Garamond" w:hAnsi="Times New Roman"/>
          <w:i/>
          <w:iCs/>
          <w:color w:val="000000"/>
          <w:sz w:val="20"/>
        </w:rPr>
        <w:t xml:space="preserve">(sic) </w:t>
      </w:r>
      <w:r w:rsidRPr="00166DB1">
        <w:rPr>
          <w:rFonts w:ascii="Times New Roman" w:eastAsia="Garamond" w:hAnsi="Times New Roman"/>
          <w:b/>
          <w:i/>
          <w:iCs/>
          <w:color w:val="000000"/>
          <w:sz w:val="20"/>
        </w:rPr>
        <w:t>consumers’</w:t>
      </w:r>
      <w:r w:rsidRPr="00166DB1">
        <w:rPr>
          <w:rFonts w:ascii="Times New Roman" w:eastAsia="Garamond" w:hAnsi="Times New Roman"/>
          <w:i/>
          <w:iCs/>
          <w:color w:val="000000"/>
          <w:sz w:val="20"/>
        </w:rPr>
        <w:t xml:space="preserve">. </w:t>
      </w:r>
    </w:p>
    <w:p w14:paraId="529F78B0" w14:textId="77777777" w:rsidR="00166DB1" w:rsidRPr="00166DB1" w:rsidRDefault="00166DB1" w:rsidP="00166DB1">
      <w:pPr>
        <w:spacing w:before="85" w:after="85"/>
        <w:rPr>
          <w:rFonts w:ascii="Garamond" w:eastAsia="Times New Roman" w:hAnsi="Garamond"/>
          <w:color w:val="000000"/>
        </w:rPr>
      </w:pPr>
      <w:r w:rsidRPr="00166DB1">
        <w:rPr>
          <w:rFonts w:ascii="Garamond" w:eastAsia="Times New Roman" w:hAnsi="Garamond"/>
          <w:color w:val="000000"/>
        </w:rPr>
        <w:t>To assist with the evaluation, HMA categorised the 12 programs into four groups with similar characteristics:</w:t>
      </w:r>
    </w:p>
    <w:p w14:paraId="4AE5E0B0" w14:textId="77777777" w:rsidR="00166DB1" w:rsidRPr="00166DB1" w:rsidRDefault="00166DB1" w:rsidP="009F66FB">
      <w:pPr>
        <w:numPr>
          <w:ilvl w:val="0"/>
          <w:numId w:val="2"/>
        </w:numPr>
        <w:spacing w:before="20" w:after="20"/>
        <w:rPr>
          <w:rFonts w:ascii="Garamond" w:eastAsia="Times New Roman" w:hAnsi="Garamond"/>
          <w:color w:val="000000"/>
        </w:rPr>
      </w:pPr>
      <w:r w:rsidRPr="00166DB1">
        <w:rPr>
          <w:rFonts w:ascii="Garamond" w:eastAsia="Times New Roman" w:hAnsi="Garamond"/>
          <w:color w:val="000000"/>
        </w:rPr>
        <w:t>Workforce recruitment programs</w:t>
      </w:r>
    </w:p>
    <w:p w14:paraId="6FE9973A" w14:textId="77777777" w:rsidR="00166DB1" w:rsidRPr="00166DB1" w:rsidRDefault="00166DB1" w:rsidP="009F66FB">
      <w:pPr>
        <w:numPr>
          <w:ilvl w:val="0"/>
          <w:numId w:val="2"/>
        </w:numPr>
        <w:spacing w:before="20" w:after="20"/>
        <w:rPr>
          <w:rFonts w:ascii="Garamond" w:eastAsia="Times New Roman" w:hAnsi="Garamond"/>
          <w:color w:val="000000"/>
        </w:rPr>
      </w:pPr>
      <w:r w:rsidRPr="00166DB1">
        <w:rPr>
          <w:rFonts w:ascii="Garamond" w:eastAsia="Times New Roman" w:hAnsi="Garamond"/>
          <w:color w:val="000000"/>
        </w:rPr>
        <w:t>Workforce retention programs</w:t>
      </w:r>
    </w:p>
    <w:p w14:paraId="6F5B7D5C" w14:textId="77777777" w:rsidR="00166DB1" w:rsidRPr="00166DB1" w:rsidRDefault="00166DB1" w:rsidP="009F66FB">
      <w:pPr>
        <w:numPr>
          <w:ilvl w:val="0"/>
          <w:numId w:val="2"/>
        </w:numPr>
        <w:spacing w:before="20" w:after="20"/>
        <w:rPr>
          <w:rFonts w:ascii="Garamond" w:eastAsia="Times New Roman" w:hAnsi="Garamond"/>
          <w:color w:val="000000"/>
        </w:rPr>
      </w:pPr>
      <w:r w:rsidRPr="00166DB1">
        <w:rPr>
          <w:rFonts w:ascii="Garamond" w:eastAsia="Times New Roman" w:hAnsi="Garamond"/>
          <w:color w:val="000000"/>
        </w:rPr>
        <w:t xml:space="preserve">Other workforce support programs, and </w:t>
      </w:r>
    </w:p>
    <w:p w14:paraId="23E524D7" w14:textId="77777777" w:rsidR="00166DB1" w:rsidRPr="00166DB1" w:rsidRDefault="00166DB1" w:rsidP="009F66FB">
      <w:pPr>
        <w:numPr>
          <w:ilvl w:val="0"/>
          <w:numId w:val="2"/>
        </w:numPr>
        <w:spacing w:before="20" w:after="20"/>
        <w:rPr>
          <w:rFonts w:ascii="Garamond" w:eastAsia="Times New Roman" w:hAnsi="Garamond"/>
          <w:color w:val="000000"/>
        </w:rPr>
      </w:pPr>
      <w:r w:rsidRPr="00166DB1">
        <w:rPr>
          <w:rFonts w:ascii="Garamond" w:eastAsia="Times New Roman" w:hAnsi="Garamond"/>
          <w:color w:val="000000"/>
        </w:rPr>
        <w:t>Enhancing availability of culturally appropriate services.</w:t>
      </w:r>
      <w:r w:rsidRPr="00166DB1">
        <w:rPr>
          <w:rFonts w:ascii="Garamond" w:eastAsia="Times New Roman" w:hAnsi="Garamond"/>
          <w:i/>
          <w:color w:val="000000"/>
        </w:rPr>
        <w:t xml:space="preserve"> </w:t>
      </w:r>
    </w:p>
    <w:p w14:paraId="28C30DAB"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Key findings relating the context of the programs are summarised in the following table. </w:t>
      </w:r>
    </w:p>
    <w:tbl>
      <w:tblPr>
        <w:tblStyle w:val="KeyFindings"/>
        <w:tblW w:w="5000" w:type="pct"/>
        <w:shd w:val="clear" w:color="auto" w:fill="F2F2F2" w:themeFill="background1" w:themeFillShade="F2"/>
        <w:tblLayout w:type="fixed"/>
        <w:tblLook w:val="04A0" w:firstRow="1" w:lastRow="0" w:firstColumn="1" w:lastColumn="0" w:noHBand="0" w:noVBand="1"/>
        <w:tblCaption w:val="Summary of key findings"/>
        <w:tblDescription w:val="Table summarising Key Findings 1 to 3"/>
      </w:tblPr>
      <w:tblGrid>
        <w:gridCol w:w="1843"/>
        <w:gridCol w:w="5201"/>
      </w:tblGrid>
      <w:tr w:rsidR="00367717" w:rsidRPr="00166DB1" w14:paraId="6280FD4E" w14:textId="77777777" w:rsidTr="00367717">
        <w:trPr>
          <w:cnfStyle w:val="100000000000" w:firstRow="1" w:lastRow="0" w:firstColumn="0" w:lastColumn="0" w:oddVBand="0" w:evenVBand="0" w:oddHBand="0" w:evenHBand="0" w:firstRowFirstColumn="0" w:firstRowLastColumn="0" w:lastRowFirstColumn="0" w:lastRowLastColumn="0"/>
          <w:tblHeader/>
        </w:trPr>
        <w:tc>
          <w:tcPr>
            <w:tcW w:w="1843" w:type="dxa"/>
            <w:shd w:val="clear" w:color="auto" w:fill="F2F2F2" w:themeFill="background1" w:themeFillShade="F2"/>
            <w:vAlign w:val="center"/>
          </w:tcPr>
          <w:p w14:paraId="7B725983" w14:textId="2880E3BF" w:rsidR="00367717" w:rsidRPr="00166DB1" w:rsidRDefault="00367717" w:rsidP="002D261F">
            <w:pPr>
              <w:pStyle w:val="KeyFindingsTableHeading"/>
            </w:pPr>
          </w:p>
        </w:tc>
        <w:tc>
          <w:tcPr>
            <w:tcW w:w="5201" w:type="dxa"/>
            <w:shd w:val="clear" w:color="auto" w:fill="F2F2F2" w:themeFill="background1" w:themeFillShade="F2"/>
            <w:vAlign w:val="center"/>
          </w:tcPr>
          <w:p w14:paraId="5DF0307C" w14:textId="73ADE881" w:rsidR="00367717" w:rsidRPr="00166DB1" w:rsidRDefault="00367717" w:rsidP="002D261F">
            <w:pPr>
              <w:pStyle w:val="KeyFindingsTableHeading"/>
            </w:pPr>
            <w:r w:rsidRPr="00166DB1">
              <w:t>Summary of key findings</w:t>
            </w:r>
          </w:p>
        </w:tc>
      </w:tr>
      <w:tr w:rsidR="00166DB1" w:rsidRPr="00166DB1" w14:paraId="04F3205C" w14:textId="77777777" w:rsidTr="00367717">
        <w:tc>
          <w:tcPr>
            <w:tcW w:w="1843" w:type="dxa"/>
            <w:shd w:val="clear" w:color="auto" w:fill="F2F2F2" w:themeFill="background1" w:themeFillShade="F2"/>
            <w:vAlign w:val="center"/>
          </w:tcPr>
          <w:p w14:paraId="098287A2" w14:textId="6F397A21" w:rsidR="00166DB1" w:rsidRPr="00166DB1" w:rsidRDefault="00166DB1" w:rsidP="002D261F">
            <w:pPr>
              <w:pStyle w:val="KeyFindingsTableLeftColumn"/>
            </w:pPr>
            <w:r w:rsidRPr="00166DB1">
              <w:fldChar w:fldCharType="begin"/>
            </w:r>
            <w:r w:rsidRPr="00166DB1">
              <w:instrText xml:space="preserve"> REF _Ref490676609 \r \h </w:instrText>
            </w:r>
            <w:r w:rsidR="002D261F">
              <w:instrText xml:space="preserve"> \* MERGEFORMAT </w:instrText>
            </w:r>
            <w:r w:rsidRPr="00166DB1">
              <w:fldChar w:fldCharType="separate"/>
            </w:r>
            <w:r w:rsidRPr="00166DB1">
              <w:t>Key Finding 1:</w:t>
            </w:r>
            <w:r w:rsidRPr="00166DB1">
              <w:fldChar w:fldCharType="end"/>
            </w:r>
          </w:p>
        </w:tc>
        <w:tc>
          <w:tcPr>
            <w:tcW w:w="5201" w:type="dxa"/>
            <w:shd w:val="clear" w:color="auto" w:fill="F2F2F2" w:themeFill="background1" w:themeFillShade="F2"/>
            <w:vAlign w:val="center"/>
          </w:tcPr>
          <w:p w14:paraId="6F9A13B6" w14:textId="6AD9A5DD" w:rsidR="00166DB1" w:rsidRPr="00166DB1" w:rsidRDefault="00166DB1" w:rsidP="002D261F">
            <w:pPr>
              <w:pStyle w:val="KeyFindingsTableCopy"/>
            </w:pPr>
            <w:r w:rsidRPr="00166DB1">
              <w:fldChar w:fldCharType="begin"/>
            </w:r>
            <w:r w:rsidRPr="00166DB1">
              <w:instrText xml:space="preserve"> REF _Ref490676609 \h </w:instrText>
            </w:r>
            <w:r w:rsidR="002D261F">
              <w:instrText xml:space="preserve"> \* MERGEFORMAT </w:instrText>
            </w:r>
            <w:r w:rsidRPr="00166DB1">
              <w:fldChar w:fldCharType="separate"/>
            </w:r>
            <w:r w:rsidRPr="00166DB1">
              <w:t xml:space="preserve">The small funding allocation to Pharmacy Workforce Programs of </w:t>
            </w:r>
            <w:r w:rsidRPr="00166DB1">
              <w:rPr>
                <w:rFonts w:ascii="Times New Roman" w:hAnsi="Times New Roman"/>
              </w:rPr>
              <w:t>$</w:t>
            </w:r>
            <w:r w:rsidRPr="00166DB1">
              <w:t>7.2m over the five years of the 6CPA limits their capacity to support sizeable change in response to rural or Aboriginal and Torres Strait Islander workforce problems.</w:t>
            </w:r>
            <w:r w:rsidRPr="00166DB1">
              <w:fldChar w:fldCharType="end"/>
            </w:r>
          </w:p>
        </w:tc>
      </w:tr>
      <w:tr w:rsidR="00166DB1" w:rsidRPr="00166DB1" w14:paraId="3EE5CF0E" w14:textId="77777777" w:rsidTr="00367717">
        <w:tc>
          <w:tcPr>
            <w:tcW w:w="1843" w:type="dxa"/>
            <w:shd w:val="clear" w:color="auto" w:fill="F2F2F2" w:themeFill="background1" w:themeFillShade="F2"/>
            <w:vAlign w:val="center"/>
          </w:tcPr>
          <w:p w14:paraId="7E2D2AFB" w14:textId="0B0F3715" w:rsidR="00166DB1" w:rsidRPr="00166DB1" w:rsidRDefault="00166DB1" w:rsidP="002D261F">
            <w:pPr>
              <w:pStyle w:val="KeyFindingsTableLeftColumn"/>
            </w:pPr>
            <w:r w:rsidRPr="00166DB1">
              <w:fldChar w:fldCharType="begin"/>
            </w:r>
            <w:r w:rsidRPr="00166DB1">
              <w:instrText xml:space="preserve"> REF _Ref490676614 \r \h </w:instrText>
            </w:r>
            <w:r w:rsidR="002D261F">
              <w:instrText xml:space="preserve"> \* MERGEFORMAT </w:instrText>
            </w:r>
            <w:r w:rsidRPr="00166DB1">
              <w:fldChar w:fldCharType="separate"/>
            </w:r>
            <w:r w:rsidRPr="00166DB1">
              <w:t>Key Finding 2:</w:t>
            </w:r>
            <w:r w:rsidRPr="00166DB1">
              <w:fldChar w:fldCharType="end"/>
            </w:r>
          </w:p>
        </w:tc>
        <w:tc>
          <w:tcPr>
            <w:tcW w:w="5201" w:type="dxa"/>
            <w:shd w:val="clear" w:color="auto" w:fill="F2F2F2" w:themeFill="background1" w:themeFillShade="F2"/>
            <w:vAlign w:val="center"/>
          </w:tcPr>
          <w:p w14:paraId="25D6DCEA" w14:textId="3ABCFBB5" w:rsidR="00166DB1" w:rsidRPr="00166DB1" w:rsidRDefault="00166DB1" w:rsidP="002D261F">
            <w:pPr>
              <w:pStyle w:val="KeyFindingsTableCopy"/>
            </w:pPr>
            <w:r w:rsidRPr="00166DB1">
              <w:fldChar w:fldCharType="begin"/>
            </w:r>
            <w:r w:rsidRPr="00166DB1">
              <w:instrText xml:space="preserve"> REF _Ref490676614 \h </w:instrText>
            </w:r>
            <w:r w:rsidR="002D261F">
              <w:instrText xml:space="preserve"> \* MERGEFORMAT </w:instrText>
            </w:r>
            <w:r w:rsidRPr="00166DB1">
              <w:fldChar w:fldCharType="separate"/>
            </w:r>
            <w:r w:rsidRPr="00166DB1">
              <w:t>If it is decided to continue with the Pharmacy Workforce Programs, in future there should be a clearer specification of their objectives, including a clear statement of why the programs are being implemented, what they are expected to realise over the life of a Community Pharmacy Agreement, and the target activity level they aim to realise.</w:t>
            </w:r>
            <w:r w:rsidRPr="00166DB1">
              <w:fldChar w:fldCharType="end"/>
            </w:r>
          </w:p>
        </w:tc>
      </w:tr>
      <w:tr w:rsidR="00166DB1" w:rsidRPr="00166DB1" w14:paraId="0A5E60C1" w14:textId="77777777" w:rsidTr="00367717">
        <w:tc>
          <w:tcPr>
            <w:tcW w:w="1843" w:type="dxa"/>
            <w:shd w:val="clear" w:color="auto" w:fill="F2F2F2" w:themeFill="background1" w:themeFillShade="F2"/>
            <w:vAlign w:val="center"/>
          </w:tcPr>
          <w:p w14:paraId="114521F5" w14:textId="61C0D41A" w:rsidR="00166DB1" w:rsidRPr="00166DB1" w:rsidRDefault="00166DB1" w:rsidP="002D261F">
            <w:pPr>
              <w:pStyle w:val="KeyFindingsTableLeftColumn"/>
            </w:pPr>
            <w:r w:rsidRPr="00166DB1">
              <w:fldChar w:fldCharType="begin"/>
            </w:r>
            <w:r w:rsidRPr="00166DB1">
              <w:instrText xml:space="preserve"> REF _Ref490676626 \r \h </w:instrText>
            </w:r>
            <w:r w:rsidR="002D261F">
              <w:instrText xml:space="preserve"> \* MERGEFORMAT </w:instrText>
            </w:r>
            <w:r w:rsidRPr="00166DB1">
              <w:fldChar w:fldCharType="separate"/>
            </w:r>
            <w:r w:rsidRPr="00166DB1">
              <w:t>Key Finding 3:</w:t>
            </w:r>
            <w:r w:rsidRPr="00166DB1">
              <w:fldChar w:fldCharType="end"/>
            </w:r>
          </w:p>
        </w:tc>
        <w:tc>
          <w:tcPr>
            <w:tcW w:w="5201" w:type="dxa"/>
            <w:shd w:val="clear" w:color="auto" w:fill="F2F2F2" w:themeFill="background1" w:themeFillShade="F2"/>
            <w:vAlign w:val="center"/>
          </w:tcPr>
          <w:p w14:paraId="24346DA0" w14:textId="7F11224C" w:rsidR="00166DB1" w:rsidRPr="00166DB1" w:rsidRDefault="00166DB1" w:rsidP="002D261F">
            <w:pPr>
              <w:pStyle w:val="KeyFindingsTableCopy"/>
            </w:pPr>
            <w:r w:rsidRPr="00166DB1">
              <w:fldChar w:fldCharType="begin"/>
            </w:r>
            <w:r w:rsidRPr="00166DB1">
              <w:instrText xml:space="preserve"> REF _Ref490676626 \h </w:instrText>
            </w:r>
            <w:r w:rsidR="002D261F">
              <w:instrText xml:space="preserve"> \* MERGEFORMAT </w:instrText>
            </w:r>
            <w:r w:rsidRPr="00166DB1">
              <w:fldChar w:fldCharType="separate"/>
            </w:r>
            <w:r w:rsidRPr="00166DB1">
              <w:t>Expenditure data available to the evaluators found there was an under-spend on the Pharmacy Workforce Package in the years 2013–14 and 2014–15 of around 40%, suggesting the component programs did not get the resource allocation priority intended by the original 5CPA budget schedule.</w:t>
            </w:r>
            <w:r w:rsidRPr="00166DB1">
              <w:fldChar w:fldCharType="end"/>
            </w:r>
          </w:p>
        </w:tc>
      </w:tr>
    </w:tbl>
    <w:p w14:paraId="61B2867B" w14:textId="77777777" w:rsidR="00166DB1" w:rsidRPr="00166DB1" w:rsidRDefault="00166DB1" w:rsidP="00B24642">
      <w:pPr>
        <w:pStyle w:val="ESHeading2"/>
        <w:rPr>
          <w:rFonts w:eastAsia="Times New Roman"/>
        </w:rPr>
      </w:pPr>
      <w:r w:rsidRPr="00166DB1">
        <w:rPr>
          <w:rFonts w:eastAsia="Times New Roman"/>
        </w:rPr>
        <w:t xml:space="preserve">Method </w:t>
      </w:r>
    </w:p>
    <w:p w14:paraId="18DE09A2" w14:textId="77777777" w:rsidR="00166DB1" w:rsidRPr="00166DB1" w:rsidRDefault="00166DB1" w:rsidP="00B24642">
      <w:pPr>
        <w:pStyle w:val="ESHeading3"/>
        <w:rPr>
          <w:rFonts w:eastAsia="Times New Roman"/>
        </w:rPr>
      </w:pPr>
      <w:r w:rsidRPr="00166DB1">
        <w:rPr>
          <w:rFonts w:eastAsia="Times New Roman"/>
        </w:rPr>
        <w:t xml:space="preserve">Data collection </w:t>
      </w:r>
    </w:p>
    <w:p w14:paraId="19244360" w14:textId="28EF0400"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HMA used a needs </w:t>
      </w:r>
      <w:r w:rsidR="00D65552" w:rsidRPr="00166DB1">
        <w:rPr>
          <w:rFonts w:ascii="Garamond" w:eastAsia="Garamond" w:hAnsi="Garamond"/>
          <w:color w:val="000000"/>
        </w:rPr>
        <w:t>assessment-based</w:t>
      </w:r>
      <w:r w:rsidRPr="00166DB1">
        <w:rPr>
          <w:rFonts w:ascii="Garamond" w:eastAsia="Garamond" w:hAnsi="Garamond"/>
          <w:color w:val="000000"/>
        </w:rPr>
        <w:t xml:space="preserve"> methodology to obtain relevant information on the program need, use and perceived benefits. The key stages were:</w:t>
      </w:r>
    </w:p>
    <w:p w14:paraId="1F398435" w14:textId="77777777" w:rsidR="00166DB1" w:rsidRPr="00A4675C" w:rsidRDefault="00166DB1" w:rsidP="009F66FB">
      <w:pPr>
        <w:pStyle w:val="ListParagraph"/>
        <w:numPr>
          <w:ilvl w:val="0"/>
          <w:numId w:val="6"/>
        </w:numPr>
        <w:tabs>
          <w:tab w:val="num" w:pos="170"/>
        </w:tabs>
        <w:spacing w:before="20" w:after="20"/>
        <w:rPr>
          <w:rFonts w:ascii="Garamond" w:eastAsia="Times New Roman" w:hAnsi="Garamond"/>
          <w:color w:val="000000"/>
        </w:rPr>
      </w:pPr>
      <w:r w:rsidRPr="00A4675C">
        <w:rPr>
          <w:rFonts w:ascii="Garamond" w:eastAsia="Times New Roman" w:hAnsi="Garamond"/>
          <w:color w:val="000000"/>
        </w:rPr>
        <w:t xml:space="preserve">Situation analysis to review program objectives, use and costs. </w:t>
      </w:r>
    </w:p>
    <w:p w14:paraId="7C919FEB" w14:textId="77777777" w:rsidR="00166DB1" w:rsidRPr="00A4675C" w:rsidRDefault="00166DB1" w:rsidP="009F66FB">
      <w:pPr>
        <w:pStyle w:val="ListParagraph"/>
        <w:numPr>
          <w:ilvl w:val="0"/>
          <w:numId w:val="6"/>
        </w:numPr>
        <w:tabs>
          <w:tab w:val="num" w:pos="170"/>
        </w:tabs>
        <w:spacing w:before="20" w:after="20"/>
        <w:rPr>
          <w:rFonts w:ascii="Garamond" w:eastAsia="Times New Roman" w:hAnsi="Garamond"/>
          <w:color w:val="000000"/>
        </w:rPr>
      </w:pPr>
      <w:r w:rsidRPr="00A4675C">
        <w:rPr>
          <w:rFonts w:ascii="Garamond" w:eastAsia="Times New Roman" w:hAnsi="Garamond"/>
          <w:color w:val="000000"/>
        </w:rPr>
        <w:t>PICO (Population, Intervention, Comparison, Outcome) analysis of program data and peer reviewed literature to assess program need and evidence base.</w:t>
      </w:r>
    </w:p>
    <w:p w14:paraId="79B10330" w14:textId="77777777" w:rsidR="00166DB1" w:rsidRPr="00A4675C" w:rsidRDefault="00166DB1" w:rsidP="009F66FB">
      <w:pPr>
        <w:pStyle w:val="ListParagraph"/>
        <w:numPr>
          <w:ilvl w:val="0"/>
          <w:numId w:val="6"/>
        </w:numPr>
        <w:tabs>
          <w:tab w:val="num" w:pos="170"/>
        </w:tabs>
        <w:spacing w:before="20" w:after="20"/>
        <w:rPr>
          <w:rFonts w:ascii="Garamond" w:eastAsia="Times New Roman" w:hAnsi="Garamond"/>
          <w:color w:val="000000"/>
        </w:rPr>
      </w:pPr>
      <w:r w:rsidRPr="00A4675C">
        <w:rPr>
          <w:rFonts w:ascii="Garamond" w:eastAsia="Times New Roman" w:hAnsi="Garamond"/>
          <w:color w:val="000000"/>
        </w:rPr>
        <w:t>Assess relative need through consultation with peak body stakeholders.</w:t>
      </w:r>
    </w:p>
    <w:p w14:paraId="16D43C5B" w14:textId="77777777" w:rsidR="00166DB1" w:rsidRPr="00A4675C" w:rsidRDefault="00166DB1" w:rsidP="009F66FB">
      <w:pPr>
        <w:pStyle w:val="ListParagraph"/>
        <w:numPr>
          <w:ilvl w:val="0"/>
          <w:numId w:val="6"/>
        </w:numPr>
        <w:tabs>
          <w:tab w:val="num" w:pos="170"/>
        </w:tabs>
        <w:spacing w:before="20" w:after="20"/>
        <w:rPr>
          <w:rFonts w:ascii="Garamond" w:eastAsia="Times New Roman" w:hAnsi="Garamond"/>
          <w:color w:val="000000"/>
        </w:rPr>
      </w:pPr>
      <w:r w:rsidRPr="00A4675C">
        <w:rPr>
          <w:rFonts w:ascii="Garamond" w:eastAsia="Times New Roman" w:hAnsi="Garamond"/>
          <w:color w:val="000000"/>
        </w:rPr>
        <w:t xml:space="preserve">Assess program outcomes through consultation with funding recipients and rural and remote pharmacists, face to face and via an online survey. </w:t>
      </w:r>
    </w:p>
    <w:p w14:paraId="671C2288" w14:textId="0C602C6A" w:rsidR="00166DB1" w:rsidRPr="00A4675C" w:rsidRDefault="00166DB1" w:rsidP="009F66FB">
      <w:pPr>
        <w:pStyle w:val="ListParagraph"/>
        <w:numPr>
          <w:ilvl w:val="0"/>
          <w:numId w:val="6"/>
        </w:numPr>
        <w:tabs>
          <w:tab w:val="num" w:pos="170"/>
        </w:tabs>
        <w:spacing w:before="20" w:after="20"/>
        <w:rPr>
          <w:rFonts w:ascii="Garamond" w:eastAsia="Times New Roman" w:hAnsi="Garamond"/>
          <w:color w:val="000000"/>
        </w:rPr>
      </w:pPr>
      <w:r w:rsidRPr="00A4675C">
        <w:rPr>
          <w:rFonts w:ascii="Garamond" w:eastAsia="Times New Roman" w:hAnsi="Garamond"/>
          <w:color w:val="000000"/>
        </w:rPr>
        <w:t>Evidence synthesis using a data triangulation methodology to assess the appropriateness, effectiveness and efficiency of the programs individually and the Pharmacy Workforce Programs as a package.</w:t>
      </w:r>
    </w:p>
    <w:p w14:paraId="3D65B371"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This document represented the assessment of the Pharmacy Workforce Programs as a package. Detail on the findings for individual programs is available in the accompanying </w:t>
      </w:r>
      <w:r w:rsidRPr="00166DB1">
        <w:rPr>
          <w:rFonts w:ascii="Garamond" w:eastAsia="Garamond" w:hAnsi="Garamond"/>
          <w:i/>
          <w:color w:val="000000"/>
        </w:rPr>
        <w:t xml:space="preserve">Detailed Analysis of Workforce Programs </w:t>
      </w:r>
      <w:r w:rsidRPr="00166DB1">
        <w:rPr>
          <w:rFonts w:ascii="Garamond" w:eastAsia="Garamond" w:hAnsi="Garamond"/>
          <w:color w:val="000000"/>
        </w:rPr>
        <w:t xml:space="preserve">(Volume 2). Interim deliverables and data collection tools are available in the accompanying </w:t>
      </w:r>
      <w:r w:rsidRPr="00166DB1">
        <w:rPr>
          <w:rFonts w:ascii="Garamond" w:eastAsia="Garamond" w:hAnsi="Garamond"/>
          <w:i/>
          <w:color w:val="000000"/>
        </w:rPr>
        <w:t>Technical Paper</w:t>
      </w:r>
      <w:r w:rsidRPr="00166DB1">
        <w:rPr>
          <w:rFonts w:ascii="Garamond" w:eastAsia="Garamond" w:hAnsi="Garamond"/>
          <w:color w:val="000000"/>
        </w:rPr>
        <w:t xml:space="preserve"> (Volume 3). </w:t>
      </w:r>
    </w:p>
    <w:p w14:paraId="01A1CF72" w14:textId="77777777" w:rsidR="00166DB1" w:rsidRPr="00166DB1" w:rsidRDefault="00166DB1" w:rsidP="00B24642">
      <w:pPr>
        <w:pStyle w:val="ESHeading3"/>
        <w:rPr>
          <w:rFonts w:eastAsia="Times New Roman"/>
        </w:rPr>
      </w:pPr>
      <w:r w:rsidRPr="00166DB1">
        <w:rPr>
          <w:rFonts w:eastAsia="Times New Roman"/>
        </w:rPr>
        <w:t xml:space="preserve">Data limitations </w:t>
      </w:r>
    </w:p>
    <w:p w14:paraId="379FF047"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Pharmacy workforce data from the Department of Health Workforce Reform Branch was only available for the 2013–2015 period due to a change in the data collection format in 2012. The limited data set diminished the identification of workforce trends over time and the capacity to track the impact of workforce programs. </w:t>
      </w:r>
    </w:p>
    <w:p w14:paraId="0DD19F8D"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Individual program data including program participation, expenditure and budget was provided by The Guild. However, there were significant gaps in the data provided. For example, audited statements for each program were only available for the 2013–14 and 2014–15 financial years.</w:t>
      </w:r>
    </w:p>
    <w:p w14:paraId="3DE2954D" w14:textId="77777777" w:rsidR="00166DB1" w:rsidRPr="00166DB1" w:rsidRDefault="00166DB1" w:rsidP="00B24642">
      <w:pPr>
        <w:pStyle w:val="ESHeading2"/>
        <w:rPr>
          <w:rFonts w:eastAsia="Times New Roman"/>
        </w:rPr>
      </w:pPr>
      <w:r w:rsidRPr="00166DB1">
        <w:rPr>
          <w:rFonts w:eastAsia="Times New Roman"/>
        </w:rPr>
        <w:t xml:space="preserve">Program findings </w:t>
      </w:r>
    </w:p>
    <w:p w14:paraId="388683D7"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The Pharmacy Workforce Package was evaluated for appropriateness, effectiveness and efficiency. The key findings are summarised here. </w:t>
      </w:r>
    </w:p>
    <w:p w14:paraId="1B7C92EB" w14:textId="77777777" w:rsidR="00166DB1" w:rsidRPr="00166DB1" w:rsidRDefault="00166DB1" w:rsidP="00B24642">
      <w:pPr>
        <w:pStyle w:val="ESHeading3"/>
        <w:rPr>
          <w:rFonts w:eastAsia="Times New Roman"/>
        </w:rPr>
      </w:pPr>
      <w:r w:rsidRPr="00166DB1">
        <w:rPr>
          <w:rFonts w:eastAsia="Times New Roman"/>
        </w:rPr>
        <w:t xml:space="preserve">Appropriateness </w:t>
      </w:r>
    </w:p>
    <w:p w14:paraId="151D039C"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An examination of a program’s </w:t>
      </w:r>
      <w:r w:rsidRPr="00166DB1">
        <w:rPr>
          <w:rFonts w:ascii="Garamond" w:eastAsia="Garamond" w:hAnsi="Garamond"/>
          <w:i/>
          <w:color w:val="000000"/>
        </w:rPr>
        <w:t>appropriateness</w:t>
      </w:r>
      <w:r w:rsidRPr="00166DB1">
        <w:rPr>
          <w:rFonts w:ascii="Garamond" w:eastAsia="Garamond" w:hAnsi="Garamond"/>
          <w:color w:val="000000"/>
        </w:rPr>
        <w:t xml:space="preserve"> seeks to ascertain:</w:t>
      </w:r>
    </w:p>
    <w:p w14:paraId="15204108" w14:textId="77777777" w:rsidR="00166DB1" w:rsidRPr="00166DB1" w:rsidRDefault="00166DB1" w:rsidP="00166DB1">
      <w:pPr>
        <w:spacing w:before="85" w:after="85"/>
        <w:ind w:left="284" w:right="284"/>
        <w:rPr>
          <w:rFonts w:ascii="Times New Roman" w:eastAsia="Garamond" w:hAnsi="Times New Roman"/>
          <w:i/>
          <w:iCs/>
          <w:color w:val="000000"/>
          <w:sz w:val="20"/>
          <w:lang w:val="en-US"/>
        </w:rPr>
      </w:pPr>
      <w:r w:rsidRPr="00166DB1">
        <w:rPr>
          <w:rFonts w:ascii="Times New Roman" w:eastAsia="Garamond" w:hAnsi="Times New Roman"/>
          <w:i/>
          <w:iCs/>
          <w:color w:val="000000"/>
          <w:sz w:val="20"/>
        </w:rPr>
        <w:lastRenderedPageBreak/>
        <w:t>the continued relevance and priority of program objectives in the light of current circumstances including government policy changes</w:t>
      </w:r>
      <w:r w:rsidRPr="00166DB1">
        <w:rPr>
          <w:rFonts w:ascii="Times New Roman" w:eastAsia="Garamond" w:hAnsi="Times New Roman"/>
          <w:i/>
          <w:iCs/>
          <w:color w:val="000000"/>
          <w:sz w:val="20"/>
          <w:lang w:val="en-US"/>
        </w:rPr>
        <w:t>.</w:t>
      </w:r>
      <w:sdt>
        <w:sdtPr>
          <w:rPr>
            <w:rFonts w:ascii="Times New Roman" w:eastAsia="Garamond" w:hAnsi="Times New Roman"/>
            <w:i/>
            <w:iCs/>
            <w:color w:val="000000"/>
            <w:sz w:val="20"/>
            <w:lang w:val="en-US"/>
          </w:rPr>
          <w:id w:val="2127877566"/>
          <w:citation/>
        </w:sdtPr>
        <w:sdtEndPr/>
        <w:sdtContent>
          <w:r w:rsidRPr="00166DB1">
            <w:rPr>
              <w:rFonts w:ascii="Times New Roman" w:eastAsia="Garamond" w:hAnsi="Times New Roman"/>
              <w:i/>
              <w:iCs/>
              <w:color w:val="000000"/>
              <w:sz w:val="20"/>
              <w:lang w:val="en-US"/>
            </w:rPr>
            <w:fldChar w:fldCharType="begin"/>
          </w:r>
          <w:r w:rsidRPr="00166DB1">
            <w:rPr>
              <w:rFonts w:ascii="Times New Roman" w:eastAsia="Garamond" w:hAnsi="Times New Roman"/>
              <w:i/>
              <w:iCs/>
              <w:color w:val="000000"/>
              <w:sz w:val="20"/>
            </w:rPr>
            <w:instrText xml:space="preserve"> CITATION Tun10 \l 3081 </w:instrText>
          </w:r>
          <w:r w:rsidRPr="00166DB1">
            <w:rPr>
              <w:rFonts w:ascii="Times New Roman" w:eastAsia="Garamond" w:hAnsi="Times New Roman"/>
              <w:i/>
              <w:iCs/>
              <w:color w:val="000000"/>
              <w:sz w:val="20"/>
              <w:lang w:val="en-US"/>
            </w:rPr>
            <w:fldChar w:fldCharType="separate"/>
          </w:r>
          <w:r w:rsidRPr="00166DB1">
            <w:rPr>
              <w:rFonts w:ascii="Times New Roman" w:eastAsia="Garamond" w:hAnsi="Times New Roman"/>
              <w:i/>
              <w:iCs/>
              <w:noProof/>
              <w:color w:val="000000"/>
              <w:sz w:val="20"/>
            </w:rPr>
            <w:t xml:space="preserve"> [1]</w:t>
          </w:r>
          <w:r w:rsidRPr="00166DB1">
            <w:rPr>
              <w:rFonts w:ascii="Times New Roman" w:eastAsia="Garamond" w:hAnsi="Times New Roman"/>
              <w:i/>
              <w:iCs/>
              <w:color w:val="000000"/>
              <w:sz w:val="20"/>
              <w:lang w:val="en-US"/>
            </w:rPr>
            <w:fldChar w:fldCharType="end"/>
          </w:r>
        </w:sdtContent>
      </w:sdt>
    </w:p>
    <w:p w14:paraId="116B7CB7"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 The key findings of the appropriateness of the Pharmacy Workforce Program package are presented below. </w:t>
      </w:r>
    </w:p>
    <w:tbl>
      <w:tblPr>
        <w:tblStyle w:val="KeyFindings"/>
        <w:tblW w:w="5000" w:type="pct"/>
        <w:shd w:val="clear" w:color="auto" w:fill="F2F2F2" w:themeFill="background1" w:themeFillShade="F2"/>
        <w:tblLayout w:type="fixed"/>
        <w:tblLook w:val="04A0" w:firstRow="1" w:lastRow="0" w:firstColumn="1" w:lastColumn="0" w:noHBand="0" w:noVBand="1"/>
        <w:tblCaption w:val="Summary of Key Findings - Appropriateness"/>
        <w:tblDescription w:val="Table summarising Key Findings 4 to 11"/>
      </w:tblPr>
      <w:tblGrid>
        <w:gridCol w:w="1843"/>
        <w:gridCol w:w="5201"/>
      </w:tblGrid>
      <w:tr w:rsidR="00133610" w:rsidRPr="00166DB1" w14:paraId="7CE13E8C" w14:textId="77777777" w:rsidTr="00133610">
        <w:trPr>
          <w:cnfStyle w:val="100000000000" w:firstRow="1" w:lastRow="0" w:firstColumn="0" w:lastColumn="0" w:oddVBand="0" w:evenVBand="0" w:oddHBand="0" w:evenHBand="0" w:firstRowFirstColumn="0" w:firstRowLastColumn="0" w:lastRowFirstColumn="0" w:lastRowLastColumn="0"/>
          <w:tblHeader/>
        </w:trPr>
        <w:tc>
          <w:tcPr>
            <w:tcW w:w="1843" w:type="dxa"/>
            <w:shd w:val="clear" w:color="auto" w:fill="F2F2F2" w:themeFill="background1" w:themeFillShade="F2"/>
            <w:vAlign w:val="center"/>
          </w:tcPr>
          <w:p w14:paraId="5E5B3819" w14:textId="05242F84" w:rsidR="00133610" w:rsidRPr="00166DB1" w:rsidRDefault="00133610" w:rsidP="002D261F">
            <w:pPr>
              <w:pStyle w:val="KeyFindingsTableHeading"/>
            </w:pPr>
          </w:p>
        </w:tc>
        <w:tc>
          <w:tcPr>
            <w:tcW w:w="5201" w:type="dxa"/>
            <w:shd w:val="clear" w:color="auto" w:fill="F2F2F2" w:themeFill="background1" w:themeFillShade="F2"/>
            <w:vAlign w:val="center"/>
          </w:tcPr>
          <w:p w14:paraId="639C43C8" w14:textId="583F8669" w:rsidR="00133610" w:rsidRPr="00166DB1" w:rsidRDefault="00133610" w:rsidP="002D261F">
            <w:pPr>
              <w:pStyle w:val="KeyFindingsTableHeading"/>
            </w:pPr>
            <w:r w:rsidRPr="00166DB1">
              <w:t>Summary of key findings – Appropriateness</w:t>
            </w:r>
          </w:p>
        </w:tc>
      </w:tr>
      <w:tr w:rsidR="00166DB1" w:rsidRPr="00166DB1" w14:paraId="75722BED" w14:textId="77777777" w:rsidTr="00133610">
        <w:tc>
          <w:tcPr>
            <w:tcW w:w="1843" w:type="dxa"/>
            <w:shd w:val="clear" w:color="auto" w:fill="F2F2F2" w:themeFill="background1" w:themeFillShade="F2"/>
            <w:vAlign w:val="center"/>
          </w:tcPr>
          <w:p w14:paraId="68297A77" w14:textId="4F5DABC1" w:rsidR="00166DB1" w:rsidRPr="00166DB1" w:rsidRDefault="00166DB1" w:rsidP="002D261F">
            <w:pPr>
              <w:pStyle w:val="KeyFindingsTableLeftColumn"/>
            </w:pPr>
            <w:r w:rsidRPr="00166DB1">
              <w:fldChar w:fldCharType="begin"/>
            </w:r>
            <w:r w:rsidRPr="00166DB1">
              <w:instrText xml:space="preserve"> REF _Ref490665284 \r \h </w:instrText>
            </w:r>
            <w:r w:rsidR="002D261F">
              <w:instrText xml:space="preserve"> \* MERGEFORMAT </w:instrText>
            </w:r>
            <w:r w:rsidRPr="00166DB1">
              <w:fldChar w:fldCharType="separate"/>
            </w:r>
            <w:r w:rsidRPr="00166DB1">
              <w:t>Key Finding 4:</w:t>
            </w:r>
            <w:r w:rsidRPr="00166DB1">
              <w:fldChar w:fldCharType="end"/>
            </w:r>
          </w:p>
        </w:tc>
        <w:tc>
          <w:tcPr>
            <w:tcW w:w="5201" w:type="dxa"/>
            <w:shd w:val="clear" w:color="auto" w:fill="F2F2F2" w:themeFill="background1" w:themeFillShade="F2"/>
            <w:vAlign w:val="center"/>
          </w:tcPr>
          <w:p w14:paraId="1A4C1FF1" w14:textId="5792E58D" w:rsidR="00166DB1" w:rsidRPr="00166DB1" w:rsidRDefault="00166DB1" w:rsidP="002D261F">
            <w:pPr>
              <w:pStyle w:val="KeyFindingsTableCopy"/>
            </w:pPr>
            <w:r w:rsidRPr="00166DB1">
              <w:fldChar w:fldCharType="begin"/>
            </w:r>
            <w:r w:rsidRPr="00166DB1">
              <w:instrText xml:space="preserve"> REF _Ref490665284 \h </w:instrText>
            </w:r>
            <w:r w:rsidR="002D261F">
              <w:instrText xml:space="preserve"> \* MERGEFORMAT </w:instrText>
            </w:r>
            <w:r w:rsidRPr="00166DB1">
              <w:fldChar w:fldCharType="separate"/>
            </w:r>
            <w:r w:rsidRPr="00166DB1">
              <w:t>There was an overall increase of 5.8% in the number of pharmacists from 19,188 in 2013 to 20,297 in 2015.</w:t>
            </w:r>
            <w:r w:rsidRPr="00166DB1">
              <w:fldChar w:fldCharType="end"/>
            </w:r>
          </w:p>
        </w:tc>
      </w:tr>
      <w:tr w:rsidR="00166DB1" w:rsidRPr="00166DB1" w14:paraId="32ECE84B" w14:textId="77777777" w:rsidTr="00133610">
        <w:tc>
          <w:tcPr>
            <w:tcW w:w="1843" w:type="dxa"/>
            <w:shd w:val="clear" w:color="auto" w:fill="F2F2F2" w:themeFill="background1" w:themeFillShade="F2"/>
            <w:vAlign w:val="center"/>
          </w:tcPr>
          <w:p w14:paraId="380C18F6" w14:textId="397D3547" w:rsidR="00166DB1" w:rsidRPr="00166DB1" w:rsidRDefault="00166DB1" w:rsidP="002D261F">
            <w:pPr>
              <w:pStyle w:val="KeyFindingsTableLeftColumn"/>
            </w:pPr>
            <w:r w:rsidRPr="00166DB1">
              <w:fldChar w:fldCharType="begin"/>
            </w:r>
            <w:r w:rsidRPr="00166DB1">
              <w:instrText xml:space="preserve"> REF _Ref490665326 \r \h </w:instrText>
            </w:r>
            <w:r w:rsidR="002D261F">
              <w:instrText xml:space="preserve"> \* MERGEFORMAT </w:instrText>
            </w:r>
            <w:r w:rsidRPr="00166DB1">
              <w:fldChar w:fldCharType="separate"/>
            </w:r>
            <w:r w:rsidRPr="00166DB1">
              <w:t>Key Finding 5:</w:t>
            </w:r>
            <w:r w:rsidRPr="00166DB1">
              <w:fldChar w:fldCharType="end"/>
            </w:r>
          </w:p>
        </w:tc>
        <w:tc>
          <w:tcPr>
            <w:tcW w:w="5201" w:type="dxa"/>
            <w:shd w:val="clear" w:color="auto" w:fill="F2F2F2" w:themeFill="background1" w:themeFillShade="F2"/>
            <w:vAlign w:val="center"/>
          </w:tcPr>
          <w:p w14:paraId="43266491" w14:textId="1371C395" w:rsidR="00166DB1" w:rsidRPr="00166DB1" w:rsidRDefault="00166DB1" w:rsidP="002D261F">
            <w:pPr>
              <w:pStyle w:val="KeyFindingsTableCopy"/>
            </w:pPr>
            <w:r w:rsidRPr="00166DB1">
              <w:fldChar w:fldCharType="begin"/>
            </w:r>
            <w:r w:rsidRPr="00166DB1">
              <w:instrText xml:space="preserve"> REF _Ref490665326 \h </w:instrText>
            </w:r>
            <w:r w:rsidR="002D261F">
              <w:instrText xml:space="preserve"> \* MERGEFORMAT </w:instrText>
            </w:r>
            <w:r w:rsidRPr="00166DB1">
              <w:fldChar w:fldCharType="separate"/>
            </w:r>
            <w:r w:rsidRPr="00166DB1">
              <w:t xml:space="preserve">The distribution of pharmacist FTE rates (per 100,000 population) was skewed towards metropolitan areas. The latest available data showed the following community pharmacist FTE per 100,000 people in 2015: major cities – 54.5; inner regional – 52.2; outer regional – 50.4; remote </w:t>
            </w:r>
            <w:r w:rsidRPr="00166DB1">
              <w:softHyphen/>
              <w:t xml:space="preserve"> 40.3; and very remote – 27.5.</w:t>
            </w:r>
            <w:r w:rsidRPr="00166DB1">
              <w:fldChar w:fldCharType="end"/>
            </w:r>
          </w:p>
        </w:tc>
      </w:tr>
      <w:tr w:rsidR="00166DB1" w:rsidRPr="00166DB1" w14:paraId="355BF592" w14:textId="77777777" w:rsidTr="00133610">
        <w:tc>
          <w:tcPr>
            <w:tcW w:w="1843" w:type="dxa"/>
            <w:shd w:val="clear" w:color="auto" w:fill="F2F2F2" w:themeFill="background1" w:themeFillShade="F2"/>
            <w:vAlign w:val="center"/>
          </w:tcPr>
          <w:p w14:paraId="45984203" w14:textId="0E68D5FE" w:rsidR="00166DB1" w:rsidRPr="00166DB1" w:rsidRDefault="00166DB1" w:rsidP="002D261F">
            <w:pPr>
              <w:pStyle w:val="KeyFindingsTableLeftColumn"/>
            </w:pPr>
            <w:r w:rsidRPr="00166DB1">
              <w:fldChar w:fldCharType="begin"/>
            </w:r>
            <w:r w:rsidRPr="00166DB1">
              <w:instrText xml:space="preserve"> REF _Ref490665289 \r \h </w:instrText>
            </w:r>
            <w:r w:rsidR="002D261F">
              <w:instrText xml:space="preserve"> \* MERGEFORMAT </w:instrText>
            </w:r>
            <w:r w:rsidRPr="00166DB1">
              <w:fldChar w:fldCharType="separate"/>
            </w:r>
            <w:r w:rsidRPr="00166DB1">
              <w:t>Key Finding 6:</w:t>
            </w:r>
            <w:r w:rsidRPr="00166DB1">
              <w:fldChar w:fldCharType="end"/>
            </w:r>
          </w:p>
        </w:tc>
        <w:tc>
          <w:tcPr>
            <w:tcW w:w="5201" w:type="dxa"/>
            <w:shd w:val="clear" w:color="auto" w:fill="F2F2F2" w:themeFill="background1" w:themeFillShade="F2"/>
            <w:vAlign w:val="center"/>
          </w:tcPr>
          <w:p w14:paraId="7D2952D7" w14:textId="66E620DA" w:rsidR="00166DB1" w:rsidRPr="00166DB1" w:rsidRDefault="00166DB1" w:rsidP="002D261F">
            <w:pPr>
              <w:pStyle w:val="KeyFindingsTableCopy"/>
            </w:pPr>
            <w:r w:rsidRPr="00166DB1">
              <w:fldChar w:fldCharType="begin"/>
            </w:r>
            <w:r w:rsidRPr="00166DB1">
              <w:instrText xml:space="preserve"> REF _Ref490665289 \h </w:instrText>
            </w:r>
            <w:r w:rsidR="002D261F">
              <w:instrText xml:space="preserve"> \* MERGEFORMAT </w:instrText>
            </w:r>
            <w:r w:rsidRPr="00166DB1">
              <w:fldChar w:fldCharType="separate"/>
            </w:r>
            <w:r w:rsidRPr="00166DB1">
              <w:t>Based on the ongoing inequity of the pharmacist workforce distribution, it was concluded there is a continuing need for mechanisms to promote recruitment and retention of pharmacists in non-metropolitan areas, across all pharmacist types.</w:t>
            </w:r>
            <w:r w:rsidRPr="00166DB1">
              <w:fldChar w:fldCharType="end"/>
            </w:r>
          </w:p>
        </w:tc>
      </w:tr>
      <w:tr w:rsidR="00166DB1" w:rsidRPr="00166DB1" w14:paraId="1B7D2691" w14:textId="77777777" w:rsidTr="00133610">
        <w:tc>
          <w:tcPr>
            <w:tcW w:w="1843" w:type="dxa"/>
            <w:shd w:val="clear" w:color="auto" w:fill="F2F2F2" w:themeFill="background1" w:themeFillShade="F2"/>
            <w:vAlign w:val="center"/>
          </w:tcPr>
          <w:p w14:paraId="23E8B86F" w14:textId="25873226" w:rsidR="00166DB1" w:rsidRPr="00166DB1" w:rsidRDefault="00166DB1" w:rsidP="002D261F">
            <w:pPr>
              <w:pStyle w:val="KeyFindingsTableLeftColumn"/>
            </w:pPr>
            <w:r w:rsidRPr="00166DB1">
              <w:fldChar w:fldCharType="begin"/>
            </w:r>
            <w:r w:rsidRPr="00166DB1">
              <w:instrText xml:space="preserve"> REF _Ref490665340 \r \h </w:instrText>
            </w:r>
            <w:r w:rsidR="002D261F">
              <w:instrText xml:space="preserve"> \* MERGEFORMAT </w:instrText>
            </w:r>
            <w:r w:rsidRPr="00166DB1">
              <w:fldChar w:fldCharType="separate"/>
            </w:r>
            <w:r w:rsidRPr="00166DB1">
              <w:t>Key Finding 7:</w:t>
            </w:r>
            <w:r w:rsidRPr="00166DB1">
              <w:fldChar w:fldCharType="end"/>
            </w:r>
          </w:p>
        </w:tc>
        <w:tc>
          <w:tcPr>
            <w:tcW w:w="5201" w:type="dxa"/>
            <w:shd w:val="clear" w:color="auto" w:fill="F2F2F2" w:themeFill="background1" w:themeFillShade="F2"/>
            <w:vAlign w:val="center"/>
          </w:tcPr>
          <w:p w14:paraId="31F83E5C" w14:textId="4E9BA54F" w:rsidR="00166DB1" w:rsidRPr="00166DB1" w:rsidRDefault="00166DB1" w:rsidP="002D261F">
            <w:pPr>
              <w:pStyle w:val="KeyFindingsTableCopy"/>
            </w:pPr>
            <w:r w:rsidRPr="00166DB1">
              <w:fldChar w:fldCharType="begin"/>
            </w:r>
            <w:r w:rsidRPr="00166DB1">
              <w:instrText xml:space="preserve"> REF _Ref490665340 \h </w:instrText>
            </w:r>
            <w:r w:rsidR="002D261F">
              <w:instrText xml:space="preserve"> \* MERGEFORMAT </w:instrText>
            </w:r>
            <w:r w:rsidRPr="00166DB1">
              <w:fldChar w:fldCharType="separate"/>
            </w:r>
            <w:r w:rsidRPr="00166DB1">
              <w:t>Recruitment component programs are supported by moderate to strong evidence, as students with a rural origin or who have had exposure to rural practice are more likely to take up positions in rural areas. However, most literature focused on other health workforces and did not specifically support the appropriateness of delivery mechanisms (i.e. scholarships, placements) in encouraging rural practice.</w:t>
            </w:r>
            <w:r w:rsidRPr="00166DB1">
              <w:fldChar w:fldCharType="end"/>
            </w:r>
          </w:p>
        </w:tc>
      </w:tr>
      <w:tr w:rsidR="00166DB1" w:rsidRPr="00166DB1" w14:paraId="57591A9C" w14:textId="77777777" w:rsidTr="00133610">
        <w:tc>
          <w:tcPr>
            <w:tcW w:w="1843" w:type="dxa"/>
            <w:shd w:val="clear" w:color="auto" w:fill="F2F2F2" w:themeFill="background1" w:themeFillShade="F2"/>
            <w:vAlign w:val="center"/>
          </w:tcPr>
          <w:p w14:paraId="2B3D45AB" w14:textId="4421A8CE" w:rsidR="00166DB1" w:rsidRPr="00166DB1" w:rsidRDefault="00166DB1" w:rsidP="002D261F">
            <w:pPr>
              <w:pStyle w:val="KeyFindingsTableLeftColumn"/>
            </w:pPr>
            <w:r w:rsidRPr="00166DB1">
              <w:fldChar w:fldCharType="begin"/>
            </w:r>
            <w:r w:rsidRPr="00166DB1">
              <w:instrText xml:space="preserve"> REF _Ref490665345 \r \h </w:instrText>
            </w:r>
            <w:r w:rsidR="002D261F">
              <w:instrText xml:space="preserve"> \* MERGEFORMAT </w:instrText>
            </w:r>
            <w:r w:rsidRPr="00166DB1">
              <w:fldChar w:fldCharType="separate"/>
            </w:r>
            <w:r w:rsidRPr="00166DB1">
              <w:t>Key Finding 8:</w:t>
            </w:r>
            <w:r w:rsidRPr="00166DB1">
              <w:fldChar w:fldCharType="end"/>
            </w:r>
          </w:p>
        </w:tc>
        <w:tc>
          <w:tcPr>
            <w:tcW w:w="5201" w:type="dxa"/>
            <w:shd w:val="clear" w:color="auto" w:fill="F2F2F2" w:themeFill="background1" w:themeFillShade="F2"/>
            <w:vAlign w:val="center"/>
          </w:tcPr>
          <w:p w14:paraId="68A6856A" w14:textId="5A55D042" w:rsidR="00166DB1" w:rsidRPr="00166DB1" w:rsidRDefault="00166DB1" w:rsidP="002D261F">
            <w:pPr>
              <w:pStyle w:val="KeyFindingsTableCopy"/>
            </w:pPr>
            <w:r w:rsidRPr="00166DB1">
              <w:fldChar w:fldCharType="begin"/>
            </w:r>
            <w:r w:rsidRPr="00166DB1">
              <w:instrText xml:space="preserve"> REF _Ref490665345 \h </w:instrText>
            </w:r>
            <w:r w:rsidR="002D261F">
              <w:instrText xml:space="preserve"> \* MERGEFORMAT </w:instrText>
            </w:r>
            <w:r w:rsidRPr="00166DB1">
              <w:fldChar w:fldCharType="separate"/>
            </w:r>
            <w:r w:rsidRPr="00166DB1">
              <w:t xml:space="preserve">Retention component programs are supported by moderate evidence. While the programs address key barriers experienced by pharmacists (i.e. access to interns, locums and CPE), there was limited evidence to support the </w:t>
            </w:r>
            <w:r w:rsidRPr="00166DB1">
              <w:t>mechanisms by which support was delivered (i.e. financial assistance to employ an intern).</w:t>
            </w:r>
            <w:r w:rsidRPr="00166DB1">
              <w:fldChar w:fldCharType="end"/>
            </w:r>
          </w:p>
        </w:tc>
      </w:tr>
      <w:tr w:rsidR="00166DB1" w:rsidRPr="00166DB1" w14:paraId="11767A3B" w14:textId="77777777" w:rsidTr="00133610">
        <w:tc>
          <w:tcPr>
            <w:tcW w:w="1843" w:type="dxa"/>
            <w:shd w:val="clear" w:color="auto" w:fill="F2F2F2" w:themeFill="background1" w:themeFillShade="F2"/>
            <w:vAlign w:val="center"/>
          </w:tcPr>
          <w:p w14:paraId="105EAA1E" w14:textId="2923639F" w:rsidR="00166DB1" w:rsidRPr="00166DB1" w:rsidRDefault="00166DB1" w:rsidP="002D261F">
            <w:pPr>
              <w:pStyle w:val="KeyFindingsTableLeftColumn"/>
            </w:pPr>
            <w:r w:rsidRPr="00166DB1">
              <w:fldChar w:fldCharType="begin"/>
            </w:r>
            <w:r w:rsidRPr="00166DB1">
              <w:instrText xml:space="preserve"> REF _Ref490665354 \r \h </w:instrText>
            </w:r>
            <w:r w:rsidR="002D261F">
              <w:instrText xml:space="preserve"> \* MERGEFORMAT </w:instrText>
            </w:r>
            <w:r w:rsidRPr="00166DB1">
              <w:fldChar w:fldCharType="separate"/>
            </w:r>
            <w:r w:rsidRPr="00166DB1">
              <w:t>Key Finding 9:</w:t>
            </w:r>
            <w:r w:rsidRPr="00166DB1">
              <w:fldChar w:fldCharType="end"/>
            </w:r>
          </w:p>
        </w:tc>
        <w:tc>
          <w:tcPr>
            <w:tcW w:w="5201" w:type="dxa"/>
            <w:shd w:val="clear" w:color="auto" w:fill="F2F2F2" w:themeFill="background1" w:themeFillShade="F2"/>
            <w:vAlign w:val="center"/>
          </w:tcPr>
          <w:p w14:paraId="1AB0F367" w14:textId="77777777" w:rsidR="00166DB1" w:rsidRPr="00166DB1" w:rsidRDefault="00166DB1" w:rsidP="002D261F">
            <w:pPr>
              <w:pStyle w:val="KeyFindingsTableCopy"/>
            </w:pPr>
            <w:r w:rsidRPr="00166DB1">
              <w:fldChar w:fldCharType="begin"/>
            </w:r>
            <w:r w:rsidRPr="00166DB1">
              <w:instrText xml:space="preserve"> REF _Ref490665354 \h  \* MERGEFORMAT </w:instrText>
            </w:r>
            <w:r w:rsidRPr="00166DB1">
              <w:fldChar w:fldCharType="separate"/>
            </w:r>
            <w:r w:rsidRPr="00166DB1">
              <w:t>Due to the broad aims underpinning programs providing other support to the pharmacy workforce, the appropriateness of their design is difficult to assess. No literature exists to support the design of either program. However, both programs providing other supports facilitate rural student placements, which have strong support in the literature.</w:t>
            </w:r>
            <w:r w:rsidRPr="00166DB1">
              <w:fldChar w:fldCharType="end"/>
            </w:r>
          </w:p>
        </w:tc>
      </w:tr>
      <w:tr w:rsidR="00166DB1" w:rsidRPr="00166DB1" w14:paraId="02F38148" w14:textId="77777777" w:rsidTr="00133610">
        <w:tc>
          <w:tcPr>
            <w:tcW w:w="1843" w:type="dxa"/>
            <w:shd w:val="clear" w:color="auto" w:fill="F2F2F2" w:themeFill="background1" w:themeFillShade="F2"/>
            <w:vAlign w:val="center"/>
          </w:tcPr>
          <w:p w14:paraId="093BEBAD" w14:textId="4DB196F7" w:rsidR="00166DB1" w:rsidRPr="00166DB1" w:rsidRDefault="00166DB1" w:rsidP="002D261F">
            <w:pPr>
              <w:pStyle w:val="KeyFindingsTableLeftColumn"/>
              <w:rPr>
                <w:rFonts w:eastAsia="Garamond"/>
              </w:rPr>
            </w:pPr>
            <w:r w:rsidRPr="00166DB1">
              <w:rPr>
                <w:rFonts w:eastAsia="Garamond"/>
              </w:rPr>
              <w:fldChar w:fldCharType="begin"/>
            </w:r>
            <w:r w:rsidRPr="00166DB1">
              <w:rPr>
                <w:rFonts w:eastAsia="Garamond"/>
              </w:rPr>
              <w:instrText xml:space="preserve"> REF _Ref490665362 \r \h </w:instrText>
            </w:r>
            <w:r w:rsidR="002D261F">
              <w:rPr>
                <w:rFonts w:eastAsia="Garamond"/>
              </w:rPr>
              <w:instrText xml:space="preserve"> \* MERGEFORMAT </w:instrText>
            </w:r>
            <w:r w:rsidRPr="00166DB1">
              <w:rPr>
                <w:rFonts w:eastAsia="Garamond"/>
              </w:rPr>
            </w:r>
            <w:r w:rsidRPr="00166DB1">
              <w:rPr>
                <w:rFonts w:eastAsia="Garamond"/>
              </w:rPr>
              <w:fldChar w:fldCharType="separate"/>
            </w:r>
            <w:r w:rsidRPr="00166DB1">
              <w:rPr>
                <w:rFonts w:eastAsia="Garamond"/>
              </w:rPr>
              <w:t>Key Finding 10:</w:t>
            </w:r>
            <w:r w:rsidRPr="00166DB1">
              <w:rPr>
                <w:rFonts w:eastAsia="Garamond"/>
              </w:rPr>
              <w:fldChar w:fldCharType="end"/>
            </w:r>
          </w:p>
        </w:tc>
        <w:tc>
          <w:tcPr>
            <w:tcW w:w="5201" w:type="dxa"/>
            <w:shd w:val="clear" w:color="auto" w:fill="F2F2F2" w:themeFill="background1" w:themeFillShade="F2"/>
            <w:vAlign w:val="center"/>
          </w:tcPr>
          <w:p w14:paraId="5ACCEED6" w14:textId="30F95128" w:rsidR="00166DB1" w:rsidRPr="00166DB1" w:rsidRDefault="00166DB1" w:rsidP="002D261F">
            <w:pPr>
              <w:pStyle w:val="KeyFindingsTableCopy"/>
              <w:rPr>
                <w:rFonts w:eastAsia="Garamond"/>
              </w:rPr>
            </w:pPr>
            <w:r w:rsidRPr="00166DB1">
              <w:rPr>
                <w:rFonts w:eastAsia="Garamond"/>
              </w:rPr>
              <w:fldChar w:fldCharType="begin"/>
            </w:r>
            <w:r w:rsidRPr="00166DB1">
              <w:rPr>
                <w:rFonts w:eastAsia="Garamond"/>
              </w:rPr>
              <w:instrText xml:space="preserve"> REF _Ref490665362 \h </w:instrText>
            </w:r>
            <w:r w:rsidR="002D261F">
              <w:rPr>
                <w:rFonts w:eastAsia="Garamond"/>
              </w:rPr>
              <w:instrText xml:space="preserve"> \* MERGEFORMAT </w:instrText>
            </w:r>
            <w:r w:rsidRPr="00166DB1">
              <w:rPr>
                <w:rFonts w:eastAsia="Garamond"/>
              </w:rPr>
            </w:r>
            <w:r w:rsidRPr="00166DB1">
              <w:rPr>
                <w:rFonts w:eastAsia="Garamond"/>
              </w:rPr>
              <w:fldChar w:fldCharType="separate"/>
            </w:r>
            <w:r w:rsidRPr="00166DB1">
              <w:rPr>
                <w:rFonts w:eastAsia="Garamond"/>
              </w:rPr>
              <w:t>PBS expenditure data showed that Aboriginal and Torres Strait Islander people have an ongoing need to increase their access to subsidised medicines.</w:t>
            </w:r>
            <w:r w:rsidRPr="00166DB1">
              <w:rPr>
                <w:rFonts w:eastAsia="Garamond"/>
              </w:rPr>
              <w:fldChar w:fldCharType="end"/>
            </w:r>
          </w:p>
        </w:tc>
      </w:tr>
      <w:tr w:rsidR="00166DB1" w:rsidRPr="00166DB1" w14:paraId="66122848" w14:textId="77777777" w:rsidTr="00133610">
        <w:tc>
          <w:tcPr>
            <w:tcW w:w="1843" w:type="dxa"/>
            <w:shd w:val="clear" w:color="auto" w:fill="F2F2F2" w:themeFill="background1" w:themeFillShade="F2"/>
            <w:vAlign w:val="center"/>
          </w:tcPr>
          <w:p w14:paraId="52B34C18" w14:textId="67AB33AF" w:rsidR="00166DB1" w:rsidRPr="00166DB1" w:rsidRDefault="00166DB1" w:rsidP="002D261F">
            <w:pPr>
              <w:pStyle w:val="KeyFindingsTableLeftColumn"/>
              <w:rPr>
                <w:rFonts w:eastAsia="Garamond"/>
              </w:rPr>
            </w:pPr>
            <w:r w:rsidRPr="00166DB1">
              <w:rPr>
                <w:rFonts w:eastAsia="Garamond"/>
              </w:rPr>
              <w:fldChar w:fldCharType="begin"/>
            </w:r>
            <w:r w:rsidRPr="00166DB1">
              <w:rPr>
                <w:rFonts w:eastAsia="Garamond"/>
              </w:rPr>
              <w:instrText xml:space="preserve"> REF _Ref490665369 \r \h </w:instrText>
            </w:r>
            <w:r w:rsidR="002D261F">
              <w:rPr>
                <w:rFonts w:eastAsia="Garamond"/>
              </w:rPr>
              <w:instrText xml:space="preserve"> \* MERGEFORMAT </w:instrText>
            </w:r>
            <w:r w:rsidRPr="00166DB1">
              <w:rPr>
                <w:rFonts w:eastAsia="Garamond"/>
              </w:rPr>
            </w:r>
            <w:r w:rsidRPr="00166DB1">
              <w:rPr>
                <w:rFonts w:eastAsia="Garamond"/>
              </w:rPr>
              <w:fldChar w:fldCharType="separate"/>
            </w:r>
            <w:r w:rsidRPr="00166DB1">
              <w:rPr>
                <w:rFonts w:eastAsia="Garamond"/>
              </w:rPr>
              <w:t>Key Finding 11:</w:t>
            </w:r>
            <w:r w:rsidRPr="00166DB1">
              <w:rPr>
                <w:rFonts w:eastAsia="Garamond"/>
              </w:rPr>
              <w:fldChar w:fldCharType="end"/>
            </w:r>
          </w:p>
        </w:tc>
        <w:tc>
          <w:tcPr>
            <w:tcW w:w="5201" w:type="dxa"/>
            <w:shd w:val="clear" w:color="auto" w:fill="F2F2F2" w:themeFill="background1" w:themeFillShade="F2"/>
            <w:vAlign w:val="center"/>
          </w:tcPr>
          <w:p w14:paraId="437B239D" w14:textId="2DEABDB5" w:rsidR="00166DB1" w:rsidRPr="00166DB1" w:rsidRDefault="00166DB1" w:rsidP="002D261F">
            <w:pPr>
              <w:pStyle w:val="KeyFindingsTableCopy"/>
              <w:rPr>
                <w:rFonts w:eastAsia="Garamond"/>
              </w:rPr>
            </w:pPr>
            <w:r w:rsidRPr="00166DB1">
              <w:rPr>
                <w:rFonts w:eastAsia="Garamond"/>
              </w:rPr>
              <w:fldChar w:fldCharType="begin"/>
            </w:r>
            <w:r w:rsidRPr="00166DB1">
              <w:rPr>
                <w:rFonts w:eastAsia="Garamond"/>
              </w:rPr>
              <w:instrText xml:space="preserve"> REF _Ref490676772 \h </w:instrText>
            </w:r>
            <w:r w:rsidR="002D261F">
              <w:rPr>
                <w:rFonts w:eastAsia="Garamond"/>
              </w:rPr>
              <w:instrText xml:space="preserve"> \* MERGEFORMAT </w:instrText>
            </w:r>
            <w:r w:rsidRPr="00166DB1">
              <w:rPr>
                <w:rFonts w:eastAsia="Garamond"/>
              </w:rPr>
            </w:r>
            <w:r w:rsidRPr="00166DB1">
              <w:rPr>
                <w:rFonts w:eastAsia="Garamond"/>
              </w:rPr>
              <w:fldChar w:fldCharType="separate"/>
            </w:r>
            <w:r w:rsidRPr="00166DB1">
              <w:rPr>
                <w:rFonts w:eastAsia="Garamond"/>
              </w:rPr>
              <w:t>Alternative models of service delivery, in addition to / or as an alternative, may need to be considered to maximise access to PBS medicines in rural and remote locations.</w:t>
            </w:r>
            <w:r w:rsidRPr="00166DB1">
              <w:rPr>
                <w:rFonts w:eastAsia="Garamond"/>
              </w:rPr>
              <w:fldChar w:fldCharType="end"/>
            </w:r>
          </w:p>
        </w:tc>
      </w:tr>
    </w:tbl>
    <w:p w14:paraId="61A041B9" w14:textId="77777777" w:rsidR="00166DB1" w:rsidRPr="00166DB1" w:rsidRDefault="00166DB1" w:rsidP="00B24642">
      <w:pPr>
        <w:pStyle w:val="ESHeading3"/>
        <w:rPr>
          <w:rFonts w:eastAsia="Times New Roman"/>
        </w:rPr>
      </w:pPr>
      <w:r w:rsidRPr="00166DB1">
        <w:rPr>
          <w:rFonts w:eastAsia="Times New Roman"/>
        </w:rPr>
        <w:t xml:space="preserve">Effectiveness </w:t>
      </w:r>
    </w:p>
    <w:p w14:paraId="5C0641CD"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An examination of a program’s </w:t>
      </w:r>
      <w:r w:rsidRPr="00166DB1">
        <w:rPr>
          <w:rFonts w:ascii="Garamond" w:eastAsia="Garamond" w:hAnsi="Garamond"/>
          <w:i/>
          <w:color w:val="000000"/>
        </w:rPr>
        <w:t>effectiveness</w:t>
      </w:r>
      <w:r w:rsidRPr="00166DB1">
        <w:rPr>
          <w:rFonts w:ascii="Garamond" w:eastAsia="Garamond" w:hAnsi="Garamond"/>
          <w:color w:val="000000"/>
        </w:rPr>
        <w:t xml:space="preserve"> seeks to ascertain:</w:t>
      </w:r>
    </w:p>
    <w:p w14:paraId="77174F61" w14:textId="77777777" w:rsidR="00166DB1" w:rsidRPr="00166DB1" w:rsidRDefault="00166DB1" w:rsidP="00166DB1">
      <w:pPr>
        <w:spacing w:before="85" w:after="85"/>
        <w:ind w:left="284" w:right="284"/>
        <w:rPr>
          <w:rFonts w:ascii="Times New Roman" w:eastAsia="Garamond" w:hAnsi="Times New Roman"/>
          <w:i/>
          <w:iCs/>
          <w:color w:val="000000"/>
          <w:sz w:val="20"/>
          <w:lang w:val="en-US"/>
        </w:rPr>
      </w:pPr>
      <w:r w:rsidRPr="00166DB1">
        <w:rPr>
          <w:rFonts w:ascii="Times New Roman" w:eastAsia="Garamond" w:hAnsi="Times New Roman"/>
          <w:i/>
          <w:iCs/>
          <w:color w:val="000000"/>
          <w:sz w:val="20"/>
        </w:rPr>
        <w:t>Whether program outcomes have achieved stated objectives</w:t>
      </w:r>
      <w:sdt>
        <w:sdtPr>
          <w:rPr>
            <w:rFonts w:ascii="Times New Roman" w:eastAsia="Garamond" w:hAnsi="Times New Roman"/>
            <w:i/>
            <w:iCs/>
            <w:color w:val="000000"/>
            <w:sz w:val="20"/>
          </w:rPr>
          <w:id w:val="-1342540237"/>
          <w:citation/>
        </w:sdtPr>
        <w:sdtEndPr/>
        <w:sdtContent>
          <w:r w:rsidRPr="00166DB1">
            <w:rPr>
              <w:rFonts w:ascii="Times New Roman" w:eastAsia="Garamond" w:hAnsi="Times New Roman"/>
              <w:i/>
              <w:iCs/>
              <w:color w:val="000000"/>
              <w:sz w:val="20"/>
            </w:rPr>
            <w:fldChar w:fldCharType="begin"/>
          </w:r>
          <w:r w:rsidRPr="00166DB1">
            <w:rPr>
              <w:rFonts w:ascii="Times New Roman" w:eastAsia="Garamond" w:hAnsi="Times New Roman"/>
              <w:i/>
              <w:iCs/>
              <w:color w:val="000000"/>
              <w:sz w:val="20"/>
            </w:rPr>
            <w:instrText xml:space="preserve"> CITATION Tun10 \l 3081 </w:instrText>
          </w:r>
          <w:r w:rsidRPr="00166DB1">
            <w:rPr>
              <w:rFonts w:ascii="Times New Roman" w:eastAsia="Garamond" w:hAnsi="Times New Roman"/>
              <w:i/>
              <w:iCs/>
              <w:color w:val="000000"/>
              <w:sz w:val="20"/>
            </w:rPr>
            <w:fldChar w:fldCharType="separate"/>
          </w:r>
          <w:r w:rsidRPr="00166DB1">
            <w:rPr>
              <w:rFonts w:ascii="Times New Roman" w:eastAsia="Garamond" w:hAnsi="Times New Roman"/>
              <w:i/>
              <w:iCs/>
              <w:noProof/>
              <w:color w:val="000000"/>
              <w:sz w:val="20"/>
            </w:rPr>
            <w:t xml:space="preserve"> [1]</w:t>
          </w:r>
          <w:r w:rsidRPr="00166DB1">
            <w:rPr>
              <w:rFonts w:ascii="Times New Roman" w:eastAsia="Garamond" w:hAnsi="Times New Roman"/>
              <w:i/>
              <w:iCs/>
              <w:color w:val="000000"/>
              <w:sz w:val="20"/>
            </w:rPr>
            <w:fldChar w:fldCharType="end"/>
          </w:r>
        </w:sdtContent>
      </w:sdt>
      <w:r w:rsidRPr="00166DB1">
        <w:rPr>
          <w:rFonts w:ascii="Times New Roman" w:eastAsia="Garamond" w:hAnsi="Times New Roman"/>
          <w:i/>
          <w:iCs/>
          <w:color w:val="000000"/>
          <w:sz w:val="20"/>
          <w:lang w:val="en-US"/>
        </w:rPr>
        <w:t>.</w:t>
      </w:r>
    </w:p>
    <w:p w14:paraId="544D2A62"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The key findings of the effectiveness of the Pharmacy Workforce Program package are presented below. </w:t>
      </w:r>
    </w:p>
    <w:tbl>
      <w:tblPr>
        <w:tblStyle w:val="KeyFindings"/>
        <w:tblW w:w="5000" w:type="pct"/>
        <w:shd w:val="clear" w:color="auto" w:fill="F2F2F2" w:themeFill="background1" w:themeFillShade="F2"/>
        <w:tblLayout w:type="fixed"/>
        <w:tblLook w:val="04A0" w:firstRow="1" w:lastRow="0" w:firstColumn="1" w:lastColumn="0" w:noHBand="0" w:noVBand="1"/>
        <w:tblCaption w:val="Summary of Key Findings - Effectiveness"/>
        <w:tblDescription w:val="Table summarising Key Findings 12 to 21"/>
      </w:tblPr>
      <w:tblGrid>
        <w:gridCol w:w="1843"/>
        <w:gridCol w:w="5201"/>
      </w:tblGrid>
      <w:tr w:rsidR="00133610" w:rsidRPr="00166DB1" w14:paraId="09237EB1" w14:textId="77777777" w:rsidTr="00133610">
        <w:trPr>
          <w:cnfStyle w:val="100000000000" w:firstRow="1" w:lastRow="0" w:firstColumn="0" w:lastColumn="0" w:oddVBand="0" w:evenVBand="0" w:oddHBand="0" w:evenHBand="0" w:firstRowFirstColumn="0" w:firstRowLastColumn="0" w:lastRowFirstColumn="0" w:lastRowLastColumn="0"/>
          <w:cantSplit/>
          <w:tblHeader/>
        </w:trPr>
        <w:tc>
          <w:tcPr>
            <w:tcW w:w="1843" w:type="dxa"/>
            <w:shd w:val="clear" w:color="auto" w:fill="F2F2F2" w:themeFill="background1" w:themeFillShade="F2"/>
            <w:vAlign w:val="center"/>
          </w:tcPr>
          <w:p w14:paraId="7E694A1F" w14:textId="66B494AE" w:rsidR="00133610" w:rsidRPr="00166DB1" w:rsidRDefault="00133610" w:rsidP="002D261F">
            <w:pPr>
              <w:pStyle w:val="KeyFindingsTableHeading"/>
            </w:pPr>
          </w:p>
        </w:tc>
        <w:tc>
          <w:tcPr>
            <w:tcW w:w="5201" w:type="dxa"/>
            <w:shd w:val="clear" w:color="auto" w:fill="F2F2F2" w:themeFill="background1" w:themeFillShade="F2"/>
            <w:vAlign w:val="center"/>
          </w:tcPr>
          <w:p w14:paraId="2F5FCC0B" w14:textId="38B8C907" w:rsidR="00133610" w:rsidRPr="00166DB1" w:rsidRDefault="00133610" w:rsidP="002D261F">
            <w:pPr>
              <w:pStyle w:val="KeyFindingsTableHeading"/>
            </w:pPr>
            <w:r w:rsidRPr="00166DB1">
              <w:t>Summary of key findings – effectiveness</w:t>
            </w:r>
          </w:p>
        </w:tc>
      </w:tr>
      <w:tr w:rsidR="00166DB1" w:rsidRPr="00166DB1" w14:paraId="4C0A97E7" w14:textId="77777777" w:rsidTr="00133610">
        <w:trPr>
          <w:cantSplit/>
        </w:trPr>
        <w:tc>
          <w:tcPr>
            <w:tcW w:w="1843" w:type="dxa"/>
            <w:shd w:val="clear" w:color="auto" w:fill="F2F2F2" w:themeFill="background1" w:themeFillShade="F2"/>
            <w:vAlign w:val="center"/>
          </w:tcPr>
          <w:p w14:paraId="31C004B9" w14:textId="217C8945" w:rsidR="00166DB1" w:rsidRPr="00166DB1" w:rsidRDefault="00166DB1" w:rsidP="002D261F">
            <w:pPr>
              <w:pStyle w:val="KeyFindingsTableLeftColumn"/>
            </w:pPr>
            <w:r w:rsidRPr="00166DB1">
              <w:fldChar w:fldCharType="begin"/>
            </w:r>
            <w:r w:rsidRPr="00166DB1">
              <w:instrText xml:space="preserve"> REF _Ref490676913 \r \h </w:instrText>
            </w:r>
            <w:r w:rsidR="002D261F">
              <w:instrText xml:space="preserve"> \* MERGEFORMAT </w:instrText>
            </w:r>
            <w:r w:rsidRPr="00166DB1">
              <w:fldChar w:fldCharType="separate"/>
            </w:r>
            <w:r w:rsidRPr="00166DB1">
              <w:t>Key Finding 12:</w:t>
            </w:r>
            <w:r w:rsidRPr="00166DB1">
              <w:fldChar w:fldCharType="end"/>
            </w:r>
          </w:p>
        </w:tc>
        <w:tc>
          <w:tcPr>
            <w:tcW w:w="5201" w:type="dxa"/>
            <w:shd w:val="clear" w:color="auto" w:fill="F2F2F2" w:themeFill="background1" w:themeFillShade="F2"/>
            <w:vAlign w:val="center"/>
          </w:tcPr>
          <w:p w14:paraId="2E81FE6E" w14:textId="41AADE9A" w:rsidR="00166DB1" w:rsidRPr="00166DB1" w:rsidRDefault="00166DB1" w:rsidP="002D261F">
            <w:pPr>
              <w:pStyle w:val="KeyFindingsTableCopy"/>
            </w:pPr>
            <w:r w:rsidRPr="00166DB1">
              <w:fldChar w:fldCharType="begin"/>
            </w:r>
            <w:r w:rsidRPr="00166DB1">
              <w:instrText xml:space="preserve"> REF _Ref490676913 \h </w:instrText>
            </w:r>
            <w:r w:rsidR="002D261F">
              <w:instrText xml:space="preserve"> \* MERGEFORMAT </w:instrText>
            </w:r>
            <w:r w:rsidRPr="00166DB1">
              <w:fldChar w:fldCharType="separate"/>
            </w:r>
            <w:r w:rsidRPr="00166DB1">
              <w:t>Around an extra 270 FTE of community pharmacists would be required for regional and remote areas to achieve parity with major cities.</w:t>
            </w:r>
            <w:r w:rsidRPr="00166DB1">
              <w:fldChar w:fldCharType="end"/>
            </w:r>
          </w:p>
        </w:tc>
      </w:tr>
      <w:tr w:rsidR="00166DB1" w:rsidRPr="00166DB1" w14:paraId="7691240F" w14:textId="77777777" w:rsidTr="00133610">
        <w:trPr>
          <w:cantSplit/>
        </w:trPr>
        <w:tc>
          <w:tcPr>
            <w:tcW w:w="1843" w:type="dxa"/>
            <w:shd w:val="clear" w:color="auto" w:fill="F2F2F2" w:themeFill="background1" w:themeFillShade="F2"/>
            <w:vAlign w:val="center"/>
          </w:tcPr>
          <w:p w14:paraId="4D725FDE" w14:textId="532A9F2C" w:rsidR="00166DB1" w:rsidRPr="00166DB1" w:rsidRDefault="00166DB1" w:rsidP="002D261F">
            <w:pPr>
              <w:pStyle w:val="KeyFindingsTableLeftColumn"/>
            </w:pPr>
            <w:r w:rsidRPr="00166DB1">
              <w:lastRenderedPageBreak/>
              <w:fldChar w:fldCharType="begin"/>
            </w:r>
            <w:r w:rsidRPr="00166DB1">
              <w:instrText xml:space="preserve"> REF _Ref490676918 \r \h </w:instrText>
            </w:r>
            <w:r w:rsidR="002D261F">
              <w:instrText xml:space="preserve"> \* MERGEFORMAT </w:instrText>
            </w:r>
            <w:r w:rsidRPr="00166DB1">
              <w:fldChar w:fldCharType="separate"/>
            </w:r>
            <w:r w:rsidRPr="00166DB1">
              <w:t>Key Finding 13:</w:t>
            </w:r>
            <w:r w:rsidRPr="00166DB1">
              <w:fldChar w:fldCharType="end"/>
            </w:r>
          </w:p>
        </w:tc>
        <w:tc>
          <w:tcPr>
            <w:tcW w:w="5201" w:type="dxa"/>
            <w:shd w:val="clear" w:color="auto" w:fill="F2F2F2" w:themeFill="background1" w:themeFillShade="F2"/>
            <w:vAlign w:val="center"/>
          </w:tcPr>
          <w:p w14:paraId="37D4B784" w14:textId="25294409" w:rsidR="00166DB1" w:rsidRPr="00166DB1" w:rsidRDefault="00166DB1" w:rsidP="002D261F">
            <w:pPr>
              <w:pStyle w:val="KeyFindingsTableCopy"/>
            </w:pPr>
            <w:r w:rsidRPr="00166DB1">
              <w:fldChar w:fldCharType="begin"/>
            </w:r>
            <w:r w:rsidRPr="00166DB1">
              <w:instrText xml:space="preserve"> REF _Ref490676918 \h </w:instrText>
            </w:r>
            <w:r w:rsidR="002D261F">
              <w:instrText xml:space="preserve"> \* MERGEFORMAT </w:instrText>
            </w:r>
            <w:r w:rsidRPr="00166DB1">
              <w:fldChar w:fldCharType="separate"/>
            </w:r>
            <w:r w:rsidRPr="00166DB1">
              <w:t>The workforce recruitment and retention components of the Rural Workforce Package involve approximately 21% of the community pharmacist market annually, or around 800 pharmacists.</w:t>
            </w:r>
            <w:r w:rsidRPr="00166DB1">
              <w:fldChar w:fldCharType="end"/>
            </w:r>
          </w:p>
        </w:tc>
      </w:tr>
      <w:tr w:rsidR="00166DB1" w:rsidRPr="00166DB1" w14:paraId="04BFA71C" w14:textId="77777777" w:rsidTr="00133610">
        <w:trPr>
          <w:cantSplit/>
        </w:trPr>
        <w:tc>
          <w:tcPr>
            <w:tcW w:w="1843" w:type="dxa"/>
            <w:shd w:val="clear" w:color="auto" w:fill="F2F2F2" w:themeFill="background1" w:themeFillShade="F2"/>
            <w:vAlign w:val="center"/>
          </w:tcPr>
          <w:p w14:paraId="39213CE0" w14:textId="3B23DA12" w:rsidR="00166DB1" w:rsidRPr="00166DB1" w:rsidRDefault="00166DB1" w:rsidP="002D261F">
            <w:pPr>
              <w:pStyle w:val="KeyFindingsTableLeftColumn"/>
            </w:pPr>
            <w:r w:rsidRPr="00166DB1">
              <w:fldChar w:fldCharType="begin"/>
            </w:r>
            <w:r w:rsidRPr="00166DB1">
              <w:instrText xml:space="preserve"> REF _Ref490676923 \r \h </w:instrText>
            </w:r>
            <w:r w:rsidR="002D261F">
              <w:instrText xml:space="preserve"> \* MERGEFORMAT </w:instrText>
            </w:r>
            <w:r w:rsidRPr="00166DB1">
              <w:fldChar w:fldCharType="separate"/>
            </w:r>
            <w:r w:rsidRPr="00166DB1">
              <w:t>Key Finding 14:</w:t>
            </w:r>
            <w:r w:rsidRPr="00166DB1">
              <w:fldChar w:fldCharType="end"/>
            </w:r>
          </w:p>
        </w:tc>
        <w:tc>
          <w:tcPr>
            <w:tcW w:w="5201" w:type="dxa"/>
            <w:shd w:val="clear" w:color="auto" w:fill="F2F2F2" w:themeFill="background1" w:themeFillShade="F2"/>
            <w:vAlign w:val="center"/>
          </w:tcPr>
          <w:p w14:paraId="4B2926BB" w14:textId="6971C558" w:rsidR="00166DB1" w:rsidRPr="00166DB1" w:rsidRDefault="00166DB1" w:rsidP="002D261F">
            <w:pPr>
              <w:pStyle w:val="KeyFindingsTableCopy"/>
            </w:pPr>
            <w:r w:rsidRPr="00166DB1">
              <w:fldChar w:fldCharType="begin"/>
            </w:r>
            <w:r w:rsidRPr="00166DB1">
              <w:instrText xml:space="preserve"> REF _Ref490676923 \h </w:instrText>
            </w:r>
            <w:r w:rsidR="002D261F">
              <w:instrText xml:space="preserve"> \* MERGEFORMAT </w:instrText>
            </w:r>
            <w:r w:rsidRPr="00166DB1">
              <w:fldChar w:fldCharType="separate"/>
            </w:r>
            <w:r w:rsidRPr="00166DB1">
              <w:t>The evaluation concluded that the Rural Workforce Package components under the 5CPA were largely ineffective in strengthening the rural workforce at a macro level, evidenced by the static (inner and outer regional areas) and negative (remote areas) community pharmacist FTE rates per 100,000 people between 2013 and 2015.</w:t>
            </w:r>
            <w:r w:rsidRPr="00166DB1">
              <w:fldChar w:fldCharType="end"/>
            </w:r>
          </w:p>
        </w:tc>
      </w:tr>
      <w:tr w:rsidR="00166DB1" w:rsidRPr="00166DB1" w14:paraId="0A586E6D" w14:textId="77777777" w:rsidTr="00133610">
        <w:trPr>
          <w:cantSplit/>
        </w:trPr>
        <w:tc>
          <w:tcPr>
            <w:tcW w:w="1843" w:type="dxa"/>
            <w:shd w:val="clear" w:color="auto" w:fill="F2F2F2" w:themeFill="background1" w:themeFillShade="F2"/>
            <w:vAlign w:val="center"/>
          </w:tcPr>
          <w:p w14:paraId="477A821D" w14:textId="4CACB4E2" w:rsidR="00166DB1" w:rsidRPr="00166DB1" w:rsidRDefault="00166DB1" w:rsidP="002D261F">
            <w:pPr>
              <w:pStyle w:val="KeyFindingsTableLeftColumn"/>
            </w:pPr>
            <w:r w:rsidRPr="00166DB1">
              <w:fldChar w:fldCharType="begin"/>
            </w:r>
            <w:r w:rsidRPr="00166DB1">
              <w:instrText xml:space="preserve"> REF _Ref490676929 \r \h </w:instrText>
            </w:r>
            <w:r w:rsidR="002D261F">
              <w:instrText xml:space="preserve"> \* MERGEFORMAT </w:instrText>
            </w:r>
            <w:r w:rsidRPr="00166DB1">
              <w:fldChar w:fldCharType="separate"/>
            </w:r>
            <w:r w:rsidRPr="00166DB1">
              <w:t>Key Finding 15:</w:t>
            </w:r>
            <w:r w:rsidRPr="00166DB1">
              <w:fldChar w:fldCharType="end"/>
            </w:r>
          </w:p>
        </w:tc>
        <w:tc>
          <w:tcPr>
            <w:tcW w:w="5201" w:type="dxa"/>
            <w:shd w:val="clear" w:color="auto" w:fill="F2F2F2" w:themeFill="background1" w:themeFillShade="F2"/>
            <w:vAlign w:val="center"/>
          </w:tcPr>
          <w:p w14:paraId="41DE5B11" w14:textId="18A41BDE" w:rsidR="00166DB1" w:rsidRPr="00166DB1" w:rsidRDefault="00166DB1" w:rsidP="002D261F">
            <w:pPr>
              <w:pStyle w:val="KeyFindingsTableCopy"/>
            </w:pPr>
            <w:r w:rsidRPr="00166DB1">
              <w:fldChar w:fldCharType="begin"/>
            </w:r>
            <w:r w:rsidRPr="00166DB1">
              <w:instrText xml:space="preserve"> REF _Ref490676929 \h </w:instrText>
            </w:r>
            <w:r w:rsidR="002D261F">
              <w:instrText xml:space="preserve"> \* MERGEFORMAT </w:instrText>
            </w:r>
            <w:r w:rsidRPr="00166DB1">
              <w:fldChar w:fldCharType="separate"/>
            </w:r>
            <w:r w:rsidRPr="00166DB1">
              <w:t>Workforce recruitment programs generally achieved their derived aims of supporting students and interns to undertake education, placements and training that increased their exposure to rural pharmacy practice. Some programs (i.e. the Scholarship Scheme) were found to have a tangible impact on the number of prospective new rural pharmacists. Some programs may increase intention to practise in a rural area but there is no clear evidence that the program actually increases recruitment.</w:t>
            </w:r>
            <w:r w:rsidRPr="00166DB1">
              <w:fldChar w:fldCharType="end"/>
            </w:r>
          </w:p>
        </w:tc>
      </w:tr>
      <w:tr w:rsidR="00166DB1" w:rsidRPr="00166DB1" w14:paraId="256312E9" w14:textId="77777777" w:rsidTr="00133610">
        <w:trPr>
          <w:cantSplit/>
        </w:trPr>
        <w:tc>
          <w:tcPr>
            <w:tcW w:w="1843" w:type="dxa"/>
            <w:shd w:val="clear" w:color="auto" w:fill="F2F2F2" w:themeFill="background1" w:themeFillShade="F2"/>
            <w:vAlign w:val="center"/>
          </w:tcPr>
          <w:p w14:paraId="7D90F781" w14:textId="6ACDDE5A" w:rsidR="00166DB1" w:rsidRPr="00166DB1" w:rsidRDefault="00166DB1" w:rsidP="002D261F">
            <w:pPr>
              <w:pStyle w:val="KeyFindingsTableLeftColumn"/>
            </w:pPr>
            <w:r w:rsidRPr="00166DB1">
              <w:fldChar w:fldCharType="begin"/>
            </w:r>
            <w:r w:rsidRPr="00166DB1">
              <w:instrText xml:space="preserve"> REF _Ref490676934 \r \h </w:instrText>
            </w:r>
            <w:r w:rsidR="002D261F">
              <w:instrText xml:space="preserve"> \* MERGEFORMAT </w:instrText>
            </w:r>
            <w:r w:rsidRPr="00166DB1">
              <w:fldChar w:fldCharType="separate"/>
            </w:r>
            <w:r w:rsidRPr="00166DB1">
              <w:t>Key Finding 16:</w:t>
            </w:r>
            <w:r w:rsidRPr="00166DB1">
              <w:fldChar w:fldCharType="end"/>
            </w:r>
          </w:p>
        </w:tc>
        <w:tc>
          <w:tcPr>
            <w:tcW w:w="5201" w:type="dxa"/>
            <w:shd w:val="clear" w:color="auto" w:fill="F2F2F2" w:themeFill="background1" w:themeFillShade="F2"/>
            <w:vAlign w:val="center"/>
          </w:tcPr>
          <w:p w14:paraId="3D73FAA3" w14:textId="76D80034" w:rsidR="00166DB1" w:rsidRPr="00166DB1" w:rsidRDefault="00166DB1" w:rsidP="002D261F">
            <w:pPr>
              <w:pStyle w:val="KeyFindingsTableCopy"/>
            </w:pPr>
            <w:r w:rsidRPr="00166DB1">
              <w:fldChar w:fldCharType="begin"/>
            </w:r>
            <w:r w:rsidRPr="00166DB1">
              <w:instrText xml:space="preserve"> REF _Ref490676934 \h </w:instrText>
            </w:r>
            <w:r w:rsidR="002D261F">
              <w:instrText xml:space="preserve"> \* MERGEFORMAT </w:instrText>
            </w:r>
            <w:r w:rsidRPr="00166DB1">
              <w:fldChar w:fldCharType="separate"/>
            </w:r>
            <w:r w:rsidRPr="00166DB1">
              <w:t xml:space="preserve">Retention component programs achieved their </w:t>
            </w:r>
            <w:r w:rsidRPr="00166DB1">
              <w:rPr>
                <w:i/>
              </w:rPr>
              <w:t>derived aims</w:t>
            </w:r>
            <w:r w:rsidRPr="00166DB1">
              <w:t xml:space="preserve"> of reducing financial barriers to rural practice such as access to CPE, locums and interns. All programs were highly valued by the pharmacists who accessed them. However, the extent to which these programs prevented pharmacists leaving rural practice was not measurable and could not be isolated from other drivers of greater retention.</w:t>
            </w:r>
            <w:r w:rsidRPr="00166DB1">
              <w:fldChar w:fldCharType="end"/>
            </w:r>
          </w:p>
        </w:tc>
      </w:tr>
      <w:tr w:rsidR="00166DB1" w:rsidRPr="00166DB1" w14:paraId="3CC7F83F" w14:textId="77777777" w:rsidTr="00133610">
        <w:trPr>
          <w:cantSplit/>
        </w:trPr>
        <w:tc>
          <w:tcPr>
            <w:tcW w:w="1843" w:type="dxa"/>
            <w:shd w:val="clear" w:color="auto" w:fill="F2F2F2" w:themeFill="background1" w:themeFillShade="F2"/>
            <w:vAlign w:val="center"/>
          </w:tcPr>
          <w:p w14:paraId="64D94A5C" w14:textId="578CBF1A" w:rsidR="00166DB1" w:rsidRPr="00166DB1" w:rsidRDefault="00166DB1" w:rsidP="002D261F">
            <w:pPr>
              <w:pStyle w:val="KeyFindingsTableLeftColumn"/>
            </w:pPr>
            <w:r w:rsidRPr="00166DB1">
              <w:fldChar w:fldCharType="begin"/>
            </w:r>
            <w:r w:rsidRPr="00166DB1">
              <w:instrText xml:space="preserve"> REF _Ref490676959 \r \h </w:instrText>
            </w:r>
            <w:r w:rsidR="002D261F">
              <w:instrText xml:space="preserve"> \* MERGEFORMAT </w:instrText>
            </w:r>
            <w:r w:rsidRPr="00166DB1">
              <w:fldChar w:fldCharType="separate"/>
            </w:r>
            <w:r w:rsidRPr="00166DB1">
              <w:t>Key Finding 17:</w:t>
            </w:r>
            <w:r w:rsidRPr="00166DB1">
              <w:fldChar w:fldCharType="end"/>
            </w:r>
          </w:p>
        </w:tc>
        <w:tc>
          <w:tcPr>
            <w:tcW w:w="5201" w:type="dxa"/>
            <w:shd w:val="clear" w:color="auto" w:fill="F2F2F2" w:themeFill="background1" w:themeFillShade="F2"/>
            <w:vAlign w:val="center"/>
          </w:tcPr>
          <w:p w14:paraId="7F06A3D4" w14:textId="4D8C3E28" w:rsidR="00166DB1" w:rsidRPr="00166DB1" w:rsidRDefault="00166DB1" w:rsidP="002D261F">
            <w:pPr>
              <w:pStyle w:val="KeyFindingsTableCopy"/>
            </w:pPr>
            <w:r w:rsidRPr="00166DB1">
              <w:fldChar w:fldCharType="begin"/>
            </w:r>
            <w:r w:rsidRPr="00166DB1">
              <w:instrText xml:space="preserve"> REF _Ref490676959 \h </w:instrText>
            </w:r>
            <w:r w:rsidR="002D261F">
              <w:instrText xml:space="preserve"> \* MERGEFORMAT </w:instrText>
            </w:r>
            <w:r w:rsidRPr="00166DB1">
              <w:fldChar w:fldCharType="separate"/>
            </w:r>
            <w:r w:rsidRPr="00166DB1">
              <w:t xml:space="preserve">Other support component programs generally achieved their </w:t>
            </w:r>
            <w:r w:rsidRPr="00166DB1">
              <w:rPr>
                <w:i/>
              </w:rPr>
              <w:t>derived aims</w:t>
            </w:r>
            <w:r w:rsidRPr="00166DB1">
              <w:t>. However, these aims remain broad and self-fulfilling. A majority of stakeholders involved in the delivery of the programs stated that the support programs were vital to supporting recruitment activities.</w:t>
            </w:r>
            <w:r w:rsidRPr="00166DB1">
              <w:fldChar w:fldCharType="end"/>
            </w:r>
          </w:p>
        </w:tc>
      </w:tr>
      <w:tr w:rsidR="00166DB1" w:rsidRPr="00166DB1" w14:paraId="730921BA" w14:textId="77777777" w:rsidTr="00133610">
        <w:trPr>
          <w:cantSplit/>
        </w:trPr>
        <w:tc>
          <w:tcPr>
            <w:tcW w:w="1843" w:type="dxa"/>
            <w:shd w:val="clear" w:color="auto" w:fill="F2F2F2" w:themeFill="background1" w:themeFillShade="F2"/>
            <w:vAlign w:val="center"/>
          </w:tcPr>
          <w:p w14:paraId="5E8B6905" w14:textId="18396C16" w:rsidR="00166DB1" w:rsidRPr="00166DB1" w:rsidRDefault="00166DB1" w:rsidP="002D261F">
            <w:pPr>
              <w:pStyle w:val="KeyFindingsTableLeftColumn"/>
            </w:pPr>
            <w:r w:rsidRPr="00166DB1">
              <w:fldChar w:fldCharType="begin"/>
            </w:r>
            <w:r w:rsidRPr="00166DB1">
              <w:instrText xml:space="preserve"> REF _Ref490676965 \r \h </w:instrText>
            </w:r>
            <w:r w:rsidR="002D261F">
              <w:instrText xml:space="preserve"> \* MERGEFORMAT </w:instrText>
            </w:r>
            <w:r w:rsidRPr="00166DB1">
              <w:fldChar w:fldCharType="separate"/>
            </w:r>
            <w:r w:rsidRPr="00166DB1">
              <w:t>Key Finding 18:</w:t>
            </w:r>
            <w:r w:rsidRPr="00166DB1">
              <w:fldChar w:fldCharType="end"/>
            </w:r>
          </w:p>
        </w:tc>
        <w:tc>
          <w:tcPr>
            <w:tcW w:w="5201" w:type="dxa"/>
            <w:shd w:val="clear" w:color="auto" w:fill="F2F2F2" w:themeFill="background1" w:themeFillShade="F2"/>
            <w:vAlign w:val="center"/>
          </w:tcPr>
          <w:p w14:paraId="2548C061" w14:textId="6DF43C84" w:rsidR="00166DB1" w:rsidRPr="00166DB1" w:rsidRDefault="00166DB1" w:rsidP="002D261F">
            <w:pPr>
              <w:pStyle w:val="KeyFindingsTableCopy"/>
            </w:pPr>
            <w:r w:rsidRPr="00166DB1">
              <w:fldChar w:fldCharType="begin"/>
            </w:r>
            <w:r w:rsidRPr="00166DB1">
              <w:instrText xml:space="preserve"> REF _Ref490676965 \h </w:instrText>
            </w:r>
            <w:r w:rsidR="002D261F">
              <w:instrText xml:space="preserve"> \* MERGEFORMAT </w:instrText>
            </w:r>
            <w:r w:rsidRPr="00166DB1">
              <w:fldChar w:fldCharType="separate"/>
            </w:r>
            <w:r w:rsidRPr="00166DB1">
              <w:t>Despite the overall growth in the number of Aboriginal and Torres Strait Islander pharmacists, the FTE rate per 100,000 Aboriginal and Torres Strait Islander population remained low, supporting a position that there is an ongoing need to have recruitment programs for Aboriginal and Torres Islander pharmacy workforce.</w:t>
            </w:r>
            <w:r w:rsidRPr="00166DB1">
              <w:fldChar w:fldCharType="end"/>
            </w:r>
          </w:p>
        </w:tc>
      </w:tr>
      <w:tr w:rsidR="00166DB1" w:rsidRPr="00166DB1" w14:paraId="56E0E757" w14:textId="77777777" w:rsidTr="00133610">
        <w:trPr>
          <w:cantSplit/>
        </w:trPr>
        <w:tc>
          <w:tcPr>
            <w:tcW w:w="1843" w:type="dxa"/>
            <w:shd w:val="clear" w:color="auto" w:fill="F2F2F2" w:themeFill="background1" w:themeFillShade="F2"/>
            <w:vAlign w:val="center"/>
          </w:tcPr>
          <w:p w14:paraId="405FCA44" w14:textId="4DC27A74" w:rsidR="00166DB1" w:rsidRPr="00166DB1" w:rsidRDefault="00166DB1" w:rsidP="002D261F">
            <w:pPr>
              <w:pStyle w:val="KeyFindingsTableLeftColumn"/>
            </w:pPr>
            <w:r w:rsidRPr="00166DB1">
              <w:fldChar w:fldCharType="begin"/>
            </w:r>
            <w:r w:rsidRPr="00166DB1">
              <w:instrText xml:space="preserve"> REF _Ref490676970 \r \h </w:instrText>
            </w:r>
            <w:r w:rsidR="002D261F">
              <w:instrText xml:space="preserve"> \* MERGEFORMAT </w:instrText>
            </w:r>
            <w:r w:rsidRPr="00166DB1">
              <w:fldChar w:fldCharType="separate"/>
            </w:r>
            <w:r w:rsidRPr="00166DB1">
              <w:t>Key Finding 19:</w:t>
            </w:r>
            <w:r w:rsidRPr="00166DB1">
              <w:fldChar w:fldCharType="end"/>
            </w:r>
          </w:p>
        </w:tc>
        <w:tc>
          <w:tcPr>
            <w:tcW w:w="5201" w:type="dxa"/>
            <w:shd w:val="clear" w:color="auto" w:fill="F2F2F2" w:themeFill="background1" w:themeFillShade="F2"/>
            <w:vAlign w:val="center"/>
          </w:tcPr>
          <w:p w14:paraId="35DF698C" w14:textId="38E0A090" w:rsidR="00166DB1" w:rsidRPr="00166DB1" w:rsidRDefault="00166DB1" w:rsidP="002D261F">
            <w:pPr>
              <w:pStyle w:val="KeyFindingsTableCopy"/>
            </w:pPr>
            <w:r w:rsidRPr="00166DB1">
              <w:fldChar w:fldCharType="begin"/>
            </w:r>
            <w:r w:rsidRPr="00166DB1">
              <w:instrText xml:space="preserve"> REF _Ref490676970 \h </w:instrText>
            </w:r>
            <w:r w:rsidR="002D261F">
              <w:instrText xml:space="preserve"> \* MERGEFORMAT </w:instrText>
            </w:r>
            <w:r w:rsidRPr="00166DB1">
              <w:fldChar w:fldCharType="separate"/>
            </w:r>
            <w:r w:rsidRPr="00166DB1">
              <w:t>Distribution of the Aboriginal and Torres Strait Islander pharmacy workforce is skewed towards major cities and remote areas.</w:t>
            </w:r>
            <w:r w:rsidRPr="00166DB1">
              <w:fldChar w:fldCharType="end"/>
            </w:r>
          </w:p>
        </w:tc>
      </w:tr>
      <w:tr w:rsidR="00166DB1" w:rsidRPr="00166DB1" w14:paraId="5626326B" w14:textId="77777777" w:rsidTr="00133610">
        <w:trPr>
          <w:cantSplit/>
        </w:trPr>
        <w:tc>
          <w:tcPr>
            <w:tcW w:w="1843" w:type="dxa"/>
            <w:shd w:val="clear" w:color="auto" w:fill="F2F2F2" w:themeFill="background1" w:themeFillShade="F2"/>
            <w:vAlign w:val="center"/>
          </w:tcPr>
          <w:p w14:paraId="0D17D963" w14:textId="1C7C87C9" w:rsidR="00166DB1" w:rsidRPr="00166DB1" w:rsidRDefault="00166DB1" w:rsidP="002D261F">
            <w:pPr>
              <w:pStyle w:val="KeyFindingsTableLeftColumn"/>
            </w:pPr>
            <w:r w:rsidRPr="00166DB1">
              <w:fldChar w:fldCharType="begin"/>
            </w:r>
            <w:r w:rsidRPr="00166DB1">
              <w:instrText xml:space="preserve"> REF _Ref490676974 \r \h </w:instrText>
            </w:r>
            <w:r w:rsidR="002D261F">
              <w:instrText xml:space="preserve"> \* MERGEFORMAT </w:instrText>
            </w:r>
            <w:r w:rsidRPr="00166DB1">
              <w:fldChar w:fldCharType="separate"/>
            </w:r>
            <w:r w:rsidRPr="00166DB1">
              <w:t>Key Finding 20:</w:t>
            </w:r>
            <w:r w:rsidRPr="00166DB1">
              <w:fldChar w:fldCharType="end"/>
            </w:r>
          </w:p>
        </w:tc>
        <w:tc>
          <w:tcPr>
            <w:tcW w:w="5201" w:type="dxa"/>
            <w:shd w:val="clear" w:color="auto" w:fill="F2F2F2" w:themeFill="background1" w:themeFillShade="F2"/>
            <w:vAlign w:val="center"/>
          </w:tcPr>
          <w:p w14:paraId="66FB6A34" w14:textId="7071EAD4" w:rsidR="00166DB1" w:rsidRPr="00166DB1" w:rsidRDefault="00166DB1" w:rsidP="002D261F">
            <w:pPr>
              <w:pStyle w:val="KeyFindingsTableCopy"/>
            </w:pPr>
            <w:r w:rsidRPr="00166DB1">
              <w:fldChar w:fldCharType="begin"/>
            </w:r>
            <w:r w:rsidRPr="00166DB1">
              <w:instrText xml:space="preserve"> REF _Ref490676974 \h </w:instrText>
            </w:r>
            <w:r w:rsidR="002D261F">
              <w:instrText xml:space="preserve"> \* MERGEFORMAT </w:instrText>
            </w:r>
            <w:r w:rsidRPr="00166DB1">
              <w:fldChar w:fldCharType="separate"/>
            </w:r>
            <w:r w:rsidRPr="00166DB1">
              <w:t>Programs under the component addressing the availability of culturally appropriate services for Aboriginal and Torres Strait Islander people contributed to their aim of increasing the Aboriginal and Torres Strait Islander pharmacy workforce. However, it is unclear whether an increase in Aboriginal and Torres Strait Islander representation in pharmacy workforce will effectively enhance the availability of culturally appropriate services for Aboriginal and Torres Strait Islander communities.</w:t>
            </w:r>
            <w:r w:rsidRPr="00166DB1">
              <w:fldChar w:fldCharType="end"/>
            </w:r>
          </w:p>
        </w:tc>
      </w:tr>
      <w:tr w:rsidR="00166DB1" w:rsidRPr="00166DB1" w14:paraId="05CFF4E3" w14:textId="77777777" w:rsidTr="00133610">
        <w:trPr>
          <w:cantSplit/>
        </w:trPr>
        <w:tc>
          <w:tcPr>
            <w:tcW w:w="1843" w:type="dxa"/>
            <w:shd w:val="clear" w:color="auto" w:fill="F2F2F2" w:themeFill="background1" w:themeFillShade="F2"/>
            <w:vAlign w:val="center"/>
          </w:tcPr>
          <w:p w14:paraId="1269116F" w14:textId="5D4ACBC9" w:rsidR="00166DB1" w:rsidRPr="00166DB1" w:rsidRDefault="00166DB1" w:rsidP="002D261F">
            <w:pPr>
              <w:pStyle w:val="KeyFindingsTableLeftColumn"/>
            </w:pPr>
            <w:r w:rsidRPr="00166DB1">
              <w:lastRenderedPageBreak/>
              <w:fldChar w:fldCharType="begin"/>
            </w:r>
            <w:r w:rsidRPr="00166DB1">
              <w:instrText xml:space="preserve"> REF _Ref490676981 \r \h </w:instrText>
            </w:r>
            <w:r w:rsidR="002D261F">
              <w:instrText xml:space="preserve"> \* MERGEFORMAT </w:instrText>
            </w:r>
            <w:r w:rsidRPr="00166DB1">
              <w:fldChar w:fldCharType="separate"/>
            </w:r>
            <w:r w:rsidRPr="00166DB1">
              <w:t>Key Finding 21:</w:t>
            </w:r>
            <w:r w:rsidRPr="00166DB1">
              <w:fldChar w:fldCharType="end"/>
            </w:r>
          </w:p>
        </w:tc>
        <w:tc>
          <w:tcPr>
            <w:tcW w:w="5201" w:type="dxa"/>
            <w:shd w:val="clear" w:color="auto" w:fill="F2F2F2" w:themeFill="background1" w:themeFillShade="F2"/>
            <w:vAlign w:val="center"/>
          </w:tcPr>
          <w:p w14:paraId="63CE8BA4" w14:textId="1978D921" w:rsidR="00166DB1" w:rsidRPr="00166DB1" w:rsidRDefault="00166DB1" w:rsidP="002D261F">
            <w:pPr>
              <w:pStyle w:val="KeyFindingsTableCopy"/>
            </w:pPr>
            <w:r w:rsidRPr="00166DB1">
              <w:fldChar w:fldCharType="begin"/>
            </w:r>
            <w:r w:rsidRPr="00166DB1">
              <w:instrText xml:space="preserve"> REF _Ref490676981 \h </w:instrText>
            </w:r>
            <w:r w:rsidR="002D261F">
              <w:instrText xml:space="preserve"> \* MERGEFORMAT </w:instrText>
            </w:r>
            <w:r w:rsidRPr="00166DB1">
              <w:fldChar w:fldCharType="separate"/>
            </w:r>
            <w:r w:rsidRPr="00166DB1">
              <w:t>Wholesale changes to the Pharmacy Programs should be approached with caution. Although we found that the programs did not have any observable impact on strengthening the rural and remote pharmacy workforce levels, based on the available 2013–2015 data, there are other factors that must be considered in forming decisions about the future of the programs: the impacts of the current programs and their value to current and prospective recipients. An increase in the value of the grants could increase the incentives to take up the grants and promote larger shifts in the workforce into rural and remote areas.</w:t>
            </w:r>
            <w:r w:rsidRPr="00166DB1">
              <w:fldChar w:fldCharType="end"/>
            </w:r>
          </w:p>
        </w:tc>
      </w:tr>
    </w:tbl>
    <w:p w14:paraId="15F267EF" w14:textId="77777777" w:rsidR="00166DB1" w:rsidRPr="00166DB1" w:rsidRDefault="00166DB1" w:rsidP="00B24642">
      <w:pPr>
        <w:pStyle w:val="ESHeading3"/>
        <w:rPr>
          <w:rFonts w:eastAsia="Times New Roman"/>
        </w:rPr>
      </w:pPr>
      <w:r w:rsidRPr="00166DB1">
        <w:rPr>
          <w:rFonts w:eastAsia="Times New Roman"/>
        </w:rPr>
        <w:t>Efficiency</w:t>
      </w:r>
    </w:p>
    <w:p w14:paraId="0F89E989" w14:textId="77777777" w:rsidR="00166DB1" w:rsidRPr="00166DB1" w:rsidRDefault="00166DB1" w:rsidP="00D65552">
      <w:pPr>
        <w:keepNext/>
        <w:spacing w:before="85" w:after="85"/>
        <w:rPr>
          <w:rFonts w:ascii="Garamond" w:eastAsia="Garamond" w:hAnsi="Garamond"/>
          <w:color w:val="000000"/>
        </w:rPr>
      </w:pPr>
      <w:r w:rsidRPr="00166DB1">
        <w:rPr>
          <w:rFonts w:ascii="Garamond" w:eastAsia="Garamond" w:hAnsi="Garamond"/>
          <w:color w:val="000000"/>
        </w:rPr>
        <w:t xml:space="preserve">An examination of a program’s </w:t>
      </w:r>
      <w:r w:rsidRPr="00166DB1">
        <w:rPr>
          <w:rFonts w:ascii="Garamond" w:eastAsia="Garamond" w:hAnsi="Garamond"/>
          <w:i/>
          <w:color w:val="000000"/>
        </w:rPr>
        <w:t>efficiency</w:t>
      </w:r>
      <w:r w:rsidRPr="00166DB1">
        <w:rPr>
          <w:rFonts w:ascii="Garamond" w:eastAsia="Garamond" w:hAnsi="Garamond"/>
          <w:color w:val="000000"/>
        </w:rPr>
        <w:t xml:space="preserve"> seeks to ascertain:</w:t>
      </w:r>
    </w:p>
    <w:p w14:paraId="38D0D89A" w14:textId="77777777" w:rsidR="00166DB1" w:rsidRPr="00166DB1" w:rsidRDefault="00166DB1" w:rsidP="00166DB1">
      <w:pPr>
        <w:spacing w:before="85" w:after="85"/>
        <w:ind w:left="284" w:right="284"/>
        <w:rPr>
          <w:rFonts w:ascii="Times New Roman" w:eastAsia="Garamond" w:hAnsi="Times New Roman"/>
          <w:i/>
          <w:iCs/>
          <w:color w:val="000000"/>
          <w:sz w:val="20"/>
          <w:lang w:val="en-US"/>
        </w:rPr>
      </w:pPr>
      <w:r w:rsidRPr="00166DB1">
        <w:rPr>
          <w:rFonts w:ascii="Times New Roman" w:eastAsia="Garamond" w:hAnsi="Times New Roman"/>
          <w:i/>
          <w:iCs/>
          <w:color w:val="000000"/>
          <w:sz w:val="20"/>
        </w:rPr>
        <w:t>whether there are better ways of achieving these objectives</w:t>
      </w:r>
      <w:sdt>
        <w:sdtPr>
          <w:rPr>
            <w:rFonts w:ascii="Times New Roman" w:eastAsia="Garamond" w:hAnsi="Times New Roman"/>
            <w:i/>
            <w:iCs/>
            <w:color w:val="000000"/>
            <w:sz w:val="20"/>
          </w:rPr>
          <w:id w:val="11431434"/>
          <w:citation/>
        </w:sdtPr>
        <w:sdtEndPr/>
        <w:sdtContent>
          <w:r w:rsidRPr="00166DB1">
            <w:rPr>
              <w:rFonts w:ascii="Times New Roman" w:eastAsia="Garamond" w:hAnsi="Times New Roman"/>
              <w:i/>
              <w:iCs/>
              <w:color w:val="000000"/>
              <w:sz w:val="20"/>
            </w:rPr>
            <w:fldChar w:fldCharType="begin"/>
          </w:r>
          <w:r w:rsidRPr="00166DB1">
            <w:rPr>
              <w:rFonts w:ascii="Times New Roman" w:eastAsia="Garamond" w:hAnsi="Times New Roman"/>
              <w:i/>
              <w:iCs/>
              <w:color w:val="000000"/>
              <w:sz w:val="20"/>
            </w:rPr>
            <w:instrText xml:space="preserve"> CITATION Tun10 \l 3081 </w:instrText>
          </w:r>
          <w:r w:rsidRPr="00166DB1">
            <w:rPr>
              <w:rFonts w:ascii="Times New Roman" w:eastAsia="Garamond" w:hAnsi="Times New Roman"/>
              <w:i/>
              <w:iCs/>
              <w:color w:val="000000"/>
              <w:sz w:val="20"/>
            </w:rPr>
            <w:fldChar w:fldCharType="separate"/>
          </w:r>
          <w:r w:rsidRPr="00166DB1">
            <w:rPr>
              <w:rFonts w:ascii="Times New Roman" w:eastAsia="Garamond" w:hAnsi="Times New Roman"/>
              <w:i/>
              <w:iCs/>
              <w:noProof/>
              <w:color w:val="000000"/>
              <w:sz w:val="20"/>
            </w:rPr>
            <w:t xml:space="preserve"> [1]</w:t>
          </w:r>
          <w:r w:rsidRPr="00166DB1">
            <w:rPr>
              <w:rFonts w:ascii="Times New Roman" w:eastAsia="Garamond" w:hAnsi="Times New Roman"/>
              <w:i/>
              <w:iCs/>
              <w:color w:val="000000"/>
              <w:sz w:val="20"/>
            </w:rPr>
            <w:fldChar w:fldCharType="end"/>
          </w:r>
        </w:sdtContent>
      </w:sdt>
      <w:r w:rsidRPr="00166DB1">
        <w:rPr>
          <w:rFonts w:ascii="Times New Roman" w:eastAsia="Garamond" w:hAnsi="Times New Roman"/>
          <w:i/>
          <w:iCs/>
          <w:color w:val="000000"/>
          <w:sz w:val="20"/>
        </w:rPr>
        <w:t>, including consideration of expenditure and cost per output, project governance arrangements, and implementation processes</w:t>
      </w:r>
      <w:r w:rsidRPr="00166DB1">
        <w:rPr>
          <w:rFonts w:ascii="Times New Roman" w:eastAsia="Garamond" w:hAnsi="Times New Roman"/>
          <w:i/>
          <w:iCs/>
          <w:color w:val="000000"/>
          <w:sz w:val="20"/>
          <w:lang w:val="en-US"/>
        </w:rPr>
        <w:t>.</w:t>
      </w:r>
      <w:sdt>
        <w:sdtPr>
          <w:rPr>
            <w:rFonts w:ascii="Times New Roman" w:eastAsia="Garamond" w:hAnsi="Times New Roman"/>
            <w:i/>
            <w:iCs/>
            <w:color w:val="000000"/>
            <w:sz w:val="20"/>
            <w:lang w:val="en-US"/>
          </w:rPr>
          <w:id w:val="-728687045"/>
          <w:citation/>
        </w:sdtPr>
        <w:sdtEndPr/>
        <w:sdtContent>
          <w:r w:rsidRPr="00166DB1">
            <w:rPr>
              <w:rFonts w:ascii="Times New Roman" w:eastAsia="Garamond" w:hAnsi="Times New Roman"/>
              <w:i/>
              <w:iCs/>
              <w:color w:val="000000"/>
              <w:sz w:val="20"/>
              <w:lang w:val="en-US"/>
            </w:rPr>
            <w:fldChar w:fldCharType="begin"/>
          </w:r>
          <w:r w:rsidRPr="00166DB1">
            <w:rPr>
              <w:rFonts w:ascii="Times New Roman" w:eastAsia="Garamond" w:hAnsi="Times New Roman"/>
              <w:i/>
              <w:iCs/>
              <w:color w:val="000000"/>
              <w:sz w:val="20"/>
            </w:rPr>
            <w:instrText xml:space="preserve">CITATION Hea \l 3081 </w:instrText>
          </w:r>
          <w:r w:rsidRPr="00166DB1">
            <w:rPr>
              <w:rFonts w:ascii="Times New Roman" w:eastAsia="Garamond" w:hAnsi="Times New Roman"/>
              <w:i/>
              <w:iCs/>
              <w:color w:val="000000"/>
              <w:sz w:val="20"/>
              <w:lang w:val="en-US"/>
            </w:rPr>
            <w:fldChar w:fldCharType="separate"/>
          </w:r>
          <w:r w:rsidRPr="00166DB1">
            <w:rPr>
              <w:rFonts w:ascii="Times New Roman" w:eastAsia="Garamond" w:hAnsi="Times New Roman"/>
              <w:i/>
              <w:iCs/>
              <w:noProof/>
              <w:color w:val="000000"/>
              <w:sz w:val="20"/>
            </w:rPr>
            <w:t xml:space="preserve"> [2]</w:t>
          </w:r>
          <w:r w:rsidRPr="00166DB1">
            <w:rPr>
              <w:rFonts w:ascii="Times New Roman" w:eastAsia="Garamond" w:hAnsi="Times New Roman"/>
              <w:i/>
              <w:iCs/>
              <w:color w:val="000000"/>
              <w:sz w:val="20"/>
              <w:lang w:val="en-US"/>
            </w:rPr>
            <w:fldChar w:fldCharType="end"/>
          </w:r>
        </w:sdtContent>
      </w:sdt>
    </w:p>
    <w:p w14:paraId="3F126FC0"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The key findings of the effectiveness of the Pharmacy Workforce Program package are presented below.</w:t>
      </w:r>
    </w:p>
    <w:tbl>
      <w:tblPr>
        <w:tblStyle w:val="KeyFindings"/>
        <w:tblW w:w="5000" w:type="pct"/>
        <w:shd w:val="clear" w:color="auto" w:fill="F2F2F2" w:themeFill="background1" w:themeFillShade="F2"/>
        <w:tblLayout w:type="fixed"/>
        <w:tblLook w:val="04A0" w:firstRow="1" w:lastRow="0" w:firstColumn="1" w:lastColumn="0" w:noHBand="0" w:noVBand="1"/>
        <w:tblCaption w:val="Summary of Key Findings - Efficiency"/>
        <w:tblDescription w:val="Table summarising Key Findings 22 to 28"/>
      </w:tblPr>
      <w:tblGrid>
        <w:gridCol w:w="1843"/>
        <w:gridCol w:w="5201"/>
      </w:tblGrid>
      <w:tr w:rsidR="00133610" w:rsidRPr="00166DB1" w14:paraId="18F7E027" w14:textId="77777777" w:rsidTr="00133610">
        <w:trPr>
          <w:cnfStyle w:val="100000000000" w:firstRow="1" w:lastRow="0" w:firstColumn="0" w:lastColumn="0" w:oddVBand="0" w:evenVBand="0" w:oddHBand="0" w:evenHBand="0" w:firstRowFirstColumn="0" w:firstRowLastColumn="0" w:lastRowFirstColumn="0" w:lastRowLastColumn="0"/>
          <w:cantSplit/>
          <w:tblHeader/>
        </w:trPr>
        <w:tc>
          <w:tcPr>
            <w:tcW w:w="1843" w:type="dxa"/>
            <w:shd w:val="clear" w:color="auto" w:fill="F2F2F2" w:themeFill="background1" w:themeFillShade="F2"/>
            <w:vAlign w:val="center"/>
          </w:tcPr>
          <w:p w14:paraId="06A7AB3C" w14:textId="33FF9AC6" w:rsidR="00133610" w:rsidRPr="00166DB1" w:rsidRDefault="00133610" w:rsidP="002D261F">
            <w:pPr>
              <w:pStyle w:val="KeyFindingsTableHeading"/>
            </w:pPr>
          </w:p>
        </w:tc>
        <w:tc>
          <w:tcPr>
            <w:tcW w:w="5201" w:type="dxa"/>
            <w:shd w:val="clear" w:color="auto" w:fill="F2F2F2" w:themeFill="background1" w:themeFillShade="F2"/>
            <w:vAlign w:val="center"/>
          </w:tcPr>
          <w:p w14:paraId="4155F07E" w14:textId="6FE160EA" w:rsidR="00133610" w:rsidRPr="00166DB1" w:rsidRDefault="00133610" w:rsidP="002D261F">
            <w:pPr>
              <w:pStyle w:val="KeyFindingsTableHeading"/>
            </w:pPr>
            <w:r w:rsidRPr="00166DB1">
              <w:t>Summary of key findings – Efficiency</w:t>
            </w:r>
          </w:p>
        </w:tc>
      </w:tr>
      <w:tr w:rsidR="00166DB1" w:rsidRPr="00166DB1" w14:paraId="18E28EA5" w14:textId="77777777" w:rsidTr="00133610">
        <w:trPr>
          <w:cantSplit/>
        </w:trPr>
        <w:tc>
          <w:tcPr>
            <w:tcW w:w="1843" w:type="dxa"/>
            <w:shd w:val="clear" w:color="auto" w:fill="F2F2F2" w:themeFill="background1" w:themeFillShade="F2"/>
            <w:vAlign w:val="center"/>
          </w:tcPr>
          <w:p w14:paraId="785EEB7E" w14:textId="4C2E8B2C" w:rsidR="00166DB1" w:rsidRPr="00166DB1" w:rsidRDefault="00166DB1" w:rsidP="002D261F">
            <w:pPr>
              <w:pStyle w:val="KeyFindingsTableLeftColumn"/>
            </w:pPr>
            <w:r w:rsidRPr="00166DB1">
              <w:fldChar w:fldCharType="begin"/>
            </w:r>
            <w:r w:rsidRPr="00166DB1">
              <w:instrText xml:space="preserve"> REF _Ref492992955 \r \h </w:instrText>
            </w:r>
            <w:r w:rsidR="002D261F">
              <w:instrText xml:space="preserve"> \* MERGEFORMAT </w:instrText>
            </w:r>
            <w:r w:rsidRPr="00166DB1">
              <w:fldChar w:fldCharType="separate"/>
            </w:r>
            <w:r w:rsidRPr="00166DB1">
              <w:t>Key Finding 22:</w:t>
            </w:r>
            <w:r w:rsidRPr="00166DB1">
              <w:fldChar w:fldCharType="end"/>
            </w:r>
          </w:p>
        </w:tc>
        <w:tc>
          <w:tcPr>
            <w:tcW w:w="5201" w:type="dxa"/>
            <w:shd w:val="clear" w:color="auto" w:fill="F2F2F2" w:themeFill="background1" w:themeFillShade="F2"/>
            <w:vAlign w:val="center"/>
          </w:tcPr>
          <w:p w14:paraId="6C7D2ADF" w14:textId="309DFC10" w:rsidR="00166DB1" w:rsidRPr="00166DB1" w:rsidRDefault="00166DB1" w:rsidP="002D261F">
            <w:pPr>
              <w:pStyle w:val="KeyFindingsTableCopy"/>
            </w:pPr>
            <w:r w:rsidRPr="00166DB1">
              <w:fldChar w:fldCharType="begin"/>
            </w:r>
            <w:r w:rsidRPr="00166DB1">
              <w:instrText xml:space="preserve"> REF _Ref492992955 \h </w:instrText>
            </w:r>
            <w:r w:rsidR="002D261F">
              <w:instrText xml:space="preserve"> \* MERGEFORMAT </w:instrText>
            </w:r>
            <w:r w:rsidRPr="00166DB1">
              <w:fldChar w:fldCharType="separate"/>
            </w:r>
            <w:r w:rsidRPr="00166DB1">
              <w:t>The review of Pharmacy Workforce Programs found they are not maximising their impact or reach and may not be reacting to the changing needs of rural community pharmacists. The impact, reach and currency of the Pharmacy Workforce Programs could be improved by more proactive program governance.</w:t>
            </w:r>
            <w:r w:rsidRPr="00166DB1">
              <w:fldChar w:fldCharType="end"/>
            </w:r>
          </w:p>
        </w:tc>
      </w:tr>
      <w:tr w:rsidR="00166DB1" w:rsidRPr="00166DB1" w14:paraId="6EE92CD5" w14:textId="77777777" w:rsidTr="00133610">
        <w:trPr>
          <w:cantSplit/>
        </w:trPr>
        <w:tc>
          <w:tcPr>
            <w:tcW w:w="1843" w:type="dxa"/>
            <w:shd w:val="clear" w:color="auto" w:fill="F2F2F2" w:themeFill="background1" w:themeFillShade="F2"/>
            <w:vAlign w:val="center"/>
          </w:tcPr>
          <w:p w14:paraId="46871D7E" w14:textId="37DBCCED" w:rsidR="00166DB1" w:rsidRPr="00166DB1" w:rsidRDefault="00166DB1" w:rsidP="002D261F">
            <w:pPr>
              <w:pStyle w:val="KeyFindingsTableLeftColumn"/>
            </w:pPr>
            <w:r w:rsidRPr="00166DB1">
              <w:fldChar w:fldCharType="begin"/>
            </w:r>
            <w:r w:rsidRPr="00166DB1">
              <w:instrText xml:space="preserve"> REF _Ref490677216 \r \h </w:instrText>
            </w:r>
            <w:r w:rsidR="002D261F">
              <w:instrText xml:space="preserve"> \* MERGEFORMAT </w:instrText>
            </w:r>
            <w:r w:rsidRPr="00166DB1">
              <w:fldChar w:fldCharType="separate"/>
            </w:r>
            <w:r w:rsidRPr="00166DB1">
              <w:t>Key Finding 23:</w:t>
            </w:r>
            <w:r w:rsidRPr="00166DB1">
              <w:fldChar w:fldCharType="end"/>
            </w:r>
          </w:p>
        </w:tc>
        <w:tc>
          <w:tcPr>
            <w:tcW w:w="5201" w:type="dxa"/>
            <w:shd w:val="clear" w:color="auto" w:fill="F2F2F2" w:themeFill="background1" w:themeFillShade="F2"/>
            <w:vAlign w:val="center"/>
          </w:tcPr>
          <w:p w14:paraId="4883448A" w14:textId="06517525" w:rsidR="00166DB1" w:rsidRPr="00166DB1" w:rsidRDefault="00166DB1" w:rsidP="002D261F">
            <w:pPr>
              <w:pStyle w:val="KeyFindingsTableCopy"/>
            </w:pPr>
            <w:r w:rsidRPr="00166DB1">
              <w:fldChar w:fldCharType="begin"/>
            </w:r>
            <w:r w:rsidRPr="00166DB1">
              <w:instrText xml:space="preserve"> REF _Ref490677216 \h </w:instrText>
            </w:r>
            <w:r w:rsidR="002D261F">
              <w:instrText xml:space="preserve"> \* MERGEFORMAT </w:instrText>
            </w:r>
            <w:r w:rsidRPr="00166DB1">
              <w:fldChar w:fldCharType="separate"/>
            </w:r>
            <w:r w:rsidRPr="00166DB1">
              <w:t>The majority of program funding was directed to recruitment programs (38.1% of total Pharmacy Workforce Programs’ expenditure), followed by retention programs (28.1% of expenditure), other workforce support programs (28.9% of expenditure) and programs to enhance availability of culturally appropriate services (4.9% of expenditure).</w:t>
            </w:r>
            <w:r w:rsidRPr="00166DB1">
              <w:fldChar w:fldCharType="end"/>
            </w:r>
          </w:p>
        </w:tc>
      </w:tr>
      <w:tr w:rsidR="00166DB1" w:rsidRPr="00166DB1" w14:paraId="3799A682" w14:textId="77777777" w:rsidTr="00133610">
        <w:trPr>
          <w:cantSplit/>
        </w:trPr>
        <w:tc>
          <w:tcPr>
            <w:tcW w:w="1843" w:type="dxa"/>
            <w:shd w:val="clear" w:color="auto" w:fill="F2F2F2" w:themeFill="background1" w:themeFillShade="F2"/>
            <w:vAlign w:val="center"/>
          </w:tcPr>
          <w:p w14:paraId="0269EB42" w14:textId="7E07C622" w:rsidR="00166DB1" w:rsidRPr="00166DB1" w:rsidRDefault="00166DB1" w:rsidP="002D261F">
            <w:pPr>
              <w:pStyle w:val="KeyFindingsTableLeftColumn"/>
            </w:pPr>
            <w:r w:rsidRPr="00166DB1">
              <w:fldChar w:fldCharType="begin"/>
            </w:r>
            <w:r w:rsidRPr="00166DB1">
              <w:instrText xml:space="preserve"> REF _Ref490677221 \r \h </w:instrText>
            </w:r>
            <w:r w:rsidR="002D261F">
              <w:instrText xml:space="preserve"> \* MERGEFORMAT </w:instrText>
            </w:r>
            <w:r w:rsidRPr="00166DB1">
              <w:fldChar w:fldCharType="separate"/>
            </w:r>
            <w:r w:rsidRPr="00166DB1">
              <w:t>Key Finding 24:</w:t>
            </w:r>
            <w:r w:rsidRPr="00166DB1">
              <w:fldChar w:fldCharType="end"/>
            </w:r>
          </w:p>
        </w:tc>
        <w:tc>
          <w:tcPr>
            <w:tcW w:w="5201" w:type="dxa"/>
            <w:shd w:val="clear" w:color="auto" w:fill="F2F2F2" w:themeFill="background1" w:themeFillShade="F2"/>
            <w:vAlign w:val="center"/>
          </w:tcPr>
          <w:p w14:paraId="3472EA77" w14:textId="0B490150" w:rsidR="00166DB1" w:rsidRPr="00166DB1" w:rsidRDefault="00166DB1" w:rsidP="002D261F">
            <w:pPr>
              <w:pStyle w:val="KeyFindingsTableCopy"/>
            </w:pPr>
            <w:r w:rsidRPr="00166DB1">
              <w:fldChar w:fldCharType="begin"/>
            </w:r>
            <w:r w:rsidRPr="00166DB1">
              <w:instrText xml:space="preserve"> REF _Ref490677221 \h </w:instrText>
            </w:r>
            <w:r w:rsidR="002D261F">
              <w:instrText xml:space="preserve"> \* MERGEFORMAT </w:instrText>
            </w:r>
            <w:r w:rsidRPr="00166DB1">
              <w:fldChar w:fldCharType="separate"/>
            </w:r>
            <w:r w:rsidRPr="00166DB1">
              <w:t>In contrast to general practice and dentistry, there are no programs that incentivise existing pharmacists in major cities to relocate to rural and remote areas, or overseas trained pharmacists to work in non-metropolitan areas. Consideration could be given to introducing such programs to enhance recruitment rates to non-metropolitan areas.</w:t>
            </w:r>
            <w:r w:rsidRPr="00166DB1">
              <w:fldChar w:fldCharType="end"/>
            </w:r>
          </w:p>
        </w:tc>
      </w:tr>
      <w:tr w:rsidR="00166DB1" w:rsidRPr="00166DB1" w14:paraId="35C290CC" w14:textId="77777777" w:rsidTr="00133610">
        <w:trPr>
          <w:cantSplit/>
        </w:trPr>
        <w:tc>
          <w:tcPr>
            <w:tcW w:w="1843" w:type="dxa"/>
            <w:shd w:val="clear" w:color="auto" w:fill="F2F2F2" w:themeFill="background1" w:themeFillShade="F2"/>
            <w:vAlign w:val="center"/>
          </w:tcPr>
          <w:p w14:paraId="1C959A74" w14:textId="0AC41064" w:rsidR="00166DB1" w:rsidRPr="00166DB1" w:rsidRDefault="00166DB1" w:rsidP="002D261F">
            <w:pPr>
              <w:pStyle w:val="KeyFindingsTableLeftColumn"/>
            </w:pPr>
            <w:r w:rsidRPr="00166DB1">
              <w:fldChar w:fldCharType="begin"/>
            </w:r>
            <w:r w:rsidRPr="00166DB1">
              <w:instrText xml:space="preserve"> REF _Ref489869158 \r \h </w:instrText>
            </w:r>
            <w:r w:rsidR="002D261F">
              <w:instrText xml:space="preserve"> \* MERGEFORMAT </w:instrText>
            </w:r>
            <w:r w:rsidRPr="00166DB1">
              <w:fldChar w:fldCharType="separate"/>
            </w:r>
            <w:r w:rsidRPr="00166DB1">
              <w:t>Key Finding 25:</w:t>
            </w:r>
            <w:r w:rsidRPr="00166DB1">
              <w:fldChar w:fldCharType="end"/>
            </w:r>
          </w:p>
        </w:tc>
        <w:tc>
          <w:tcPr>
            <w:tcW w:w="5201" w:type="dxa"/>
            <w:shd w:val="clear" w:color="auto" w:fill="F2F2F2" w:themeFill="background1" w:themeFillShade="F2"/>
            <w:vAlign w:val="center"/>
          </w:tcPr>
          <w:p w14:paraId="325303B9" w14:textId="1EB573E5" w:rsidR="00166DB1" w:rsidRPr="00166DB1" w:rsidRDefault="00166DB1" w:rsidP="002D261F">
            <w:pPr>
              <w:pStyle w:val="KeyFindingsTableCopy"/>
            </w:pPr>
            <w:r w:rsidRPr="00166DB1">
              <w:fldChar w:fldCharType="begin"/>
            </w:r>
            <w:r w:rsidRPr="00166DB1">
              <w:instrText xml:space="preserve"> REF _Ref489869158 \h </w:instrText>
            </w:r>
            <w:r w:rsidR="002D261F">
              <w:instrText xml:space="preserve"> \* MERGEFORMAT </w:instrText>
            </w:r>
            <w:r w:rsidRPr="00166DB1">
              <w:fldChar w:fldCharType="separate"/>
            </w:r>
            <w:r w:rsidRPr="00166DB1">
              <w:t>The funding for enhanced culturally appropriate services targeting Aboriginal and Torres Straits students and trainees was focussed solely on recruitment programs. This was reflected in the recruitment of new graduates to rural and remote areas, but there were no retention programs for this workforce category.</w:t>
            </w:r>
            <w:r w:rsidRPr="00166DB1">
              <w:fldChar w:fldCharType="end"/>
            </w:r>
          </w:p>
        </w:tc>
      </w:tr>
      <w:tr w:rsidR="00166DB1" w:rsidRPr="00166DB1" w14:paraId="58425980" w14:textId="77777777" w:rsidTr="00133610">
        <w:trPr>
          <w:cantSplit/>
        </w:trPr>
        <w:tc>
          <w:tcPr>
            <w:tcW w:w="1843" w:type="dxa"/>
            <w:shd w:val="clear" w:color="auto" w:fill="F2F2F2" w:themeFill="background1" w:themeFillShade="F2"/>
            <w:vAlign w:val="center"/>
          </w:tcPr>
          <w:p w14:paraId="0439AB9E" w14:textId="322BC812" w:rsidR="00166DB1" w:rsidRPr="00166DB1" w:rsidRDefault="00166DB1" w:rsidP="002D261F">
            <w:pPr>
              <w:pStyle w:val="KeyFindingsTableLeftColumn"/>
            </w:pPr>
            <w:r w:rsidRPr="00166DB1">
              <w:fldChar w:fldCharType="begin"/>
            </w:r>
            <w:r w:rsidRPr="00166DB1">
              <w:instrText xml:space="preserve"> REF _Ref489869175 \r \h </w:instrText>
            </w:r>
            <w:r w:rsidR="002D261F">
              <w:instrText xml:space="preserve"> \* MERGEFORMAT </w:instrText>
            </w:r>
            <w:r w:rsidRPr="00166DB1">
              <w:fldChar w:fldCharType="separate"/>
            </w:r>
            <w:r w:rsidRPr="00166DB1">
              <w:t>Key Finding 26:</w:t>
            </w:r>
            <w:r w:rsidRPr="00166DB1">
              <w:fldChar w:fldCharType="end"/>
            </w:r>
          </w:p>
        </w:tc>
        <w:tc>
          <w:tcPr>
            <w:tcW w:w="5201" w:type="dxa"/>
            <w:shd w:val="clear" w:color="auto" w:fill="F2F2F2" w:themeFill="background1" w:themeFillShade="F2"/>
            <w:vAlign w:val="center"/>
          </w:tcPr>
          <w:p w14:paraId="33798725" w14:textId="54A73700" w:rsidR="00166DB1" w:rsidRPr="00166DB1" w:rsidRDefault="00166DB1" w:rsidP="002D261F">
            <w:pPr>
              <w:pStyle w:val="KeyFindingsTableCopy"/>
            </w:pPr>
            <w:r w:rsidRPr="00166DB1">
              <w:fldChar w:fldCharType="begin"/>
            </w:r>
            <w:r w:rsidRPr="00166DB1">
              <w:instrText xml:space="preserve"> REF _Ref489869175 \h </w:instrText>
            </w:r>
            <w:r w:rsidR="002D261F">
              <w:instrText xml:space="preserve"> \* MERGEFORMAT </w:instrText>
            </w:r>
            <w:r w:rsidRPr="00166DB1">
              <w:fldChar w:fldCharType="separate"/>
            </w:r>
            <w:r w:rsidRPr="00166DB1">
              <w:t>There was insufficient data on programs aimed at increasing access to culturally appropriate pharmacy services to determine their impact on the rural and remote workforce. However, the Aboriginal and Torres Strait Islander Scholarship Scheme appeared to have contributed to modest growth in the Aboriginal and Torres Strait Islander pharmacist workforce.</w:t>
            </w:r>
            <w:r w:rsidRPr="00166DB1">
              <w:fldChar w:fldCharType="end"/>
            </w:r>
          </w:p>
        </w:tc>
      </w:tr>
      <w:tr w:rsidR="00166DB1" w:rsidRPr="00166DB1" w14:paraId="77EA6F5D" w14:textId="77777777" w:rsidTr="00133610">
        <w:trPr>
          <w:cantSplit/>
        </w:trPr>
        <w:tc>
          <w:tcPr>
            <w:tcW w:w="1843" w:type="dxa"/>
            <w:shd w:val="clear" w:color="auto" w:fill="F2F2F2" w:themeFill="background1" w:themeFillShade="F2"/>
            <w:vAlign w:val="center"/>
          </w:tcPr>
          <w:p w14:paraId="04707326" w14:textId="2DF5DA63" w:rsidR="00166DB1" w:rsidRPr="00166DB1" w:rsidRDefault="00166DB1" w:rsidP="002D261F">
            <w:pPr>
              <w:pStyle w:val="KeyFindingsTableLeftColumn"/>
            </w:pPr>
            <w:r w:rsidRPr="00166DB1">
              <w:fldChar w:fldCharType="begin"/>
            </w:r>
            <w:r w:rsidRPr="00166DB1">
              <w:instrText xml:space="preserve"> REF _Ref490677235 \r \h </w:instrText>
            </w:r>
            <w:r w:rsidR="002D261F">
              <w:instrText xml:space="preserve"> \* MERGEFORMAT </w:instrText>
            </w:r>
            <w:r w:rsidRPr="00166DB1">
              <w:fldChar w:fldCharType="separate"/>
            </w:r>
            <w:r w:rsidRPr="00166DB1">
              <w:t>Key Finding 27:</w:t>
            </w:r>
            <w:r w:rsidRPr="00166DB1">
              <w:fldChar w:fldCharType="end"/>
            </w:r>
          </w:p>
        </w:tc>
        <w:tc>
          <w:tcPr>
            <w:tcW w:w="5201" w:type="dxa"/>
            <w:shd w:val="clear" w:color="auto" w:fill="F2F2F2" w:themeFill="background1" w:themeFillShade="F2"/>
            <w:vAlign w:val="center"/>
          </w:tcPr>
          <w:p w14:paraId="68FE1EA4" w14:textId="4BC7C435" w:rsidR="00166DB1" w:rsidRPr="00166DB1" w:rsidRDefault="00166DB1" w:rsidP="002D261F">
            <w:pPr>
              <w:pStyle w:val="KeyFindingsTableCopy"/>
            </w:pPr>
            <w:r w:rsidRPr="00166DB1">
              <w:fldChar w:fldCharType="begin"/>
            </w:r>
            <w:r w:rsidRPr="00166DB1">
              <w:instrText xml:space="preserve"> REF _Ref490677235 \h </w:instrText>
            </w:r>
            <w:r w:rsidR="002D261F">
              <w:instrText xml:space="preserve"> \* MERGEFORMAT </w:instrText>
            </w:r>
            <w:r w:rsidRPr="00166DB1">
              <w:fldChar w:fldCharType="separate"/>
            </w:r>
            <w:r w:rsidRPr="00166DB1">
              <w:t>The estimated cost of administering both Pharmacy Workforce package components was within an acceptable range (under 30% of total program cost).</w:t>
            </w:r>
            <w:r w:rsidRPr="00166DB1">
              <w:fldChar w:fldCharType="end"/>
            </w:r>
          </w:p>
        </w:tc>
      </w:tr>
      <w:tr w:rsidR="00166DB1" w:rsidRPr="00166DB1" w14:paraId="52513044" w14:textId="77777777" w:rsidTr="00133610">
        <w:trPr>
          <w:cantSplit/>
        </w:trPr>
        <w:tc>
          <w:tcPr>
            <w:tcW w:w="1843" w:type="dxa"/>
            <w:shd w:val="clear" w:color="auto" w:fill="F2F2F2" w:themeFill="background1" w:themeFillShade="F2"/>
            <w:vAlign w:val="center"/>
          </w:tcPr>
          <w:p w14:paraId="77BF314D" w14:textId="49BF0097" w:rsidR="00166DB1" w:rsidRPr="00166DB1" w:rsidRDefault="00166DB1" w:rsidP="002D261F">
            <w:pPr>
              <w:pStyle w:val="KeyFindingsTableLeftColumn"/>
            </w:pPr>
            <w:r w:rsidRPr="00166DB1">
              <w:lastRenderedPageBreak/>
              <w:fldChar w:fldCharType="begin"/>
            </w:r>
            <w:r w:rsidRPr="00166DB1">
              <w:instrText xml:space="preserve"> REF _Ref490677246 \r \h </w:instrText>
            </w:r>
            <w:r w:rsidR="002D261F">
              <w:instrText xml:space="preserve"> \* MERGEFORMAT </w:instrText>
            </w:r>
            <w:r w:rsidRPr="00166DB1">
              <w:fldChar w:fldCharType="separate"/>
            </w:r>
            <w:r w:rsidRPr="00166DB1">
              <w:t>Key Finding 28:</w:t>
            </w:r>
            <w:r w:rsidRPr="00166DB1">
              <w:fldChar w:fldCharType="end"/>
            </w:r>
          </w:p>
        </w:tc>
        <w:tc>
          <w:tcPr>
            <w:tcW w:w="5201" w:type="dxa"/>
            <w:shd w:val="clear" w:color="auto" w:fill="F2F2F2" w:themeFill="background1" w:themeFillShade="F2"/>
            <w:vAlign w:val="center"/>
          </w:tcPr>
          <w:p w14:paraId="7CD3542D" w14:textId="3F868ACE" w:rsidR="00166DB1" w:rsidRPr="00166DB1" w:rsidRDefault="00166DB1" w:rsidP="002D261F">
            <w:pPr>
              <w:pStyle w:val="KeyFindingsTableCopy"/>
            </w:pPr>
            <w:r w:rsidRPr="00166DB1">
              <w:fldChar w:fldCharType="begin"/>
            </w:r>
            <w:r w:rsidRPr="00166DB1">
              <w:instrText xml:space="preserve"> REF _Ref490677246 \h </w:instrText>
            </w:r>
            <w:r w:rsidR="002D261F">
              <w:instrText xml:space="preserve"> \* MERGEFORMAT </w:instrText>
            </w:r>
            <w:r w:rsidRPr="00166DB1">
              <w:fldChar w:fldCharType="separate"/>
            </w:r>
            <w:r w:rsidRPr="00166DB1">
              <w:t>Pharmacists considered the most effective programs relative to cost were the Intern Incentive Allowance for Rural Pharmacies, the CPE Allowance and the RPLO Program.</w:t>
            </w:r>
            <w:r w:rsidRPr="00166DB1">
              <w:fldChar w:fldCharType="end"/>
            </w:r>
          </w:p>
        </w:tc>
      </w:tr>
    </w:tbl>
    <w:p w14:paraId="0FB58C87" w14:textId="1299F9FC" w:rsidR="00166DB1" w:rsidRPr="00166DB1" w:rsidRDefault="00166DB1" w:rsidP="00B24642">
      <w:pPr>
        <w:pStyle w:val="ESHeading2"/>
        <w:rPr>
          <w:rFonts w:eastAsia="Times New Roman"/>
        </w:rPr>
      </w:pPr>
      <w:r w:rsidRPr="00166DB1">
        <w:rPr>
          <w:rFonts w:eastAsia="Times New Roman"/>
        </w:rPr>
        <w:t>Conclusions</w:t>
      </w:r>
    </w:p>
    <w:p w14:paraId="42DCD921"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We found that the Pharmacy Workforce Package was ineffective at a macro level in reducing the underlying need for a strengthened workforce in rural and remote areas, evidenced by the static (inner and outer regional areas) and reduced (remote and very remote regional areas) pharmacist FTE rates per 100,000 people between 2013 and 2015.</w:t>
      </w:r>
    </w:p>
    <w:p w14:paraId="2D82A8C5"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The programs were more effective at a micro level – the impact on individual students and community pharmacists. There are around 270 new recipients of direct support annually via the recruitment support programs and 500 recipients annually of direct support via workforce retention grants. The evaluation survey responses and consultation feedback suggest that an overwhelming majority of these recipients valued the grant monies received and acknowledged that it informed their decisions about career planning. </w:t>
      </w:r>
    </w:p>
    <w:p w14:paraId="089168FC"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Based on these observations, we suggest that wholesale changes to the Pharmacy Workforce Programs should be approached with caution. Although we found that </w:t>
      </w:r>
      <w:r w:rsidRPr="00166DB1">
        <w:rPr>
          <w:rFonts w:ascii="Garamond" w:eastAsia="Garamond" w:hAnsi="Garamond"/>
          <w:color w:val="000000"/>
        </w:rPr>
        <w:t>the programs did not have any observable impact on strengthening the rural and remote pharmacy workforce levels, there are other factors that must be considered in forming decisions about the future of the program: the impacts of the current programs and their value to current and prospective recipients. An increase in the value of the grants could increase the incentives to take-up the grants and promote larger shifts in the workforce into rural and remote areas.</w:t>
      </w:r>
    </w:p>
    <w:p w14:paraId="4D752FBD"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Programs supporting increased access to culturally appropriate services for Aboriginal and Torres Strait Islander people were more challenging to evaluate and should not be limited to workforce growth or rural and remote locations.</w:t>
      </w:r>
    </w:p>
    <w:p w14:paraId="23B5353C"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Based on the evaluation findings of the individual programs and of the overall impact of the package components, we describe four potential options for future development:</w:t>
      </w:r>
    </w:p>
    <w:p w14:paraId="79C814E3" w14:textId="77777777" w:rsidR="00166DB1" w:rsidRPr="00F948C2" w:rsidRDefault="00166DB1" w:rsidP="009F66FB">
      <w:pPr>
        <w:pStyle w:val="ListParagraph"/>
        <w:numPr>
          <w:ilvl w:val="0"/>
          <w:numId w:val="11"/>
        </w:numPr>
        <w:tabs>
          <w:tab w:val="num" w:pos="170"/>
        </w:tabs>
        <w:spacing w:before="20" w:after="20"/>
        <w:rPr>
          <w:rFonts w:ascii="Garamond" w:eastAsia="Times New Roman" w:hAnsi="Garamond"/>
          <w:color w:val="000000"/>
        </w:rPr>
      </w:pPr>
      <w:r w:rsidRPr="00F948C2">
        <w:rPr>
          <w:rFonts w:ascii="Garamond" w:eastAsia="Times New Roman" w:hAnsi="Garamond"/>
          <w:b/>
          <w:color w:val="000000"/>
        </w:rPr>
        <w:t>Option 1:</w:t>
      </w:r>
      <w:r w:rsidRPr="00F948C2">
        <w:rPr>
          <w:rFonts w:ascii="Garamond" w:eastAsia="Times New Roman" w:hAnsi="Garamond"/>
          <w:color w:val="000000"/>
        </w:rPr>
        <w:t xml:space="preserve"> keep existing programs with minor modifications to improve their functionality</w:t>
      </w:r>
    </w:p>
    <w:p w14:paraId="0BD63D5B" w14:textId="77777777" w:rsidR="00166DB1" w:rsidRPr="00F948C2" w:rsidRDefault="00166DB1" w:rsidP="009F66FB">
      <w:pPr>
        <w:pStyle w:val="ListParagraph"/>
        <w:numPr>
          <w:ilvl w:val="0"/>
          <w:numId w:val="11"/>
        </w:numPr>
        <w:tabs>
          <w:tab w:val="num" w:pos="170"/>
        </w:tabs>
        <w:spacing w:before="20" w:after="20"/>
        <w:rPr>
          <w:rFonts w:ascii="Garamond" w:eastAsia="Times New Roman" w:hAnsi="Garamond"/>
          <w:color w:val="000000"/>
        </w:rPr>
      </w:pPr>
      <w:r w:rsidRPr="00F948C2">
        <w:rPr>
          <w:rFonts w:ascii="Garamond" w:eastAsia="Times New Roman" w:hAnsi="Garamond"/>
          <w:b/>
          <w:color w:val="000000"/>
        </w:rPr>
        <w:t>Option 2:</w:t>
      </w:r>
      <w:r w:rsidRPr="00F948C2">
        <w:rPr>
          <w:rFonts w:ascii="Garamond" w:eastAsia="Times New Roman" w:hAnsi="Garamond"/>
          <w:color w:val="000000"/>
        </w:rPr>
        <w:t xml:space="preserve"> remove Pharmacy Accessibility Remoteness Index (PhARIA) 1 restrictions to existing programs to improve the Pharmacy Workforce Program’s reach in regional areas</w:t>
      </w:r>
    </w:p>
    <w:p w14:paraId="34FC8D52" w14:textId="77777777" w:rsidR="00166DB1" w:rsidRPr="00F948C2" w:rsidRDefault="00166DB1" w:rsidP="009F66FB">
      <w:pPr>
        <w:pStyle w:val="ListParagraph"/>
        <w:numPr>
          <w:ilvl w:val="0"/>
          <w:numId w:val="11"/>
        </w:numPr>
        <w:tabs>
          <w:tab w:val="num" w:pos="170"/>
        </w:tabs>
        <w:spacing w:before="20" w:after="20"/>
        <w:rPr>
          <w:rFonts w:ascii="Garamond" w:eastAsia="Times New Roman" w:hAnsi="Garamond"/>
          <w:color w:val="000000"/>
        </w:rPr>
      </w:pPr>
      <w:r w:rsidRPr="00F948C2">
        <w:rPr>
          <w:rFonts w:ascii="Garamond" w:eastAsia="Times New Roman" w:hAnsi="Garamond"/>
          <w:b/>
          <w:color w:val="000000"/>
        </w:rPr>
        <w:t xml:space="preserve">Option 3: </w:t>
      </w:r>
      <w:r w:rsidRPr="00F948C2">
        <w:rPr>
          <w:rFonts w:ascii="Garamond" w:eastAsia="Times New Roman" w:hAnsi="Garamond"/>
          <w:color w:val="000000"/>
        </w:rPr>
        <w:t xml:space="preserve">undertake a moderate restructure to include additional workforce program types, whilst retaining some or all of the existing programs, or </w:t>
      </w:r>
    </w:p>
    <w:p w14:paraId="57C664A5" w14:textId="5B8436F3" w:rsidR="00166DB1" w:rsidRPr="00F948C2" w:rsidRDefault="00166DB1" w:rsidP="009F66FB">
      <w:pPr>
        <w:pStyle w:val="ListParagraph"/>
        <w:numPr>
          <w:ilvl w:val="0"/>
          <w:numId w:val="11"/>
        </w:numPr>
        <w:tabs>
          <w:tab w:val="num" w:pos="170"/>
        </w:tabs>
        <w:spacing w:before="20" w:after="20"/>
        <w:rPr>
          <w:rFonts w:ascii="Garamond" w:eastAsia="Times New Roman" w:hAnsi="Garamond"/>
          <w:color w:val="000000"/>
        </w:rPr>
      </w:pPr>
      <w:r w:rsidRPr="00F948C2">
        <w:rPr>
          <w:rFonts w:ascii="Garamond" w:eastAsia="Times New Roman" w:hAnsi="Garamond"/>
          <w:b/>
          <w:color w:val="000000"/>
        </w:rPr>
        <w:t>Option 4:</w:t>
      </w:r>
      <w:r w:rsidRPr="00F948C2">
        <w:rPr>
          <w:rFonts w:ascii="Garamond" w:eastAsia="Times New Roman" w:hAnsi="Garamond"/>
          <w:color w:val="000000"/>
        </w:rPr>
        <w:t xml:space="preserve"> undertake a major restructure to cease all existing program and use funds to enhance the level of workforce support pharmacists in targeted geographic areas (possibly prioritised on the basis of rurality).</w:t>
      </w:r>
    </w:p>
    <w:p w14:paraId="3D71F745" w14:textId="77777777" w:rsidR="000121A1" w:rsidRDefault="000121A1" w:rsidP="00166DB1">
      <w:pPr>
        <w:tabs>
          <w:tab w:val="num" w:pos="170"/>
        </w:tabs>
        <w:spacing w:before="20" w:after="20"/>
        <w:ind w:left="170" w:hanging="170"/>
        <w:rPr>
          <w:rFonts w:ascii="Garamond" w:eastAsia="Times New Roman" w:hAnsi="Garamond"/>
          <w:color w:val="000000"/>
        </w:rPr>
        <w:sectPr w:rsidR="000121A1" w:rsidSect="00D65552">
          <w:headerReference w:type="default" r:id="rId18"/>
          <w:pgSz w:w="16839" w:h="11907" w:orient="landscape" w:code="9"/>
          <w:pgMar w:top="1985" w:right="1304" w:bottom="850" w:left="737" w:header="570" w:footer="284" w:gutter="0"/>
          <w:pgNumType w:fmt="lowerRoman"/>
          <w:cols w:num="2" w:space="709"/>
          <w:titlePg/>
          <w:docGrid w:linePitch="360"/>
        </w:sectPr>
      </w:pPr>
    </w:p>
    <w:p w14:paraId="75B124EE" w14:textId="77777777" w:rsidR="000121A1" w:rsidRDefault="000121A1" w:rsidP="00166DB1">
      <w:pPr>
        <w:tabs>
          <w:tab w:val="num" w:pos="170"/>
        </w:tabs>
        <w:spacing w:before="20" w:after="20"/>
        <w:ind w:left="170" w:hanging="170"/>
        <w:rPr>
          <w:rFonts w:ascii="Garamond" w:eastAsia="Times New Roman" w:hAnsi="Garamond"/>
          <w:color w:val="000000"/>
        </w:rPr>
      </w:pPr>
    </w:p>
    <w:p w14:paraId="7A3CFBE3" w14:textId="7F509BAD" w:rsidR="000121A1" w:rsidRDefault="000121A1" w:rsidP="00166DB1">
      <w:pPr>
        <w:tabs>
          <w:tab w:val="num" w:pos="170"/>
        </w:tabs>
        <w:spacing w:before="20" w:after="20"/>
        <w:ind w:left="170" w:hanging="170"/>
        <w:rPr>
          <w:rFonts w:ascii="Garamond" w:eastAsia="Times New Roman" w:hAnsi="Garamond"/>
          <w:color w:val="000000"/>
        </w:rPr>
      </w:pPr>
    </w:p>
    <w:p w14:paraId="7CACDE73" w14:textId="77777777" w:rsidR="000121A1" w:rsidRDefault="000121A1" w:rsidP="00166DB1">
      <w:pPr>
        <w:tabs>
          <w:tab w:val="num" w:pos="170"/>
        </w:tabs>
        <w:spacing w:before="20" w:after="20"/>
        <w:ind w:left="170" w:hanging="170"/>
        <w:rPr>
          <w:rFonts w:ascii="Garamond" w:eastAsia="Times New Roman" w:hAnsi="Garamond"/>
          <w:color w:val="000000"/>
        </w:rPr>
        <w:sectPr w:rsidR="000121A1" w:rsidSect="000121A1">
          <w:headerReference w:type="default" r:id="rId19"/>
          <w:footerReference w:type="default" r:id="rId20"/>
          <w:type w:val="continuous"/>
          <w:pgSz w:w="16839" w:h="11907" w:orient="landscape" w:code="9"/>
          <w:pgMar w:top="2268" w:right="1304" w:bottom="850" w:left="737" w:header="567" w:footer="284" w:gutter="0"/>
          <w:cols w:space="709"/>
          <w:docGrid w:linePitch="360"/>
        </w:sectPr>
      </w:pPr>
    </w:p>
    <w:p w14:paraId="470E22DD" w14:textId="451021A3" w:rsidR="00A4675C" w:rsidRPr="00C61DC7" w:rsidRDefault="00A4675C" w:rsidP="00EA1B6E">
      <w:pPr>
        <w:pStyle w:val="SectionPageTitle"/>
        <w:numPr>
          <w:ilvl w:val="0"/>
          <w:numId w:val="0"/>
        </w:numPr>
        <w:rPr>
          <w:lang w:val="en-US"/>
        </w:rPr>
      </w:pPr>
      <w:bookmarkStart w:id="5" w:name="_Toc523322031"/>
      <w:r>
        <w:lastRenderedPageBreak/>
        <w:t>PART A – CONTEXT</w:t>
      </w:r>
      <w:bookmarkEnd w:id="5"/>
    </w:p>
    <w:p w14:paraId="442A8AF7" w14:textId="2F220D82" w:rsidR="00D25FF8" w:rsidRDefault="00D25FF8" w:rsidP="00166DB1">
      <w:pPr>
        <w:tabs>
          <w:tab w:val="left" w:pos="7513"/>
        </w:tabs>
        <w:spacing w:line="624" w:lineRule="atLeast"/>
        <w:ind w:left="7513" w:hanging="7513"/>
        <w:rPr>
          <w:rFonts w:ascii="Franklin Gothic Book" w:eastAsia="Garamond" w:hAnsi="Franklin Gothic Book"/>
          <w:caps/>
          <w:sz w:val="52"/>
          <w:u w:val="single"/>
        </w:rPr>
      </w:pPr>
    </w:p>
    <w:p w14:paraId="0FE1E724" w14:textId="77777777" w:rsidR="000121A1" w:rsidRDefault="000121A1" w:rsidP="00166DB1">
      <w:pPr>
        <w:tabs>
          <w:tab w:val="left" w:pos="7513"/>
        </w:tabs>
        <w:spacing w:line="624" w:lineRule="atLeast"/>
        <w:ind w:left="7513" w:hanging="7513"/>
        <w:rPr>
          <w:rFonts w:ascii="Franklin Gothic Book" w:eastAsia="Garamond" w:hAnsi="Franklin Gothic Book"/>
          <w:caps/>
          <w:sz w:val="52"/>
          <w:u w:val="single"/>
        </w:rPr>
        <w:sectPr w:rsidR="000121A1" w:rsidSect="00BA72F1">
          <w:headerReference w:type="default" r:id="rId21"/>
          <w:footerReference w:type="default" r:id="rId22"/>
          <w:pgSz w:w="16839" w:h="11907" w:orient="landscape" w:code="9"/>
          <w:pgMar w:top="2268" w:right="1304" w:bottom="850" w:left="737" w:header="567" w:footer="284" w:gutter="0"/>
          <w:pgNumType w:start="1"/>
          <w:cols w:num="2" w:space="709"/>
          <w:docGrid w:linePitch="360"/>
        </w:sectPr>
      </w:pPr>
    </w:p>
    <w:p w14:paraId="720DB8F3" w14:textId="77777777" w:rsidR="00112926" w:rsidRPr="000121A1" w:rsidRDefault="00112926" w:rsidP="00B24642">
      <w:pPr>
        <w:pStyle w:val="Heading1"/>
        <w:rPr>
          <w:lang w:val="en-US"/>
        </w:rPr>
      </w:pPr>
      <w:bookmarkStart w:id="6" w:name="_Toc523322032"/>
      <w:r w:rsidRPr="000121A1">
        <w:rPr>
          <w:lang w:val="en-US"/>
        </w:rPr>
        <w:lastRenderedPageBreak/>
        <w:t>Introduction</w:t>
      </w:r>
      <w:bookmarkEnd w:id="6"/>
    </w:p>
    <w:p w14:paraId="1FFA4F88" w14:textId="23469ECD" w:rsidR="00166DB1" w:rsidRPr="006060CE" w:rsidRDefault="00166DB1" w:rsidP="00B24642">
      <w:pPr>
        <w:pStyle w:val="Heading2"/>
        <w:rPr>
          <w:u w:val="none"/>
        </w:rPr>
      </w:pPr>
      <w:bookmarkStart w:id="7" w:name="_Toc523322033"/>
      <w:r w:rsidRPr="006060CE">
        <w:t>Background</w:t>
      </w:r>
      <w:bookmarkEnd w:id="7"/>
    </w:p>
    <w:p w14:paraId="60C9D691" w14:textId="77777777" w:rsidR="00166DB1" w:rsidRPr="00166DB1" w:rsidRDefault="00166DB1" w:rsidP="00166DB1">
      <w:pPr>
        <w:spacing w:before="85" w:after="85"/>
        <w:rPr>
          <w:rFonts w:ascii="Garamond" w:eastAsia="Times New Roman" w:hAnsi="Garamond"/>
          <w:color w:val="000000"/>
        </w:rPr>
      </w:pPr>
      <w:r w:rsidRPr="00166DB1">
        <w:rPr>
          <w:rFonts w:ascii="Garamond" w:eastAsia="Times New Roman" w:hAnsi="Garamond"/>
          <w:color w:val="000000"/>
        </w:rPr>
        <w:t xml:space="preserve">The Australian Government Department of Health (the Department) engaged Healthcare Management Advisors (HMA) to evaluate the ongoing Pharmacy Workforce Programs. These programs are </w:t>
      </w:r>
      <w:r w:rsidRPr="00166DB1">
        <w:rPr>
          <w:rFonts w:ascii="Garamond" w:eastAsia="Garamond" w:hAnsi="Garamond"/>
          <w:color w:val="000000"/>
        </w:rPr>
        <w:t>funded under the 6th Community Pharmacy Agreement (6CPA) between The Pharmacy Guild of Australia (The Guild) and the Department.</w:t>
      </w:r>
    </w:p>
    <w:p w14:paraId="3A39616D" w14:textId="5D9C4A19" w:rsidR="00166DB1" w:rsidRPr="006060CE" w:rsidRDefault="00166DB1" w:rsidP="00B24642">
      <w:pPr>
        <w:pStyle w:val="Heading2"/>
      </w:pPr>
      <w:bookmarkStart w:id="8" w:name="_Toc523322034"/>
      <w:r w:rsidRPr="006060CE">
        <w:t>Individual Programs within scope</w:t>
      </w:r>
      <w:bookmarkEnd w:id="8"/>
    </w:p>
    <w:p w14:paraId="465B69E4"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The </w:t>
      </w:r>
      <w:r w:rsidRPr="00166DB1">
        <w:rPr>
          <w:rFonts w:ascii="Garamond" w:eastAsia="Times New Roman" w:hAnsi="Garamond"/>
          <w:color w:val="000000"/>
        </w:rPr>
        <w:t>Pharmacy Workforce Programs</w:t>
      </w:r>
      <w:r w:rsidRPr="00166DB1">
        <w:rPr>
          <w:rFonts w:ascii="Garamond" w:eastAsia="Garamond" w:hAnsi="Garamond"/>
          <w:color w:val="000000"/>
        </w:rPr>
        <w:t xml:space="preserve"> within the project scope are listed in the following sections. There are 12 of these programs. For the purposes of the evaluation, these programs were categorised into two groups:</w:t>
      </w:r>
    </w:p>
    <w:p w14:paraId="3BFA1AC2" w14:textId="77777777" w:rsidR="00166DB1" w:rsidRPr="00F948C2" w:rsidRDefault="00166DB1" w:rsidP="009F66FB">
      <w:pPr>
        <w:pStyle w:val="ListParagraph"/>
        <w:numPr>
          <w:ilvl w:val="0"/>
          <w:numId w:val="12"/>
        </w:numPr>
        <w:tabs>
          <w:tab w:val="num" w:pos="170"/>
        </w:tabs>
        <w:spacing w:before="20" w:after="20"/>
        <w:rPr>
          <w:rFonts w:ascii="Garamond" w:eastAsia="Times New Roman" w:hAnsi="Garamond"/>
          <w:color w:val="000000"/>
        </w:rPr>
      </w:pPr>
      <w:r w:rsidRPr="00F948C2">
        <w:rPr>
          <w:rFonts w:ascii="Garamond" w:eastAsia="Times New Roman" w:hAnsi="Garamond"/>
          <w:color w:val="000000"/>
        </w:rPr>
        <w:t xml:space="preserve">the </w:t>
      </w:r>
      <w:r w:rsidRPr="00F948C2">
        <w:rPr>
          <w:rFonts w:ascii="Garamond" w:eastAsia="Times New Roman" w:hAnsi="Garamond"/>
          <w:i/>
          <w:color w:val="000000"/>
        </w:rPr>
        <w:t>Rural Workforce Package</w:t>
      </w:r>
      <w:r w:rsidRPr="00F948C2">
        <w:rPr>
          <w:rFonts w:ascii="Garamond" w:eastAsia="Times New Roman" w:hAnsi="Garamond"/>
          <w:color w:val="000000"/>
        </w:rPr>
        <w:t>, which primarily seeks to target recruitment and retention activities in PhARIA 2</w:t>
      </w:r>
      <w:r w:rsidRPr="00166DB1">
        <w:rPr>
          <w:vertAlign w:val="superscript"/>
        </w:rPr>
        <w:footnoteReference w:id="1"/>
      </w:r>
      <w:r w:rsidRPr="00F948C2">
        <w:rPr>
          <w:rFonts w:ascii="Garamond" w:eastAsia="Times New Roman" w:hAnsi="Garamond"/>
          <w:color w:val="000000"/>
        </w:rPr>
        <w:t xml:space="preserve"> or higher locations (10 programs), and</w:t>
      </w:r>
    </w:p>
    <w:p w14:paraId="04E15088" w14:textId="77777777" w:rsidR="00166DB1" w:rsidRPr="00F948C2" w:rsidRDefault="00166DB1" w:rsidP="009F66FB">
      <w:pPr>
        <w:pStyle w:val="ListParagraph"/>
        <w:numPr>
          <w:ilvl w:val="0"/>
          <w:numId w:val="12"/>
        </w:numPr>
        <w:tabs>
          <w:tab w:val="num" w:pos="170"/>
        </w:tabs>
        <w:spacing w:before="20" w:after="20"/>
        <w:rPr>
          <w:rFonts w:ascii="Garamond" w:eastAsia="Times New Roman" w:hAnsi="Garamond"/>
          <w:color w:val="000000"/>
        </w:rPr>
      </w:pPr>
      <w:r w:rsidRPr="00F948C2">
        <w:rPr>
          <w:rFonts w:ascii="Garamond" w:eastAsia="Times New Roman" w:hAnsi="Garamond"/>
          <w:color w:val="000000"/>
        </w:rPr>
        <w:t xml:space="preserve">the </w:t>
      </w:r>
      <w:r w:rsidRPr="00F948C2">
        <w:rPr>
          <w:rFonts w:ascii="Garamond" w:eastAsia="Times New Roman" w:hAnsi="Garamond"/>
          <w:i/>
          <w:color w:val="000000"/>
        </w:rPr>
        <w:t>Aboriginal and Torres Strait Islander Workforce Package</w:t>
      </w:r>
      <w:r w:rsidRPr="00F948C2">
        <w:rPr>
          <w:rFonts w:ascii="Garamond" w:eastAsia="Times New Roman" w:hAnsi="Garamond"/>
          <w:color w:val="000000"/>
        </w:rPr>
        <w:t>, which has no specific geographic focus (2 programs).</w:t>
      </w:r>
    </w:p>
    <w:p w14:paraId="52DB32E5"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Not all workforce programs, or programs related to medicines access within community pharmacies by people in non-metropolitan areas or Aboriginal and Torres Strait Islander people, were within the evaluation scope. Out of scope programs are also listed in the following sub-sections.</w:t>
      </w:r>
    </w:p>
    <w:p w14:paraId="3E3C4B97"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This scope boundary has important implications; it means that changes to any of the 12 programs must also consider knock-on effects to the out-of-scope programs.</w:t>
      </w:r>
    </w:p>
    <w:p w14:paraId="2A2CB5E0"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The specific objectives of the 12 in-scope programs are examined in more detail in Chapter 2 of the report.</w:t>
      </w:r>
    </w:p>
    <w:p w14:paraId="104A19EF" w14:textId="77777777" w:rsidR="00166DB1" w:rsidRPr="00775E5D" w:rsidRDefault="00166DB1" w:rsidP="000C002F">
      <w:pPr>
        <w:pStyle w:val="Heading3"/>
      </w:pPr>
      <w:bookmarkStart w:id="9" w:name="_Toc523322035"/>
      <w:r w:rsidRPr="00775E5D">
        <w:t>Rural Workforce Package</w:t>
      </w:r>
      <w:bookmarkEnd w:id="9"/>
    </w:p>
    <w:p w14:paraId="05D1AB36"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Rural Workforce Package programs within the evaluation scope were the following: </w:t>
      </w:r>
    </w:p>
    <w:p w14:paraId="57A1F1BC" w14:textId="77777777" w:rsidR="00166DB1" w:rsidRPr="00166DB1" w:rsidRDefault="00166DB1" w:rsidP="009F66FB">
      <w:pPr>
        <w:numPr>
          <w:ilvl w:val="0"/>
          <w:numId w:val="1"/>
        </w:numPr>
        <w:spacing w:before="20" w:after="20"/>
        <w:rPr>
          <w:rFonts w:ascii="Garamond" w:eastAsia="Times New Roman" w:hAnsi="Garamond"/>
          <w:color w:val="000000"/>
        </w:rPr>
      </w:pPr>
      <w:r w:rsidRPr="00166DB1">
        <w:rPr>
          <w:rFonts w:ascii="Garamond" w:eastAsia="Times New Roman" w:hAnsi="Garamond"/>
          <w:color w:val="000000"/>
        </w:rPr>
        <w:t>Rural Pharmacy Scholarship Scheme</w:t>
      </w:r>
    </w:p>
    <w:p w14:paraId="7AC39F32" w14:textId="77777777" w:rsidR="00166DB1" w:rsidRPr="00166DB1" w:rsidRDefault="00166DB1" w:rsidP="009F66FB">
      <w:pPr>
        <w:numPr>
          <w:ilvl w:val="0"/>
          <w:numId w:val="1"/>
        </w:numPr>
        <w:spacing w:before="20" w:after="20"/>
        <w:rPr>
          <w:rFonts w:ascii="Garamond" w:eastAsia="Times New Roman" w:hAnsi="Garamond"/>
          <w:color w:val="000000"/>
        </w:rPr>
      </w:pPr>
      <w:r w:rsidRPr="00166DB1">
        <w:rPr>
          <w:rFonts w:ascii="Garamond" w:eastAsia="Times New Roman" w:hAnsi="Garamond"/>
          <w:color w:val="000000"/>
        </w:rPr>
        <w:t>Rural Pharmacy Scholarship Mentor Scheme</w:t>
      </w:r>
    </w:p>
    <w:p w14:paraId="3DBF4291" w14:textId="77777777" w:rsidR="00166DB1" w:rsidRPr="00166DB1" w:rsidRDefault="00166DB1" w:rsidP="009F66FB">
      <w:pPr>
        <w:numPr>
          <w:ilvl w:val="0"/>
          <w:numId w:val="1"/>
        </w:numPr>
        <w:spacing w:before="20" w:after="20"/>
        <w:rPr>
          <w:rFonts w:ascii="Garamond" w:eastAsia="Times New Roman" w:hAnsi="Garamond"/>
          <w:color w:val="000000"/>
        </w:rPr>
      </w:pPr>
      <w:r w:rsidRPr="00166DB1">
        <w:rPr>
          <w:rFonts w:ascii="Garamond" w:eastAsia="Times New Roman" w:hAnsi="Garamond"/>
          <w:color w:val="000000"/>
        </w:rPr>
        <w:t>Intern Incentive Allowance for Rural Pharmacies</w:t>
      </w:r>
    </w:p>
    <w:p w14:paraId="6D6982D3" w14:textId="77777777" w:rsidR="00166DB1" w:rsidRPr="00166DB1" w:rsidRDefault="00166DB1" w:rsidP="009F66FB">
      <w:pPr>
        <w:numPr>
          <w:ilvl w:val="0"/>
          <w:numId w:val="1"/>
        </w:numPr>
        <w:spacing w:before="20" w:after="20"/>
        <w:rPr>
          <w:rFonts w:ascii="Garamond" w:eastAsia="Times New Roman" w:hAnsi="Garamond"/>
          <w:color w:val="000000"/>
        </w:rPr>
      </w:pPr>
      <w:r w:rsidRPr="00166DB1">
        <w:rPr>
          <w:rFonts w:ascii="Garamond" w:eastAsia="Times New Roman" w:hAnsi="Garamond"/>
          <w:color w:val="000000"/>
        </w:rPr>
        <w:t>Intern Incentive Allowance for Rural Pharmacies – Extension Program</w:t>
      </w:r>
    </w:p>
    <w:p w14:paraId="03CCC3CE" w14:textId="77777777" w:rsidR="00166DB1" w:rsidRPr="00166DB1" w:rsidRDefault="00166DB1" w:rsidP="009F66FB">
      <w:pPr>
        <w:numPr>
          <w:ilvl w:val="0"/>
          <w:numId w:val="1"/>
        </w:numPr>
        <w:spacing w:before="20" w:after="20"/>
        <w:rPr>
          <w:rFonts w:ascii="Garamond" w:eastAsia="Times New Roman" w:hAnsi="Garamond"/>
          <w:color w:val="000000"/>
        </w:rPr>
      </w:pPr>
      <w:r w:rsidRPr="00166DB1">
        <w:rPr>
          <w:rFonts w:ascii="Garamond" w:eastAsia="Times New Roman" w:hAnsi="Garamond"/>
          <w:color w:val="000000"/>
        </w:rPr>
        <w:t>Rural Intern Training Allowance</w:t>
      </w:r>
    </w:p>
    <w:p w14:paraId="61805FB8" w14:textId="77777777" w:rsidR="00166DB1" w:rsidRPr="00166DB1" w:rsidRDefault="00166DB1" w:rsidP="009F66FB">
      <w:pPr>
        <w:numPr>
          <w:ilvl w:val="0"/>
          <w:numId w:val="1"/>
        </w:numPr>
        <w:spacing w:before="20" w:after="20"/>
        <w:rPr>
          <w:rFonts w:ascii="Garamond" w:eastAsia="Times New Roman" w:hAnsi="Garamond"/>
          <w:color w:val="000000"/>
        </w:rPr>
      </w:pPr>
      <w:r w:rsidRPr="00166DB1">
        <w:rPr>
          <w:rFonts w:ascii="Garamond" w:eastAsia="Times New Roman" w:hAnsi="Garamond"/>
          <w:color w:val="000000"/>
        </w:rPr>
        <w:t>Rural Pharmacy Student Placement Allowance</w:t>
      </w:r>
    </w:p>
    <w:p w14:paraId="14E5044A" w14:textId="77777777" w:rsidR="00166DB1" w:rsidRPr="00166DB1" w:rsidRDefault="00166DB1" w:rsidP="009F66FB">
      <w:pPr>
        <w:numPr>
          <w:ilvl w:val="0"/>
          <w:numId w:val="1"/>
        </w:numPr>
        <w:spacing w:before="20" w:after="20"/>
        <w:rPr>
          <w:rFonts w:ascii="Garamond" w:eastAsia="Times New Roman" w:hAnsi="Garamond"/>
          <w:color w:val="000000"/>
        </w:rPr>
      </w:pPr>
      <w:r w:rsidRPr="00166DB1">
        <w:rPr>
          <w:rFonts w:ascii="Garamond" w:eastAsia="Times New Roman" w:hAnsi="Garamond"/>
          <w:color w:val="000000"/>
        </w:rPr>
        <w:t>Administrative Support to Pharmacy Schools</w:t>
      </w:r>
    </w:p>
    <w:p w14:paraId="30E25AAF" w14:textId="77777777" w:rsidR="00166DB1" w:rsidRPr="00166DB1" w:rsidRDefault="00166DB1" w:rsidP="009F66FB">
      <w:pPr>
        <w:numPr>
          <w:ilvl w:val="0"/>
          <w:numId w:val="1"/>
        </w:numPr>
        <w:spacing w:before="20" w:after="20"/>
        <w:rPr>
          <w:rFonts w:ascii="Garamond" w:eastAsia="Times New Roman" w:hAnsi="Garamond"/>
          <w:color w:val="000000"/>
        </w:rPr>
      </w:pPr>
      <w:r w:rsidRPr="00166DB1">
        <w:rPr>
          <w:rFonts w:ascii="Garamond" w:eastAsia="Times New Roman" w:hAnsi="Garamond"/>
          <w:color w:val="000000"/>
        </w:rPr>
        <w:t>Continuing Professional Educational Allowance</w:t>
      </w:r>
    </w:p>
    <w:p w14:paraId="76BDB035" w14:textId="77777777" w:rsidR="00166DB1" w:rsidRPr="00166DB1" w:rsidRDefault="00166DB1" w:rsidP="009F66FB">
      <w:pPr>
        <w:numPr>
          <w:ilvl w:val="0"/>
          <w:numId w:val="1"/>
        </w:numPr>
        <w:spacing w:before="20" w:after="20"/>
        <w:rPr>
          <w:rFonts w:ascii="Garamond" w:eastAsia="Times New Roman" w:hAnsi="Garamond"/>
          <w:color w:val="000000"/>
        </w:rPr>
      </w:pPr>
      <w:r w:rsidRPr="00166DB1">
        <w:rPr>
          <w:rFonts w:ascii="Garamond" w:eastAsia="Times New Roman" w:hAnsi="Garamond"/>
          <w:color w:val="000000"/>
        </w:rPr>
        <w:t>Rural Pharmacy Liaison Officer Program, and</w:t>
      </w:r>
    </w:p>
    <w:p w14:paraId="661DC9C7" w14:textId="77777777" w:rsidR="00166DB1" w:rsidRPr="00166DB1" w:rsidRDefault="00166DB1" w:rsidP="009F66FB">
      <w:pPr>
        <w:numPr>
          <w:ilvl w:val="0"/>
          <w:numId w:val="1"/>
        </w:numPr>
        <w:spacing w:before="20" w:after="20"/>
        <w:rPr>
          <w:rFonts w:ascii="Garamond" w:eastAsia="Times New Roman" w:hAnsi="Garamond"/>
          <w:color w:val="000000"/>
        </w:rPr>
      </w:pPr>
      <w:r w:rsidRPr="00166DB1">
        <w:rPr>
          <w:rFonts w:ascii="Garamond" w:eastAsia="Times New Roman" w:hAnsi="Garamond"/>
          <w:color w:val="000000"/>
        </w:rPr>
        <w:t xml:space="preserve">Emergency Locum Service. </w:t>
      </w:r>
    </w:p>
    <w:p w14:paraId="1FD2C01F"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There is one further workforce program funded under the 6CPA that was not within the evaluation scope – the Rural Pharmacy Workforce Allowance. </w:t>
      </w:r>
    </w:p>
    <w:p w14:paraId="73211D28" w14:textId="77777777" w:rsidR="00166DB1" w:rsidRPr="00166DB1" w:rsidRDefault="00166DB1" w:rsidP="00B24642">
      <w:pPr>
        <w:pStyle w:val="Heading3"/>
      </w:pPr>
      <w:bookmarkStart w:id="10" w:name="_Toc523322036"/>
      <w:r w:rsidRPr="00166DB1">
        <w:t>Aboriginal and Torres Strait Islander Workforce Package</w:t>
      </w:r>
      <w:bookmarkEnd w:id="10"/>
    </w:p>
    <w:p w14:paraId="586874B3" w14:textId="77777777" w:rsidR="00166DB1" w:rsidRPr="00166DB1" w:rsidRDefault="00166DB1" w:rsidP="00166DB1">
      <w:pPr>
        <w:keepNext/>
        <w:spacing w:before="85" w:after="85"/>
        <w:rPr>
          <w:rFonts w:ascii="Garamond" w:eastAsia="Garamond" w:hAnsi="Garamond"/>
          <w:color w:val="000000"/>
        </w:rPr>
      </w:pPr>
      <w:r w:rsidRPr="00166DB1">
        <w:rPr>
          <w:rFonts w:ascii="Garamond" w:eastAsia="Garamond" w:hAnsi="Garamond"/>
          <w:color w:val="000000"/>
        </w:rPr>
        <w:t xml:space="preserve">The two Aboriginal and Torres Strait Islander programs within the scope of this evaluation were: </w:t>
      </w:r>
    </w:p>
    <w:p w14:paraId="3A51E9E5" w14:textId="77777777" w:rsidR="00166DB1" w:rsidRPr="00166DB1" w:rsidRDefault="00166DB1" w:rsidP="009F66FB">
      <w:pPr>
        <w:numPr>
          <w:ilvl w:val="0"/>
          <w:numId w:val="1"/>
        </w:numPr>
        <w:spacing w:before="20" w:after="20"/>
        <w:rPr>
          <w:rFonts w:ascii="Garamond" w:eastAsia="Times New Roman" w:hAnsi="Garamond"/>
          <w:color w:val="000000"/>
        </w:rPr>
      </w:pPr>
      <w:r w:rsidRPr="00166DB1">
        <w:rPr>
          <w:rFonts w:ascii="Garamond" w:eastAsia="Times New Roman" w:hAnsi="Garamond"/>
          <w:color w:val="000000"/>
        </w:rPr>
        <w:t xml:space="preserve">Aboriginal and Torres Strait Islander Pharmacy Assistant Traineeship Scheme, and </w:t>
      </w:r>
    </w:p>
    <w:p w14:paraId="7386BB1F" w14:textId="77777777" w:rsidR="00166DB1" w:rsidRPr="00166DB1" w:rsidRDefault="00166DB1" w:rsidP="009F66FB">
      <w:pPr>
        <w:numPr>
          <w:ilvl w:val="0"/>
          <w:numId w:val="1"/>
        </w:numPr>
        <w:spacing w:before="20" w:after="20"/>
        <w:rPr>
          <w:rFonts w:ascii="Garamond" w:eastAsia="Times New Roman" w:hAnsi="Garamond"/>
          <w:color w:val="000000"/>
        </w:rPr>
      </w:pPr>
      <w:r w:rsidRPr="00166DB1">
        <w:rPr>
          <w:rFonts w:ascii="Garamond" w:eastAsia="Times New Roman" w:hAnsi="Garamond"/>
          <w:color w:val="000000"/>
        </w:rPr>
        <w:t>Aboriginal and Torres Strait Islander Pharmacy Scholarship Scheme.</w:t>
      </w:r>
    </w:p>
    <w:p w14:paraId="12C598AA"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lastRenderedPageBreak/>
        <w:t xml:space="preserve">Aboriginal and Torres Strait Islander 6CPA-specific programs not within the scope of this evaluation were: </w:t>
      </w:r>
    </w:p>
    <w:p w14:paraId="417E63BC" w14:textId="77777777" w:rsidR="00166DB1" w:rsidRPr="0086316D" w:rsidRDefault="00166DB1" w:rsidP="009F66FB">
      <w:pPr>
        <w:numPr>
          <w:ilvl w:val="0"/>
          <w:numId w:val="1"/>
        </w:numPr>
        <w:spacing w:before="20" w:after="20"/>
        <w:rPr>
          <w:rFonts w:ascii="Garamond" w:eastAsia="Times New Roman" w:hAnsi="Garamond"/>
          <w:color w:val="000000"/>
        </w:rPr>
      </w:pPr>
      <w:r w:rsidRPr="0086316D">
        <w:rPr>
          <w:rFonts w:ascii="Garamond" w:eastAsia="Times New Roman" w:hAnsi="Garamond"/>
          <w:color w:val="000000"/>
        </w:rPr>
        <w:t xml:space="preserve">QUMAX – Quality use of medicines maximised for Aboriginal and Torres Strait Islander People, and </w:t>
      </w:r>
    </w:p>
    <w:p w14:paraId="28C5030F" w14:textId="77777777" w:rsidR="00166DB1" w:rsidRPr="0086316D" w:rsidRDefault="00166DB1" w:rsidP="009F66FB">
      <w:pPr>
        <w:numPr>
          <w:ilvl w:val="0"/>
          <w:numId w:val="1"/>
        </w:numPr>
        <w:spacing w:before="20" w:after="20"/>
        <w:rPr>
          <w:rFonts w:ascii="Garamond" w:eastAsia="Times New Roman" w:hAnsi="Garamond"/>
          <w:color w:val="000000"/>
        </w:rPr>
      </w:pPr>
      <w:r w:rsidRPr="0086316D">
        <w:rPr>
          <w:rFonts w:ascii="Garamond" w:eastAsia="Times New Roman" w:hAnsi="Garamond"/>
          <w:color w:val="000000"/>
        </w:rPr>
        <w:t xml:space="preserve">S100 Pharmacy Support Allowance. </w:t>
      </w:r>
    </w:p>
    <w:p w14:paraId="29130F2C" w14:textId="373F6F6B" w:rsidR="00166DB1" w:rsidRPr="00166DB1" w:rsidRDefault="00166DB1" w:rsidP="00B24642">
      <w:pPr>
        <w:pStyle w:val="Heading2"/>
      </w:pPr>
      <w:bookmarkStart w:id="11" w:name="_Toc523322037"/>
      <w:r w:rsidRPr="00166DB1">
        <w:t>Evaluation scope</w:t>
      </w:r>
      <w:bookmarkEnd w:id="11"/>
    </w:p>
    <w:p w14:paraId="5B39D1B7"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Under the terms of the RFQ, the project was originally intended to </w:t>
      </w:r>
      <w:r w:rsidRPr="00166DB1">
        <w:rPr>
          <w:rFonts w:ascii="Garamond" w:eastAsia="Garamond" w:hAnsi="Garamond"/>
          <w:i/>
          <w:color w:val="000000"/>
        </w:rPr>
        <w:t xml:space="preserve">undertake a </w:t>
      </w:r>
      <w:r w:rsidRPr="00166DB1">
        <w:rPr>
          <w:rFonts w:ascii="Garamond" w:eastAsia="Garamond" w:hAnsi="Garamond"/>
          <w:i/>
          <w:color w:val="000000"/>
          <w:u w:val="single"/>
        </w:rPr>
        <w:t>cost-effectiveness assessment</w:t>
      </w:r>
      <w:r w:rsidRPr="00166DB1">
        <w:rPr>
          <w:rFonts w:ascii="Garamond" w:eastAsia="Garamond" w:hAnsi="Garamond"/>
          <w:color w:val="000000"/>
        </w:rPr>
        <w:t>. The specification of a cost-effectiveness assessment was consistent with the requirements of review processes stated in Clause 6.1.3 of the 6CPA. However, in discussions between the Department and HMA at the time of the project commencement, it was agreed that the nature of data available on the in</w:t>
      </w:r>
      <w:r w:rsidRPr="00166DB1">
        <w:rPr>
          <w:rFonts w:ascii="Garamond" w:eastAsia="Garamond" w:hAnsi="Garamond"/>
          <w:color w:val="000000"/>
        </w:rPr>
        <w:noBreakHyphen/>
        <w:t xml:space="preserve">scope programs would not enable a true cost-effectiveness study. Therefore, it was agreed the project would undertake a standard evaluation assessment of </w:t>
      </w:r>
      <w:r w:rsidRPr="00166DB1">
        <w:rPr>
          <w:rFonts w:ascii="Garamond" w:eastAsia="Garamond" w:hAnsi="Garamond"/>
          <w:i/>
          <w:color w:val="000000"/>
        </w:rPr>
        <w:t>appropriateness</w:t>
      </w:r>
      <w:r w:rsidRPr="00166DB1">
        <w:rPr>
          <w:rFonts w:ascii="Garamond" w:eastAsia="Garamond" w:hAnsi="Garamond"/>
          <w:color w:val="000000"/>
        </w:rPr>
        <w:t xml:space="preserve">, </w:t>
      </w:r>
      <w:r w:rsidRPr="00166DB1">
        <w:rPr>
          <w:rFonts w:ascii="Garamond" w:eastAsia="Garamond" w:hAnsi="Garamond"/>
          <w:i/>
          <w:color w:val="000000"/>
        </w:rPr>
        <w:t>effectiveness</w:t>
      </w:r>
      <w:r w:rsidRPr="00166DB1">
        <w:rPr>
          <w:rFonts w:ascii="Garamond" w:eastAsia="Garamond" w:hAnsi="Garamond"/>
          <w:color w:val="000000"/>
        </w:rPr>
        <w:t xml:space="preserve"> and </w:t>
      </w:r>
      <w:r w:rsidRPr="00166DB1">
        <w:rPr>
          <w:rFonts w:ascii="Garamond" w:eastAsia="Garamond" w:hAnsi="Garamond"/>
          <w:i/>
          <w:color w:val="000000"/>
        </w:rPr>
        <w:t>efficiency</w:t>
      </w:r>
      <w:r w:rsidRPr="00166DB1">
        <w:rPr>
          <w:rFonts w:ascii="Garamond" w:eastAsia="Garamond" w:hAnsi="Garamond"/>
          <w:color w:val="000000"/>
        </w:rPr>
        <w:t xml:space="preserve"> at both an individual program and a package level. </w:t>
      </w:r>
    </w:p>
    <w:p w14:paraId="542F454D" w14:textId="5F4638C0"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A needs assessment approach was used to inform data collection processes for the evaluation. These processes are detailed in Chapter 3.</w:t>
      </w:r>
    </w:p>
    <w:p w14:paraId="3482836C" w14:textId="22EC5359"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It is important to note that, while the broad objective of the Rural Pharmacy Workforce Programs is to increase the number of pharmacists servicing rural communities, the drivers for pharmacists to move into or away from rural practice are complex. Barriers to rural practice that can be addressed by government-funded workforce programs can include financial disincentives associated with non-metropolitan practice. However, other barriers that may be influenced by attitudes and behaviours are less amenable to influence by a program intervention, such as the influence of partners and family on where pharmacists wish to practise. This is particularly relevant given the majority of pharmacists are women (59%), who are more likely to follow their partner’s work location if they take parental leave or rely on their partner’s income.</w:t>
      </w:r>
      <w:sdt>
        <w:sdtPr>
          <w:rPr>
            <w:rFonts w:ascii="Garamond" w:eastAsia="Garamond" w:hAnsi="Garamond"/>
            <w:color w:val="000000"/>
          </w:rPr>
          <w:id w:val="-491025878"/>
          <w:citation/>
        </w:sdtPr>
        <w:sdtEndPr/>
        <w:sdtContent>
          <w:r w:rsidRPr="00166DB1">
            <w:rPr>
              <w:rFonts w:ascii="Garamond" w:eastAsia="Garamond" w:hAnsi="Garamond"/>
              <w:color w:val="000000"/>
            </w:rPr>
            <w:fldChar w:fldCharType="begin"/>
          </w:r>
          <w:r w:rsidRPr="00166DB1">
            <w:rPr>
              <w:rFonts w:ascii="Garamond" w:eastAsia="Garamond" w:hAnsi="Garamond"/>
              <w:color w:val="000000"/>
            </w:rPr>
            <w:instrText xml:space="preserve"> CITATION Aus141 \l 3081 </w:instrText>
          </w:r>
          <w:r w:rsidRPr="00166DB1">
            <w:rPr>
              <w:rFonts w:ascii="Garamond" w:eastAsia="Garamond" w:hAnsi="Garamond"/>
              <w:color w:val="000000"/>
            </w:rPr>
            <w:fldChar w:fldCharType="separate"/>
          </w:r>
          <w:r w:rsidRPr="00166DB1">
            <w:rPr>
              <w:rFonts w:ascii="Garamond" w:eastAsia="Garamond" w:hAnsi="Garamond"/>
              <w:noProof/>
              <w:color w:val="000000"/>
            </w:rPr>
            <w:t xml:space="preserve"> [3]</w:t>
          </w:r>
          <w:r w:rsidRPr="00166DB1">
            <w:rPr>
              <w:rFonts w:ascii="Garamond" w:eastAsia="Garamond" w:hAnsi="Garamond"/>
              <w:color w:val="000000"/>
            </w:rPr>
            <w:fldChar w:fldCharType="end"/>
          </w:r>
        </w:sdtContent>
      </w:sdt>
    </w:p>
    <w:p w14:paraId="0DF8A805" w14:textId="23FBF92A"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Examination of such drivers is beyond the scope of the current review. But their impact on rural workforce recruitment and retention is significant and must be considered alongside the analysis presented in this paper.</w:t>
      </w:r>
    </w:p>
    <w:p w14:paraId="17527CDE" w14:textId="77777777" w:rsidR="00166DB1" w:rsidRPr="00166DB1" w:rsidRDefault="00166DB1" w:rsidP="00B24642">
      <w:pPr>
        <w:pStyle w:val="Heading2"/>
      </w:pPr>
      <w:bookmarkStart w:id="12" w:name="_Toc523322038"/>
      <w:r w:rsidRPr="00166DB1">
        <w:t>Document purpose and structure</w:t>
      </w:r>
      <w:bookmarkEnd w:id="12"/>
    </w:p>
    <w:p w14:paraId="528D1B34"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The purpose of the </w:t>
      </w:r>
      <w:r w:rsidRPr="00166DB1">
        <w:rPr>
          <w:rFonts w:ascii="Garamond" w:eastAsia="Garamond" w:hAnsi="Garamond"/>
          <w:i/>
          <w:color w:val="000000"/>
        </w:rPr>
        <w:t>Final Report</w:t>
      </w:r>
      <w:r w:rsidRPr="00166DB1">
        <w:rPr>
          <w:rFonts w:ascii="Garamond" w:eastAsia="Garamond" w:hAnsi="Garamond"/>
          <w:color w:val="000000"/>
        </w:rPr>
        <w:t xml:space="preserve"> (this document, also referred to as Volume 1) is to summarise the evaluation findings for the Rural Workforce programs and the Aboriginal and Torres Strait Islander Workforce programs at a package level. This includes analysis of the packages’ appropriateness, effectiveness and efficiency. </w:t>
      </w:r>
    </w:p>
    <w:p w14:paraId="0A596978"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The Final Report is structured as follows:</w:t>
      </w:r>
    </w:p>
    <w:p w14:paraId="232FD053" w14:textId="77777777" w:rsidR="00166DB1" w:rsidRPr="0086316D" w:rsidRDefault="00166DB1" w:rsidP="00483C21">
      <w:pPr>
        <w:pStyle w:val="Bullets1"/>
      </w:pPr>
      <w:r w:rsidRPr="0086316D">
        <w:t>Part A: Context</w:t>
      </w:r>
    </w:p>
    <w:p w14:paraId="7C57CEAD" w14:textId="77777777" w:rsidR="00166DB1" w:rsidRPr="0086316D" w:rsidRDefault="00166DB1" w:rsidP="00483C21">
      <w:pPr>
        <w:pStyle w:val="Bullets2"/>
      </w:pPr>
      <w:r w:rsidRPr="0086316D">
        <w:t>Chapter 2: Overview of the programs</w:t>
      </w:r>
    </w:p>
    <w:p w14:paraId="4FA0AA79" w14:textId="77777777" w:rsidR="00166DB1" w:rsidRPr="0086316D" w:rsidRDefault="00166DB1" w:rsidP="00483C21">
      <w:pPr>
        <w:pStyle w:val="Bullets2"/>
      </w:pPr>
      <w:r w:rsidRPr="0086316D">
        <w:t>Chapter 3: Methodology</w:t>
      </w:r>
    </w:p>
    <w:p w14:paraId="61B8C5E3" w14:textId="77777777" w:rsidR="00166DB1" w:rsidRPr="0086316D" w:rsidRDefault="00166DB1" w:rsidP="00483C21">
      <w:pPr>
        <w:pStyle w:val="Bullets1"/>
      </w:pPr>
      <w:r w:rsidRPr="0086316D">
        <w:t>Part B: Findings</w:t>
      </w:r>
    </w:p>
    <w:p w14:paraId="088C7ED1" w14:textId="77777777" w:rsidR="00166DB1" w:rsidRPr="00166DB1" w:rsidRDefault="00166DB1" w:rsidP="00483C21">
      <w:pPr>
        <w:pStyle w:val="Bullets2"/>
      </w:pPr>
      <w:r w:rsidRPr="00166DB1">
        <w:t>Chapter 4: Appropriateness</w:t>
      </w:r>
    </w:p>
    <w:p w14:paraId="10E9DA3E" w14:textId="77777777" w:rsidR="00166DB1" w:rsidRPr="00166DB1" w:rsidRDefault="00166DB1" w:rsidP="00483C21">
      <w:pPr>
        <w:pStyle w:val="Bullets2"/>
      </w:pPr>
      <w:r w:rsidRPr="00166DB1">
        <w:t>Chapter 5: Effectiveness</w:t>
      </w:r>
    </w:p>
    <w:p w14:paraId="7666267B" w14:textId="77777777" w:rsidR="00166DB1" w:rsidRPr="00166DB1" w:rsidRDefault="00166DB1" w:rsidP="00483C21">
      <w:pPr>
        <w:pStyle w:val="Bullets2"/>
      </w:pPr>
      <w:r w:rsidRPr="00166DB1">
        <w:t>Chapter 6: Efficiency</w:t>
      </w:r>
    </w:p>
    <w:p w14:paraId="47DF3219" w14:textId="77777777" w:rsidR="00166DB1" w:rsidRPr="00166DB1" w:rsidRDefault="00166DB1" w:rsidP="00483C21">
      <w:pPr>
        <w:pStyle w:val="Bullets2"/>
      </w:pPr>
      <w:r w:rsidRPr="00166DB1">
        <w:t>Chapter 7: Conclusion and options for future development, and</w:t>
      </w:r>
    </w:p>
    <w:p w14:paraId="5891B4D5" w14:textId="77777777" w:rsidR="00166DB1" w:rsidRPr="00166DB1" w:rsidRDefault="00166DB1" w:rsidP="00483C21">
      <w:pPr>
        <w:pStyle w:val="Bullets2"/>
      </w:pPr>
      <w:r w:rsidRPr="00166DB1">
        <w:t>Chapter 8: Appendices.</w:t>
      </w:r>
    </w:p>
    <w:p w14:paraId="68D341B8"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The package level analysis was made possible by evaluation findings at a detailed program level for each of the 12 programs, contained in the </w:t>
      </w:r>
      <w:r w:rsidRPr="00166DB1">
        <w:rPr>
          <w:rFonts w:ascii="Garamond" w:eastAsia="Garamond" w:hAnsi="Garamond"/>
          <w:i/>
          <w:color w:val="000000"/>
        </w:rPr>
        <w:t xml:space="preserve">Detailed Analysis of Workforce Programs </w:t>
      </w:r>
      <w:r w:rsidRPr="00166DB1">
        <w:rPr>
          <w:rFonts w:ascii="Garamond" w:eastAsia="Garamond" w:hAnsi="Garamond"/>
          <w:color w:val="000000"/>
        </w:rPr>
        <w:t>(Volume 2).</w:t>
      </w:r>
    </w:p>
    <w:p w14:paraId="0B8D10BB" w14:textId="65DCAE15" w:rsid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Data collection tools and reports, including the literature review, are included in the </w:t>
      </w:r>
      <w:r w:rsidRPr="00166DB1">
        <w:rPr>
          <w:rFonts w:ascii="Garamond" w:eastAsia="Garamond" w:hAnsi="Garamond"/>
          <w:i/>
          <w:color w:val="000000"/>
        </w:rPr>
        <w:t>Technical Paper</w:t>
      </w:r>
      <w:r w:rsidRPr="00166DB1">
        <w:rPr>
          <w:rFonts w:ascii="Garamond" w:eastAsia="Garamond" w:hAnsi="Garamond"/>
          <w:color w:val="000000"/>
        </w:rPr>
        <w:t xml:space="preserve"> (Volume 3).</w:t>
      </w:r>
    </w:p>
    <w:p w14:paraId="7DD53FED" w14:textId="77777777" w:rsidR="00112926" w:rsidRPr="00166DB1" w:rsidRDefault="00112926" w:rsidP="00166DB1">
      <w:pPr>
        <w:spacing w:before="85" w:after="85"/>
        <w:rPr>
          <w:rFonts w:ascii="Garamond" w:eastAsia="Garamond" w:hAnsi="Garamond"/>
          <w:color w:val="000000"/>
        </w:rPr>
      </w:pPr>
    </w:p>
    <w:p w14:paraId="2B037BC3" w14:textId="77777777" w:rsidR="00112926" w:rsidRDefault="00112926" w:rsidP="00166DB1">
      <w:pPr>
        <w:spacing w:before="85" w:after="85"/>
        <w:rPr>
          <w:rFonts w:ascii="Garamond" w:eastAsia="Garamond" w:hAnsi="Garamond"/>
          <w:color w:val="000000"/>
        </w:rPr>
        <w:sectPr w:rsidR="00112926" w:rsidSect="00112926">
          <w:headerReference w:type="default" r:id="rId23"/>
          <w:pgSz w:w="16839" w:h="11907" w:orient="landscape" w:code="9"/>
          <w:pgMar w:top="2268" w:right="1304" w:bottom="850" w:left="737" w:header="567" w:footer="284" w:gutter="0"/>
          <w:cols w:num="2" w:space="709"/>
          <w:titlePg/>
          <w:docGrid w:linePitch="360"/>
        </w:sectPr>
      </w:pPr>
    </w:p>
    <w:p w14:paraId="5B945F02" w14:textId="77777777" w:rsidR="00112926" w:rsidRPr="000121A1" w:rsidRDefault="00112926" w:rsidP="00B24642">
      <w:pPr>
        <w:pStyle w:val="Heading1"/>
        <w:rPr>
          <w:lang w:val="en-US"/>
        </w:rPr>
      </w:pPr>
      <w:bookmarkStart w:id="13" w:name="_Toc523322039"/>
      <w:r>
        <w:rPr>
          <w:lang w:val="en-US"/>
        </w:rPr>
        <w:lastRenderedPageBreak/>
        <w:t>Overview of the Programs</w:t>
      </w:r>
      <w:bookmarkEnd w:id="13"/>
    </w:p>
    <w:p w14:paraId="1B479A85" w14:textId="77777777" w:rsidR="00112926" w:rsidRDefault="00112926" w:rsidP="00B24642">
      <w:pPr>
        <w:pStyle w:val="Heading1"/>
        <w:sectPr w:rsidR="00112926" w:rsidSect="00112926">
          <w:headerReference w:type="default" r:id="rId24"/>
          <w:type w:val="continuous"/>
          <w:pgSz w:w="16839" w:h="11907" w:orient="landscape" w:code="9"/>
          <w:pgMar w:top="2268" w:right="1304" w:bottom="850" w:left="737" w:header="567" w:footer="284" w:gutter="0"/>
          <w:cols w:space="709"/>
          <w:titlePg/>
          <w:docGrid w:linePitch="360"/>
        </w:sectPr>
      </w:pPr>
    </w:p>
    <w:p w14:paraId="31CDB441" w14:textId="7322DB65" w:rsidR="00166DB1" w:rsidRPr="00166DB1" w:rsidRDefault="00166DB1" w:rsidP="00B24642">
      <w:pPr>
        <w:pStyle w:val="Heading2"/>
      </w:pPr>
      <w:bookmarkStart w:id="14" w:name="_Toc523322040"/>
      <w:r w:rsidRPr="00166DB1">
        <w:t>Context</w:t>
      </w:r>
      <w:bookmarkEnd w:id="14"/>
      <w:r w:rsidRPr="00166DB1">
        <w:t xml:space="preserve"> </w:t>
      </w:r>
    </w:p>
    <w:p w14:paraId="3B890139" w14:textId="77777777" w:rsidR="00166DB1" w:rsidRPr="00166DB1" w:rsidRDefault="00166DB1" w:rsidP="00166DB1">
      <w:pPr>
        <w:spacing w:before="85" w:after="85"/>
        <w:rPr>
          <w:rFonts w:ascii="Garamond" w:eastAsia="Times New Roman" w:hAnsi="Garamond"/>
          <w:color w:val="000000"/>
        </w:rPr>
      </w:pPr>
      <w:r w:rsidRPr="00166DB1">
        <w:rPr>
          <w:rFonts w:ascii="Garamond" w:eastAsia="Times New Roman" w:hAnsi="Garamond"/>
          <w:color w:val="000000"/>
        </w:rPr>
        <w:t xml:space="preserve">The 6CPA specifies that community pharmacy programs under the Agreement have an ‘indicative allocation’ of </w:t>
      </w:r>
      <w:r w:rsidRPr="00166DB1">
        <w:rPr>
          <w:rFonts w:ascii="Times New Roman" w:eastAsia="Times New Roman" w:hAnsi="Times New Roman"/>
          <w:color w:val="000000"/>
        </w:rPr>
        <w:t>$</w:t>
      </w:r>
      <w:r w:rsidRPr="00166DB1">
        <w:rPr>
          <w:rFonts w:ascii="Garamond" w:eastAsia="Times New Roman" w:hAnsi="Garamond"/>
          <w:color w:val="000000"/>
        </w:rPr>
        <w:t xml:space="preserve">177.3m in the first year. This includes provision for </w:t>
      </w:r>
      <w:r w:rsidRPr="00166DB1">
        <w:rPr>
          <w:rFonts w:ascii="Times New Roman" w:eastAsia="Times New Roman" w:hAnsi="Times New Roman"/>
          <w:color w:val="000000"/>
        </w:rPr>
        <w:t>$</w:t>
      </w:r>
      <w:r w:rsidRPr="00166DB1">
        <w:rPr>
          <w:rFonts w:ascii="Garamond" w:eastAsia="Times New Roman" w:hAnsi="Garamond"/>
          <w:color w:val="000000"/>
        </w:rPr>
        <w:t xml:space="preserve">6.9m for the </w:t>
      </w:r>
      <w:r w:rsidRPr="00166DB1">
        <w:rPr>
          <w:rFonts w:ascii="Garamond" w:eastAsia="Times New Roman" w:hAnsi="Garamond"/>
          <w:i/>
          <w:color w:val="000000"/>
        </w:rPr>
        <w:t>Rural Workforce Package</w:t>
      </w:r>
      <w:r w:rsidRPr="00166DB1">
        <w:rPr>
          <w:rFonts w:ascii="Garamond" w:eastAsia="Times New Roman" w:hAnsi="Garamond"/>
          <w:color w:val="000000"/>
        </w:rPr>
        <w:t xml:space="preserve"> and </w:t>
      </w:r>
      <w:r w:rsidRPr="00166DB1">
        <w:rPr>
          <w:rFonts w:ascii="Times New Roman" w:eastAsia="Times New Roman" w:hAnsi="Times New Roman"/>
          <w:color w:val="000000"/>
        </w:rPr>
        <w:t>$</w:t>
      </w:r>
      <w:r w:rsidRPr="00166DB1">
        <w:rPr>
          <w:rFonts w:ascii="Garamond" w:eastAsia="Times New Roman" w:hAnsi="Garamond"/>
          <w:color w:val="000000"/>
        </w:rPr>
        <w:t xml:space="preserve">0.3m for the </w:t>
      </w:r>
      <w:r w:rsidRPr="00166DB1">
        <w:rPr>
          <w:rFonts w:ascii="Garamond" w:eastAsia="Times New Roman" w:hAnsi="Garamond"/>
          <w:i/>
          <w:color w:val="000000"/>
        </w:rPr>
        <w:t>Aboriginal and Torres Strait Islander Workforce Package</w:t>
      </w:r>
      <w:r w:rsidRPr="00166DB1">
        <w:rPr>
          <w:rFonts w:ascii="Garamond" w:eastAsia="Times New Roman" w:hAnsi="Garamond"/>
          <w:color w:val="000000"/>
        </w:rPr>
        <w:t xml:space="preserve">. </w:t>
      </w:r>
    </w:p>
    <w:p w14:paraId="1200B8DC" w14:textId="77777777" w:rsidR="00166DB1" w:rsidRPr="00166DB1" w:rsidRDefault="00166DB1" w:rsidP="00166DB1">
      <w:pPr>
        <w:spacing w:before="85" w:after="85"/>
        <w:rPr>
          <w:rFonts w:ascii="Garamond" w:eastAsia="Times New Roman" w:hAnsi="Garamond"/>
          <w:color w:val="000000"/>
        </w:rPr>
      </w:pPr>
      <w:r w:rsidRPr="00166DB1">
        <w:rPr>
          <w:rFonts w:ascii="Garamond" w:eastAsia="Times New Roman" w:hAnsi="Garamond"/>
          <w:color w:val="000000"/>
        </w:rPr>
        <w:t xml:space="preserve">In the context of the 6CPA, HMA observes that the value of the 12 in-scope programs is small - </w:t>
      </w:r>
      <w:r w:rsidRPr="00166DB1">
        <w:rPr>
          <w:rFonts w:ascii="Times New Roman" w:eastAsia="Times New Roman" w:hAnsi="Times New Roman"/>
          <w:color w:val="000000"/>
        </w:rPr>
        <w:t>$</w:t>
      </w:r>
      <w:r w:rsidRPr="00166DB1">
        <w:rPr>
          <w:rFonts w:ascii="Garamond" w:eastAsia="Times New Roman" w:hAnsi="Garamond"/>
          <w:color w:val="000000"/>
        </w:rPr>
        <w:t>7.2m or 4.1% of 6CPA community pharmacy program allocations. We consider this resource allocation potentially limits the capacity of the programs to facilitate significant change in response to problems. Whether this level of funding is suitable depends on an assessment of program funding adequacy relative to the size of the underlying problem. We will return to this question in our assessment of the programs’ appropriateness (see Chapter 4) and effectiveness (see Chapter 5).</w:t>
      </w:r>
    </w:p>
    <w:p w14:paraId="40C07889" w14:textId="77777777" w:rsidR="00166DB1" w:rsidRPr="00166DB1" w:rsidRDefault="00166DB1" w:rsidP="0086316D">
      <w:pPr>
        <w:pStyle w:val="KeyFinding"/>
        <w:shd w:val="clear" w:color="auto" w:fill="F2F2F2" w:themeFill="background1" w:themeFillShade="F2"/>
      </w:pPr>
      <w:bookmarkStart w:id="15" w:name="_Ref490676609"/>
      <w:r w:rsidRPr="00166DB1">
        <w:t xml:space="preserve">The small funding allocation to Pharmacy Workforce Programs of </w:t>
      </w:r>
      <w:r w:rsidRPr="00166DB1">
        <w:rPr>
          <w:rFonts w:ascii="Times New Roman" w:hAnsi="Times New Roman"/>
        </w:rPr>
        <w:t>$</w:t>
      </w:r>
      <w:r w:rsidRPr="00166DB1">
        <w:t>7.2m over the five years of the 6CPA limits their capacity to support sizeable change in response to rural or Aboriginal and Torres Strait Islander workforce problems.</w:t>
      </w:r>
      <w:bookmarkEnd w:id="15"/>
      <w:r w:rsidRPr="00166DB1">
        <w:t xml:space="preserve"> </w:t>
      </w:r>
    </w:p>
    <w:p w14:paraId="32DCE47B" w14:textId="77777777" w:rsidR="00166DB1" w:rsidRPr="00166DB1" w:rsidRDefault="00166DB1" w:rsidP="00B24642">
      <w:pPr>
        <w:pStyle w:val="Heading2"/>
      </w:pPr>
      <w:bookmarkStart w:id="16" w:name="_Ref492987606"/>
      <w:bookmarkStart w:id="17" w:name="_Toc523322041"/>
      <w:r w:rsidRPr="00166DB1">
        <w:t>Program objectives and program aims</w:t>
      </w:r>
      <w:bookmarkEnd w:id="16"/>
      <w:bookmarkEnd w:id="17"/>
    </w:p>
    <w:p w14:paraId="5F360BD0"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Evaluation of any program is enhanced by the clear articulation of its objectives. Program performance is then tested against these objectives by an assessment of appropriateness, effectiveness and efficiency. A suitable program objective for any public policy intervention has the following features. It is:</w:t>
      </w:r>
    </w:p>
    <w:p w14:paraId="37700F31" w14:textId="77777777" w:rsidR="00166DB1" w:rsidRPr="0086316D" w:rsidRDefault="00166DB1" w:rsidP="009F66FB">
      <w:pPr>
        <w:pStyle w:val="ListParagraph"/>
        <w:numPr>
          <w:ilvl w:val="0"/>
          <w:numId w:val="15"/>
        </w:numPr>
        <w:tabs>
          <w:tab w:val="num" w:pos="170"/>
        </w:tabs>
        <w:spacing w:before="20" w:after="20"/>
        <w:rPr>
          <w:rFonts w:ascii="Garamond" w:eastAsia="Times New Roman" w:hAnsi="Garamond"/>
          <w:color w:val="000000"/>
        </w:rPr>
      </w:pPr>
      <w:r w:rsidRPr="0086316D">
        <w:rPr>
          <w:rFonts w:ascii="Garamond" w:eastAsia="Times New Roman" w:hAnsi="Garamond"/>
          <w:color w:val="000000"/>
        </w:rPr>
        <w:t>Specific, including a statement of ‘who’, ‘what’, ‘where’ and ‘why’</w:t>
      </w:r>
    </w:p>
    <w:p w14:paraId="6103A277" w14:textId="77777777" w:rsidR="00166DB1" w:rsidRPr="00166DB1" w:rsidRDefault="00166DB1" w:rsidP="009F66FB">
      <w:pPr>
        <w:pStyle w:val="ListParagraph"/>
        <w:numPr>
          <w:ilvl w:val="0"/>
          <w:numId w:val="15"/>
        </w:numPr>
        <w:tabs>
          <w:tab w:val="num" w:pos="170"/>
        </w:tabs>
        <w:spacing w:before="20" w:after="20"/>
        <w:rPr>
          <w:rFonts w:ascii="Garamond" w:eastAsia="Times New Roman" w:hAnsi="Garamond"/>
          <w:color w:val="000000"/>
        </w:rPr>
      </w:pPr>
      <w:r w:rsidRPr="00166DB1">
        <w:rPr>
          <w:rFonts w:ascii="Garamond" w:eastAsia="Times New Roman" w:hAnsi="Garamond"/>
          <w:color w:val="000000"/>
        </w:rPr>
        <w:t>Measurable: focuses on ‘how much’ change is expected</w:t>
      </w:r>
    </w:p>
    <w:p w14:paraId="637C9D00" w14:textId="77777777" w:rsidR="00166DB1" w:rsidRPr="00166DB1" w:rsidRDefault="00166DB1" w:rsidP="009F66FB">
      <w:pPr>
        <w:pStyle w:val="ListParagraph"/>
        <w:numPr>
          <w:ilvl w:val="0"/>
          <w:numId w:val="15"/>
        </w:numPr>
        <w:tabs>
          <w:tab w:val="num" w:pos="170"/>
        </w:tabs>
        <w:spacing w:before="20" w:after="20"/>
        <w:rPr>
          <w:rFonts w:ascii="Garamond" w:eastAsia="Times New Roman" w:hAnsi="Garamond"/>
          <w:color w:val="000000"/>
        </w:rPr>
      </w:pPr>
      <w:r w:rsidRPr="00166DB1">
        <w:rPr>
          <w:rFonts w:ascii="Garamond" w:eastAsia="Times New Roman" w:hAnsi="Garamond"/>
          <w:color w:val="000000"/>
        </w:rPr>
        <w:t>Achievable: realistic given program resources and planned implementation, and</w:t>
      </w:r>
    </w:p>
    <w:p w14:paraId="3E9FE6D0" w14:textId="77777777" w:rsidR="00166DB1" w:rsidRPr="00166DB1" w:rsidRDefault="00166DB1" w:rsidP="009F66FB">
      <w:pPr>
        <w:pStyle w:val="ListParagraph"/>
        <w:numPr>
          <w:ilvl w:val="0"/>
          <w:numId w:val="15"/>
        </w:numPr>
        <w:tabs>
          <w:tab w:val="num" w:pos="170"/>
        </w:tabs>
        <w:spacing w:before="20" w:after="20"/>
        <w:rPr>
          <w:rFonts w:ascii="Garamond" w:eastAsia="Times New Roman" w:hAnsi="Garamond"/>
          <w:color w:val="000000"/>
        </w:rPr>
      </w:pPr>
      <w:r w:rsidRPr="00166DB1">
        <w:rPr>
          <w:rFonts w:ascii="Garamond" w:eastAsia="Times New Roman" w:hAnsi="Garamond"/>
          <w:color w:val="000000"/>
        </w:rPr>
        <w:t>Time-bound: focuses on ‘when’ the objective will be achieved</w:t>
      </w:r>
    </w:p>
    <w:p w14:paraId="17667CED"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Based on our review of the program documentation, we consider there are limitations to the Pharmacy Workforce Program objectives.</w:t>
      </w:r>
    </w:p>
    <w:p w14:paraId="51D34EE3"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The 6CPA states that the Rural Workforce Package seeks to:</w:t>
      </w:r>
    </w:p>
    <w:p w14:paraId="32863C8C" w14:textId="77777777" w:rsidR="00166DB1" w:rsidRPr="00166DB1" w:rsidRDefault="00166DB1" w:rsidP="00166DB1">
      <w:pPr>
        <w:spacing w:before="85" w:after="85"/>
        <w:ind w:left="284" w:right="284"/>
        <w:rPr>
          <w:rFonts w:ascii="Times New Roman" w:eastAsia="Garamond" w:hAnsi="Times New Roman"/>
          <w:i/>
          <w:iCs/>
          <w:color w:val="000000"/>
          <w:sz w:val="20"/>
        </w:rPr>
      </w:pPr>
      <w:r w:rsidRPr="00166DB1" w:rsidDel="003D4B1E">
        <w:rPr>
          <w:rFonts w:ascii="Times New Roman" w:eastAsia="Garamond" w:hAnsi="Times New Roman"/>
          <w:i/>
          <w:iCs/>
          <w:color w:val="000000"/>
          <w:sz w:val="20"/>
        </w:rPr>
        <w:t xml:space="preserve"> </w:t>
      </w:r>
      <w:r w:rsidRPr="00166DB1">
        <w:rPr>
          <w:rFonts w:ascii="Times New Roman" w:eastAsia="Garamond" w:hAnsi="Times New Roman"/>
          <w:i/>
          <w:iCs/>
          <w:color w:val="000000"/>
          <w:sz w:val="20"/>
        </w:rPr>
        <w:t>‘fund a range of initiatives designed to</w:t>
      </w:r>
      <w:r w:rsidRPr="00166DB1">
        <w:rPr>
          <w:rFonts w:ascii="Times New Roman" w:eastAsia="Garamond" w:hAnsi="Times New Roman"/>
          <w:b/>
          <w:i/>
          <w:iCs/>
          <w:color w:val="000000"/>
          <w:sz w:val="20"/>
        </w:rPr>
        <w:t xml:space="preserve"> strengthen and support the rural pharmacy workforce</w:t>
      </w:r>
      <w:r w:rsidRPr="00166DB1">
        <w:rPr>
          <w:rFonts w:ascii="Times New Roman" w:eastAsia="Garamond" w:hAnsi="Times New Roman"/>
          <w:i/>
          <w:iCs/>
          <w:color w:val="000000"/>
          <w:sz w:val="20"/>
        </w:rPr>
        <w:t xml:space="preserve">, in turn </w:t>
      </w:r>
      <w:r w:rsidRPr="00166DB1">
        <w:rPr>
          <w:rFonts w:ascii="Times New Roman" w:eastAsia="Garamond" w:hAnsi="Times New Roman"/>
          <w:b/>
          <w:i/>
          <w:iCs/>
          <w:color w:val="000000"/>
          <w:sz w:val="20"/>
        </w:rPr>
        <w:t>to provide increased access to quality pharmacy services for consumers residing in rural and remote regions</w:t>
      </w:r>
      <w:r w:rsidRPr="00166DB1">
        <w:rPr>
          <w:rFonts w:ascii="Times New Roman" w:eastAsia="Garamond" w:hAnsi="Times New Roman"/>
          <w:i/>
          <w:iCs/>
          <w:color w:val="000000"/>
          <w:sz w:val="20"/>
        </w:rPr>
        <w:t xml:space="preserve"> of Australia’. </w:t>
      </w:r>
    </w:p>
    <w:p w14:paraId="62CD97C8" w14:textId="77777777" w:rsidR="00166DB1" w:rsidRPr="00166DB1" w:rsidRDefault="00166DB1" w:rsidP="00166DB1">
      <w:pPr>
        <w:spacing w:before="85" w:after="85"/>
        <w:jc w:val="right"/>
        <w:rPr>
          <w:rFonts w:ascii="Garamond" w:eastAsia="Garamond" w:hAnsi="Garamond"/>
          <w:color w:val="000000"/>
        </w:rPr>
      </w:pPr>
      <w:r w:rsidRPr="00166DB1">
        <w:rPr>
          <w:rFonts w:ascii="Garamond" w:eastAsia="Garamond" w:hAnsi="Garamond"/>
          <w:color w:val="000000"/>
        </w:rPr>
        <w:t>[HMA bolding]</w:t>
      </w:r>
    </w:p>
    <w:p w14:paraId="0444B418" w14:textId="77777777" w:rsidR="00166DB1" w:rsidRPr="00166DB1" w:rsidRDefault="00166DB1" w:rsidP="00166DB1">
      <w:pPr>
        <w:spacing w:before="85" w:after="85"/>
        <w:rPr>
          <w:rFonts w:ascii="Garamond" w:eastAsia="Times New Roman" w:hAnsi="Garamond"/>
          <w:color w:val="000000"/>
        </w:rPr>
      </w:pPr>
      <w:r w:rsidRPr="00166DB1">
        <w:rPr>
          <w:rFonts w:ascii="Garamond" w:eastAsia="Garamond" w:hAnsi="Garamond"/>
          <w:color w:val="000000"/>
        </w:rPr>
        <w:t xml:space="preserve">The purpose of the </w:t>
      </w:r>
      <w:r w:rsidRPr="00166DB1">
        <w:rPr>
          <w:rFonts w:ascii="Garamond" w:eastAsia="Times New Roman" w:hAnsi="Garamond"/>
          <w:color w:val="000000"/>
        </w:rPr>
        <w:t xml:space="preserve">Aboriginal and Torres Strait Islander Workforce Package is framed in similar terms. Its aims to: </w:t>
      </w:r>
    </w:p>
    <w:p w14:paraId="5ABDA76D" w14:textId="77777777" w:rsidR="00166DB1" w:rsidRPr="00166DB1" w:rsidRDefault="00166DB1" w:rsidP="00166DB1">
      <w:pPr>
        <w:spacing w:before="85" w:after="85"/>
        <w:ind w:left="284" w:right="284"/>
        <w:rPr>
          <w:rFonts w:ascii="Times New Roman" w:eastAsia="Garamond" w:hAnsi="Times New Roman"/>
          <w:i/>
          <w:iCs/>
          <w:color w:val="000000"/>
          <w:sz w:val="20"/>
        </w:rPr>
      </w:pPr>
      <w:r w:rsidRPr="00166DB1">
        <w:rPr>
          <w:rFonts w:ascii="Times New Roman" w:eastAsia="Garamond" w:hAnsi="Times New Roman"/>
          <w:i/>
          <w:iCs/>
          <w:color w:val="000000"/>
          <w:sz w:val="20"/>
        </w:rPr>
        <w:t xml:space="preserve">‘fund a range of initiatives designed to </w:t>
      </w:r>
      <w:r w:rsidRPr="00166DB1">
        <w:rPr>
          <w:rFonts w:ascii="Times New Roman" w:eastAsia="Garamond" w:hAnsi="Times New Roman"/>
          <w:b/>
          <w:i/>
          <w:iCs/>
          <w:color w:val="000000"/>
          <w:sz w:val="20"/>
        </w:rPr>
        <w:t xml:space="preserve">strengthen and support the ATSI </w:t>
      </w:r>
      <w:r w:rsidRPr="00166DB1">
        <w:rPr>
          <w:rFonts w:ascii="Times New Roman" w:eastAsia="Garamond" w:hAnsi="Times New Roman"/>
          <w:i/>
          <w:iCs/>
          <w:color w:val="000000"/>
          <w:sz w:val="20"/>
        </w:rPr>
        <w:t xml:space="preserve">(sic) </w:t>
      </w:r>
      <w:r w:rsidRPr="00166DB1">
        <w:rPr>
          <w:rFonts w:ascii="Times New Roman" w:eastAsia="Garamond" w:hAnsi="Times New Roman"/>
          <w:b/>
          <w:i/>
          <w:iCs/>
          <w:color w:val="000000"/>
          <w:sz w:val="20"/>
        </w:rPr>
        <w:t>pharmacy workforce</w:t>
      </w:r>
      <w:r w:rsidRPr="00166DB1">
        <w:rPr>
          <w:rFonts w:ascii="Times New Roman" w:eastAsia="Garamond" w:hAnsi="Times New Roman"/>
          <w:i/>
          <w:iCs/>
          <w:color w:val="000000"/>
          <w:sz w:val="20"/>
        </w:rPr>
        <w:t xml:space="preserve">, which in turn will </w:t>
      </w:r>
      <w:r w:rsidRPr="00166DB1">
        <w:rPr>
          <w:rFonts w:ascii="Times New Roman" w:eastAsia="Garamond" w:hAnsi="Times New Roman"/>
          <w:b/>
          <w:i/>
          <w:iCs/>
          <w:color w:val="000000"/>
          <w:sz w:val="20"/>
        </w:rPr>
        <w:t xml:space="preserve">provide improved, culturally-appropriate pharmacy services for ATSI </w:t>
      </w:r>
      <w:r w:rsidRPr="00166DB1">
        <w:rPr>
          <w:rFonts w:ascii="Times New Roman" w:eastAsia="Garamond" w:hAnsi="Times New Roman"/>
          <w:i/>
          <w:iCs/>
          <w:color w:val="000000"/>
          <w:sz w:val="20"/>
        </w:rPr>
        <w:t xml:space="preserve">(sic) </w:t>
      </w:r>
      <w:r w:rsidRPr="00166DB1">
        <w:rPr>
          <w:rFonts w:ascii="Times New Roman" w:eastAsia="Garamond" w:hAnsi="Times New Roman"/>
          <w:b/>
          <w:i/>
          <w:iCs/>
          <w:color w:val="000000"/>
          <w:sz w:val="20"/>
        </w:rPr>
        <w:t>consumers’</w:t>
      </w:r>
      <w:r w:rsidRPr="00166DB1">
        <w:rPr>
          <w:rFonts w:ascii="Times New Roman" w:eastAsia="Garamond" w:hAnsi="Times New Roman"/>
          <w:i/>
          <w:iCs/>
          <w:color w:val="000000"/>
          <w:sz w:val="20"/>
        </w:rPr>
        <w:t xml:space="preserve">. </w:t>
      </w:r>
    </w:p>
    <w:p w14:paraId="38CCEEF8" w14:textId="77777777" w:rsidR="00166DB1" w:rsidRPr="00166DB1" w:rsidRDefault="00166DB1" w:rsidP="00166DB1">
      <w:pPr>
        <w:spacing w:before="85" w:after="85"/>
        <w:jc w:val="right"/>
        <w:rPr>
          <w:rFonts w:ascii="Garamond" w:eastAsia="Garamond" w:hAnsi="Garamond"/>
          <w:color w:val="000000"/>
        </w:rPr>
      </w:pPr>
      <w:r w:rsidRPr="00166DB1">
        <w:rPr>
          <w:rFonts w:ascii="Garamond" w:eastAsia="Garamond" w:hAnsi="Garamond"/>
          <w:color w:val="000000"/>
        </w:rPr>
        <w:t>[HMA bolding]</w:t>
      </w:r>
    </w:p>
    <w:p w14:paraId="28F868ED"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These provisions of the 6CPA are reasonable specifications of goals; they are broad statements of the long-term expectation of both Packages. Ideally these wide-ranging goals would be supported by more specific objectives at a program level, which describe the results to be achieved through the intervention, but this is not the case. Each of the 12 individual workforce programs has a </w:t>
      </w:r>
      <w:r w:rsidRPr="00166DB1">
        <w:rPr>
          <w:rFonts w:ascii="Garamond" w:eastAsia="Garamond" w:hAnsi="Garamond"/>
          <w:i/>
          <w:color w:val="000000"/>
        </w:rPr>
        <w:t>Program Specific Guideline</w:t>
      </w:r>
      <w:r w:rsidRPr="00166DB1">
        <w:rPr>
          <w:rFonts w:ascii="Garamond" w:eastAsia="Garamond" w:hAnsi="Garamond"/>
          <w:color w:val="000000"/>
        </w:rPr>
        <w:t xml:space="preserve"> that describes rules for the operation of the program. But they do not contain a specific statement about the objectives or aims for the program. The closest each Guideline comes to this is in the background section, which includes a statement about what the program seeks to do. We have termed these statements </w:t>
      </w:r>
      <w:r w:rsidRPr="00166DB1">
        <w:rPr>
          <w:rFonts w:ascii="Garamond" w:eastAsia="Garamond" w:hAnsi="Garamond"/>
          <w:i/>
          <w:color w:val="000000"/>
        </w:rPr>
        <w:t>derived aims</w:t>
      </w:r>
      <w:r w:rsidRPr="00166DB1">
        <w:rPr>
          <w:rFonts w:ascii="Garamond" w:eastAsia="Garamond" w:hAnsi="Garamond"/>
          <w:color w:val="000000"/>
        </w:rPr>
        <w:t xml:space="preserve">, because they have had this label applied by HMA, rather than the Program Guidelines. These derived aims are summarised in </w:t>
      </w:r>
      <w:r w:rsidRPr="00166DB1">
        <w:rPr>
          <w:rFonts w:ascii="Garamond" w:eastAsia="Garamond" w:hAnsi="Garamond"/>
          <w:color w:val="000000"/>
        </w:rPr>
        <w:fldChar w:fldCharType="begin"/>
      </w:r>
      <w:r w:rsidRPr="00166DB1">
        <w:rPr>
          <w:rFonts w:ascii="Garamond" w:eastAsia="Garamond" w:hAnsi="Garamond"/>
          <w:color w:val="000000"/>
        </w:rPr>
        <w:instrText xml:space="preserve"> REF _Ref490415890 \h </w:instrText>
      </w:r>
      <w:r w:rsidRPr="00166DB1">
        <w:rPr>
          <w:rFonts w:ascii="Garamond" w:eastAsia="Garamond" w:hAnsi="Garamond"/>
          <w:color w:val="000000"/>
        </w:rPr>
      </w:r>
      <w:r w:rsidRPr="00166DB1">
        <w:rPr>
          <w:rFonts w:ascii="Garamond" w:eastAsia="Garamond" w:hAnsi="Garamond"/>
          <w:color w:val="000000"/>
        </w:rPr>
        <w:fldChar w:fldCharType="separate"/>
      </w:r>
      <w:r w:rsidRPr="00166DB1">
        <w:rPr>
          <w:rFonts w:ascii="Garamond" w:eastAsia="Garamond" w:hAnsi="Garamond"/>
          <w:color w:val="000000"/>
        </w:rPr>
        <w:t xml:space="preserve">Table </w:t>
      </w:r>
      <w:r w:rsidRPr="00166DB1">
        <w:rPr>
          <w:rFonts w:ascii="Garamond" w:eastAsia="Garamond" w:hAnsi="Garamond"/>
          <w:noProof/>
          <w:color w:val="000000"/>
        </w:rPr>
        <w:t>2</w:t>
      </w:r>
      <w:r w:rsidRPr="00166DB1">
        <w:rPr>
          <w:rFonts w:ascii="Garamond" w:eastAsia="Garamond" w:hAnsi="Garamond"/>
          <w:color w:val="000000"/>
        </w:rPr>
        <w:t>.</w:t>
      </w:r>
      <w:r w:rsidRPr="00166DB1">
        <w:rPr>
          <w:rFonts w:ascii="Garamond" w:eastAsia="Garamond" w:hAnsi="Garamond"/>
          <w:noProof/>
          <w:color w:val="000000"/>
        </w:rPr>
        <w:t>1</w:t>
      </w:r>
      <w:r w:rsidRPr="00166DB1">
        <w:rPr>
          <w:rFonts w:ascii="Garamond" w:eastAsia="Garamond" w:hAnsi="Garamond"/>
          <w:color w:val="000000"/>
        </w:rPr>
        <w:fldChar w:fldCharType="end"/>
      </w:r>
      <w:r w:rsidRPr="00166DB1">
        <w:rPr>
          <w:rFonts w:ascii="Garamond" w:eastAsia="Garamond" w:hAnsi="Garamond"/>
          <w:color w:val="000000"/>
        </w:rPr>
        <w:t>.</w:t>
      </w:r>
    </w:p>
    <w:p w14:paraId="5CDE14DA" w14:textId="77777777" w:rsidR="00166DB1" w:rsidRPr="00166DB1" w:rsidRDefault="00166DB1" w:rsidP="00483C21">
      <w:pPr>
        <w:pStyle w:val="Caption"/>
        <w:rPr>
          <w:highlight w:val="magenta"/>
        </w:rPr>
      </w:pPr>
      <w:bookmarkStart w:id="18" w:name="_Ref490415890"/>
      <w:r w:rsidRPr="00166DB1">
        <w:lastRenderedPageBreak/>
        <w:t xml:space="preserve">Table </w:t>
      </w:r>
      <w:r w:rsidRPr="00166DB1">
        <w:rPr>
          <w:noProof/>
        </w:rPr>
        <w:fldChar w:fldCharType="begin"/>
      </w:r>
      <w:r w:rsidRPr="00166DB1">
        <w:rPr>
          <w:noProof/>
        </w:rPr>
        <w:instrText xml:space="preserve"> STYLEREF 1 \s </w:instrText>
      </w:r>
      <w:r w:rsidRPr="00166DB1">
        <w:rPr>
          <w:noProof/>
        </w:rPr>
        <w:fldChar w:fldCharType="separate"/>
      </w:r>
      <w:r w:rsidRPr="00166DB1">
        <w:rPr>
          <w:noProof/>
        </w:rPr>
        <w:t>2</w:t>
      </w:r>
      <w:r w:rsidRPr="00166DB1">
        <w:rPr>
          <w:noProof/>
        </w:rPr>
        <w:fldChar w:fldCharType="end"/>
      </w:r>
      <w:r w:rsidRPr="00166DB1">
        <w:t>.</w:t>
      </w:r>
      <w:r w:rsidRPr="00166DB1">
        <w:rPr>
          <w:noProof/>
        </w:rPr>
        <w:fldChar w:fldCharType="begin"/>
      </w:r>
      <w:r w:rsidRPr="00166DB1">
        <w:rPr>
          <w:noProof/>
        </w:rPr>
        <w:instrText xml:space="preserve"> SEQ Table \* ARABIC \s 1 </w:instrText>
      </w:r>
      <w:r w:rsidRPr="00166DB1">
        <w:rPr>
          <w:noProof/>
        </w:rPr>
        <w:fldChar w:fldCharType="separate"/>
      </w:r>
      <w:r w:rsidRPr="00166DB1">
        <w:rPr>
          <w:noProof/>
        </w:rPr>
        <w:t>1</w:t>
      </w:r>
      <w:r w:rsidRPr="00166DB1">
        <w:rPr>
          <w:noProof/>
        </w:rPr>
        <w:fldChar w:fldCharType="end"/>
      </w:r>
      <w:bookmarkEnd w:id="18"/>
      <w:r w:rsidRPr="00166DB1">
        <w:t>: Derived Program aims, paraphrased from the Program Specific Guidelines (a)</w:t>
      </w:r>
    </w:p>
    <w:tbl>
      <w:tblPr>
        <w:tblStyle w:val="HMATable"/>
        <w:tblW w:w="5000" w:type="pct"/>
        <w:shd w:val="clear" w:color="auto" w:fill="F2F2F2" w:themeFill="background1" w:themeFillShade="F2"/>
        <w:tblLook w:val="04A0" w:firstRow="1" w:lastRow="0" w:firstColumn="1" w:lastColumn="0" w:noHBand="0" w:noVBand="1"/>
        <w:tblCaption w:val="Table 2.1: Derived Program aims, paraphrased from the Program Specific Guidelines (a)"/>
        <w:tblDescription w:val="Table 2.1: Derived Program aims, paraphrased from the Program Specific Guidelines (a)"/>
      </w:tblPr>
      <w:tblGrid>
        <w:gridCol w:w="2121"/>
        <w:gridCol w:w="4913"/>
      </w:tblGrid>
      <w:tr w:rsidR="00166DB1" w:rsidRPr="00166DB1" w14:paraId="49000B0F" w14:textId="77777777" w:rsidTr="00B77C1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508" w:type="pct"/>
            <w:tcBorders>
              <w:top w:val="single" w:sz="4" w:space="0" w:color="4B4B4B"/>
              <w:left w:val="single" w:sz="4" w:space="0" w:color="FFFFFF"/>
              <w:bottom w:val="single" w:sz="4" w:space="0" w:color="4B4B4B"/>
              <w:right w:val="single" w:sz="4" w:space="0" w:color="FFFFFF"/>
            </w:tcBorders>
            <w:shd w:val="clear" w:color="auto" w:fill="D9D9D9" w:themeFill="background1" w:themeFillShade="D9"/>
            <w:hideMark/>
          </w:tcPr>
          <w:p w14:paraId="4ED2D758" w14:textId="77777777" w:rsidR="00166DB1" w:rsidRPr="00166DB1" w:rsidRDefault="00166DB1" w:rsidP="00B77C1D">
            <w:pPr>
              <w:pStyle w:val="TableColumnHeading"/>
            </w:pPr>
            <w:r w:rsidRPr="00166DB1">
              <w:t>Package component</w:t>
            </w:r>
          </w:p>
        </w:tc>
        <w:tc>
          <w:tcPr>
            <w:tcW w:w="3492" w:type="pct"/>
            <w:tcBorders>
              <w:top w:val="single" w:sz="4" w:space="0" w:color="4B4B4B"/>
              <w:left w:val="single" w:sz="4" w:space="0" w:color="FFFFFF"/>
              <w:bottom w:val="single" w:sz="4" w:space="0" w:color="4B4B4B"/>
              <w:right w:val="single" w:sz="4" w:space="0" w:color="FFFFFF"/>
            </w:tcBorders>
            <w:shd w:val="clear" w:color="auto" w:fill="D9D9D9" w:themeFill="background1" w:themeFillShade="D9"/>
            <w:hideMark/>
          </w:tcPr>
          <w:p w14:paraId="099C373E" w14:textId="77777777" w:rsidR="00166DB1" w:rsidRPr="00166DB1" w:rsidRDefault="00166DB1" w:rsidP="00B77C1D">
            <w:pPr>
              <w:pStyle w:val="TableColumnHeading"/>
              <w:cnfStyle w:val="100000000000" w:firstRow="1" w:lastRow="0" w:firstColumn="0" w:lastColumn="0" w:oddVBand="0" w:evenVBand="0" w:oddHBand="0" w:evenHBand="0" w:firstRowFirstColumn="0" w:firstRowLastColumn="0" w:lastRowFirstColumn="0" w:lastRowLastColumn="0"/>
            </w:pPr>
            <w:r w:rsidRPr="00166DB1">
              <w:rPr>
                <w:b/>
              </w:rPr>
              <w:t>Derived Aim</w:t>
            </w:r>
            <w:r w:rsidRPr="00166DB1">
              <w:t xml:space="preserve"> (extracted from the </w:t>
            </w:r>
            <w:r w:rsidRPr="00166DB1">
              <w:rPr>
                <w:i/>
              </w:rPr>
              <w:t>Background</w:t>
            </w:r>
            <w:r w:rsidRPr="00166DB1">
              <w:t xml:space="preserve"> section of each relevant </w:t>
            </w:r>
            <w:r w:rsidRPr="00166DB1">
              <w:rPr>
                <w:i/>
              </w:rPr>
              <w:t>Program Guideline</w:t>
            </w:r>
            <w:r w:rsidRPr="00166DB1">
              <w:t>)</w:t>
            </w:r>
          </w:p>
        </w:tc>
      </w:tr>
      <w:tr w:rsidR="00166DB1" w:rsidRPr="00166DB1" w14:paraId="53767675" w14:textId="77777777" w:rsidTr="00B77C1D">
        <w:tc>
          <w:tcPr>
            <w:cnfStyle w:val="001000000000" w:firstRow="0" w:lastRow="0" w:firstColumn="1" w:lastColumn="0" w:oddVBand="0" w:evenVBand="0" w:oddHBand="0" w:evenHBand="0" w:firstRowFirstColumn="0" w:firstRowLastColumn="0" w:lastRowFirstColumn="0" w:lastRowLastColumn="0"/>
            <w:tcW w:w="1508" w:type="pct"/>
            <w:tcBorders>
              <w:top w:val="single" w:sz="4" w:space="0" w:color="4B4B4B"/>
              <w:left w:val="single" w:sz="4" w:space="0" w:color="FFFFFF"/>
              <w:bottom w:val="single" w:sz="4" w:space="0" w:color="4B4B4B"/>
              <w:right w:val="single" w:sz="4" w:space="0" w:color="FFFFFF"/>
            </w:tcBorders>
            <w:shd w:val="clear" w:color="auto" w:fill="F2F2F2" w:themeFill="background1" w:themeFillShade="F2"/>
            <w:hideMark/>
          </w:tcPr>
          <w:p w14:paraId="138C9978" w14:textId="77777777" w:rsidR="00166DB1" w:rsidRPr="00166DB1" w:rsidRDefault="00166DB1" w:rsidP="00B77C1D">
            <w:pPr>
              <w:pStyle w:val="TableCopy"/>
            </w:pPr>
            <w:r w:rsidRPr="00166DB1">
              <w:t>Rural Pharmacy Scholarship Scheme</w:t>
            </w:r>
          </w:p>
        </w:tc>
        <w:tc>
          <w:tcPr>
            <w:tcW w:w="3492" w:type="pct"/>
            <w:tcBorders>
              <w:top w:val="single" w:sz="4" w:space="0" w:color="4B4B4B"/>
              <w:left w:val="single" w:sz="4" w:space="0" w:color="FFFFFF"/>
              <w:bottom w:val="single" w:sz="4" w:space="0" w:color="4B4B4B"/>
              <w:right w:val="single" w:sz="4" w:space="0" w:color="FFFFFF"/>
            </w:tcBorders>
            <w:shd w:val="clear" w:color="auto" w:fill="F2F2F2" w:themeFill="background1" w:themeFillShade="F2"/>
            <w:hideMark/>
          </w:tcPr>
          <w:p w14:paraId="13E857A1" w14:textId="77777777" w:rsidR="00166DB1" w:rsidRPr="00166DB1" w:rsidRDefault="00166DB1" w:rsidP="00B77C1D">
            <w:pPr>
              <w:pStyle w:val="TableCopy"/>
              <w:cnfStyle w:val="000000000000" w:firstRow="0" w:lastRow="0" w:firstColumn="0" w:lastColumn="0" w:oddVBand="0" w:evenVBand="0" w:oddHBand="0" w:evenHBand="0" w:firstRowFirstColumn="0" w:firstRowLastColumn="0" w:lastRowFirstColumn="0" w:lastRowLastColumn="0"/>
            </w:pPr>
            <w:r w:rsidRPr="00166DB1">
              <w:t>Enable students from rural and remote communities to undertake studies in pharmacy at university.</w:t>
            </w:r>
          </w:p>
        </w:tc>
      </w:tr>
      <w:tr w:rsidR="00166DB1" w:rsidRPr="00166DB1" w14:paraId="5192B2B4" w14:textId="77777777" w:rsidTr="00B77C1D">
        <w:tc>
          <w:tcPr>
            <w:cnfStyle w:val="001000000000" w:firstRow="0" w:lastRow="0" w:firstColumn="1" w:lastColumn="0" w:oddVBand="0" w:evenVBand="0" w:oddHBand="0" w:evenHBand="0" w:firstRowFirstColumn="0" w:firstRowLastColumn="0" w:lastRowFirstColumn="0" w:lastRowLastColumn="0"/>
            <w:tcW w:w="1508" w:type="pct"/>
            <w:tcBorders>
              <w:top w:val="single" w:sz="4" w:space="0" w:color="4B4B4B"/>
              <w:left w:val="single" w:sz="4" w:space="0" w:color="FFFFFF"/>
              <w:bottom w:val="single" w:sz="4" w:space="0" w:color="4B4B4B"/>
              <w:right w:val="single" w:sz="4" w:space="0" w:color="FFFFFF"/>
            </w:tcBorders>
            <w:shd w:val="clear" w:color="auto" w:fill="F2F2F2" w:themeFill="background1" w:themeFillShade="F2"/>
            <w:hideMark/>
          </w:tcPr>
          <w:p w14:paraId="02AB3E79" w14:textId="77777777" w:rsidR="00166DB1" w:rsidRPr="00166DB1" w:rsidRDefault="00166DB1" w:rsidP="00B77C1D">
            <w:pPr>
              <w:pStyle w:val="TableCopy"/>
            </w:pPr>
            <w:r w:rsidRPr="00166DB1">
              <w:t>Rural Pharmacy Scholarship Mentor Scheme</w:t>
            </w:r>
          </w:p>
        </w:tc>
        <w:tc>
          <w:tcPr>
            <w:tcW w:w="3492" w:type="pct"/>
            <w:tcBorders>
              <w:top w:val="single" w:sz="4" w:space="0" w:color="4B4B4B"/>
              <w:left w:val="single" w:sz="4" w:space="0" w:color="FFFFFF"/>
              <w:bottom w:val="single" w:sz="4" w:space="0" w:color="4B4B4B"/>
              <w:right w:val="single" w:sz="4" w:space="0" w:color="FFFFFF"/>
            </w:tcBorders>
            <w:shd w:val="clear" w:color="auto" w:fill="F2F2F2" w:themeFill="background1" w:themeFillShade="F2"/>
            <w:hideMark/>
          </w:tcPr>
          <w:p w14:paraId="7E8864DF" w14:textId="77777777" w:rsidR="00166DB1" w:rsidRPr="00166DB1" w:rsidRDefault="00166DB1" w:rsidP="00B77C1D">
            <w:pPr>
              <w:pStyle w:val="TableCopy"/>
              <w:cnfStyle w:val="000000000000" w:firstRow="0" w:lastRow="0" w:firstColumn="0" w:lastColumn="0" w:oddVBand="0" w:evenVBand="0" w:oddHBand="0" w:evenHBand="0" w:firstRowFirstColumn="0" w:firstRowLastColumn="0" w:lastRowFirstColumn="0" w:lastRowLastColumn="0"/>
            </w:pPr>
            <w:r w:rsidRPr="00166DB1">
              <w:t>Provide mentoring to students from rural and remote communities and to Aboriginal and Torres Strait Islander students undertaking studies in pharmacy at university.</w:t>
            </w:r>
          </w:p>
        </w:tc>
      </w:tr>
      <w:tr w:rsidR="00166DB1" w:rsidRPr="00166DB1" w14:paraId="47B20423" w14:textId="77777777" w:rsidTr="00B77C1D">
        <w:tc>
          <w:tcPr>
            <w:cnfStyle w:val="001000000000" w:firstRow="0" w:lastRow="0" w:firstColumn="1" w:lastColumn="0" w:oddVBand="0" w:evenVBand="0" w:oddHBand="0" w:evenHBand="0" w:firstRowFirstColumn="0" w:firstRowLastColumn="0" w:lastRowFirstColumn="0" w:lastRowLastColumn="0"/>
            <w:tcW w:w="1508" w:type="pct"/>
            <w:tcBorders>
              <w:top w:val="single" w:sz="4" w:space="0" w:color="4B4B4B"/>
              <w:left w:val="single" w:sz="4" w:space="0" w:color="FFFFFF"/>
              <w:bottom w:val="single" w:sz="4" w:space="0" w:color="4B4B4B"/>
              <w:right w:val="single" w:sz="4" w:space="0" w:color="FFFFFF"/>
            </w:tcBorders>
            <w:shd w:val="clear" w:color="auto" w:fill="F2F2F2" w:themeFill="background1" w:themeFillShade="F2"/>
          </w:tcPr>
          <w:p w14:paraId="03DE7F55" w14:textId="77777777" w:rsidR="00166DB1" w:rsidRPr="00166DB1" w:rsidRDefault="00166DB1" w:rsidP="00B77C1D">
            <w:pPr>
              <w:pStyle w:val="TableCopy"/>
            </w:pPr>
            <w:r w:rsidRPr="00166DB1">
              <w:t>Intern Incentive Allowance for Rural Pharmacies</w:t>
            </w:r>
          </w:p>
        </w:tc>
        <w:tc>
          <w:tcPr>
            <w:tcW w:w="3492" w:type="pct"/>
            <w:tcBorders>
              <w:top w:val="single" w:sz="4" w:space="0" w:color="4B4B4B"/>
              <w:left w:val="single" w:sz="4" w:space="0" w:color="FFFFFF"/>
              <w:bottom w:val="single" w:sz="4" w:space="0" w:color="4B4B4B"/>
              <w:right w:val="single" w:sz="4" w:space="0" w:color="FFFFFF"/>
            </w:tcBorders>
            <w:shd w:val="clear" w:color="auto" w:fill="F2F2F2" w:themeFill="background1" w:themeFillShade="F2"/>
          </w:tcPr>
          <w:p w14:paraId="09C78E7D" w14:textId="77777777" w:rsidR="00166DB1" w:rsidRPr="00166DB1" w:rsidRDefault="00166DB1" w:rsidP="00B77C1D">
            <w:pPr>
              <w:pStyle w:val="TableCopy"/>
              <w:cnfStyle w:val="000000000000" w:firstRow="0" w:lastRow="0" w:firstColumn="0" w:lastColumn="0" w:oddVBand="0" w:evenVBand="0" w:oddHBand="0" w:evenHBand="0" w:firstRowFirstColumn="0" w:firstRowLastColumn="0" w:lastRowFirstColumn="0" w:lastRowLastColumn="0"/>
            </w:pPr>
            <w:r w:rsidRPr="00166DB1">
              <w:t>Enable rural and remote community pharmacies to engage pharmacy interns and new graduates in their intern and post intern year.</w:t>
            </w:r>
          </w:p>
        </w:tc>
      </w:tr>
      <w:tr w:rsidR="00166DB1" w:rsidRPr="00166DB1" w14:paraId="5A968A01" w14:textId="77777777" w:rsidTr="00B77C1D">
        <w:tc>
          <w:tcPr>
            <w:cnfStyle w:val="001000000000" w:firstRow="0" w:lastRow="0" w:firstColumn="1" w:lastColumn="0" w:oddVBand="0" w:evenVBand="0" w:oddHBand="0" w:evenHBand="0" w:firstRowFirstColumn="0" w:firstRowLastColumn="0" w:lastRowFirstColumn="0" w:lastRowLastColumn="0"/>
            <w:tcW w:w="1508" w:type="pct"/>
            <w:tcBorders>
              <w:top w:val="single" w:sz="4" w:space="0" w:color="4B4B4B"/>
              <w:left w:val="single" w:sz="4" w:space="0" w:color="FFFFFF"/>
              <w:bottom w:val="single" w:sz="4" w:space="0" w:color="4B4B4B"/>
              <w:right w:val="single" w:sz="4" w:space="0" w:color="FFFFFF"/>
            </w:tcBorders>
            <w:shd w:val="clear" w:color="auto" w:fill="F2F2F2" w:themeFill="background1" w:themeFillShade="F2"/>
          </w:tcPr>
          <w:p w14:paraId="13558B6F" w14:textId="77777777" w:rsidR="00166DB1" w:rsidRPr="00166DB1" w:rsidRDefault="00166DB1" w:rsidP="00B77C1D">
            <w:pPr>
              <w:pStyle w:val="TableCopy"/>
            </w:pPr>
            <w:r w:rsidRPr="00166DB1">
              <w:t>Intern Incentive Allowance for Rural Pharmacies – Extension Program</w:t>
            </w:r>
          </w:p>
        </w:tc>
        <w:tc>
          <w:tcPr>
            <w:tcW w:w="3492" w:type="pct"/>
            <w:tcBorders>
              <w:top w:val="single" w:sz="4" w:space="0" w:color="4B4B4B"/>
              <w:left w:val="single" w:sz="4" w:space="0" w:color="FFFFFF"/>
              <w:bottom w:val="single" w:sz="4" w:space="0" w:color="4B4B4B"/>
              <w:right w:val="single" w:sz="4" w:space="0" w:color="FFFFFF"/>
            </w:tcBorders>
            <w:shd w:val="clear" w:color="auto" w:fill="F2F2F2" w:themeFill="background1" w:themeFillShade="F2"/>
          </w:tcPr>
          <w:p w14:paraId="53D2D732" w14:textId="77777777" w:rsidR="00166DB1" w:rsidRPr="00166DB1" w:rsidRDefault="00166DB1" w:rsidP="00B77C1D">
            <w:pPr>
              <w:pStyle w:val="TableCopy"/>
              <w:cnfStyle w:val="000000000000" w:firstRow="0" w:lastRow="0" w:firstColumn="0" w:lastColumn="0" w:oddVBand="0" w:evenVBand="0" w:oddHBand="0" w:evenHBand="0" w:firstRowFirstColumn="0" w:firstRowLastColumn="0" w:lastRowFirstColumn="0" w:lastRowLastColumn="0"/>
            </w:pPr>
            <w:r w:rsidRPr="00166DB1">
              <w:t>Enable rural and remote community pharmacies to engage pharmacy interns and new graduates in their intern and post intern year.</w:t>
            </w:r>
          </w:p>
        </w:tc>
      </w:tr>
      <w:tr w:rsidR="00166DB1" w:rsidRPr="00166DB1" w14:paraId="6F4D70DE" w14:textId="77777777" w:rsidTr="00B77C1D">
        <w:tc>
          <w:tcPr>
            <w:cnfStyle w:val="001000000000" w:firstRow="0" w:lastRow="0" w:firstColumn="1" w:lastColumn="0" w:oddVBand="0" w:evenVBand="0" w:oddHBand="0" w:evenHBand="0" w:firstRowFirstColumn="0" w:firstRowLastColumn="0" w:lastRowFirstColumn="0" w:lastRowLastColumn="0"/>
            <w:tcW w:w="1508" w:type="pct"/>
            <w:tcBorders>
              <w:top w:val="single" w:sz="4" w:space="0" w:color="4B4B4B"/>
              <w:left w:val="single" w:sz="4" w:space="0" w:color="FFFFFF"/>
              <w:bottom w:val="single" w:sz="4" w:space="0" w:color="4B4B4B"/>
              <w:right w:val="single" w:sz="4" w:space="0" w:color="FFFFFF"/>
            </w:tcBorders>
            <w:shd w:val="clear" w:color="auto" w:fill="F2F2F2" w:themeFill="background1" w:themeFillShade="F2"/>
            <w:hideMark/>
          </w:tcPr>
          <w:p w14:paraId="5C393755" w14:textId="77777777" w:rsidR="00166DB1" w:rsidRPr="00166DB1" w:rsidRDefault="00166DB1" w:rsidP="00B77C1D">
            <w:pPr>
              <w:pStyle w:val="TableCopy"/>
            </w:pPr>
            <w:r w:rsidRPr="00166DB1">
              <w:t>Rural Intern Training Allowance</w:t>
            </w:r>
          </w:p>
        </w:tc>
        <w:tc>
          <w:tcPr>
            <w:tcW w:w="3492" w:type="pct"/>
            <w:tcBorders>
              <w:top w:val="single" w:sz="4" w:space="0" w:color="4B4B4B"/>
              <w:left w:val="single" w:sz="4" w:space="0" w:color="FFFFFF"/>
              <w:bottom w:val="single" w:sz="4" w:space="0" w:color="4B4B4B"/>
              <w:right w:val="single" w:sz="4" w:space="0" w:color="FFFFFF"/>
            </w:tcBorders>
            <w:shd w:val="clear" w:color="auto" w:fill="F2F2F2" w:themeFill="background1" w:themeFillShade="F2"/>
            <w:hideMark/>
          </w:tcPr>
          <w:p w14:paraId="1A0C9218" w14:textId="77777777" w:rsidR="00166DB1" w:rsidRPr="00166DB1" w:rsidRDefault="00166DB1" w:rsidP="00B77C1D">
            <w:pPr>
              <w:pStyle w:val="TableCopy"/>
              <w:cnfStyle w:val="000000000000" w:firstRow="0" w:lastRow="0" w:firstColumn="0" w:lastColumn="0" w:oddVBand="0" w:evenVBand="0" w:oddHBand="0" w:evenHBand="0" w:firstRowFirstColumn="0" w:firstRowLastColumn="0" w:lastRowFirstColumn="0" w:lastRowLastColumn="0"/>
            </w:pPr>
            <w:r w:rsidRPr="00166DB1">
              <w:t>Reduce the additional costs incurred by intern pharmacists practising in rural and remote communities to undertake compulsory training.</w:t>
            </w:r>
          </w:p>
        </w:tc>
      </w:tr>
      <w:tr w:rsidR="00166DB1" w:rsidRPr="00166DB1" w14:paraId="67624280" w14:textId="77777777" w:rsidTr="00B77C1D">
        <w:tc>
          <w:tcPr>
            <w:cnfStyle w:val="001000000000" w:firstRow="0" w:lastRow="0" w:firstColumn="1" w:lastColumn="0" w:oddVBand="0" w:evenVBand="0" w:oddHBand="0" w:evenHBand="0" w:firstRowFirstColumn="0" w:firstRowLastColumn="0" w:lastRowFirstColumn="0" w:lastRowLastColumn="0"/>
            <w:tcW w:w="1508" w:type="pct"/>
            <w:tcBorders>
              <w:top w:val="single" w:sz="4" w:space="0" w:color="4B4B4B"/>
              <w:left w:val="single" w:sz="4" w:space="0" w:color="FFFFFF"/>
              <w:bottom w:val="single" w:sz="4" w:space="0" w:color="4B4B4B"/>
              <w:right w:val="single" w:sz="4" w:space="0" w:color="FFFFFF"/>
            </w:tcBorders>
            <w:shd w:val="clear" w:color="auto" w:fill="F2F2F2" w:themeFill="background1" w:themeFillShade="F2"/>
            <w:hideMark/>
          </w:tcPr>
          <w:p w14:paraId="08EFDFCD" w14:textId="77777777" w:rsidR="00166DB1" w:rsidRPr="00166DB1" w:rsidRDefault="00166DB1" w:rsidP="00B77C1D">
            <w:pPr>
              <w:pStyle w:val="TableCopy"/>
            </w:pPr>
            <w:r w:rsidRPr="00166DB1">
              <w:t>Rural Pharmacy Student Placement Allowance</w:t>
            </w:r>
          </w:p>
        </w:tc>
        <w:tc>
          <w:tcPr>
            <w:tcW w:w="3492" w:type="pct"/>
            <w:tcBorders>
              <w:top w:val="single" w:sz="4" w:space="0" w:color="4B4B4B"/>
              <w:left w:val="single" w:sz="4" w:space="0" w:color="FFFFFF"/>
              <w:bottom w:val="single" w:sz="4" w:space="0" w:color="4B4B4B"/>
              <w:right w:val="single" w:sz="4" w:space="0" w:color="FFFFFF"/>
            </w:tcBorders>
            <w:shd w:val="clear" w:color="auto" w:fill="F2F2F2" w:themeFill="background1" w:themeFillShade="F2"/>
            <w:hideMark/>
          </w:tcPr>
          <w:p w14:paraId="7569655B" w14:textId="77777777" w:rsidR="00166DB1" w:rsidRPr="00166DB1" w:rsidRDefault="00166DB1" w:rsidP="00B77C1D">
            <w:pPr>
              <w:pStyle w:val="TableCopy"/>
              <w:cnfStyle w:val="000000000000" w:firstRow="0" w:lastRow="0" w:firstColumn="0" w:lastColumn="0" w:oddVBand="0" w:evenVBand="0" w:oddHBand="0" w:evenHBand="0" w:firstRowFirstColumn="0" w:firstRowLastColumn="0" w:lastRowFirstColumn="0" w:lastRowLastColumn="0"/>
            </w:pPr>
            <w:r w:rsidRPr="00166DB1">
              <w:t>Financial assistance is provided to students for costs incurred for travel and accommodation associated with rural placements.</w:t>
            </w:r>
          </w:p>
        </w:tc>
      </w:tr>
      <w:tr w:rsidR="00166DB1" w:rsidRPr="00166DB1" w14:paraId="130CCCA3" w14:textId="77777777" w:rsidTr="00B77C1D">
        <w:tc>
          <w:tcPr>
            <w:cnfStyle w:val="001000000000" w:firstRow="0" w:lastRow="0" w:firstColumn="1" w:lastColumn="0" w:oddVBand="0" w:evenVBand="0" w:oddHBand="0" w:evenHBand="0" w:firstRowFirstColumn="0" w:firstRowLastColumn="0" w:lastRowFirstColumn="0" w:lastRowLastColumn="0"/>
            <w:tcW w:w="1508" w:type="pct"/>
            <w:tcBorders>
              <w:top w:val="single" w:sz="4" w:space="0" w:color="4B4B4B"/>
              <w:left w:val="single" w:sz="4" w:space="0" w:color="FFFFFF"/>
              <w:bottom w:val="single" w:sz="4" w:space="0" w:color="4B4B4B"/>
              <w:right w:val="single" w:sz="4" w:space="0" w:color="FFFFFF"/>
            </w:tcBorders>
            <w:shd w:val="clear" w:color="auto" w:fill="F2F2F2" w:themeFill="background1" w:themeFillShade="F2"/>
            <w:hideMark/>
          </w:tcPr>
          <w:p w14:paraId="3F9E1ED0" w14:textId="77777777" w:rsidR="00166DB1" w:rsidRPr="00166DB1" w:rsidRDefault="00166DB1" w:rsidP="00B77C1D">
            <w:pPr>
              <w:pStyle w:val="TableCopy"/>
            </w:pPr>
            <w:r w:rsidRPr="00166DB1">
              <w:t>Administrative Support to Pharmacy Schools</w:t>
            </w:r>
          </w:p>
        </w:tc>
        <w:tc>
          <w:tcPr>
            <w:tcW w:w="3492" w:type="pct"/>
            <w:tcBorders>
              <w:top w:val="single" w:sz="4" w:space="0" w:color="4B4B4B"/>
              <w:left w:val="single" w:sz="4" w:space="0" w:color="FFFFFF"/>
              <w:bottom w:val="single" w:sz="4" w:space="0" w:color="4B4B4B"/>
              <w:right w:val="single" w:sz="4" w:space="0" w:color="FFFFFF"/>
            </w:tcBorders>
            <w:shd w:val="clear" w:color="auto" w:fill="F2F2F2" w:themeFill="background1" w:themeFillShade="F2"/>
            <w:hideMark/>
          </w:tcPr>
          <w:p w14:paraId="3010E423" w14:textId="77777777" w:rsidR="00166DB1" w:rsidRPr="00166DB1" w:rsidRDefault="00166DB1" w:rsidP="00B77C1D">
            <w:pPr>
              <w:pStyle w:val="TableCopy"/>
              <w:cnfStyle w:val="000000000000" w:firstRow="0" w:lastRow="0" w:firstColumn="0" w:lastColumn="0" w:oddVBand="0" w:evenVBand="0" w:oddHBand="0" w:evenHBand="0" w:firstRowFirstColumn="0" w:firstRowLastColumn="0" w:lastRowFirstColumn="0" w:lastRowLastColumn="0"/>
            </w:pPr>
            <w:r w:rsidRPr="00166DB1">
              <w:t>Provide financial support to pharmacy schools to facilitate rural placements for students.</w:t>
            </w:r>
          </w:p>
        </w:tc>
      </w:tr>
      <w:tr w:rsidR="00166DB1" w:rsidRPr="00166DB1" w14:paraId="72495411" w14:textId="77777777" w:rsidTr="00B77C1D">
        <w:tc>
          <w:tcPr>
            <w:cnfStyle w:val="001000000000" w:firstRow="0" w:lastRow="0" w:firstColumn="1" w:lastColumn="0" w:oddVBand="0" w:evenVBand="0" w:oddHBand="0" w:evenHBand="0" w:firstRowFirstColumn="0" w:firstRowLastColumn="0" w:lastRowFirstColumn="0" w:lastRowLastColumn="0"/>
            <w:tcW w:w="1508" w:type="pct"/>
            <w:tcBorders>
              <w:top w:val="single" w:sz="4" w:space="0" w:color="4B4B4B"/>
              <w:left w:val="single" w:sz="4" w:space="0" w:color="FFFFFF"/>
              <w:bottom w:val="single" w:sz="4" w:space="0" w:color="4B4B4B"/>
              <w:right w:val="single" w:sz="4" w:space="0" w:color="FFFFFF"/>
            </w:tcBorders>
            <w:shd w:val="clear" w:color="auto" w:fill="F2F2F2" w:themeFill="background1" w:themeFillShade="F2"/>
            <w:hideMark/>
          </w:tcPr>
          <w:p w14:paraId="6D134C59" w14:textId="77777777" w:rsidR="00166DB1" w:rsidRPr="00166DB1" w:rsidRDefault="00166DB1" w:rsidP="00B77C1D">
            <w:pPr>
              <w:pStyle w:val="TableCopy"/>
            </w:pPr>
            <w:r w:rsidRPr="00166DB1">
              <w:t>Continuing Professional Education Allowance</w:t>
            </w:r>
          </w:p>
        </w:tc>
        <w:tc>
          <w:tcPr>
            <w:tcW w:w="3492" w:type="pct"/>
            <w:tcBorders>
              <w:top w:val="single" w:sz="4" w:space="0" w:color="4B4B4B"/>
              <w:left w:val="single" w:sz="4" w:space="0" w:color="FFFFFF"/>
              <w:bottom w:val="single" w:sz="4" w:space="0" w:color="4B4B4B"/>
              <w:right w:val="single" w:sz="4" w:space="0" w:color="FFFFFF"/>
            </w:tcBorders>
            <w:shd w:val="clear" w:color="auto" w:fill="F2F2F2" w:themeFill="background1" w:themeFillShade="F2"/>
            <w:hideMark/>
          </w:tcPr>
          <w:p w14:paraId="1864E8F2" w14:textId="77777777" w:rsidR="00166DB1" w:rsidRPr="00166DB1" w:rsidRDefault="00166DB1" w:rsidP="00B77C1D">
            <w:pPr>
              <w:pStyle w:val="TableCopy"/>
              <w:cnfStyle w:val="000000000000" w:firstRow="0" w:lastRow="0" w:firstColumn="0" w:lastColumn="0" w:oddVBand="0" w:evenVBand="0" w:oddHBand="0" w:evenHBand="0" w:firstRowFirstColumn="0" w:firstRowLastColumn="0" w:lastRowFirstColumn="0" w:lastRowLastColumn="0"/>
            </w:pPr>
            <w:r w:rsidRPr="00166DB1">
              <w:t>Reduce the additional costs incurred by pharmacists practising in rural and remote communities undertaking professional development and training.</w:t>
            </w:r>
          </w:p>
        </w:tc>
      </w:tr>
      <w:tr w:rsidR="00166DB1" w:rsidRPr="00166DB1" w14:paraId="48D9D043" w14:textId="77777777" w:rsidTr="00B77C1D">
        <w:tc>
          <w:tcPr>
            <w:cnfStyle w:val="001000000000" w:firstRow="0" w:lastRow="0" w:firstColumn="1" w:lastColumn="0" w:oddVBand="0" w:evenVBand="0" w:oddHBand="0" w:evenHBand="0" w:firstRowFirstColumn="0" w:firstRowLastColumn="0" w:lastRowFirstColumn="0" w:lastRowLastColumn="0"/>
            <w:tcW w:w="1508" w:type="pct"/>
            <w:tcBorders>
              <w:top w:val="single" w:sz="4" w:space="0" w:color="4B4B4B"/>
              <w:left w:val="single" w:sz="4" w:space="0" w:color="FFFFFF"/>
              <w:bottom w:val="single" w:sz="4" w:space="0" w:color="4B4B4B"/>
              <w:right w:val="single" w:sz="4" w:space="0" w:color="FFFFFF"/>
            </w:tcBorders>
            <w:shd w:val="clear" w:color="auto" w:fill="F2F2F2" w:themeFill="background1" w:themeFillShade="F2"/>
            <w:hideMark/>
          </w:tcPr>
          <w:p w14:paraId="022B0D4F" w14:textId="77777777" w:rsidR="00166DB1" w:rsidRPr="00166DB1" w:rsidRDefault="00166DB1" w:rsidP="00B77C1D">
            <w:pPr>
              <w:pStyle w:val="TableCopy"/>
            </w:pPr>
            <w:r w:rsidRPr="00166DB1">
              <w:t>Rural Pharmacy Liaison Officer Program</w:t>
            </w:r>
          </w:p>
        </w:tc>
        <w:tc>
          <w:tcPr>
            <w:tcW w:w="3492" w:type="pct"/>
            <w:tcBorders>
              <w:top w:val="single" w:sz="4" w:space="0" w:color="4B4B4B"/>
              <w:left w:val="single" w:sz="4" w:space="0" w:color="FFFFFF"/>
              <w:bottom w:val="single" w:sz="4" w:space="0" w:color="4B4B4B"/>
              <w:right w:val="single" w:sz="4" w:space="0" w:color="FFFFFF"/>
            </w:tcBorders>
            <w:shd w:val="clear" w:color="auto" w:fill="F2F2F2" w:themeFill="background1" w:themeFillShade="F2"/>
            <w:hideMark/>
          </w:tcPr>
          <w:p w14:paraId="48AA505D" w14:textId="77777777" w:rsidR="00166DB1" w:rsidRPr="00166DB1" w:rsidRDefault="00166DB1" w:rsidP="00B77C1D">
            <w:pPr>
              <w:pStyle w:val="TableCopy"/>
              <w:cnfStyle w:val="000000000000" w:firstRow="0" w:lastRow="0" w:firstColumn="0" w:lastColumn="0" w:oddVBand="0" w:evenVBand="0" w:oddHBand="0" w:evenHBand="0" w:firstRowFirstColumn="0" w:firstRowLastColumn="0" w:lastRowFirstColumn="0" w:lastRowLastColumn="0"/>
            </w:pPr>
            <w:r w:rsidRPr="00166DB1">
              <w:t xml:space="preserve">Support practising rural community pharmacies and pharmacy students [via grants to University Departments of Rural Health] by: supporting rural placements; promoting inter-professional collaboration; strengthening mentoring and advisory arrangements; and facilitating professional development and networking opportunities. </w:t>
            </w:r>
          </w:p>
        </w:tc>
      </w:tr>
      <w:tr w:rsidR="00166DB1" w:rsidRPr="00166DB1" w14:paraId="7CB95F72" w14:textId="77777777" w:rsidTr="00B77C1D">
        <w:tc>
          <w:tcPr>
            <w:cnfStyle w:val="001000000000" w:firstRow="0" w:lastRow="0" w:firstColumn="1" w:lastColumn="0" w:oddVBand="0" w:evenVBand="0" w:oddHBand="0" w:evenHBand="0" w:firstRowFirstColumn="0" w:firstRowLastColumn="0" w:lastRowFirstColumn="0" w:lastRowLastColumn="0"/>
            <w:tcW w:w="1508" w:type="pct"/>
            <w:tcBorders>
              <w:top w:val="single" w:sz="4" w:space="0" w:color="4B4B4B"/>
              <w:left w:val="single" w:sz="4" w:space="0" w:color="FFFFFF"/>
              <w:bottom w:val="single" w:sz="4" w:space="0" w:color="4B4B4B"/>
              <w:right w:val="single" w:sz="4" w:space="0" w:color="FFFFFF"/>
            </w:tcBorders>
            <w:shd w:val="clear" w:color="auto" w:fill="F2F2F2" w:themeFill="background1" w:themeFillShade="F2"/>
            <w:hideMark/>
          </w:tcPr>
          <w:p w14:paraId="671767F7" w14:textId="77777777" w:rsidR="00166DB1" w:rsidRPr="00166DB1" w:rsidRDefault="00166DB1" w:rsidP="00B77C1D">
            <w:pPr>
              <w:pStyle w:val="TableCopy"/>
            </w:pPr>
            <w:r w:rsidRPr="00166DB1">
              <w:t>Emergency Locum Service</w:t>
            </w:r>
          </w:p>
        </w:tc>
        <w:tc>
          <w:tcPr>
            <w:tcW w:w="3492" w:type="pct"/>
            <w:tcBorders>
              <w:top w:val="single" w:sz="4" w:space="0" w:color="4B4B4B"/>
              <w:left w:val="single" w:sz="4" w:space="0" w:color="FFFFFF"/>
              <w:bottom w:val="single" w:sz="4" w:space="0" w:color="4B4B4B"/>
              <w:right w:val="single" w:sz="4" w:space="0" w:color="FFFFFF"/>
            </w:tcBorders>
            <w:shd w:val="clear" w:color="auto" w:fill="F2F2F2" w:themeFill="background1" w:themeFillShade="F2"/>
            <w:hideMark/>
          </w:tcPr>
          <w:p w14:paraId="07FC4F77" w14:textId="77777777" w:rsidR="00166DB1" w:rsidRPr="00166DB1" w:rsidRDefault="00166DB1" w:rsidP="00B77C1D">
            <w:pPr>
              <w:pStyle w:val="TableCopy"/>
              <w:cnfStyle w:val="000000000000" w:firstRow="0" w:lastRow="0" w:firstColumn="0" w:lastColumn="0" w:oddVBand="0" w:evenVBand="0" w:oddHBand="0" w:evenHBand="0" w:firstRowFirstColumn="0" w:firstRowLastColumn="0" w:lastRowFirstColumn="0" w:lastRowLastColumn="0"/>
            </w:pPr>
            <w:r w:rsidRPr="00166DB1">
              <w:t>Support rural and remote communities to retain access to community pharmacy services at all usual times [via the organisation of locums]</w:t>
            </w:r>
          </w:p>
          <w:p w14:paraId="75814ECF" w14:textId="77777777" w:rsidR="00166DB1" w:rsidRPr="00166DB1" w:rsidRDefault="00166DB1" w:rsidP="00B77C1D">
            <w:pPr>
              <w:pStyle w:val="TableCopy"/>
              <w:cnfStyle w:val="000000000000" w:firstRow="0" w:lastRow="0" w:firstColumn="0" w:lastColumn="0" w:oddVBand="0" w:evenVBand="0" w:oddHBand="0" w:evenHBand="0" w:firstRowFirstColumn="0" w:firstRowLastColumn="0" w:lastRowFirstColumn="0" w:lastRowLastColumn="0"/>
            </w:pPr>
          </w:p>
        </w:tc>
      </w:tr>
      <w:tr w:rsidR="00166DB1" w:rsidRPr="00166DB1" w14:paraId="78DCE5C4" w14:textId="77777777" w:rsidTr="00B77C1D">
        <w:tc>
          <w:tcPr>
            <w:cnfStyle w:val="001000000000" w:firstRow="0" w:lastRow="0" w:firstColumn="1" w:lastColumn="0" w:oddVBand="0" w:evenVBand="0" w:oddHBand="0" w:evenHBand="0" w:firstRowFirstColumn="0" w:firstRowLastColumn="0" w:lastRowFirstColumn="0" w:lastRowLastColumn="0"/>
            <w:tcW w:w="1508" w:type="pct"/>
            <w:tcBorders>
              <w:top w:val="single" w:sz="4" w:space="0" w:color="4B4B4B"/>
              <w:left w:val="single" w:sz="4" w:space="0" w:color="FFFFFF"/>
              <w:bottom w:val="single" w:sz="4" w:space="0" w:color="4B4B4B"/>
              <w:right w:val="single" w:sz="4" w:space="0" w:color="FFFFFF"/>
            </w:tcBorders>
            <w:shd w:val="clear" w:color="auto" w:fill="F2F2F2" w:themeFill="background1" w:themeFillShade="F2"/>
            <w:hideMark/>
          </w:tcPr>
          <w:p w14:paraId="5F7BB165" w14:textId="77777777" w:rsidR="00166DB1" w:rsidRPr="00166DB1" w:rsidRDefault="00166DB1" w:rsidP="00B77C1D">
            <w:pPr>
              <w:pStyle w:val="TableCopy"/>
            </w:pPr>
            <w:r w:rsidRPr="00166DB1">
              <w:t>Aboriginal and Torres Strait Islander Pharmacy Scholarship Scheme</w:t>
            </w:r>
          </w:p>
        </w:tc>
        <w:tc>
          <w:tcPr>
            <w:tcW w:w="3492" w:type="pct"/>
            <w:tcBorders>
              <w:top w:val="single" w:sz="4" w:space="0" w:color="4B4B4B"/>
              <w:left w:val="single" w:sz="4" w:space="0" w:color="FFFFFF"/>
              <w:bottom w:val="single" w:sz="4" w:space="0" w:color="4B4B4B"/>
              <w:right w:val="single" w:sz="4" w:space="0" w:color="FFFFFF"/>
            </w:tcBorders>
            <w:shd w:val="clear" w:color="auto" w:fill="F2F2F2" w:themeFill="background1" w:themeFillShade="F2"/>
            <w:hideMark/>
          </w:tcPr>
          <w:p w14:paraId="275166AE" w14:textId="77777777" w:rsidR="00166DB1" w:rsidRPr="00166DB1" w:rsidRDefault="00166DB1" w:rsidP="00B77C1D">
            <w:pPr>
              <w:pStyle w:val="TableCopy"/>
              <w:cnfStyle w:val="000000000000" w:firstRow="0" w:lastRow="0" w:firstColumn="0" w:lastColumn="0" w:oddVBand="0" w:evenVBand="0" w:oddHBand="0" w:evenHBand="0" w:firstRowFirstColumn="0" w:firstRowLastColumn="0" w:lastRowFirstColumn="0" w:lastRowLastColumn="0"/>
            </w:pPr>
            <w:r w:rsidRPr="00166DB1">
              <w:t>Enable Aboriginal and Torres Strait Islander students to undertake pharmacy studies at university.</w:t>
            </w:r>
          </w:p>
        </w:tc>
      </w:tr>
      <w:tr w:rsidR="00166DB1" w:rsidRPr="00166DB1" w14:paraId="35B41103" w14:textId="77777777" w:rsidTr="00B77C1D">
        <w:tc>
          <w:tcPr>
            <w:cnfStyle w:val="001000000000" w:firstRow="0" w:lastRow="0" w:firstColumn="1" w:lastColumn="0" w:oddVBand="0" w:evenVBand="0" w:oddHBand="0" w:evenHBand="0" w:firstRowFirstColumn="0" w:firstRowLastColumn="0" w:lastRowFirstColumn="0" w:lastRowLastColumn="0"/>
            <w:tcW w:w="1508" w:type="pct"/>
            <w:tcBorders>
              <w:top w:val="single" w:sz="4" w:space="0" w:color="4B4B4B"/>
              <w:left w:val="single" w:sz="4" w:space="0" w:color="FFFFFF"/>
              <w:bottom w:val="single" w:sz="4" w:space="0" w:color="4B4B4B"/>
              <w:right w:val="single" w:sz="4" w:space="0" w:color="FFFFFF"/>
            </w:tcBorders>
            <w:shd w:val="clear" w:color="auto" w:fill="F2F2F2" w:themeFill="background1" w:themeFillShade="F2"/>
            <w:hideMark/>
          </w:tcPr>
          <w:p w14:paraId="4D67981F" w14:textId="77777777" w:rsidR="00166DB1" w:rsidRPr="00166DB1" w:rsidRDefault="00166DB1" w:rsidP="00B77C1D">
            <w:pPr>
              <w:pStyle w:val="TableCopy"/>
            </w:pPr>
            <w:r w:rsidRPr="00166DB1">
              <w:t>Aboriginal and Torres Strait Islander Pharmacy Assistant Traineeship Scheme</w:t>
            </w:r>
          </w:p>
        </w:tc>
        <w:tc>
          <w:tcPr>
            <w:tcW w:w="3492" w:type="pct"/>
            <w:tcBorders>
              <w:top w:val="single" w:sz="4" w:space="0" w:color="4B4B4B"/>
              <w:left w:val="single" w:sz="4" w:space="0" w:color="FFFFFF"/>
              <w:bottom w:val="single" w:sz="4" w:space="0" w:color="4B4B4B"/>
              <w:right w:val="single" w:sz="4" w:space="0" w:color="FFFFFF"/>
            </w:tcBorders>
            <w:shd w:val="clear" w:color="auto" w:fill="F2F2F2" w:themeFill="background1" w:themeFillShade="F2"/>
            <w:hideMark/>
          </w:tcPr>
          <w:p w14:paraId="1A43CA49" w14:textId="77777777" w:rsidR="00166DB1" w:rsidRPr="00166DB1" w:rsidRDefault="00166DB1" w:rsidP="00B77C1D">
            <w:pPr>
              <w:pStyle w:val="TableCopy"/>
              <w:cnfStyle w:val="000000000000" w:firstRow="0" w:lastRow="0" w:firstColumn="0" w:lastColumn="0" w:oddVBand="0" w:evenVBand="0" w:oddHBand="0" w:evenHBand="0" w:firstRowFirstColumn="0" w:firstRowLastColumn="0" w:lastRowFirstColumn="0" w:lastRowLastColumn="0"/>
            </w:pPr>
            <w:r w:rsidRPr="00166DB1">
              <w:t>Encourage and support Aboriginal and Torres Strait Islander people to become trained as pharmacy assistants and pharmacy technicians.</w:t>
            </w:r>
          </w:p>
        </w:tc>
      </w:tr>
    </w:tbl>
    <w:p w14:paraId="57FD664C" w14:textId="34ECC3B8" w:rsidR="00166DB1" w:rsidRPr="00166DB1" w:rsidRDefault="00166DB1" w:rsidP="0078709D">
      <w:pPr>
        <w:pStyle w:val="TableNotes"/>
      </w:pPr>
      <w:r w:rsidRPr="00166DB1">
        <w:t xml:space="preserve">(a) This paraphrased version from the background section of each of the Program Guidelines seeks to facilitate an overview and comparison across the programs. The full statement of the wording from each of the Program Guidelines is given in </w:t>
      </w:r>
      <w:r w:rsidR="0078709D">
        <w:t>Appendix</w:t>
      </w:r>
      <w:r w:rsidRPr="00166DB1">
        <w:t xml:space="preserve"> A.</w:t>
      </w:r>
    </w:p>
    <w:p w14:paraId="2F4A5304" w14:textId="77777777" w:rsidR="00166DB1" w:rsidRPr="00166DB1" w:rsidRDefault="00166DB1" w:rsidP="00B77C1D">
      <w:pPr>
        <w:spacing w:before="240" w:after="85"/>
        <w:rPr>
          <w:rFonts w:ascii="Garamond" w:eastAsia="Garamond" w:hAnsi="Garamond"/>
          <w:color w:val="000000"/>
        </w:rPr>
      </w:pPr>
      <w:r w:rsidRPr="00166DB1">
        <w:rPr>
          <w:rFonts w:ascii="Garamond" w:eastAsia="Garamond" w:hAnsi="Garamond"/>
          <w:color w:val="000000"/>
        </w:rPr>
        <w:t xml:space="preserve">HMA was not provided with any other documentation during the course of the evaluation that gave a more comprehensive specification of the objective for the in-scope programs. Examination of the derived aims in </w:t>
      </w:r>
      <w:r w:rsidRPr="00166DB1">
        <w:rPr>
          <w:rFonts w:ascii="Garamond" w:eastAsia="Garamond" w:hAnsi="Garamond"/>
          <w:color w:val="000000"/>
        </w:rPr>
        <w:fldChar w:fldCharType="begin"/>
      </w:r>
      <w:r w:rsidRPr="00166DB1">
        <w:rPr>
          <w:rFonts w:ascii="Garamond" w:eastAsia="Garamond" w:hAnsi="Garamond"/>
          <w:color w:val="000000"/>
        </w:rPr>
        <w:instrText xml:space="preserve"> REF _Ref490415890 \h </w:instrText>
      </w:r>
      <w:r w:rsidRPr="00166DB1">
        <w:rPr>
          <w:rFonts w:ascii="Garamond" w:eastAsia="Garamond" w:hAnsi="Garamond"/>
          <w:color w:val="000000"/>
        </w:rPr>
      </w:r>
      <w:r w:rsidRPr="00166DB1">
        <w:rPr>
          <w:rFonts w:ascii="Garamond" w:eastAsia="Garamond" w:hAnsi="Garamond"/>
          <w:color w:val="000000"/>
        </w:rPr>
        <w:fldChar w:fldCharType="separate"/>
      </w:r>
      <w:r w:rsidRPr="00166DB1">
        <w:rPr>
          <w:rFonts w:ascii="Garamond" w:eastAsia="Garamond" w:hAnsi="Garamond"/>
          <w:color w:val="000000"/>
        </w:rPr>
        <w:t xml:space="preserve">Table </w:t>
      </w:r>
      <w:r w:rsidRPr="00166DB1">
        <w:rPr>
          <w:rFonts w:ascii="Garamond" w:eastAsia="Garamond" w:hAnsi="Garamond"/>
          <w:noProof/>
          <w:color w:val="000000"/>
        </w:rPr>
        <w:t>2</w:t>
      </w:r>
      <w:r w:rsidRPr="00166DB1">
        <w:rPr>
          <w:rFonts w:ascii="Garamond" w:eastAsia="Garamond" w:hAnsi="Garamond"/>
          <w:color w:val="000000"/>
        </w:rPr>
        <w:t>.</w:t>
      </w:r>
      <w:r w:rsidRPr="00166DB1">
        <w:rPr>
          <w:rFonts w:ascii="Garamond" w:eastAsia="Garamond" w:hAnsi="Garamond"/>
          <w:noProof/>
          <w:color w:val="000000"/>
        </w:rPr>
        <w:t>1</w:t>
      </w:r>
      <w:r w:rsidRPr="00166DB1">
        <w:rPr>
          <w:rFonts w:ascii="Garamond" w:eastAsia="Garamond" w:hAnsi="Garamond"/>
          <w:color w:val="000000"/>
        </w:rPr>
        <w:fldChar w:fldCharType="end"/>
      </w:r>
      <w:r w:rsidRPr="00166DB1">
        <w:rPr>
          <w:rFonts w:ascii="Garamond" w:eastAsia="Garamond" w:hAnsi="Garamond"/>
          <w:color w:val="000000"/>
        </w:rPr>
        <w:t xml:space="preserve"> shows their limitation; </w:t>
      </w:r>
      <w:r w:rsidRPr="00166DB1">
        <w:rPr>
          <w:rFonts w:ascii="Garamond" w:eastAsia="Garamond" w:hAnsi="Garamond"/>
          <w:b/>
          <w:color w:val="000000"/>
        </w:rPr>
        <w:t xml:space="preserve">they are specific as to </w:t>
      </w:r>
      <w:r w:rsidRPr="00166DB1">
        <w:rPr>
          <w:rFonts w:ascii="Garamond" w:eastAsia="Garamond" w:hAnsi="Garamond"/>
          <w:color w:val="000000"/>
        </w:rPr>
        <w:t>‘</w:t>
      </w:r>
      <w:r w:rsidRPr="00166DB1">
        <w:rPr>
          <w:rFonts w:ascii="Garamond" w:eastAsia="Garamond" w:hAnsi="Garamond"/>
          <w:b/>
          <w:color w:val="000000"/>
        </w:rPr>
        <w:t>who’ is being targeted</w:t>
      </w:r>
      <w:r w:rsidRPr="00166DB1">
        <w:rPr>
          <w:rFonts w:ascii="Garamond" w:eastAsia="Garamond" w:hAnsi="Garamond"/>
          <w:color w:val="000000"/>
        </w:rPr>
        <w:t xml:space="preserve"> – generally a mixture of undergraduate students, and practising community pharmacists, and ‘</w:t>
      </w:r>
      <w:r w:rsidRPr="00166DB1">
        <w:rPr>
          <w:rFonts w:ascii="Garamond" w:eastAsia="Garamond" w:hAnsi="Garamond"/>
          <w:b/>
          <w:color w:val="000000"/>
        </w:rPr>
        <w:t>where’</w:t>
      </w:r>
      <w:r w:rsidRPr="00166DB1">
        <w:rPr>
          <w:rFonts w:ascii="Garamond" w:eastAsia="Garamond" w:hAnsi="Garamond"/>
          <w:color w:val="000000"/>
        </w:rPr>
        <w:t xml:space="preserve"> – the majority target rural and remote communities (generally defined as PhARIA 2 and above locations), but </w:t>
      </w:r>
      <w:r w:rsidRPr="00166DB1">
        <w:rPr>
          <w:rFonts w:ascii="Garamond" w:eastAsia="Garamond" w:hAnsi="Garamond"/>
          <w:b/>
          <w:color w:val="000000"/>
        </w:rPr>
        <w:t>they provide no statements about ‘why’, measurability</w:t>
      </w:r>
      <w:r w:rsidRPr="00166DB1">
        <w:rPr>
          <w:rFonts w:ascii="Garamond" w:eastAsia="Garamond" w:hAnsi="Garamond"/>
          <w:color w:val="000000"/>
        </w:rPr>
        <w:t xml:space="preserve">, or </w:t>
      </w:r>
      <w:r w:rsidRPr="00166DB1">
        <w:rPr>
          <w:rFonts w:ascii="Garamond" w:eastAsia="Garamond" w:hAnsi="Garamond"/>
          <w:b/>
          <w:color w:val="000000"/>
        </w:rPr>
        <w:t>time-based targets</w:t>
      </w:r>
      <w:r w:rsidRPr="00166DB1">
        <w:rPr>
          <w:rFonts w:ascii="Garamond" w:eastAsia="Garamond" w:hAnsi="Garamond"/>
          <w:color w:val="000000"/>
        </w:rPr>
        <w:t>.</w:t>
      </w:r>
    </w:p>
    <w:p w14:paraId="515F9F63" w14:textId="77777777" w:rsidR="00166DB1" w:rsidRPr="00166DB1" w:rsidRDefault="00166DB1" w:rsidP="0086316D">
      <w:pPr>
        <w:pStyle w:val="KeyFinding"/>
        <w:shd w:val="clear" w:color="auto" w:fill="F2F2F2" w:themeFill="background1" w:themeFillShade="F2"/>
      </w:pPr>
      <w:bookmarkStart w:id="19" w:name="_Ref490676614"/>
      <w:r w:rsidRPr="00166DB1">
        <w:t>If it is decided to continue with the Pharmacy Workforce Programs, in future there should be a clearer specification of their objectives, including a clear statement of why the programs are being implemented, what they are expected to realise over the life of a Community Pharmacy Agreement, and the target activity level they aim to realise.</w:t>
      </w:r>
      <w:bookmarkEnd w:id="19"/>
    </w:p>
    <w:p w14:paraId="5C72781F" w14:textId="77777777" w:rsidR="00166DB1" w:rsidRPr="00166DB1" w:rsidRDefault="00166DB1" w:rsidP="00B24642">
      <w:pPr>
        <w:pStyle w:val="Heading2"/>
      </w:pPr>
      <w:bookmarkStart w:id="20" w:name="_Toc523322042"/>
      <w:r w:rsidRPr="00166DB1">
        <w:lastRenderedPageBreak/>
        <w:t>Program Categorisation for evaluation purposes</w:t>
      </w:r>
      <w:bookmarkEnd w:id="20"/>
    </w:p>
    <w:p w14:paraId="2E773154" w14:textId="77777777" w:rsidR="00166DB1" w:rsidRPr="00166DB1" w:rsidRDefault="00166DB1" w:rsidP="00166DB1">
      <w:pPr>
        <w:spacing w:before="85" w:after="85"/>
        <w:rPr>
          <w:rFonts w:ascii="Garamond" w:eastAsia="Times New Roman" w:hAnsi="Garamond"/>
          <w:color w:val="000000"/>
        </w:rPr>
      </w:pPr>
      <w:bookmarkStart w:id="21" w:name="_Ref488145020"/>
      <w:r w:rsidRPr="00166DB1">
        <w:rPr>
          <w:rFonts w:ascii="Garamond" w:eastAsia="Times New Roman" w:hAnsi="Garamond"/>
          <w:color w:val="000000"/>
        </w:rPr>
        <w:t xml:space="preserve">In the absence of clearly defined program objectives, and to assist with the evaluation, HMA categorised the ten Rural Workforce Package component programs and the two Aboriginal and Torres Strait Islander Workforce Package component programs into four groups with similar characteristics. </w:t>
      </w:r>
      <w:r w:rsidRPr="00166DB1">
        <w:rPr>
          <w:rFonts w:ascii="Garamond" w:eastAsia="Times New Roman" w:hAnsi="Garamond"/>
          <w:color w:val="000000"/>
        </w:rPr>
        <w:fldChar w:fldCharType="begin"/>
      </w:r>
      <w:r w:rsidRPr="00166DB1">
        <w:rPr>
          <w:rFonts w:ascii="Garamond" w:eastAsia="Times New Roman" w:hAnsi="Garamond"/>
          <w:color w:val="000000"/>
        </w:rPr>
        <w:instrText xml:space="preserve"> REF _Ref488249460 \h  \* MERGEFORMAT </w:instrText>
      </w:r>
      <w:r w:rsidRPr="00166DB1">
        <w:rPr>
          <w:rFonts w:ascii="Garamond" w:eastAsia="Times New Roman" w:hAnsi="Garamond"/>
          <w:color w:val="000000"/>
        </w:rPr>
      </w:r>
      <w:r w:rsidRPr="00166DB1">
        <w:rPr>
          <w:rFonts w:ascii="Garamond" w:eastAsia="Times New Roman" w:hAnsi="Garamond"/>
          <w:color w:val="000000"/>
        </w:rPr>
        <w:fldChar w:fldCharType="separate"/>
      </w:r>
      <w:r w:rsidRPr="00166DB1">
        <w:rPr>
          <w:rFonts w:ascii="Garamond" w:eastAsia="Garamond" w:hAnsi="Garamond"/>
          <w:color w:val="000000"/>
        </w:rPr>
        <w:t xml:space="preserve">Figure </w:t>
      </w:r>
      <w:r w:rsidRPr="00166DB1">
        <w:rPr>
          <w:rFonts w:ascii="Garamond" w:eastAsia="Garamond" w:hAnsi="Garamond"/>
          <w:noProof/>
          <w:color w:val="000000"/>
        </w:rPr>
        <w:t>2.1</w:t>
      </w:r>
      <w:r w:rsidRPr="00166DB1">
        <w:rPr>
          <w:rFonts w:ascii="Garamond" w:eastAsia="Times New Roman" w:hAnsi="Garamond"/>
          <w:color w:val="000000"/>
        </w:rPr>
        <w:fldChar w:fldCharType="end"/>
      </w:r>
      <w:r w:rsidRPr="00166DB1">
        <w:rPr>
          <w:rFonts w:ascii="Garamond" w:eastAsia="Times New Roman" w:hAnsi="Garamond"/>
          <w:color w:val="000000"/>
        </w:rPr>
        <w:t xml:space="preserve"> </w:t>
      </w:r>
      <w:r w:rsidRPr="00166DB1">
        <w:rPr>
          <w:rFonts w:ascii="Garamond" w:eastAsia="Garamond" w:hAnsi="Garamond"/>
          <w:color w:val="000000"/>
        </w:rPr>
        <w:t>ill</w:t>
      </w:r>
      <w:r w:rsidRPr="00166DB1">
        <w:rPr>
          <w:rFonts w:ascii="Garamond" w:eastAsia="Times New Roman" w:hAnsi="Garamond"/>
          <w:color w:val="000000"/>
        </w:rPr>
        <w:t xml:space="preserve">ustrates the allocation of each program by the common characteristic of what they are seeking to realise. These categories are: </w:t>
      </w:r>
    </w:p>
    <w:p w14:paraId="2DAC24DB" w14:textId="77777777" w:rsidR="00166DB1" w:rsidRPr="0086316D" w:rsidRDefault="00166DB1" w:rsidP="009F66FB">
      <w:pPr>
        <w:pStyle w:val="Numbers1"/>
        <w:numPr>
          <w:ilvl w:val="0"/>
          <w:numId w:val="16"/>
        </w:numPr>
      </w:pPr>
      <w:r w:rsidRPr="0086316D">
        <w:rPr>
          <w:b/>
        </w:rPr>
        <w:t>Workforce recruitment programs:</w:t>
      </w:r>
      <w:r w:rsidRPr="0086316D">
        <w:t xml:space="preserve"> supporting the recruitment of new pharmacists into the rural workforce through programs targeting students and interns.</w:t>
      </w:r>
    </w:p>
    <w:p w14:paraId="400EA805" w14:textId="77777777" w:rsidR="00166DB1" w:rsidRPr="00166DB1" w:rsidRDefault="00166DB1" w:rsidP="0086316D">
      <w:pPr>
        <w:pStyle w:val="Numbers1"/>
      </w:pPr>
      <w:r w:rsidRPr="00166DB1">
        <w:rPr>
          <w:b/>
        </w:rPr>
        <w:t>Workforce retention programs:</w:t>
      </w:r>
      <w:r w:rsidRPr="00166DB1">
        <w:t xml:space="preserve"> supporting the retention of existing rural pharmacists.</w:t>
      </w:r>
    </w:p>
    <w:p w14:paraId="0D50A614" w14:textId="77777777" w:rsidR="00166DB1" w:rsidRPr="00166DB1" w:rsidRDefault="00166DB1" w:rsidP="0086316D">
      <w:pPr>
        <w:pStyle w:val="Numbers1"/>
      </w:pPr>
      <w:r w:rsidRPr="00166DB1">
        <w:rPr>
          <w:b/>
        </w:rPr>
        <w:t>Other workforce support programs:</w:t>
      </w:r>
      <w:r w:rsidRPr="00166DB1">
        <w:t xml:space="preserve"> providing support to the broader rural pharmacy workforce including students, pharmacy schools and practising pharmacists, delivered via funding available to twelve University Departments of Rural Health (UDRH), and Pharmacy Schools.</w:t>
      </w:r>
    </w:p>
    <w:p w14:paraId="6A001412" w14:textId="77777777" w:rsidR="00166DB1" w:rsidRPr="00166DB1" w:rsidRDefault="00166DB1" w:rsidP="0086316D">
      <w:pPr>
        <w:pStyle w:val="Numbers1"/>
      </w:pPr>
      <w:r w:rsidRPr="00166DB1">
        <w:rPr>
          <w:b/>
        </w:rPr>
        <w:t>Enhancing availability of culturally appropriate services:</w:t>
      </w:r>
      <w:r w:rsidRPr="00166DB1">
        <w:t xml:space="preserve"> improving access to culturally appropriate pharmacy services by increasing the number of Aboriginal and Torres Strait Islander people within the pharmacy workforce.</w:t>
      </w:r>
      <w:r w:rsidRPr="00166DB1">
        <w:rPr>
          <w:i/>
        </w:rPr>
        <w:t xml:space="preserve"> </w:t>
      </w:r>
    </w:p>
    <w:p w14:paraId="200EE955" w14:textId="77777777" w:rsidR="00166DB1" w:rsidRPr="00166DB1" w:rsidRDefault="00166DB1" w:rsidP="00483C21">
      <w:pPr>
        <w:pStyle w:val="Caption"/>
      </w:pPr>
      <w:bookmarkStart w:id="22" w:name="_Ref488249460"/>
      <w:bookmarkEnd w:id="21"/>
      <w:r w:rsidRPr="00166DB1">
        <w:t xml:space="preserve">Figure </w:t>
      </w:r>
      <w:r w:rsidRPr="00166DB1">
        <w:rPr>
          <w:noProof/>
        </w:rPr>
        <w:fldChar w:fldCharType="begin"/>
      </w:r>
      <w:r w:rsidRPr="00166DB1">
        <w:rPr>
          <w:noProof/>
        </w:rPr>
        <w:instrText xml:space="preserve"> STYLEREF 1 \s </w:instrText>
      </w:r>
      <w:r w:rsidRPr="00166DB1">
        <w:rPr>
          <w:noProof/>
        </w:rPr>
        <w:fldChar w:fldCharType="separate"/>
      </w:r>
      <w:r w:rsidRPr="00166DB1">
        <w:rPr>
          <w:noProof/>
        </w:rPr>
        <w:t>2</w:t>
      </w:r>
      <w:r w:rsidRPr="00166DB1">
        <w:rPr>
          <w:noProof/>
        </w:rPr>
        <w:fldChar w:fldCharType="end"/>
      </w:r>
      <w:r w:rsidRPr="00166DB1">
        <w:t>.</w:t>
      </w:r>
      <w:r w:rsidRPr="00166DB1">
        <w:rPr>
          <w:noProof/>
        </w:rPr>
        <w:fldChar w:fldCharType="begin"/>
      </w:r>
      <w:r w:rsidRPr="00166DB1">
        <w:rPr>
          <w:noProof/>
        </w:rPr>
        <w:instrText xml:space="preserve"> SEQ Figure \* ARABIC \s 1 </w:instrText>
      </w:r>
      <w:r w:rsidRPr="00166DB1">
        <w:rPr>
          <w:noProof/>
        </w:rPr>
        <w:fldChar w:fldCharType="separate"/>
      </w:r>
      <w:r w:rsidRPr="00166DB1">
        <w:rPr>
          <w:noProof/>
        </w:rPr>
        <w:t>1</w:t>
      </w:r>
      <w:r w:rsidRPr="00166DB1">
        <w:rPr>
          <w:noProof/>
        </w:rPr>
        <w:fldChar w:fldCharType="end"/>
      </w:r>
      <w:bookmarkEnd w:id="22"/>
      <w:r w:rsidRPr="00166DB1">
        <w:t xml:space="preserve">: Pharmacy Workforce Package, grouped by characteristics </w:t>
      </w:r>
    </w:p>
    <w:p w14:paraId="771A1FD7" w14:textId="77777777" w:rsidR="00166DB1" w:rsidRPr="00166DB1" w:rsidRDefault="00166DB1" w:rsidP="00166DB1">
      <w:pPr>
        <w:spacing w:before="85" w:after="85"/>
        <w:rPr>
          <w:rFonts w:ascii="Garamond" w:eastAsia="Times New Roman" w:hAnsi="Garamond"/>
          <w:color w:val="000000"/>
        </w:rPr>
      </w:pPr>
      <w:r w:rsidRPr="00166DB1">
        <w:rPr>
          <w:rFonts w:ascii="Garamond" w:eastAsia="Times New Roman" w:hAnsi="Garamond"/>
          <w:noProof/>
          <w:color w:val="000000"/>
          <w:lang w:eastAsia="en-AU"/>
        </w:rPr>
        <w:drawing>
          <wp:inline distT="0" distB="0" distL="0" distR="0" wp14:anchorId="5760F31E" wp14:editId="3D5BA6B5">
            <wp:extent cx="4466328" cy="2059353"/>
            <wp:effectExtent l="0" t="0" r="0" b="0"/>
            <wp:docPr id="82" name="Picture 82" descr="Table of pharmacy workforce programs, including recruitment, retention, workforce support and culturally appropriate progr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474134" cy="2062952"/>
                    </a:xfrm>
                    <a:prstGeom prst="rect">
                      <a:avLst/>
                    </a:prstGeom>
                    <a:noFill/>
                  </pic:spPr>
                </pic:pic>
              </a:graphicData>
            </a:graphic>
          </wp:inline>
        </w:drawing>
      </w:r>
    </w:p>
    <w:p w14:paraId="404483A0" w14:textId="77777777" w:rsidR="00166DB1" w:rsidRPr="00166DB1" w:rsidRDefault="00166DB1" w:rsidP="00B24642">
      <w:pPr>
        <w:pStyle w:val="Heading2"/>
      </w:pPr>
      <w:bookmarkStart w:id="23" w:name="_Ref492988637"/>
      <w:bookmarkStart w:id="24" w:name="_Toc523322043"/>
      <w:r w:rsidRPr="00166DB1">
        <w:t>Expenditure and activity by Program: summary</w:t>
      </w:r>
      <w:bookmarkEnd w:id="23"/>
      <w:bookmarkEnd w:id="24"/>
    </w:p>
    <w:p w14:paraId="1F7A692B"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fldChar w:fldCharType="begin"/>
      </w:r>
      <w:r w:rsidRPr="00166DB1">
        <w:rPr>
          <w:rFonts w:ascii="Garamond" w:eastAsia="Garamond" w:hAnsi="Garamond"/>
          <w:color w:val="000000"/>
        </w:rPr>
        <w:instrText xml:space="preserve"> REF _Ref490549493 \h </w:instrText>
      </w:r>
      <w:r w:rsidRPr="00166DB1">
        <w:rPr>
          <w:rFonts w:ascii="Garamond" w:eastAsia="Garamond" w:hAnsi="Garamond"/>
          <w:color w:val="000000"/>
        </w:rPr>
      </w:r>
      <w:r w:rsidRPr="00166DB1">
        <w:rPr>
          <w:rFonts w:ascii="Garamond" w:eastAsia="Garamond" w:hAnsi="Garamond"/>
          <w:color w:val="000000"/>
        </w:rPr>
        <w:fldChar w:fldCharType="separate"/>
      </w:r>
      <w:r w:rsidRPr="00166DB1">
        <w:rPr>
          <w:rFonts w:ascii="Garamond" w:eastAsia="Garamond" w:hAnsi="Garamond"/>
          <w:color w:val="000000"/>
        </w:rPr>
        <w:t xml:space="preserve">Table </w:t>
      </w:r>
      <w:r w:rsidRPr="00166DB1">
        <w:rPr>
          <w:rFonts w:ascii="Garamond" w:eastAsia="Garamond" w:hAnsi="Garamond"/>
          <w:noProof/>
          <w:color w:val="000000"/>
        </w:rPr>
        <w:t>2</w:t>
      </w:r>
      <w:r w:rsidRPr="00166DB1">
        <w:rPr>
          <w:rFonts w:ascii="Garamond" w:eastAsia="Garamond" w:hAnsi="Garamond"/>
          <w:color w:val="000000"/>
        </w:rPr>
        <w:t>.</w:t>
      </w:r>
      <w:r w:rsidRPr="00166DB1">
        <w:rPr>
          <w:rFonts w:ascii="Garamond" w:eastAsia="Garamond" w:hAnsi="Garamond"/>
          <w:noProof/>
          <w:color w:val="000000"/>
        </w:rPr>
        <w:t>2</w:t>
      </w:r>
      <w:r w:rsidRPr="00166DB1">
        <w:rPr>
          <w:rFonts w:ascii="Garamond" w:eastAsia="Garamond" w:hAnsi="Garamond"/>
          <w:color w:val="000000"/>
        </w:rPr>
        <w:fldChar w:fldCharType="end"/>
      </w:r>
      <w:r w:rsidRPr="00166DB1">
        <w:rPr>
          <w:rFonts w:ascii="Garamond" w:eastAsia="Garamond" w:hAnsi="Garamond"/>
          <w:color w:val="000000"/>
        </w:rPr>
        <w:t xml:space="preserve"> summarises the estimated average annual expenditure for 2013–14 and 2014–15 by program and program category. It also gives the activity levels by program. The table shows that the individual programs are quite small, when measured in terms of both expenditure and activity levels. The table also shows the split of resources across the four categories of program, based on averaged 2013–14 and 2014–15 expenditure, as follows:</w:t>
      </w:r>
    </w:p>
    <w:p w14:paraId="36215A82" w14:textId="77777777" w:rsidR="00166DB1" w:rsidRPr="00166DB1" w:rsidRDefault="00166DB1" w:rsidP="009F66FB">
      <w:pPr>
        <w:numPr>
          <w:ilvl w:val="0"/>
          <w:numId w:val="3"/>
        </w:numPr>
        <w:spacing w:before="20" w:after="20"/>
        <w:rPr>
          <w:rFonts w:ascii="Garamond" w:eastAsia="Times New Roman" w:hAnsi="Garamond"/>
          <w:color w:val="000000"/>
        </w:rPr>
      </w:pPr>
      <w:r w:rsidRPr="00166DB1">
        <w:rPr>
          <w:rFonts w:ascii="Garamond" w:eastAsia="Times New Roman" w:hAnsi="Garamond"/>
          <w:b/>
          <w:color w:val="000000"/>
        </w:rPr>
        <w:t>Workforce recruitment programs:</w:t>
      </w:r>
      <w:r w:rsidRPr="00166DB1">
        <w:rPr>
          <w:rFonts w:ascii="Garamond" w:eastAsia="Times New Roman" w:hAnsi="Garamond"/>
          <w:color w:val="000000"/>
        </w:rPr>
        <w:t xml:space="preserve"> an average of </w:t>
      </w:r>
      <w:r w:rsidRPr="00166DB1">
        <w:rPr>
          <w:rFonts w:ascii="Times New Roman" w:eastAsia="Times New Roman" w:hAnsi="Times New Roman"/>
          <w:color w:val="000000"/>
        </w:rPr>
        <w:t>$</w:t>
      </w:r>
      <w:r w:rsidRPr="00166DB1">
        <w:rPr>
          <w:rFonts w:ascii="Garamond" w:eastAsia="Times New Roman" w:hAnsi="Garamond"/>
          <w:color w:val="000000"/>
        </w:rPr>
        <w:t>1.76m per annum or 38% of Pharmacy Workforce Expenditure (averaged across 2013–14 and 2014–15)</w:t>
      </w:r>
    </w:p>
    <w:p w14:paraId="3899F66F" w14:textId="77777777" w:rsidR="00166DB1" w:rsidRPr="00166DB1" w:rsidRDefault="00166DB1" w:rsidP="009F66FB">
      <w:pPr>
        <w:numPr>
          <w:ilvl w:val="0"/>
          <w:numId w:val="3"/>
        </w:numPr>
        <w:spacing w:before="20" w:after="20"/>
        <w:rPr>
          <w:rFonts w:ascii="Garamond" w:eastAsia="Times New Roman" w:hAnsi="Garamond"/>
          <w:color w:val="000000"/>
        </w:rPr>
      </w:pPr>
      <w:r w:rsidRPr="00166DB1">
        <w:rPr>
          <w:rFonts w:ascii="Garamond" w:eastAsia="Times New Roman" w:hAnsi="Garamond"/>
          <w:b/>
          <w:color w:val="000000"/>
        </w:rPr>
        <w:t>Workforce retention programs:</w:t>
      </w:r>
      <w:r w:rsidRPr="00166DB1">
        <w:rPr>
          <w:rFonts w:ascii="Garamond" w:eastAsia="Times New Roman" w:hAnsi="Garamond"/>
          <w:color w:val="000000"/>
        </w:rPr>
        <w:t xml:space="preserve"> an average of </w:t>
      </w:r>
      <w:r w:rsidRPr="00166DB1">
        <w:rPr>
          <w:rFonts w:ascii="Times New Roman" w:eastAsia="Times New Roman" w:hAnsi="Times New Roman"/>
          <w:color w:val="000000"/>
        </w:rPr>
        <w:t>$</w:t>
      </w:r>
      <w:r w:rsidRPr="00166DB1">
        <w:rPr>
          <w:rFonts w:ascii="Garamond" w:eastAsia="Times New Roman" w:hAnsi="Garamond"/>
          <w:color w:val="000000"/>
        </w:rPr>
        <w:t>1.32m per annum or 28% of expenditure</w:t>
      </w:r>
    </w:p>
    <w:p w14:paraId="058FC590" w14:textId="77777777" w:rsidR="00166DB1" w:rsidRPr="00166DB1" w:rsidRDefault="00166DB1" w:rsidP="009F66FB">
      <w:pPr>
        <w:numPr>
          <w:ilvl w:val="0"/>
          <w:numId w:val="3"/>
        </w:numPr>
        <w:spacing w:before="20" w:after="20"/>
        <w:rPr>
          <w:rFonts w:ascii="Garamond" w:eastAsia="Times New Roman" w:hAnsi="Garamond"/>
          <w:color w:val="000000"/>
        </w:rPr>
      </w:pPr>
      <w:r w:rsidRPr="00166DB1">
        <w:rPr>
          <w:rFonts w:ascii="Garamond" w:eastAsia="Times New Roman" w:hAnsi="Garamond"/>
          <w:b/>
          <w:color w:val="000000"/>
        </w:rPr>
        <w:t>Other workforce support programs:</w:t>
      </w:r>
      <w:r w:rsidRPr="00166DB1">
        <w:rPr>
          <w:rFonts w:ascii="Garamond" w:eastAsia="Times New Roman" w:hAnsi="Garamond"/>
          <w:color w:val="000000"/>
        </w:rPr>
        <w:t xml:space="preserve"> an average of </w:t>
      </w:r>
      <w:r w:rsidRPr="00166DB1">
        <w:rPr>
          <w:rFonts w:ascii="Times New Roman" w:eastAsia="Times New Roman" w:hAnsi="Times New Roman"/>
          <w:color w:val="000000"/>
        </w:rPr>
        <w:t>$</w:t>
      </w:r>
      <w:r w:rsidRPr="00166DB1">
        <w:rPr>
          <w:rFonts w:ascii="Garamond" w:eastAsia="Times New Roman" w:hAnsi="Garamond"/>
          <w:color w:val="000000"/>
        </w:rPr>
        <w:t xml:space="preserve">1.36m per annum or 29% of expenditure, and </w:t>
      </w:r>
    </w:p>
    <w:p w14:paraId="779AD27E" w14:textId="77777777" w:rsidR="00166DB1" w:rsidRPr="00166DB1" w:rsidRDefault="00166DB1" w:rsidP="009F66FB">
      <w:pPr>
        <w:numPr>
          <w:ilvl w:val="0"/>
          <w:numId w:val="2"/>
        </w:numPr>
        <w:spacing w:before="20" w:after="20"/>
        <w:rPr>
          <w:rFonts w:ascii="Garamond" w:eastAsia="Times New Roman" w:hAnsi="Garamond"/>
          <w:color w:val="000000"/>
        </w:rPr>
      </w:pPr>
      <w:r w:rsidRPr="00166DB1">
        <w:rPr>
          <w:rFonts w:ascii="Garamond" w:eastAsia="Times New Roman" w:hAnsi="Garamond"/>
          <w:b/>
          <w:color w:val="000000"/>
        </w:rPr>
        <w:t>Enhancing availability of culturally appropriate services:</w:t>
      </w:r>
      <w:r w:rsidRPr="00166DB1">
        <w:rPr>
          <w:rFonts w:ascii="Garamond" w:eastAsia="Times New Roman" w:hAnsi="Garamond"/>
          <w:color w:val="000000"/>
        </w:rPr>
        <w:t xml:space="preserve"> an average of </w:t>
      </w:r>
      <w:r w:rsidRPr="00166DB1">
        <w:rPr>
          <w:rFonts w:ascii="Times New Roman" w:eastAsia="Times New Roman" w:hAnsi="Times New Roman"/>
          <w:color w:val="000000"/>
        </w:rPr>
        <w:t>$</w:t>
      </w:r>
      <w:r w:rsidRPr="00166DB1">
        <w:rPr>
          <w:rFonts w:ascii="Garamond" w:eastAsia="Times New Roman" w:hAnsi="Garamond"/>
          <w:color w:val="000000"/>
        </w:rPr>
        <w:t>0.23 m per annum or 5% of expenditure.</w:t>
      </w:r>
    </w:p>
    <w:p w14:paraId="098A19EC" w14:textId="77777777" w:rsidR="00166DB1" w:rsidRPr="00166DB1" w:rsidRDefault="00166DB1" w:rsidP="00166DB1">
      <w:pPr>
        <w:spacing w:before="85" w:after="85"/>
        <w:rPr>
          <w:rFonts w:ascii="Garamond" w:eastAsia="Garamond" w:hAnsi="Garamond"/>
          <w:color w:val="000000"/>
        </w:rPr>
        <w:sectPr w:rsidR="00166DB1" w:rsidRPr="00166DB1" w:rsidSect="00512879">
          <w:type w:val="continuous"/>
          <w:pgSz w:w="16839" w:h="11907" w:orient="landscape" w:code="9"/>
          <w:pgMar w:top="2268" w:right="1304" w:bottom="850" w:left="737" w:header="567" w:footer="284" w:gutter="0"/>
          <w:cols w:num="2" w:space="709"/>
          <w:docGrid w:linePitch="360"/>
        </w:sectPr>
      </w:pPr>
    </w:p>
    <w:p w14:paraId="121126D0" w14:textId="77777777" w:rsidR="00166DB1" w:rsidRPr="00166DB1" w:rsidRDefault="00166DB1" w:rsidP="00483C21">
      <w:pPr>
        <w:pStyle w:val="Caption"/>
      </w:pPr>
      <w:bookmarkStart w:id="25" w:name="_Ref490549493"/>
      <w:r w:rsidRPr="00166DB1">
        <w:lastRenderedPageBreak/>
        <w:t xml:space="preserve">Table </w:t>
      </w:r>
      <w:r w:rsidRPr="00166DB1">
        <w:rPr>
          <w:noProof/>
        </w:rPr>
        <w:fldChar w:fldCharType="begin"/>
      </w:r>
      <w:r w:rsidRPr="00166DB1">
        <w:rPr>
          <w:noProof/>
        </w:rPr>
        <w:instrText xml:space="preserve"> STYLEREF 1 \s </w:instrText>
      </w:r>
      <w:r w:rsidRPr="00166DB1">
        <w:rPr>
          <w:noProof/>
        </w:rPr>
        <w:fldChar w:fldCharType="separate"/>
      </w:r>
      <w:r w:rsidRPr="00166DB1">
        <w:rPr>
          <w:noProof/>
        </w:rPr>
        <w:t>2</w:t>
      </w:r>
      <w:r w:rsidRPr="00166DB1">
        <w:rPr>
          <w:noProof/>
        </w:rPr>
        <w:fldChar w:fldCharType="end"/>
      </w:r>
      <w:r w:rsidRPr="00166DB1">
        <w:t>.</w:t>
      </w:r>
      <w:r w:rsidRPr="00166DB1">
        <w:rPr>
          <w:noProof/>
        </w:rPr>
        <w:fldChar w:fldCharType="begin"/>
      </w:r>
      <w:r w:rsidRPr="00166DB1">
        <w:rPr>
          <w:noProof/>
        </w:rPr>
        <w:instrText xml:space="preserve"> SEQ Table \* ARABIC \s 1 </w:instrText>
      </w:r>
      <w:r w:rsidRPr="00166DB1">
        <w:rPr>
          <w:noProof/>
        </w:rPr>
        <w:fldChar w:fldCharType="separate"/>
      </w:r>
      <w:r w:rsidRPr="00166DB1">
        <w:rPr>
          <w:noProof/>
        </w:rPr>
        <w:t>2</w:t>
      </w:r>
      <w:r w:rsidRPr="00166DB1">
        <w:rPr>
          <w:noProof/>
        </w:rPr>
        <w:fldChar w:fldCharType="end"/>
      </w:r>
      <w:bookmarkEnd w:id="25"/>
      <w:r w:rsidRPr="00166DB1">
        <w:t>: Average Annual Expenditure (across 2013–2015) and Activity Levels by Pharmacy Workforce Program</w:t>
      </w:r>
    </w:p>
    <w:tbl>
      <w:tblPr>
        <w:tblStyle w:val="HMATable"/>
        <w:tblW w:w="4977" w:type="pct"/>
        <w:jc w:val="center"/>
        <w:tblLook w:val="04A0" w:firstRow="1" w:lastRow="0" w:firstColumn="1" w:lastColumn="0" w:noHBand="0" w:noVBand="1"/>
        <w:tblCaption w:val="Table 2.2: Average Annual Expenditure (across 2013-2015) and Activity Levels by Pharmacy Workforce Program"/>
        <w:tblDescription w:val="Table 2.2: Average Annual Expenditure (across 2013-2015) and Activity Levels by Pharmacy Workforce Program. Table includes Package component, Estimated Annual Expenditure $m (averaged across&#10; 2013–2015), Proportion of program as part of overall package, Measure of activity, and 2015–16 Activity (b)&#10;"/>
      </w:tblPr>
      <w:tblGrid>
        <w:gridCol w:w="5523"/>
        <w:gridCol w:w="2158"/>
        <w:gridCol w:w="1811"/>
        <w:gridCol w:w="3394"/>
        <w:gridCol w:w="1834"/>
      </w:tblGrid>
      <w:tr w:rsidR="001C5BAE" w14:paraId="6D7BAC76" w14:textId="77777777" w:rsidTr="00133610">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1876" w:type="pct"/>
            <w:tcBorders>
              <w:bottom w:val="single" w:sz="4" w:space="0" w:color="auto"/>
            </w:tcBorders>
            <w:shd w:val="clear" w:color="auto" w:fill="D9D9D9" w:themeFill="background1" w:themeFillShade="D9"/>
          </w:tcPr>
          <w:p w14:paraId="1D4CC278" w14:textId="55AC3FC2" w:rsidR="001C5BAE" w:rsidRDefault="00B402F5" w:rsidP="0006633E">
            <w:pPr>
              <w:pStyle w:val="TableColumnHeading"/>
              <w:keepNext w:val="0"/>
            </w:pPr>
            <w:bookmarkStart w:id="26" w:name="_Hlk522801714"/>
            <w:r>
              <w:t>Package component</w:t>
            </w:r>
          </w:p>
        </w:tc>
        <w:tc>
          <w:tcPr>
            <w:tcW w:w="733" w:type="pct"/>
            <w:tcBorders>
              <w:bottom w:val="single" w:sz="4" w:space="0" w:color="auto"/>
            </w:tcBorders>
            <w:shd w:val="clear" w:color="auto" w:fill="D9D9D9" w:themeFill="background1" w:themeFillShade="D9"/>
          </w:tcPr>
          <w:p w14:paraId="62FF80F8" w14:textId="42ADA9AF" w:rsidR="00B402F5" w:rsidRDefault="00B402F5" w:rsidP="00B402F5">
            <w:pPr>
              <w:pStyle w:val="TableColumnHeading"/>
              <w:keepNext w:val="0"/>
              <w:jc w:val="center"/>
              <w:cnfStyle w:val="100000000000" w:firstRow="1" w:lastRow="0" w:firstColumn="0" w:lastColumn="0" w:oddVBand="0" w:evenVBand="0" w:oddHBand="0" w:evenHBand="0" w:firstRowFirstColumn="0" w:firstRowLastColumn="0" w:lastRowFirstColumn="0" w:lastRowLastColumn="0"/>
            </w:pPr>
            <w:r>
              <w:t>Estimated Annual Expenditure $m,</w:t>
            </w:r>
          </w:p>
          <w:p w14:paraId="24CD42B2" w14:textId="7F038E32" w:rsidR="001C5BAE" w:rsidRDefault="00B402F5" w:rsidP="00B402F5">
            <w:pPr>
              <w:pStyle w:val="TableColumnHeading"/>
              <w:keepNext w:val="0"/>
              <w:jc w:val="center"/>
              <w:cnfStyle w:val="100000000000" w:firstRow="1" w:lastRow="0" w:firstColumn="0" w:lastColumn="0" w:oddVBand="0" w:evenVBand="0" w:oddHBand="0" w:evenHBand="0" w:firstRowFirstColumn="0" w:firstRowLastColumn="0" w:lastRowFirstColumn="0" w:lastRowLastColumn="0"/>
            </w:pPr>
            <w:r w:rsidRPr="009C1D17">
              <w:t>(av</w:t>
            </w:r>
            <w:r>
              <w:t>eraged</w:t>
            </w:r>
            <w:r w:rsidRPr="009C1D17">
              <w:t xml:space="preserve"> across</w:t>
            </w:r>
            <w:r>
              <w:br/>
            </w:r>
            <w:r w:rsidRPr="009C1D17">
              <w:t xml:space="preserve"> 2013</w:t>
            </w:r>
            <w:r>
              <w:t>–</w:t>
            </w:r>
            <w:r w:rsidRPr="009C1D17">
              <w:t>2015)</w:t>
            </w:r>
          </w:p>
        </w:tc>
        <w:tc>
          <w:tcPr>
            <w:tcW w:w="615" w:type="pct"/>
            <w:tcBorders>
              <w:bottom w:val="single" w:sz="4" w:space="0" w:color="auto"/>
            </w:tcBorders>
            <w:shd w:val="clear" w:color="auto" w:fill="D9D9D9" w:themeFill="background1" w:themeFillShade="D9"/>
          </w:tcPr>
          <w:p w14:paraId="71847CFB" w14:textId="5A81DAA4" w:rsidR="001C5BAE" w:rsidRDefault="00B402F5" w:rsidP="00B402F5">
            <w:pPr>
              <w:pStyle w:val="TableColumnHeading"/>
              <w:keepNext w:val="0"/>
              <w:jc w:val="center"/>
              <w:cnfStyle w:val="100000000000" w:firstRow="1" w:lastRow="0" w:firstColumn="0" w:lastColumn="0" w:oddVBand="0" w:evenVBand="0" w:oddHBand="0" w:evenHBand="0" w:firstRowFirstColumn="0" w:firstRowLastColumn="0" w:lastRowFirstColumn="0" w:lastRowLastColumn="0"/>
            </w:pPr>
            <w:r>
              <w:t>Proportion of program as part of overall package</w:t>
            </w:r>
          </w:p>
        </w:tc>
        <w:tc>
          <w:tcPr>
            <w:tcW w:w="1153" w:type="pct"/>
            <w:tcBorders>
              <w:bottom w:val="single" w:sz="4" w:space="0" w:color="auto"/>
            </w:tcBorders>
            <w:shd w:val="clear" w:color="auto" w:fill="D9D9D9" w:themeFill="background1" w:themeFillShade="D9"/>
          </w:tcPr>
          <w:p w14:paraId="02BB8C9E" w14:textId="77777777" w:rsidR="001C5BAE" w:rsidRDefault="001C5BAE" w:rsidP="0006633E">
            <w:pPr>
              <w:pStyle w:val="TableColumnHeading"/>
              <w:keepNext w:val="0"/>
              <w:jc w:val="center"/>
              <w:cnfStyle w:val="100000000000" w:firstRow="1" w:lastRow="0" w:firstColumn="0" w:lastColumn="0" w:oddVBand="0" w:evenVBand="0" w:oddHBand="0" w:evenHBand="0" w:firstRowFirstColumn="0" w:firstRowLastColumn="0" w:lastRowFirstColumn="0" w:lastRowLastColumn="0"/>
            </w:pPr>
            <w:r>
              <w:t>Measure of activity</w:t>
            </w:r>
          </w:p>
        </w:tc>
        <w:tc>
          <w:tcPr>
            <w:tcW w:w="623" w:type="pct"/>
            <w:tcBorders>
              <w:bottom w:val="single" w:sz="4" w:space="0" w:color="auto"/>
            </w:tcBorders>
            <w:shd w:val="clear" w:color="auto" w:fill="D9D9D9" w:themeFill="background1" w:themeFillShade="D9"/>
          </w:tcPr>
          <w:p w14:paraId="700E3E5F" w14:textId="77777777" w:rsidR="001C5BAE" w:rsidRPr="005D7F66" w:rsidRDefault="001C5BAE" w:rsidP="0006633E">
            <w:pPr>
              <w:pStyle w:val="TableColumnHeading"/>
              <w:keepNext w:val="0"/>
              <w:jc w:val="center"/>
              <w:cnfStyle w:val="100000000000" w:firstRow="1" w:lastRow="0" w:firstColumn="0" w:lastColumn="0" w:oddVBand="0" w:evenVBand="0" w:oddHBand="0" w:evenHBand="0" w:firstRowFirstColumn="0" w:firstRowLastColumn="0" w:lastRowFirstColumn="0" w:lastRowLastColumn="0"/>
            </w:pPr>
            <w:r w:rsidRPr="005D7F66">
              <w:t>2015</w:t>
            </w:r>
            <w:r>
              <w:t>–</w:t>
            </w:r>
            <w:r w:rsidRPr="005D7F66">
              <w:t>16</w:t>
            </w:r>
            <w:r>
              <w:t xml:space="preserve"> Activity (b)</w:t>
            </w:r>
          </w:p>
        </w:tc>
      </w:tr>
      <w:tr w:rsidR="00133610" w:rsidRPr="003E51C4" w14:paraId="180F0847" w14:textId="77777777" w:rsidTr="00133610">
        <w:trPr>
          <w:jc w:val="center"/>
        </w:trPr>
        <w:tc>
          <w:tcPr>
            <w:cnfStyle w:val="001000000000" w:firstRow="0" w:lastRow="0" w:firstColumn="1" w:lastColumn="0" w:oddVBand="0" w:evenVBand="0" w:oddHBand="0" w:evenHBand="0" w:firstRowFirstColumn="0" w:firstRowLastColumn="0" w:lastRowFirstColumn="0" w:lastRowLastColumn="0"/>
            <w:tcW w:w="1876" w:type="pct"/>
            <w:tcBorders>
              <w:right w:val="nil"/>
            </w:tcBorders>
            <w:shd w:val="clear" w:color="auto" w:fill="A6A6A6" w:themeFill="background1" w:themeFillShade="A6"/>
          </w:tcPr>
          <w:p w14:paraId="07A13A28" w14:textId="77777777" w:rsidR="00133610" w:rsidRPr="003E51C4" w:rsidRDefault="00133610" w:rsidP="001E4D58">
            <w:pPr>
              <w:pStyle w:val="Tablesubheading1"/>
              <w:rPr>
                <w:b w:val="0"/>
                <w:color w:val="000000" w:themeColor="text1"/>
              </w:rPr>
            </w:pPr>
            <w:r w:rsidRPr="003E51C4">
              <w:rPr>
                <w:color w:val="000000" w:themeColor="text1"/>
              </w:rPr>
              <w:t xml:space="preserve">Rural Workforce Package </w:t>
            </w:r>
          </w:p>
        </w:tc>
        <w:tc>
          <w:tcPr>
            <w:tcW w:w="733" w:type="pct"/>
            <w:tcBorders>
              <w:left w:val="nil"/>
              <w:right w:val="nil"/>
            </w:tcBorders>
            <w:shd w:val="clear" w:color="auto" w:fill="A6A6A6" w:themeFill="background1" w:themeFillShade="A6"/>
          </w:tcPr>
          <w:p w14:paraId="4F40C787" w14:textId="77777777" w:rsidR="00133610" w:rsidRPr="003E51C4" w:rsidRDefault="00133610" w:rsidP="001E4D58">
            <w:pPr>
              <w:pStyle w:val="Tablesubheading1"/>
              <w:cnfStyle w:val="000000000000" w:firstRow="0" w:lastRow="0" w:firstColumn="0" w:lastColumn="0" w:oddVBand="0" w:evenVBand="0" w:oddHBand="0" w:evenHBand="0" w:firstRowFirstColumn="0" w:firstRowLastColumn="0" w:lastRowFirstColumn="0" w:lastRowLastColumn="0"/>
              <w:rPr>
                <w:b/>
                <w:color w:val="000000" w:themeColor="text1"/>
              </w:rPr>
            </w:pPr>
          </w:p>
        </w:tc>
        <w:tc>
          <w:tcPr>
            <w:tcW w:w="615" w:type="pct"/>
            <w:tcBorders>
              <w:left w:val="nil"/>
              <w:right w:val="nil"/>
            </w:tcBorders>
            <w:shd w:val="clear" w:color="auto" w:fill="A6A6A6" w:themeFill="background1" w:themeFillShade="A6"/>
          </w:tcPr>
          <w:p w14:paraId="03336C53" w14:textId="77777777" w:rsidR="00133610" w:rsidRPr="003E51C4" w:rsidRDefault="00133610" w:rsidP="001E4D58">
            <w:pPr>
              <w:pStyle w:val="Tablesubheading1"/>
              <w:cnfStyle w:val="000000000000" w:firstRow="0" w:lastRow="0" w:firstColumn="0" w:lastColumn="0" w:oddVBand="0" w:evenVBand="0" w:oddHBand="0" w:evenHBand="0" w:firstRowFirstColumn="0" w:firstRowLastColumn="0" w:lastRowFirstColumn="0" w:lastRowLastColumn="0"/>
              <w:rPr>
                <w:b/>
                <w:color w:val="000000" w:themeColor="text1"/>
              </w:rPr>
            </w:pPr>
          </w:p>
        </w:tc>
        <w:tc>
          <w:tcPr>
            <w:tcW w:w="1153" w:type="pct"/>
            <w:tcBorders>
              <w:left w:val="nil"/>
              <w:right w:val="nil"/>
            </w:tcBorders>
            <w:shd w:val="clear" w:color="auto" w:fill="A6A6A6" w:themeFill="background1" w:themeFillShade="A6"/>
          </w:tcPr>
          <w:p w14:paraId="66CF5D4E" w14:textId="77777777" w:rsidR="00133610" w:rsidRPr="003E51C4" w:rsidRDefault="00133610" w:rsidP="001E4D58">
            <w:pPr>
              <w:pStyle w:val="Tablesubheading1"/>
              <w:cnfStyle w:val="000000000000" w:firstRow="0" w:lastRow="0" w:firstColumn="0" w:lastColumn="0" w:oddVBand="0" w:evenVBand="0" w:oddHBand="0" w:evenHBand="0" w:firstRowFirstColumn="0" w:firstRowLastColumn="0" w:lastRowFirstColumn="0" w:lastRowLastColumn="0"/>
              <w:rPr>
                <w:b/>
                <w:color w:val="000000" w:themeColor="text1"/>
              </w:rPr>
            </w:pPr>
          </w:p>
        </w:tc>
        <w:tc>
          <w:tcPr>
            <w:tcW w:w="623" w:type="pct"/>
            <w:tcBorders>
              <w:left w:val="nil"/>
            </w:tcBorders>
            <w:shd w:val="clear" w:color="auto" w:fill="A6A6A6" w:themeFill="background1" w:themeFillShade="A6"/>
          </w:tcPr>
          <w:p w14:paraId="3C9415A4" w14:textId="59B81F9A" w:rsidR="00133610" w:rsidRPr="003E51C4" w:rsidRDefault="00133610" w:rsidP="001E4D58">
            <w:pPr>
              <w:pStyle w:val="Tablesubheading1"/>
              <w:cnfStyle w:val="000000000000" w:firstRow="0" w:lastRow="0" w:firstColumn="0" w:lastColumn="0" w:oddVBand="0" w:evenVBand="0" w:oddHBand="0" w:evenHBand="0" w:firstRowFirstColumn="0" w:firstRowLastColumn="0" w:lastRowFirstColumn="0" w:lastRowLastColumn="0"/>
              <w:rPr>
                <w:color w:val="000000" w:themeColor="text1"/>
              </w:rPr>
            </w:pPr>
          </w:p>
        </w:tc>
      </w:tr>
      <w:tr w:rsidR="00AA0559" w:rsidRPr="001E4D58" w14:paraId="15F3D408" w14:textId="77777777" w:rsidTr="00133610">
        <w:trPr>
          <w:jc w:val="center"/>
        </w:trPr>
        <w:tc>
          <w:tcPr>
            <w:cnfStyle w:val="001000000000" w:firstRow="0" w:lastRow="0" w:firstColumn="1" w:lastColumn="0" w:oddVBand="0" w:evenVBand="0" w:oddHBand="0" w:evenHBand="0" w:firstRowFirstColumn="0" w:firstRowLastColumn="0" w:lastRowFirstColumn="0" w:lastRowLastColumn="0"/>
            <w:tcW w:w="1876" w:type="pct"/>
            <w:shd w:val="clear" w:color="auto" w:fill="F2F2F2" w:themeFill="background1" w:themeFillShade="F2"/>
          </w:tcPr>
          <w:p w14:paraId="13BD3B27" w14:textId="77777777" w:rsidR="001C5BAE" w:rsidRPr="001E4D58" w:rsidRDefault="001C5BAE" w:rsidP="001E4D58">
            <w:pPr>
              <w:pStyle w:val="Tablesubheading2"/>
              <w:rPr>
                <w:b/>
              </w:rPr>
            </w:pPr>
            <w:r w:rsidRPr="001E4D58">
              <w:rPr>
                <w:b/>
              </w:rPr>
              <w:t>Workforce recruitment programs</w:t>
            </w:r>
          </w:p>
        </w:tc>
        <w:tc>
          <w:tcPr>
            <w:tcW w:w="733" w:type="pct"/>
            <w:tcBorders>
              <w:bottom w:val="single" w:sz="4" w:space="0" w:color="auto"/>
            </w:tcBorders>
            <w:shd w:val="clear" w:color="auto" w:fill="F2F2F2" w:themeFill="background1" w:themeFillShade="F2"/>
          </w:tcPr>
          <w:p w14:paraId="5D92F2DA" w14:textId="77777777" w:rsidR="001C5BAE" w:rsidRPr="001E4D58" w:rsidRDefault="001C5BAE" w:rsidP="001E4D58">
            <w:pPr>
              <w:pStyle w:val="Tablesubheading2"/>
              <w:cnfStyle w:val="000000000000" w:firstRow="0" w:lastRow="0" w:firstColumn="0" w:lastColumn="0" w:oddVBand="0" w:evenVBand="0" w:oddHBand="0" w:evenHBand="0" w:firstRowFirstColumn="0" w:firstRowLastColumn="0" w:lastRowFirstColumn="0" w:lastRowLastColumn="0"/>
            </w:pPr>
          </w:p>
        </w:tc>
        <w:tc>
          <w:tcPr>
            <w:tcW w:w="615" w:type="pct"/>
            <w:shd w:val="clear" w:color="auto" w:fill="F2F2F2" w:themeFill="background1" w:themeFillShade="F2"/>
          </w:tcPr>
          <w:p w14:paraId="697B6B10" w14:textId="77777777" w:rsidR="001C5BAE" w:rsidRPr="001E4D58" w:rsidRDefault="001C5BAE" w:rsidP="001E4D58">
            <w:pPr>
              <w:pStyle w:val="Tablesubheading2"/>
              <w:cnfStyle w:val="000000000000" w:firstRow="0" w:lastRow="0" w:firstColumn="0" w:lastColumn="0" w:oddVBand="0" w:evenVBand="0" w:oddHBand="0" w:evenHBand="0" w:firstRowFirstColumn="0" w:firstRowLastColumn="0" w:lastRowFirstColumn="0" w:lastRowLastColumn="0"/>
            </w:pPr>
          </w:p>
        </w:tc>
        <w:tc>
          <w:tcPr>
            <w:tcW w:w="1153" w:type="pct"/>
            <w:shd w:val="clear" w:color="auto" w:fill="F2F2F2" w:themeFill="background1" w:themeFillShade="F2"/>
          </w:tcPr>
          <w:p w14:paraId="3EC724CC" w14:textId="77777777" w:rsidR="001C5BAE" w:rsidRPr="001E4D58" w:rsidRDefault="001C5BAE" w:rsidP="001E4D58">
            <w:pPr>
              <w:pStyle w:val="Tablesubheading2"/>
              <w:cnfStyle w:val="000000000000" w:firstRow="0" w:lastRow="0" w:firstColumn="0" w:lastColumn="0" w:oddVBand="0" w:evenVBand="0" w:oddHBand="0" w:evenHBand="0" w:firstRowFirstColumn="0" w:firstRowLastColumn="0" w:lastRowFirstColumn="0" w:lastRowLastColumn="0"/>
            </w:pPr>
          </w:p>
        </w:tc>
        <w:tc>
          <w:tcPr>
            <w:tcW w:w="623" w:type="pct"/>
            <w:shd w:val="clear" w:color="auto" w:fill="F2F2F2" w:themeFill="background1" w:themeFillShade="F2"/>
          </w:tcPr>
          <w:p w14:paraId="78DB73BB" w14:textId="77777777" w:rsidR="001C5BAE" w:rsidRPr="001E4D58" w:rsidRDefault="001C5BAE" w:rsidP="001E4D58">
            <w:pPr>
              <w:pStyle w:val="Tablesubheading2"/>
              <w:cnfStyle w:val="000000000000" w:firstRow="0" w:lastRow="0" w:firstColumn="0" w:lastColumn="0" w:oddVBand="0" w:evenVBand="0" w:oddHBand="0" w:evenHBand="0" w:firstRowFirstColumn="0" w:firstRowLastColumn="0" w:lastRowFirstColumn="0" w:lastRowLastColumn="0"/>
            </w:pPr>
          </w:p>
        </w:tc>
      </w:tr>
      <w:tr w:rsidR="00AA0559" w14:paraId="509F3BAC" w14:textId="77777777" w:rsidTr="00133610">
        <w:trPr>
          <w:jc w:val="center"/>
        </w:trPr>
        <w:tc>
          <w:tcPr>
            <w:cnfStyle w:val="001000000000" w:firstRow="0" w:lastRow="0" w:firstColumn="1" w:lastColumn="0" w:oddVBand="0" w:evenVBand="0" w:oddHBand="0" w:evenHBand="0" w:firstRowFirstColumn="0" w:firstRowLastColumn="0" w:lastRowFirstColumn="0" w:lastRowLastColumn="0"/>
            <w:tcW w:w="1876" w:type="pct"/>
            <w:shd w:val="clear" w:color="auto" w:fill="F2F2F2" w:themeFill="background1" w:themeFillShade="F2"/>
          </w:tcPr>
          <w:p w14:paraId="4619FD90" w14:textId="77777777" w:rsidR="001C5BAE" w:rsidRPr="005D7F66" w:rsidRDefault="001C5BAE" w:rsidP="0006633E">
            <w:pPr>
              <w:pStyle w:val="TableCopy"/>
              <w:rPr>
                <w:b w:val="0"/>
              </w:rPr>
            </w:pPr>
            <w:r w:rsidRPr="005D7F66">
              <w:rPr>
                <w:b w:val="0"/>
              </w:rPr>
              <w:t>Rural Pharmacy Scholarship Scheme</w:t>
            </w:r>
          </w:p>
        </w:tc>
        <w:tc>
          <w:tcPr>
            <w:tcW w:w="733" w:type="pct"/>
            <w:tcBorders>
              <w:bottom w:val="nil"/>
            </w:tcBorders>
            <w:shd w:val="clear" w:color="auto" w:fill="F2F2F2" w:themeFill="background1" w:themeFillShade="F2"/>
            <w:vAlign w:val="center"/>
          </w:tcPr>
          <w:p w14:paraId="6E21622A" w14:textId="77777777" w:rsidR="001C5BAE" w:rsidRDefault="001C5BAE" w:rsidP="0006633E">
            <w:pPr>
              <w:pStyle w:val="TableCopy"/>
              <w:cnfStyle w:val="000000000000" w:firstRow="0" w:lastRow="0" w:firstColumn="0" w:lastColumn="0" w:oddVBand="0" w:evenVBand="0" w:oddHBand="0" w:evenHBand="0" w:firstRowFirstColumn="0" w:firstRowLastColumn="0" w:lastRowFirstColumn="0" w:lastRowLastColumn="0"/>
            </w:pPr>
            <w:r>
              <w:rPr>
                <w:rFonts w:ascii="Times New Roman" w:hAnsi="Times New Roman"/>
              </w:rPr>
              <w:t>$</w:t>
            </w:r>
            <w:r>
              <w:t>1.04m</w:t>
            </w:r>
          </w:p>
        </w:tc>
        <w:tc>
          <w:tcPr>
            <w:tcW w:w="615" w:type="pct"/>
            <w:shd w:val="clear" w:color="auto" w:fill="000000" w:themeFill="text1"/>
          </w:tcPr>
          <w:p w14:paraId="11BFD1D5" w14:textId="77777777" w:rsidR="001C5BAE" w:rsidRPr="00E30C52" w:rsidRDefault="001C5BAE" w:rsidP="0006633E">
            <w:pPr>
              <w:pStyle w:val="TableCopy"/>
              <w:cnfStyle w:val="000000000000" w:firstRow="0" w:lastRow="0" w:firstColumn="0" w:lastColumn="0" w:oddVBand="0" w:evenVBand="0" w:oddHBand="0" w:evenHBand="0" w:firstRowFirstColumn="0" w:firstRowLastColumn="0" w:lastRowFirstColumn="0" w:lastRowLastColumn="0"/>
            </w:pPr>
          </w:p>
        </w:tc>
        <w:tc>
          <w:tcPr>
            <w:tcW w:w="1153" w:type="pct"/>
            <w:shd w:val="clear" w:color="auto" w:fill="F2F2F2" w:themeFill="background1" w:themeFillShade="F2"/>
          </w:tcPr>
          <w:p w14:paraId="06E19380" w14:textId="77777777" w:rsidR="001C5BAE" w:rsidRPr="00F44FAD" w:rsidRDefault="001C5BAE" w:rsidP="0006633E">
            <w:pPr>
              <w:pStyle w:val="TableCopy"/>
              <w:cnfStyle w:val="000000000000" w:firstRow="0" w:lastRow="0" w:firstColumn="0" w:lastColumn="0" w:oddVBand="0" w:evenVBand="0" w:oddHBand="0" w:evenHBand="0" w:firstRowFirstColumn="0" w:firstRowLastColumn="0" w:lastRowFirstColumn="0" w:lastRowLastColumn="0"/>
            </w:pPr>
            <w:r>
              <w:t>Scholarships (no.)</w:t>
            </w:r>
          </w:p>
        </w:tc>
        <w:tc>
          <w:tcPr>
            <w:tcW w:w="623" w:type="pct"/>
            <w:shd w:val="clear" w:color="auto" w:fill="F2F2F2" w:themeFill="background1" w:themeFillShade="F2"/>
          </w:tcPr>
          <w:p w14:paraId="16E4550B" w14:textId="77777777" w:rsidR="001C5BAE" w:rsidRPr="00F44FAD" w:rsidRDefault="001C5BAE" w:rsidP="0006633E">
            <w:pPr>
              <w:pStyle w:val="TableCopy"/>
              <w:jc w:val="center"/>
              <w:cnfStyle w:val="000000000000" w:firstRow="0" w:lastRow="0" w:firstColumn="0" w:lastColumn="0" w:oddVBand="0" w:evenVBand="0" w:oddHBand="0" w:evenHBand="0" w:firstRowFirstColumn="0" w:firstRowLastColumn="0" w:lastRowFirstColumn="0" w:lastRowLastColumn="0"/>
            </w:pPr>
            <w:r w:rsidRPr="00F44FAD">
              <w:t>91</w:t>
            </w:r>
          </w:p>
        </w:tc>
      </w:tr>
      <w:tr w:rsidR="001C5BAE" w14:paraId="690B1088" w14:textId="77777777" w:rsidTr="00133610">
        <w:trPr>
          <w:jc w:val="center"/>
        </w:trPr>
        <w:tc>
          <w:tcPr>
            <w:cnfStyle w:val="001000000000" w:firstRow="0" w:lastRow="0" w:firstColumn="1" w:lastColumn="0" w:oddVBand="0" w:evenVBand="0" w:oddHBand="0" w:evenHBand="0" w:firstRowFirstColumn="0" w:firstRowLastColumn="0" w:lastRowFirstColumn="0" w:lastRowLastColumn="0"/>
            <w:tcW w:w="1876" w:type="pct"/>
            <w:shd w:val="clear" w:color="auto" w:fill="F2F2F2" w:themeFill="background1" w:themeFillShade="F2"/>
          </w:tcPr>
          <w:p w14:paraId="07C10390" w14:textId="77777777" w:rsidR="001C5BAE" w:rsidRPr="005D7F66" w:rsidRDefault="001C5BAE" w:rsidP="0006633E">
            <w:pPr>
              <w:pStyle w:val="TableCopy"/>
              <w:rPr>
                <w:b w:val="0"/>
              </w:rPr>
            </w:pPr>
            <w:r w:rsidRPr="005D7F66">
              <w:rPr>
                <w:b w:val="0"/>
              </w:rPr>
              <w:t>Rural Pharmacy Scholarship Mentor Scheme</w:t>
            </w:r>
          </w:p>
        </w:tc>
        <w:tc>
          <w:tcPr>
            <w:tcW w:w="733" w:type="pct"/>
            <w:tcBorders>
              <w:top w:val="nil"/>
            </w:tcBorders>
            <w:shd w:val="clear" w:color="auto" w:fill="F2F2F2" w:themeFill="background1" w:themeFillShade="F2"/>
          </w:tcPr>
          <w:p w14:paraId="12B26922" w14:textId="77777777" w:rsidR="001C5BAE" w:rsidRPr="005F10F2" w:rsidRDefault="001C5BAE" w:rsidP="0006633E">
            <w:pPr>
              <w:pStyle w:val="TableCopy"/>
              <w:cnfStyle w:val="000000000000" w:firstRow="0" w:lastRow="0" w:firstColumn="0" w:lastColumn="0" w:oddVBand="0" w:evenVBand="0" w:oddHBand="0" w:evenHBand="0" w:firstRowFirstColumn="0" w:firstRowLastColumn="0" w:lastRowFirstColumn="0" w:lastRowLastColumn="0"/>
            </w:pPr>
          </w:p>
        </w:tc>
        <w:tc>
          <w:tcPr>
            <w:tcW w:w="615" w:type="pct"/>
            <w:shd w:val="clear" w:color="auto" w:fill="000000" w:themeFill="text1"/>
          </w:tcPr>
          <w:p w14:paraId="6177EB35" w14:textId="77777777" w:rsidR="001C5BAE" w:rsidRPr="00E30C52" w:rsidRDefault="001C5BAE" w:rsidP="0006633E">
            <w:pPr>
              <w:pStyle w:val="TableCopy"/>
              <w:cnfStyle w:val="000000000000" w:firstRow="0" w:lastRow="0" w:firstColumn="0" w:lastColumn="0" w:oddVBand="0" w:evenVBand="0" w:oddHBand="0" w:evenHBand="0" w:firstRowFirstColumn="0" w:firstRowLastColumn="0" w:lastRowFirstColumn="0" w:lastRowLastColumn="0"/>
            </w:pPr>
          </w:p>
        </w:tc>
        <w:tc>
          <w:tcPr>
            <w:tcW w:w="1153" w:type="pct"/>
            <w:shd w:val="clear" w:color="auto" w:fill="F2F2F2" w:themeFill="background1" w:themeFillShade="F2"/>
          </w:tcPr>
          <w:p w14:paraId="50873063" w14:textId="77777777" w:rsidR="001C5BAE" w:rsidRPr="00F44FAD" w:rsidRDefault="001C5BAE" w:rsidP="0006633E">
            <w:pPr>
              <w:pStyle w:val="TableCopy"/>
              <w:cnfStyle w:val="000000000000" w:firstRow="0" w:lastRow="0" w:firstColumn="0" w:lastColumn="0" w:oddVBand="0" w:evenVBand="0" w:oddHBand="0" w:evenHBand="0" w:firstRowFirstColumn="0" w:firstRowLastColumn="0" w:lastRowFirstColumn="0" w:lastRowLastColumn="0"/>
            </w:pPr>
            <w:r>
              <w:t>Mentorships (no.)</w:t>
            </w:r>
          </w:p>
        </w:tc>
        <w:tc>
          <w:tcPr>
            <w:tcW w:w="623" w:type="pct"/>
            <w:shd w:val="clear" w:color="auto" w:fill="F2F2F2" w:themeFill="background1" w:themeFillShade="F2"/>
          </w:tcPr>
          <w:p w14:paraId="6D582186" w14:textId="77777777" w:rsidR="001C5BAE" w:rsidRPr="00F44FAD" w:rsidRDefault="001C5BAE" w:rsidP="0006633E">
            <w:pPr>
              <w:pStyle w:val="TableCopy"/>
              <w:jc w:val="center"/>
              <w:cnfStyle w:val="000000000000" w:firstRow="0" w:lastRow="0" w:firstColumn="0" w:lastColumn="0" w:oddVBand="0" w:evenVBand="0" w:oddHBand="0" w:evenHBand="0" w:firstRowFirstColumn="0" w:firstRowLastColumn="0" w:lastRowFirstColumn="0" w:lastRowLastColumn="0"/>
            </w:pPr>
            <w:r w:rsidRPr="00F44FAD">
              <w:t>91</w:t>
            </w:r>
          </w:p>
        </w:tc>
      </w:tr>
      <w:tr w:rsidR="001C5BAE" w14:paraId="5E109155" w14:textId="77777777" w:rsidTr="00AA0559">
        <w:trPr>
          <w:jc w:val="center"/>
        </w:trPr>
        <w:tc>
          <w:tcPr>
            <w:cnfStyle w:val="001000000000" w:firstRow="0" w:lastRow="0" w:firstColumn="1" w:lastColumn="0" w:oddVBand="0" w:evenVBand="0" w:oddHBand="0" w:evenHBand="0" w:firstRowFirstColumn="0" w:firstRowLastColumn="0" w:lastRowFirstColumn="0" w:lastRowLastColumn="0"/>
            <w:tcW w:w="1876" w:type="pct"/>
            <w:shd w:val="clear" w:color="auto" w:fill="F2F2F2" w:themeFill="background1" w:themeFillShade="F2"/>
          </w:tcPr>
          <w:p w14:paraId="68861F2D" w14:textId="77777777" w:rsidR="001C5BAE" w:rsidRPr="005D7F66" w:rsidRDefault="001C5BAE" w:rsidP="0006633E">
            <w:pPr>
              <w:pStyle w:val="TableCopy"/>
              <w:rPr>
                <w:b w:val="0"/>
              </w:rPr>
            </w:pPr>
            <w:r w:rsidRPr="005D7F66">
              <w:rPr>
                <w:b w:val="0"/>
              </w:rPr>
              <w:t>Rural Pharmacy Student Placement Allowance</w:t>
            </w:r>
          </w:p>
        </w:tc>
        <w:tc>
          <w:tcPr>
            <w:tcW w:w="733" w:type="pct"/>
            <w:shd w:val="clear" w:color="auto" w:fill="F2F2F2" w:themeFill="background1" w:themeFillShade="F2"/>
          </w:tcPr>
          <w:p w14:paraId="7C66DF28" w14:textId="77777777" w:rsidR="001C5BAE" w:rsidRDefault="001C5BAE" w:rsidP="0006633E">
            <w:pPr>
              <w:pStyle w:val="TableCopy"/>
              <w:cnfStyle w:val="000000000000" w:firstRow="0" w:lastRow="0" w:firstColumn="0" w:lastColumn="0" w:oddVBand="0" w:evenVBand="0" w:oddHBand="0" w:evenHBand="0" w:firstRowFirstColumn="0" w:firstRowLastColumn="0" w:lastRowFirstColumn="0" w:lastRowLastColumn="0"/>
            </w:pPr>
            <w:r>
              <w:rPr>
                <w:rFonts w:ascii="Times New Roman" w:hAnsi="Times New Roman"/>
              </w:rPr>
              <w:t>$</w:t>
            </w:r>
            <w:r>
              <w:t>0.67m</w:t>
            </w:r>
          </w:p>
        </w:tc>
        <w:tc>
          <w:tcPr>
            <w:tcW w:w="615" w:type="pct"/>
            <w:shd w:val="clear" w:color="auto" w:fill="000000" w:themeFill="text1"/>
          </w:tcPr>
          <w:p w14:paraId="118BEB42" w14:textId="77777777" w:rsidR="001C5BAE" w:rsidRPr="00E30C52" w:rsidRDefault="001C5BAE" w:rsidP="0006633E">
            <w:pPr>
              <w:pStyle w:val="TableCopy"/>
              <w:jc w:val="center"/>
              <w:cnfStyle w:val="000000000000" w:firstRow="0" w:lastRow="0" w:firstColumn="0" w:lastColumn="0" w:oddVBand="0" w:evenVBand="0" w:oddHBand="0" w:evenHBand="0" w:firstRowFirstColumn="0" w:firstRowLastColumn="0" w:lastRowFirstColumn="0" w:lastRowLastColumn="0"/>
            </w:pPr>
          </w:p>
        </w:tc>
        <w:tc>
          <w:tcPr>
            <w:tcW w:w="1153" w:type="pct"/>
            <w:shd w:val="clear" w:color="auto" w:fill="F2F2F2" w:themeFill="background1" w:themeFillShade="F2"/>
          </w:tcPr>
          <w:p w14:paraId="3FCD01D7" w14:textId="77777777" w:rsidR="001C5BAE" w:rsidRPr="00F44FAD" w:rsidRDefault="001C5BAE" w:rsidP="0006633E">
            <w:pPr>
              <w:pStyle w:val="TableCopy"/>
              <w:cnfStyle w:val="000000000000" w:firstRow="0" w:lastRow="0" w:firstColumn="0" w:lastColumn="0" w:oddVBand="0" w:evenVBand="0" w:oddHBand="0" w:evenHBand="0" w:firstRowFirstColumn="0" w:firstRowLastColumn="0" w:lastRowFirstColumn="0" w:lastRowLastColumn="0"/>
            </w:pPr>
            <w:r>
              <w:t>Universities supported (no.)</w:t>
            </w:r>
          </w:p>
        </w:tc>
        <w:tc>
          <w:tcPr>
            <w:tcW w:w="623" w:type="pct"/>
            <w:shd w:val="clear" w:color="auto" w:fill="F2F2F2" w:themeFill="background1" w:themeFillShade="F2"/>
          </w:tcPr>
          <w:p w14:paraId="36CC7E28" w14:textId="77777777" w:rsidR="001C5BAE" w:rsidRPr="00F44FAD" w:rsidRDefault="001C5BAE" w:rsidP="0006633E">
            <w:pPr>
              <w:pStyle w:val="TableCopy"/>
              <w:jc w:val="center"/>
              <w:cnfStyle w:val="000000000000" w:firstRow="0" w:lastRow="0" w:firstColumn="0" w:lastColumn="0" w:oddVBand="0" w:evenVBand="0" w:oddHBand="0" w:evenHBand="0" w:firstRowFirstColumn="0" w:firstRowLastColumn="0" w:lastRowFirstColumn="0" w:lastRowLastColumn="0"/>
            </w:pPr>
            <w:r>
              <w:t>16</w:t>
            </w:r>
          </w:p>
        </w:tc>
      </w:tr>
      <w:tr w:rsidR="001C5BAE" w14:paraId="2F6014A6" w14:textId="77777777" w:rsidTr="00AA0559">
        <w:trPr>
          <w:jc w:val="center"/>
        </w:trPr>
        <w:tc>
          <w:tcPr>
            <w:cnfStyle w:val="001000000000" w:firstRow="0" w:lastRow="0" w:firstColumn="1" w:lastColumn="0" w:oddVBand="0" w:evenVBand="0" w:oddHBand="0" w:evenHBand="0" w:firstRowFirstColumn="0" w:firstRowLastColumn="0" w:lastRowFirstColumn="0" w:lastRowLastColumn="0"/>
            <w:tcW w:w="1876" w:type="pct"/>
            <w:shd w:val="clear" w:color="auto" w:fill="F2F2F2" w:themeFill="background1" w:themeFillShade="F2"/>
          </w:tcPr>
          <w:p w14:paraId="3CA44AB0" w14:textId="77777777" w:rsidR="001C5BAE" w:rsidRPr="005D7F66" w:rsidRDefault="001C5BAE" w:rsidP="0006633E">
            <w:pPr>
              <w:pStyle w:val="TableCopy"/>
              <w:rPr>
                <w:b w:val="0"/>
              </w:rPr>
            </w:pPr>
            <w:r w:rsidRPr="005D7F66">
              <w:rPr>
                <w:b w:val="0"/>
              </w:rPr>
              <w:t>Rural Intern Training Allowance</w:t>
            </w:r>
          </w:p>
        </w:tc>
        <w:tc>
          <w:tcPr>
            <w:tcW w:w="733" w:type="pct"/>
            <w:shd w:val="clear" w:color="auto" w:fill="F2F2F2" w:themeFill="background1" w:themeFillShade="F2"/>
          </w:tcPr>
          <w:p w14:paraId="05D20F7E" w14:textId="77777777" w:rsidR="001C5BAE" w:rsidRDefault="001C5BAE" w:rsidP="0006633E">
            <w:pPr>
              <w:pStyle w:val="TableCopy"/>
              <w:cnfStyle w:val="000000000000" w:firstRow="0" w:lastRow="0" w:firstColumn="0" w:lastColumn="0" w:oddVBand="0" w:evenVBand="0" w:oddHBand="0" w:evenHBand="0" w:firstRowFirstColumn="0" w:firstRowLastColumn="0" w:lastRowFirstColumn="0" w:lastRowLastColumn="0"/>
            </w:pPr>
            <w:r>
              <w:rPr>
                <w:rFonts w:ascii="Times New Roman" w:hAnsi="Times New Roman"/>
              </w:rPr>
              <w:t>$</w:t>
            </w:r>
            <w:r>
              <w:t>0.08m</w:t>
            </w:r>
          </w:p>
        </w:tc>
        <w:tc>
          <w:tcPr>
            <w:tcW w:w="615" w:type="pct"/>
            <w:shd w:val="clear" w:color="auto" w:fill="000000" w:themeFill="text1"/>
          </w:tcPr>
          <w:p w14:paraId="66A9082C" w14:textId="77777777" w:rsidR="001C5BAE" w:rsidRPr="00E30C52" w:rsidRDefault="001C5BAE" w:rsidP="0006633E">
            <w:pPr>
              <w:pStyle w:val="TableCopy"/>
              <w:jc w:val="center"/>
              <w:cnfStyle w:val="000000000000" w:firstRow="0" w:lastRow="0" w:firstColumn="0" w:lastColumn="0" w:oddVBand="0" w:evenVBand="0" w:oddHBand="0" w:evenHBand="0" w:firstRowFirstColumn="0" w:firstRowLastColumn="0" w:lastRowFirstColumn="0" w:lastRowLastColumn="0"/>
            </w:pPr>
          </w:p>
        </w:tc>
        <w:tc>
          <w:tcPr>
            <w:tcW w:w="1153" w:type="pct"/>
            <w:shd w:val="clear" w:color="auto" w:fill="F2F2F2" w:themeFill="background1" w:themeFillShade="F2"/>
          </w:tcPr>
          <w:p w14:paraId="7DAB710C" w14:textId="77777777" w:rsidR="001C5BAE" w:rsidRPr="00F44FAD" w:rsidRDefault="001C5BAE" w:rsidP="0006633E">
            <w:pPr>
              <w:pStyle w:val="TableCopy"/>
              <w:cnfStyle w:val="000000000000" w:firstRow="0" w:lastRow="0" w:firstColumn="0" w:lastColumn="0" w:oddVBand="0" w:evenVBand="0" w:oddHBand="0" w:evenHBand="0" w:firstRowFirstColumn="0" w:firstRowLastColumn="0" w:lastRowFirstColumn="0" w:lastRowLastColumn="0"/>
            </w:pPr>
            <w:r>
              <w:t>Travel allowance payments (no.)</w:t>
            </w:r>
          </w:p>
        </w:tc>
        <w:tc>
          <w:tcPr>
            <w:tcW w:w="623" w:type="pct"/>
            <w:shd w:val="clear" w:color="auto" w:fill="F2F2F2" w:themeFill="background1" w:themeFillShade="F2"/>
          </w:tcPr>
          <w:p w14:paraId="351CDD3C" w14:textId="77777777" w:rsidR="001C5BAE" w:rsidRPr="00134FD1" w:rsidRDefault="001C5BAE" w:rsidP="0006633E">
            <w:pPr>
              <w:pStyle w:val="TableCopy"/>
              <w:jc w:val="center"/>
              <w:cnfStyle w:val="000000000000" w:firstRow="0" w:lastRow="0" w:firstColumn="0" w:lastColumn="0" w:oddVBand="0" w:evenVBand="0" w:oddHBand="0" w:evenHBand="0" w:firstRowFirstColumn="0" w:firstRowLastColumn="0" w:lastRowFirstColumn="0" w:lastRowLastColumn="0"/>
            </w:pPr>
            <w:r>
              <w:t>157</w:t>
            </w:r>
          </w:p>
        </w:tc>
      </w:tr>
      <w:tr w:rsidR="001C5BAE" w14:paraId="52718F73" w14:textId="77777777" w:rsidTr="00AA0559">
        <w:trPr>
          <w:jc w:val="center"/>
        </w:trPr>
        <w:tc>
          <w:tcPr>
            <w:cnfStyle w:val="001000000000" w:firstRow="0" w:lastRow="0" w:firstColumn="1" w:lastColumn="0" w:oddVBand="0" w:evenVBand="0" w:oddHBand="0" w:evenHBand="0" w:firstRowFirstColumn="0" w:firstRowLastColumn="0" w:lastRowFirstColumn="0" w:lastRowLastColumn="0"/>
            <w:tcW w:w="1876" w:type="pct"/>
            <w:shd w:val="clear" w:color="auto" w:fill="F2F2F2" w:themeFill="background1" w:themeFillShade="F2"/>
          </w:tcPr>
          <w:p w14:paraId="1404F395" w14:textId="77777777" w:rsidR="001C5BAE" w:rsidRPr="00E6670B" w:rsidRDefault="001C5BAE" w:rsidP="0006633E">
            <w:pPr>
              <w:pStyle w:val="TableCopy"/>
              <w:rPr>
                <w:b w:val="0"/>
                <w:i/>
              </w:rPr>
            </w:pPr>
            <w:r w:rsidRPr="00E6670B">
              <w:rPr>
                <w:b w:val="0"/>
                <w:i/>
              </w:rPr>
              <w:t>Sub-total: Workforce recruitment programs</w:t>
            </w:r>
          </w:p>
        </w:tc>
        <w:tc>
          <w:tcPr>
            <w:tcW w:w="733" w:type="pct"/>
            <w:shd w:val="clear" w:color="auto" w:fill="F2F2F2" w:themeFill="background1" w:themeFillShade="F2"/>
          </w:tcPr>
          <w:p w14:paraId="1D01555A" w14:textId="77777777" w:rsidR="001C5BAE" w:rsidRPr="00E6670B" w:rsidRDefault="001C5BAE" w:rsidP="0006633E">
            <w:pPr>
              <w:pStyle w:val="TableCopy"/>
              <w:cnfStyle w:val="000000000000" w:firstRow="0" w:lastRow="0" w:firstColumn="0" w:lastColumn="0" w:oddVBand="0" w:evenVBand="0" w:oddHBand="0" w:evenHBand="0" w:firstRowFirstColumn="0" w:firstRowLastColumn="0" w:lastRowFirstColumn="0" w:lastRowLastColumn="0"/>
              <w:rPr>
                <w:i/>
              </w:rPr>
            </w:pPr>
            <w:r>
              <w:rPr>
                <w:rFonts w:ascii="Times New Roman" w:hAnsi="Times New Roman"/>
                <w:i/>
              </w:rPr>
              <w:t>$</w:t>
            </w:r>
            <w:r>
              <w:rPr>
                <w:i/>
              </w:rPr>
              <w:t>1.79m</w:t>
            </w:r>
          </w:p>
        </w:tc>
        <w:tc>
          <w:tcPr>
            <w:tcW w:w="615" w:type="pct"/>
            <w:shd w:val="clear" w:color="auto" w:fill="F2F2F2" w:themeFill="background1" w:themeFillShade="F2"/>
          </w:tcPr>
          <w:p w14:paraId="57341657" w14:textId="77777777" w:rsidR="001C5BAE" w:rsidRPr="00E6670B" w:rsidRDefault="001C5BAE" w:rsidP="0006633E">
            <w:pPr>
              <w:pStyle w:val="TableCopy"/>
              <w:jc w:val="center"/>
              <w:cnfStyle w:val="000000000000" w:firstRow="0" w:lastRow="0" w:firstColumn="0" w:lastColumn="0" w:oddVBand="0" w:evenVBand="0" w:oddHBand="0" w:evenHBand="0" w:firstRowFirstColumn="0" w:firstRowLastColumn="0" w:lastRowFirstColumn="0" w:lastRowLastColumn="0"/>
              <w:rPr>
                <w:i/>
              </w:rPr>
            </w:pPr>
            <w:r>
              <w:rPr>
                <w:i/>
              </w:rPr>
              <w:t>38%</w:t>
            </w:r>
          </w:p>
        </w:tc>
        <w:tc>
          <w:tcPr>
            <w:tcW w:w="1153" w:type="pct"/>
            <w:shd w:val="clear" w:color="auto" w:fill="000000" w:themeFill="text1"/>
          </w:tcPr>
          <w:p w14:paraId="0449EDBD" w14:textId="77777777" w:rsidR="001C5BAE" w:rsidRPr="00E6670B" w:rsidRDefault="001C5BAE" w:rsidP="0006633E">
            <w:pPr>
              <w:pStyle w:val="TableCopy"/>
              <w:cnfStyle w:val="000000000000" w:firstRow="0" w:lastRow="0" w:firstColumn="0" w:lastColumn="0" w:oddVBand="0" w:evenVBand="0" w:oddHBand="0" w:evenHBand="0" w:firstRowFirstColumn="0" w:firstRowLastColumn="0" w:lastRowFirstColumn="0" w:lastRowLastColumn="0"/>
              <w:rPr>
                <w:i/>
              </w:rPr>
            </w:pPr>
          </w:p>
        </w:tc>
        <w:tc>
          <w:tcPr>
            <w:tcW w:w="623" w:type="pct"/>
            <w:shd w:val="clear" w:color="auto" w:fill="000000" w:themeFill="text1"/>
          </w:tcPr>
          <w:p w14:paraId="23320EE1" w14:textId="77777777" w:rsidR="001C5BAE" w:rsidRPr="00E6670B" w:rsidRDefault="001C5BAE" w:rsidP="0006633E">
            <w:pPr>
              <w:pStyle w:val="TableCopy"/>
              <w:jc w:val="center"/>
              <w:cnfStyle w:val="000000000000" w:firstRow="0" w:lastRow="0" w:firstColumn="0" w:lastColumn="0" w:oddVBand="0" w:evenVBand="0" w:oddHBand="0" w:evenHBand="0" w:firstRowFirstColumn="0" w:firstRowLastColumn="0" w:lastRowFirstColumn="0" w:lastRowLastColumn="0"/>
              <w:rPr>
                <w:i/>
              </w:rPr>
            </w:pPr>
          </w:p>
        </w:tc>
      </w:tr>
      <w:tr w:rsidR="00AA0559" w14:paraId="40DEF3F7" w14:textId="77777777" w:rsidTr="00133610">
        <w:trPr>
          <w:jc w:val="center"/>
        </w:trPr>
        <w:tc>
          <w:tcPr>
            <w:cnfStyle w:val="001000000000" w:firstRow="0" w:lastRow="0" w:firstColumn="1" w:lastColumn="0" w:oddVBand="0" w:evenVBand="0" w:oddHBand="0" w:evenHBand="0" w:firstRowFirstColumn="0" w:firstRowLastColumn="0" w:lastRowFirstColumn="0" w:lastRowLastColumn="0"/>
            <w:tcW w:w="1876" w:type="pct"/>
            <w:shd w:val="clear" w:color="auto" w:fill="F2F2F2" w:themeFill="background1" w:themeFillShade="F2"/>
          </w:tcPr>
          <w:p w14:paraId="69991414" w14:textId="77777777" w:rsidR="001C5BAE" w:rsidRPr="001E4D58" w:rsidRDefault="001C5BAE" w:rsidP="001E4D58">
            <w:pPr>
              <w:pStyle w:val="Tablesubheading2"/>
              <w:rPr>
                <w:b/>
              </w:rPr>
            </w:pPr>
            <w:r w:rsidRPr="001E4D58">
              <w:rPr>
                <w:b/>
              </w:rPr>
              <w:t>Workforce retention programs</w:t>
            </w:r>
          </w:p>
        </w:tc>
        <w:tc>
          <w:tcPr>
            <w:tcW w:w="733" w:type="pct"/>
            <w:tcBorders>
              <w:bottom w:val="single" w:sz="4" w:space="0" w:color="auto"/>
            </w:tcBorders>
            <w:shd w:val="clear" w:color="auto" w:fill="F2F2F2" w:themeFill="background1" w:themeFillShade="F2"/>
          </w:tcPr>
          <w:p w14:paraId="30A43349" w14:textId="77777777" w:rsidR="001C5BAE" w:rsidRPr="001E4D58" w:rsidRDefault="001C5BAE" w:rsidP="001E4D58">
            <w:pPr>
              <w:pStyle w:val="Tablesubheading2"/>
              <w:cnfStyle w:val="000000000000" w:firstRow="0" w:lastRow="0" w:firstColumn="0" w:lastColumn="0" w:oddVBand="0" w:evenVBand="0" w:oddHBand="0" w:evenHBand="0" w:firstRowFirstColumn="0" w:firstRowLastColumn="0" w:lastRowFirstColumn="0" w:lastRowLastColumn="0"/>
              <w:rPr>
                <w:b w:val="0"/>
              </w:rPr>
            </w:pPr>
          </w:p>
        </w:tc>
        <w:tc>
          <w:tcPr>
            <w:tcW w:w="615" w:type="pct"/>
            <w:shd w:val="clear" w:color="auto" w:fill="F2F2F2" w:themeFill="background1" w:themeFillShade="F2"/>
          </w:tcPr>
          <w:p w14:paraId="26504034" w14:textId="77777777" w:rsidR="001C5BAE" w:rsidRPr="001E4D58" w:rsidRDefault="001C5BAE" w:rsidP="001E4D58">
            <w:pPr>
              <w:pStyle w:val="Tablesubheading2"/>
              <w:cnfStyle w:val="000000000000" w:firstRow="0" w:lastRow="0" w:firstColumn="0" w:lastColumn="0" w:oddVBand="0" w:evenVBand="0" w:oddHBand="0" w:evenHBand="0" w:firstRowFirstColumn="0" w:firstRowLastColumn="0" w:lastRowFirstColumn="0" w:lastRowLastColumn="0"/>
              <w:rPr>
                <w:b w:val="0"/>
              </w:rPr>
            </w:pPr>
          </w:p>
        </w:tc>
        <w:tc>
          <w:tcPr>
            <w:tcW w:w="1153" w:type="pct"/>
            <w:shd w:val="clear" w:color="auto" w:fill="F2F2F2" w:themeFill="background1" w:themeFillShade="F2"/>
          </w:tcPr>
          <w:p w14:paraId="6FBBC5B5" w14:textId="77777777" w:rsidR="001C5BAE" w:rsidRPr="001E4D58" w:rsidRDefault="001C5BAE" w:rsidP="001E4D58">
            <w:pPr>
              <w:pStyle w:val="Tablesubheading2"/>
              <w:cnfStyle w:val="000000000000" w:firstRow="0" w:lastRow="0" w:firstColumn="0" w:lastColumn="0" w:oddVBand="0" w:evenVBand="0" w:oddHBand="0" w:evenHBand="0" w:firstRowFirstColumn="0" w:firstRowLastColumn="0" w:lastRowFirstColumn="0" w:lastRowLastColumn="0"/>
              <w:rPr>
                <w:b w:val="0"/>
              </w:rPr>
            </w:pPr>
          </w:p>
        </w:tc>
        <w:tc>
          <w:tcPr>
            <w:tcW w:w="623" w:type="pct"/>
            <w:shd w:val="clear" w:color="auto" w:fill="F2F2F2" w:themeFill="background1" w:themeFillShade="F2"/>
          </w:tcPr>
          <w:p w14:paraId="119CA126" w14:textId="77777777" w:rsidR="001C5BAE" w:rsidRPr="001E4D58" w:rsidRDefault="001C5BAE" w:rsidP="001E4D58">
            <w:pPr>
              <w:pStyle w:val="Tablesubheading2"/>
              <w:cnfStyle w:val="000000000000" w:firstRow="0" w:lastRow="0" w:firstColumn="0" w:lastColumn="0" w:oddVBand="0" w:evenVBand="0" w:oddHBand="0" w:evenHBand="0" w:firstRowFirstColumn="0" w:firstRowLastColumn="0" w:lastRowFirstColumn="0" w:lastRowLastColumn="0"/>
              <w:rPr>
                <w:b w:val="0"/>
              </w:rPr>
            </w:pPr>
          </w:p>
        </w:tc>
      </w:tr>
      <w:tr w:rsidR="00133610" w14:paraId="7FFAC5BA" w14:textId="77777777" w:rsidTr="00133610">
        <w:trPr>
          <w:jc w:val="center"/>
        </w:trPr>
        <w:tc>
          <w:tcPr>
            <w:cnfStyle w:val="001000000000" w:firstRow="0" w:lastRow="0" w:firstColumn="1" w:lastColumn="0" w:oddVBand="0" w:evenVBand="0" w:oddHBand="0" w:evenHBand="0" w:firstRowFirstColumn="0" w:firstRowLastColumn="0" w:lastRowFirstColumn="0" w:lastRowLastColumn="0"/>
            <w:tcW w:w="1876" w:type="pct"/>
            <w:shd w:val="clear" w:color="auto" w:fill="F2F2F2" w:themeFill="background1" w:themeFillShade="F2"/>
          </w:tcPr>
          <w:p w14:paraId="4442174F" w14:textId="77777777" w:rsidR="00133610" w:rsidRPr="005D7F66" w:rsidRDefault="00133610" w:rsidP="0006633E">
            <w:pPr>
              <w:pStyle w:val="TableCopy"/>
              <w:rPr>
                <w:b w:val="0"/>
              </w:rPr>
            </w:pPr>
            <w:r w:rsidRPr="005D7F66">
              <w:rPr>
                <w:b w:val="0"/>
              </w:rPr>
              <w:t>Intern Incentive Allowance for Rural Pharmacies</w:t>
            </w:r>
          </w:p>
        </w:tc>
        <w:tc>
          <w:tcPr>
            <w:tcW w:w="733" w:type="pct"/>
            <w:tcBorders>
              <w:bottom w:val="nil"/>
            </w:tcBorders>
            <w:shd w:val="clear" w:color="auto" w:fill="F2F2F2" w:themeFill="background1" w:themeFillShade="F2"/>
            <w:vAlign w:val="center"/>
          </w:tcPr>
          <w:p w14:paraId="3684FD9A" w14:textId="77777777" w:rsidR="00133610" w:rsidRDefault="00133610" w:rsidP="0006633E">
            <w:pPr>
              <w:pStyle w:val="TableCopy"/>
              <w:cnfStyle w:val="000000000000" w:firstRow="0" w:lastRow="0" w:firstColumn="0" w:lastColumn="0" w:oddVBand="0" w:evenVBand="0" w:oddHBand="0" w:evenHBand="0" w:firstRowFirstColumn="0" w:firstRowLastColumn="0" w:lastRowFirstColumn="0" w:lastRowLastColumn="0"/>
            </w:pPr>
            <w:r>
              <w:rPr>
                <w:rFonts w:ascii="Times New Roman" w:hAnsi="Times New Roman"/>
              </w:rPr>
              <w:t>$</w:t>
            </w:r>
            <w:r>
              <w:t>0.86m</w:t>
            </w:r>
          </w:p>
        </w:tc>
        <w:tc>
          <w:tcPr>
            <w:tcW w:w="615" w:type="pct"/>
            <w:shd w:val="clear" w:color="auto" w:fill="000000" w:themeFill="text1"/>
          </w:tcPr>
          <w:p w14:paraId="2701D6DC" w14:textId="77777777" w:rsidR="00133610" w:rsidRDefault="00133610" w:rsidP="0006633E">
            <w:pPr>
              <w:pStyle w:val="TableCopy"/>
              <w:jc w:val="center"/>
              <w:cnfStyle w:val="000000000000" w:firstRow="0" w:lastRow="0" w:firstColumn="0" w:lastColumn="0" w:oddVBand="0" w:evenVBand="0" w:oddHBand="0" w:evenHBand="0" w:firstRowFirstColumn="0" w:firstRowLastColumn="0" w:lastRowFirstColumn="0" w:lastRowLastColumn="0"/>
            </w:pPr>
          </w:p>
        </w:tc>
        <w:tc>
          <w:tcPr>
            <w:tcW w:w="1153" w:type="pct"/>
            <w:shd w:val="clear" w:color="auto" w:fill="F2F2F2" w:themeFill="background1" w:themeFillShade="F2"/>
          </w:tcPr>
          <w:p w14:paraId="0C9C8E91" w14:textId="77777777" w:rsidR="00133610" w:rsidRDefault="00133610" w:rsidP="0006633E">
            <w:pPr>
              <w:pStyle w:val="TableCopy"/>
              <w:cnfStyle w:val="000000000000" w:firstRow="0" w:lastRow="0" w:firstColumn="0" w:lastColumn="0" w:oddVBand="0" w:evenVBand="0" w:oddHBand="0" w:evenHBand="0" w:firstRowFirstColumn="0" w:firstRowLastColumn="0" w:lastRowFirstColumn="0" w:lastRowLastColumn="0"/>
            </w:pPr>
            <w:r>
              <w:t>Internships (no.)</w:t>
            </w:r>
          </w:p>
        </w:tc>
        <w:tc>
          <w:tcPr>
            <w:tcW w:w="623" w:type="pct"/>
            <w:shd w:val="clear" w:color="auto" w:fill="F2F2F2" w:themeFill="background1" w:themeFillShade="F2"/>
          </w:tcPr>
          <w:p w14:paraId="6D15FF94" w14:textId="77777777" w:rsidR="00133610" w:rsidRDefault="00133610" w:rsidP="0006633E">
            <w:pPr>
              <w:pStyle w:val="TableCopy"/>
              <w:jc w:val="center"/>
              <w:cnfStyle w:val="000000000000" w:firstRow="0" w:lastRow="0" w:firstColumn="0" w:lastColumn="0" w:oddVBand="0" w:evenVBand="0" w:oddHBand="0" w:evenHBand="0" w:firstRowFirstColumn="0" w:firstRowLastColumn="0" w:lastRowFirstColumn="0" w:lastRowLastColumn="0"/>
            </w:pPr>
            <w:r w:rsidRPr="00F44FAD">
              <w:t>65.5</w:t>
            </w:r>
          </w:p>
        </w:tc>
      </w:tr>
      <w:tr w:rsidR="00133610" w14:paraId="56D173B8" w14:textId="77777777" w:rsidTr="00133610">
        <w:trPr>
          <w:jc w:val="center"/>
        </w:trPr>
        <w:tc>
          <w:tcPr>
            <w:cnfStyle w:val="001000000000" w:firstRow="0" w:lastRow="0" w:firstColumn="1" w:lastColumn="0" w:oddVBand="0" w:evenVBand="0" w:oddHBand="0" w:evenHBand="0" w:firstRowFirstColumn="0" w:firstRowLastColumn="0" w:lastRowFirstColumn="0" w:lastRowLastColumn="0"/>
            <w:tcW w:w="1876" w:type="pct"/>
            <w:shd w:val="clear" w:color="auto" w:fill="F2F2F2" w:themeFill="background1" w:themeFillShade="F2"/>
          </w:tcPr>
          <w:p w14:paraId="52805F3D" w14:textId="77777777" w:rsidR="00133610" w:rsidRPr="005D7F66" w:rsidRDefault="00133610" w:rsidP="0006633E">
            <w:pPr>
              <w:pStyle w:val="TableCopy"/>
              <w:rPr>
                <w:b w:val="0"/>
              </w:rPr>
            </w:pPr>
            <w:r w:rsidRPr="005D7F66">
              <w:rPr>
                <w:b w:val="0"/>
              </w:rPr>
              <w:t xml:space="preserve">Intern Incentive Allowance for Rural Pharmacies </w:t>
            </w:r>
            <w:r>
              <w:rPr>
                <w:b w:val="0"/>
              </w:rPr>
              <w:t>–</w:t>
            </w:r>
            <w:r w:rsidRPr="005D7F66">
              <w:rPr>
                <w:b w:val="0"/>
              </w:rPr>
              <w:t xml:space="preserve"> Extension Program</w:t>
            </w:r>
          </w:p>
        </w:tc>
        <w:tc>
          <w:tcPr>
            <w:tcW w:w="733" w:type="pct"/>
            <w:tcBorders>
              <w:top w:val="nil"/>
              <w:bottom w:val="single" w:sz="4" w:space="0" w:color="auto"/>
            </w:tcBorders>
            <w:shd w:val="clear" w:color="auto" w:fill="F2F2F2" w:themeFill="background1" w:themeFillShade="F2"/>
          </w:tcPr>
          <w:p w14:paraId="21D28BF1" w14:textId="77777777" w:rsidR="00133610" w:rsidRDefault="00133610" w:rsidP="0006633E">
            <w:pPr>
              <w:pStyle w:val="TableCopy"/>
              <w:cnfStyle w:val="000000000000" w:firstRow="0" w:lastRow="0" w:firstColumn="0" w:lastColumn="0" w:oddVBand="0" w:evenVBand="0" w:oddHBand="0" w:evenHBand="0" w:firstRowFirstColumn="0" w:firstRowLastColumn="0" w:lastRowFirstColumn="0" w:lastRowLastColumn="0"/>
            </w:pPr>
          </w:p>
        </w:tc>
        <w:tc>
          <w:tcPr>
            <w:tcW w:w="615" w:type="pct"/>
            <w:shd w:val="clear" w:color="auto" w:fill="000000" w:themeFill="text1"/>
          </w:tcPr>
          <w:p w14:paraId="254F5BCB" w14:textId="77777777" w:rsidR="00133610" w:rsidRDefault="00133610" w:rsidP="0006633E">
            <w:pPr>
              <w:pStyle w:val="TableCopy"/>
              <w:jc w:val="center"/>
              <w:cnfStyle w:val="000000000000" w:firstRow="0" w:lastRow="0" w:firstColumn="0" w:lastColumn="0" w:oddVBand="0" w:evenVBand="0" w:oddHBand="0" w:evenHBand="0" w:firstRowFirstColumn="0" w:firstRowLastColumn="0" w:lastRowFirstColumn="0" w:lastRowLastColumn="0"/>
            </w:pPr>
          </w:p>
        </w:tc>
        <w:tc>
          <w:tcPr>
            <w:tcW w:w="1153" w:type="pct"/>
            <w:shd w:val="clear" w:color="auto" w:fill="F2F2F2" w:themeFill="background1" w:themeFillShade="F2"/>
          </w:tcPr>
          <w:p w14:paraId="708139E8" w14:textId="77777777" w:rsidR="00133610" w:rsidRPr="009A5903" w:rsidRDefault="00133610" w:rsidP="0006633E">
            <w:pPr>
              <w:pStyle w:val="TableCopy"/>
              <w:cnfStyle w:val="000000000000" w:firstRow="0" w:lastRow="0" w:firstColumn="0" w:lastColumn="0" w:oddVBand="0" w:evenVBand="0" w:oddHBand="0" w:evenHBand="0" w:firstRowFirstColumn="0" w:firstRowLastColumn="0" w:lastRowFirstColumn="0" w:lastRowLastColumn="0"/>
            </w:pPr>
            <w:r w:rsidRPr="009A5903">
              <w:t xml:space="preserve">Graduates involved </w:t>
            </w:r>
            <w:r>
              <w:t>–</w:t>
            </w:r>
            <w:r w:rsidRPr="009A5903">
              <w:t xml:space="preserve"> numbers employed </w:t>
            </w:r>
          </w:p>
        </w:tc>
        <w:tc>
          <w:tcPr>
            <w:tcW w:w="623" w:type="pct"/>
            <w:shd w:val="clear" w:color="auto" w:fill="F2F2F2" w:themeFill="background1" w:themeFillShade="F2"/>
          </w:tcPr>
          <w:p w14:paraId="28977E35" w14:textId="77777777" w:rsidR="00133610" w:rsidRDefault="00133610" w:rsidP="0006633E">
            <w:pPr>
              <w:pStyle w:val="TableCopy"/>
              <w:jc w:val="center"/>
              <w:cnfStyle w:val="000000000000" w:firstRow="0" w:lastRow="0" w:firstColumn="0" w:lastColumn="0" w:oddVBand="0" w:evenVBand="0" w:oddHBand="0" w:evenHBand="0" w:firstRowFirstColumn="0" w:firstRowLastColumn="0" w:lastRowFirstColumn="0" w:lastRowLastColumn="0"/>
            </w:pPr>
            <w:r w:rsidRPr="00F44FAD">
              <w:t>10</w:t>
            </w:r>
          </w:p>
        </w:tc>
      </w:tr>
      <w:tr w:rsidR="00133610" w14:paraId="75E256E9" w14:textId="77777777" w:rsidTr="00133610">
        <w:trPr>
          <w:jc w:val="center"/>
        </w:trPr>
        <w:tc>
          <w:tcPr>
            <w:cnfStyle w:val="001000000000" w:firstRow="0" w:lastRow="0" w:firstColumn="1" w:lastColumn="0" w:oddVBand="0" w:evenVBand="0" w:oddHBand="0" w:evenHBand="0" w:firstRowFirstColumn="0" w:firstRowLastColumn="0" w:lastRowFirstColumn="0" w:lastRowLastColumn="0"/>
            <w:tcW w:w="1876" w:type="pct"/>
            <w:shd w:val="clear" w:color="auto" w:fill="F2F2F2" w:themeFill="background1" w:themeFillShade="F2"/>
          </w:tcPr>
          <w:p w14:paraId="3C514A16" w14:textId="77777777" w:rsidR="00133610" w:rsidRPr="005D7F66" w:rsidRDefault="00133610" w:rsidP="0006633E">
            <w:pPr>
              <w:pStyle w:val="TableCopy"/>
              <w:rPr>
                <w:b w:val="0"/>
              </w:rPr>
            </w:pPr>
            <w:r w:rsidRPr="005D7F66">
              <w:rPr>
                <w:b w:val="0"/>
              </w:rPr>
              <w:t>Continuing Professional Education Allowance</w:t>
            </w:r>
          </w:p>
        </w:tc>
        <w:tc>
          <w:tcPr>
            <w:tcW w:w="733" w:type="pct"/>
            <w:tcBorders>
              <w:bottom w:val="nil"/>
            </w:tcBorders>
            <w:shd w:val="clear" w:color="auto" w:fill="F2F2F2" w:themeFill="background1" w:themeFillShade="F2"/>
            <w:vAlign w:val="center"/>
          </w:tcPr>
          <w:p w14:paraId="15940B95" w14:textId="77777777" w:rsidR="00133610" w:rsidRDefault="00133610" w:rsidP="0006633E">
            <w:pPr>
              <w:pStyle w:val="TableCopy"/>
              <w:cnfStyle w:val="000000000000" w:firstRow="0" w:lastRow="0" w:firstColumn="0" w:lastColumn="0" w:oddVBand="0" w:evenVBand="0" w:oddHBand="0" w:evenHBand="0" w:firstRowFirstColumn="0" w:firstRowLastColumn="0" w:lastRowFirstColumn="0" w:lastRowLastColumn="0"/>
            </w:pPr>
            <w:r>
              <w:rPr>
                <w:rFonts w:ascii="Times New Roman" w:hAnsi="Times New Roman"/>
              </w:rPr>
              <w:t>$</w:t>
            </w:r>
            <w:r>
              <w:t>0.46m</w:t>
            </w:r>
          </w:p>
        </w:tc>
        <w:tc>
          <w:tcPr>
            <w:tcW w:w="615" w:type="pct"/>
            <w:shd w:val="clear" w:color="auto" w:fill="000000" w:themeFill="text1"/>
          </w:tcPr>
          <w:p w14:paraId="6B8D0195" w14:textId="77777777" w:rsidR="00133610" w:rsidRDefault="00133610" w:rsidP="0006633E">
            <w:pPr>
              <w:pStyle w:val="TableCopy"/>
              <w:jc w:val="center"/>
              <w:cnfStyle w:val="000000000000" w:firstRow="0" w:lastRow="0" w:firstColumn="0" w:lastColumn="0" w:oddVBand="0" w:evenVBand="0" w:oddHBand="0" w:evenHBand="0" w:firstRowFirstColumn="0" w:firstRowLastColumn="0" w:lastRowFirstColumn="0" w:lastRowLastColumn="0"/>
            </w:pPr>
          </w:p>
        </w:tc>
        <w:tc>
          <w:tcPr>
            <w:tcW w:w="1153" w:type="pct"/>
            <w:shd w:val="clear" w:color="auto" w:fill="F2F2F2" w:themeFill="background1" w:themeFillShade="F2"/>
          </w:tcPr>
          <w:p w14:paraId="1B82A2A6" w14:textId="77777777" w:rsidR="00133610" w:rsidRPr="009A5903" w:rsidRDefault="00133610" w:rsidP="0006633E">
            <w:pPr>
              <w:pStyle w:val="TableCopy"/>
              <w:cnfStyle w:val="000000000000" w:firstRow="0" w:lastRow="0" w:firstColumn="0" w:lastColumn="0" w:oddVBand="0" w:evenVBand="0" w:oddHBand="0" w:evenHBand="0" w:firstRowFirstColumn="0" w:firstRowLastColumn="0" w:lastRowFirstColumn="0" w:lastRowLastColumn="0"/>
            </w:pPr>
            <w:r w:rsidRPr="009A5903">
              <w:t>Travel allowance payments (no.)</w:t>
            </w:r>
          </w:p>
        </w:tc>
        <w:tc>
          <w:tcPr>
            <w:tcW w:w="623" w:type="pct"/>
            <w:shd w:val="clear" w:color="auto" w:fill="F2F2F2" w:themeFill="background1" w:themeFillShade="F2"/>
          </w:tcPr>
          <w:p w14:paraId="7DA674F8" w14:textId="77777777" w:rsidR="00133610" w:rsidRDefault="00133610" w:rsidP="0006633E">
            <w:pPr>
              <w:pStyle w:val="TableCopy"/>
              <w:jc w:val="center"/>
              <w:cnfStyle w:val="000000000000" w:firstRow="0" w:lastRow="0" w:firstColumn="0" w:lastColumn="0" w:oddVBand="0" w:evenVBand="0" w:oddHBand="0" w:evenHBand="0" w:firstRowFirstColumn="0" w:firstRowLastColumn="0" w:lastRowFirstColumn="0" w:lastRowLastColumn="0"/>
            </w:pPr>
            <w:r>
              <w:t>329</w:t>
            </w:r>
          </w:p>
        </w:tc>
      </w:tr>
      <w:tr w:rsidR="00133610" w14:paraId="2DC61C9D" w14:textId="77777777" w:rsidTr="00133610">
        <w:trPr>
          <w:jc w:val="center"/>
        </w:trPr>
        <w:tc>
          <w:tcPr>
            <w:cnfStyle w:val="001000000000" w:firstRow="0" w:lastRow="0" w:firstColumn="1" w:lastColumn="0" w:oddVBand="0" w:evenVBand="0" w:oddHBand="0" w:evenHBand="0" w:firstRowFirstColumn="0" w:firstRowLastColumn="0" w:lastRowFirstColumn="0" w:lastRowLastColumn="0"/>
            <w:tcW w:w="1876" w:type="pct"/>
            <w:shd w:val="clear" w:color="auto" w:fill="F2F2F2" w:themeFill="background1" w:themeFillShade="F2"/>
          </w:tcPr>
          <w:p w14:paraId="072D1C90" w14:textId="77777777" w:rsidR="00133610" w:rsidRPr="005D7F66" w:rsidRDefault="00133610" w:rsidP="0006633E">
            <w:pPr>
              <w:pStyle w:val="TableCopy"/>
              <w:rPr>
                <w:b w:val="0"/>
              </w:rPr>
            </w:pPr>
            <w:r w:rsidRPr="005D7F66">
              <w:rPr>
                <w:b w:val="0"/>
              </w:rPr>
              <w:t>Emergency Locum Service</w:t>
            </w:r>
          </w:p>
        </w:tc>
        <w:tc>
          <w:tcPr>
            <w:tcW w:w="733" w:type="pct"/>
            <w:tcBorders>
              <w:top w:val="nil"/>
            </w:tcBorders>
            <w:shd w:val="clear" w:color="auto" w:fill="F2F2F2" w:themeFill="background1" w:themeFillShade="F2"/>
          </w:tcPr>
          <w:p w14:paraId="68AD73C9" w14:textId="77777777" w:rsidR="00133610" w:rsidRDefault="00133610" w:rsidP="0006633E">
            <w:pPr>
              <w:pStyle w:val="TableCopy"/>
              <w:cnfStyle w:val="000000000000" w:firstRow="0" w:lastRow="0" w:firstColumn="0" w:lastColumn="0" w:oddVBand="0" w:evenVBand="0" w:oddHBand="0" w:evenHBand="0" w:firstRowFirstColumn="0" w:firstRowLastColumn="0" w:lastRowFirstColumn="0" w:lastRowLastColumn="0"/>
            </w:pPr>
          </w:p>
        </w:tc>
        <w:tc>
          <w:tcPr>
            <w:tcW w:w="615" w:type="pct"/>
            <w:shd w:val="clear" w:color="auto" w:fill="000000" w:themeFill="text1"/>
          </w:tcPr>
          <w:p w14:paraId="613FDE0E" w14:textId="77777777" w:rsidR="00133610" w:rsidRDefault="00133610" w:rsidP="0006633E">
            <w:pPr>
              <w:pStyle w:val="TableCopy"/>
              <w:jc w:val="center"/>
              <w:cnfStyle w:val="000000000000" w:firstRow="0" w:lastRow="0" w:firstColumn="0" w:lastColumn="0" w:oddVBand="0" w:evenVBand="0" w:oddHBand="0" w:evenHBand="0" w:firstRowFirstColumn="0" w:firstRowLastColumn="0" w:lastRowFirstColumn="0" w:lastRowLastColumn="0"/>
            </w:pPr>
          </w:p>
        </w:tc>
        <w:tc>
          <w:tcPr>
            <w:tcW w:w="1153" w:type="pct"/>
            <w:shd w:val="clear" w:color="auto" w:fill="F2F2F2" w:themeFill="background1" w:themeFillShade="F2"/>
          </w:tcPr>
          <w:p w14:paraId="6A369879" w14:textId="77777777" w:rsidR="00133610" w:rsidRPr="009A5903" w:rsidRDefault="00133610" w:rsidP="0006633E">
            <w:pPr>
              <w:pStyle w:val="TableCopy"/>
              <w:cnfStyle w:val="000000000000" w:firstRow="0" w:lastRow="0" w:firstColumn="0" w:lastColumn="0" w:oddVBand="0" w:evenVBand="0" w:oddHBand="0" w:evenHBand="0" w:firstRowFirstColumn="0" w:firstRowLastColumn="0" w:lastRowFirstColumn="0" w:lastRowLastColumn="0"/>
            </w:pPr>
            <w:r w:rsidRPr="009A5903">
              <w:t>Travel allowance payments (to cover locum costs)</w:t>
            </w:r>
          </w:p>
        </w:tc>
        <w:tc>
          <w:tcPr>
            <w:tcW w:w="623" w:type="pct"/>
            <w:shd w:val="clear" w:color="auto" w:fill="F2F2F2" w:themeFill="background1" w:themeFillShade="F2"/>
          </w:tcPr>
          <w:p w14:paraId="4B844E8C" w14:textId="77777777" w:rsidR="00133610" w:rsidRDefault="00133610" w:rsidP="0006633E">
            <w:pPr>
              <w:pStyle w:val="TableCopy"/>
              <w:jc w:val="center"/>
              <w:cnfStyle w:val="000000000000" w:firstRow="0" w:lastRow="0" w:firstColumn="0" w:lastColumn="0" w:oddVBand="0" w:evenVBand="0" w:oddHBand="0" w:evenHBand="0" w:firstRowFirstColumn="0" w:firstRowLastColumn="0" w:lastRowFirstColumn="0" w:lastRowLastColumn="0"/>
            </w:pPr>
            <w:r w:rsidRPr="00F44FAD">
              <w:t>85</w:t>
            </w:r>
          </w:p>
        </w:tc>
      </w:tr>
      <w:tr w:rsidR="001C5BAE" w14:paraId="16A086B1" w14:textId="77777777" w:rsidTr="00AA0559">
        <w:trPr>
          <w:jc w:val="center"/>
        </w:trPr>
        <w:tc>
          <w:tcPr>
            <w:cnfStyle w:val="001000000000" w:firstRow="0" w:lastRow="0" w:firstColumn="1" w:lastColumn="0" w:oddVBand="0" w:evenVBand="0" w:oddHBand="0" w:evenHBand="0" w:firstRowFirstColumn="0" w:firstRowLastColumn="0" w:lastRowFirstColumn="0" w:lastRowLastColumn="0"/>
            <w:tcW w:w="1876" w:type="pct"/>
            <w:shd w:val="clear" w:color="auto" w:fill="F2F2F2" w:themeFill="background1" w:themeFillShade="F2"/>
          </w:tcPr>
          <w:p w14:paraId="24447F04" w14:textId="77777777" w:rsidR="001C5BAE" w:rsidRPr="00E6670B" w:rsidRDefault="001C5BAE" w:rsidP="0006633E">
            <w:pPr>
              <w:pStyle w:val="TableCopy"/>
              <w:rPr>
                <w:i/>
              </w:rPr>
            </w:pPr>
            <w:r w:rsidRPr="00E6670B">
              <w:rPr>
                <w:b w:val="0"/>
                <w:i/>
              </w:rPr>
              <w:t>Sub-total: Workforce re</w:t>
            </w:r>
            <w:r>
              <w:rPr>
                <w:b w:val="0"/>
                <w:i/>
              </w:rPr>
              <w:t xml:space="preserve">tention </w:t>
            </w:r>
            <w:r w:rsidRPr="00E6670B">
              <w:rPr>
                <w:b w:val="0"/>
                <w:i/>
              </w:rPr>
              <w:t>programs</w:t>
            </w:r>
          </w:p>
        </w:tc>
        <w:tc>
          <w:tcPr>
            <w:tcW w:w="733" w:type="pct"/>
            <w:shd w:val="clear" w:color="auto" w:fill="F2F2F2" w:themeFill="background1" w:themeFillShade="F2"/>
          </w:tcPr>
          <w:p w14:paraId="72C976F8" w14:textId="77777777" w:rsidR="001C5BAE" w:rsidRPr="00C57E56" w:rsidRDefault="001C5BAE" w:rsidP="0006633E">
            <w:pPr>
              <w:pStyle w:val="TableCopy"/>
              <w:cnfStyle w:val="000000000000" w:firstRow="0" w:lastRow="0" w:firstColumn="0" w:lastColumn="0" w:oddVBand="0" w:evenVBand="0" w:oddHBand="0" w:evenHBand="0" w:firstRowFirstColumn="0" w:firstRowLastColumn="0" w:lastRowFirstColumn="0" w:lastRowLastColumn="0"/>
              <w:rPr>
                <w:i/>
              </w:rPr>
            </w:pPr>
            <w:r>
              <w:rPr>
                <w:rFonts w:ascii="Times New Roman" w:hAnsi="Times New Roman"/>
                <w:i/>
              </w:rPr>
              <w:t>$</w:t>
            </w:r>
            <w:r>
              <w:rPr>
                <w:i/>
              </w:rPr>
              <w:t>1.32</w:t>
            </w:r>
            <w:r w:rsidRPr="00C57E56">
              <w:rPr>
                <w:i/>
              </w:rPr>
              <w:t>m</w:t>
            </w:r>
          </w:p>
        </w:tc>
        <w:tc>
          <w:tcPr>
            <w:tcW w:w="615" w:type="pct"/>
            <w:shd w:val="clear" w:color="auto" w:fill="F2F2F2" w:themeFill="background1" w:themeFillShade="F2"/>
          </w:tcPr>
          <w:p w14:paraId="35E602FA" w14:textId="77777777" w:rsidR="001C5BAE" w:rsidRPr="00C57E56" w:rsidRDefault="001C5BAE" w:rsidP="0006633E">
            <w:pPr>
              <w:pStyle w:val="TableCopy"/>
              <w:jc w:val="center"/>
              <w:cnfStyle w:val="000000000000" w:firstRow="0" w:lastRow="0" w:firstColumn="0" w:lastColumn="0" w:oddVBand="0" w:evenVBand="0" w:oddHBand="0" w:evenHBand="0" w:firstRowFirstColumn="0" w:firstRowLastColumn="0" w:lastRowFirstColumn="0" w:lastRowLastColumn="0"/>
              <w:rPr>
                <w:i/>
              </w:rPr>
            </w:pPr>
            <w:r>
              <w:rPr>
                <w:i/>
              </w:rPr>
              <w:t>28%</w:t>
            </w:r>
          </w:p>
        </w:tc>
        <w:tc>
          <w:tcPr>
            <w:tcW w:w="1153" w:type="pct"/>
            <w:shd w:val="clear" w:color="auto" w:fill="000000" w:themeFill="text1"/>
          </w:tcPr>
          <w:p w14:paraId="540D0676" w14:textId="77777777" w:rsidR="001C5BAE" w:rsidRDefault="001C5BAE" w:rsidP="0006633E">
            <w:pPr>
              <w:pStyle w:val="TableCopy"/>
              <w:cnfStyle w:val="000000000000" w:firstRow="0" w:lastRow="0" w:firstColumn="0" w:lastColumn="0" w:oddVBand="0" w:evenVBand="0" w:oddHBand="0" w:evenHBand="0" w:firstRowFirstColumn="0" w:firstRowLastColumn="0" w:lastRowFirstColumn="0" w:lastRowLastColumn="0"/>
            </w:pPr>
          </w:p>
        </w:tc>
        <w:tc>
          <w:tcPr>
            <w:tcW w:w="623" w:type="pct"/>
            <w:shd w:val="clear" w:color="auto" w:fill="000000" w:themeFill="text1"/>
          </w:tcPr>
          <w:p w14:paraId="12BDCE50" w14:textId="77777777" w:rsidR="001C5BAE" w:rsidRDefault="001C5BAE" w:rsidP="0006633E">
            <w:pPr>
              <w:pStyle w:val="TableCopy"/>
              <w:jc w:val="center"/>
              <w:cnfStyle w:val="000000000000" w:firstRow="0" w:lastRow="0" w:firstColumn="0" w:lastColumn="0" w:oddVBand="0" w:evenVBand="0" w:oddHBand="0" w:evenHBand="0" w:firstRowFirstColumn="0" w:firstRowLastColumn="0" w:lastRowFirstColumn="0" w:lastRowLastColumn="0"/>
            </w:pPr>
          </w:p>
        </w:tc>
      </w:tr>
      <w:tr w:rsidR="00AA0559" w14:paraId="22ABCC08" w14:textId="77777777" w:rsidTr="00133610">
        <w:trPr>
          <w:jc w:val="center"/>
        </w:trPr>
        <w:tc>
          <w:tcPr>
            <w:cnfStyle w:val="001000000000" w:firstRow="0" w:lastRow="0" w:firstColumn="1" w:lastColumn="0" w:oddVBand="0" w:evenVBand="0" w:oddHBand="0" w:evenHBand="0" w:firstRowFirstColumn="0" w:firstRowLastColumn="0" w:lastRowFirstColumn="0" w:lastRowLastColumn="0"/>
            <w:tcW w:w="1876" w:type="pct"/>
            <w:shd w:val="clear" w:color="auto" w:fill="F2F2F2" w:themeFill="background1" w:themeFillShade="F2"/>
          </w:tcPr>
          <w:p w14:paraId="275BED8C" w14:textId="77777777" w:rsidR="001C5BAE" w:rsidRPr="005D7F66" w:rsidRDefault="001C5BAE" w:rsidP="001E4D58">
            <w:pPr>
              <w:pStyle w:val="Tablesubheading2"/>
              <w:rPr>
                <w:b/>
              </w:rPr>
            </w:pPr>
            <w:r w:rsidRPr="001E4D58">
              <w:rPr>
                <w:b/>
              </w:rPr>
              <w:t>Other workforce support programs</w:t>
            </w:r>
          </w:p>
        </w:tc>
        <w:tc>
          <w:tcPr>
            <w:tcW w:w="733" w:type="pct"/>
            <w:tcBorders>
              <w:bottom w:val="single" w:sz="4" w:space="0" w:color="auto"/>
            </w:tcBorders>
            <w:shd w:val="clear" w:color="auto" w:fill="F2F2F2" w:themeFill="background1" w:themeFillShade="F2"/>
          </w:tcPr>
          <w:p w14:paraId="0CB4E503" w14:textId="77777777" w:rsidR="001C5BAE" w:rsidRPr="001E4D58" w:rsidRDefault="001C5BAE" w:rsidP="001E4D58">
            <w:pPr>
              <w:pStyle w:val="Tablesubheading2"/>
              <w:cnfStyle w:val="000000000000" w:firstRow="0" w:lastRow="0" w:firstColumn="0" w:lastColumn="0" w:oddVBand="0" w:evenVBand="0" w:oddHBand="0" w:evenHBand="0" w:firstRowFirstColumn="0" w:firstRowLastColumn="0" w:lastRowFirstColumn="0" w:lastRowLastColumn="0"/>
              <w:rPr>
                <w:b w:val="0"/>
              </w:rPr>
            </w:pPr>
          </w:p>
        </w:tc>
        <w:tc>
          <w:tcPr>
            <w:tcW w:w="615" w:type="pct"/>
            <w:shd w:val="clear" w:color="auto" w:fill="F2F2F2" w:themeFill="background1" w:themeFillShade="F2"/>
          </w:tcPr>
          <w:p w14:paraId="12C24CB4" w14:textId="77777777" w:rsidR="001C5BAE" w:rsidRPr="001E4D58" w:rsidRDefault="001C5BAE" w:rsidP="001E4D58">
            <w:pPr>
              <w:pStyle w:val="Tablesubheading2"/>
              <w:cnfStyle w:val="000000000000" w:firstRow="0" w:lastRow="0" w:firstColumn="0" w:lastColumn="0" w:oddVBand="0" w:evenVBand="0" w:oddHBand="0" w:evenHBand="0" w:firstRowFirstColumn="0" w:firstRowLastColumn="0" w:lastRowFirstColumn="0" w:lastRowLastColumn="0"/>
              <w:rPr>
                <w:b w:val="0"/>
              </w:rPr>
            </w:pPr>
          </w:p>
        </w:tc>
        <w:tc>
          <w:tcPr>
            <w:tcW w:w="1153" w:type="pct"/>
            <w:shd w:val="clear" w:color="auto" w:fill="F2F2F2" w:themeFill="background1" w:themeFillShade="F2"/>
          </w:tcPr>
          <w:p w14:paraId="43055A1A" w14:textId="77777777" w:rsidR="001C5BAE" w:rsidRPr="001E4D58" w:rsidRDefault="001C5BAE" w:rsidP="001E4D58">
            <w:pPr>
              <w:pStyle w:val="Tablesubheading2"/>
              <w:cnfStyle w:val="000000000000" w:firstRow="0" w:lastRow="0" w:firstColumn="0" w:lastColumn="0" w:oddVBand="0" w:evenVBand="0" w:oddHBand="0" w:evenHBand="0" w:firstRowFirstColumn="0" w:firstRowLastColumn="0" w:lastRowFirstColumn="0" w:lastRowLastColumn="0"/>
              <w:rPr>
                <w:b w:val="0"/>
              </w:rPr>
            </w:pPr>
          </w:p>
        </w:tc>
        <w:tc>
          <w:tcPr>
            <w:tcW w:w="623" w:type="pct"/>
            <w:shd w:val="clear" w:color="auto" w:fill="F2F2F2" w:themeFill="background1" w:themeFillShade="F2"/>
          </w:tcPr>
          <w:p w14:paraId="3F5E6093" w14:textId="77777777" w:rsidR="001C5BAE" w:rsidRPr="001E4D58" w:rsidRDefault="001C5BAE" w:rsidP="001E4D58">
            <w:pPr>
              <w:pStyle w:val="Tablesubheading2"/>
              <w:cnfStyle w:val="000000000000" w:firstRow="0" w:lastRow="0" w:firstColumn="0" w:lastColumn="0" w:oddVBand="0" w:evenVBand="0" w:oddHBand="0" w:evenHBand="0" w:firstRowFirstColumn="0" w:firstRowLastColumn="0" w:lastRowFirstColumn="0" w:lastRowLastColumn="0"/>
              <w:rPr>
                <w:b w:val="0"/>
              </w:rPr>
            </w:pPr>
          </w:p>
        </w:tc>
      </w:tr>
      <w:tr w:rsidR="00133610" w14:paraId="247D5D8B" w14:textId="77777777" w:rsidTr="00133610">
        <w:trPr>
          <w:jc w:val="center"/>
        </w:trPr>
        <w:tc>
          <w:tcPr>
            <w:cnfStyle w:val="001000000000" w:firstRow="0" w:lastRow="0" w:firstColumn="1" w:lastColumn="0" w:oddVBand="0" w:evenVBand="0" w:oddHBand="0" w:evenHBand="0" w:firstRowFirstColumn="0" w:firstRowLastColumn="0" w:lastRowFirstColumn="0" w:lastRowLastColumn="0"/>
            <w:tcW w:w="1876" w:type="pct"/>
            <w:shd w:val="clear" w:color="auto" w:fill="F2F2F2" w:themeFill="background1" w:themeFillShade="F2"/>
          </w:tcPr>
          <w:p w14:paraId="33BF2693" w14:textId="77777777" w:rsidR="00133610" w:rsidRPr="005D7F66" w:rsidRDefault="00133610" w:rsidP="0006633E">
            <w:pPr>
              <w:pStyle w:val="TableCopy"/>
              <w:rPr>
                <w:b w:val="0"/>
              </w:rPr>
            </w:pPr>
            <w:r w:rsidRPr="005D7F66">
              <w:rPr>
                <w:b w:val="0"/>
              </w:rPr>
              <w:t>Administrative Support to Pharmacy Schools</w:t>
            </w:r>
          </w:p>
        </w:tc>
        <w:tc>
          <w:tcPr>
            <w:tcW w:w="733" w:type="pct"/>
            <w:tcBorders>
              <w:bottom w:val="nil"/>
            </w:tcBorders>
            <w:shd w:val="clear" w:color="auto" w:fill="F2F2F2" w:themeFill="background1" w:themeFillShade="F2"/>
            <w:vAlign w:val="center"/>
          </w:tcPr>
          <w:p w14:paraId="47379CCF" w14:textId="77777777" w:rsidR="00133610" w:rsidRDefault="00133610" w:rsidP="0006633E">
            <w:pPr>
              <w:pStyle w:val="TableCopy"/>
              <w:cnfStyle w:val="000000000000" w:firstRow="0" w:lastRow="0" w:firstColumn="0" w:lastColumn="0" w:oddVBand="0" w:evenVBand="0" w:oddHBand="0" w:evenHBand="0" w:firstRowFirstColumn="0" w:firstRowLastColumn="0" w:lastRowFirstColumn="0" w:lastRowLastColumn="0"/>
            </w:pPr>
            <w:r>
              <w:rPr>
                <w:rFonts w:ascii="Times New Roman" w:hAnsi="Times New Roman"/>
              </w:rPr>
              <w:t>$</w:t>
            </w:r>
            <w:r>
              <w:t>1.36m</w:t>
            </w:r>
          </w:p>
        </w:tc>
        <w:tc>
          <w:tcPr>
            <w:tcW w:w="615" w:type="pct"/>
            <w:shd w:val="clear" w:color="auto" w:fill="000000" w:themeFill="text1"/>
          </w:tcPr>
          <w:p w14:paraId="3B878F03" w14:textId="77777777" w:rsidR="00133610" w:rsidRDefault="00133610" w:rsidP="0006633E">
            <w:pPr>
              <w:pStyle w:val="TableCopy"/>
              <w:jc w:val="center"/>
              <w:cnfStyle w:val="000000000000" w:firstRow="0" w:lastRow="0" w:firstColumn="0" w:lastColumn="0" w:oddVBand="0" w:evenVBand="0" w:oddHBand="0" w:evenHBand="0" w:firstRowFirstColumn="0" w:firstRowLastColumn="0" w:lastRowFirstColumn="0" w:lastRowLastColumn="0"/>
            </w:pPr>
          </w:p>
        </w:tc>
        <w:tc>
          <w:tcPr>
            <w:tcW w:w="1153" w:type="pct"/>
            <w:shd w:val="clear" w:color="auto" w:fill="F2F2F2" w:themeFill="background1" w:themeFillShade="F2"/>
          </w:tcPr>
          <w:p w14:paraId="5A862973" w14:textId="77777777" w:rsidR="00133610" w:rsidRPr="00F44FAD" w:rsidRDefault="00133610" w:rsidP="0006633E">
            <w:pPr>
              <w:pStyle w:val="TableCopy"/>
              <w:cnfStyle w:val="000000000000" w:firstRow="0" w:lastRow="0" w:firstColumn="0" w:lastColumn="0" w:oddVBand="0" w:evenVBand="0" w:oddHBand="0" w:evenHBand="0" w:firstRowFirstColumn="0" w:firstRowLastColumn="0" w:lastRowFirstColumn="0" w:lastRowLastColumn="0"/>
            </w:pPr>
            <w:r>
              <w:t>Universities supported (no.)</w:t>
            </w:r>
          </w:p>
        </w:tc>
        <w:tc>
          <w:tcPr>
            <w:tcW w:w="623" w:type="pct"/>
            <w:shd w:val="clear" w:color="auto" w:fill="F2F2F2" w:themeFill="background1" w:themeFillShade="F2"/>
          </w:tcPr>
          <w:p w14:paraId="67F105EE" w14:textId="77777777" w:rsidR="00133610" w:rsidRPr="00134FD1" w:rsidRDefault="00133610" w:rsidP="0006633E">
            <w:pPr>
              <w:pStyle w:val="TableCopy"/>
              <w:jc w:val="center"/>
              <w:cnfStyle w:val="000000000000" w:firstRow="0" w:lastRow="0" w:firstColumn="0" w:lastColumn="0" w:oddVBand="0" w:evenVBand="0" w:oddHBand="0" w:evenHBand="0" w:firstRowFirstColumn="0" w:firstRowLastColumn="0" w:lastRowFirstColumn="0" w:lastRowLastColumn="0"/>
            </w:pPr>
            <w:r>
              <w:t>16</w:t>
            </w:r>
          </w:p>
        </w:tc>
      </w:tr>
      <w:tr w:rsidR="00133610" w14:paraId="2496CDF6" w14:textId="77777777" w:rsidTr="00133610">
        <w:trPr>
          <w:jc w:val="center"/>
        </w:trPr>
        <w:tc>
          <w:tcPr>
            <w:cnfStyle w:val="001000000000" w:firstRow="0" w:lastRow="0" w:firstColumn="1" w:lastColumn="0" w:oddVBand="0" w:evenVBand="0" w:oddHBand="0" w:evenHBand="0" w:firstRowFirstColumn="0" w:firstRowLastColumn="0" w:lastRowFirstColumn="0" w:lastRowLastColumn="0"/>
            <w:tcW w:w="1876" w:type="pct"/>
            <w:shd w:val="clear" w:color="auto" w:fill="F2F2F2" w:themeFill="background1" w:themeFillShade="F2"/>
          </w:tcPr>
          <w:p w14:paraId="787A6E6A" w14:textId="77777777" w:rsidR="00133610" w:rsidRPr="005D7F66" w:rsidRDefault="00133610" w:rsidP="0006633E">
            <w:pPr>
              <w:pStyle w:val="TableCopy"/>
              <w:rPr>
                <w:b w:val="0"/>
              </w:rPr>
            </w:pPr>
            <w:r w:rsidRPr="005D7F66">
              <w:rPr>
                <w:b w:val="0"/>
              </w:rPr>
              <w:t>Rural Pharmacy Liaison Officer Program^</w:t>
            </w:r>
          </w:p>
        </w:tc>
        <w:tc>
          <w:tcPr>
            <w:tcW w:w="733" w:type="pct"/>
            <w:tcBorders>
              <w:top w:val="nil"/>
            </w:tcBorders>
            <w:shd w:val="clear" w:color="auto" w:fill="F2F2F2" w:themeFill="background1" w:themeFillShade="F2"/>
          </w:tcPr>
          <w:p w14:paraId="0BEADF4F" w14:textId="77777777" w:rsidR="00133610" w:rsidRDefault="00133610" w:rsidP="0006633E">
            <w:pPr>
              <w:pStyle w:val="TableCopy"/>
              <w:cnfStyle w:val="000000000000" w:firstRow="0" w:lastRow="0" w:firstColumn="0" w:lastColumn="0" w:oddVBand="0" w:evenVBand="0" w:oddHBand="0" w:evenHBand="0" w:firstRowFirstColumn="0" w:firstRowLastColumn="0" w:lastRowFirstColumn="0" w:lastRowLastColumn="0"/>
            </w:pPr>
          </w:p>
        </w:tc>
        <w:tc>
          <w:tcPr>
            <w:tcW w:w="615" w:type="pct"/>
            <w:shd w:val="clear" w:color="auto" w:fill="000000" w:themeFill="text1"/>
          </w:tcPr>
          <w:p w14:paraId="4C85847C" w14:textId="77777777" w:rsidR="00133610" w:rsidRDefault="00133610" w:rsidP="0006633E">
            <w:pPr>
              <w:pStyle w:val="TableCopy"/>
              <w:jc w:val="center"/>
              <w:cnfStyle w:val="000000000000" w:firstRow="0" w:lastRow="0" w:firstColumn="0" w:lastColumn="0" w:oddVBand="0" w:evenVBand="0" w:oddHBand="0" w:evenHBand="0" w:firstRowFirstColumn="0" w:firstRowLastColumn="0" w:lastRowFirstColumn="0" w:lastRowLastColumn="0"/>
            </w:pPr>
          </w:p>
        </w:tc>
        <w:tc>
          <w:tcPr>
            <w:tcW w:w="1153" w:type="pct"/>
            <w:shd w:val="clear" w:color="auto" w:fill="F2F2F2" w:themeFill="background1" w:themeFillShade="F2"/>
          </w:tcPr>
          <w:p w14:paraId="39385806" w14:textId="77777777" w:rsidR="00133610" w:rsidRPr="00F44FAD" w:rsidRDefault="00133610" w:rsidP="0006633E">
            <w:pPr>
              <w:pStyle w:val="TableCopy"/>
              <w:cnfStyle w:val="000000000000" w:firstRow="0" w:lastRow="0" w:firstColumn="0" w:lastColumn="0" w:oddVBand="0" w:evenVBand="0" w:oddHBand="0" w:evenHBand="0" w:firstRowFirstColumn="0" w:firstRowLastColumn="0" w:lastRowFirstColumn="0" w:lastRowLastColumn="0"/>
            </w:pPr>
            <w:r>
              <w:t>Number employed at UDRHs</w:t>
            </w:r>
          </w:p>
        </w:tc>
        <w:tc>
          <w:tcPr>
            <w:tcW w:w="623" w:type="pct"/>
            <w:shd w:val="clear" w:color="auto" w:fill="F2F2F2" w:themeFill="background1" w:themeFillShade="F2"/>
          </w:tcPr>
          <w:p w14:paraId="4195A2E4" w14:textId="77777777" w:rsidR="00133610" w:rsidRPr="00134FD1" w:rsidRDefault="00133610" w:rsidP="0006633E">
            <w:pPr>
              <w:pStyle w:val="TableCopy"/>
              <w:jc w:val="center"/>
              <w:cnfStyle w:val="000000000000" w:firstRow="0" w:lastRow="0" w:firstColumn="0" w:lastColumn="0" w:oddVBand="0" w:evenVBand="0" w:oddHBand="0" w:evenHBand="0" w:firstRowFirstColumn="0" w:firstRowLastColumn="0" w:lastRowFirstColumn="0" w:lastRowLastColumn="0"/>
            </w:pPr>
            <w:r>
              <w:t>10</w:t>
            </w:r>
          </w:p>
        </w:tc>
      </w:tr>
      <w:tr w:rsidR="001C5BAE" w14:paraId="0F3D5481" w14:textId="77777777" w:rsidTr="00133610">
        <w:trPr>
          <w:jc w:val="center"/>
        </w:trPr>
        <w:tc>
          <w:tcPr>
            <w:cnfStyle w:val="001000000000" w:firstRow="0" w:lastRow="0" w:firstColumn="1" w:lastColumn="0" w:oddVBand="0" w:evenVBand="0" w:oddHBand="0" w:evenHBand="0" w:firstRowFirstColumn="0" w:firstRowLastColumn="0" w:lastRowFirstColumn="0" w:lastRowLastColumn="0"/>
            <w:tcW w:w="1876" w:type="pct"/>
            <w:tcBorders>
              <w:bottom w:val="single" w:sz="4" w:space="0" w:color="auto"/>
            </w:tcBorders>
            <w:shd w:val="clear" w:color="auto" w:fill="F2F2F2" w:themeFill="background1" w:themeFillShade="F2"/>
          </w:tcPr>
          <w:p w14:paraId="486814A2" w14:textId="77777777" w:rsidR="001C5BAE" w:rsidRPr="005D7F66" w:rsidRDefault="001C5BAE" w:rsidP="0006633E">
            <w:pPr>
              <w:pStyle w:val="TableCopy"/>
              <w:rPr>
                <w:b w:val="0"/>
              </w:rPr>
            </w:pPr>
            <w:r w:rsidRPr="00E6670B">
              <w:rPr>
                <w:b w:val="0"/>
                <w:i/>
              </w:rPr>
              <w:t xml:space="preserve">Sub-total: </w:t>
            </w:r>
            <w:r>
              <w:rPr>
                <w:b w:val="0"/>
                <w:i/>
              </w:rPr>
              <w:t xml:space="preserve">Other workforce support </w:t>
            </w:r>
            <w:r w:rsidRPr="00E6670B">
              <w:rPr>
                <w:b w:val="0"/>
                <w:i/>
              </w:rPr>
              <w:t>programs</w:t>
            </w:r>
          </w:p>
        </w:tc>
        <w:tc>
          <w:tcPr>
            <w:tcW w:w="733" w:type="pct"/>
            <w:tcBorders>
              <w:bottom w:val="single" w:sz="4" w:space="0" w:color="auto"/>
            </w:tcBorders>
            <w:shd w:val="clear" w:color="auto" w:fill="F2F2F2" w:themeFill="background1" w:themeFillShade="F2"/>
          </w:tcPr>
          <w:p w14:paraId="5BEC6284" w14:textId="77777777" w:rsidR="001C5BAE" w:rsidRPr="004A14F0" w:rsidRDefault="001C5BAE" w:rsidP="0006633E">
            <w:pPr>
              <w:pStyle w:val="TableCopy"/>
              <w:cnfStyle w:val="000000000000" w:firstRow="0" w:lastRow="0" w:firstColumn="0" w:lastColumn="0" w:oddVBand="0" w:evenVBand="0" w:oddHBand="0" w:evenHBand="0" w:firstRowFirstColumn="0" w:firstRowLastColumn="0" w:lastRowFirstColumn="0" w:lastRowLastColumn="0"/>
              <w:rPr>
                <w:i/>
              </w:rPr>
            </w:pPr>
            <w:r>
              <w:rPr>
                <w:rFonts w:ascii="Times New Roman" w:hAnsi="Times New Roman"/>
                <w:i/>
              </w:rPr>
              <w:t>$</w:t>
            </w:r>
            <w:r w:rsidRPr="004A14F0">
              <w:rPr>
                <w:i/>
              </w:rPr>
              <w:t>1.36m</w:t>
            </w:r>
          </w:p>
        </w:tc>
        <w:tc>
          <w:tcPr>
            <w:tcW w:w="615" w:type="pct"/>
            <w:tcBorders>
              <w:bottom w:val="single" w:sz="4" w:space="0" w:color="auto"/>
            </w:tcBorders>
            <w:shd w:val="clear" w:color="auto" w:fill="F2F2F2" w:themeFill="background1" w:themeFillShade="F2"/>
          </w:tcPr>
          <w:p w14:paraId="168C4FBA" w14:textId="77777777" w:rsidR="001C5BAE" w:rsidRPr="004A14F0" w:rsidRDefault="001C5BAE" w:rsidP="0006633E">
            <w:pPr>
              <w:pStyle w:val="TableCopy"/>
              <w:jc w:val="center"/>
              <w:cnfStyle w:val="000000000000" w:firstRow="0" w:lastRow="0" w:firstColumn="0" w:lastColumn="0" w:oddVBand="0" w:evenVBand="0" w:oddHBand="0" w:evenHBand="0" w:firstRowFirstColumn="0" w:firstRowLastColumn="0" w:lastRowFirstColumn="0" w:lastRowLastColumn="0"/>
              <w:rPr>
                <w:i/>
              </w:rPr>
            </w:pPr>
            <w:r>
              <w:rPr>
                <w:i/>
              </w:rPr>
              <w:t>29%</w:t>
            </w:r>
          </w:p>
        </w:tc>
        <w:tc>
          <w:tcPr>
            <w:tcW w:w="1153" w:type="pct"/>
            <w:tcBorders>
              <w:bottom w:val="single" w:sz="4" w:space="0" w:color="auto"/>
            </w:tcBorders>
            <w:shd w:val="clear" w:color="auto" w:fill="000000" w:themeFill="text1"/>
          </w:tcPr>
          <w:p w14:paraId="1FDB4A05" w14:textId="77777777" w:rsidR="001C5BAE" w:rsidRPr="00F44FAD" w:rsidRDefault="001C5BAE" w:rsidP="0006633E">
            <w:pPr>
              <w:pStyle w:val="TableCopy"/>
              <w:cnfStyle w:val="000000000000" w:firstRow="0" w:lastRow="0" w:firstColumn="0" w:lastColumn="0" w:oddVBand="0" w:evenVBand="0" w:oddHBand="0" w:evenHBand="0" w:firstRowFirstColumn="0" w:firstRowLastColumn="0" w:lastRowFirstColumn="0" w:lastRowLastColumn="0"/>
            </w:pPr>
          </w:p>
        </w:tc>
        <w:tc>
          <w:tcPr>
            <w:tcW w:w="623" w:type="pct"/>
            <w:tcBorders>
              <w:bottom w:val="single" w:sz="4" w:space="0" w:color="auto"/>
            </w:tcBorders>
            <w:shd w:val="clear" w:color="auto" w:fill="000000" w:themeFill="text1"/>
          </w:tcPr>
          <w:p w14:paraId="3AB3652D" w14:textId="77777777" w:rsidR="001C5BAE" w:rsidRDefault="001C5BAE" w:rsidP="0006633E">
            <w:pPr>
              <w:pStyle w:val="TableCopy"/>
              <w:jc w:val="center"/>
              <w:cnfStyle w:val="000000000000" w:firstRow="0" w:lastRow="0" w:firstColumn="0" w:lastColumn="0" w:oddVBand="0" w:evenVBand="0" w:oddHBand="0" w:evenHBand="0" w:firstRowFirstColumn="0" w:firstRowLastColumn="0" w:lastRowFirstColumn="0" w:lastRowLastColumn="0"/>
            </w:pPr>
          </w:p>
        </w:tc>
      </w:tr>
      <w:tr w:rsidR="00133610" w:rsidRPr="003E51C4" w14:paraId="2253E90E" w14:textId="77777777" w:rsidTr="00133610">
        <w:trPr>
          <w:jc w:val="center"/>
        </w:trPr>
        <w:tc>
          <w:tcPr>
            <w:cnfStyle w:val="001000000000" w:firstRow="0" w:lastRow="0" w:firstColumn="1" w:lastColumn="0" w:oddVBand="0" w:evenVBand="0" w:oddHBand="0" w:evenHBand="0" w:firstRowFirstColumn="0" w:firstRowLastColumn="0" w:lastRowFirstColumn="0" w:lastRowLastColumn="0"/>
            <w:tcW w:w="1876" w:type="pct"/>
            <w:tcBorders>
              <w:right w:val="nil"/>
            </w:tcBorders>
            <w:shd w:val="clear" w:color="auto" w:fill="A6A6A6" w:themeFill="background1" w:themeFillShade="A6"/>
          </w:tcPr>
          <w:p w14:paraId="3B8F4075" w14:textId="77777777" w:rsidR="00133610" w:rsidRPr="003E51C4" w:rsidRDefault="00133610" w:rsidP="001E4D58">
            <w:pPr>
              <w:pStyle w:val="Tablesubheading1"/>
              <w:rPr>
                <w:b w:val="0"/>
                <w:color w:val="000000" w:themeColor="text1"/>
              </w:rPr>
            </w:pPr>
            <w:r w:rsidRPr="003E51C4">
              <w:rPr>
                <w:color w:val="000000" w:themeColor="text1"/>
              </w:rPr>
              <w:t>Aboriginal and Torres Strait Islander Workforce Package components</w:t>
            </w:r>
          </w:p>
        </w:tc>
        <w:tc>
          <w:tcPr>
            <w:tcW w:w="733" w:type="pct"/>
            <w:tcBorders>
              <w:left w:val="nil"/>
              <w:bottom w:val="single" w:sz="4" w:space="0" w:color="auto"/>
              <w:right w:val="nil"/>
            </w:tcBorders>
            <w:shd w:val="clear" w:color="auto" w:fill="A6A6A6" w:themeFill="background1" w:themeFillShade="A6"/>
          </w:tcPr>
          <w:p w14:paraId="01A88E57" w14:textId="77777777" w:rsidR="00133610" w:rsidRPr="003E51C4" w:rsidRDefault="00133610" w:rsidP="001E4D58">
            <w:pPr>
              <w:pStyle w:val="Tablesubheading1"/>
              <w:cnfStyle w:val="000000000000" w:firstRow="0" w:lastRow="0" w:firstColumn="0" w:lastColumn="0" w:oddVBand="0" w:evenVBand="0" w:oddHBand="0" w:evenHBand="0" w:firstRowFirstColumn="0" w:firstRowLastColumn="0" w:lastRowFirstColumn="0" w:lastRowLastColumn="0"/>
              <w:rPr>
                <w:b/>
                <w:color w:val="000000" w:themeColor="text1"/>
              </w:rPr>
            </w:pPr>
          </w:p>
        </w:tc>
        <w:tc>
          <w:tcPr>
            <w:tcW w:w="615" w:type="pct"/>
            <w:tcBorders>
              <w:left w:val="nil"/>
              <w:right w:val="nil"/>
            </w:tcBorders>
            <w:shd w:val="clear" w:color="auto" w:fill="A6A6A6" w:themeFill="background1" w:themeFillShade="A6"/>
          </w:tcPr>
          <w:p w14:paraId="3A695E2C" w14:textId="77777777" w:rsidR="00133610" w:rsidRPr="003E51C4" w:rsidRDefault="00133610" w:rsidP="001E4D58">
            <w:pPr>
              <w:pStyle w:val="Tablesubheading1"/>
              <w:cnfStyle w:val="000000000000" w:firstRow="0" w:lastRow="0" w:firstColumn="0" w:lastColumn="0" w:oddVBand="0" w:evenVBand="0" w:oddHBand="0" w:evenHBand="0" w:firstRowFirstColumn="0" w:firstRowLastColumn="0" w:lastRowFirstColumn="0" w:lastRowLastColumn="0"/>
              <w:rPr>
                <w:b/>
                <w:color w:val="000000" w:themeColor="text1"/>
              </w:rPr>
            </w:pPr>
          </w:p>
        </w:tc>
        <w:tc>
          <w:tcPr>
            <w:tcW w:w="1153" w:type="pct"/>
            <w:tcBorders>
              <w:left w:val="nil"/>
              <w:right w:val="nil"/>
            </w:tcBorders>
            <w:shd w:val="clear" w:color="auto" w:fill="A6A6A6" w:themeFill="background1" w:themeFillShade="A6"/>
          </w:tcPr>
          <w:p w14:paraId="774E8B29" w14:textId="77777777" w:rsidR="00133610" w:rsidRPr="003E51C4" w:rsidRDefault="00133610" w:rsidP="001E4D58">
            <w:pPr>
              <w:pStyle w:val="Tablesubheading1"/>
              <w:cnfStyle w:val="000000000000" w:firstRow="0" w:lastRow="0" w:firstColumn="0" w:lastColumn="0" w:oddVBand="0" w:evenVBand="0" w:oddHBand="0" w:evenHBand="0" w:firstRowFirstColumn="0" w:firstRowLastColumn="0" w:lastRowFirstColumn="0" w:lastRowLastColumn="0"/>
              <w:rPr>
                <w:b/>
                <w:color w:val="000000" w:themeColor="text1"/>
              </w:rPr>
            </w:pPr>
          </w:p>
        </w:tc>
        <w:tc>
          <w:tcPr>
            <w:tcW w:w="623" w:type="pct"/>
            <w:tcBorders>
              <w:left w:val="nil"/>
            </w:tcBorders>
            <w:shd w:val="clear" w:color="auto" w:fill="A6A6A6" w:themeFill="background1" w:themeFillShade="A6"/>
          </w:tcPr>
          <w:p w14:paraId="3EDF9495" w14:textId="665DE7B7" w:rsidR="00133610" w:rsidRPr="003E51C4" w:rsidRDefault="00133610" w:rsidP="001E4D58">
            <w:pPr>
              <w:pStyle w:val="Tablesubheading1"/>
              <w:cnfStyle w:val="000000000000" w:firstRow="0" w:lastRow="0" w:firstColumn="0" w:lastColumn="0" w:oddVBand="0" w:evenVBand="0" w:oddHBand="0" w:evenHBand="0" w:firstRowFirstColumn="0" w:firstRowLastColumn="0" w:lastRowFirstColumn="0" w:lastRowLastColumn="0"/>
              <w:rPr>
                <w:color w:val="000000" w:themeColor="text1"/>
              </w:rPr>
            </w:pPr>
          </w:p>
        </w:tc>
      </w:tr>
      <w:tr w:rsidR="00133610" w14:paraId="59D1D715" w14:textId="77777777" w:rsidTr="00133610">
        <w:trPr>
          <w:jc w:val="center"/>
        </w:trPr>
        <w:tc>
          <w:tcPr>
            <w:cnfStyle w:val="001000000000" w:firstRow="0" w:lastRow="0" w:firstColumn="1" w:lastColumn="0" w:oddVBand="0" w:evenVBand="0" w:oddHBand="0" w:evenHBand="0" w:firstRowFirstColumn="0" w:firstRowLastColumn="0" w:lastRowFirstColumn="0" w:lastRowLastColumn="0"/>
            <w:tcW w:w="1876" w:type="pct"/>
            <w:shd w:val="clear" w:color="auto" w:fill="F2F2F2" w:themeFill="background1" w:themeFillShade="F2"/>
          </w:tcPr>
          <w:p w14:paraId="08207829" w14:textId="77777777" w:rsidR="00133610" w:rsidRPr="005D7F66" w:rsidRDefault="00133610" w:rsidP="0006633E">
            <w:pPr>
              <w:pStyle w:val="TableCopy"/>
              <w:rPr>
                <w:b w:val="0"/>
              </w:rPr>
            </w:pPr>
            <w:r w:rsidRPr="005D7F66">
              <w:rPr>
                <w:b w:val="0"/>
              </w:rPr>
              <w:t>Aboriginal and Torres Strait Islander Pharmacy Scholarship Scheme</w:t>
            </w:r>
          </w:p>
        </w:tc>
        <w:tc>
          <w:tcPr>
            <w:tcW w:w="733" w:type="pct"/>
            <w:tcBorders>
              <w:bottom w:val="nil"/>
            </w:tcBorders>
            <w:shd w:val="clear" w:color="auto" w:fill="F2F2F2" w:themeFill="background1" w:themeFillShade="F2"/>
            <w:vAlign w:val="center"/>
          </w:tcPr>
          <w:p w14:paraId="60AE679A" w14:textId="77777777" w:rsidR="00133610" w:rsidRDefault="00133610" w:rsidP="0006633E">
            <w:pPr>
              <w:pStyle w:val="TableCopy"/>
              <w:cnfStyle w:val="000000000000" w:firstRow="0" w:lastRow="0" w:firstColumn="0" w:lastColumn="0" w:oddVBand="0" w:evenVBand="0" w:oddHBand="0" w:evenHBand="0" w:firstRowFirstColumn="0" w:firstRowLastColumn="0" w:lastRowFirstColumn="0" w:lastRowLastColumn="0"/>
            </w:pPr>
            <w:r>
              <w:rPr>
                <w:rFonts w:ascii="Times New Roman" w:hAnsi="Times New Roman"/>
              </w:rPr>
              <w:t>$</w:t>
            </w:r>
            <w:r>
              <w:t>0.23m</w:t>
            </w:r>
          </w:p>
        </w:tc>
        <w:tc>
          <w:tcPr>
            <w:tcW w:w="615" w:type="pct"/>
            <w:shd w:val="clear" w:color="auto" w:fill="000000" w:themeFill="text1"/>
          </w:tcPr>
          <w:p w14:paraId="1DC96D51" w14:textId="77777777" w:rsidR="00133610" w:rsidRDefault="00133610" w:rsidP="0006633E">
            <w:pPr>
              <w:pStyle w:val="TableCopy"/>
              <w:cnfStyle w:val="000000000000" w:firstRow="0" w:lastRow="0" w:firstColumn="0" w:lastColumn="0" w:oddVBand="0" w:evenVBand="0" w:oddHBand="0" w:evenHBand="0" w:firstRowFirstColumn="0" w:firstRowLastColumn="0" w:lastRowFirstColumn="0" w:lastRowLastColumn="0"/>
            </w:pPr>
          </w:p>
        </w:tc>
        <w:tc>
          <w:tcPr>
            <w:tcW w:w="1153" w:type="pct"/>
            <w:shd w:val="clear" w:color="auto" w:fill="F2F2F2" w:themeFill="background1" w:themeFillShade="F2"/>
          </w:tcPr>
          <w:p w14:paraId="53738541" w14:textId="77777777" w:rsidR="00133610" w:rsidRPr="00F44FAD" w:rsidRDefault="00133610" w:rsidP="0006633E">
            <w:pPr>
              <w:pStyle w:val="TableCopy"/>
              <w:cnfStyle w:val="000000000000" w:firstRow="0" w:lastRow="0" w:firstColumn="0" w:lastColumn="0" w:oddVBand="0" w:evenVBand="0" w:oddHBand="0" w:evenHBand="0" w:firstRowFirstColumn="0" w:firstRowLastColumn="0" w:lastRowFirstColumn="0" w:lastRowLastColumn="0"/>
            </w:pPr>
            <w:r>
              <w:t>Scholarships (no.)</w:t>
            </w:r>
          </w:p>
        </w:tc>
        <w:tc>
          <w:tcPr>
            <w:tcW w:w="623" w:type="pct"/>
            <w:shd w:val="clear" w:color="auto" w:fill="F2F2F2" w:themeFill="background1" w:themeFillShade="F2"/>
          </w:tcPr>
          <w:p w14:paraId="11CBFDBC" w14:textId="77777777" w:rsidR="00133610" w:rsidRPr="00F44FAD" w:rsidRDefault="00133610" w:rsidP="0006633E">
            <w:pPr>
              <w:pStyle w:val="TableCopy"/>
              <w:jc w:val="center"/>
              <w:cnfStyle w:val="000000000000" w:firstRow="0" w:lastRow="0" w:firstColumn="0" w:lastColumn="0" w:oddVBand="0" w:evenVBand="0" w:oddHBand="0" w:evenHBand="0" w:firstRowFirstColumn="0" w:firstRowLastColumn="0" w:lastRowFirstColumn="0" w:lastRowLastColumn="0"/>
            </w:pPr>
            <w:r>
              <w:t>6.5</w:t>
            </w:r>
          </w:p>
        </w:tc>
      </w:tr>
      <w:tr w:rsidR="00133610" w14:paraId="4FC9E115" w14:textId="77777777" w:rsidTr="00133610">
        <w:trPr>
          <w:jc w:val="center"/>
        </w:trPr>
        <w:tc>
          <w:tcPr>
            <w:cnfStyle w:val="001000000000" w:firstRow="0" w:lastRow="0" w:firstColumn="1" w:lastColumn="0" w:oddVBand="0" w:evenVBand="0" w:oddHBand="0" w:evenHBand="0" w:firstRowFirstColumn="0" w:firstRowLastColumn="0" w:lastRowFirstColumn="0" w:lastRowLastColumn="0"/>
            <w:tcW w:w="1876" w:type="pct"/>
            <w:shd w:val="clear" w:color="auto" w:fill="F2F2F2" w:themeFill="background1" w:themeFillShade="F2"/>
          </w:tcPr>
          <w:p w14:paraId="62352CE6" w14:textId="77777777" w:rsidR="00133610" w:rsidRPr="005D7F66" w:rsidRDefault="00133610" w:rsidP="0006633E">
            <w:pPr>
              <w:pStyle w:val="TableCopy"/>
              <w:rPr>
                <w:b w:val="0"/>
              </w:rPr>
            </w:pPr>
            <w:r w:rsidRPr="005D7F66">
              <w:rPr>
                <w:b w:val="0"/>
              </w:rPr>
              <w:t>Aboriginal and Torres Strait Islander Pharmacy Assistant Traineeship Scheme</w:t>
            </w:r>
          </w:p>
        </w:tc>
        <w:tc>
          <w:tcPr>
            <w:tcW w:w="733" w:type="pct"/>
            <w:tcBorders>
              <w:top w:val="nil"/>
            </w:tcBorders>
            <w:shd w:val="clear" w:color="auto" w:fill="F2F2F2" w:themeFill="background1" w:themeFillShade="F2"/>
          </w:tcPr>
          <w:p w14:paraId="2D085F74" w14:textId="77777777" w:rsidR="00133610" w:rsidRDefault="00133610" w:rsidP="0006633E">
            <w:pPr>
              <w:pStyle w:val="TableCopy"/>
              <w:cnfStyle w:val="000000000000" w:firstRow="0" w:lastRow="0" w:firstColumn="0" w:lastColumn="0" w:oddVBand="0" w:evenVBand="0" w:oddHBand="0" w:evenHBand="0" w:firstRowFirstColumn="0" w:firstRowLastColumn="0" w:lastRowFirstColumn="0" w:lastRowLastColumn="0"/>
            </w:pPr>
          </w:p>
        </w:tc>
        <w:tc>
          <w:tcPr>
            <w:tcW w:w="615" w:type="pct"/>
            <w:shd w:val="clear" w:color="auto" w:fill="000000" w:themeFill="text1"/>
          </w:tcPr>
          <w:p w14:paraId="3542AE32" w14:textId="77777777" w:rsidR="00133610" w:rsidRDefault="00133610" w:rsidP="0006633E">
            <w:pPr>
              <w:pStyle w:val="TableCopy"/>
              <w:cnfStyle w:val="000000000000" w:firstRow="0" w:lastRow="0" w:firstColumn="0" w:lastColumn="0" w:oddVBand="0" w:evenVBand="0" w:oddHBand="0" w:evenHBand="0" w:firstRowFirstColumn="0" w:firstRowLastColumn="0" w:lastRowFirstColumn="0" w:lastRowLastColumn="0"/>
            </w:pPr>
          </w:p>
        </w:tc>
        <w:tc>
          <w:tcPr>
            <w:tcW w:w="1153" w:type="pct"/>
            <w:shd w:val="clear" w:color="auto" w:fill="F2F2F2" w:themeFill="background1" w:themeFillShade="F2"/>
          </w:tcPr>
          <w:p w14:paraId="5A2191D3" w14:textId="77777777" w:rsidR="00133610" w:rsidRPr="00F44FAD" w:rsidRDefault="00133610" w:rsidP="0006633E">
            <w:pPr>
              <w:pStyle w:val="TableCopy"/>
              <w:cnfStyle w:val="000000000000" w:firstRow="0" w:lastRow="0" w:firstColumn="0" w:lastColumn="0" w:oddVBand="0" w:evenVBand="0" w:oddHBand="0" w:evenHBand="0" w:firstRowFirstColumn="0" w:firstRowLastColumn="0" w:lastRowFirstColumn="0" w:lastRowLastColumn="0"/>
            </w:pPr>
            <w:r>
              <w:t>Pharmacy Assistant Traineeships (no.)</w:t>
            </w:r>
          </w:p>
        </w:tc>
        <w:tc>
          <w:tcPr>
            <w:tcW w:w="623" w:type="pct"/>
            <w:shd w:val="clear" w:color="auto" w:fill="F2F2F2" w:themeFill="background1" w:themeFillShade="F2"/>
          </w:tcPr>
          <w:p w14:paraId="54E42770" w14:textId="77777777" w:rsidR="00133610" w:rsidRPr="00F44FAD" w:rsidRDefault="00133610" w:rsidP="0006633E">
            <w:pPr>
              <w:pStyle w:val="TableCopy"/>
              <w:jc w:val="center"/>
              <w:cnfStyle w:val="000000000000" w:firstRow="0" w:lastRow="0" w:firstColumn="0" w:lastColumn="0" w:oddVBand="0" w:evenVBand="0" w:oddHBand="0" w:evenHBand="0" w:firstRowFirstColumn="0" w:firstRowLastColumn="0" w:lastRowFirstColumn="0" w:lastRowLastColumn="0"/>
            </w:pPr>
            <w:r w:rsidRPr="00F44FAD">
              <w:t>14</w:t>
            </w:r>
          </w:p>
        </w:tc>
      </w:tr>
      <w:tr w:rsidR="001C5BAE" w14:paraId="44D0B2BE" w14:textId="77777777" w:rsidTr="00AA0559">
        <w:trPr>
          <w:jc w:val="center"/>
        </w:trPr>
        <w:tc>
          <w:tcPr>
            <w:cnfStyle w:val="001000000000" w:firstRow="0" w:lastRow="0" w:firstColumn="1" w:lastColumn="0" w:oddVBand="0" w:evenVBand="0" w:oddHBand="0" w:evenHBand="0" w:firstRowFirstColumn="0" w:firstRowLastColumn="0" w:lastRowFirstColumn="0" w:lastRowLastColumn="0"/>
            <w:tcW w:w="1876" w:type="pct"/>
            <w:shd w:val="clear" w:color="auto" w:fill="F2F2F2" w:themeFill="background1" w:themeFillShade="F2"/>
          </w:tcPr>
          <w:p w14:paraId="0ECCC3F7" w14:textId="77777777" w:rsidR="001C5BAE" w:rsidRPr="005D7F66" w:rsidRDefault="001C5BAE" w:rsidP="0006633E">
            <w:pPr>
              <w:pStyle w:val="TableCopy"/>
              <w:rPr>
                <w:b w:val="0"/>
              </w:rPr>
            </w:pPr>
            <w:r w:rsidRPr="00E6670B">
              <w:rPr>
                <w:b w:val="0"/>
                <w:i/>
              </w:rPr>
              <w:t xml:space="preserve">Sub-total: </w:t>
            </w:r>
            <w:r>
              <w:rPr>
                <w:b w:val="0"/>
                <w:i/>
              </w:rPr>
              <w:t>Enhancing availability of culturally appropriate services</w:t>
            </w:r>
          </w:p>
        </w:tc>
        <w:tc>
          <w:tcPr>
            <w:tcW w:w="733" w:type="pct"/>
            <w:shd w:val="clear" w:color="auto" w:fill="F2F2F2" w:themeFill="background1" w:themeFillShade="F2"/>
          </w:tcPr>
          <w:p w14:paraId="60868C55" w14:textId="77777777" w:rsidR="001C5BAE" w:rsidRPr="004A14F0" w:rsidRDefault="001C5BAE" w:rsidP="0006633E">
            <w:pPr>
              <w:pStyle w:val="TableCopy"/>
              <w:cnfStyle w:val="000000000000" w:firstRow="0" w:lastRow="0" w:firstColumn="0" w:lastColumn="0" w:oddVBand="0" w:evenVBand="0" w:oddHBand="0" w:evenHBand="0" w:firstRowFirstColumn="0" w:firstRowLastColumn="0" w:lastRowFirstColumn="0" w:lastRowLastColumn="0"/>
              <w:rPr>
                <w:i/>
              </w:rPr>
            </w:pPr>
            <w:r>
              <w:rPr>
                <w:rFonts w:ascii="Times New Roman" w:hAnsi="Times New Roman"/>
                <w:i/>
              </w:rPr>
              <w:t>$</w:t>
            </w:r>
            <w:r>
              <w:rPr>
                <w:i/>
              </w:rPr>
              <w:t>0.23</w:t>
            </w:r>
            <w:r w:rsidRPr="004A14F0">
              <w:rPr>
                <w:i/>
              </w:rPr>
              <w:t>m</w:t>
            </w:r>
          </w:p>
        </w:tc>
        <w:tc>
          <w:tcPr>
            <w:tcW w:w="615" w:type="pct"/>
            <w:shd w:val="clear" w:color="auto" w:fill="F2F2F2" w:themeFill="background1" w:themeFillShade="F2"/>
          </w:tcPr>
          <w:p w14:paraId="24C27C29" w14:textId="77777777" w:rsidR="001C5BAE" w:rsidRPr="004A14F0" w:rsidRDefault="001C5BAE" w:rsidP="0006633E">
            <w:pPr>
              <w:pStyle w:val="TableCopy"/>
              <w:jc w:val="center"/>
              <w:cnfStyle w:val="000000000000" w:firstRow="0" w:lastRow="0" w:firstColumn="0" w:lastColumn="0" w:oddVBand="0" w:evenVBand="0" w:oddHBand="0" w:evenHBand="0" w:firstRowFirstColumn="0" w:firstRowLastColumn="0" w:lastRowFirstColumn="0" w:lastRowLastColumn="0"/>
              <w:rPr>
                <w:i/>
              </w:rPr>
            </w:pPr>
            <w:r>
              <w:rPr>
                <w:i/>
              </w:rPr>
              <w:t>5%</w:t>
            </w:r>
          </w:p>
        </w:tc>
        <w:tc>
          <w:tcPr>
            <w:tcW w:w="1153" w:type="pct"/>
            <w:shd w:val="clear" w:color="auto" w:fill="000000" w:themeFill="text1"/>
          </w:tcPr>
          <w:p w14:paraId="5421FE38" w14:textId="77777777" w:rsidR="001C5BAE" w:rsidRDefault="001C5BAE" w:rsidP="0006633E">
            <w:pPr>
              <w:pStyle w:val="TableCopy"/>
              <w:cnfStyle w:val="000000000000" w:firstRow="0" w:lastRow="0" w:firstColumn="0" w:lastColumn="0" w:oddVBand="0" w:evenVBand="0" w:oddHBand="0" w:evenHBand="0" w:firstRowFirstColumn="0" w:firstRowLastColumn="0" w:lastRowFirstColumn="0" w:lastRowLastColumn="0"/>
            </w:pPr>
          </w:p>
        </w:tc>
        <w:tc>
          <w:tcPr>
            <w:tcW w:w="623" w:type="pct"/>
            <w:shd w:val="clear" w:color="auto" w:fill="000000" w:themeFill="text1"/>
          </w:tcPr>
          <w:p w14:paraId="37229591" w14:textId="77777777" w:rsidR="001C5BAE" w:rsidRPr="00F44FAD" w:rsidRDefault="001C5BAE" w:rsidP="0006633E">
            <w:pPr>
              <w:pStyle w:val="TableCopy"/>
              <w:jc w:val="center"/>
              <w:cnfStyle w:val="000000000000" w:firstRow="0" w:lastRow="0" w:firstColumn="0" w:lastColumn="0" w:oddVBand="0" w:evenVBand="0" w:oddHBand="0" w:evenHBand="0" w:firstRowFirstColumn="0" w:firstRowLastColumn="0" w:lastRowFirstColumn="0" w:lastRowLastColumn="0"/>
            </w:pPr>
          </w:p>
        </w:tc>
      </w:tr>
      <w:tr w:rsidR="001C5BAE" w14:paraId="2B443C6C" w14:textId="77777777" w:rsidTr="00AA0559">
        <w:trPr>
          <w:jc w:val="center"/>
        </w:trPr>
        <w:tc>
          <w:tcPr>
            <w:cnfStyle w:val="001000000000" w:firstRow="0" w:lastRow="0" w:firstColumn="1" w:lastColumn="0" w:oddVBand="0" w:evenVBand="0" w:oddHBand="0" w:evenHBand="0" w:firstRowFirstColumn="0" w:firstRowLastColumn="0" w:lastRowFirstColumn="0" w:lastRowLastColumn="0"/>
            <w:tcW w:w="1876" w:type="pct"/>
            <w:shd w:val="clear" w:color="auto" w:fill="F2F2F2" w:themeFill="background1" w:themeFillShade="F2"/>
          </w:tcPr>
          <w:p w14:paraId="1565FF6A" w14:textId="77777777" w:rsidR="001C5BAE" w:rsidRPr="0034258C" w:rsidRDefault="001C5BAE" w:rsidP="0006633E">
            <w:pPr>
              <w:pStyle w:val="TableCopy"/>
              <w:rPr>
                <w:i/>
              </w:rPr>
            </w:pPr>
            <w:r w:rsidRPr="0034258C">
              <w:rPr>
                <w:i/>
              </w:rPr>
              <w:t>Total</w:t>
            </w:r>
          </w:p>
        </w:tc>
        <w:tc>
          <w:tcPr>
            <w:tcW w:w="733" w:type="pct"/>
            <w:shd w:val="clear" w:color="auto" w:fill="F2F2F2" w:themeFill="background1" w:themeFillShade="F2"/>
          </w:tcPr>
          <w:p w14:paraId="05043790" w14:textId="77777777" w:rsidR="001C5BAE" w:rsidRPr="00E30C52" w:rsidRDefault="001C5BAE" w:rsidP="0006633E">
            <w:pPr>
              <w:pStyle w:val="TableCopy"/>
              <w:cnfStyle w:val="000000000000" w:firstRow="0" w:lastRow="0" w:firstColumn="0" w:lastColumn="0" w:oddVBand="0" w:evenVBand="0" w:oddHBand="0" w:evenHBand="0" w:firstRowFirstColumn="0" w:firstRowLastColumn="0" w:lastRowFirstColumn="0" w:lastRowLastColumn="0"/>
              <w:rPr>
                <w:b/>
              </w:rPr>
            </w:pPr>
            <w:r w:rsidRPr="006079A7">
              <w:rPr>
                <w:rFonts w:ascii="Times New Roman" w:hAnsi="Times New Roman"/>
                <w:b/>
              </w:rPr>
              <w:t>$</w:t>
            </w:r>
            <w:r w:rsidRPr="00E30C52">
              <w:rPr>
                <w:b/>
              </w:rPr>
              <w:t>4.7m per annum,</w:t>
            </w:r>
          </w:p>
        </w:tc>
        <w:tc>
          <w:tcPr>
            <w:tcW w:w="615" w:type="pct"/>
            <w:shd w:val="clear" w:color="auto" w:fill="F2F2F2" w:themeFill="background1" w:themeFillShade="F2"/>
          </w:tcPr>
          <w:p w14:paraId="0DD44FAE" w14:textId="77777777" w:rsidR="001C5BAE" w:rsidRPr="00E30C52" w:rsidRDefault="001C5BAE" w:rsidP="0006633E">
            <w:pPr>
              <w:pStyle w:val="TableCopy"/>
              <w:jc w:val="center"/>
              <w:cnfStyle w:val="000000000000" w:firstRow="0" w:lastRow="0" w:firstColumn="0" w:lastColumn="0" w:oddVBand="0" w:evenVBand="0" w:oddHBand="0" w:evenHBand="0" w:firstRowFirstColumn="0" w:firstRowLastColumn="0" w:lastRowFirstColumn="0" w:lastRowLastColumn="0"/>
              <w:rPr>
                <w:b/>
              </w:rPr>
            </w:pPr>
            <w:r w:rsidRPr="00E30C52">
              <w:rPr>
                <w:b/>
              </w:rPr>
              <w:t>100%</w:t>
            </w:r>
          </w:p>
        </w:tc>
        <w:tc>
          <w:tcPr>
            <w:tcW w:w="1153" w:type="pct"/>
            <w:shd w:val="clear" w:color="auto" w:fill="000000" w:themeFill="text1"/>
          </w:tcPr>
          <w:p w14:paraId="25017AD0" w14:textId="77777777" w:rsidR="001C5BAE" w:rsidRDefault="001C5BAE" w:rsidP="0006633E">
            <w:pPr>
              <w:pStyle w:val="TableCopy"/>
              <w:cnfStyle w:val="000000000000" w:firstRow="0" w:lastRow="0" w:firstColumn="0" w:lastColumn="0" w:oddVBand="0" w:evenVBand="0" w:oddHBand="0" w:evenHBand="0" w:firstRowFirstColumn="0" w:firstRowLastColumn="0" w:lastRowFirstColumn="0" w:lastRowLastColumn="0"/>
            </w:pPr>
          </w:p>
        </w:tc>
        <w:tc>
          <w:tcPr>
            <w:tcW w:w="623" w:type="pct"/>
            <w:shd w:val="clear" w:color="auto" w:fill="000000" w:themeFill="text1"/>
          </w:tcPr>
          <w:p w14:paraId="44D144AB" w14:textId="77777777" w:rsidR="001C5BAE" w:rsidRPr="00F44FAD" w:rsidRDefault="001C5BAE" w:rsidP="0006633E">
            <w:pPr>
              <w:pStyle w:val="TableCopy"/>
              <w:jc w:val="center"/>
              <w:cnfStyle w:val="000000000000" w:firstRow="0" w:lastRow="0" w:firstColumn="0" w:lastColumn="0" w:oddVBand="0" w:evenVBand="0" w:oddHBand="0" w:evenHBand="0" w:firstRowFirstColumn="0" w:firstRowLastColumn="0" w:lastRowFirstColumn="0" w:lastRowLastColumn="0"/>
            </w:pPr>
          </w:p>
        </w:tc>
      </w:tr>
    </w:tbl>
    <w:bookmarkEnd w:id="26"/>
    <w:p w14:paraId="417648CD" w14:textId="77777777" w:rsidR="00166DB1" w:rsidRPr="00166DB1" w:rsidRDefault="00166DB1" w:rsidP="0078709D">
      <w:pPr>
        <w:pStyle w:val="TableNotes"/>
        <w:ind w:left="284" w:hanging="284"/>
      </w:pPr>
      <w:r w:rsidRPr="00166DB1">
        <w:tab/>
      </w:r>
      <w:r w:rsidRPr="00166DB1">
        <w:tab/>
        <w:t>^ Volumes for the Rural Pharmacy Liaison Officer Program based on 2012 data. Program data was often provided in calendar years and was recalculated to yield volumes by financial year.</w:t>
      </w:r>
    </w:p>
    <w:p w14:paraId="71D3B3A4" w14:textId="77777777" w:rsidR="00166DB1" w:rsidRPr="00166DB1" w:rsidRDefault="00166DB1" w:rsidP="0078709D">
      <w:pPr>
        <w:pStyle w:val="TableNotes"/>
        <w:ind w:left="284" w:hanging="284"/>
      </w:pPr>
      <w:r w:rsidRPr="00166DB1">
        <w:tab/>
      </w:r>
      <w:r w:rsidRPr="00166DB1">
        <w:tab/>
        <w:t xml:space="preserve">Expenditure estimates are based on audited statements made available by The Department. Audited statements were only available for the 2013-14 and 2014-15 financial years. Expenditure was averaged across both financial years to smooth variations in program expenditure between years. </w:t>
      </w:r>
    </w:p>
    <w:p w14:paraId="619F8C3E" w14:textId="77777777" w:rsidR="00166DB1" w:rsidRPr="00166DB1" w:rsidRDefault="00166DB1" w:rsidP="00166DB1">
      <w:pPr>
        <w:tabs>
          <w:tab w:val="left" w:pos="227"/>
        </w:tabs>
        <w:spacing w:before="85" w:after="170" w:line="158" w:lineRule="atLeast"/>
        <w:contextualSpacing/>
        <w:rPr>
          <w:rFonts w:ascii="Garamond" w:eastAsia="Garamond" w:hAnsi="Garamond"/>
          <w:i/>
          <w:color w:val="000000"/>
          <w:sz w:val="14"/>
        </w:rPr>
      </w:pPr>
    </w:p>
    <w:p w14:paraId="40D4157E" w14:textId="77777777" w:rsidR="00166DB1" w:rsidRPr="00166DB1" w:rsidRDefault="00166DB1" w:rsidP="00166DB1">
      <w:pPr>
        <w:spacing w:before="85" w:after="85"/>
        <w:rPr>
          <w:rFonts w:ascii="Garamond" w:eastAsia="Garamond" w:hAnsi="Garamond"/>
          <w:color w:val="000000"/>
        </w:rPr>
        <w:sectPr w:rsidR="00166DB1" w:rsidRPr="00166DB1" w:rsidSect="00720069">
          <w:type w:val="continuous"/>
          <w:pgSz w:w="16839" w:h="11907" w:orient="landscape" w:code="9"/>
          <w:pgMar w:top="2268" w:right="1304" w:bottom="850" w:left="737" w:header="567" w:footer="284" w:gutter="0"/>
          <w:cols w:space="709"/>
          <w:docGrid w:linePitch="360"/>
        </w:sectPr>
      </w:pPr>
    </w:p>
    <w:p w14:paraId="23495CFD" w14:textId="77777777" w:rsidR="00166DB1" w:rsidRPr="00166DB1" w:rsidRDefault="00166DB1" w:rsidP="00166DB1">
      <w:pPr>
        <w:widowControl w:val="0"/>
        <w:spacing w:before="85" w:after="85"/>
        <w:rPr>
          <w:rFonts w:ascii="Garamond" w:eastAsia="Garamond" w:hAnsi="Garamond"/>
          <w:color w:val="000000"/>
        </w:rPr>
      </w:pPr>
      <w:r w:rsidRPr="00166DB1">
        <w:rPr>
          <w:rFonts w:ascii="Garamond" w:eastAsia="Garamond" w:hAnsi="Garamond"/>
          <w:color w:val="000000"/>
        </w:rPr>
        <w:lastRenderedPageBreak/>
        <w:t xml:space="preserve">It is noteworthy that average annual expenditure for the two financial years that data was available to HMA was </w:t>
      </w:r>
      <w:r w:rsidRPr="00166DB1">
        <w:rPr>
          <w:rFonts w:ascii="Times New Roman" w:eastAsia="Garamond" w:hAnsi="Times New Roman"/>
          <w:color w:val="000000"/>
        </w:rPr>
        <w:t>$</w:t>
      </w:r>
      <w:r w:rsidRPr="00166DB1">
        <w:rPr>
          <w:rFonts w:ascii="Garamond" w:eastAsia="Garamond" w:hAnsi="Garamond"/>
          <w:color w:val="000000"/>
        </w:rPr>
        <w:t xml:space="preserve">4.7m (2013–15). The indicative budget allocations in the Schedule to the 5CPA implied an annual allocation to the programs of </w:t>
      </w:r>
      <w:r w:rsidRPr="00166DB1">
        <w:rPr>
          <w:rFonts w:ascii="Times New Roman" w:eastAsia="Garamond" w:hAnsi="Times New Roman"/>
          <w:color w:val="000000"/>
        </w:rPr>
        <w:t>$</w:t>
      </w:r>
      <w:r w:rsidRPr="00166DB1">
        <w:rPr>
          <w:rFonts w:ascii="Garamond" w:eastAsia="Garamond" w:hAnsi="Garamond"/>
          <w:color w:val="000000"/>
        </w:rPr>
        <w:t>8.1m per annum</w:t>
      </w:r>
      <w:r w:rsidRPr="00166DB1">
        <w:rPr>
          <w:rFonts w:ascii="Garamond" w:eastAsia="Garamond" w:hAnsi="Garamond"/>
          <w:color w:val="000000"/>
          <w:vertAlign w:val="superscript"/>
        </w:rPr>
        <w:footnoteReference w:id="2"/>
      </w:r>
      <w:r w:rsidRPr="00166DB1">
        <w:rPr>
          <w:rFonts w:ascii="Garamond" w:eastAsia="Garamond" w:hAnsi="Garamond"/>
          <w:color w:val="000000"/>
        </w:rPr>
        <w:t>, implying a significant under-spend.</w:t>
      </w:r>
    </w:p>
    <w:p w14:paraId="5081240F" w14:textId="77777777" w:rsidR="00166DB1" w:rsidRPr="00166DB1" w:rsidRDefault="00166DB1" w:rsidP="00B77C1D">
      <w:pPr>
        <w:pStyle w:val="KeyFinding"/>
        <w:shd w:val="clear" w:color="auto" w:fill="F2F2F2" w:themeFill="background1" w:themeFillShade="F2"/>
      </w:pPr>
      <w:bookmarkStart w:id="27" w:name="_Ref490676626"/>
      <w:r w:rsidRPr="00166DB1">
        <w:t>Expenditure data available to the evaluators found there was an under-spend on the Pharmacy Workforce Package in the years 2013–14 and 2014–15 of around 40%, suggesting the component programs did not get the resource allocation priority intended by the original 5CPA budget schedule.</w:t>
      </w:r>
      <w:bookmarkEnd w:id="27"/>
    </w:p>
    <w:p w14:paraId="05513E9A" w14:textId="77777777" w:rsidR="00166DB1" w:rsidRPr="00166DB1" w:rsidRDefault="00166DB1" w:rsidP="00166DB1">
      <w:pPr>
        <w:widowControl w:val="0"/>
        <w:spacing w:before="85" w:after="85"/>
        <w:rPr>
          <w:rFonts w:ascii="Garamond" w:eastAsia="Garamond" w:hAnsi="Garamond"/>
          <w:color w:val="000000"/>
        </w:rPr>
      </w:pPr>
      <w:r w:rsidRPr="00166DB1">
        <w:rPr>
          <w:rFonts w:ascii="Garamond" w:eastAsia="Garamond" w:hAnsi="Garamond"/>
          <w:color w:val="000000"/>
        </w:rPr>
        <w:t>We return to an examination of possible reasons for this under-spend in Chapter 6.</w:t>
      </w:r>
    </w:p>
    <w:p w14:paraId="18DB43AF" w14:textId="77777777" w:rsidR="00166DB1" w:rsidRPr="00166DB1" w:rsidRDefault="00166DB1" w:rsidP="00166DB1">
      <w:pPr>
        <w:spacing w:before="85" w:after="85"/>
        <w:rPr>
          <w:rFonts w:ascii="Garamond" w:eastAsia="Garamond" w:hAnsi="Garamond"/>
          <w:color w:val="000000"/>
        </w:rPr>
        <w:sectPr w:rsidR="00166DB1" w:rsidRPr="00166DB1" w:rsidSect="00720069">
          <w:footnotePr>
            <w:numFmt w:val="lowerRoman"/>
          </w:footnotePr>
          <w:pgSz w:w="16839" w:h="11907" w:orient="landscape" w:code="9"/>
          <w:pgMar w:top="2268" w:right="8829" w:bottom="850" w:left="737" w:header="567" w:footer="284" w:gutter="0"/>
          <w:cols w:space="709"/>
          <w:docGrid w:linePitch="360"/>
        </w:sectPr>
      </w:pPr>
    </w:p>
    <w:p w14:paraId="2EC04AB8" w14:textId="77777777" w:rsidR="00166DB1" w:rsidRPr="00166DB1" w:rsidRDefault="00166DB1" w:rsidP="00166DB1">
      <w:pPr>
        <w:spacing w:before="85" w:after="85"/>
        <w:rPr>
          <w:rFonts w:ascii="Garamond" w:eastAsia="Garamond" w:hAnsi="Garamond"/>
          <w:color w:val="000000"/>
        </w:rPr>
      </w:pPr>
    </w:p>
    <w:p w14:paraId="21FF4CE3" w14:textId="77777777" w:rsidR="00166DB1" w:rsidRPr="00166DB1" w:rsidRDefault="00166DB1" w:rsidP="00166DB1">
      <w:pPr>
        <w:spacing w:before="85" w:after="85"/>
        <w:rPr>
          <w:rFonts w:ascii="Garamond" w:eastAsia="Garamond" w:hAnsi="Garamond"/>
          <w:color w:val="000000"/>
        </w:rPr>
        <w:sectPr w:rsidR="00166DB1" w:rsidRPr="00166DB1" w:rsidSect="00720069">
          <w:footnotePr>
            <w:numFmt w:val="lowerRoman"/>
          </w:footnotePr>
          <w:type w:val="continuous"/>
          <w:pgSz w:w="16839" w:h="11907" w:orient="landscape" w:code="9"/>
          <w:pgMar w:top="2268" w:right="1304" w:bottom="850" w:left="737" w:header="567" w:footer="284" w:gutter="0"/>
          <w:cols w:num="2" w:space="709"/>
          <w:docGrid w:linePitch="360"/>
        </w:sectPr>
      </w:pPr>
    </w:p>
    <w:p w14:paraId="44BDF7FD" w14:textId="2D9F295A" w:rsidR="003826FF" w:rsidRPr="003826FF" w:rsidRDefault="003826FF" w:rsidP="00B24642">
      <w:pPr>
        <w:pStyle w:val="Heading1"/>
        <w:rPr>
          <w:lang w:val="en-US"/>
        </w:rPr>
      </w:pPr>
      <w:bookmarkStart w:id="28" w:name="_Toc523322044"/>
      <w:r w:rsidRPr="003826FF">
        <w:rPr>
          <w:lang w:val="en-US"/>
        </w:rPr>
        <w:lastRenderedPageBreak/>
        <w:t>Methodology</w:t>
      </w:r>
      <w:bookmarkEnd w:id="28"/>
    </w:p>
    <w:p w14:paraId="34B7F827" w14:textId="7899F0F6" w:rsidR="00166DB1" w:rsidRPr="00166DB1" w:rsidRDefault="00166DB1" w:rsidP="00B24642">
      <w:pPr>
        <w:pStyle w:val="Heading2"/>
      </w:pPr>
      <w:bookmarkStart w:id="29" w:name="_Toc523322045"/>
      <w:r w:rsidRPr="00166DB1">
        <w:t>Project approach and timing</w:t>
      </w:r>
      <w:bookmarkEnd w:id="29"/>
    </w:p>
    <w:p w14:paraId="10B7C3B7" w14:textId="77777777" w:rsidR="00166DB1" w:rsidRPr="00166DB1" w:rsidRDefault="00166DB1" w:rsidP="00166DB1">
      <w:pPr>
        <w:spacing w:line="240" w:lineRule="auto"/>
        <w:rPr>
          <w:rFonts w:ascii="Garamond" w:eastAsia="Garamond" w:hAnsi="Garamond"/>
          <w:color w:val="000000"/>
        </w:rPr>
      </w:pPr>
      <w:r w:rsidRPr="00166DB1">
        <w:rPr>
          <w:rFonts w:ascii="Garamond" w:eastAsia="Garamond" w:hAnsi="Garamond"/>
          <w:color w:val="000000"/>
        </w:rPr>
        <w:t xml:space="preserve">The project was conducted in seven stages from August 2016 to August 2017, as follows: </w:t>
      </w:r>
    </w:p>
    <w:p w14:paraId="74DC0B42" w14:textId="77777777" w:rsidR="00166DB1" w:rsidRPr="00A4675C" w:rsidRDefault="00166DB1" w:rsidP="009F66FB">
      <w:pPr>
        <w:pStyle w:val="ListParagraph"/>
        <w:numPr>
          <w:ilvl w:val="0"/>
          <w:numId w:val="7"/>
        </w:numPr>
        <w:tabs>
          <w:tab w:val="num" w:pos="284"/>
        </w:tabs>
        <w:spacing w:before="20" w:after="20"/>
        <w:ind w:left="284" w:hanging="284"/>
        <w:rPr>
          <w:rFonts w:ascii="Garamond" w:eastAsia="Times New Roman" w:hAnsi="Garamond"/>
          <w:color w:val="000000"/>
        </w:rPr>
      </w:pPr>
      <w:r w:rsidRPr="00A4675C">
        <w:rPr>
          <w:rFonts w:ascii="Garamond" w:eastAsia="Times New Roman" w:hAnsi="Garamond"/>
          <w:b/>
          <w:color w:val="000000"/>
        </w:rPr>
        <w:t>Stage 1: Project set-up.</w:t>
      </w:r>
      <w:r w:rsidRPr="00A4675C">
        <w:rPr>
          <w:rFonts w:ascii="Garamond" w:eastAsia="Times New Roman" w:hAnsi="Garamond"/>
          <w:color w:val="000000"/>
        </w:rPr>
        <w:t xml:space="preserve"> HMA scheduled an initial ‘kick-off’ meeting with the Department project manager to discuss and finalise the proposed methodology and key deliverable dates. </w:t>
      </w:r>
    </w:p>
    <w:p w14:paraId="38A8E3A1" w14:textId="77777777" w:rsidR="00166DB1" w:rsidRPr="00A4675C" w:rsidRDefault="00166DB1" w:rsidP="009F66FB">
      <w:pPr>
        <w:pStyle w:val="ListParagraph"/>
        <w:numPr>
          <w:ilvl w:val="0"/>
          <w:numId w:val="7"/>
        </w:numPr>
        <w:tabs>
          <w:tab w:val="num" w:pos="284"/>
        </w:tabs>
        <w:spacing w:before="20" w:after="20"/>
        <w:ind w:left="284" w:hanging="284"/>
        <w:rPr>
          <w:rFonts w:ascii="Garamond" w:eastAsia="Times New Roman" w:hAnsi="Garamond"/>
          <w:color w:val="000000"/>
        </w:rPr>
      </w:pPr>
      <w:r w:rsidRPr="00A4675C">
        <w:rPr>
          <w:rFonts w:ascii="Garamond" w:eastAsia="Times New Roman" w:hAnsi="Garamond"/>
          <w:b/>
          <w:color w:val="000000"/>
        </w:rPr>
        <w:t>Stage 2: Situation analysis.</w:t>
      </w:r>
      <w:r w:rsidRPr="00A4675C">
        <w:rPr>
          <w:rFonts w:ascii="Garamond" w:eastAsia="Times New Roman" w:hAnsi="Garamond"/>
          <w:color w:val="000000"/>
        </w:rPr>
        <w:t xml:space="preserve"> This stage involved a review of available program documentation to develop a broad understanding of program volume, value, funding and aims. </w:t>
      </w:r>
    </w:p>
    <w:p w14:paraId="42316CAF" w14:textId="77777777" w:rsidR="00166DB1" w:rsidRPr="00A4675C" w:rsidRDefault="00166DB1" w:rsidP="009F66FB">
      <w:pPr>
        <w:pStyle w:val="ListParagraph"/>
        <w:numPr>
          <w:ilvl w:val="0"/>
          <w:numId w:val="7"/>
        </w:numPr>
        <w:tabs>
          <w:tab w:val="num" w:pos="284"/>
        </w:tabs>
        <w:spacing w:before="20" w:after="20"/>
        <w:ind w:left="284" w:hanging="284"/>
        <w:rPr>
          <w:rFonts w:ascii="Garamond" w:eastAsia="Times New Roman" w:hAnsi="Garamond"/>
          <w:color w:val="000000"/>
        </w:rPr>
      </w:pPr>
      <w:r w:rsidRPr="00A4675C">
        <w:rPr>
          <w:rFonts w:ascii="Garamond" w:eastAsia="Times New Roman" w:hAnsi="Garamond"/>
          <w:b/>
          <w:color w:val="000000"/>
        </w:rPr>
        <w:t>Stage 3: PICO (Population, Intervention, Comparison, Outcome)</w:t>
      </w:r>
      <w:r w:rsidRPr="00A4675C">
        <w:rPr>
          <w:rFonts w:ascii="Garamond" w:eastAsia="Times New Roman" w:hAnsi="Garamond"/>
          <w:color w:val="000000"/>
        </w:rPr>
        <w:t xml:space="preserve"> </w:t>
      </w:r>
      <w:r w:rsidRPr="00A4675C">
        <w:rPr>
          <w:rFonts w:ascii="Garamond" w:eastAsia="Times New Roman" w:hAnsi="Garamond"/>
          <w:b/>
          <w:color w:val="000000"/>
        </w:rPr>
        <w:t>analysis.</w:t>
      </w:r>
      <w:r w:rsidRPr="00A4675C">
        <w:rPr>
          <w:rFonts w:ascii="Garamond" w:eastAsia="Times New Roman" w:hAnsi="Garamond"/>
          <w:color w:val="000000"/>
        </w:rPr>
        <w:t xml:space="preserve"> Using information obtained in previous stages and peer reviewed literature, HMA developed descriptions of each program, guided by the PICO framework. </w:t>
      </w:r>
    </w:p>
    <w:p w14:paraId="7D233D34" w14:textId="77777777" w:rsidR="00166DB1" w:rsidRPr="00A4675C" w:rsidRDefault="00166DB1" w:rsidP="009F66FB">
      <w:pPr>
        <w:pStyle w:val="ListParagraph"/>
        <w:numPr>
          <w:ilvl w:val="0"/>
          <w:numId w:val="7"/>
        </w:numPr>
        <w:tabs>
          <w:tab w:val="num" w:pos="284"/>
        </w:tabs>
        <w:spacing w:before="20" w:after="20"/>
        <w:ind w:left="284" w:hanging="284"/>
        <w:rPr>
          <w:rFonts w:ascii="Garamond" w:eastAsia="Times New Roman" w:hAnsi="Garamond"/>
          <w:color w:val="000000"/>
        </w:rPr>
      </w:pPr>
      <w:r w:rsidRPr="00A4675C">
        <w:rPr>
          <w:rFonts w:ascii="Garamond" w:eastAsia="Times New Roman" w:hAnsi="Garamond"/>
          <w:b/>
          <w:color w:val="000000"/>
        </w:rPr>
        <w:t>Stage 4: Part One – Assess relative need.</w:t>
      </w:r>
      <w:r w:rsidRPr="00A4675C">
        <w:rPr>
          <w:rFonts w:ascii="Garamond" w:eastAsia="Times New Roman" w:hAnsi="Garamond"/>
          <w:color w:val="000000"/>
        </w:rPr>
        <w:t xml:space="preserve"> This stage involved consultation with program administrators and review of comparative pharmacy and other health-related workforce program data. </w:t>
      </w:r>
    </w:p>
    <w:p w14:paraId="4BEFE69B" w14:textId="77777777" w:rsidR="00166DB1" w:rsidRPr="00A4675C" w:rsidRDefault="00166DB1" w:rsidP="009F66FB">
      <w:pPr>
        <w:pStyle w:val="ListParagraph"/>
        <w:numPr>
          <w:ilvl w:val="0"/>
          <w:numId w:val="7"/>
        </w:numPr>
        <w:tabs>
          <w:tab w:val="num" w:pos="284"/>
        </w:tabs>
        <w:spacing w:before="20" w:after="20"/>
        <w:ind w:left="284" w:hanging="284"/>
        <w:rPr>
          <w:rFonts w:ascii="Garamond" w:eastAsia="Times New Roman" w:hAnsi="Garamond"/>
          <w:b/>
          <w:color w:val="000000"/>
        </w:rPr>
      </w:pPr>
      <w:r w:rsidRPr="00A4675C">
        <w:rPr>
          <w:rFonts w:ascii="Garamond" w:eastAsia="Times New Roman" w:hAnsi="Garamond"/>
          <w:b/>
          <w:color w:val="000000"/>
        </w:rPr>
        <w:t xml:space="preserve">Stage 5: Part Two – Assess outcomes and evaluate. </w:t>
      </w:r>
      <w:r w:rsidRPr="00A4675C">
        <w:rPr>
          <w:rFonts w:ascii="Garamond" w:eastAsia="Times New Roman" w:hAnsi="Garamond"/>
          <w:color w:val="000000"/>
        </w:rPr>
        <w:t xml:space="preserve">This stage involved identification and analysis of current data and evidence for each program, and consultation with peak bodies, relevant stakeholders and recipients and beneficiaries of the programs. </w:t>
      </w:r>
    </w:p>
    <w:p w14:paraId="4D6EA5BE" w14:textId="77777777" w:rsidR="00166DB1" w:rsidRPr="00A4675C" w:rsidRDefault="00166DB1" w:rsidP="009F66FB">
      <w:pPr>
        <w:pStyle w:val="ListParagraph"/>
        <w:numPr>
          <w:ilvl w:val="0"/>
          <w:numId w:val="7"/>
        </w:numPr>
        <w:tabs>
          <w:tab w:val="num" w:pos="284"/>
        </w:tabs>
        <w:spacing w:before="20" w:after="20"/>
        <w:ind w:left="284" w:hanging="284"/>
        <w:rPr>
          <w:rFonts w:ascii="Garamond" w:eastAsia="Times New Roman" w:hAnsi="Garamond"/>
          <w:b/>
          <w:color w:val="000000"/>
        </w:rPr>
      </w:pPr>
      <w:r w:rsidRPr="00A4675C">
        <w:rPr>
          <w:rFonts w:ascii="Garamond" w:eastAsia="Times New Roman" w:hAnsi="Garamond"/>
          <w:b/>
          <w:color w:val="000000"/>
        </w:rPr>
        <w:t xml:space="preserve">Stage 6: Evidence synthesis. </w:t>
      </w:r>
      <w:r w:rsidRPr="00A4675C">
        <w:rPr>
          <w:rFonts w:ascii="Garamond" w:eastAsia="Times New Roman" w:hAnsi="Garamond"/>
          <w:color w:val="000000"/>
        </w:rPr>
        <w:t>Using a data triangulation methodology, HMA prepared an analysis assessing the appropriateness, effectiveness and efficiency of each program.</w:t>
      </w:r>
      <w:r w:rsidRPr="00A4675C">
        <w:rPr>
          <w:rFonts w:ascii="Garamond" w:eastAsia="Times New Roman" w:hAnsi="Garamond"/>
          <w:b/>
          <w:color w:val="000000"/>
        </w:rPr>
        <w:t xml:space="preserve"> </w:t>
      </w:r>
    </w:p>
    <w:p w14:paraId="28D95745" w14:textId="77777777" w:rsidR="00166DB1" w:rsidRPr="00A4675C" w:rsidRDefault="00166DB1" w:rsidP="009F66FB">
      <w:pPr>
        <w:pStyle w:val="ListParagraph"/>
        <w:numPr>
          <w:ilvl w:val="0"/>
          <w:numId w:val="7"/>
        </w:numPr>
        <w:tabs>
          <w:tab w:val="num" w:pos="284"/>
        </w:tabs>
        <w:spacing w:before="20" w:after="20"/>
        <w:ind w:left="284" w:hanging="284"/>
        <w:rPr>
          <w:rFonts w:ascii="Garamond" w:eastAsia="Times New Roman" w:hAnsi="Garamond"/>
          <w:color w:val="000000"/>
        </w:rPr>
      </w:pPr>
      <w:r w:rsidRPr="00A4675C">
        <w:rPr>
          <w:rFonts w:ascii="Garamond" w:eastAsia="Times New Roman" w:hAnsi="Garamond"/>
          <w:b/>
          <w:color w:val="000000"/>
        </w:rPr>
        <w:t>Stage 7: Final report preparation.</w:t>
      </w:r>
      <w:r w:rsidRPr="00A4675C">
        <w:rPr>
          <w:rFonts w:ascii="Garamond" w:eastAsia="Times New Roman" w:hAnsi="Garamond"/>
          <w:color w:val="000000"/>
        </w:rPr>
        <w:t xml:space="preserve"> HMA prepared a final report (this document) summarising the evidence and the review findings and incorporating feedback from the Department.</w:t>
      </w:r>
    </w:p>
    <w:p w14:paraId="34F5C576" w14:textId="1EB8C318" w:rsidR="00166DB1" w:rsidRPr="00166DB1" w:rsidRDefault="00166DB1" w:rsidP="00B24642">
      <w:pPr>
        <w:pStyle w:val="Heading2"/>
      </w:pPr>
      <w:bookmarkStart w:id="30" w:name="_Toc523322046"/>
      <w:r w:rsidRPr="00166DB1">
        <w:t>Data Collection methods</w:t>
      </w:r>
      <w:bookmarkEnd w:id="30"/>
    </w:p>
    <w:p w14:paraId="53A52013" w14:textId="77777777" w:rsidR="00166DB1" w:rsidRPr="00166DB1" w:rsidRDefault="00166DB1" w:rsidP="00166DB1">
      <w:pPr>
        <w:keepNext/>
        <w:keepLines/>
        <w:spacing w:before="85" w:after="85"/>
        <w:rPr>
          <w:rFonts w:ascii="Garamond" w:eastAsia="Garamond" w:hAnsi="Garamond"/>
          <w:color w:val="000000"/>
        </w:rPr>
      </w:pPr>
      <w:r w:rsidRPr="00166DB1">
        <w:rPr>
          <w:rFonts w:ascii="Garamond" w:eastAsia="Garamond" w:hAnsi="Garamond"/>
          <w:color w:val="000000"/>
        </w:rPr>
        <w:t>Data collection for the evaluation was informed by a needs assessment framework, in line with the requirements of the project brief, which said he consultant must</w:t>
      </w:r>
    </w:p>
    <w:p w14:paraId="00CC5B70" w14:textId="77777777" w:rsidR="00166DB1" w:rsidRPr="00166DB1" w:rsidRDefault="00166DB1" w:rsidP="00166DB1">
      <w:pPr>
        <w:spacing w:before="85" w:after="85"/>
        <w:ind w:left="284" w:right="284"/>
        <w:rPr>
          <w:rFonts w:ascii="Times New Roman" w:eastAsia="Garamond" w:hAnsi="Times New Roman"/>
          <w:i/>
          <w:iCs/>
          <w:color w:val="000000"/>
          <w:sz w:val="20"/>
        </w:rPr>
      </w:pPr>
      <w:r w:rsidRPr="00166DB1">
        <w:rPr>
          <w:rFonts w:ascii="Times New Roman" w:eastAsia="Garamond" w:hAnsi="Times New Roman"/>
          <w:i/>
          <w:iCs/>
          <w:color w:val="000000"/>
          <w:sz w:val="20"/>
        </w:rPr>
        <w:t>‘investigate the relative need for the programs to target the current program outcomes, including determining the level of relative need for the program when compared to similar programs for other health workforces; and determining the level of relative need for the program when compared to the pharmacy workforce as it currently stands.’</w:t>
      </w:r>
    </w:p>
    <w:p w14:paraId="3ADC85B2" w14:textId="77777777" w:rsidR="00166DB1" w:rsidRPr="00166DB1" w:rsidRDefault="00166DB1" w:rsidP="00166DB1">
      <w:pPr>
        <w:spacing w:before="85"/>
        <w:rPr>
          <w:rFonts w:ascii="Garamond" w:eastAsia="Garamond" w:hAnsi="Garamond"/>
          <w:color w:val="000000"/>
        </w:rPr>
      </w:pPr>
      <w:r w:rsidRPr="00166DB1">
        <w:rPr>
          <w:rFonts w:ascii="Garamond" w:eastAsia="Garamond" w:hAnsi="Garamond"/>
          <w:color w:val="000000"/>
        </w:rPr>
        <w:t xml:space="preserve">Based on this approach, data was collected to inform the assessment of five dimensions of need, illustrated in </w:t>
      </w:r>
      <w:r w:rsidRPr="00166DB1">
        <w:rPr>
          <w:rFonts w:ascii="Garamond" w:eastAsia="Garamond" w:hAnsi="Garamond"/>
          <w:color w:val="000000"/>
        </w:rPr>
        <w:fldChar w:fldCharType="begin"/>
      </w:r>
      <w:r w:rsidRPr="00166DB1">
        <w:rPr>
          <w:rFonts w:ascii="Garamond" w:eastAsia="Garamond" w:hAnsi="Garamond"/>
          <w:color w:val="000000"/>
        </w:rPr>
        <w:instrText xml:space="preserve"> REF _Ref488223935 \h  \* MERGEFORMAT </w:instrText>
      </w:r>
      <w:r w:rsidRPr="00166DB1">
        <w:rPr>
          <w:rFonts w:ascii="Garamond" w:eastAsia="Garamond" w:hAnsi="Garamond"/>
          <w:color w:val="000000"/>
        </w:rPr>
      </w:r>
      <w:r w:rsidRPr="00166DB1">
        <w:rPr>
          <w:rFonts w:ascii="Garamond" w:eastAsia="Garamond" w:hAnsi="Garamond"/>
          <w:color w:val="000000"/>
        </w:rPr>
        <w:fldChar w:fldCharType="separate"/>
      </w:r>
      <w:r w:rsidRPr="00166DB1">
        <w:rPr>
          <w:rFonts w:ascii="Garamond" w:eastAsia="Garamond" w:hAnsi="Garamond"/>
          <w:color w:val="000000"/>
        </w:rPr>
        <w:t xml:space="preserve">Figure </w:t>
      </w:r>
      <w:r w:rsidRPr="00166DB1">
        <w:rPr>
          <w:rFonts w:ascii="Garamond" w:eastAsia="Garamond" w:hAnsi="Garamond"/>
          <w:noProof/>
          <w:color w:val="000000"/>
        </w:rPr>
        <w:t>3.1</w:t>
      </w:r>
      <w:r w:rsidRPr="00166DB1">
        <w:rPr>
          <w:rFonts w:ascii="Garamond" w:eastAsia="Garamond" w:hAnsi="Garamond"/>
          <w:color w:val="000000"/>
        </w:rPr>
        <w:fldChar w:fldCharType="end"/>
      </w:r>
      <w:r w:rsidRPr="00166DB1">
        <w:rPr>
          <w:rFonts w:ascii="Garamond" w:eastAsia="Garamond" w:hAnsi="Garamond"/>
          <w:color w:val="000000"/>
        </w:rPr>
        <w:t>.</w:t>
      </w:r>
    </w:p>
    <w:p w14:paraId="3901C55F" w14:textId="77777777" w:rsidR="00166DB1" w:rsidRPr="00166DB1" w:rsidRDefault="00166DB1" w:rsidP="00483C21">
      <w:pPr>
        <w:pStyle w:val="Caption"/>
      </w:pPr>
      <w:bookmarkStart w:id="31" w:name="_Ref488223935"/>
      <w:r w:rsidRPr="00166DB1">
        <w:t xml:space="preserve">Figure </w:t>
      </w:r>
      <w:r w:rsidRPr="00166DB1">
        <w:rPr>
          <w:noProof/>
        </w:rPr>
        <w:fldChar w:fldCharType="begin"/>
      </w:r>
      <w:r w:rsidRPr="00166DB1">
        <w:rPr>
          <w:noProof/>
        </w:rPr>
        <w:instrText xml:space="preserve"> STYLEREF 1 \s </w:instrText>
      </w:r>
      <w:r w:rsidRPr="00166DB1">
        <w:rPr>
          <w:noProof/>
        </w:rPr>
        <w:fldChar w:fldCharType="separate"/>
      </w:r>
      <w:r w:rsidRPr="00166DB1">
        <w:rPr>
          <w:noProof/>
        </w:rPr>
        <w:t>3</w:t>
      </w:r>
      <w:r w:rsidRPr="00166DB1">
        <w:rPr>
          <w:noProof/>
        </w:rPr>
        <w:fldChar w:fldCharType="end"/>
      </w:r>
      <w:r w:rsidRPr="00166DB1">
        <w:t>.</w:t>
      </w:r>
      <w:r w:rsidRPr="00166DB1">
        <w:rPr>
          <w:noProof/>
        </w:rPr>
        <w:fldChar w:fldCharType="begin"/>
      </w:r>
      <w:r w:rsidRPr="00166DB1">
        <w:rPr>
          <w:noProof/>
        </w:rPr>
        <w:instrText xml:space="preserve"> SEQ Figure \* ARABIC \s 1 </w:instrText>
      </w:r>
      <w:r w:rsidRPr="00166DB1">
        <w:rPr>
          <w:noProof/>
        </w:rPr>
        <w:fldChar w:fldCharType="separate"/>
      </w:r>
      <w:r w:rsidRPr="00166DB1">
        <w:rPr>
          <w:noProof/>
        </w:rPr>
        <w:t>1</w:t>
      </w:r>
      <w:r w:rsidRPr="00166DB1">
        <w:rPr>
          <w:noProof/>
        </w:rPr>
        <w:fldChar w:fldCharType="end"/>
      </w:r>
      <w:bookmarkEnd w:id="31"/>
      <w:r w:rsidRPr="00166DB1">
        <w:t xml:space="preserve">: Five dimensions of health need </w:t>
      </w:r>
    </w:p>
    <w:p w14:paraId="13FDAC4D" w14:textId="77777777" w:rsidR="00166DB1" w:rsidRPr="00166DB1" w:rsidRDefault="00166DB1" w:rsidP="00166DB1">
      <w:pPr>
        <w:spacing w:before="85" w:after="85"/>
        <w:jc w:val="center"/>
        <w:rPr>
          <w:rFonts w:ascii="Garamond" w:eastAsia="Garamond" w:hAnsi="Garamond"/>
          <w:color w:val="000000"/>
        </w:rPr>
      </w:pPr>
      <w:r w:rsidRPr="00166DB1">
        <w:rPr>
          <w:rFonts w:ascii="Garamond" w:eastAsia="Garamond" w:hAnsi="Garamond"/>
          <w:noProof/>
          <w:color w:val="000000"/>
          <w:lang w:eastAsia="en-AU"/>
        </w:rPr>
        <w:drawing>
          <wp:inline distT="0" distB="0" distL="0" distR="0" wp14:anchorId="00173B4F" wp14:editId="164AF91A">
            <wp:extent cx="2250831" cy="2356339"/>
            <wp:effectExtent l="0" t="0" r="0" b="6350"/>
            <wp:docPr id="83" name="Picture 83" descr="Hexagonal diagram of five dimensions of health need: Comparative Need, Peer-reviewed Literature, Normative Perspectives, Expressed Demand, Felt Demand."/>
            <wp:cNvGraphicFramePr/>
            <a:graphic xmlns:a="http://schemas.openxmlformats.org/drawingml/2006/main">
              <a:graphicData uri="http://schemas.openxmlformats.org/drawingml/2006/picture">
                <pic:pic xmlns:pic="http://schemas.openxmlformats.org/drawingml/2006/picture">
                  <pic:nvPicPr>
                    <pic:cNvPr id="83" name="Picture 83"/>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293658" cy="2401173"/>
                    </a:xfrm>
                    <a:prstGeom prst="rect">
                      <a:avLst/>
                    </a:prstGeom>
                  </pic:spPr>
                </pic:pic>
              </a:graphicData>
            </a:graphic>
          </wp:inline>
        </w:drawing>
      </w:r>
    </w:p>
    <w:p w14:paraId="05C7B0D6"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The assessment of needs was informed by the following data collection techniques:</w:t>
      </w:r>
    </w:p>
    <w:p w14:paraId="58D7B152" w14:textId="77777777" w:rsidR="00166DB1" w:rsidRPr="00A4675C" w:rsidRDefault="00166DB1" w:rsidP="009F66FB">
      <w:pPr>
        <w:pStyle w:val="Numbers1"/>
        <w:numPr>
          <w:ilvl w:val="0"/>
          <w:numId w:val="8"/>
        </w:numPr>
      </w:pPr>
      <w:r w:rsidRPr="00A4675C">
        <w:rPr>
          <w:b/>
        </w:rPr>
        <w:t>Peer-reviewed literature on similar programs (to guide assessment of epidemiological need)</w:t>
      </w:r>
      <w:r w:rsidRPr="00A4675C">
        <w:t xml:space="preserve">: we conducted a rapid literature search of Google Scholar and PubMed, and academic journals including the </w:t>
      </w:r>
      <w:r w:rsidRPr="00A4675C">
        <w:rPr>
          <w:i/>
        </w:rPr>
        <w:t>Australian Journal of Rural Health</w:t>
      </w:r>
      <w:r w:rsidRPr="00A4675C">
        <w:t xml:space="preserve"> and </w:t>
      </w:r>
      <w:r w:rsidRPr="00A4675C">
        <w:rPr>
          <w:i/>
        </w:rPr>
        <w:t>Rural and Remote Health</w:t>
      </w:r>
      <w:r w:rsidRPr="00A4675C">
        <w:t>. The literature search included non-</w:t>
      </w:r>
      <w:r w:rsidRPr="00A4675C">
        <w:lastRenderedPageBreak/>
        <w:t xml:space="preserve">peer reviewed literature and grey literature (e.g. government reports) where appropriate. The literature was incorporated into the PICO descriptions of each program. </w:t>
      </w:r>
    </w:p>
    <w:p w14:paraId="65BA7DBD" w14:textId="77777777" w:rsidR="00166DB1" w:rsidRPr="00166DB1" w:rsidRDefault="00166DB1" w:rsidP="00A4675C">
      <w:pPr>
        <w:pStyle w:val="Numbers1"/>
      </w:pPr>
      <w:r w:rsidRPr="00166DB1">
        <w:rPr>
          <w:b/>
        </w:rPr>
        <w:t>Expressed demand</w:t>
      </w:r>
      <w:r w:rsidRPr="00166DB1">
        <w:t xml:space="preserve">: data was collected on program activity levels and expenditure. Unit costs were derived from program data provided by The Guild. This included, program participation reports and spreadsheets and audited financial statements. This analysis was included in the unit cost paper and the relative needs assessment undertaken for Part One of the project methodology. </w:t>
      </w:r>
    </w:p>
    <w:p w14:paraId="3E76AB87" w14:textId="77777777" w:rsidR="00166DB1" w:rsidRPr="00166DB1" w:rsidRDefault="00166DB1" w:rsidP="00A4675C">
      <w:pPr>
        <w:pStyle w:val="Numbers1"/>
      </w:pPr>
      <w:r w:rsidRPr="00166DB1">
        <w:rPr>
          <w:b/>
        </w:rPr>
        <w:t>Comparative need</w:t>
      </w:r>
      <w:r w:rsidRPr="00166DB1">
        <w:t xml:space="preserve">: workforce and population data was collected and analysed to reveal trends in rural pharmacy workforce compared to other professional disciplines. Workforce data was provided by the Pharmacy Board of Australia and the Department of Health Workforce Reform Branch. Population data was derived from the Australian Bureau of Statistics (ABS). This analysis was included in the relative needs assessment undertaken for Part One of the project methodology. </w:t>
      </w:r>
    </w:p>
    <w:p w14:paraId="699F3B26" w14:textId="77777777" w:rsidR="00166DB1" w:rsidRPr="00166DB1" w:rsidRDefault="00166DB1" w:rsidP="00A4675C">
      <w:pPr>
        <w:pStyle w:val="Numbers1"/>
      </w:pPr>
      <w:r w:rsidRPr="00166DB1">
        <w:rPr>
          <w:b/>
        </w:rPr>
        <w:t>Normative perspectives</w:t>
      </w:r>
      <w:r w:rsidRPr="00166DB1">
        <w:t>: program administrators and key peak body stakeholders were consulted to identify the need for the programs, their benefit and potential implementation issues. Consultations were undertaken with representatives of the following organisations:</w:t>
      </w:r>
    </w:p>
    <w:p w14:paraId="1CAD0A3B" w14:textId="77777777" w:rsidR="00166DB1" w:rsidRPr="00166DB1" w:rsidRDefault="00166DB1" w:rsidP="00166DB1">
      <w:pPr>
        <w:numPr>
          <w:ilvl w:val="1"/>
          <w:numId w:val="0"/>
        </w:numPr>
        <w:spacing w:before="20" w:after="20"/>
        <w:ind w:left="765" w:hanging="311"/>
        <w:rPr>
          <w:rFonts w:ascii="Garamond" w:eastAsia="Times New Roman" w:hAnsi="Garamond"/>
          <w:color w:val="000000"/>
        </w:rPr>
      </w:pPr>
      <w:r w:rsidRPr="00166DB1">
        <w:rPr>
          <w:rFonts w:ascii="Garamond" w:eastAsia="Times New Roman" w:hAnsi="Garamond"/>
          <w:color w:val="000000"/>
        </w:rPr>
        <w:t>Australian Association of Consultant Pharmacists (AACP)</w:t>
      </w:r>
    </w:p>
    <w:p w14:paraId="356E42B7" w14:textId="77777777" w:rsidR="00166DB1" w:rsidRPr="00166DB1" w:rsidRDefault="00166DB1" w:rsidP="00166DB1">
      <w:pPr>
        <w:numPr>
          <w:ilvl w:val="1"/>
          <w:numId w:val="0"/>
        </w:numPr>
        <w:spacing w:before="20" w:after="20"/>
        <w:ind w:left="765" w:hanging="311"/>
        <w:rPr>
          <w:rFonts w:ascii="Garamond" w:eastAsia="Times New Roman" w:hAnsi="Garamond"/>
          <w:color w:val="000000"/>
        </w:rPr>
      </w:pPr>
      <w:r w:rsidRPr="00166DB1">
        <w:rPr>
          <w:rFonts w:ascii="Garamond" w:eastAsia="Times New Roman" w:hAnsi="Garamond"/>
          <w:color w:val="000000"/>
        </w:rPr>
        <w:t>National Aboriginal Community Controlled Health Organisation (NACCHO)</w:t>
      </w:r>
    </w:p>
    <w:p w14:paraId="620232AE" w14:textId="77777777" w:rsidR="00166DB1" w:rsidRPr="00166DB1" w:rsidRDefault="00166DB1" w:rsidP="00166DB1">
      <w:pPr>
        <w:numPr>
          <w:ilvl w:val="1"/>
          <w:numId w:val="0"/>
        </w:numPr>
        <w:spacing w:before="20" w:after="20"/>
        <w:ind w:left="765" w:hanging="311"/>
        <w:rPr>
          <w:rFonts w:ascii="Garamond" w:eastAsia="Times New Roman" w:hAnsi="Garamond"/>
          <w:color w:val="000000"/>
        </w:rPr>
      </w:pPr>
      <w:r w:rsidRPr="00166DB1">
        <w:rPr>
          <w:rFonts w:ascii="Garamond" w:eastAsia="Times New Roman" w:hAnsi="Garamond"/>
          <w:color w:val="000000"/>
        </w:rPr>
        <w:t>Australian Rural Health Education Network (ARHEN)</w:t>
      </w:r>
    </w:p>
    <w:p w14:paraId="095F3300" w14:textId="77777777" w:rsidR="00166DB1" w:rsidRPr="00166DB1" w:rsidRDefault="00166DB1" w:rsidP="00166DB1">
      <w:pPr>
        <w:numPr>
          <w:ilvl w:val="1"/>
          <w:numId w:val="0"/>
        </w:numPr>
        <w:spacing w:before="20" w:after="20"/>
        <w:ind w:left="765" w:hanging="311"/>
        <w:rPr>
          <w:rFonts w:ascii="Garamond" w:eastAsia="Times New Roman" w:hAnsi="Garamond"/>
          <w:color w:val="000000"/>
        </w:rPr>
      </w:pPr>
      <w:r w:rsidRPr="00166DB1">
        <w:rPr>
          <w:rFonts w:ascii="Garamond" w:eastAsia="Times New Roman" w:hAnsi="Garamond"/>
          <w:color w:val="000000"/>
        </w:rPr>
        <w:t>The Pharmacy Guild of Australia (The Guild)</w:t>
      </w:r>
    </w:p>
    <w:p w14:paraId="24344F28" w14:textId="77777777" w:rsidR="00166DB1" w:rsidRPr="00166DB1" w:rsidRDefault="00166DB1" w:rsidP="00166DB1">
      <w:pPr>
        <w:numPr>
          <w:ilvl w:val="1"/>
          <w:numId w:val="0"/>
        </w:numPr>
        <w:spacing w:before="20" w:after="20"/>
        <w:ind w:left="765" w:hanging="311"/>
        <w:rPr>
          <w:rFonts w:ascii="Garamond" w:eastAsia="Times New Roman" w:hAnsi="Garamond"/>
          <w:color w:val="000000"/>
        </w:rPr>
      </w:pPr>
      <w:r w:rsidRPr="00166DB1">
        <w:rPr>
          <w:rFonts w:ascii="Garamond" w:eastAsia="Times New Roman" w:hAnsi="Garamond"/>
          <w:color w:val="000000"/>
        </w:rPr>
        <w:t>Pharmaceutical Society of Australia (PSA)</w:t>
      </w:r>
    </w:p>
    <w:p w14:paraId="05CD884D" w14:textId="77777777" w:rsidR="00166DB1" w:rsidRPr="00166DB1" w:rsidRDefault="00166DB1" w:rsidP="00166DB1">
      <w:pPr>
        <w:numPr>
          <w:ilvl w:val="1"/>
          <w:numId w:val="0"/>
        </w:numPr>
        <w:spacing w:before="20" w:after="20"/>
        <w:ind w:left="765" w:hanging="311"/>
        <w:rPr>
          <w:rFonts w:ascii="Garamond" w:eastAsia="Times New Roman" w:hAnsi="Garamond"/>
          <w:color w:val="000000"/>
        </w:rPr>
      </w:pPr>
      <w:r w:rsidRPr="00166DB1">
        <w:rPr>
          <w:rFonts w:ascii="Garamond" w:eastAsia="Times New Roman" w:hAnsi="Garamond"/>
          <w:color w:val="000000"/>
        </w:rPr>
        <w:t>Consumers Health Forum of Australia (CHF), and</w:t>
      </w:r>
    </w:p>
    <w:p w14:paraId="38F2B27D" w14:textId="77777777" w:rsidR="00166DB1" w:rsidRPr="00166DB1" w:rsidRDefault="00166DB1" w:rsidP="00166DB1">
      <w:pPr>
        <w:numPr>
          <w:ilvl w:val="1"/>
          <w:numId w:val="0"/>
        </w:numPr>
        <w:spacing w:before="20" w:after="20"/>
        <w:ind w:left="765" w:hanging="311"/>
        <w:rPr>
          <w:rFonts w:ascii="Garamond" w:eastAsia="Times New Roman" w:hAnsi="Garamond"/>
          <w:color w:val="000000"/>
        </w:rPr>
      </w:pPr>
      <w:r w:rsidRPr="00166DB1">
        <w:rPr>
          <w:rFonts w:ascii="Garamond" w:eastAsia="Times New Roman" w:hAnsi="Garamond"/>
          <w:color w:val="000000"/>
        </w:rPr>
        <w:t>Society of Hospital Pharmacists of Australia (SHPA).</w:t>
      </w:r>
    </w:p>
    <w:p w14:paraId="51B627F2" w14:textId="77777777" w:rsidR="00166DB1" w:rsidRPr="00166DB1" w:rsidRDefault="00166DB1" w:rsidP="00A4675C">
      <w:pPr>
        <w:pStyle w:val="Numbers1"/>
      </w:pPr>
      <w:r w:rsidRPr="00166DB1">
        <w:rPr>
          <w:b/>
        </w:rPr>
        <w:t>Felt demand</w:t>
      </w:r>
      <w:r w:rsidRPr="00166DB1">
        <w:t xml:space="preserve">: recipients and intended beneficiaries of select programs were consulted through face-to-face site visits to UDRHs and web-based surveys. Both consultation activities sought feedback from pharmacy students, scholarship holders, interns, pharmacists practising in rural areas, university support staff and Rural Pharmacy Liaison Officers (RPLOs). </w:t>
      </w:r>
    </w:p>
    <w:p w14:paraId="54275424"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More information on the deliverables produced during the project are included in the </w:t>
      </w:r>
      <w:r w:rsidRPr="00166DB1">
        <w:rPr>
          <w:rFonts w:ascii="Garamond" w:eastAsia="Garamond" w:hAnsi="Garamond"/>
          <w:i/>
          <w:color w:val="000000"/>
        </w:rPr>
        <w:t>Technical Paper.</w:t>
      </w:r>
      <w:r w:rsidRPr="00166DB1">
        <w:rPr>
          <w:rFonts w:ascii="Garamond" w:eastAsia="Garamond" w:hAnsi="Garamond"/>
          <w:color w:val="000000"/>
        </w:rPr>
        <w:t xml:space="preserve"> </w:t>
      </w:r>
    </w:p>
    <w:p w14:paraId="03D3D222" w14:textId="73013062" w:rsidR="00166DB1" w:rsidRPr="00166DB1" w:rsidRDefault="00166DB1" w:rsidP="00B24642">
      <w:pPr>
        <w:pStyle w:val="Heading3"/>
      </w:pPr>
      <w:bookmarkStart w:id="32" w:name="_Toc523322047"/>
      <w:r w:rsidRPr="00166DB1">
        <w:t>Data limitations</w:t>
      </w:r>
      <w:bookmarkEnd w:id="32"/>
    </w:p>
    <w:p w14:paraId="703108CA"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Several issues were encountered during data collection and analysis around data availability, completeness and transparency. </w:t>
      </w:r>
    </w:p>
    <w:p w14:paraId="242B0E31" w14:textId="77777777" w:rsidR="00166DB1" w:rsidRPr="00166DB1" w:rsidRDefault="00166DB1" w:rsidP="00B24642">
      <w:pPr>
        <w:pStyle w:val="Heading3"/>
      </w:pPr>
      <w:bookmarkStart w:id="33" w:name="_Toc523322048"/>
      <w:r w:rsidRPr="00166DB1">
        <w:t>Audited statements: limitations</w:t>
      </w:r>
      <w:bookmarkEnd w:id="33"/>
    </w:p>
    <w:p w14:paraId="22CC3B5B"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Analysis of available program data and expenditure provided by The Guild revealed variations in program participation rates, allocated budget and expenditure each year. However, program data did not provide any information on program-level changes such as changes to program eligibility or funding which may account for annual variations. Furthermore, it was not clear from previous Agreements how the Package budgets were divided between the 12 individual programs. </w:t>
      </w:r>
    </w:p>
    <w:p w14:paraId="100DC576"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Individual program data including program participation, expenditure and budget was provided by The Guild. However, there were significant gaps in the data provided. For example, audited statements for each program were only available for the 2013–14 and 2014–15 financial years. These gaps limited the analyses and conclusions that could be drawn, particularly from an efficiency perspective. </w:t>
      </w:r>
    </w:p>
    <w:p w14:paraId="7B5D0A91" w14:textId="77777777" w:rsidR="00166DB1" w:rsidRPr="00166DB1" w:rsidRDefault="00166DB1" w:rsidP="00B24642">
      <w:pPr>
        <w:pStyle w:val="Heading3"/>
      </w:pPr>
      <w:bookmarkStart w:id="34" w:name="_Toc523322049"/>
      <w:r w:rsidRPr="00166DB1">
        <w:t>Workforce data: lack of historical trendline data</w:t>
      </w:r>
      <w:bookmarkEnd w:id="34"/>
    </w:p>
    <w:p w14:paraId="3B6B608D"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Pharmacy workforce data from the Department of Health Workforce Reform Branch was only available for the 2013–2015 period due to a change in the data collection format in 2012. The limited data meant it was not possible to track the impact of workforce programs over a long timeframe; ideally this would have been possible over the term of the Pharmacy Workforce Programs’ operations, from commencement of the 3CPA to the conclusion of the 5CPA.</w:t>
      </w:r>
    </w:p>
    <w:p w14:paraId="2163CF13" w14:textId="77777777" w:rsidR="00166DB1" w:rsidRPr="00166DB1" w:rsidRDefault="00166DB1" w:rsidP="00B24642">
      <w:pPr>
        <w:pStyle w:val="Heading3"/>
      </w:pPr>
      <w:bookmarkStart w:id="35" w:name="_Toc523322050"/>
      <w:r w:rsidRPr="00166DB1">
        <w:lastRenderedPageBreak/>
        <w:t>Calculation of program unit costs: limitations in determining the overhead component</w:t>
      </w:r>
      <w:bookmarkEnd w:id="35"/>
    </w:p>
    <w:p w14:paraId="0D0BDB2E"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The Guild budget allocated for administering the programs was pooled for both the Rural Pharmacy Workforce Programs and the Aboriginal and Torres Strait Islander Pharmacy Workforce Programs. It was not clear from this data what proportion of administration overhead costs were allocated to each individual program. In lieu of undertaking a detailed management accounting survey, HMA (with support from The Guild officials) allocated a proportion of the administration overhead budget pool to each program using program activity volumes as a proxy for administrative effort involved in each program. The direct costs of program service delivery were clear from the audited statements, but these methodological limitations for calculating overheads at a program level (around 10% of the overall program costs) meant the overheads were less definitive at an individual program level.</w:t>
      </w:r>
    </w:p>
    <w:p w14:paraId="1AE42DEF" w14:textId="77777777" w:rsidR="00166DB1" w:rsidRPr="00166DB1" w:rsidRDefault="00166DB1" w:rsidP="00B24642">
      <w:pPr>
        <w:pStyle w:val="Heading3"/>
      </w:pPr>
      <w:bookmarkStart w:id="36" w:name="_Toc523322051"/>
      <w:r w:rsidRPr="00166DB1">
        <w:t>Comparison of FTE across geographic areas</w:t>
      </w:r>
      <w:bookmarkEnd w:id="36"/>
    </w:p>
    <w:p w14:paraId="3EC2E278"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In the analysis that follows we make extensive use of rates of pharmacist full-time equivalent amounts (FTEs) by population level. These rates must be interpreted cautiously when comparing pharmacist FTE availability across different geographic categories. The availability of other pharmacy programs designed to increase access to PBS medicines in remote areas (S100 and QUMAX programs) partially offsets the need for FTE to be physically located in remote locations.</w:t>
      </w:r>
    </w:p>
    <w:p w14:paraId="5576FBB8"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Acknowledging these limitations, important observations can still be made regarding the underlying need for Pharmacy Workforce Programs to address community pharmacist availability outside major cities.</w:t>
      </w:r>
    </w:p>
    <w:p w14:paraId="50A3B1C9" w14:textId="77777777" w:rsidR="00166DB1" w:rsidRPr="00166DB1" w:rsidRDefault="00166DB1" w:rsidP="00166DB1">
      <w:pPr>
        <w:spacing w:before="85" w:after="85"/>
        <w:rPr>
          <w:rFonts w:ascii="Garamond" w:eastAsia="Garamond" w:hAnsi="Garamond"/>
          <w:color w:val="000000"/>
        </w:rPr>
        <w:sectPr w:rsidR="00166DB1" w:rsidRPr="00166DB1" w:rsidSect="00D62D23">
          <w:headerReference w:type="default" r:id="rId27"/>
          <w:type w:val="continuous"/>
          <w:pgSz w:w="16839" w:h="11907" w:orient="landscape" w:code="9"/>
          <w:pgMar w:top="2268" w:right="1304" w:bottom="850" w:left="737" w:header="567" w:footer="284" w:gutter="0"/>
          <w:cols w:num="2" w:space="709"/>
          <w:titlePg/>
          <w:docGrid w:linePitch="360"/>
        </w:sectPr>
      </w:pPr>
    </w:p>
    <w:p w14:paraId="68D6A457" w14:textId="77777777" w:rsidR="00A4675C" w:rsidRPr="00C61DC7" w:rsidRDefault="00A4675C" w:rsidP="00EA1B6E">
      <w:pPr>
        <w:pStyle w:val="SectionPageTitle"/>
        <w:numPr>
          <w:ilvl w:val="0"/>
          <w:numId w:val="0"/>
        </w:numPr>
        <w:ind w:left="7513" w:hanging="7513"/>
        <w:rPr>
          <w:lang w:val="en-US"/>
        </w:rPr>
      </w:pPr>
      <w:bookmarkStart w:id="37" w:name="_Toc523322052"/>
      <w:r>
        <w:lastRenderedPageBreak/>
        <w:t>PART B – FINDINGS</w:t>
      </w:r>
      <w:bookmarkEnd w:id="37"/>
    </w:p>
    <w:p w14:paraId="58F0B36A" w14:textId="77777777" w:rsidR="00166DB1" w:rsidRPr="00166DB1" w:rsidRDefault="00166DB1" w:rsidP="00166DB1">
      <w:pPr>
        <w:spacing w:before="85" w:after="85"/>
        <w:rPr>
          <w:rFonts w:ascii="Garamond" w:eastAsia="Garamond" w:hAnsi="Garamond"/>
          <w:color w:val="000000"/>
        </w:rPr>
      </w:pPr>
    </w:p>
    <w:p w14:paraId="251FD9E7" w14:textId="77777777" w:rsidR="00166DB1" w:rsidRPr="00166DB1" w:rsidRDefault="00166DB1" w:rsidP="00166DB1">
      <w:pPr>
        <w:spacing w:before="85" w:after="85"/>
        <w:rPr>
          <w:rFonts w:ascii="Garamond" w:eastAsia="Garamond" w:hAnsi="Garamond"/>
          <w:color w:val="000000"/>
        </w:rPr>
        <w:sectPr w:rsidR="00166DB1" w:rsidRPr="00166DB1" w:rsidSect="00720069">
          <w:headerReference w:type="default" r:id="rId28"/>
          <w:pgSz w:w="16839" w:h="11907" w:orient="landscape" w:code="9"/>
          <w:pgMar w:top="2268" w:right="1304" w:bottom="850" w:left="737" w:header="567" w:footer="284" w:gutter="0"/>
          <w:cols w:space="709"/>
          <w:docGrid w:linePitch="360"/>
        </w:sectPr>
      </w:pPr>
    </w:p>
    <w:p w14:paraId="18D76B52" w14:textId="7A133AA5" w:rsidR="003826FF" w:rsidRPr="003826FF" w:rsidRDefault="003826FF" w:rsidP="00B24642">
      <w:pPr>
        <w:pStyle w:val="Heading1"/>
        <w:rPr>
          <w:lang w:val="en-US"/>
        </w:rPr>
      </w:pPr>
      <w:bookmarkStart w:id="38" w:name="_Toc523322053"/>
      <w:r w:rsidRPr="003826FF">
        <w:rPr>
          <w:lang w:val="en-US"/>
        </w:rPr>
        <w:lastRenderedPageBreak/>
        <w:t>Appropriateness</w:t>
      </w:r>
      <w:bookmarkEnd w:id="38"/>
    </w:p>
    <w:p w14:paraId="6F7EE15E" w14:textId="32022F25"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An examination of a program’s </w:t>
      </w:r>
      <w:r w:rsidRPr="00166DB1">
        <w:rPr>
          <w:rFonts w:ascii="Garamond" w:eastAsia="Garamond" w:hAnsi="Garamond"/>
          <w:i/>
          <w:color w:val="000000"/>
        </w:rPr>
        <w:t>appropriateness</w:t>
      </w:r>
      <w:r w:rsidRPr="00166DB1">
        <w:rPr>
          <w:rFonts w:ascii="Garamond" w:eastAsia="Garamond" w:hAnsi="Garamond"/>
          <w:color w:val="000000"/>
        </w:rPr>
        <w:t xml:space="preserve"> seeks to ascertain:</w:t>
      </w:r>
    </w:p>
    <w:p w14:paraId="7198D36C" w14:textId="77777777" w:rsidR="00166DB1" w:rsidRPr="00166DB1" w:rsidRDefault="00166DB1" w:rsidP="00166DB1">
      <w:pPr>
        <w:spacing w:before="85" w:after="85"/>
        <w:ind w:left="284" w:right="284"/>
        <w:rPr>
          <w:rFonts w:ascii="Times New Roman" w:eastAsia="Garamond" w:hAnsi="Times New Roman"/>
          <w:i/>
          <w:iCs/>
          <w:color w:val="000000"/>
          <w:sz w:val="20"/>
          <w:lang w:val="en-US"/>
        </w:rPr>
      </w:pPr>
      <w:r w:rsidRPr="00166DB1">
        <w:rPr>
          <w:rFonts w:ascii="Times New Roman" w:eastAsia="Garamond" w:hAnsi="Times New Roman"/>
          <w:i/>
          <w:iCs/>
          <w:color w:val="000000"/>
          <w:sz w:val="20"/>
        </w:rPr>
        <w:t>the continued relevance and priority of program objectives in the light of current circumstances including government policy changes</w:t>
      </w:r>
      <w:r w:rsidRPr="00166DB1">
        <w:rPr>
          <w:rFonts w:ascii="Times New Roman" w:eastAsia="Garamond" w:hAnsi="Times New Roman"/>
          <w:i/>
          <w:iCs/>
          <w:color w:val="000000"/>
          <w:sz w:val="20"/>
          <w:lang w:val="en-US"/>
        </w:rPr>
        <w:t>.</w:t>
      </w:r>
      <w:sdt>
        <w:sdtPr>
          <w:rPr>
            <w:rFonts w:ascii="Times New Roman" w:eastAsia="Garamond" w:hAnsi="Times New Roman"/>
            <w:i/>
            <w:iCs/>
            <w:color w:val="000000"/>
            <w:sz w:val="20"/>
            <w:lang w:val="en-US"/>
          </w:rPr>
          <w:id w:val="2118248056"/>
          <w:citation/>
        </w:sdtPr>
        <w:sdtEndPr/>
        <w:sdtContent>
          <w:r w:rsidRPr="00166DB1">
            <w:rPr>
              <w:rFonts w:ascii="Times New Roman" w:eastAsia="Garamond" w:hAnsi="Times New Roman"/>
              <w:i/>
              <w:iCs/>
              <w:color w:val="000000"/>
              <w:sz w:val="20"/>
              <w:lang w:val="en-US"/>
            </w:rPr>
            <w:fldChar w:fldCharType="begin"/>
          </w:r>
          <w:r w:rsidRPr="00166DB1">
            <w:rPr>
              <w:rFonts w:ascii="Times New Roman" w:eastAsia="Garamond" w:hAnsi="Times New Roman"/>
              <w:i/>
              <w:iCs/>
              <w:color w:val="000000"/>
              <w:sz w:val="20"/>
            </w:rPr>
            <w:instrText xml:space="preserve"> CITATION Tun10 \l 3081 </w:instrText>
          </w:r>
          <w:r w:rsidRPr="00166DB1">
            <w:rPr>
              <w:rFonts w:ascii="Times New Roman" w:eastAsia="Garamond" w:hAnsi="Times New Roman"/>
              <w:i/>
              <w:iCs/>
              <w:color w:val="000000"/>
              <w:sz w:val="20"/>
              <w:lang w:val="en-US"/>
            </w:rPr>
            <w:fldChar w:fldCharType="separate"/>
          </w:r>
          <w:r w:rsidRPr="00166DB1">
            <w:rPr>
              <w:rFonts w:ascii="Times New Roman" w:eastAsia="Garamond" w:hAnsi="Times New Roman"/>
              <w:i/>
              <w:iCs/>
              <w:noProof/>
              <w:color w:val="000000"/>
              <w:sz w:val="20"/>
            </w:rPr>
            <w:t xml:space="preserve"> [1]</w:t>
          </w:r>
          <w:r w:rsidRPr="00166DB1">
            <w:rPr>
              <w:rFonts w:ascii="Times New Roman" w:eastAsia="Garamond" w:hAnsi="Times New Roman"/>
              <w:i/>
              <w:iCs/>
              <w:color w:val="000000"/>
              <w:sz w:val="20"/>
              <w:lang w:val="en-US"/>
            </w:rPr>
            <w:fldChar w:fldCharType="end"/>
          </w:r>
        </w:sdtContent>
      </w:sdt>
    </w:p>
    <w:p w14:paraId="0EF3D53E" w14:textId="77777777" w:rsidR="00166DB1" w:rsidRPr="00166DB1" w:rsidRDefault="00166DB1" w:rsidP="00166DB1">
      <w:pPr>
        <w:spacing w:before="85" w:after="85"/>
        <w:rPr>
          <w:rFonts w:ascii="Garamond" w:eastAsia="Garamond" w:hAnsi="Garamond"/>
          <w:color w:val="000000"/>
          <w:lang w:val="en-US"/>
        </w:rPr>
      </w:pPr>
      <w:r w:rsidRPr="00166DB1">
        <w:rPr>
          <w:rFonts w:ascii="Garamond" w:eastAsia="Garamond" w:hAnsi="Garamond"/>
          <w:color w:val="000000"/>
          <w:lang w:val="en-US"/>
        </w:rPr>
        <w:t xml:space="preserve">To assess appropriateness for this evaluation we examined the Rural Workforce Package and the Aboriginal and Torres Strait Islander Workforce Package separately. </w:t>
      </w:r>
    </w:p>
    <w:p w14:paraId="3B485A81" w14:textId="77777777" w:rsidR="00166DB1" w:rsidRPr="00166DB1" w:rsidRDefault="00166DB1" w:rsidP="00166DB1">
      <w:pPr>
        <w:spacing w:before="85" w:after="85"/>
        <w:rPr>
          <w:rFonts w:ascii="Garamond" w:eastAsia="Garamond" w:hAnsi="Garamond"/>
          <w:color w:val="000000"/>
          <w:lang w:val="en-US"/>
        </w:rPr>
      </w:pPr>
      <w:r w:rsidRPr="00166DB1">
        <w:rPr>
          <w:rFonts w:ascii="Garamond" w:eastAsia="Garamond" w:hAnsi="Garamond"/>
          <w:color w:val="000000"/>
          <w:lang w:val="en-US"/>
        </w:rPr>
        <w:t>Appropriateness for the Rural Workforce Package (see Section A below) examined:</w:t>
      </w:r>
    </w:p>
    <w:p w14:paraId="61C4DC6E" w14:textId="77777777" w:rsidR="00166DB1" w:rsidRPr="00063226" w:rsidRDefault="00166DB1" w:rsidP="009F66FB">
      <w:pPr>
        <w:pStyle w:val="ListParagraph"/>
        <w:numPr>
          <w:ilvl w:val="0"/>
          <w:numId w:val="17"/>
        </w:numPr>
        <w:tabs>
          <w:tab w:val="num" w:pos="426"/>
        </w:tabs>
        <w:spacing w:before="20" w:after="20"/>
        <w:rPr>
          <w:rFonts w:ascii="Garamond" w:eastAsia="Times New Roman" w:hAnsi="Garamond"/>
          <w:color w:val="000000"/>
          <w:lang w:val="en-US"/>
        </w:rPr>
      </w:pPr>
      <w:r w:rsidRPr="00063226">
        <w:rPr>
          <w:rFonts w:ascii="Garamond" w:eastAsia="Times New Roman" w:hAnsi="Garamond"/>
          <w:color w:val="000000"/>
          <w:lang w:val="en-US"/>
        </w:rPr>
        <w:t>evidence on the availability of pharmacists by geographic location across Australia for an assessment of underlying need, and</w:t>
      </w:r>
    </w:p>
    <w:p w14:paraId="5849526F" w14:textId="77777777" w:rsidR="00166DB1" w:rsidRPr="00063226" w:rsidRDefault="00166DB1" w:rsidP="009F66FB">
      <w:pPr>
        <w:pStyle w:val="ListParagraph"/>
        <w:numPr>
          <w:ilvl w:val="0"/>
          <w:numId w:val="17"/>
        </w:numPr>
        <w:tabs>
          <w:tab w:val="num" w:pos="426"/>
        </w:tabs>
        <w:spacing w:before="20" w:after="20"/>
        <w:rPr>
          <w:rFonts w:ascii="Garamond" w:eastAsia="Times New Roman" w:hAnsi="Garamond"/>
          <w:color w:val="000000"/>
          <w:lang w:val="en-US"/>
        </w:rPr>
      </w:pPr>
      <w:r w:rsidRPr="00063226">
        <w:rPr>
          <w:rFonts w:ascii="Garamond" w:eastAsia="Times New Roman" w:hAnsi="Garamond"/>
          <w:color w:val="000000"/>
          <w:lang w:val="en-US"/>
        </w:rPr>
        <w:t>appropriateness of the program design at a package level in responding to that underlying need.</w:t>
      </w:r>
    </w:p>
    <w:p w14:paraId="0FEC4A70" w14:textId="77777777" w:rsidR="00166DB1" w:rsidRPr="00166DB1" w:rsidRDefault="00166DB1" w:rsidP="00166DB1">
      <w:pPr>
        <w:spacing w:before="85" w:after="85"/>
        <w:rPr>
          <w:rFonts w:ascii="Garamond" w:eastAsia="Garamond" w:hAnsi="Garamond"/>
          <w:color w:val="000000"/>
          <w:lang w:val="en-US"/>
        </w:rPr>
      </w:pPr>
      <w:r w:rsidRPr="00166DB1">
        <w:rPr>
          <w:rFonts w:ascii="Garamond" w:eastAsia="Garamond" w:hAnsi="Garamond"/>
          <w:color w:val="000000"/>
          <w:lang w:val="en-US"/>
        </w:rPr>
        <w:t>Appropriateness for the Aboriginal and Torres Strait Islander Workforce Package (see Section B below) examined:</w:t>
      </w:r>
    </w:p>
    <w:p w14:paraId="76F0638E" w14:textId="77777777" w:rsidR="00166DB1" w:rsidRPr="00063226" w:rsidRDefault="00166DB1" w:rsidP="009F66FB">
      <w:pPr>
        <w:pStyle w:val="ListParagraph"/>
        <w:numPr>
          <w:ilvl w:val="0"/>
          <w:numId w:val="17"/>
        </w:numPr>
        <w:tabs>
          <w:tab w:val="num" w:pos="426"/>
        </w:tabs>
        <w:spacing w:before="20" w:after="20"/>
        <w:rPr>
          <w:rFonts w:ascii="Garamond" w:eastAsia="Times New Roman" w:hAnsi="Garamond"/>
          <w:color w:val="000000"/>
          <w:lang w:val="en-US"/>
        </w:rPr>
      </w:pPr>
      <w:r w:rsidRPr="00063226">
        <w:rPr>
          <w:rFonts w:ascii="Garamond" w:eastAsia="Times New Roman" w:hAnsi="Garamond"/>
          <w:color w:val="000000"/>
          <w:lang w:val="en-US"/>
        </w:rPr>
        <w:t>evidence about the underlying need for Aboriginal and Torres Strait Islander people to increase their access to medicines in the community, and</w:t>
      </w:r>
    </w:p>
    <w:p w14:paraId="7F28399D" w14:textId="77777777" w:rsidR="00166DB1" w:rsidRPr="00063226" w:rsidRDefault="00166DB1" w:rsidP="009F66FB">
      <w:pPr>
        <w:pStyle w:val="ListParagraph"/>
        <w:numPr>
          <w:ilvl w:val="0"/>
          <w:numId w:val="17"/>
        </w:numPr>
        <w:tabs>
          <w:tab w:val="num" w:pos="426"/>
        </w:tabs>
        <w:spacing w:before="20" w:after="20"/>
        <w:rPr>
          <w:rFonts w:ascii="Garamond" w:eastAsia="Times New Roman" w:hAnsi="Garamond"/>
          <w:color w:val="000000"/>
          <w:lang w:val="en-US"/>
        </w:rPr>
      </w:pPr>
      <w:r w:rsidRPr="00063226">
        <w:rPr>
          <w:rFonts w:ascii="Garamond" w:eastAsia="Times New Roman" w:hAnsi="Garamond"/>
          <w:color w:val="000000"/>
          <w:lang w:val="en-US"/>
        </w:rPr>
        <w:t>the appropriateness of the Package in responding to that underlying need.</w:t>
      </w:r>
    </w:p>
    <w:p w14:paraId="45374621" w14:textId="77777777" w:rsidR="00166DB1" w:rsidRPr="00166DB1" w:rsidRDefault="00166DB1" w:rsidP="00B24642">
      <w:pPr>
        <w:pStyle w:val="ESHeading2"/>
        <w:rPr>
          <w:lang w:val="en-US"/>
        </w:rPr>
      </w:pPr>
      <w:r w:rsidRPr="00166DB1">
        <w:rPr>
          <w:lang w:val="en-US"/>
        </w:rPr>
        <w:t>KEY FINDINGS ON Appropriateness</w:t>
      </w:r>
    </w:p>
    <w:p w14:paraId="748A30D5" w14:textId="77777777" w:rsidR="00166DB1" w:rsidRPr="00166DB1" w:rsidRDefault="00166DB1" w:rsidP="00166DB1">
      <w:pPr>
        <w:keepNext/>
        <w:spacing w:before="85" w:after="85"/>
        <w:rPr>
          <w:rFonts w:ascii="Garamond" w:eastAsia="Garamond" w:hAnsi="Garamond"/>
          <w:color w:val="000000"/>
          <w:lang w:val="en-US"/>
        </w:rPr>
      </w:pPr>
      <w:r w:rsidRPr="00166DB1">
        <w:rPr>
          <w:rFonts w:ascii="Garamond" w:eastAsia="Garamond" w:hAnsi="Garamond"/>
          <w:color w:val="000000"/>
          <w:lang w:val="en-US"/>
        </w:rPr>
        <w:t>The key findings of the evaluation on appropriateness are summarised in the following table.</w:t>
      </w:r>
    </w:p>
    <w:tbl>
      <w:tblPr>
        <w:tblStyle w:val="KeyFindings"/>
        <w:tblW w:w="5000" w:type="pct"/>
        <w:shd w:val="clear" w:color="auto" w:fill="F2F2F2" w:themeFill="background1" w:themeFillShade="F2"/>
        <w:tblLayout w:type="fixed"/>
        <w:tblLook w:val="04A0" w:firstRow="1" w:lastRow="0" w:firstColumn="1" w:lastColumn="0" w:noHBand="0" w:noVBand="1"/>
        <w:tblCaption w:val="Summary of Key Findings"/>
        <w:tblDescription w:val="Table summarising Key Findings 4 to 11"/>
      </w:tblPr>
      <w:tblGrid>
        <w:gridCol w:w="1843"/>
        <w:gridCol w:w="5201"/>
      </w:tblGrid>
      <w:tr w:rsidR="00133610" w:rsidRPr="00166DB1" w14:paraId="7B37D598" w14:textId="77777777" w:rsidTr="00133610">
        <w:trPr>
          <w:cnfStyle w:val="100000000000" w:firstRow="1" w:lastRow="0" w:firstColumn="0" w:lastColumn="0" w:oddVBand="0" w:evenVBand="0" w:oddHBand="0" w:evenHBand="0" w:firstRowFirstColumn="0" w:firstRowLastColumn="0" w:lastRowFirstColumn="0" w:lastRowLastColumn="0"/>
          <w:tblHeader/>
        </w:trPr>
        <w:tc>
          <w:tcPr>
            <w:tcW w:w="1843" w:type="dxa"/>
            <w:shd w:val="clear" w:color="auto" w:fill="F2F2F2" w:themeFill="background1" w:themeFillShade="F2"/>
            <w:vAlign w:val="center"/>
          </w:tcPr>
          <w:p w14:paraId="66C4FD6E" w14:textId="65DE9FAA" w:rsidR="00133610" w:rsidRPr="00166DB1" w:rsidRDefault="00133610" w:rsidP="002D261F">
            <w:pPr>
              <w:pStyle w:val="KeyFindingsTableHeading"/>
            </w:pPr>
          </w:p>
        </w:tc>
        <w:tc>
          <w:tcPr>
            <w:tcW w:w="5201" w:type="dxa"/>
            <w:shd w:val="clear" w:color="auto" w:fill="F2F2F2" w:themeFill="background1" w:themeFillShade="F2"/>
            <w:vAlign w:val="center"/>
          </w:tcPr>
          <w:p w14:paraId="74805B34" w14:textId="28A02D4D" w:rsidR="00133610" w:rsidRPr="00166DB1" w:rsidRDefault="00133610" w:rsidP="002D261F">
            <w:pPr>
              <w:pStyle w:val="KeyFindingsTableHeading"/>
            </w:pPr>
            <w:r w:rsidRPr="00166DB1">
              <w:t>Summary of key findings</w:t>
            </w:r>
          </w:p>
        </w:tc>
      </w:tr>
      <w:tr w:rsidR="00166DB1" w:rsidRPr="00166DB1" w14:paraId="6AD5BBA9" w14:textId="77777777" w:rsidTr="00133610">
        <w:tc>
          <w:tcPr>
            <w:tcW w:w="1843" w:type="dxa"/>
            <w:shd w:val="clear" w:color="auto" w:fill="F2F2F2" w:themeFill="background1" w:themeFillShade="F2"/>
            <w:vAlign w:val="center"/>
          </w:tcPr>
          <w:p w14:paraId="280A243A" w14:textId="3E58F383" w:rsidR="00166DB1" w:rsidRPr="00166DB1" w:rsidRDefault="00166DB1" w:rsidP="002D261F">
            <w:pPr>
              <w:pStyle w:val="KeyFindingsTableLeftColumn"/>
            </w:pPr>
            <w:r w:rsidRPr="00166DB1">
              <w:fldChar w:fldCharType="begin"/>
            </w:r>
            <w:r w:rsidRPr="00166DB1">
              <w:instrText xml:space="preserve"> REF _Ref490665284 \r \h </w:instrText>
            </w:r>
            <w:r w:rsidR="002D261F">
              <w:instrText xml:space="preserve"> \* MERGEFORMAT </w:instrText>
            </w:r>
            <w:r w:rsidRPr="00166DB1">
              <w:fldChar w:fldCharType="separate"/>
            </w:r>
            <w:r w:rsidRPr="00166DB1">
              <w:t>Key Finding 4:</w:t>
            </w:r>
            <w:r w:rsidRPr="00166DB1">
              <w:fldChar w:fldCharType="end"/>
            </w:r>
          </w:p>
        </w:tc>
        <w:tc>
          <w:tcPr>
            <w:tcW w:w="5201" w:type="dxa"/>
            <w:shd w:val="clear" w:color="auto" w:fill="F2F2F2" w:themeFill="background1" w:themeFillShade="F2"/>
            <w:vAlign w:val="center"/>
          </w:tcPr>
          <w:p w14:paraId="281C903A" w14:textId="7582BB88" w:rsidR="00166DB1" w:rsidRPr="00166DB1" w:rsidRDefault="00166DB1" w:rsidP="002D261F">
            <w:pPr>
              <w:pStyle w:val="KeyFindingsTableCopy"/>
            </w:pPr>
            <w:r w:rsidRPr="00166DB1">
              <w:fldChar w:fldCharType="begin"/>
            </w:r>
            <w:r w:rsidRPr="00166DB1">
              <w:instrText xml:space="preserve"> REF _Ref490665284 \h </w:instrText>
            </w:r>
            <w:r w:rsidR="002D261F">
              <w:instrText xml:space="preserve"> \* MERGEFORMAT </w:instrText>
            </w:r>
            <w:r w:rsidRPr="00166DB1">
              <w:fldChar w:fldCharType="separate"/>
            </w:r>
            <w:r w:rsidRPr="00166DB1">
              <w:t>There was an overall increase of 5.8% in the number of pharmacists from 19,188 in 2013 to 20,297 in 2015.</w:t>
            </w:r>
            <w:r w:rsidRPr="00166DB1">
              <w:fldChar w:fldCharType="end"/>
            </w:r>
          </w:p>
        </w:tc>
      </w:tr>
      <w:tr w:rsidR="00166DB1" w:rsidRPr="00166DB1" w14:paraId="7A1FC577" w14:textId="77777777" w:rsidTr="00133610">
        <w:tc>
          <w:tcPr>
            <w:tcW w:w="1843" w:type="dxa"/>
            <w:shd w:val="clear" w:color="auto" w:fill="F2F2F2" w:themeFill="background1" w:themeFillShade="F2"/>
            <w:vAlign w:val="center"/>
          </w:tcPr>
          <w:p w14:paraId="248D443F" w14:textId="33615388" w:rsidR="00166DB1" w:rsidRPr="00166DB1" w:rsidRDefault="00166DB1" w:rsidP="002D261F">
            <w:pPr>
              <w:pStyle w:val="KeyFindingsTableLeftColumn"/>
            </w:pPr>
            <w:r w:rsidRPr="00166DB1">
              <w:fldChar w:fldCharType="begin"/>
            </w:r>
            <w:r w:rsidRPr="00166DB1">
              <w:instrText xml:space="preserve"> REF _Ref490665326 \r \h </w:instrText>
            </w:r>
            <w:r w:rsidR="002D261F">
              <w:instrText xml:space="preserve"> \* MERGEFORMAT </w:instrText>
            </w:r>
            <w:r w:rsidRPr="00166DB1">
              <w:fldChar w:fldCharType="separate"/>
            </w:r>
            <w:r w:rsidRPr="00166DB1">
              <w:t>Key Finding 5:</w:t>
            </w:r>
            <w:r w:rsidRPr="00166DB1">
              <w:fldChar w:fldCharType="end"/>
            </w:r>
          </w:p>
        </w:tc>
        <w:tc>
          <w:tcPr>
            <w:tcW w:w="5201" w:type="dxa"/>
            <w:shd w:val="clear" w:color="auto" w:fill="F2F2F2" w:themeFill="background1" w:themeFillShade="F2"/>
            <w:vAlign w:val="center"/>
          </w:tcPr>
          <w:p w14:paraId="5A7FF67B" w14:textId="37CE5D73" w:rsidR="00166DB1" w:rsidRPr="00166DB1" w:rsidRDefault="00166DB1" w:rsidP="002D261F">
            <w:pPr>
              <w:pStyle w:val="KeyFindingsTableCopy"/>
            </w:pPr>
            <w:r w:rsidRPr="00166DB1">
              <w:fldChar w:fldCharType="begin"/>
            </w:r>
            <w:r w:rsidRPr="00166DB1">
              <w:instrText xml:space="preserve"> REF _Ref490665326 \h </w:instrText>
            </w:r>
            <w:r w:rsidR="002D261F">
              <w:instrText xml:space="preserve"> \* MERGEFORMAT </w:instrText>
            </w:r>
            <w:r w:rsidRPr="00166DB1">
              <w:fldChar w:fldCharType="separate"/>
            </w:r>
            <w:r w:rsidRPr="00166DB1">
              <w:t xml:space="preserve">The distribution of pharmacist FTE rates (per 100,000 population) was skewed towards metropolitan areas. The </w:t>
            </w:r>
            <w:r w:rsidRPr="00166DB1">
              <w:t xml:space="preserve">latest available data showed the following community pharmacist FTE per 100,000 people in 2015: major cities – 54.5; inner regional – 52.2; outer regional – 50.4; remote </w:t>
            </w:r>
            <w:r w:rsidRPr="00166DB1">
              <w:softHyphen/>
              <w:t xml:space="preserve"> 40.3; and very remote – 27.5.</w:t>
            </w:r>
            <w:r w:rsidRPr="00166DB1">
              <w:fldChar w:fldCharType="end"/>
            </w:r>
          </w:p>
        </w:tc>
      </w:tr>
      <w:tr w:rsidR="00166DB1" w:rsidRPr="00166DB1" w14:paraId="4D766FD4" w14:textId="77777777" w:rsidTr="00133610">
        <w:tc>
          <w:tcPr>
            <w:tcW w:w="1843" w:type="dxa"/>
            <w:shd w:val="clear" w:color="auto" w:fill="F2F2F2" w:themeFill="background1" w:themeFillShade="F2"/>
            <w:vAlign w:val="center"/>
          </w:tcPr>
          <w:p w14:paraId="2FE75EF1" w14:textId="02E3E4D7" w:rsidR="00166DB1" w:rsidRPr="00166DB1" w:rsidRDefault="00166DB1" w:rsidP="002D261F">
            <w:pPr>
              <w:pStyle w:val="KeyFindingsTableLeftColumn"/>
            </w:pPr>
            <w:r w:rsidRPr="00166DB1">
              <w:fldChar w:fldCharType="begin"/>
            </w:r>
            <w:r w:rsidRPr="00166DB1">
              <w:instrText xml:space="preserve"> REF _Ref490665289 \r \h </w:instrText>
            </w:r>
            <w:r w:rsidR="002D261F">
              <w:instrText xml:space="preserve"> \* MERGEFORMAT </w:instrText>
            </w:r>
            <w:r w:rsidRPr="00166DB1">
              <w:fldChar w:fldCharType="separate"/>
            </w:r>
            <w:r w:rsidRPr="00166DB1">
              <w:t>Key Finding 6:</w:t>
            </w:r>
            <w:r w:rsidRPr="00166DB1">
              <w:fldChar w:fldCharType="end"/>
            </w:r>
          </w:p>
        </w:tc>
        <w:tc>
          <w:tcPr>
            <w:tcW w:w="5201" w:type="dxa"/>
            <w:shd w:val="clear" w:color="auto" w:fill="F2F2F2" w:themeFill="background1" w:themeFillShade="F2"/>
            <w:vAlign w:val="center"/>
          </w:tcPr>
          <w:p w14:paraId="5A320F01" w14:textId="7BCEBA55" w:rsidR="00166DB1" w:rsidRPr="00166DB1" w:rsidRDefault="00166DB1" w:rsidP="002D261F">
            <w:pPr>
              <w:pStyle w:val="KeyFindingsTableCopy"/>
            </w:pPr>
            <w:r w:rsidRPr="00166DB1">
              <w:fldChar w:fldCharType="begin"/>
            </w:r>
            <w:r w:rsidRPr="00166DB1">
              <w:instrText xml:space="preserve"> REF _Ref490665289 \h </w:instrText>
            </w:r>
            <w:r w:rsidR="002D261F">
              <w:instrText xml:space="preserve"> \* MERGEFORMAT </w:instrText>
            </w:r>
            <w:r w:rsidRPr="00166DB1">
              <w:fldChar w:fldCharType="separate"/>
            </w:r>
            <w:r w:rsidRPr="00166DB1">
              <w:t>Based on the ongoing inequity of the pharmacist workforce distribution, it was concluded there is a continuing need for mechanisms to promote recruitment and retention of pharmacists in non-metropolitan areas, across all pharmacist types.</w:t>
            </w:r>
            <w:r w:rsidRPr="00166DB1">
              <w:fldChar w:fldCharType="end"/>
            </w:r>
          </w:p>
        </w:tc>
      </w:tr>
      <w:tr w:rsidR="00166DB1" w:rsidRPr="00166DB1" w14:paraId="32F0027E" w14:textId="77777777" w:rsidTr="00133610">
        <w:tc>
          <w:tcPr>
            <w:tcW w:w="1843" w:type="dxa"/>
            <w:shd w:val="clear" w:color="auto" w:fill="F2F2F2" w:themeFill="background1" w:themeFillShade="F2"/>
            <w:vAlign w:val="center"/>
          </w:tcPr>
          <w:p w14:paraId="53AD0962" w14:textId="44CF51DB" w:rsidR="00166DB1" w:rsidRPr="00166DB1" w:rsidRDefault="00166DB1" w:rsidP="002D261F">
            <w:pPr>
              <w:pStyle w:val="KeyFindingsTableLeftColumn"/>
            </w:pPr>
            <w:r w:rsidRPr="00166DB1">
              <w:fldChar w:fldCharType="begin"/>
            </w:r>
            <w:r w:rsidRPr="00166DB1">
              <w:instrText xml:space="preserve"> REF _Ref490665340 \r \h </w:instrText>
            </w:r>
            <w:r w:rsidR="002D261F">
              <w:instrText xml:space="preserve"> \* MERGEFORMAT </w:instrText>
            </w:r>
            <w:r w:rsidRPr="00166DB1">
              <w:fldChar w:fldCharType="separate"/>
            </w:r>
            <w:r w:rsidRPr="00166DB1">
              <w:t>Key Finding 7:</w:t>
            </w:r>
            <w:r w:rsidRPr="00166DB1">
              <w:fldChar w:fldCharType="end"/>
            </w:r>
          </w:p>
        </w:tc>
        <w:tc>
          <w:tcPr>
            <w:tcW w:w="5201" w:type="dxa"/>
            <w:shd w:val="clear" w:color="auto" w:fill="F2F2F2" w:themeFill="background1" w:themeFillShade="F2"/>
            <w:vAlign w:val="center"/>
          </w:tcPr>
          <w:p w14:paraId="304DC7A0" w14:textId="60841C98" w:rsidR="00166DB1" w:rsidRPr="00166DB1" w:rsidRDefault="00166DB1" w:rsidP="002D261F">
            <w:pPr>
              <w:pStyle w:val="KeyFindingsTableCopy"/>
            </w:pPr>
            <w:r w:rsidRPr="00166DB1">
              <w:fldChar w:fldCharType="begin"/>
            </w:r>
            <w:r w:rsidRPr="00166DB1">
              <w:instrText xml:space="preserve"> REF _Ref490665340 \h </w:instrText>
            </w:r>
            <w:r w:rsidR="002D261F">
              <w:instrText xml:space="preserve"> \* MERGEFORMAT </w:instrText>
            </w:r>
            <w:r w:rsidRPr="00166DB1">
              <w:fldChar w:fldCharType="separate"/>
            </w:r>
            <w:r w:rsidRPr="00166DB1">
              <w:t>Recruitment component programs are supported by moderate to strong evidence, as students with a rural origin or who have had exposure to rural practice are more likely to take up positions in rural areas. However, most literature focused on other health workforces and did not specifically support the appropriateness of delivery mechanisms (i.e. scholarships, placements) in encouraging rural practice.</w:t>
            </w:r>
            <w:r w:rsidRPr="00166DB1">
              <w:fldChar w:fldCharType="end"/>
            </w:r>
          </w:p>
        </w:tc>
      </w:tr>
      <w:tr w:rsidR="00166DB1" w:rsidRPr="00166DB1" w14:paraId="215CC160" w14:textId="77777777" w:rsidTr="00133610">
        <w:tc>
          <w:tcPr>
            <w:tcW w:w="1843" w:type="dxa"/>
            <w:shd w:val="clear" w:color="auto" w:fill="F2F2F2" w:themeFill="background1" w:themeFillShade="F2"/>
            <w:vAlign w:val="center"/>
          </w:tcPr>
          <w:p w14:paraId="3C9C6C8C" w14:textId="4749CB7C" w:rsidR="00166DB1" w:rsidRPr="00166DB1" w:rsidRDefault="00166DB1" w:rsidP="002D261F">
            <w:pPr>
              <w:pStyle w:val="KeyFindingsTableLeftColumn"/>
            </w:pPr>
            <w:r w:rsidRPr="00166DB1">
              <w:fldChar w:fldCharType="begin"/>
            </w:r>
            <w:r w:rsidRPr="00166DB1">
              <w:instrText xml:space="preserve"> REF _Ref490665345 \r \h </w:instrText>
            </w:r>
            <w:r w:rsidR="002D261F">
              <w:instrText xml:space="preserve"> \* MERGEFORMAT </w:instrText>
            </w:r>
            <w:r w:rsidRPr="00166DB1">
              <w:fldChar w:fldCharType="separate"/>
            </w:r>
            <w:r w:rsidRPr="00166DB1">
              <w:t>Key Finding 8:</w:t>
            </w:r>
            <w:r w:rsidRPr="00166DB1">
              <w:fldChar w:fldCharType="end"/>
            </w:r>
          </w:p>
        </w:tc>
        <w:tc>
          <w:tcPr>
            <w:tcW w:w="5201" w:type="dxa"/>
            <w:shd w:val="clear" w:color="auto" w:fill="F2F2F2" w:themeFill="background1" w:themeFillShade="F2"/>
            <w:vAlign w:val="center"/>
          </w:tcPr>
          <w:p w14:paraId="57FD095B" w14:textId="75102CD6" w:rsidR="00166DB1" w:rsidRPr="00166DB1" w:rsidRDefault="00166DB1" w:rsidP="002D261F">
            <w:pPr>
              <w:pStyle w:val="KeyFindingsTableCopy"/>
            </w:pPr>
            <w:r w:rsidRPr="00166DB1">
              <w:fldChar w:fldCharType="begin"/>
            </w:r>
            <w:r w:rsidRPr="00166DB1">
              <w:instrText xml:space="preserve"> REF _Ref490665345 \h </w:instrText>
            </w:r>
            <w:r w:rsidR="002D261F">
              <w:instrText xml:space="preserve"> \* MERGEFORMAT </w:instrText>
            </w:r>
            <w:r w:rsidRPr="00166DB1">
              <w:fldChar w:fldCharType="separate"/>
            </w:r>
            <w:r w:rsidRPr="00166DB1">
              <w:t>Retention component programs are supported by moderate evidence. While the programs address key barriers experienced by pharmacists (i.e. access to interns, locums and CPE), there was limited evidence to support the mechanisms by which support was delivered (i.e. financial assistance to employ an intern).</w:t>
            </w:r>
            <w:r w:rsidRPr="00166DB1">
              <w:fldChar w:fldCharType="end"/>
            </w:r>
          </w:p>
        </w:tc>
      </w:tr>
      <w:tr w:rsidR="00166DB1" w:rsidRPr="00166DB1" w14:paraId="75F483D2" w14:textId="77777777" w:rsidTr="00133610">
        <w:tc>
          <w:tcPr>
            <w:tcW w:w="1843" w:type="dxa"/>
            <w:shd w:val="clear" w:color="auto" w:fill="F2F2F2" w:themeFill="background1" w:themeFillShade="F2"/>
            <w:vAlign w:val="center"/>
          </w:tcPr>
          <w:p w14:paraId="7E734721" w14:textId="0894F0F3" w:rsidR="00166DB1" w:rsidRPr="00166DB1" w:rsidRDefault="00166DB1" w:rsidP="002D261F">
            <w:pPr>
              <w:pStyle w:val="KeyFindingsTableLeftColumn"/>
            </w:pPr>
            <w:r w:rsidRPr="00166DB1">
              <w:fldChar w:fldCharType="begin"/>
            </w:r>
            <w:r w:rsidRPr="00166DB1">
              <w:instrText xml:space="preserve"> REF _Ref490665354 \r \h </w:instrText>
            </w:r>
            <w:r w:rsidR="002D261F">
              <w:instrText xml:space="preserve"> \* MERGEFORMAT </w:instrText>
            </w:r>
            <w:r w:rsidRPr="00166DB1">
              <w:fldChar w:fldCharType="separate"/>
            </w:r>
            <w:r w:rsidRPr="00166DB1">
              <w:t>Key Finding 9:</w:t>
            </w:r>
            <w:r w:rsidRPr="00166DB1">
              <w:fldChar w:fldCharType="end"/>
            </w:r>
          </w:p>
        </w:tc>
        <w:tc>
          <w:tcPr>
            <w:tcW w:w="5201" w:type="dxa"/>
            <w:shd w:val="clear" w:color="auto" w:fill="F2F2F2" w:themeFill="background1" w:themeFillShade="F2"/>
            <w:vAlign w:val="center"/>
          </w:tcPr>
          <w:p w14:paraId="277CB33A" w14:textId="54EC60A2" w:rsidR="00166DB1" w:rsidRPr="00166DB1" w:rsidRDefault="00166DB1" w:rsidP="002D261F">
            <w:pPr>
              <w:pStyle w:val="KeyFindingsTableCopy"/>
            </w:pPr>
            <w:r w:rsidRPr="00166DB1">
              <w:fldChar w:fldCharType="begin"/>
            </w:r>
            <w:r w:rsidRPr="00166DB1">
              <w:instrText xml:space="preserve"> REF _Ref490665354 \h </w:instrText>
            </w:r>
            <w:r w:rsidR="002D261F">
              <w:instrText xml:space="preserve"> \* MERGEFORMAT </w:instrText>
            </w:r>
            <w:r w:rsidRPr="00166DB1">
              <w:fldChar w:fldCharType="separate"/>
            </w:r>
            <w:r w:rsidRPr="00166DB1">
              <w:t>Due to the broad aims underpinning programs providing other support to the pharmacy workforce, the appropriateness of their design is difficult to assess. No literature exists to support the design of either program. However, both programs providing other supports facilitate rural student placements, which have strong support in the literature.</w:t>
            </w:r>
            <w:r w:rsidRPr="00166DB1">
              <w:fldChar w:fldCharType="end"/>
            </w:r>
          </w:p>
        </w:tc>
      </w:tr>
      <w:tr w:rsidR="00166DB1" w:rsidRPr="00166DB1" w14:paraId="78F7F6C5" w14:textId="77777777" w:rsidTr="00133610">
        <w:tc>
          <w:tcPr>
            <w:tcW w:w="1843" w:type="dxa"/>
            <w:shd w:val="clear" w:color="auto" w:fill="F2F2F2" w:themeFill="background1" w:themeFillShade="F2"/>
            <w:vAlign w:val="center"/>
          </w:tcPr>
          <w:p w14:paraId="407201A1" w14:textId="0B441633" w:rsidR="00166DB1" w:rsidRPr="00166DB1" w:rsidRDefault="00166DB1" w:rsidP="002D261F">
            <w:pPr>
              <w:pStyle w:val="KeyFindingsTableLeftColumn"/>
            </w:pPr>
            <w:r w:rsidRPr="00166DB1">
              <w:lastRenderedPageBreak/>
              <w:fldChar w:fldCharType="begin"/>
            </w:r>
            <w:r w:rsidRPr="00166DB1">
              <w:instrText xml:space="preserve"> REF _Ref490665362 \r \h </w:instrText>
            </w:r>
            <w:r w:rsidR="002D261F">
              <w:instrText xml:space="preserve"> \* MERGEFORMAT </w:instrText>
            </w:r>
            <w:r w:rsidRPr="00166DB1">
              <w:fldChar w:fldCharType="separate"/>
            </w:r>
            <w:r w:rsidRPr="00166DB1">
              <w:t>Key Finding 10:</w:t>
            </w:r>
            <w:r w:rsidRPr="00166DB1">
              <w:fldChar w:fldCharType="end"/>
            </w:r>
          </w:p>
        </w:tc>
        <w:tc>
          <w:tcPr>
            <w:tcW w:w="5201" w:type="dxa"/>
            <w:shd w:val="clear" w:color="auto" w:fill="F2F2F2" w:themeFill="background1" w:themeFillShade="F2"/>
            <w:vAlign w:val="center"/>
          </w:tcPr>
          <w:p w14:paraId="70B55E85" w14:textId="4E1452DB" w:rsidR="00166DB1" w:rsidRPr="00166DB1" w:rsidRDefault="00166DB1" w:rsidP="002D261F">
            <w:pPr>
              <w:pStyle w:val="KeyFindingsTableCopy"/>
              <w:rPr>
                <w:rFonts w:eastAsia="Garamond"/>
              </w:rPr>
            </w:pPr>
            <w:r w:rsidRPr="00166DB1">
              <w:rPr>
                <w:rFonts w:eastAsia="Garamond"/>
              </w:rPr>
              <w:fldChar w:fldCharType="begin"/>
            </w:r>
            <w:r w:rsidRPr="00166DB1">
              <w:rPr>
                <w:rFonts w:eastAsia="Garamond"/>
              </w:rPr>
              <w:instrText xml:space="preserve"> REF _Ref490665362 \h </w:instrText>
            </w:r>
            <w:r w:rsidR="002D261F">
              <w:rPr>
                <w:rFonts w:eastAsia="Garamond"/>
              </w:rPr>
              <w:instrText xml:space="preserve"> \* MERGEFORMAT </w:instrText>
            </w:r>
            <w:r w:rsidRPr="00166DB1">
              <w:rPr>
                <w:rFonts w:eastAsia="Garamond"/>
              </w:rPr>
            </w:r>
            <w:r w:rsidRPr="00166DB1">
              <w:rPr>
                <w:rFonts w:eastAsia="Garamond"/>
              </w:rPr>
              <w:fldChar w:fldCharType="separate"/>
            </w:r>
            <w:r w:rsidRPr="00166DB1">
              <w:rPr>
                <w:rFonts w:eastAsia="Garamond"/>
              </w:rPr>
              <w:t>PBS expenditure data showed that Aboriginal and Torres Strait Islander people have an ongoing need to increase their access to subsidised medicines.</w:t>
            </w:r>
            <w:r w:rsidRPr="00166DB1">
              <w:rPr>
                <w:rFonts w:eastAsia="Garamond"/>
              </w:rPr>
              <w:fldChar w:fldCharType="end"/>
            </w:r>
          </w:p>
        </w:tc>
      </w:tr>
      <w:tr w:rsidR="00166DB1" w:rsidRPr="00166DB1" w14:paraId="67E3DD59" w14:textId="77777777" w:rsidTr="00133610">
        <w:tc>
          <w:tcPr>
            <w:tcW w:w="1843" w:type="dxa"/>
            <w:shd w:val="clear" w:color="auto" w:fill="F2F2F2" w:themeFill="background1" w:themeFillShade="F2"/>
            <w:vAlign w:val="center"/>
          </w:tcPr>
          <w:p w14:paraId="5BC2D77B" w14:textId="7CBB7B77" w:rsidR="00166DB1" w:rsidRPr="00166DB1" w:rsidRDefault="00166DB1" w:rsidP="002D261F">
            <w:pPr>
              <w:pStyle w:val="KeyFindingsTableLeftColumn"/>
            </w:pPr>
            <w:r w:rsidRPr="00166DB1">
              <w:fldChar w:fldCharType="begin"/>
            </w:r>
            <w:r w:rsidRPr="00166DB1">
              <w:instrText xml:space="preserve"> REF _Ref490665369 \r \h </w:instrText>
            </w:r>
            <w:r w:rsidR="002D261F">
              <w:instrText xml:space="preserve"> \* MERGEFORMAT </w:instrText>
            </w:r>
            <w:r w:rsidRPr="00166DB1">
              <w:fldChar w:fldCharType="separate"/>
            </w:r>
            <w:r w:rsidRPr="00166DB1">
              <w:t>Key Finding 11:</w:t>
            </w:r>
            <w:r w:rsidRPr="00166DB1">
              <w:fldChar w:fldCharType="end"/>
            </w:r>
          </w:p>
        </w:tc>
        <w:tc>
          <w:tcPr>
            <w:tcW w:w="5201" w:type="dxa"/>
            <w:shd w:val="clear" w:color="auto" w:fill="F2F2F2" w:themeFill="background1" w:themeFillShade="F2"/>
            <w:vAlign w:val="center"/>
          </w:tcPr>
          <w:p w14:paraId="5CD16385" w14:textId="3F7C7140" w:rsidR="00166DB1" w:rsidRPr="00166DB1" w:rsidRDefault="00166DB1" w:rsidP="002D261F">
            <w:pPr>
              <w:pStyle w:val="KeyFindingsTableCopy"/>
              <w:rPr>
                <w:rFonts w:eastAsia="Garamond"/>
              </w:rPr>
            </w:pPr>
            <w:r w:rsidRPr="00166DB1">
              <w:rPr>
                <w:rFonts w:eastAsia="Garamond"/>
              </w:rPr>
              <w:fldChar w:fldCharType="begin"/>
            </w:r>
            <w:r w:rsidRPr="00166DB1">
              <w:rPr>
                <w:rFonts w:eastAsia="Garamond"/>
              </w:rPr>
              <w:instrText xml:space="preserve"> REF _Ref490676772 \h </w:instrText>
            </w:r>
            <w:r w:rsidR="002D261F">
              <w:rPr>
                <w:rFonts w:eastAsia="Garamond"/>
              </w:rPr>
              <w:instrText xml:space="preserve"> \* MERGEFORMAT </w:instrText>
            </w:r>
            <w:r w:rsidRPr="00166DB1">
              <w:rPr>
                <w:rFonts w:eastAsia="Garamond"/>
              </w:rPr>
            </w:r>
            <w:r w:rsidRPr="00166DB1">
              <w:rPr>
                <w:rFonts w:eastAsia="Garamond"/>
              </w:rPr>
              <w:fldChar w:fldCharType="separate"/>
            </w:r>
            <w:r w:rsidRPr="00166DB1">
              <w:rPr>
                <w:rFonts w:eastAsia="Garamond"/>
              </w:rPr>
              <w:t>Alternative models of service delivery, in addition to / or as an alternative, may need to be considered to maximise access to PBS medicines in rural and remote locations.</w:t>
            </w:r>
            <w:r w:rsidRPr="00166DB1">
              <w:rPr>
                <w:rFonts w:eastAsia="Garamond"/>
              </w:rPr>
              <w:fldChar w:fldCharType="end"/>
            </w:r>
          </w:p>
        </w:tc>
      </w:tr>
    </w:tbl>
    <w:p w14:paraId="2BAF9F16" w14:textId="77777777" w:rsidR="00166DB1" w:rsidRPr="00166DB1" w:rsidRDefault="00166DB1" w:rsidP="0029291C">
      <w:pPr>
        <w:pStyle w:val="ESHeading2"/>
        <w:spacing w:before="240"/>
        <w:rPr>
          <w:lang w:val="en-US"/>
        </w:rPr>
      </w:pPr>
      <w:r w:rsidRPr="00166DB1">
        <w:rPr>
          <w:lang w:val="en-US"/>
        </w:rPr>
        <w:t>Appropriateness analysis</w:t>
      </w:r>
    </w:p>
    <w:p w14:paraId="0B76DD39" w14:textId="77777777" w:rsidR="00166DB1" w:rsidRPr="00166DB1" w:rsidRDefault="00166DB1" w:rsidP="00292F80">
      <w:pPr>
        <w:pStyle w:val="SectionTitle"/>
        <w:rPr>
          <w:lang w:val="en-US"/>
        </w:rPr>
      </w:pPr>
      <w:bookmarkStart w:id="39" w:name="_Hlk490567940"/>
      <w:r w:rsidRPr="00166DB1">
        <w:rPr>
          <w:lang w:val="en-US"/>
        </w:rPr>
        <w:t>Rural Pharmacy workforce package appropriateness</w:t>
      </w:r>
    </w:p>
    <w:p w14:paraId="6A117918" w14:textId="77777777" w:rsidR="00166DB1" w:rsidRPr="00166DB1" w:rsidRDefault="00166DB1" w:rsidP="00B24642">
      <w:pPr>
        <w:pStyle w:val="Heading2"/>
      </w:pPr>
      <w:bookmarkStart w:id="40" w:name="_Ref488142674"/>
      <w:bookmarkStart w:id="41" w:name="_Toc523322054"/>
      <w:bookmarkEnd w:id="39"/>
      <w:r w:rsidRPr="00166DB1">
        <w:t>Distribution of the pharmacy workforce</w:t>
      </w:r>
      <w:bookmarkEnd w:id="40"/>
      <w:r w:rsidRPr="00166DB1">
        <w:t>: underlying need</w:t>
      </w:r>
      <w:bookmarkEnd w:id="41"/>
    </w:p>
    <w:p w14:paraId="3B5F800F" w14:textId="1413E2A8"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We have assessed underlying need for Pharmacy Workforce Package by examining the total number of pharmacists and community pharmacists registered with APRHA, where the data was available (2013-2015). As shown in </w:t>
      </w:r>
      <w:r w:rsidRPr="00166DB1">
        <w:rPr>
          <w:rFonts w:ascii="Garamond" w:eastAsia="Garamond" w:hAnsi="Garamond"/>
          <w:color w:val="000000"/>
        </w:rPr>
        <w:fldChar w:fldCharType="begin"/>
      </w:r>
      <w:r w:rsidRPr="00166DB1">
        <w:rPr>
          <w:rFonts w:ascii="Garamond" w:eastAsia="Garamond" w:hAnsi="Garamond"/>
          <w:color w:val="000000"/>
        </w:rPr>
        <w:instrText xml:space="preserve"> REF _Ref490547422 \h </w:instrText>
      </w:r>
      <w:r w:rsidRPr="00166DB1">
        <w:rPr>
          <w:rFonts w:ascii="Garamond" w:eastAsia="Garamond" w:hAnsi="Garamond"/>
          <w:color w:val="000000"/>
        </w:rPr>
      </w:r>
      <w:r w:rsidRPr="00166DB1">
        <w:rPr>
          <w:rFonts w:ascii="Garamond" w:eastAsia="Garamond" w:hAnsi="Garamond"/>
          <w:color w:val="000000"/>
        </w:rPr>
        <w:fldChar w:fldCharType="separate"/>
      </w:r>
      <w:r w:rsidRPr="00166DB1">
        <w:rPr>
          <w:rFonts w:ascii="Garamond" w:eastAsia="Garamond" w:hAnsi="Garamond"/>
          <w:color w:val="000000"/>
        </w:rPr>
        <w:t xml:space="preserve">Figure </w:t>
      </w:r>
      <w:r w:rsidRPr="00166DB1">
        <w:rPr>
          <w:rFonts w:ascii="Garamond" w:eastAsia="Garamond" w:hAnsi="Garamond"/>
          <w:noProof/>
          <w:color w:val="000000"/>
        </w:rPr>
        <w:t>4</w:t>
      </w:r>
      <w:r w:rsidRPr="00166DB1">
        <w:rPr>
          <w:rFonts w:ascii="Garamond" w:eastAsia="Garamond" w:hAnsi="Garamond"/>
          <w:color w:val="000000"/>
        </w:rPr>
        <w:t>.</w:t>
      </w:r>
      <w:r w:rsidRPr="00166DB1">
        <w:rPr>
          <w:rFonts w:ascii="Garamond" w:eastAsia="Garamond" w:hAnsi="Garamond"/>
          <w:noProof/>
          <w:color w:val="000000"/>
        </w:rPr>
        <w:t>1</w:t>
      </w:r>
      <w:r w:rsidRPr="00166DB1">
        <w:rPr>
          <w:rFonts w:ascii="Garamond" w:eastAsia="Garamond" w:hAnsi="Garamond"/>
          <w:color w:val="000000"/>
        </w:rPr>
        <w:fldChar w:fldCharType="end"/>
      </w:r>
      <w:r w:rsidRPr="00166DB1">
        <w:rPr>
          <w:rFonts w:ascii="Garamond" w:eastAsia="Garamond" w:hAnsi="Garamond"/>
          <w:color w:val="000000"/>
        </w:rPr>
        <w:t>, the overall pharmacy workforce headcount increased from 19,188 in 2013 to 20,297 in 2015, a 5.8% increase. A similar magnitude of increase was</w:t>
      </w:r>
      <w:r w:rsidR="00D65552">
        <w:rPr>
          <w:rFonts w:ascii="Garamond" w:eastAsia="Garamond" w:hAnsi="Garamond"/>
          <w:color w:val="000000"/>
        </w:rPr>
        <w:t xml:space="preserve"> </w:t>
      </w:r>
      <w:r w:rsidRPr="00166DB1">
        <w:rPr>
          <w:rFonts w:ascii="Garamond" w:eastAsia="Garamond" w:hAnsi="Garamond"/>
          <w:color w:val="000000"/>
        </w:rPr>
        <w:t>seen in the community pharmacy headcount, which increased 4.7% between 2013 and 2015.</w:t>
      </w:r>
    </w:p>
    <w:p w14:paraId="59C0A055" w14:textId="77777777" w:rsidR="00166DB1" w:rsidRPr="00166DB1" w:rsidRDefault="00166DB1" w:rsidP="00166DB1">
      <w:pPr>
        <w:keepNext/>
        <w:keepLines/>
        <w:spacing w:before="170" w:after="85" w:line="200" w:lineRule="exact"/>
        <w:jc w:val="center"/>
        <w:rPr>
          <w:rFonts w:ascii="Franklin Gothic Demi" w:eastAsia="Garamond" w:hAnsi="Franklin Gothic Demi"/>
          <w:bCs/>
          <w:color w:val="000000"/>
          <w:sz w:val="17"/>
          <w:szCs w:val="18"/>
        </w:rPr>
      </w:pPr>
      <w:bookmarkStart w:id="42" w:name="_Ref490547422"/>
      <w:r w:rsidRPr="00166DB1">
        <w:rPr>
          <w:rFonts w:ascii="Franklin Gothic Demi" w:eastAsia="Garamond" w:hAnsi="Franklin Gothic Demi"/>
          <w:bCs/>
          <w:color w:val="000000"/>
          <w:sz w:val="17"/>
          <w:szCs w:val="18"/>
        </w:rPr>
        <w:t xml:space="preserve">Figure </w:t>
      </w:r>
      <w:r w:rsidRPr="00166DB1">
        <w:rPr>
          <w:rFonts w:ascii="Franklin Gothic Demi" w:eastAsia="Garamond" w:hAnsi="Franklin Gothic Demi"/>
          <w:bCs/>
          <w:noProof/>
          <w:color w:val="000000"/>
          <w:sz w:val="17"/>
          <w:szCs w:val="18"/>
        </w:rPr>
        <w:fldChar w:fldCharType="begin"/>
      </w:r>
      <w:r w:rsidRPr="00166DB1">
        <w:rPr>
          <w:rFonts w:ascii="Franklin Gothic Demi" w:eastAsia="Garamond" w:hAnsi="Franklin Gothic Demi"/>
          <w:bCs/>
          <w:noProof/>
          <w:color w:val="000000"/>
          <w:sz w:val="17"/>
          <w:szCs w:val="18"/>
        </w:rPr>
        <w:instrText xml:space="preserve"> STYLEREF 1 \s </w:instrText>
      </w:r>
      <w:r w:rsidRPr="00166DB1">
        <w:rPr>
          <w:rFonts w:ascii="Franklin Gothic Demi" w:eastAsia="Garamond" w:hAnsi="Franklin Gothic Demi"/>
          <w:bCs/>
          <w:noProof/>
          <w:color w:val="000000"/>
          <w:sz w:val="17"/>
          <w:szCs w:val="18"/>
        </w:rPr>
        <w:fldChar w:fldCharType="separate"/>
      </w:r>
      <w:r w:rsidRPr="00166DB1">
        <w:rPr>
          <w:rFonts w:ascii="Franklin Gothic Demi" w:eastAsia="Garamond" w:hAnsi="Franklin Gothic Demi"/>
          <w:bCs/>
          <w:noProof/>
          <w:color w:val="000000"/>
          <w:sz w:val="17"/>
          <w:szCs w:val="18"/>
        </w:rPr>
        <w:t>4</w:t>
      </w:r>
      <w:r w:rsidRPr="00166DB1">
        <w:rPr>
          <w:rFonts w:ascii="Franklin Gothic Demi" w:eastAsia="Garamond" w:hAnsi="Franklin Gothic Demi"/>
          <w:bCs/>
          <w:noProof/>
          <w:color w:val="000000"/>
          <w:sz w:val="17"/>
          <w:szCs w:val="18"/>
        </w:rPr>
        <w:fldChar w:fldCharType="end"/>
      </w:r>
      <w:r w:rsidRPr="00166DB1">
        <w:rPr>
          <w:rFonts w:ascii="Franklin Gothic Demi" w:eastAsia="Garamond" w:hAnsi="Franklin Gothic Demi"/>
          <w:bCs/>
          <w:color w:val="000000"/>
          <w:sz w:val="17"/>
          <w:szCs w:val="18"/>
        </w:rPr>
        <w:t>.</w:t>
      </w:r>
      <w:r w:rsidRPr="00166DB1">
        <w:rPr>
          <w:rFonts w:ascii="Franklin Gothic Demi" w:eastAsia="Garamond" w:hAnsi="Franklin Gothic Demi"/>
          <w:bCs/>
          <w:noProof/>
          <w:color w:val="000000"/>
          <w:sz w:val="17"/>
          <w:szCs w:val="18"/>
        </w:rPr>
        <w:fldChar w:fldCharType="begin"/>
      </w:r>
      <w:r w:rsidRPr="00166DB1">
        <w:rPr>
          <w:rFonts w:ascii="Franklin Gothic Demi" w:eastAsia="Garamond" w:hAnsi="Franklin Gothic Demi"/>
          <w:bCs/>
          <w:noProof/>
          <w:color w:val="000000"/>
          <w:sz w:val="17"/>
          <w:szCs w:val="18"/>
        </w:rPr>
        <w:instrText xml:space="preserve"> SEQ Figure \* ARABIC \s 1 </w:instrText>
      </w:r>
      <w:r w:rsidRPr="00166DB1">
        <w:rPr>
          <w:rFonts w:ascii="Franklin Gothic Demi" w:eastAsia="Garamond" w:hAnsi="Franklin Gothic Demi"/>
          <w:bCs/>
          <w:noProof/>
          <w:color w:val="000000"/>
          <w:sz w:val="17"/>
          <w:szCs w:val="18"/>
        </w:rPr>
        <w:fldChar w:fldCharType="separate"/>
      </w:r>
      <w:r w:rsidRPr="00166DB1">
        <w:rPr>
          <w:rFonts w:ascii="Franklin Gothic Demi" w:eastAsia="Garamond" w:hAnsi="Franklin Gothic Demi"/>
          <w:bCs/>
          <w:noProof/>
          <w:color w:val="000000"/>
          <w:sz w:val="17"/>
          <w:szCs w:val="18"/>
        </w:rPr>
        <w:t>1</w:t>
      </w:r>
      <w:r w:rsidRPr="00166DB1">
        <w:rPr>
          <w:rFonts w:ascii="Franklin Gothic Demi" w:eastAsia="Garamond" w:hAnsi="Franklin Gothic Demi"/>
          <w:bCs/>
          <w:noProof/>
          <w:color w:val="000000"/>
          <w:sz w:val="17"/>
          <w:szCs w:val="18"/>
        </w:rPr>
        <w:fldChar w:fldCharType="end"/>
      </w:r>
      <w:bookmarkEnd w:id="42"/>
      <w:r w:rsidRPr="00166DB1">
        <w:rPr>
          <w:rFonts w:ascii="Franklin Gothic Demi" w:eastAsia="Garamond" w:hAnsi="Franklin Gothic Demi"/>
          <w:bCs/>
          <w:color w:val="000000"/>
          <w:sz w:val="17"/>
          <w:szCs w:val="18"/>
        </w:rPr>
        <w:t xml:space="preserve">: </w:t>
      </w:r>
      <w:bookmarkStart w:id="43" w:name="_Ref490547411"/>
      <w:r w:rsidRPr="00166DB1">
        <w:rPr>
          <w:rFonts w:ascii="Franklin Gothic Demi" w:eastAsia="Garamond" w:hAnsi="Franklin Gothic Demi"/>
          <w:bCs/>
          <w:color w:val="000000"/>
          <w:sz w:val="17"/>
          <w:szCs w:val="18"/>
        </w:rPr>
        <w:t>Headcount of total pharmacists and community pharmacists, 2013 to 2015</w:t>
      </w:r>
      <w:bookmarkEnd w:id="43"/>
      <w:r w:rsidRPr="00166DB1">
        <w:rPr>
          <w:rFonts w:ascii="Franklin Gothic Demi" w:eastAsia="Garamond" w:hAnsi="Franklin Gothic Demi"/>
          <w:bCs/>
          <w:color w:val="000000"/>
          <w:sz w:val="17"/>
          <w:szCs w:val="18"/>
        </w:rPr>
        <w:t xml:space="preserve"> </w:t>
      </w:r>
    </w:p>
    <w:p w14:paraId="4DD3B166" w14:textId="77777777" w:rsidR="00166DB1" w:rsidRPr="00166DB1" w:rsidRDefault="00166DB1" w:rsidP="00166DB1">
      <w:pPr>
        <w:spacing w:after="120" w:line="240" w:lineRule="auto"/>
        <w:rPr>
          <w:rFonts w:ascii="Garamond" w:eastAsia="Garamond" w:hAnsi="Garamond"/>
          <w:sz w:val="20"/>
        </w:rPr>
      </w:pPr>
      <w:r w:rsidRPr="00166DB1">
        <w:rPr>
          <w:rFonts w:ascii="Garamond" w:eastAsia="Garamond" w:hAnsi="Garamond"/>
          <w:noProof/>
          <w:sz w:val="20"/>
          <w:lang w:eastAsia="en-AU"/>
        </w:rPr>
        <w:drawing>
          <wp:inline distT="0" distB="0" distL="0" distR="0" wp14:anchorId="55432526" wp14:editId="36356CA1">
            <wp:extent cx="4472940" cy="2645188"/>
            <wp:effectExtent l="0" t="0" r="3810" b="3175"/>
            <wp:docPr id="79" name="Picture 79" descr="Figure 4.1 Graph showing headcount of total pharmacists and community pharmacists, 2013 to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472940" cy="2645188"/>
                    </a:xfrm>
                    <a:prstGeom prst="rect">
                      <a:avLst/>
                    </a:prstGeom>
                    <a:noFill/>
                    <a:ln>
                      <a:noFill/>
                    </a:ln>
                  </pic:spPr>
                </pic:pic>
              </a:graphicData>
            </a:graphic>
          </wp:inline>
        </w:drawing>
      </w:r>
    </w:p>
    <w:p w14:paraId="4D496BB2" w14:textId="77777777" w:rsidR="00166DB1" w:rsidRPr="00166DB1" w:rsidRDefault="00166DB1" w:rsidP="0006497F">
      <w:pPr>
        <w:pStyle w:val="TableNotes"/>
      </w:pPr>
      <w:r w:rsidRPr="00166DB1">
        <w:t>Source: AHPRA</w:t>
      </w:r>
      <w:sdt>
        <w:sdtPr>
          <w:id w:val="487757803"/>
          <w:citation/>
        </w:sdtPr>
        <w:sdtEndPr/>
        <w:sdtContent>
          <w:r w:rsidRPr="00166DB1">
            <w:fldChar w:fldCharType="begin"/>
          </w:r>
          <w:r w:rsidRPr="00166DB1">
            <w:instrText xml:space="preserve"> CITATION Aus15 \l 3081 </w:instrText>
          </w:r>
          <w:r w:rsidRPr="00166DB1">
            <w:fldChar w:fldCharType="separate"/>
          </w:r>
          <w:r w:rsidRPr="00166DB1">
            <w:rPr>
              <w:noProof/>
            </w:rPr>
            <w:t xml:space="preserve"> [4]</w:t>
          </w:r>
          <w:r w:rsidRPr="00166DB1">
            <w:fldChar w:fldCharType="end"/>
          </w:r>
        </w:sdtContent>
      </w:sdt>
    </w:p>
    <w:p w14:paraId="14B57D1C"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Despite the overall increase in the total number of pharmacists and community pharmacists in Australia, the pharmacy workforce remained unevenly distributed between 2013 and 2015, with the ratio of pharmacists to the population remaining skewed towards major cities. Figure 2.2 and Table 2.1 comprise data from AHPRA, provided by the Department’s Health Workforce Division on the pharmacist workforce in 2013–15. </w:t>
      </w:r>
    </w:p>
    <w:p w14:paraId="118D4ECD" w14:textId="77777777" w:rsidR="00166DB1" w:rsidRPr="00166DB1" w:rsidRDefault="00166DB1" w:rsidP="00166DB1">
      <w:pPr>
        <w:spacing w:before="120" w:after="120"/>
        <w:rPr>
          <w:rFonts w:ascii="Garamond" w:eastAsia="Garamond" w:hAnsi="Garamond"/>
          <w:color w:val="000000"/>
        </w:rPr>
      </w:pPr>
      <w:r w:rsidRPr="00166DB1">
        <w:rPr>
          <w:rFonts w:ascii="Garamond" w:eastAsia="Garamond" w:hAnsi="Garamond"/>
          <w:color w:val="000000"/>
        </w:rPr>
        <w:t>Analysis of pharmacist workforce data showed that the FTE rate of pharmacists per 100,000 head of population was consistently higher in major cities compared to non-metropolitan areas for community pharmacists, hospital pharmacists and other types of pharmacists,</w:t>
      </w:r>
      <w:r w:rsidRPr="00166DB1">
        <w:rPr>
          <w:rFonts w:ascii="Garamond" w:eastAsia="Garamond" w:hAnsi="Garamond"/>
          <w:color w:val="000000"/>
          <w:vertAlign w:val="superscript"/>
        </w:rPr>
        <w:footnoteReference w:id="3"/>
      </w:r>
      <w:r w:rsidRPr="00166DB1">
        <w:rPr>
          <w:rFonts w:ascii="Garamond" w:eastAsia="Garamond" w:hAnsi="Garamond"/>
          <w:color w:val="000000"/>
        </w:rPr>
        <w:t xml:space="preserve"> However, the difference between major cities and non-</w:t>
      </w:r>
      <w:r w:rsidRPr="00166DB1">
        <w:rPr>
          <w:rFonts w:ascii="Garamond" w:eastAsia="Garamond" w:hAnsi="Garamond"/>
          <w:color w:val="000000"/>
        </w:rPr>
        <w:lastRenderedPageBreak/>
        <w:t xml:space="preserve">metropolitan areas was greater for hospital pharmacists compared to community pharmacists or other pharmacists. See </w:t>
      </w:r>
      <w:r w:rsidRPr="00166DB1">
        <w:rPr>
          <w:rFonts w:ascii="Garamond" w:eastAsia="Garamond" w:hAnsi="Garamond"/>
          <w:color w:val="000000"/>
        </w:rPr>
        <w:fldChar w:fldCharType="begin"/>
      </w:r>
      <w:r w:rsidRPr="00166DB1">
        <w:rPr>
          <w:rFonts w:ascii="Garamond" w:eastAsia="Garamond" w:hAnsi="Garamond"/>
          <w:color w:val="000000"/>
        </w:rPr>
        <w:instrText xml:space="preserve"> REF _Ref493516572 \h </w:instrText>
      </w:r>
      <w:r w:rsidRPr="00166DB1">
        <w:rPr>
          <w:rFonts w:ascii="Garamond" w:eastAsia="Garamond" w:hAnsi="Garamond"/>
          <w:color w:val="000000"/>
        </w:rPr>
      </w:r>
      <w:r w:rsidRPr="00166DB1">
        <w:rPr>
          <w:rFonts w:ascii="Garamond" w:eastAsia="Garamond" w:hAnsi="Garamond"/>
          <w:color w:val="000000"/>
        </w:rPr>
        <w:fldChar w:fldCharType="separate"/>
      </w:r>
      <w:r w:rsidRPr="00166DB1">
        <w:rPr>
          <w:rFonts w:ascii="Garamond" w:eastAsia="Garamond" w:hAnsi="Garamond"/>
          <w:color w:val="000000"/>
        </w:rPr>
        <w:t xml:space="preserve">Table </w:t>
      </w:r>
      <w:r w:rsidRPr="00166DB1">
        <w:rPr>
          <w:rFonts w:ascii="Garamond" w:eastAsia="Garamond" w:hAnsi="Garamond"/>
          <w:noProof/>
          <w:color w:val="000000"/>
        </w:rPr>
        <w:t>4</w:t>
      </w:r>
      <w:r w:rsidRPr="00166DB1">
        <w:rPr>
          <w:rFonts w:ascii="Garamond" w:eastAsia="Garamond" w:hAnsi="Garamond"/>
          <w:color w:val="000000"/>
        </w:rPr>
        <w:t>.</w:t>
      </w:r>
      <w:r w:rsidRPr="00166DB1">
        <w:rPr>
          <w:rFonts w:ascii="Garamond" w:eastAsia="Garamond" w:hAnsi="Garamond"/>
          <w:noProof/>
          <w:color w:val="000000"/>
        </w:rPr>
        <w:t>1</w:t>
      </w:r>
      <w:r w:rsidRPr="00166DB1">
        <w:rPr>
          <w:rFonts w:ascii="Garamond" w:eastAsia="Garamond" w:hAnsi="Garamond"/>
          <w:color w:val="000000"/>
        </w:rPr>
        <w:fldChar w:fldCharType="end"/>
      </w:r>
      <w:r w:rsidRPr="00166DB1">
        <w:rPr>
          <w:rFonts w:ascii="Garamond" w:eastAsia="Garamond" w:hAnsi="Garamond"/>
          <w:color w:val="000000"/>
        </w:rPr>
        <w:t xml:space="preserve"> and </w:t>
      </w:r>
      <w:r w:rsidRPr="00166DB1">
        <w:rPr>
          <w:rFonts w:ascii="Garamond" w:eastAsia="Garamond" w:hAnsi="Garamond"/>
          <w:color w:val="000000"/>
        </w:rPr>
        <w:fldChar w:fldCharType="begin"/>
      </w:r>
      <w:r w:rsidRPr="00166DB1">
        <w:rPr>
          <w:rFonts w:ascii="Garamond" w:eastAsia="Garamond" w:hAnsi="Garamond"/>
          <w:color w:val="000000"/>
        </w:rPr>
        <w:instrText xml:space="preserve"> REF _Ref493516579 \h </w:instrText>
      </w:r>
      <w:r w:rsidRPr="00166DB1">
        <w:rPr>
          <w:rFonts w:ascii="Garamond" w:eastAsia="Garamond" w:hAnsi="Garamond"/>
          <w:color w:val="000000"/>
        </w:rPr>
      </w:r>
      <w:r w:rsidRPr="00166DB1">
        <w:rPr>
          <w:rFonts w:ascii="Garamond" w:eastAsia="Garamond" w:hAnsi="Garamond"/>
          <w:color w:val="000000"/>
        </w:rPr>
        <w:fldChar w:fldCharType="separate"/>
      </w:r>
      <w:r w:rsidRPr="00166DB1">
        <w:rPr>
          <w:rFonts w:ascii="Garamond" w:eastAsia="Garamond" w:hAnsi="Garamond"/>
          <w:color w:val="000000"/>
        </w:rPr>
        <w:t xml:space="preserve">Figure </w:t>
      </w:r>
      <w:r w:rsidRPr="00166DB1">
        <w:rPr>
          <w:rFonts w:ascii="Garamond" w:eastAsia="Garamond" w:hAnsi="Garamond"/>
          <w:noProof/>
          <w:color w:val="000000"/>
        </w:rPr>
        <w:t>4</w:t>
      </w:r>
      <w:r w:rsidRPr="00166DB1">
        <w:rPr>
          <w:rFonts w:ascii="Garamond" w:eastAsia="Garamond" w:hAnsi="Garamond"/>
          <w:color w:val="000000"/>
        </w:rPr>
        <w:t>.</w:t>
      </w:r>
      <w:r w:rsidRPr="00166DB1">
        <w:rPr>
          <w:rFonts w:ascii="Garamond" w:eastAsia="Garamond" w:hAnsi="Garamond"/>
          <w:noProof/>
          <w:color w:val="000000"/>
        </w:rPr>
        <w:t>2</w:t>
      </w:r>
      <w:r w:rsidRPr="00166DB1">
        <w:rPr>
          <w:rFonts w:ascii="Garamond" w:eastAsia="Garamond" w:hAnsi="Garamond"/>
          <w:color w:val="000000"/>
        </w:rPr>
        <w:fldChar w:fldCharType="end"/>
      </w:r>
      <w:r w:rsidRPr="00166DB1">
        <w:rPr>
          <w:rFonts w:ascii="Garamond" w:eastAsia="Garamond" w:hAnsi="Garamond"/>
          <w:color w:val="000000"/>
        </w:rPr>
        <w:t xml:space="preserve">. </w:t>
      </w:r>
    </w:p>
    <w:p w14:paraId="7514C7B7" w14:textId="77777777" w:rsidR="00166DB1" w:rsidRPr="00166DB1" w:rsidRDefault="00166DB1" w:rsidP="00483C21">
      <w:pPr>
        <w:pStyle w:val="Caption"/>
      </w:pPr>
      <w:bookmarkStart w:id="44" w:name="_Ref493516572"/>
      <w:r w:rsidRPr="00166DB1">
        <w:t xml:space="preserve">Table </w:t>
      </w:r>
      <w:r w:rsidRPr="00166DB1">
        <w:rPr>
          <w:noProof/>
        </w:rPr>
        <w:fldChar w:fldCharType="begin"/>
      </w:r>
      <w:r w:rsidRPr="00166DB1">
        <w:rPr>
          <w:noProof/>
        </w:rPr>
        <w:instrText xml:space="preserve"> STYLEREF 1 \s </w:instrText>
      </w:r>
      <w:r w:rsidRPr="00166DB1">
        <w:rPr>
          <w:noProof/>
        </w:rPr>
        <w:fldChar w:fldCharType="separate"/>
      </w:r>
      <w:r w:rsidRPr="00166DB1">
        <w:rPr>
          <w:noProof/>
        </w:rPr>
        <w:t>4</w:t>
      </w:r>
      <w:r w:rsidRPr="00166DB1">
        <w:rPr>
          <w:noProof/>
        </w:rPr>
        <w:fldChar w:fldCharType="end"/>
      </w:r>
      <w:r w:rsidRPr="00166DB1">
        <w:t>.</w:t>
      </w:r>
      <w:r w:rsidRPr="00166DB1">
        <w:rPr>
          <w:noProof/>
        </w:rPr>
        <w:fldChar w:fldCharType="begin"/>
      </w:r>
      <w:r w:rsidRPr="00166DB1">
        <w:rPr>
          <w:noProof/>
        </w:rPr>
        <w:instrText xml:space="preserve"> SEQ Table \* ARABIC \s 1 </w:instrText>
      </w:r>
      <w:r w:rsidRPr="00166DB1">
        <w:rPr>
          <w:noProof/>
        </w:rPr>
        <w:fldChar w:fldCharType="separate"/>
      </w:r>
      <w:r w:rsidRPr="00166DB1">
        <w:rPr>
          <w:noProof/>
        </w:rPr>
        <w:t>1</w:t>
      </w:r>
      <w:r w:rsidRPr="00166DB1">
        <w:rPr>
          <w:noProof/>
        </w:rPr>
        <w:fldChar w:fldCharType="end"/>
      </w:r>
      <w:bookmarkEnd w:id="44"/>
      <w:r w:rsidRPr="00166DB1">
        <w:t>: Pharmacist FTE rate per 100,000 population by pharmacist type and geographic location, 2015</w:t>
      </w:r>
    </w:p>
    <w:tbl>
      <w:tblPr>
        <w:tblStyle w:val="HMATable"/>
        <w:tblW w:w="4128" w:type="pct"/>
        <w:jc w:val="center"/>
        <w:tblLayout w:type="fixed"/>
        <w:tblLook w:val="04A0" w:firstRow="1" w:lastRow="0" w:firstColumn="1" w:lastColumn="0" w:noHBand="0" w:noVBand="1"/>
        <w:tblCaption w:val="Table 4.1: Pharmacist FTE rate per 100,000 population by pharmacist type and geographic location, 2015"/>
        <w:tblDescription w:val="Table 4.1: Pharmacist FTE rate per 100,000 population by pharmacist type and geographic location, 2015"/>
      </w:tblPr>
      <w:tblGrid>
        <w:gridCol w:w="2540"/>
        <w:gridCol w:w="1424"/>
        <w:gridCol w:w="1843"/>
      </w:tblGrid>
      <w:tr w:rsidR="00166DB1" w:rsidRPr="00166DB1" w14:paraId="7CD69C62" w14:textId="77777777" w:rsidTr="00367717">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100" w:firstRow="0" w:lastRow="0" w:firstColumn="1" w:lastColumn="0" w:oddVBand="0" w:evenVBand="0" w:oddHBand="0" w:evenHBand="0" w:firstRowFirstColumn="1" w:firstRowLastColumn="0" w:lastRowFirstColumn="0" w:lastRowLastColumn="0"/>
            <w:tcW w:w="2187" w:type="pct"/>
            <w:shd w:val="clear" w:color="auto" w:fill="D9D9D9" w:themeFill="background1" w:themeFillShade="D9"/>
            <w:noWrap/>
            <w:hideMark/>
          </w:tcPr>
          <w:p w14:paraId="393EAEFE" w14:textId="77777777" w:rsidR="00166DB1" w:rsidRPr="00166DB1" w:rsidRDefault="00166DB1" w:rsidP="00063226">
            <w:pPr>
              <w:pStyle w:val="TableColumnHeading"/>
              <w:rPr>
                <w:rFonts w:ascii="Garamond" w:hAnsi="Garamond"/>
                <w:lang w:eastAsia="en-AU"/>
              </w:rPr>
            </w:pPr>
            <w:r w:rsidRPr="00166DB1">
              <w:rPr>
                <w:lang w:eastAsia="en-AU"/>
              </w:rPr>
              <w:t xml:space="preserve">Pharmacist type </w:t>
            </w:r>
          </w:p>
        </w:tc>
        <w:tc>
          <w:tcPr>
            <w:tcW w:w="1226" w:type="pct"/>
            <w:shd w:val="clear" w:color="auto" w:fill="D9D9D9" w:themeFill="background1" w:themeFillShade="D9"/>
            <w:noWrap/>
            <w:hideMark/>
          </w:tcPr>
          <w:p w14:paraId="34CC1553" w14:textId="77777777" w:rsidR="00166DB1" w:rsidRPr="00166DB1" w:rsidRDefault="00166DB1" w:rsidP="00063226">
            <w:pPr>
              <w:pStyle w:val="TableColumnHeading"/>
              <w:cnfStyle w:val="100000000000" w:firstRow="1" w:lastRow="0" w:firstColumn="0" w:lastColumn="0" w:oddVBand="0" w:evenVBand="0" w:oddHBand="0" w:evenHBand="0" w:firstRowFirstColumn="0" w:firstRowLastColumn="0" w:lastRowFirstColumn="0" w:lastRowLastColumn="0"/>
              <w:rPr>
                <w:lang w:eastAsia="en-AU"/>
              </w:rPr>
            </w:pPr>
            <w:r w:rsidRPr="00166DB1">
              <w:rPr>
                <w:lang w:eastAsia="en-AU"/>
              </w:rPr>
              <w:t>Major City</w:t>
            </w:r>
          </w:p>
        </w:tc>
        <w:tc>
          <w:tcPr>
            <w:tcW w:w="1587" w:type="pct"/>
            <w:shd w:val="clear" w:color="auto" w:fill="D9D9D9" w:themeFill="background1" w:themeFillShade="D9"/>
            <w:noWrap/>
            <w:hideMark/>
          </w:tcPr>
          <w:p w14:paraId="145ADCD5" w14:textId="77777777" w:rsidR="00166DB1" w:rsidRPr="00166DB1" w:rsidRDefault="00166DB1" w:rsidP="00063226">
            <w:pPr>
              <w:pStyle w:val="TableColumnHeading"/>
              <w:cnfStyle w:val="100000000000" w:firstRow="1" w:lastRow="0" w:firstColumn="0" w:lastColumn="0" w:oddVBand="0" w:evenVBand="0" w:oddHBand="0" w:evenHBand="0" w:firstRowFirstColumn="0" w:firstRowLastColumn="0" w:lastRowFirstColumn="0" w:lastRowLastColumn="0"/>
              <w:rPr>
                <w:lang w:eastAsia="en-AU"/>
              </w:rPr>
            </w:pPr>
            <w:r w:rsidRPr="00166DB1">
              <w:rPr>
                <w:lang w:eastAsia="en-AU"/>
              </w:rPr>
              <w:t>Non-metropolitan areas</w:t>
            </w:r>
          </w:p>
        </w:tc>
      </w:tr>
      <w:tr w:rsidR="00166DB1" w:rsidRPr="00166DB1" w14:paraId="3D3EA4FC" w14:textId="77777777" w:rsidTr="00063226">
        <w:trPr>
          <w:trHeight w:val="300"/>
          <w:jc w:val="center"/>
        </w:trPr>
        <w:tc>
          <w:tcPr>
            <w:cnfStyle w:val="001000000000" w:firstRow="0" w:lastRow="0" w:firstColumn="1" w:lastColumn="0" w:oddVBand="0" w:evenVBand="0" w:oddHBand="0" w:evenHBand="0" w:firstRowFirstColumn="0" w:firstRowLastColumn="0" w:lastRowFirstColumn="0" w:lastRowLastColumn="0"/>
            <w:tcW w:w="2187" w:type="pct"/>
            <w:shd w:val="clear" w:color="auto" w:fill="F2F2F2" w:themeFill="background1" w:themeFillShade="F2"/>
            <w:noWrap/>
            <w:hideMark/>
          </w:tcPr>
          <w:p w14:paraId="503A66F8" w14:textId="77777777" w:rsidR="00166DB1" w:rsidRPr="00166DB1" w:rsidRDefault="00166DB1" w:rsidP="00063226">
            <w:pPr>
              <w:pStyle w:val="TableCopy"/>
              <w:rPr>
                <w:lang w:eastAsia="en-AU"/>
              </w:rPr>
            </w:pPr>
            <w:r w:rsidRPr="00166DB1">
              <w:rPr>
                <w:lang w:eastAsia="en-AU"/>
              </w:rPr>
              <w:t>Community Pharmacy</w:t>
            </w:r>
          </w:p>
        </w:tc>
        <w:tc>
          <w:tcPr>
            <w:tcW w:w="1226" w:type="pct"/>
            <w:shd w:val="clear" w:color="auto" w:fill="F2F2F2" w:themeFill="background1" w:themeFillShade="F2"/>
            <w:noWrap/>
            <w:hideMark/>
          </w:tcPr>
          <w:p w14:paraId="6B8D0C3C" w14:textId="77777777" w:rsidR="00166DB1" w:rsidRPr="00166DB1" w:rsidRDefault="00166DB1" w:rsidP="00063226">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54.5</w:t>
            </w:r>
          </w:p>
        </w:tc>
        <w:tc>
          <w:tcPr>
            <w:tcW w:w="1587" w:type="pct"/>
            <w:shd w:val="clear" w:color="auto" w:fill="F2F2F2" w:themeFill="background1" w:themeFillShade="F2"/>
            <w:noWrap/>
            <w:hideMark/>
          </w:tcPr>
          <w:p w14:paraId="1D1B5954" w14:textId="77777777" w:rsidR="00166DB1" w:rsidRPr="00166DB1" w:rsidRDefault="00166DB1" w:rsidP="00063226">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50.4</w:t>
            </w:r>
          </w:p>
        </w:tc>
      </w:tr>
      <w:tr w:rsidR="00166DB1" w:rsidRPr="00166DB1" w14:paraId="136F9B96" w14:textId="77777777" w:rsidTr="00063226">
        <w:trPr>
          <w:trHeight w:val="300"/>
          <w:jc w:val="center"/>
        </w:trPr>
        <w:tc>
          <w:tcPr>
            <w:cnfStyle w:val="001000000000" w:firstRow="0" w:lastRow="0" w:firstColumn="1" w:lastColumn="0" w:oddVBand="0" w:evenVBand="0" w:oddHBand="0" w:evenHBand="0" w:firstRowFirstColumn="0" w:firstRowLastColumn="0" w:lastRowFirstColumn="0" w:lastRowLastColumn="0"/>
            <w:tcW w:w="2187" w:type="pct"/>
            <w:shd w:val="clear" w:color="auto" w:fill="F2F2F2" w:themeFill="background1" w:themeFillShade="F2"/>
            <w:noWrap/>
            <w:hideMark/>
          </w:tcPr>
          <w:p w14:paraId="274C3D9A" w14:textId="77777777" w:rsidR="00166DB1" w:rsidRPr="00166DB1" w:rsidRDefault="00166DB1" w:rsidP="00063226">
            <w:pPr>
              <w:pStyle w:val="TableCopy"/>
              <w:rPr>
                <w:lang w:eastAsia="en-AU"/>
              </w:rPr>
            </w:pPr>
            <w:r w:rsidRPr="00166DB1">
              <w:rPr>
                <w:lang w:eastAsia="en-AU"/>
              </w:rPr>
              <w:t>Hospital Pharmacy</w:t>
            </w:r>
          </w:p>
        </w:tc>
        <w:tc>
          <w:tcPr>
            <w:tcW w:w="1226" w:type="pct"/>
            <w:shd w:val="clear" w:color="auto" w:fill="F2F2F2" w:themeFill="background1" w:themeFillShade="F2"/>
            <w:noWrap/>
            <w:hideMark/>
          </w:tcPr>
          <w:p w14:paraId="32E3FF8F" w14:textId="77777777" w:rsidR="00166DB1" w:rsidRPr="00166DB1" w:rsidRDefault="00166DB1" w:rsidP="00063226">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17.7</w:t>
            </w:r>
          </w:p>
        </w:tc>
        <w:tc>
          <w:tcPr>
            <w:tcW w:w="1587" w:type="pct"/>
            <w:shd w:val="clear" w:color="auto" w:fill="F2F2F2" w:themeFill="background1" w:themeFillShade="F2"/>
            <w:noWrap/>
            <w:hideMark/>
          </w:tcPr>
          <w:p w14:paraId="6FCFD6C8" w14:textId="77777777" w:rsidR="00166DB1" w:rsidRPr="00166DB1" w:rsidRDefault="00166DB1" w:rsidP="00063226">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9.5</w:t>
            </w:r>
          </w:p>
        </w:tc>
      </w:tr>
      <w:tr w:rsidR="00166DB1" w:rsidRPr="00166DB1" w14:paraId="71353232" w14:textId="77777777" w:rsidTr="00063226">
        <w:trPr>
          <w:trHeight w:val="300"/>
          <w:jc w:val="center"/>
        </w:trPr>
        <w:tc>
          <w:tcPr>
            <w:cnfStyle w:val="001000000000" w:firstRow="0" w:lastRow="0" w:firstColumn="1" w:lastColumn="0" w:oddVBand="0" w:evenVBand="0" w:oddHBand="0" w:evenHBand="0" w:firstRowFirstColumn="0" w:firstRowLastColumn="0" w:lastRowFirstColumn="0" w:lastRowLastColumn="0"/>
            <w:tcW w:w="2187" w:type="pct"/>
            <w:shd w:val="clear" w:color="auto" w:fill="F2F2F2" w:themeFill="background1" w:themeFillShade="F2"/>
            <w:noWrap/>
            <w:hideMark/>
          </w:tcPr>
          <w:p w14:paraId="3BB096BE" w14:textId="77777777" w:rsidR="00166DB1" w:rsidRPr="00166DB1" w:rsidRDefault="00166DB1" w:rsidP="00063226">
            <w:pPr>
              <w:pStyle w:val="TableCopy"/>
              <w:rPr>
                <w:lang w:eastAsia="en-AU"/>
              </w:rPr>
            </w:pPr>
            <w:r w:rsidRPr="00166DB1">
              <w:rPr>
                <w:lang w:eastAsia="en-AU"/>
              </w:rPr>
              <w:t>Other Pharmacy</w:t>
            </w:r>
          </w:p>
        </w:tc>
        <w:tc>
          <w:tcPr>
            <w:tcW w:w="1226" w:type="pct"/>
            <w:shd w:val="clear" w:color="auto" w:fill="F2F2F2" w:themeFill="background1" w:themeFillShade="F2"/>
            <w:noWrap/>
            <w:hideMark/>
          </w:tcPr>
          <w:p w14:paraId="0093DB48" w14:textId="77777777" w:rsidR="00166DB1" w:rsidRPr="00166DB1" w:rsidRDefault="00166DB1" w:rsidP="00063226">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7.5</w:t>
            </w:r>
          </w:p>
        </w:tc>
        <w:tc>
          <w:tcPr>
            <w:tcW w:w="1587" w:type="pct"/>
            <w:shd w:val="clear" w:color="auto" w:fill="F2F2F2" w:themeFill="background1" w:themeFillShade="F2"/>
            <w:noWrap/>
            <w:hideMark/>
          </w:tcPr>
          <w:p w14:paraId="43500DFB" w14:textId="77777777" w:rsidR="00166DB1" w:rsidRPr="00166DB1" w:rsidRDefault="00166DB1" w:rsidP="00063226">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3.9</w:t>
            </w:r>
          </w:p>
        </w:tc>
      </w:tr>
    </w:tbl>
    <w:p w14:paraId="20D38F91" w14:textId="77777777" w:rsidR="00166DB1" w:rsidRPr="00166DB1" w:rsidRDefault="00166DB1" w:rsidP="00483C21">
      <w:pPr>
        <w:pStyle w:val="Caption"/>
      </w:pPr>
      <w:bookmarkStart w:id="45" w:name="_Ref493516579"/>
      <w:r w:rsidRPr="00166DB1">
        <w:t xml:space="preserve">Figure </w:t>
      </w:r>
      <w:r w:rsidRPr="00166DB1">
        <w:rPr>
          <w:noProof/>
        </w:rPr>
        <w:fldChar w:fldCharType="begin"/>
      </w:r>
      <w:r w:rsidRPr="00166DB1">
        <w:rPr>
          <w:noProof/>
        </w:rPr>
        <w:instrText xml:space="preserve"> STYLEREF 1 \s </w:instrText>
      </w:r>
      <w:r w:rsidRPr="00166DB1">
        <w:rPr>
          <w:noProof/>
        </w:rPr>
        <w:fldChar w:fldCharType="separate"/>
      </w:r>
      <w:r w:rsidRPr="00166DB1">
        <w:rPr>
          <w:noProof/>
        </w:rPr>
        <w:t>4</w:t>
      </w:r>
      <w:r w:rsidRPr="00166DB1">
        <w:rPr>
          <w:noProof/>
        </w:rPr>
        <w:fldChar w:fldCharType="end"/>
      </w:r>
      <w:r w:rsidRPr="00166DB1">
        <w:t>.</w:t>
      </w:r>
      <w:r w:rsidRPr="00166DB1">
        <w:rPr>
          <w:noProof/>
        </w:rPr>
        <w:fldChar w:fldCharType="begin"/>
      </w:r>
      <w:r w:rsidRPr="00166DB1">
        <w:rPr>
          <w:noProof/>
        </w:rPr>
        <w:instrText xml:space="preserve"> SEQ Figure \* ARABIC \s 1 </w:instrText>
      </w:r>
      <w:r w:rsidRPr="00166DB1">
        <w:rPr>
          <w:noProof/>
        </w:rPr>
        <w:fldChar w:fldCharType="separate"/>
      </w:r>
      <w:r w:rsidRPr="00166DB1">
        <w:rPr>
          <w:noProof/>
        </w:rPr>
        <w:t>2</w:t>
      </w:r>
      <w:r w:rsidRPr="00166DB1">
        <w:rPr>
          <w:noProof/>
        </w:rPr>
        <w:fldChar w:fldCharType="end"/>
      </w:r>
      <w:bookmarkEnd w:id="45"/>
      <w:r w:rsidRPr="00166DB1">
        <w:t>: Pharmacist FTE rate per 100,000 population by pharmacist type and geographic location, 2015</w:t>
      </w:r>
    </w:p>
    <w:p w14:paraId="6F377AA0" w14:textId="77777777" w:rsidR="00166DB1" w:rsidRPr="00166DB1" w:rsidRDefault="00166DB1" w:rsidP="00166DB1">
      <w:pPr>
        <w:spacing w:before="120" w:after="120"/>
        <w:rPr>
          <w:rFonts w:ascii="Garamond" w:eastAsia="Garamond" w:hAnsi="Garamond"/>
          <w:color w:val="000000"/>
        </w:rPr>
      </w:pPr>
      <w:r w:rsidRPr="00166DB1">
        <w:rPr>
          <w:rFonts w:ascii="Garamond" w:eastAsia="Garamond" w:hAnsi="Garamond"/>
          <w:noProof/>
          <w:color w:val="000000"/>
          <w:lang w:eastAsia="en-AU"/>
        </w:rPr>
        <w:drawing>
          <wp:inline distT="0" distB="0" distL="0" distR="0" wp14:anchorId="5325D1B0" wp14:editId="129447D1">
            <wp:extent cx="4472940" cy="2689367"/>
            <wp:effectExtent l="0" t="0" r="3810" b="0"/>
            <wp:docPr id="84" name="Picture 84" descr="Figure 4.2 Bar graph showing Pharmacist FTE rate per 100,000 population by pharmacist type and geographic location,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472940" cy="2689367"/>
                    </a:xfrm>
                    <a:prstGeom prst="rect">
                      <a:avLst/>
                    </a:prstGeom>
                    <a:noFill/>
                    <a:ln>
                      <a:noFill/>
                    </a:ln>
                  </pic:spPr>
                </pic:pic>
              </a:graphicData>
            </a:graphic>
          </wp:inline>
        </w:drawing>
      </w:r>
    </w:p>
    <w:p w14:paraId="3E683ADF" w14:textId="77777777" w:rsidR="00166DB1" w:rsidRPr="00166DB1" w:rsidRDefault="00166DB1" w:rsidP="00166DB1">
      <w:pPr>
        <w:spacing w:before="120" w:after="120"/>
        <w:rPr>
          <w:rFonts w:ascii="Garamond" w:eastAsia="Garamond" w:hAnsi="Garamond"/>
          <w:color w:val="000000"/>
        </w:rPr>
      </w:pPr>
      <w:r w:rsidRPr="00166DB1">
        <w:rPr>
          <w:rFonts w:ascii="Garamond" w:eastAsia="Garamond" w:hAnsi="Garamond"/>
          <w:color w:val="000000"/>
        </w:rPr>
        <w:t xml:space="preserve">Further analysis of changes in community pharmacist FTE rate over time was undertaken. The analysis also shows an overall increase in the community pharmacy FTE rate per 100,000 people in major cities, inner regional areas and very remote </w:t>
      </w:r>
      <w:r w:rsidRPr="00166DB1">
        <w:rPr>
          <w:rFonts w:ascii="Garamond" w:eastAsia="Garamond" w:hAnsi="Garamond"/>
          <w:color w:val="000000"/>
        </w:rPr>
        <w:t>areas between 2013 and 2015. However, over the same period, FTE rates in remote areas declined over the three years.</w:t>
      </w:r>
    </w:p>
    <w:p w14:paraId="3FA74278" w14:textId="77777777" w:rsidR="00166DB1" w:rsidRPr="00166DB1" w:rsidRDefault="00166DB1" w:rsidP="00166DB1">
      <w:pPr>
        <w:keepNext/>
        <w:keepLines/>
        <w:spacing w:before="170" w:after="85" w:line="200" w:lineRule="exact"/>
        <w:ind w:left="170"/>
        <w:jc w:val="center"/>
        <w:rPr>
          <w:rFonts w:ascii="Franklin Gothic Book" w:eastAsia="Garamond" w:hAnsi="Franklin Gothic Book"/>
          <w:bCs/>
          <w:color w:val="000000"/>
          <w:sz w:val="17"/>
          <w:szCs w:val="18"/>
        </w:rPr>
      </w:pPr>
      <w:bookmarkStart w:id="46" w:name="_Ref460839265"/>
      <w:r w:rsidRPr="00166DB1">
        <w:rPr>
          <w:rFonts w:ascii="Franklin Gothic Demi" w:eastAsia="Garamond" w:hAnsi="Franklin Gothic Demi"/>
          <w:bCs/>
          <w:color w:val="000000"/>
          <w:sz w:val="17"/>
          <w:szCs w:val="18"/>
        </w:rPr>
        <w:t xml:space="preserve">Figure </w:t>
      </w:r>
      <w:r w:rsidRPr="00166DB1">
        <w:rPr>
          <w:rFonts w:ascii="Franklin Gothic Demi" w:eastAsia="Garamond" w:hAnsi="Franklin Gothic Demi"/>
          <w:bCs/>
          <w:color w:val="000000"/>
          <w:sz w:val="17"/>
          <w:szCs w:val="18"/>
        </w:rPr>
        <w:fldChar w:fldCharType="begin"/>
      </w:r>
      <w:r w:rsidRPr="00166DB1">
        <w:rPr>
          <w:rFonts w:ascii="Franklin Gothic Demi" w:eastAsia="Garamond" w:hAnsi="Franklin Gothic Demi"/>
          <w:bCs/>
          <w:color w:val="000000"/>
          <w:sz w:val="17"/>
          <w:szCs w:val="18"/>
        </w:rPr>
        <w:instrText xml:space="preserve"> STYLEREF 1 \s </w:instrText>
      </w:r>
      <w:r w:rsidRPr="00166DB1">
        <w:rPr>
          <w:rFonts w:ascii="Franklin Gothic Demi" w:eastAsia="Garamond" w:hAnsi="Franklin Gothic Demi"/>
          <w:bCs/>
          <w:color w:val="000000"/>
          <w:sz w:val="17"/>
          <w:szCs w:val="18"/>
        </w:rPr>
        <w:fldChar w:fldCharType="separate"/>
      </w:r>
      <w:r w:rsidRPr="00166DB1">
        <w:rPr>
          <w:rFonts w:ascii="Franklin Gothic Demi" w:eastAsia="Garamond" w:hAnsi="Franklin Gothic Demi"/>
          <w:bCs/>
          <w:noProof/>
          <w:color w:val="000000"/>
          <w:sz w:val="17"/>
          <w:szCs w:val="18"/>
        </w:rPr>
        <w:t>4</w:t>
      </w:r>
      <w:r w:rsidRPr="00166DB1">
        <w:rPr>
          <w:rFonts w:ascii="Franklin Gothic Demi" w:eastAsia="Garamond" w:hAnsi="Franklin Gothic Demi"/>
          <w:bCs/>
          <w:noProof/>
          <w:color w:val="000000"/>
          <w:sz w:val="17"/>
          <w:szCs w:val="18"/>
        </w:rPr>
        <w:fldChar w:fldCharType="end"/>
      </w:r>
      <w:r w:rsidRPr="00166DB1">
        <w:rPr>
          <w:rFonts w:ascii="Franklin Gothic Demi" w:eastAsia="Garamond" w:hAnsi="Franklin Gothic Demi"/>
          <w:bCs/>
          <w:noProof/>
          <w:color w:val="000000"/>
          <w:sz w:val="17"/>
          <w:szCs w:val="18"/>
        </w:rPr>
        <w:t>.2</w:t>
      </w:r>
      <w:bookmarkEnd w:id="46"/>
      <w:r w:rsidRPr="00166DB1">
        <w:rPr>
          <w:rFonts w:ascii="Franklin Gothic Demi" w:eastAsia="Garamond" w:hAnsi="Franklin Gothic Demi"/>
          <w:bCs/>
          <w:color w:val="000000"/>
          <w:sz w:val="17"/>
          <w:szCs w:val="18"/>
        </w:rPr>
        <w:t xml:space="preserve">: </w:t>
      </w:r>
      <w:r w:rsidRPr="00166DB1">
        <w:rPr>
          <w:rFonts w:ascii="Franklin Gothic Book" w:eastAsia="Garamond" w:hAnsi="Franklin Gothic Book"/>
          <w:bCs/>
          <w:color w:val="000000"/>
          <w:sz w:val="17"/>
          <w:szCs w:val="18"/>
        </w:rPr>
        <w:t>Community pharmacist workforce FTE rate (per 100,000) by remoteness and year</w:t>
      </w:r>
    </w:p>
    <w:p w14:paraId="0EADDE0C"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noProof/>
          <w:color w:val="000000"/>
          <w:lang w:eastAsia="en-AU"/>
        </w:rPr>
        <w:drawing>
          <wp:inline distT="0" distB="0" distL="0" distR="0" wp14:anchorId="6E73EB3D" wp14:editId="1C63C981">
            <wp:extent cx="4472940" cy="3085982"/>
            <wp:effectExtent l="0" t="0" r="3810" b="635"/>
            <wp:docPr id="80" name="Picture 80" descr="Figure 4.2 Line graph showing community pharmacist workforce FTE rate (per 100,000) by remoteness and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472940" cy="3085982"/>
                    </a:xfrm>
                    <a:prstGeom prst="rect">
                      <a:avLst/>
                    </a:prstGeom>
                    <a:noFill/>
                    <a:ln>
                      <a:noFill/>
                    </a:ln>
                  </pic:spPr>
                </pic:pic>
              </a:graphicData>
            </a:graphic>
          </wp:inline>
        </w:drawing>
      </w:r>
    </w:p>
    <w:p w14:paraId="3F2C2DC7" w14:textId="77777777" w:rsidR="00166DB1" w:rsidRPr="00166DB1" w:rsidRDefault="00166DB1" w:rsidP="00166DB1">
      <w:pPr>
        <w:tabs>
          <w:tab w:val="left" w:pos="227"/>
        </w:tabs>
        <w:spacing w:before="85" w:after="170" w:line="158" w:lineRule="atLeast"/>
        <w:contextualSpacing/>
        <w:rPr>
          <w:rFonts w:ascii="Garamond" w:eastAsia="Garamond" w:hAnsi="Garamond"/>
          <w:i/>
          <w:color w:val="000000"/>
          <w:sz w:val="14"/>
        </w:rPr>
      </w:pPr>
      <w:r w:rsidRPr="00166DB1">
        <w:rPr>
          <w:rFonts w:ascii="Garamond" w:eastAsia="Garamond" w:hAnsi="Garamond"/>
          <w:i/>
          <w:color w:val="000000"/>
          <w:sz w:val="14"/>
        </w:rPr>
        <w:t>Source: AHPRA</w:t>
      </w:r>
      <w:sdt>
        <w:sdtPr>
          <w:rPr>
            <w:rFonts w:ascii="Garamond" w:eastAsia="Garamond" w:hAnsi="Garamond"/>
            <w:i/>
            <w:color w:val="000000"/>
            <w:sz w:val="14"/>
          </w:rPr>
          <w:id w:val="163677949"/>
          <w:citation/>
        </w:sdtPr>
        <w:sdtEndPr/>
        <w:sdtContent>
          <w:r w:rsidRPr="00166DB1">
            <w:rPr>
              <w:rFonts w:ascii="Garamond" w:eastAsia="Garamond" w:hAnsi="Garamond"/>
              <w:i/>
              <w:color w:val="000000"/>
              <w:sz w:val="14"/>
            </w:rPr>
            <w:fldChar w:fldCharType="begin"/>
          </w:r>
          <w:r w:rsidRPr="00166DB1">
            <w:rPr>
              <w:rFonts w:ascii="Garamond" w:eastAsia="Garamond" w:hAnsi="Garamond"/>
              <w:i/>
              <w:color w:val="000000"/>
              <w:sz w:val="14"/>
            </w:rPr>
            <w:instrText xml:space="preserve"> CITATION Aus15 \l 3081 </w:instrText>
          </w:r>
          <w:r w:rsidRPr="00166DB1">
            <w:rPr>
              <w:rFonts w:ascii="Garamond" w:eastAsia="Garamond" w:hAnsi="Garamond"/>
              <w:i/>
              <w:color w:val="000000"/>
              <w:sz w:val="14"/>
            </w:rPr>
            <w:fldChar w:fldCharType="separate"/>
          </w:r>
          <w:r w:rsidRPr="00166DB1">
            <w:rPr>
              <w:rFonts w:ascii="Garamond" w:eastAsia="Garamond" w:hAnsi="Garamond"/>
              <w:i/>
              <w:noProof/>
              <w:color w:val="000000"/>
              <w:sz w:val="14"/>
            </w:rPr>
            <w:t xml:space="preserve"> </w:t>
          </w:r>
          <w:r w:rsidRPr="00166DB1">
            <w:rPr>
              <w:rFonts w:ascii="Garamond" w:eastAsia="Garamond" w:hAnsi="Garamond"/>
              <w:noProof/>
              <w:color w:val="000000"/>
              <w:sz w:val="14"/>
            </w:rPr>
            <w:t>[4]</w:t>
          </w:r>
          <w:r w:rsidRPr="00166DB1">
            <w:rPr>
              <w:rFonts w:ascii="Garamond" w:eastAsia="Garamond" w:hAnsi="Garamond"/>
              <w:i/>
              <w:color w:val="000000"/>
              <w:sz w:val="14"/>
            </w:rPr>
            <w:fldChar w:fldCharType="end"/>
          </w:r>
        </w:sdtContent>
      </w:sdt>
    </w:p>
    <w:p w14:paraId="1CE506B5"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By 2015, very remote areas had a community pharmacist FTE rate (per 100,000 people,) of 27.5, 50% lower than the rate for major cities (see </w:t>
      </w:r>
      <w:r w:rsidRPr="00166DB1">
        <w:rPr>
          <w:rFonts w:ascii="Garamond" w:eastAsia="Garamond" w:hAnsi="Garamond"/>
          <w:color w:val="000000"/>
        </w:rPr>
        <w:fldChar w:fldCharType="begin"/>
      </w:r>
      <w:r w:rsidRPr="00166DB1">
        <w:rPr>
          <w:rFonts w:ascii="Garamond" w:eastAsia="Garamond" w:hAnsi="Garamond"/>
          <w:color w:val="000000"/>
        </w:rPr>
        <w:instrText xml:space="preserve"> REF _Ref461180608 \h  \* MERGEFORMAT </w:instrText>
      </w:r>
      <w:r w:rsidRPr="00166DB1">
        <w:rPr>
          <w:rFonts w:ascii="Garamond" w:eastAsia="Garamond" w:hAnsi="Garamond"/>
          <w:color w:val="000000"/>
        </w:rPr>
      </w:r>
      <w:r w:rsidRPr="00166DB1">
        <w:rPr>
          <w:rFonts w:ascii="Garamond" w:eastAsia="Garamond" w:hAnsi="Garamond"/>
          <w:color w:val="000000"/>
        </w:rPr>
        <w:fldChar w:fldCharType="separate"/>
      </w:r>
      <w:r w:rsidRPr="00166DB1">
        <w:rPr>
          <w:rFonts w:ascii="Garamond" w:eastAsia="Garamond" w:hAnsi="Garamond"/>
          <w:color w:val="000000"/>
        </w:rPr>
        <w:t>Table 4.2</w:t>
      </w:r>
      <w:r w:rsidRPr="00166DB1">
        <w:rPr>
          <w:rFonts w:ascii="Garamond" w:eastAsia="Garamond" w:hAnsi="Garamond"/>
          <w:color w:val="000000"/>
        </w:rPr>
        <w:fldChar w:fldCharType="end"/>
      </w:r>
      <w:r w:rsidRPr="00166DB1">
        <w:rPr>
          <w:rFonts w:ascii="Garamond" w:eastAsia="Garamond" w:hAnsi="Garamond"/>
          <w:color w:val="000000"/>
        </w:rPr>
        <w:t xml:space="preserve">). </w:t>
      </w:r>
    </w:p>
    <w:p w14:paraId="193F184F"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This indicates that, despite overall increases in community pharmacist headcount and FTE rates, the increases were limited to major cities, inner regional areas and very remote areas, not outer regional or remote areas.</w:t>
      </w:r>
    </w:p>
    <w:p w14:paraId="24945E46" w14:textId="77777777" w:rsidR="00166DB1" w:rsidRPr="00166DB1" w:rsidRDefault="00166DB1" w:rsidP="00483C21">
      <w:pPr>
        <w:pStyle w:val="Caption"/>
      </w:pPr>
      <w:bookmarkStart w:id="47" w:name="_Ref461180608"/>
      <w:r w:rsidRPr="00166DB1">
        <w:lastRenderedPageBreak/>
        <w:t xml:space="preserve">Table </w:t>
      </w:r>
      <w:r w:rsidR="002E1F1A">
        <w:rPr>
          <w:noProof/>
        </w:rPr>
        <w:fldChar w:fldCharType="begin"/>
      </w:r>
      <w:r w:rsidR="002E1F1A">
        <w:rPr>
          <w:noProof/>
        </w:rPr>
        <w:instrText xml:space="preserve"> STYLEREF 1 \s </w:instrText>
      </w:r>
      <w:r w:rsidR="002E1F1A">
        <w:rPr>
          <w:noProof/>
        </w:rPr>
        <w:fldChar w:fldCharType="separate"/>
      </w:r>
      <w:r w:rsidRPr="00166DB1">
        <w:rPr>
          <w:noProof/>
        </w:rPr>
        <w:t>4</w:t>
      </w:r>
      <w:r w:rsidR="002E1F1A">
        <w:rPr>
          <w:noProof/>
        </w:rPr>
        <w:fldChar w:fldCharType="end"/>
      </w:r>
      <w:r w:rsidRPr="00166DB1">
        <w:t>.</w:t>
      </w:r>
      <w:r w:rsidR="002E1F1A">
        <w:rPr>
          <w:noProof/>
        </w:rPr>
        <w:fldChar w:fldCharType="begin"/>
      </w:r>
      <w:r w:rsidR="002E1F1A">
        <w:rPr>
          <w:noProof/>
        </w:rPr>
        <w:instrText xml:space="preserve"> SEQ Table \* ARABIC \s 1 </w:instrText>
      </w:r>
      <w:r w:rsidR="002E1F1A">
        <w:rPr>
          <w:noProof/>
        </w:rPr>
        <w:fldChar w:fldCharType="separate"/>
      </w:r>
      <w:r w:rsidRPr="00166DB1">
        <w:rPr>
          <w:noProof/>
        </w:rPr>
        <w:t>2</w:t>
      </w:r>
      <w:r w:rsidR="002E1F1A">
        <w:rPr>
          <w:noProof/>
        </w:rPr>
        <w:fldChar w:fldCharType="end"/>
      </w:r>
      <w:bookmarkEnd w:id="47"/>
      <w:r w:rsidRPr="00166DB1">
        <w:t>: Community pharmacy workforce FTE rate (per 100,000) by remoteness and year</w:t>
      </w:r>
    </w:p>
    <w:tbl>
      <w:tblPr>
        <w:tblStyle w:val="HMATable"/>
        <w:tblW w:w="5000" w:type="pct"/>
        <w:tblLayout w:type="fixed"/>
        <w:tblLook w:val="04A0" w:firstRow="1" w:lastRow="0" w:firstColumn="1" w:lastColumn="0" w:noHBand="0" w:noVBand="1"/>
        <w:tblCaption w:val="Table 4.2: Community pharmacy workforce FTE rate (per 100,000) by remoteness and year"/>
        <w:tblDescription w:val="Table 4.2: Community pharmacy workforce FTE rate (per 100,000) by remoteness and year"/>
      </w:tblPr>
      <w:tblGrid>
        <w:gridCol w:w="576"/>
        <w:gridCol w:w="846"/>
        <w:gridCol w:w="990"/>
        <w:gridCol w:w="1014"/>
        <w:gridCol w:w="966"/>
        <w:gridCol w:w="1415"/>
        <w:gridCol w:w="1227"/>
      </w:tblGrid>
      <w:tr w:rsidR="00166DB1" w:rsidRPr="00166DB1" w14:paraId="1A1E62CE" w14:textId="77777777" w:rsidTr="00367717">
        <w:trPr>
          <w:cnfStyle w:val="100000000000" w:firstRow="1" w:lastRow="0" w:firstColumn="0" w:lastColumn="0" w:oddVBand="0" w:evenVBand="0" w:oddHBand="0" w:evenHBand="0" w:firstRowFirstColumn="0" w:firstRowLastColumn="0" w:lastRowFirstColumn="0" w:lastRowLastColumn="0"/>
          <w:trHeight w:val="983"/>
          <w:tblHeader/>
        </w:trPr>
        <w:tc>
          <w:tcPr>
            <w:cnfStyle w:val="001000000100" w:firstRow="0" w:lastRow="0" w:firstColumn="1" w:lastColumn="0" w:oddVBand="0" w:evenVBand="0" w:oddHBand="0" w:evenHBand="0" w:firstRowFirstColumn="1" w:firstRowLastColumn="0" w:lastRowFirstColumn="0" w:lastRowLastColumn="0"/>
            <w:tcW w:w="409" w:type="pct"/>
            <w:shd w:val="clear" w:color="auto" w:fill="D9D9D9" w:themeFill="background1" w:themeFillShade="D9"/>
            <w:noWrap/>
            <w:hideMark/>
          </w:tcPr>
          <w:p w14:paraId="6AF17985" w14:textId="77777777" w:rsidR="00166DB1" w:rsidRPr="00166DB1" w:rsidRDefault="00166DB1" w:rsidP="00166DB1">
            <w:pPr>
              <w:keepNext/>
              <w:keepLines/>
              <w:spacing w:before="60" w:after="60"/>
              <w:ind w:left="57" w:right="57"/>
              <w:rPr>
                <w:rFonts w:eastAsia="Garamond"/>
                <w:color w:val="000000"/>
                <w:lang w:eastAsia="en-AU"/>
              </w:rPr>
            </w:pPr>
            <w:r w:rsidRPr="00166DB1">
              <w:rPr>
                <w:rFonts w:eastAsia="Garamond"/>
                <w:color w:val="000000"/>
                <w:lang w:eastAsia="en-AU"/>
              </w:rPr>
              <w:t>Year</w:t>
            </w:r>
          </w:p>
        </w:tc>
        <w:tc>
          <w:tcPr>
            <w:tcW w:w="601" w:type="pct"/>
            <w:shd w:val="clear" w:color="auto" w:fill="D9D9D9" w:themeFill="background1" w:themeFillShade="D9"/>
            <w:noWrap/>
            <w:hideMark/>
          </w:tcPr>
          <w:p w14:paraId="4CCFD834" w14:textId="77777777" w:rsidR="00166DB1" w:rsidRPr="00166DB1" w:rsidRDefault="00166DB1" w:rsidP="00166DB1">
            <w:pPr>
              <w:keepNext/>
              <w:keepLines/>
              <w:spacing w:before="60" w:after="60"/>
              <w:ind w:left="57" w:right="57"/>
              <w:jc w:val="center"/>
              <w:cnfStyle w:val="100000000000" w:firstRow="1" w:lastRow="0" w:firstColumn="0" w:lastColumn="0" w:oddVBand="0" w:evenVBand="0" w:oddHBand="0" w:evenHBand="0" w:firstRowFirstColumn="0" w:firstRowLastColumn="0" w:lastRowFirstColumn="0" w:lastRowLastColumn="0"/>
              <w:rPr>
                <w:rFonts w:eastAsia="Garamond"/>
                <w:color w:val="000000"/>
                <w:lang w:eastAsia="en-AU"/>
              </w:rPr>
            </w:pPr>
            <w:r w:rsidRPr="00166DB1">
              <w:rPr>
                <w:rFonts w:eastAsia="Garamond"/>
                <w:color w:val="000000"/>
                <w:lang w:eastAsia="en-AU"/>
              </w:rPr>
              <w:t>Major cities</w:t>
            </w:r>
          </w:p>
        </w:tc>
        <w:tc>
          <w:tcPr>
            <w:tcW w:w="704" w:type="pct"/>
            <w:shd w:val="clear" w:color="auto" w:fill="D9D9D9" w:themeFill="background1" w:themeFillShade="D9"/>
            <w:noWrap/>
            <w:hideMark/>
          </w:tcPr>
          <w:p w14:paraId="5CA62A84" w14:textId="77777777" w:rsidR="00166DB1" w:rsidRPr="00166DB1" w:rsidRDefault="00166DB1" w:rsidP="00166DB1">
            <w:pPr>
              <w:keepNext/>
              <w:keepLines/>
              <w:spacing w:before="60" w:after="60"/>
              <w:ind w:left="57" w:right="57"/>
              <w:jc w:val="center"/>
              <w:cnfStyle w:val="100000000000" w:firstRow="1" w:lastRow="0" w:firstColumn="0" w:lastColumn="0" w:oddVBand="0" w:evenVBand="0" w:oddHBand="0" w:evenHBand="0" w:firstRowFirstColumn="0" w:firstRowLastColumn="0" w:lastRowFirstColumn="0" w:lastRowLastColumn="0"/>
              <w:rPr>
                <w:rFonts w:eastAsia="Garamond"/>
                <w:color w:val="000000"/>
                <w:lang w:eastAsia="en-AU"/>
              </w:rPr>
            </w:pPr>
            <w:r w:rsidRPr="00166DB1">
              <w:rPr>
                <w:rFonts w:eastAsia="Garamond"/>
                <w:color w:val="000000"/>
                <w:lang w:eastAsia="en-AU"/>
              </w:rPr>
              <w:t>Inner regional</w:t>
            </w:r>
          </w:p>
        </w:tc>
        <w:tc>
          <w:tcPr>
            <w:tcW w:w="721" w:type="pct"/>
            <w:shd w:val="clear" w:color="auto" w:fill="D9D9D9" w:themeFill="background1" w:themeFillShade="D9"/>
            <w:noWrap/>
            <w:hideMark/>
          </w:tcPr>
          <w:p w14:paraId="6DB9EBCF" w14:textId="77777777" w:rsidR="00166DB1" w:rsidRPr="00166DB1" w:rsidRDefault="00166DB1" w:rsidP="00166DB1">
            <w:pPr>
              <w:keepNext/>
              <w:keepLines/>
              <w:spacing w:before="60" w:after="60"/>
              <w:ind w:left="57" w:right="57"/>
              <w:jc w:val="center"/>
              <w:cnfStyle w:val="100000000000" w:firstRow="1" w:lastRow="0" w:firstColumn="0" w:lastColumn="0" w:oddVBand="0" w:evenVBand="0" w:oddHBand="0" w:evenHBand="0" w:firstRowFirstColumn="0" w:firstRowLastColumn="0" w:lastRowFirstColumn="0" w:lastRowLastColumn="0"/>
              <w:rPr>
                <w:rFonts w:eastAsia="Garamond"/>
                <w:color w:val="000000"/>
                <w:lang w:eastAsia="en-AU"/>
              </w:rPr>
            </w:pPr>
            <w:r w:rsidRPr="00166DB1">
              <w:rPr>
                <w:rFonts w:eastAsia="Garamond"/>
                <w:color w:val="000000"/>
                <w:lang w:eastAsia="en-AU"/>
              </w:rPr>
              <w:t>Outer regional</w:t>
            </w:r>
          </w:p>
        </w:tc>
        <w:tc>
          <w:tcPr>
            <w:tcW w:w="687" w:type="pct"/>
            <w:tcBorders>
              <w:bottom w:val="single" w:sz="4" w:space="0" w:color="4B4B4B"/>
            </w:tcBorders>
            <w:shd w:val="clear" w:color="auto" w:fill="D9D9D9" w:themeFill="background1" w:themeFillShade="D9"/>
            <w:noWrap/>
            <w:hideMark/>
          </w:tcPr>
          <w:p w14:paraId="10984695" w14:textId="77777777" w:rsidR="00166DB1" w:rsidRPr="00166DB1" w:rsidRDefault="00166DB1" w:rsidP="00166DB1">
            <w:pPr>
              <w:keepNext/>
              <w:keepLines/>
              <w:spacing w:before="60" w:after="60"/>
              <w:ind w:left="57" w:right="57"/>
              <w:jc w:val="center"/>
              <w:cnfStyle w:val="100000000000" w:firstRow="1" w:lastRow="0" w:firstColumn="0" w:lastColumn="0" w:oddVBand="0" w:evenVBand="0" w:oddHBand="0" w:evenHBand="0" w:firstRowFirstColumn="0" w:firstRowLastColumn="0" w:lastRowFirstColumn="0" w:lastRowLastColumn="0"/>
              <w:rPr>
                <w:rFonts w:eastAsia="Garamond"/>
                <w:color w:val="000000"/>
                <w:lang w:eastAsia="en-AU"/>
              </w:rPr>
            </w:pPr>
            <w:r w:rsidRPr="00166DB1">
              <w:rPr>
                <w:rFonts w:eastAsia="Garamond"/>
                <w:color w:val="000000"/>
                <w:lang w:eastAsia="en-AU"/>
              </w:rPr>
              <w:t>Remote</w:t>
            </w:r>
          </w:p>
        </w:tc>
        <w:tc>
          <w:tcPr>
            <w:tcW w:w="1006" w:type="pct"/>
            <w:tcBorders>
              <w:bottom w:val="single" w:sz="4" w:space="0" w:color="4B4B4B"/>
            </w:tcBorders>
            <w:shd w:val="clear" w:color="auto" w:fill="D9D9D9" w:themeFill="background1" w:themeFillShade="D9"/>
          </w:tcPr>
          <w:p w14:paraId="3CD888A3" w14:textId="77777777" w:rsidR="00166DB1" w:rsidRPr="00166DB1" w:rsidRDefault="00166DB1" w:rsidP="00166DB1">
            <w:pPr>
              <w:keepNext/>
              <w:keepLines/>
              <w:spacing w:before="60" w:after="60"/>
              <w:ind w:left="57" w:right="57"/>
              <w:jc w:val="center"/>
              <w:cnfStyle w:val="100000000000" w:firstRow="1" w:lastRow="0" w:firstColumn="0" w:lastColumn="0" w:oddVBand="0" w:evenVBand="0" w:oddHBand="0" w:evenHBand="0" w:firstRowFirstColumn="0" w:firstRowLastColumn="0" w:lastRowFirstColumn="0" w:lastRowLastColumn="0"/>
              <w:rPr>
                <w:rFonts w:eastAsia="Garamond"/>
                <w:color w:val="000000"/>
                <w:lang w:eastAsia="en-AU"/>
              </w:rPr>
            </w:pPr>
            <w:r w:rsidRPr="00166DB1">
              <w:rPr>
                <w:rFonts w:eastAsia="Garamond"/>
                <w:color w:val="000000"/>
                <w:lang w:eastAsia="en-AU"/>
              </w:rPr>
              <w:t>Very remote</w:t>
            </w:r>
          </w:p>
        </w:tc>
        <w:tc>
          <w:tcPr>
            <w:tcW w:w="872" w:type="pct"/>
            <w:tcBorders>
              <w:bottom w:val="single" w:sz="4" w:space="0" w:color="4B4B4B"/>
            </w:tcBorders>
            <w:shd w:val="clear" w:color="auto" w:fill="D9D9D9" w:themeFill="background1" w:themeFillShade="D9"/>
            <w:noWrap/>
            <w:hideMark/>
          </w:tcPr>
          <w:p w14:paraId="59FEAC21" w14:textId="77777777" w:rsidR="00166DB1" w:rsidRPr="00166DB1" w:rsidRDefault="00166DB1" w:rsidP="00166DB1">
            <w:pPr>
              <w:keepNext/>
              <w:keepLines/>
              <w:spacing w:before="60" w:after="60"/>
              <w:ind w:left="57" w:right="57"/>
              <w:jc w:val="center"/>
              <w:cnfStyle w:val="100000000000" w:firstRow="1" w:lastRow="0" w:firstColumn="0" w:lastColumn="0" w:oddVBand="0" w:evenVBand="0" w:oddHBand="0" w:evenHBand="0" w:firstRowFirstColumn="0" w:firstRowLastColumn="0" w:lastRowFirstColumn="0" w:lastRowLastColumn="0"/>
              <w:rPr>
                <w:rFonts w:eastAsia="Garamond"/>
                <w:color w:val="000000"/>
                <w:lang w:eastAsia="en-AU"/>
              </w:rPr>
            </w:pPr>
            <w:r w:rsidRPr="00166DB1">
              <w:rPr>
                <w:rFonts w:eastAsia="Garamond"/>
                <w:color w:val="000000"/>
                <w:lang w:eastAsia="en-AU"/>
              </w:rPr>
              <w:t>Difference: very remote to major city</w:t>
            </w:r>
          </w:p>
        </w:tc>
      </w:tr>
      <w:tr w:rsidR="00166DB1" w:rsidRPr="00166DB1" w14:paraId="47A3E6FE" w14:textId="77777777" w:rsidTr="00292F80">
        <w:trPr>
          <w:trHeight w:val="285"/>
        </w:trPr>
        <w:tc>
          <w:tcPr>
            <w:cnfStyle w:val="001000000000" w:firstRow="0" w:lastRow="0" w:firstColumn="1" w:lastColumn="0" w:oddVBand="0" w:evenVBand="0" w:oddHBand="0" w:evenHBand="0" w:firstRowFirstColumn="0" w:firstRowLastColumn="0" w:lastRowFirstColumn="0" w:lastRowLastColumn="0"/>
            <w:tcW w:w="409" w:type="pct"/>
            <w:tcBorders>
              <w:top w:val="double" w:sz="4" w:space="0" w:color="4B4B4B"/>
            </w:tcBorders>
            <w:shd w:val="clear" w:color="auto" w:fill="F2F2F2" w:themeFill="background1" w:themeFillShade="F2"/>
            <w:noWrap/>
            <w:hideMark/>
          </w:tcPr>
          <w:p w14:paraId="1AC13322" w14:textId="77777777" w:rsidR="00166DB1" w:rsidRPr="00166DB1" w:rsidRDefault="00166DB1" w:rsidP="00166DB1">
            <w:pPr>
              <w:keepNext/>
              <w:keepLines/>
              <w:spacing w:before="60" w:after="60" w:line="240" w:lineRule="atLeast"/>
              <w:ind w:left="57" w:right="57"/>
              <w:rPr>
                <w:rFonts w:eastAsia="Garamond"/>
                <w:color w:val="000000"/>
                <w:lang w:eastAsia="en-AU"/>
              </w:rPr>
            </w:pPr>
            <w:r w:rsidRPr="00166DB1">
              <w:rPr>
                <w:rFonts w:eastAsia="Garamond"/>
                <w:color w:val="000000"/>
                <w:lang w:eastAsia="en-AU"/>
              </w:rPr>
              <w:t>2013</w:t>
            </w:r>
          </w:p>
        </w:tc>
        <w:tc>
          <w:tcPr>
            <w:tcW w:w="601" w:type="pct"/>
            <w:tcBorders>
              <w:top w:val="double" w:sz="4" w:space="0" w:color="4B4B4B"/>
            </w:tcBorders>
            <w:shd w:val="clear" w:color="auto" w:fill="F2F2F2" w:themeFill="background1" w:themeFillShade="F2"/>
            <w:noWrap/>
          </w:tcPr>
          <w:p w14:paraId="00D35EF8" w14:textId="77777777" w:rsidR="00166DB1" w:rsidRPr="00166DB1" w:rsidRDefault="00166DB1" w:rsidP="00166DB1">
            <w:pPr>
              <w:keepNext/>
              <w:keepLines/>
              <w:spacing w:before="60" w:after="60" w:line="240" w:lineRule="atLeast"/>
              <w:ind w:left="57" w:right="57"/>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lang w:eastAsia="en-AU"/>
              </w:rPr>
            </w:pPr>
            <w:r w:rsidRPr="00166DB1">
              <w:rPr>
                <w:rFonts w:ascii="Garamond" w:eastAsia="Garamond" w:hAnsi="Garamond"/>
                <w:color w:val="000000"/>
                <w:lang w:eastAsia="en-AU"/>
              </w:rPr>
              <w:t>53.8</w:t>
            </w:r>
          </w:p>
        </w:tc>
        <w:tc>
          <w:tcPr>
            <w:tcW w:w="704" w:type="pct"/>
            <w:tcBorders>
              <w:top w:val="double" w:sz="4" w:space="0" w:color="4B4B4B"/>
            </w:tcBorders>
            <w:shd w:val="clear" w:color="auto" w:fill="F2F2F2" w:themeFill="background1" w:themeFillShade="F2"/>
            <w:noWrap/>
          </w:tcPr>
          <w:p w14:paraId="47EF0BBD" w14:textId="77777777" w:rsidR="00166DB1" w:rsidRPr="00166DB1" w:rsidRDefault="00166DB1" w:rsidP="00166DB1">
            <w:pPr>
              <w:keepNext/>
              <w:keepLines/>
              <w:spacing w:before="60" w:after="60" w:line="240" w:lineRule="atLeast"/>
              <w:ind w:left="57" w:right="57"/>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lang w:eastAsia="en-AU"/>
              </w:rPr>
            </w:pPr>
            <w:r w:rsidRPr="00166DB1">
              <w:rPr>
                <w:rFonts w:ascii="Garamond" w:eastAsia="Garamond" w:hAnsi="Garamond"/>
                <w:color w:val="000000"/>
                <w:lang w:eastAsia="en-AU"/>
              </w:rPr>
              <w:t>51.9</w:t>
            </w:r>
          </w:p>
        </w:tc>
        <w:tc>
          <w:tcPr>
            <w:tcW w:w="721" w:type="pct"/>
            <w:tcBorders>
              <w:top w:val="double" w:sz="4" w:space="0" w:color="4B4B4B"/>
            </w:tcBorders>
            <w:shd w:val="clear" w:color="auto" w:fill="F2F2F2" w:themeFill="background1" w:themeFillShade="F2"/>
            <w:noWrap/>
          </w:tcPr>
          <w:p w14:paraId="38A21B9E" w14:textId="77777777" w:rsidR="00166DB1" w:rsidRPr="00166DB1" w:rsidRDefault="00166DB1" w:rsidP="00166DB1">
            <w:pPr>
              <w:keepNext/>
              <w:keepLines/>
              <w:spacing w:before="60" w:after="60" w:line="240" w:lineRule="atLeast"/>
              <w:ind w:left="57" w:right="57"/>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lang w:eastAsia="en-AU"/>
              </w:rPr>
            </w:pPr>
            <w:r w:rsidRPr="00166DB1">
              <w:rPr>
                <w:rFonts w:ascii="Garamond" w:eastAsia="Garamond" w:hAnsi="Garamond"/>
                <w:color w:val="000000"/>
                <w:lang w:eastAsia="en-AU"/>
              </w:rPr>
              <w:t>51.2</w:t>
            </w:r>
          </w:p>
        </w:tc>
        <w:tc>
          <w:tcPr>
            <w:tcW w:w="687" w:type="pct"/>
            <w:tcBorders>
              <w:top w:val="double" w:sz="4" w:space="0" w:color="4B4B4B"/>
            </w:tcBorders>
            <w:shd w:val="clear" w:color="auto" w:fill="F2F2F2" w:themeFill="background1" w:themeFillShade="F2"/>
            <w:noWrap/>
          </w:tcPr>
          <w:p w14:paraId="3E0A460E" w14:textId="77777777" w:rsidR="00166DB1" w:rsidRPr="00166DB1" w:rsidRDefault="00166DB1" w:rsidP="00166DB1">
            <w:pPr>
              <w:keepNext/>
              <w:keepLines/>
              <w:spacing w:before="60" w:after="60" w:line="240" w:lineRule="atLeast"/>
              <w:ind w:left="57" w:right="57"/>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lang w:eastAsia="en-AU"/>
              </w:rPr>
            </w:pPr>
            <w:r w:rsidRPr="00166DB1">
              <w:rPr>
                <w:rFonts w:ascii="Garamond" w:eastAsia="Garamond" w:hAnsi="Garamond"/>
                <w:color w:val="000000"/>
                <w:lang w:eastAsia="en-AU"/>
              </w:rPr>
              <w:t>42.8</w:t>
            </w:r>
          </w:p>
        </w:tc>
        <w:tc>
          <w:tcPr>
            <w:tcW w:w="1006" w:type="pct"/>
            <w:tcBorders>
              <w:top w:val="double" w:sz="4" w:space="0" w:color="4B4B4B"/>
            </w:tcBorders>
            <w:shd w:val="clear" w:color="auto" w:fill="F2F2F2" w:themeFill="background1" w:themeFillShade="F2"/>
          </w:tcPr>
          <w:p w14:paraId="2B2E4FC5" w14:textId="77777777" w:rsidR="00166DB1" w:rsidRPr="00166DB1" w:rsidRDefault="00166DB1" w:rsidP="00166DB1">
            <w:pPr>
              <w:keepNext/>
              <w:keepLines/>
              <w:spacing w:before="60" w:after="60" w:line="240" w:lineRule="atLeast"/>
              <w:ind w:left="57" w:right="57"/>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lang w:eastAsia="en-AU"/>
              </w:rPr>
            </w:pPr>
            <w:r w:rsidRPr="00166DB1">
              <w:rPr>
                <w:rFonts w:ascii="Garamond" w:eastAsia="Garamond" w:hAnsi="Garamond"/>
                <w:color w:val="000000"/>
                <w:lang w:eastAsia="en-AU"/>
              </w:rPr>
              <w:t>26.6</w:t>
            </w:r>
          </w:p>
        </w:tc>
        <w:tc>
          <w:tcPr>
            <w:tcW w:w="872" w:type="pct"/>
            <w:tcBorders>
              <w:top w:val="double" w:sz="4" w:space="0" w:color="4B4B4B"/>
            </w:tcBorders>
            <w:shd w:val="clear" w:color="auto" w:fill="F2F2F2" w:themeFill="background1" w:themeFillShade="F2"/>
            <w:noWrap/>
          </w:tcPr>
          <w:p w14:paraId="2AB6F363" w14:textId="77777777" w:rsidR="00166DB1" w:rsidRPr="00166DB1" w:rsidRDefault="00166DB1" w:rsidP="00166DB1">
            <w:pPr>
              <w:keepNext/>
              <w:keepLines/>
              <w:spacing w:before="60" w:after="60" w:line="240" w:lineRule="atLeast"/>
              <w:ind w:left="57" w:right="57"/>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lang w:eastAsia="en-AU"/>
              </w:rPr>
            </w:pPr>
            <w:r w:rsidRPr="00166DB1">
              <w:rPr>
                <w:rFonts w:ascii="Garamond" w:eastAsia="Garamond" w:hAnsi="Garamond"/>
                <w:color w:val="000000"/>
                <w:lang w:eastAsia="en-AU"/>
              </w:rPr>
              <w:t>27.2</w:t>
            </w:r>
          </w:p>
        </w:tc>
      </w:tr>
      <w:tr w:rsidR="00166DB1" w:rsidRPr="00166DB1" w14:paraId="103FEA74" w14:textId="77777777" w:rsidTr="00292F80">
        <w:trPr>
          <w:trHeight w:val="285"/>
        </w:trPr>
        <w:tc>
          <w:tcPr>
            <w:cnfStyle w:val="001000000000" w:firstRow="0" w:lastRow="0" w:firstColumn="1" w:lastColumn="0" w:oddVBand="0" w:evenVBand="0" w:oddHBand="0" w:evenHBand="0" w:firstRowFirstColumn="0" w:firstRowLastColumn="0" w:lastRowFirstColumn="0" w:lastRowLastColumn="0"/>
            <w:tcW w:w="409" w:type="pct"/>
            <w:shd w:val="clear" w:color="auto" w:fill="F2F2F2" w:themeFill="background1" w:themeFillShade="F2"/>
            <w:noWrap/>
            <w:hideMark/>
          </w:tcPr>
          <w:p w14:paraId="75E189CB" w14:textId="77777777" w:rsidR="00166DB1" w:rsidRPr="00166DB1" w:rsidRDefault="00166DB1" w:rsidP="00166DB1">
            <w:pPr>
              <w:keepNext/>
              <w:keepLines/>
              <w:spacing w:before="60" w:after="60" w:line="240" w:lineRule="atLeast"/>
              <w:ind w:left="57" w:right="57"/>
              <w:rPr>
                <w:rFonts w:eastAsia="Garamond"/>
                <w:color w:val="000000"/>
                <w:lang w:eastAsia="en-AU"/>
              </w:rPr>
            </w:pPr>
            <w:r w:rsidRPr="00166DB1">
              <w:rPr>
                <w:rFonts w:eastAsia="Garamond"/>
                <w:color w:val="000000"/>
                <w:lang w:eastAsia="en-AU"/>
              </w:rPr>
              <w:t>2014</w:t>
            </w:r>
          </w:p>
        </w:tc>
        <w:tc>
          <w:tcPr>
            <w:tcW w:w="601" w:type="pct"/>
            <w:tcBorders>
              <w:bottom w:val="single" w:sz="4" w:space="0" w:color="4B4B4B"/>
            </w:tcBorders>
            <w:shd w:val="clear" w:color="auto" w:fill="F2F2F2" w:themeFill="background1" w:themeFillShade="F2"/>
            <w:noWrap/>
          </w:tcPr>
          <w:p w14:paraId="687023AF" w14:textId="77777777" w:rsidR="00166DB1" w:rsidRPr="00166DB1" w:rsidRDefault="00166DB1" w:rsidP="00166DB1">
            <w:pPr>
              <w:keepNext/>
              <w:keepLines/>
              <w:spacing w:before="60" w:after="60" w:line="240" w:lineRule="atLeast"/>
              <w:ind w:left="57" w:right="57"/>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lang w:eastAsia="en-AU"/>
              </w:rPr>
            </w:pPr>
            <w:r w:rsidRPr="00166DB1">
              <w:rPr>
                <w:rFonts w:ascii="Garamond" w:eastAsia="Garamond" w:hAnsi="Garamond"/>
                <w:color w:val="000000"/>
                <w:lang w:eastAsia="en-AU"/>
              </w:rPr>
              <w:t>54.0</w:t>
            </w:r>
          </w:p>
        </w:tc>
        <w:tc>
          <w:tcPr>
            <w:tcW w:w="704" w:type="pct"/>
            <w:tcBorders>
              <w:bottom w:val="single" w:sz="4" w:space="0" w:color="4B4B4B"/>
            </w:tcBorders>
            <w:shd w:val="clear" w:color="auto" w:fill="F2F2F2" w:themeFill="background1" w:themeFillShade="F2"/>
            <w:noWrap/>
          </w:tcPr>
          <w:p w14:paraId="3115E2FE" w14:textId="77777777" w:rsidR="00166DB1" w:rsidRPr="00166DB1" w:rsidRDefault="00166DB1" w:rsidP="00166DB1">
            <w:pPr>
              <w:keepNext/>
              <w:keepLines/>
              <w:spacing w:before="60" w:after="60" w:line="240" w:lineRule="atLeast"/>
              <w:ind w:left="57" w:right="57"/>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lang w:eastAsia="en-AU"/>
              </w:rPr>
            </w:pPr>
            <w:r w:rsidRPr="00166DB1">
              <w:rPr>
                <w:rFonts w:ascii="Garamond" w:eastAsia="Garamond" w:hAnsi="Garamond"/>
                <w:color w:val="000000"/>
                <w:lang w:eastAsia="en-AU"/>
              </w:rPr>
              <w:t>51.4</w:t>
            </w:r>
          </w:p>
        </w:tc>
        <w:tc>
          <w:tcPr>
            <w:tcW w:w="721" w:type="pct"/>
            <w:tcBorders>
              <w:bottom w:val="single" w:sz="4" w:space="0" w:color="4B4B4B"/>
            </w:tcBorders>
            <w:shd w:val="clear" w:color="auto" w:fill="F2F2F2" w:themeFill="background1" w:themeFillShade="F2"/>
            <w:noWrap/>
          </w:tcPr>
          <w:p w14:paraId="2FB1EBC3" w14:textId="77777777" w:rsidR="00166DB1" w:rsidRPr="00166DB1" w:rsidRDefault="00166DB1" w:rsidP="00166DB1">
            <w:pPr>
              <w:keepNext/>
              <w:keepLines/>
              <w:spacing w:before="60" w:after="60" w:line="240" w:lineRule="atLeast"/>
              <w:ind w:left="57" w:right="57"/>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lang w:eastAsia="en-AU"/>
              </w:rPr>
            </w:pPr>
            <w:r w:rsidRPr="00166DB1">
              <w:rPr>
                <w:rFonts w:ascii="Garamond" w:eastAsia="Garamond" w:hAnsi="Garamond"/>
                <w:color w:val="000000"/>
                <w:lang w:eastAsia="en-AU"/>
              </w:rPr>
              <w:t>50.2</w:t>
            </w:r>
          </w:p>
        </w:tc>
        <w:tc>
          <w:tcPr>
            <w:tcW w:w="687" w:type="pct"/>
            <w:tcBorders>
              <w:bottom w:val="single" w:sz="4" w:space="0" w:color="4B4B4B"/>
            </w:tcBorders>
            <w:shd w:val="clear" w:color="auto" w:fill="F2F2F2" w:themeFill="background1" w:themeFillShade="F2"/>
            <w:noWrap/>
          </w:tcPr>
          <w:p w14:paraId="57AE683D" w14:textId="77777777" w:rsidR="00166DB1" w:rsidRPr="00166DB1" w:rsidRDefault="00166DB1" w:rsidP="00166DB1">
            <w:pPr>
              <w:keepNext/>
              <w:keepLines/>
              <w:spacing w:before="60" w:after="60" w:line="240" w:lineRule="atLeast"/>
              <w:ind w:left="57" w:right="57"/>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lang w:eastAsia="en-AU"/>
              </w:rPr>
            </w:pPr>
            <w:r w:rsidRPr="00166DB1">
              <w:rPr>
                <w:rFonts w:ascii="Garamond" w:eastAsia="Garamond" w:hAnsi="Garamond"/>
                <w:color w:val="000000"/>
                <w:lang w:eastAsia="en-AU"/>
              </w:rPr>
              <w:t>41.8</w:t>
            </w:r>
          </w:p>
        </w:tc>
        <w:tc>
          <w:tcPr>
            <w:tcW w:w="1006" w:type="pct"/>
            <w:shd w:val="clear" w:color="auto" w:fill="F2F2F2" w:themeFill="background1" w:themeFillShade="F2"/>
          </w:tcPr>
          <w:p w14:paraId="58E1C22D" w14:textId="77777777" w:rsidR="00166DB1" w:rsidRPr="00166DB1" w:rsidRDefault="00166DB1" w:rsidP="00166DB1">
            <w:pPr>
              <w:keepNext/>
              <w:keepLines/>
              <w:spacing w:before="60" w:after="60" w:line="240" w:lineRule="atLeast"/>
              <w:ind w:left="57" w:right="57"/>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lang w:eastAsia="en-AU"/>
              </w:rPr>
            </w:pPr>
            <w:r w:rsidRPr="00166DB1">
              <w:rPr>
                <w:rFonts w:ascii="Garamond" w:eastAsia="Garamond" w:hAnsi="Garamond"/>
                <w:color w:val="000000"/>
                <w:lang w:eastAsia="en-AU"/>
              </w:rPr>
              <w:t>25.0</w:t>
            </w:r>
          </w:p>
        </w:tc>
        <w:tc>
          <w:tcPr>
            <w:tcW w:w="872" w:type="pct"/>
            <w:shd w:val="clear" w:color="auto" w:fill="F2F2F2" w:themeFill="background1" w:themeFillShade="F2"/>
            <w:noWrap/>
          </w:tcPr>
          <w:p w14:paraId="67E32644" w14:textId="77777777" w:rsidR="00166DB1" w:rsidRPr="00166DB1" w:rsidRDefault="00166DB1" w:rsidP="00166DB1">
            <w:pPr>
              <w:keepNext/>
              <w:keepLines/>
              <w:spacing w:before="60" w:after="60" w:line="240" w:lineRule="atLeast"/>
              <w:ind w:left="57" w:right="57"/>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lang w:eastAsia="en-AU"/>
              </w:rPr>
            </w:pPr>
            <w:r w:rsidRPr="00166DB1">
              <w:rPr>
                <w:rFonts w:ascii="Garamond" w:eastAsia="Garamond" w:hAnsi="Garamond"/>
                <w:color w:val="000000"/>
                <w:lang w:eastAsia="en-AU"/>
              </w:rPr>
              <w:t>29.0</w:t>
            </w:r>
          </w:p>
        </w:tc>
      </w:tr>
      <w:tr w:rsidR="00166DB1" w:rsidRPr="00166DB1" w14:paraId="67959CE4" w14:textId="77777777" w:rsidTr="00292F80">
        <w:trPr>
          <w:trHeight w:val="285"/>
        </w:trPr>
        <w:tc>
          <w:tcPr>
            <w:cnfStyle w:val="001000000000" w:firstRow="0" w:lastRow="0" w:firstColumn="1" w:lastColumn="0" w:oddVBand="0" w:evenVBand="0" w:oddHBand="0" w:evenHBand="0" w:firstRowFirstColumn="0" w:firstRowLastColumn="0" w:lastRowFirstColumn="0" w:lastRowLastColumn="0"/>
            <w:tcW w:w="409" w:type="pct"/>
            <w:shd w:val="clear" w:color="auto" w:fill="F2F2F2" w:themeFill="background1" w:themeFillShade="F2"/>
            <w:noWrap/>
          </w:tcPr>
          <w:p w14:paraId="7F121F41" w14:textId="77777777" w:rsidR="00166DB1" w:rsidRPr="00166DB1" w:rsidRDefault="00166DB1" w:rsidP="00166DB1">
            <w:pPr>
              <w:keepNext/>
              <w:keepLines/>
              <w:spacing w:before="60" w:after="60" w:line="240" w:lineRule="atLeast"/>
              <w:ind w:left="57" w:right="57"/>
              <w:rPr>
                <w:rFonts w:eastAsia="Garamond"/>
                <w:color w:val="000000"/>
                <w:lang w:eastAsia="en-AU"/>
              </w:rPr>
            </w:pPr>
            <w:r w:rsidRPr="00166DB1">
              <w:rPr>
                <w:rFonts w:eastAsia="Garamond"/>
                <w:color w:val="000000"/>
                <w:lang w:eastAsia="en-AU"/>
              </w:rPr>
              <w:t>2015</w:t>
            </w:r>
          </w:p>
        </w:tc>
        <w:tc>
          <w:tcPr>
            <w:tcW w:w="601" w:type="pct"/>
            <w:tcBorders>
              <w:bottom w:val="single" w:sz="4" w:space="0" w:color="4B4B4B"/>
            </w:tcBorders>
            <w:shd w:val="clear" w:color="auto" w:fill="F2F2F2" w:themeFill="background1" w:themeFillShade="F2"/>
            <w:noWrap/>
          </w:tcPr>
          <w:p w14:paraId="75460CE0" w14:textId="77777777" w:rsidR="00166DB1" w:rsidRPr="00166DB1" w:rsidRDefault="00166DB1" w:rsidP="00166DB1">
            <w:pPr>
              <w:keepNext/>
              <w:keepLines/>
              <w:spacing w:before="60" w:after="60" w:line="240" w:lineRule="atLeast"/>
              <w:ind w:left="57" w:right="57"/>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lang w:eastAsia="en-AU"/>
              </w:rPr>
            </w:pPr>
            <w:r w:rsidRPr="00166DB1">
              <w:rPr>
                <w:rFonts w:ascii="Garamond" w:eastAsia="Garamond" w:hAnsi="Garamond"/>
                <w:color w:val="000000"/>
                <w:lang w:eastAsia="en-AU"/>
              </w:rPr>
              <w:t>54.5</w:t>
            </w:r>
          </w:p>
        </w:tc>
        <w:tc>
          <w:tcPr>
            <w:tcW w:w="704" w:type="pct"/>
            <w:tcBorders>
              <w:bottom w:val="single" w:sz="4" w:space="0" w:color="4B4B4B"/>
            </w:tcBorders>
            <w:shd w:val="clear" w:color="auto" w:fill="F2F2F2" w:themeFill="background1" w:themeFillShade="F2"/>
            <w:noWrap/>
          </w:tcPr>
          <w:p w14:paraId="1B68EEC7" w14:textId="77777777" w:rsidR="00166DB1" w:rsidRPr="00166DB1" w:rsidRDefault="00166DB1" w:rsidP="00166DB1">
            <w:pPr>
              <w:keepNext/>
              <w:keepLines/>
              <w:spacing w:before="60" w:after="60" w:line="240" w:lineRule="atLeast"/>
              <w:ind w:left="57" w:right="57"/>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lang w:eastAsia="en-AU"/>
              </w:rPr>
            </w:pPr>
            <w:r w:rsidRPr="00166DB1">
              <w:rPr>
                <w:rFonts w:ascii="Garamond" w:eastAsia="Garamond" w:hAnsi="Garamond"/>
                <w:color w:val="000000"/>
                <w:lang w:eastAsia="en-AU"/>
              </w:rPr>
              <w:t>52.2</w:t>
            </w:r>
          </w:p>
        </w:tc>
        <w:tc>
          <w:tcPr>
            <w:tcW w:w="721" w:type="pct"/>
            <w:tcBorders>
              <w:bottom w:val="single" w:sz="4" w:space="0" w:color="4B4B4B"/>
            </w:tcBorders>
            <w:shd w:val="clear" w:color="auto" w:fill="F2F2F2" w:themeFill="background1" w:themeFillShade="F2"/>
            <w:noWrap/>
          </w:tcPr>
          <w:p w14:paraId="239D1672" w14:textId="77777777" w:rsidR="00166DB1" w:rsidRPr="00166DB1" w:rsidRDefault="00166DB1" w:rsidP="00166DB1">
            <w:pPr>
              <w:keepNext/>
              <w:keepLines/>
              <w:spacing w:before="60" w:after="60" w:line="240" w:lineRule="atLeast"/>
              <w:ind w:left="57" w:right="57"/>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lang w:eastAsia="en-AU"/>
              </w:rPr>
            </w:pPr>
            <w:r w:rsidRPr="00166DB1">
              <w:rPr>
                <w:rFonts w:ascii="Garamond" w:eastAsia="Garamond" w:hAnsi="Garamond"/>
                <w:color w:val="000000"/>
                <w:lang w:eastAsia="en-AU"/>
              </w:rPr>
              <w:t>50.4</w:t>
            </w:r>
          </w:p>
        </w:tc>
        <w:tc>
          <w:tcPr>
            <w:tcW w:w="687" w:type="pct"/>
            <w:tcBorders>
              <w:bottom w:val="single" w:sz="4" w:space="0" w:color="4B4B4B"/>
            </w:tcBorders>
            <w:shd w:val="clear" w:color="auto" w:fill="F2F2F2" w:themeFill="background1" w:themeFillShade="F2"/>
            <w:noWrap/>
          </w:tcPr>
          <w:p w14:paraId="5C72D832" w14:textId="77777777" w:rsidR="00166DB1" w:rsidRPr="00166DB1" w:rsidRDefault="00166DB1" w:rsidP="00166DB1">
            <w:pPr>
              <w:keepNext/>
              <w:keepLines/>
              <w:spacing w:before="60" w:after="60" w:line="240" w:lineRule="atLeast"/>
              <w:ind w:left="57" w:right="57"/>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lang w:eastAsia="en-AU"/>
              </w:rPr>
            </w:pPr>
            <w:r w:rsidRPr="00166DB1">
              <w:rPr>
                <w:rFonts w:ascii="Garamond" w:eastAsia="Garamond" w:hAnsi="Garamond"/>
                <w:color w:val="000000"/>
                <w:lang w:eastAsia="en-AU"/>
              </w:rPr>
              <w:t>40.3</w:t>
            </w:r>
          </w:p>
        </w:tc>
        <w:tc>
          <w:tcPr>
            <w:tcW w:w="1006" w:type="pct"/>
            <w:tcBorders>
              <w:bottom w:val="single" w:sz="4" w:space="0" w:color="4B4B4B"/>
            </w:tcBorders>
            <w:shd w:val="clear" w:color="auto" w:fill="F2F2F2" w:themeFill="background1" w:themeFillShade="F2"/>
          </w:tcPr>
          <w:p w14:paraId="3CDCECA0" w14:textId="77777777" w:rsidR="00166DB1" w:rsidRPr="00166DB1" w:rsidRDefault="00166DB1" w:rsidP="00166DB1">
            <w:pPr>
              <w:keepNext/>
              <w:keepLines/>
              <w:spacing w:before="60" w:after="60" w:line="240" w:lineRule="atLeast"/>
              <w:ind w:left="57" w:right="57"/>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lang w:eastAsia="en-AU"/>
              </w:rPr>
            </w:pPr>
            <w:r w:rsidRPr="00166DB1">
              <w:rPr>
                <w:rFonts w:ascii="Garamond" w:eastAsia="Garamond" w:hAnsi="Garamond"/>
                <w:color w:val="000000"/>
                <w:lang w:eastAsia="en-AU"/>
              </w:rPr>
              <w:t>27.5</w:t>
            </w:r>
          </w:p>
        </w:tc>
        <w:tc>
          <w:tcPr>
            <w:tcW w:w="872" w:type="pct"/>
            <w:shd w:val="clear" w:color="auto" w:fill="F2F2F2" w:themeFill="background1" w:themeFillShade="F2"/>
            <w:noWrap/>
          </w:tcPr>
          <w:p w14:paraId="026E96A3" w14:textId="77777777" w:rsidR="00166DB1" w:rsidRPr="00166DB1" w:rsidRDefault="00166DB1" w:rsidP="00166DB1">
            <w:pPr>
              <w:keepNext/>
              <w:keepLines/>
              <w:spacing w:before="60" w:after="60" w:line="240" w:lineRule="atLeast"/>
              <w:ind w:left="57" w:right="57"/>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lang w:eastAsia="en-AU"/>
              </w:rPr>
            </w:pPr>
            <w:r w:rsidRPr="00166DB1">
              <w:rPr>
                <w:rFonts w:ascii="Garamond" w:eastAsia="Garamond" w:hAnsi="Garamond"/>
                <w:color w:val="000000"/>
                <w:lang w:eastAsia="en-AU"/>
              </w:rPr>
              <w:t>27.0</w:t>
            </w:r>
          </w:p>
        </w:tc>
      </w:tr>
      <w:tr w:rsidR="00166DB1" w:rsidRPr="00166DB1" w14:paraId="3CBECE03" w14:textId="77777777" w:rsidTr="00292F80">
        <w:trPr>
          <w:trHeight w:val="285"/>
        </w:trPr>
        <w:tc>
          <w:tcPr>
            <w:cnfStyle w:val="001000000000" w:firstRow="0" w:lastRow="0" w:firstColumn="1" w:lastColumn="0" w:oddVBand="0" w:evenVBand="0" w:oddHBand="0" w:evenHBand="0" w:firstRowFirstColumn="0" w:firstRowLastColumn="0" w:lastRowFirstColumn="0" w:lastRowLastColumn="0"/>
            <w:tcW w:w="409" w:type="pct"/>
            <w:shd w:val="clear" w:color="auto" w:fill="F2F2F2" w:themeFill="background1" w:themeFillShade="F2"/>
            <w:noWrap/>
            <w:hideMark/>
          </w:tcPr>
          <w:p w14:paraId="71B0C113" w14:textId="77777777" w:rsidR="00166DB1" w:rsidRPr="00166DB1" w:rsidRDefault="00166DB1" w:rsidP="00166DB1">
            <w:pPr>
              <w:keepNext/>
              <w:keepLines/>
              <w:spacing w:before="60" w:after="60" w:line="240" w:lineRule="atLeast"/>
              <w:ind w:left="57" w:right="57"/>
              <w:rPr>
                <w:rFonts w:eastAsia="Garamond"/>
                <w:color w:val="000000"/>
                <w:lang w:eastAsia="en-AU"/>
              </w:rPr>
            </w:pPr>
            <w:r w:rsidRPr="00166DB1">
              <w:rPr>
                <w:rFonts w:eastAsia="Garamond"/>
                <w:color w:val="000000"/>
                <w:lang w:eastAsia="en-AU"/>
              </w:rPr>
              <w:t>Avg</w:t>
            </w:r>
          </w:p>
        </w:tc>
        <w:tc>
          <w:tcPr>
            <w:tcW w:w="601" w:type="pct"/>
            <w:shd w:val="clear" w:color="auto" w:fill="F2F2F2" w:themeFill="background1" w:themeFillShade="F2"/>
            <w:noWrap/>
            <w:hideMark/>
          </w:tcPr>
          <w:p w14:paraId="24EBFC7A" w14:textId="77777777" w:rsidR="00166DB1" w:rsidRPr="00166DB1" w:rsidRDefault="00166DB1" w:rsidP="00166DB1">
            <w:pPr>
              <w:keepNext/>
              <w:keepLines/>
              <w:spacing w:before="60" w:after="60" w:line="240" w:lineRule="atLeast"/>
              <w:ind w:left="57" w:right="57"/>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lang w:eastAsia="en-AU"/>
              </w:rPr>
            </w:pPr>
          </w:p>
        </w:tc>
        <w:tc>
          <w:tcPr>
            <w:tcW w:w="704" w:type="pct"/>
            <w:shd w:val="clear" w:color="auto" w:fill="F2F2F2" w:themeFill="background1" w:themeFillShade="F2"/>
            <w:noWrap/>
            <w:hideMark/>
          </w:tcPr>
          <w:p w14:paraId="0C41907E" w14:textId="77777777" w:rsidR="00166DB1" w:rsidRPr="00166DB1" w:rsidRDefault="00166DB1" w:rsidP="00166DB1">
            <w:pPr>
              <w:keepNext/>
              <w:keepLines/>
              <w:spacing w:before="60" w:after="60" w:line="240" w:lineRule="atLeast"/>
              <w:ind w:left="57" w:right="57"/>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lang w:eastAsia="en-AU"/>
              </w:rPr>
            </w:pPr>
          </w:p>
        </w:tc>
        <w:tc>
          <w:tcPr>
            <w:tcW w:w="721" w:type="pct"/>
            <w:shd w:val="clear" w:color="auto" w:fill="F2F2F2" w:themeFill="background1" w:themeFillShade="F2"/>
            <w:noWrap/>
            <w:hideMark/>
          </w:tcPr>
          <w:p w14:paraId="4A50DFC7" w14:textId="77777777" w:rsidR="00166DB1" w:rsidRPr="00166DB1" w:rsidRDefault="00166DB1" w:rsidP="00166DB1">
            <w:pPr>
              <w:keepNext/>
              <w:keepLines/>
              <w:spacing w:before="60" w:after="60" w:line="240" w:lineRule="atLeast"/>
              <w:ind w:left="57" w:right="57"/>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lang w:eastAsia="en-AU"/>
              </w:rPr>
            </w:pPr>
          </w:p>
        </w:tc>
        <w:tc>
          <w:tcPr>
            <w:tcW w:w="687" w:type="pct"/>
            <w:shd w:val="clear" w:color="auto" w:fill="F2F2F2" w:themeFill="background1" w:themeFillShade="F2"/>
            <w:noWrap/>
            <w:hideMark/>
          </w:tcPr>
          <w:p w14:paraId="1BA5C35D" w14:textId="77777777" w:rsidR="00166DB1" w:rsidRPr="00166DB1" w:rsidRDefault="00166DB1" w:rsidP="00166DB1">
            <w:pPr>
              <w:keepNext/>
              <w:keepLines/>
              <w:spacing w:before="60" w:after="60" w:line="240" w:lineRule="atLeast"/>
              <w:ind w:left="57" w:right="57"/>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lang w:eastAsia="en-AU"/>
              </w:rPr>
            </w:pPr>
          </w:p>
        </w:tc>
        <w:tc>
          <w:tcPr>
            <w:tcW w:w="1006" w:type="pct"/>
            <w:shd w:val="clear" w:color="auto" w:fill="F2F2F2" w:themeFill="background1" w:themeFillShade="F2"/>
            <w:vAlign w:val="center"/>
          </w:tcPr>
          <w:p w14:paraId="41449A1B" w14:textId="77777777" w:rsidR="00166DB1" w:rsidRPr="00166DB1" w:rsidRDefault="00166DB1" w:rsidP="00166DB1">
            <w:pPr>
              <w:keepNext/>
              <w:keepLines/>
              <w:spacing w:before="60" w:after="60" w:line="240" w:lineRule="atLeast"/>
              <w:ind w:left="57" w:right="57"/>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lang w:eastAsia="en-AU"/>
              </w:rPr>
            </w:pPr>
          </w:p>
        </w:tc>
        <w:tc>
          <w:tcPr>
            <w:tcW w:w="872" w:type="pct"/>
            <w:shd w:val="clear" w:color="auto" w:fill="F2F2F2" w:themeFill="background1" w:themeFillShade="F2"/>
            <w:noWrap/>
          </w:tcPr>
          <w:p w14:paraId="7FD8D70B" w14:textId="77777777" w:rsidR="00166DB1" w:rsidRPr="00166DB1" w:rsidRDefault="00166DB1" w:rsidP="00166DB1">
            <w:pPr>
              <w:keepNext/>
              <w:keepLines/>
              <w:spacing w:before="60" w:after="60" w:line="240" w:lineRule="atLeast"/>
              <w:ind w:left="57" w:right="57"/>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olor w:val="000000"/>
                <w:lang w:eastAsia="en-AU"/>
              </w:rPr>
            </w:pPr>
            <w:r w:rsidRPr="00166DB1">
              <w:rPr>
                <w:rFonts w:ascii="Garamond" w:eastAsia="Garamond" w:hAnsi="Garamond"/>
                <w:color w:val="000000"/>
                <w:lang w:eastAsia="en-AU"/>
              </w:rPr>
              <w:t>27.7</w:t>
            </w:r>
          </w:p>
        </w:tc>
      </w:tr>
    </w:tbl>
    <w:p w14:paraId="7EF21D3B" w14:textId="77777777" w:rsidR="00166DB1" w:rsidRPr="00166DB1" w:rsidRDefault="00166DB1" w:rsidP="00166DB1">
      <w:pPr>
        <w:keepNext/>
        <w:keepLines/>
        <w:tabs>
          <w:tab w:val="left" w:pos="227"/>
        </w:tabs>
        <w:spacing w:before="85" w:after="170" w:line="158" w:lineRule="atLeast"/>
        <w:contextualSpacing/>
        <w:rPr>
          <w:rFonts w:ascii="Garamond" w:eastAsia="Garamond" w:hAnsi="Garamond"/>
          <w:i/>
          <w:color w:val="000000"/>
          <w:sz w:val="14"/>
          <w:vertAlign w:val="superscript"/>
        </w:rPr>
      </w:pPr>
      <w:r w:rsidRPr="00166DB1">
        <w:rPr>
          <w:rFonts w:ascii="Garamond" w:eastAsia="Garamond" w:hAnsi="Garamond"/>
          <w:i/>
          <w:color w:val="000000"/>
          <w:sz w:val="14"/>
        </w:rPr>
        <w:t xml:space="preserve">Source: AHPRA </w:t>
      </w:r>
      <w:sdt>
        <w:sdtPr>
          <w:rPr>
            <w:rFonts w:ascii="Garamond" w:eastAsia="Garamond" w:hAnsi="Garamond"/>
            <w:i/>
            <w:color w:val="000000"/>
            <w:sz w:val="14"/>
          </w:rPr>
          <w:id w:val="-1117992399"/>
          <w:citation/>
        </w:sdtPr>
        <w:sdtEndPr/>
        <w:sdtContent>
          <w:r w:rsidRPr="00166DB1">
            <w:rPr>
              <w:rFonts w:ascii="Garamond" w:eastAsia="Garamond" w:hAnsi="Garamond"/>
              <w:i/>
              <w:color w:val="000000"/>
              <w:sz w:val="14"/>
            </w:rPr>
            <w:fldChar w:fldCharType="begin"/>
          </w:r>
          <w:r w:rsidRPr="00166DB1">
            <w:rPr>
              <w:rFonts w:ascii="Garamond" w:eastAsia="Garamond" w:hAnsi="Garamond"/>
              <w:i/>
              <w:color w:val="000000"/>
              <w:sz w:val="14"/>
            </w:rPr>
            <w:instrText xml:space="preserve"> CITATION Aus15 \l 3081 </w:instrText>
          </w:r>
          <w:r w:rsidRPr="00166DB1">
            <w:rPr>
              <w:rFonts w:ascii="Garamond" w:eastAsia="Garamond" w:hAnsi="Garamond"/>
              <w:i/>
              <w:color w:val="000000"/>
              <w:sz w:val="14"/>
            </w:rPr>
            <w:fldChar w:fldCharType="separate"/>
          </w:r>
          <w:r w:rsidRPr="00166DB1">
            <w:rPr>
              <w:rFonts w:ascii="Garamond" w:eastAsia="Garamond" w:hAnsi="Garamond"/>
              <w:noProof/>
              <w:color w:val="000000"/>
              <w:sz w:val="14"/>
            </w:rPr>
            <w:t>[4]</w:t>
          </w:r>
          <w:r w:rsidRPr="00166DB1">
            <w:rPr>
              <w:rFonts w:ascii="Garamond" w:eastAsia="Garamond" w:hAnsi="Garamond"/>
              <w:i/>
              <w:color w:val="000000"/>
              <w:sz w:val="14"/>
            </w:rPr>
            <w:fldChar w:fldCharType="end"/>
          </w:r>
        </w:sdtContent>
      </w:sdt>
    </w:p>
    <w:p w14:paraId="29585FF7" w14:textId="77777777" w:rsidR="00166DB1" w:rsidRPr="00166DB1" w:rsidRDefault="00166DB1" w:rsidP="00063226">
      <w:pPr>
        <w:pStyle w:val="KeyFinding"/>
        <w:shd w:val="clear" w:color="auto" w:fill="F2F2F2" w:themeFill="background1" w:themeFillShade="F2"/>
      </w:pPr>
      <w:bookmarkStart w:id="48" w:name="_Ref490665284"/>
      <w:r w:rsidRPr="00166DB1">
        <w:t>There was an overall increase of 5.8% in the number of pharmacists from 19,188 in 2013 to 20,297 in 2015.</w:t>
      </w:r>
      <w:bookmarkEnd w:id="48"/>
      <w:r w:rsidRPr="00166DB1">
        <w:t xml:space="preserve"> Similarly, there was an overall increase of 4.7% in the number of community pharmacists from 13,640 in 2013 to 14,276 in 2015.</w:t>
      </w:r>
    </w:p>
    <w:p w14:paraId="3E664033" w14:textId="77777777" w:rsidR="00166DB1" w:rsidRPr="00166DB1" w:rsidRDefault="00166DB1" w:rsidP="00166DB1">
      <w:pPr>
        <w:spacing w:before="85" w:after="85"/>
        <w:rPr>
          <w:rFonts w:ascii="Garamond" w:eastAsia="Garamond" w:hAnsi="Garamond"/>
          <w:color w:val="000000"/>
        </w:rPr>
      </w:pPr>
    </w:p>
    <w:p w14:paraId="73B9CA94" w14:textId="77777777" w:rsidR="00166DB1" w:rsidRPr="00166DB1" w:rsidRDefault="00166DB1" w:rsidP="00063226">
      <w:pPr>
        <w:pStyle w:val="KeyFinding"/>
        <w:shd w:val="clear" w:color="auto" w:fill="F2F2F2" w:themeFill="background1" w:themeFillShade="F2"/>
      </w:pPr>
      <w:bookmarkStart w:id="49" w:name="_Ref490665326"/>
      <w:r w:rsidRPr="00166DB1">
        <w:t xml:space="preserve">The distribution of pharmacist FTE rates (per 100,000 population) was skewed towards metropolitan areas. The latest available data showed the following community pharmacist FTE per 100,000 people in 2015: major cities – 54.5; inner regional – 52.2; outer regional – 50.4; remote </w:t>
      </w:r>
      <w:r w:rsidRPr="00166DB1">
        <w:softHyphen/>
        <w:t xml:space="preserve"> 40.3; and very remote – 27.5.</w:t>
      </w:r>
      <w:bookmarkEnd w:id="49"/>
      <w:r w:rsidRPr="00166DB1">
        <w:t xml:space="preserve"> </w:t>
      </w:r>
    </w:p>
    <w:p w14:paraId="399D78BE" w14:textId="77777777" w:rsidR="00166DB1" w:rsidRPr="00166DB1" w:rsidRDefault="00166DB1" w:rsidP="00166DB1">
      <w:pPr>
        <w:spacing w:before="85" w:after="85"/>
        <w:rPr>
          <w:rFonts w:ascii="Garamond" w:eastAsia="Garamond" w:hAnsi="Garamond"/>
          <w:color w:val="000000"/>
        </w:rPr>
      </w:pPr>
    </w:p>
    <w:p w14:paraId="692DD6EE" w14:textId="77777777" w:rsidR="00166DB1" w:rsidRPr="00166DB1" w:rsidRDefault="00166DB1" w:rsidP="0029291C">
      <w:pPr>
        <w:pStyle w:val="KeyFinding"/>
        <w:keepLines/>
        <w:shd w:val="clear" w:color="auto" w:fill="F2F2F2" w:themeFill="background1" w:themeFillShade="F2"/>
      </w:pPr>
      <w:bookmarkStart w:id="50" w:name="_Ref490665289"/>
      <w:r w:rsidRPr="00166DB1">
        <w:t>Based on the ongoing inequity of the pharmacist workforce distribution, it was concluded there is a continuing need for mechanisms to promote recruitment and retention of pharmacists in non-metropolitan areas, across all pharmacist types.</w:t>
      </w:r>
      <w:bookmarkEnd w:id="50"/>
    </w:p>
    <w:p w14:paraId="1E9B545C" w14:textId="77777777" w:rsidR="00166DB1" w:rsidRPr="00166DB1" w:rsidRDefault="00166DB1" w:rsidP="00B24642">
      <w:pPr>
        <w:pStyle w:val="Heading2"/>
      </w:pPr>
      <w:bookmarkStart w:id="51" w:name="_Toc523322055"/>
      <w:r w:rsidRPr="00166DB1">
        <w:t>Program design: Appropriateness</w:t>
      </w:r>
      <w:bookmarkEnd w:id="51"/>
    </w:p>
    <w:p w14:paraId="4800167A"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The second element of the appropriateness assessment examined the nature of evidence supporting design features of the Rural Workforce Package. This analysis was primarily based on findings from a literature scan. Where there were gaps in information from the peer-reviewed literature our assessment was supplemented by examination of workforce data and consideration of stakeholder opinions.</w:t>
      </w:r>
    </w:p>
    <w:p w14:paraId="466B23FB" w14:textId="77777777" w:rsidR="00166DB1" w:rsidRPr="00166DB1" w:rsidRDefault="00166DB1" w:rsidP="00B24642">
      <w:pPr>
        <w:pStyle w:val="Heading3"/>
        <w:rPr>
          <w:rFonts w:eastAsia="Times New Roman"/>
        </w:rPr>
      </w:pPr>
      <w:bookmarkStart w:id="52" w:name="_Toc523322056"/>
      <w:r w:rsidRPr="00166DB1">
        <w:rPr>
          <w:rFonts w:eastAsia="Times New Roman"/>
        </w:rPr>
        <w:t>Recruitment component programs</w:t>
      </w:r>
      <w:bookmarkEnd w:id="52"/>
    </w:p>
    <w:p w14:paraId="17502FF9" w14:textId="77777777" w:rsidR="00166DB1" w:rsidRPr="00166DB1" w:rsidRDefault="00166DB1" w:rsidP="008A6360">
      <w:pPr>
        <w:pStyle w:val="Heading4"/>
      </w:pPr>
      <w:r w:rsidRPr="00166DB1">
        <w:t>Rural Pharmacy Scholarship Scheme</w:t>
      </w:r>
    </w:p>
    <w:p w14:paraId="7A4D2A7C"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The Scholarship Scheme’s objective aim to support students from rural and remote areas to study a pharmacy course at university was strongly supported by peer-reviewed literature, as rural origin is a strong predictor of future rural practice. </w:t>
      </w:r>
    </w:p>
    <w:p w14:paraId="7D63DEBD"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Program design elements including the lack of a return-of-service (RSO) period and the scholarship value are in line with other similar programs. However, other scholarship schemes use remoteness classification indexes to determine rural origin that are based on geographic isolation, not service coverage such as PhARIA.</w:t>
      </w:r>
    </w:p>
    <w:p w14:paraId="7B64F710" w14:textId="77777777" w:rsidR="00166DB1" w:rsidRPr="00166DB1" w:rsidRDefault="00166DB1" w:rsidP="008A6360">
      <w:pPr>
        <w:pStyle w:val="Heading4"/>
      </w:pPr>
      <w:r w:rsidRPr="00166DB1">
        <w:t>Rural Pharmacy Scholarship Mentor Scheme</w:t>
      </w:r>
    </w:p>
    <w:p w14:paraId="6B670B22"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Students’ need for mentoring was supported by peer-reviewed literature. However, studies mostly concerned medical students. Mentoring for Aboriginal and Torres Strait Islander students was shown to be effective in supporting students to complete their studies. Other similar scholarship or placement programs include mentoring arrangements. However, stakeholders considered the honorarium </w:t>
      </w:r>
      <w:r w:rsidRPr="00166DB1">
        <w:rPr>
          <w:rFonts w:ascii="Garamond" w:eastAsia="Garamond" w:hAnsi="Garamond"/>
          <w:color w:val="000000"/>
        </w:rPr>
        <w:lastRenderedPageBreak/>
        <w:t>payment value require review to better compensate the actual time spent on mentoring activities.</w:t>
      </w:r>
    </w:p>
    <w:p w14:paraId="6B230DF6" w14:textId="77777777" w:rsidR="00166DB1" w:rsidRPr="00166DB1" w:rsidRDefault="00166DB1" w:rsidP="008A6360">
      <w:pPr>
        <w:pStyle w:val="Heading4"/>
      </w:pPr>
      <w:r w:rsidRPr="00166DB1">
        <w:t>Rural Intern Training Allowance</w:t>
      </w:r>
    </w:p>
    <w:p w14:paraId="3ADB84E3"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There was strong evidence from peer-reviewed literature to support the role of rural exposure in encouraging future rural practice. Literature also identified access to continuing professional development (CPD) as a key challenge faced by rural workforce. However, there was limited information on best practices to attract and support rural interns. </w:t>
      </w:r>
    </w:p>
    <w:p w14:paraId="1285CF4F" w14:textId="77777777" w:rsidR="00166DB1" w:rsidRPr="00166DB1" w:rsidRDefault="00166DB1" w:rsidP="008A6360">
      <w:pPr>
        <w:pStyle w:val="Heading4"/>
      </w:pPr>
      <w:r w:rsidRPr="00166DB1">
        <w:t>Rural Pharmacy Student Placement Allowance</w:t>
      </w:r>
    </w:p>
    <w:p w14:paraId="326ED12F"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The promotion of rural placements as a means to increase students’ exposure to and interest in rural practice is strongly supported by peer-reviewed literature. However, studies mostly focused on nursing and allied health students. The financial burden experienced by students is a significant barrier to completing a rural placement and is addressed by this program.</w:t>
      </w:r>
    </w:p>
    <w:p w14:paraId="605BB67D" w14:textId="77777777" w:rsidR="00166DB1" w:rsidRPr="00166DB1" w:rsidRDefault="00166DB1" w:rsidP="00063226">
      <w:pPr>
        <w:pStyle w:val="KeyFinding"/>
        <w:shd w:val="clear" w:color="auto" w:fill="F2F2F2" w:themeFill="background1" w:themeFillShade="F2"/>
      </w:pPr>
      <w:bookmarkStart w:id="53" w:name="_Ref490665340"/>
      <w:r w:rsidRPr="00166DB1">
        <w:t>Recruitment component programs are supported by moderate to strong evidence, as students with a rural origin or who have had exposure to rural practice are more likely to take up positions in rural areas. However, most literature focused on other health workforces and did not specifically support the appropriateness of delivery mechanisms (i.e. scholarships, placements) in encouraging rural practice.</w:t>
      </w:r>
      <w:bookmarkEnd w:id="53"/>
      <w:r w:rsidRPr="00166DB1">
        <w:t xml:space="preserve"> </w:t>
      </w:r>
    </w:p>
    <w:p w14:paraId="3974BF03" w14:textId="77777777" w:rsidR="00166DB1" w:rsidRPr="00166DB1" w:rsidRDefault="00166DB1" w:rsidP="00B24642">
      <w:pPr>
        <w:pStyle w:val="Heading3"/>
        <w:rPr>
          <w:rFonts w:eastAsia="Times New Roman"/>
        </w:rPr>
      </w:pPr>
      <w:bookmarkStart w:id="54" w:name="_Toc523322057"/>
      <w:r w:rsidRPr="00166DB1">
        <w:rPr>
          <w:rFonts w:eastAsia="Times New Roman"/>
        </w:rPr>
        <w:t>Retention component programs</w:t>
      </w:r>
      <w:bookmarkEnd w:id="54"/>
    </w:p>
    <w:p w14:paraId="4ED0BB9E" w14:textId="77777777" w:rsidR="00166DB1" w:rsidRPr="00166DB1" w:rsidRDefault="00166DB1" w:rsidP="008A6360">
      <w:pPr>
        <w:pStyle w:val="Heading4"/>
      </w:pPr>
      <w:r w:rsidRPr="00166DB1">
        <w:t>Continuing Professional Education Allowance</w:t>
      </w:r>
    </w:p>
    <w:p w14:paraId="38BA7AF5"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Access to continuing professional education (CPE) is an acknowledged barrier for rural and remote workforces, as shown in studies of medical professionals. The Australian Government recognises the barrier for other health professions through support programs.</w:t>
      </w:r>
    </w:p>
    <w:p w14:paraId="650BEBAF" w14:textId="77777777" w:rsidR="00166DB1" w:rsidRPr="00166DB1" w:rsidRDefault="00166DB1" w:rsidP="008A6360">
      <w:pPr>
        <w:pStyle w:val="Heading4"/>
      </w:pPr>
      <w:r w:rsidRPr="00166DB1">
        <w:t>Emergency Locum Service</w:t>
      </w:r>
    </w:p>
    <w:p w14:paraId="155D7AE2"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Peer reviewed studies of allied health and oral health professionals identified access to locums was vital to supporting the rural workforce and may contribute to retaining professionals in rural areas. Pharmacists consulted with also found the Emergency Locum Service to be vital during times of emergency. However, pharmacists reiterated the difficulties in securing locums to cover absences in non-emergency situations such as for CPE events. </w:t>
      </w:r>
    </w:p>
    <w:p w14:paraId="3E3FEF91" w14:textId="77777777" w:rsidR="00166DB1" w:rsidRPr="00166DB1" w:rsidRDefault="00166DB1" w:rsidP="008A6360">
      <w:pPr>
        <w:pStyle w:val="Heading4"/>
      </w:pPr>
      <w:r w:rsidRPr="00166DB1">
        <w:t>Intern Incentive Allowance for Rural Pharmacies and Extension Program</w:t>
      </w:r>
    </w:p>
    <w:p w14:paraId="35D661BF"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The evidence from the literature and Health Workforce Data analysis indicates a significant link between undertaking an internship in a rural location and future rural practice for health professionals, including pharmacists.</w:t>
      </w:r>
    </w:p>
    <w:p w14:paraId="7C70AE94"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There is only anecdotal evidence to suggest that financial support for pharmacies is an appropriate method to support recruitment of interns / new graduates in non-metropolitan areas. Further evidence is required to support the anecdotal claims.</w:t>
      </w:r>
    </w:p>
    <w:p w14:paraId="09E66DF0" w14:textId="77777777" w:rsidR="00166DB1" w:rsidRPr="00166DB1" w:rsidRDefault="00166DB1" w:rsidP="00063226">
      <w:pPr>
        <w:pStyle w:val="KeyFinding"/>
        <w:shd w:val="clear" w:color="auto" w:fill="F2F2F2" w:themeFill="background1" w:themeFillShade="F2"/>
      </w:pPr>
      <w:bookmarkStart w:id="55" w:name="_Ref490665345"/>
      <w:r w:rsidRPr="00166DB1">
        <w:t>Retention component programs are supported by moderate evidence. While the programs address key barriers experienced by pharmacists (i.e. access to interns, locums and CPE), there was limited evidence to support the mechanisms by which support was delivered (i.e. financial assistance to employ an intern).</w:t>
      </w:r>
      <w:bookmarkEnd w:id="55"/>
      <w:r w:rsidRPr="00166DB1">
        <w:t xml:space="preserve"> </w:t>
      </w:r>
    </w:p>
    <w:p w14:paraId="68144190" w14:textId="77777777" w:rsidR="00166DB1" w:rsidRPr="00166DB1" w:rsidRDefault="00166DB1" w:rsidP="00B24642">
      <w:pPr>
        <w:pStyle w:val="Heading3"/>
        <w:rPr>
          <w:rFonts w:eastAsia="Times New Roman"/>
        </w:rPr>
      </w:pPr>
      <w:bookmarkStart w:id="56" w:name="_Toc523322058"/>
      <w:r w:rsidRPr="00166DB1">
        <w:rPr>
          <w:rFonts w:eastAsia="Times New Roman"/>
        </w:rPr>
        <w:t>Other workforce support component programs</w:t>
      </w:r>
      <w:bookmarkEnd w:id="56"/>
    </w:p>
    <w:p w14:paraId="6C24260C" w14:textId="77777777" w:rsidR="00166DB1" w:rsidRPr="00166DB1" w:rsidRDefault="00166DB1" w:rsidP="008A6360">
      <w:pPr>
        <w:pStyle w:val="Heading4"/>
      </w:pPr>
      <w:r w:rsidRPr="00166DB1">
        <w:t>Rural Pharmacy Liaison Officer Program</w:t>
      </w:r>
    </w:p>
    <w:p w14:paraId="41D49A69"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The RPLO program aims to respond to the support, training and advocacy needs of rural pharmacists, students and the wider community. The program has a strong role in supporting clinical placements of pharmacists coordinated through University Departments of Rural Health (UDRH). No peer-reviewed literature exists to support the appropriateness of the program as it applies to pharmacy students or the </w:t>
      </w:r>
      <w:r w:rsidRPr="00166DB1">
        <w:rPr>
          <w:rFonts w:ascii="Garamond" w:eastAsia="Garamond" w:hAnsi="Garamond"/>
          <w:color w:val="000000"/>
        </w:rPr>
        <w:lastRenderedPageBreak/>
        <w:t>nature of clinical placement support. However, the Australian Government recognises the need for additional support to rural health professionals through the development of other UDRH-run programs including the Mental Health Academics project.</w:t>
      </w:r>
    </w:p>
    <w:p w14:paraId="14349852" w14:textId="77777777" w:rsidR="00166DB1" w:rsidRPr="00166DB1" w:rsidRDefault="00166DB1" w:rsidP="008A6360">
      <w:pPr>
        <w:pStyle w:val="Heading4"/>
      </w:pPr>
      <w:r w:rsidRPr="00166DB1">
        <w:t>Administrative Support to Pharmacy Schools</w:t>
      </w:r>
    </w:p>
    <w:p w14:paraId="40C44407"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No literature was identified to support the provision of financial assistance to pharmacy schools to arrange rural placements. However, the efficacy of rural placements in influencing a student’s future rural practice is strongly supported by peer-reviewed literature.</w:t>
      </w:r>
    </w:p>
    <w:p w14:paraId="447289E6" w14:textId="77777777" w:rsidR="00166DB1" w:rsidRPr="00166DB1" w:rsidRDefault="00166DB1" w:rsidP="00063226">
      <w:pPr>
        <w:pStyle w:val="KeyFinding"/>
        <w:shd w:val="clear" w:color="auto" w:fill="F2F2F2" w:themeFill="background1" w:themeFillShade="F2"/>
      </w:pPr>
      <w:bookmarkStart w:id="57" w:name="_Ref490665354"/>
      <w:r w:rsidRPr="00166DB1">
        <w:t>Due to the broad aims underpinning programs providing other support to the pharmacy workforce, the appropriateness of their design is difficult to assess. No literature exists to support the design of either program. However, both programs providing other supports facilitate rural student placements, which have strong support in the literature.</w:t>
      </w:r>
      <w:bookmarkEnd w:id="57"/>
      <w:r w:rsidRPr="00166DB1">
        <w:t xml:space="preserve"> </w:t>
      </w:r>
    </w:p>
    <w:p w14:paraId="79210FB9" w14:textId="77777777" w:rsidR="00166DB1" w:rsidRPr="00166DB1" w:rsidRDefault="00166DB1" w:rsidP="00292F80">
      <w:pPr>
        <w:pStyle w:val="SectionTitle"/>
      </w:pPr>
      <w:r w:rsidRPr="00166DB1">
        <w:t>Aboriginal and Torres Strait Islander Workforce Package: Appropriateness</w:t>
      </w:r>
    </w:p>
    <w:p w14:paraId="04651DE1" w14:textId="77777777" w:rsidR="00166DB1" w:rsidRPr="00166DB1" w:rsidRDefault="00166DB1" w:rsidP="00B24642">
      <w:pPr>
        <w:pStyle w:val="Heading2"/>
      </w:pPr>
      <w:bookmarkStart w:id="58" w:name="_Toc523322059"/>
      <w:r w:rsidRPr="00166DB1">
        <w:t>Access to Medicines: Underlying Need of Aboriginal and Torres Strait Islander People</w:t>
      </w:r>
      <w:bookmarkEnd w:id="58"/>
    </w:p>
    <w:p w14:paraId="3637E2FB"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PBS data supports the need for programs to address ongoing disadvantage experienced by Aboriginal and Torres Strait Islander people. The </w:t>
      </w:r>
      <w:r w:rsidRPr="00166DB1">
        <w:rPr>
          <w:rFonts w:ascii="Garamond" w:eastAsia="Garamond" w:hAnsi="Garamond"/>
          <w:i/>
          <w:color w:val="000000"/>
        </w:rPr>
        <w:t xml:space="preserve">Aboriginal and </w:t>
      </w:r>
      <w:r w:rsidRPr="00166DB1">
        <w:rPr>
          <w:rFonts w:ascii="Garamond" w:eastAsia="Garamond" w:hAnsi="Garamond"/>
          <w:i/>
          <w:color w:val="000000"/>
        </w:rPr>
        <w:t>Torres Strait Islander Health Performance Framework 2014 Report</w:t>
      </w:r>
      <w:r w:rsidRPr="00166DB1">
        <w:rPr>
          <w:rFonts w:ascii="Garamond" w:eastAsia="Garamond" w:hAnsi="Garamond"/>
          <w:color w:val="000000"/>
        </w:rPr>
        <w:t xml:space="preserve"> identified total PBS expenditure on pharmaceuticals per Aboriginal and Torres Strait Islander person was around 44% of the amount spent per non-Indigenous person in 2010-2011. [4] The report also contends the gap between government expenditure on PBS medicines for Aboriginal and Torres Strait Islander people and non-Indigenous Australians increases with increasing remoteness (with the exclusion of very remote areas where Section 100 arrangements are in place). </w:t>
      </w:r>
    </w:p>
    <w:p w14:paraId="190B9166" w14:textId="77777777" w:rsidR="00166DB1" w:rsidRPr="00166DB1" w:rsidRDefault="00166DB1" w:rsidP="00063226">
      <w:pPr>
        <w:pStyle w:val="KeyFinding"/>
        <w:shd w:val="clear" w:color="auto" w:fill="F2F2F2" w:themeFill="background1" w:themeFillShade="F2"/>
      </w:pPr>
      <w:bookmarkStart w:id="59" w:name="_Ref490665362"/>
      <w:r w:rsidRPr="00166DB1">
        <w:t>PBS expenditure data showed that Aboriginal and Torres Strait Islander people have an ongoing need to increase their access to subsidised medicines.</w:t>
      </w:r>
      <w:bookmarkEnd w:id="59"/>
      <w:r w:rsidRPr="00166DB1">
        <w:t xml:space="preserve"> </w:t>
      </w:r>
    </w:p>
    <w:p w14:paraId="6BD5C434" w14:textId="77777777" w:rsidR="00166DB1" w:rsidRPr="00166DB1" w:rsidRDefault="00166DB1" w:rsidP="00B24642">
      <w:pPr>
        <w:pStyle w:val="Heading2"/>
      </w:pPr>
      <w:bookmarkStart w:id="60" w:name="_Toc523322060"/>
      <w:r w:rsidRPr="00166DB1">
        <w:t>Program design: Appropriateness</w:t>
      </w:r>
      <w:bookmarkEnd w:id="60"/>
    </w:p>
    <w:p w14:paraId="02D4EA0B" w14:textId="77777777" w:rsidR="00166DB1" w:rsidRPr="00166DB1" w:rsidRDefault="00166DB1" w:rsidP="00B24642">
      <w:pPr>
        <w:pStyle w:val="Heading3"/>
      </w:pPr>
      <w:bookmarkStart w:id="61" w:name="_Toc523322061"/>
      <w:r w:rsidRPr="00166DB1">
        <w:t>Aboriginal and Torres Strait Islander Pharmacy Assistant Traineeship Scheme</w:t>
      </w:r>
      <w:bookmarkEnd w:id="61"/>
    </w:p>
    <w:p w14:paraId="3D2351E2"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While no peer-reviewed literature was identified to support the aims of the Aboriginal and Torres Strait Islander Pharmacy Assistant Traineeship Scheme, consultation with peak body stakeholders supported the program’s aim. It is unclear whether community consultation was undertaken when developing the program and, as such, may not be fully responsive to the needs of Aboriginal and Torres Strait Islander communities.</w:t>
      </w:r>
    </w:p>
    <w:p w14:paraId="0F091330" w14:textId="77777777" w:rsidR="00166DB1" w:rsidRPr="00166DB1" w:rsidRDefault="00166DB1" w:rsidP="008A6360">
      <w:pPr>
        <w:pStyle w:val="Heading4"/>
      </w:pPr>
      <w:r w:rsidRPr="00166DB1">
        <w:t>Aboriginal and Torres Strait Islander Pharmacy Scholarship Scheme</w:t>
      </w:r>
    </w:p>
    <w:p w14:paraId="6A31D8E0"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Evidence supporting the Aboriginal and Torres Strait Islander Pharmacy Scholarship Scheme is limited. Peak body stakeholder consultation supported the program. It is unclear whether community consultation occurred to inform the aims of the program.</w:t>
      </w:r>
    </w:p>
    <w:p w14:paraId="1559EB4F" w14:textId="77777777" w:rsidR="00166DB1" w:rsidRPr="00166DB1" w:rsidRDefault="00166DB1" w:rsidP="0029291C">
      <w:pPr>
        <w:pStyle w:val="KeyFinding"/>
        <w:keepLines/>
        <w:shd w:val="clear" w:color="auto" w:fill="F2F2F2" w:themeFill="background1" w:themeFillShade="F2"/>
      </w:pPr>
      <w:bookmarkStart w:id="62" w:name="_Ref490665369"/>
      <w:r w:rsidRPr="00166DB1">
        <w:lastRenderedPageBreak/>
        <w:t>There is limited peer-reviewed literature to support the design of programs to enhance availability of culturally appropriate pharmacy services. The programs have in-principle support from peak body stakeholders. However, it is unclear whether community consultation was undertaken to inform program design and ensure they respond to the needs of Aboriginal and Torres Strait Islander communities.</w:t>
      </w:r>
      <w:bookmarkEnd w:id="62"/>
      <w:r w:rsidRPr="00166DB1">
        <w:t xml:space="preserve"> </w:t>
      </w:r>
    </w:p>
    <w:p w14:paraId="545C1B3F" w14:textId="77777777" w:rsidR="00D62D23" w:rsidRDefault="00D62D23" w:rsidP="00063226">
      <w:pPr>
        <w:pStyle w:val="PartHeading"/>
        <w:shd w:val="clear" w:color="auto" w:fill="F2F2F2" w:themeFill="background1" w:themeFillShade="F2"/>
        <w:spacing w:after="600"/>
        <w:rPr>
          <w:lang w:val="en-US"/>
        </w:rPr>
        <w:sectPr w:rsidR="00D62D23" w:rsidSect="00D62D23">
          <w:headerReference w:type="default" r:id="rId32"/>
          <w:pgSz w:w="16839" w:h="11907" w:orient="landscape" w:code="9"/>
          <w:pgMar w:top="2268" w:right="1304" w:bottom="850" w:left="737" w:header="567" w:footer="284" w:gutter="0"/>
          <w:cols w:num="2" w:space="709"/>
          <w:titlePg/>
          <w:docGrid w:linePitch="360"/>
        </w:sectPr>
      </w:pPr>
    </w:p>
    <w:p w14:paraId="1BFBFDE1" w14:textId="2C83B8FA" w:rsidR="00D65552" w:rsidRPr="00D65552" w:rsidRDefault="00D65552" w:rsidP="00B24642">
      <w:pPr>
        <w:pStyle w:val="Heading1"/>
        <w:rPr>
          <w:lang w:val="en-US"/>
        </w:rPr>
      </w:pPr>
      <w:bookmarkStart w:id="63" w:name="_Toc523322062"/>
      <w:r w:rsidRPr="00D65552">
        <w:rPr>
          <w:lang w:val="en-US"/>
        </w:rPr>
        <w:lastRenderedPageBreak/>
        <w:t>Effectiveness</w:t>
      </w:r>
      <w:bookmarkEnd w:id="63"/>
    </w:p>
    <w:p w14:paraId="38F87993" w14:textId="2719987F"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An examination of a program’s </w:t>
      </w:r>
      <w:r w:rsidRPr="00166DB1">
        <w:rPr>
          <w:rFonts w:ascii="Garamond" w:eastAsia="Garamond" w:hAnsi="Garamond"/>
          <w:i/>
          <w:color w:val="000000"/>
        </w:rPr>
        <w:t>effectiveness</w:t>
      </w:r>
      <w:r w:rsidRPr="00166DB1">
        <w:rPr>
          <w:rFonts w:ascii="Garamond" w:eastAsia="Garamond" w:hAnsi="Garamond"/>
          <w:color w:val="000000"/>
        </w:rPr>
        <w:t xml:space="preserve"> seeks to ascertain:</w:t>
      </w:r>
    </w:p>
    <w:p w14:paraId="2F5CCB74" w14:textId="77777777" w:rsidR="00166DB1" w:rsidRPr="00166DB1" w:rsidRDefault="00166DB1" w:rsidP="00166DB1">
      <w:pPr>
        <w:spacing w:before="85" w:after="85"/>
        <w:ind w:left="284" w:right="284"/>
        <w:rPr>
          <w:rFonts w:ascii="Times New Roman" w:eastAsia="Garamond" w:hAnsi="Times New Roman"/>
          <w:i/>
          <w:iCs/>
          <w:color w:val="000000"/>
          <w:sz w:val="20"/>
          <w:lang w:val="en-US"/>
        </w:rPr>
      </w:pPr>
      <w:r w:rsidRPr="00166DB1">
        <w:rPr>
          <w:rFonts w:ascii="Times New Roman" w:eastAsia="Garamond" w:hAnsi="Times New Roman"/>
          <w:i/>
          <w:iCs/>
          <w:color w:val="000000"/>
          <w:sz w:val="20"/>
        </w:rPr>
        <w:t>whether program outcomes have achieved stated objectives</w:t>
      </w:r>
      <w:sdt>
        <w:sdtPr>
          <w:rPr>
            <w:rFonts w:ascii="Times New Roman" w:eastAsia="Garamond" w:hAnsi="Times New Roman"/>
            <w:i/>
            <w:iCs/>
            <w:color w:val="000000"/>
            <w:sz w:val="20"/>
          </w:rPr>
          <w:id w:val="-1563397865"/>
          <w:citation/>
        </w:sdtPr>
        <w:sdtEndPr/>
        <w:sdtContent>
          <w:r w:rsidRPr="00166DB1">
            <w:rPr>
              <w:rFonts w:ascii="Times New Roman" w:eastAsia="Garamond" w:hAnsi="Times New Roman"/>
              <w:i/>
              <w:iCs/>
              <w:color w:val="000000"/>
              <w:sz w:val="20"/>
            </w:rPr>
            <w:fldChar w:fldCharType="begin"/>
          </w:r>
          <w:r w:rsidRPr="00166DB1">
            <w:rPr>
              <w:rFonts w:ascii="Times New Roman" w:eastAsia="Garamond" w:hAnsi="Times New Roman"/>
              <w:i/>
              <w:iCs/>
              <w:color w:val="000000"/>
              <w:sz w:val="20"/>
            </w:rPr>
            <w:instrText xml:space="preserve"> CITATION Tun10 \l 3081 </w:instrText>
          </w:r>
          <w:r w:rsidRPr="00166DB1">
            <w:rPr>
              <w:rFonts w:ascii="Times New Roman" w:eastAsia="Garamond" w:hAnsi="Times New Roman"/>
              <w:i/>
              <w:iCs/>
              <w:color w:val="000000"/>
              <w:sz w:val="20"/>
            </w:rPr>
            <w:fldChar w:fldCharType="separate"/>
          </w:r>
          <w:r w:rsidRPr="00166DB1">
            <w:rPr>
              <w:rFonts w:ascii="Times New Roman" w:eastAsia="Garamond" w:hAnsi="Times New Roman"/>
              <w:i/>
              <w:iCs/>
              <w:noProof/>
              <w:color w:val="000000"/>
              <w:sz w:val="20"/>
            </w:rPr>
            <w:t xml:space="preserve"> [1]</w:t>
          </w:r>
          <w:r w:rsidRPr="00166DB1">
            <w:rPr>
              <w:rFonts w:ascii="Times New Roman" w:eastAsia="Garamond" w:hAnsi="Times New Roman"/>
              <w:i/>
              <w:iCs/>
              <w:color w:val="000000"/>
              <w:sz w:val="20"/>
            </w:rPr>
            <w:fldChar w:fldCharType="end"/>
          </w:r>
        </w:sdtContent>
      </w:sdt>
      <w:r w:rsidRPr="00166DB1">
        <w:rPr>
          <w:rFonts w:ascii="Times New Roman" w:eastAsia="Garamond" w:hAnsi="Times New Roman"/>
          <w:i/>
          <w:iCs/>
          <w:color w:val="000000"/>
          <w:sz w:val="20"/>
          <w:lang w:val="en-US"/>
        </w:rPr>
        <w:t>.</w:t>
      </w:r>
    </w:p>
    <w:p w14:paraId="15F5ECD2" w14:textId="77777777" w:rsidR="00166DB1" w:rsidRPr="00166DB1" w:rsidRDefault="00166DB1" w:rsidP="00166DB1">
      <w:pPr>
        <w:spacing w:before="85" w:after="85"/>
        <w:rPr>
          <w:rFonts w:ascii="Garamond" w:eastAsia="Garamond" w:hAnsi="Garamond"/>
          <w:color w:val="000000"/>
          <w:lang w:val="en-US"/>
        </w:rPr>
      </w:pPr>
      <w:r w:rsidRPr="00166DB1">
        <w:rPr>
          <w:rFonts w:ascii="Garamond" w:eastAsia="Garamond" w:hAnsi="Garamond"/>
          <w:color w:val="000000"/>
          <w:lang w:val="en-US"/>
        </w:rPr>
        <w:t>To assess effectiveness for this evaluation we examined:</w:t>
      </w:r>
    </w:p>
    <w:p w14:paraId="168AF94D" w14:textId="77777777" w:rsidR="00166DB1" w:rsidRPr="00C53DB8" w:rsidRDefault="00166DB1" w:rsidP="009F66FB">
      <w:pPr>
        <w:pStyle w:val="ListParagraph"/>
        <w:numPr>
          <w:ilvl w:val="0"/>
          <w:numId w:val="18"/>
        </w:numPr>
        <w:tabs>
          <w:tab w:val="num" w:pos="284"/>
        </w:tabs>
        <w:spacing w:before="20" w:after="20"/>
        <w:ind w:left="284" w:hanging="284"/>
        <w:rPr>
          <w:rFonts w:ascii="Garamond" w:eastAsia="Times New Roman" w:hAnsi="Garamond"/>
          <w:color w:val="000000"/>
          <w:lang w:val="en-US"/>
        </w:rPr>
      </w:pPr>
      <w:r w:rsidRPr="00C53DB8">
        <w:rPr>
          <w:rFonts w:ascii="Garamond" w:eastAsia="Times New Roman" w:hAnsi="Garamond"/>
          <w:color w:val="000000"/>
          <w:lang w:val="en-US"/>
        </w:rPr>
        <w:t>For the Rural Workforce Package (see Section A below):</w:t>
      </w:r>
    </w:p>
    <w:p w14:paraId="6C8ABD9C" w14:textId="77777777" w:rsidR="00166DB1" w:rsidRPr="0029291C" w:rsidRDefault="00166DB1" w:rsidP="009F66FB">
      <w:pPr>
        <w:pStyle w:val="ListParagraph"/>
        <w:numPr>
          <w:ilvl w:val="0"/>
          <w:numId w:val="33"/>
        </w:numPr>
        <w:tabs>
          <w:tab w:val="num" w:pos="284"/>
          <w:tab w:val="num" w:pos="397"/>
        </w:tabs>
        <w:spacing w:before="20" w:after="20"/>
        <w:rPr>
          <w:rFonts w:ascii="Garamond" w:eastAsia="Times New Roman" w:hAnsi="Garamond"/>
          <w:color w:val="000000"/>
          <w:lang w:val="en-US"/>
        </w:rPr>
      </w:pPr>
      <w:bookmarkStart w:id="64" w:name="_Hlk490568462"/>
      <w:r w:rsidRPr="0029291C">
        <w:rPr>
          <w:rFonts w:ascii="Garamond" w:eastAsia="Times New Roman" w:hAnsi="Garamond"/>
          <w:color w:val="000000"/>
          <w:lang w:val="en-US"/>
        </w:rPr>
        <w:t xml:space="preserve">impact of the package on reducing the underlying need to strengthen the pharmacist workforce outside metropolitan areas, and </w:t>
      </w:r>
    </w:p>
    <w:bookmarkEnd w:id="64"/>
    <w:p w14:paraId="2199042F" w14:textId="77777777" w:rsidR="00166DB1" w:rsidRPr="0029291C" w:rsidRDefault="00166DB1" w:rsidP="009F66FB">
      <w:pPr>
        <w:pStyle w:val="ListParagraph"/>
        <w:numPr>
          <w:ilvl w:val="0"/>
          <w:numId w:val="33"/>
        </w:numPr>
        <w:tabs>
          <w:tab w:val="num" w:pos="284"/>
          <w:tab w:val="num" w:pos="397"/>
        </w:tabs>
        <w:spacing w:before="20" w:after="20"/>
        <w:rPr>
          <w:rFonts w:ascii="Garamond" w:eastAsia="Times New Roman" w:hAnsi="Garamond"/>
          <w:color w:val="000000"/>
          <w:lang w:val="en-US"/>
        </w:rPr>
      </w:pPr>
      <w:r w:rsidRPr="0029291C">
        <w:rPr>
          <w:rFonts w:ascii="Garamond" w:eastAsia="Times New Roman" w:hAnsi="Garamond"/>
          <w:color w:val="000000"/>
          <w:lang w:val="en-US"/>
        </w:rPr>
        <w:t>impact of the package on individual students and pharmacists.</w:t>
      </w:r>
    </w:p>
    <w:p w14:paraId="064231F4" w14:textId="77777777" w:rsidR="00166DB1" w:rsidRPr="00C53DB8" w:rsidRDefault="00166DB1" w:rsidP="009F66FB">
      <w:pPr>
        <w:pStyle w:val="ListParagraph"/>
        <w:numPr>
          <w:ilvl w:val="0"/>
          <w:numId w:val="18"/>
        </w:numPr>
        <w:tabs>
          <w:tab w:val="num" w:pos="284"/>
        </w:tabs>
        <w:spacing w:before="20" w:after="20"/>
        <w:ind w:left="284" w:hanging="284"/>
        <w:rPr>
          <w:rFonts w:ascii="Garamond" w:eastAsia="Times New Roman" w:hAnsi="Garamond"/>
          <w:color w:val="000000"/>
          <w:lang w:val="en-US"/>
        </w:rPr>
      </w:pPr>
      <w:r w:rsidRPr="00C53DB8">
        <w:rPr>
          <w:rFonts w:ascii="Garamond" w:eastAsia="Times New Roman" w:hAnsi="Garamond"/>
          <w:color w:val="000000"/>
          <w:lang w:val="en-US"/>
        </w:rPr>
        <w:t>For the Aboriginal and Torres Strait Islander Workforce Package (see Section B below):</w:t>
      </w:r>
    </w:p>
    <w:p w14:paraId="34831DEE" w14:textId="77777777" w:rsidR="00166DB1" w:rsidRPr="00166DB1" w:rsidRDefault="00166DB1" w:rsidP="009F66FB">
      <w:pPr>
        <w:pStyle w:val="ListParagraph"/>
        <w:numPr>
          <w:ilvl w:val="0"/>
          <w:numId w:val="33"/>
        </w:numPr>
        <w:tabs>
          <w:tab w:val="num" w:pos="284"/>
          <w:tab w:val="num" w:pos="397"/>
        </w:tabs>
        <w:spacing w:before="20" w:after="20"/>
        <w:rPr>
          <w:rFonts w:ascii="Garamond" w:eastAsia="Times New Roman" w:hAnsi="Garamond"/>
          <w:color w:val="000000"/>
          <w:lang w:val="en-US"/>
        </w:rPr>
      </w:pPr>
      <w:r w:rsidRPr="00166DB1">
        <w:rPr>
          <w:rFonts w:ascii="Garamond" w:eastAsia="Times New Roman" w:hAnsi="Garamond"/>
          <w:color w:val="000000"/>
          <w:lang w:val="en-US"/>
        </w:rPr>
        <w:t>impact of the package on reducing the underlying need for Aboriginal and Torres Strait Islander people to access medicines.</w:t>
      </w:r>
    </w:p>
    <w:p w14:paraId="25200775" w14:textId="77777777" w:rsidR="00166DB1" w:rsidRPr="00166DB1" w:rsidRDefault="00166DB1" w:rsidP="0029291C">
      <w:pPr>
        <w:pStyle w:val="ESHeading2"/>
        <w:spacing w:before="240"/>
        <w:rPr>
          <w:lang w:val="en-US"/>
        </w:rPr>
      </w:pPr>
      <w:r w:rsidRPr="00166DB1">
        <w:rPr>
          <w:lang w:val="en-US"/>
        </w:rPr>
        <w:t>KEY FINDINGS ON EFFECTIVENESS</w:t>
      </w:r>
    </w:p>
    <w:p w14:paraId="58CADEBB" w14:textId="77777777" w:rsidR="00166DB1" w:rsidRPr="00166DB1" w:rsidRDefault="00166DB1" w:rsidP="00166DB1">
      <w:pPr>
        <w:spacing w:before="85" w:after="85"/>
        <w:rPr>
          <w:rFonts w:ascii="Garamond" w:eastAsia="Garamond" w:hAnsi="Garamond"/>
          <w:color w:val="000000"/>
          <w:lang w:val="en-US"/>
        </w:rPr>
      </w:pPr>
      <w:r w:rsidRPr="00166DB1">
        <w:rPr>
          <w:rFonts w:ascii="Garamond" w:eastAsia="Garamond" w:hAnsi="Garamond"/>
          <w:color w:val="000000"/>
          <w:lang w:val="en-US"/>
        </w:rPr>
        <w:t>The key findings of the evaluation on effectiveness are summarised in the following table.</w:t>
      </w:r>
    </w:p>
    <w:tbl>
      <w:tblPr>
        <w:tblStyle w:val="KeyFindings"/>
        <w:tblW w:w="5000" w:type="pct"/>
        <w:shd w:val="clear" w:color="auto" w:fill="F2F2F2" w:themeFill="background1" w:themeFillShade="F2"/>
        <w:tblLayout w:type="fixed"/>
        <w:tblLook w:val="04A0" w:firstRow="1" w:lastRow="0" w:firstColumn="1" w:lastColumn="0" w:noHBand="0" w:noVBand="1"/>
        <w:tblCaption w:val="Summary of Key Findings"/>
        <w:tblDescription w:val="Table summarising Key Findings 12 to 21"/>
      </w:tblPr>
      <w:tblGrid>
        <w:gridCol w:w="1843"/>
        <w:gridCol w:w="5201"/>
      </w:tblGrid>
      <w:tr w:rsidR="00133610" w:rsidRPr="00166DB1" w14:paraId="2B68364A" w14:textId="77777777" w:rsidTr="00133610">
        <w:trPr>
          <w:cnfStyle w:val="100000000000" w:firstRow="1" w:lastRow="0" w:firstColumn="0" w:lastColumn="0" w:oddVBand="0" w:evenVBand="0" w:oddHBand="0" w:evenHBand="0" w:firstRowFirstColumn="0" w:firstRowLastColumn="0" w:lastRowFirstColumn="0" w:lastRowLastColumn="0"/>
          <w:cantSplit/>
          <w:tblHeader/>
        </w:trPr>
        <w:tc>
          <w:tcPr>
            <w:tcW w:w="1843" w:type="dxa"/>
            <w:shd w:val="clear" w:color="auto" w:fill="F2F2F2" w:themeFill="background1" w:themeFillShade="F2"/>
            <w:vAlign w:val="center"/>
          </w:tcPr>
          <w:p w14:paraId="32BB0211" w14:textId="25277B7B" w:rsidR="00133610" w:rsidRPr="00166DB1" w:rsidRDefault="00133610" w:rsidP="002D261F">
            <w:pPr>
              <w:pStyle w:val="KeyFindingsTableHeading"/>
            </w:pPr>
          </w:p>
        </w:tc>
        <w:tc>
          <w:tcPr>
            <w:tcW w:w="5201" w:type="dxa"/>
            <w:shd w:val="clear" w:color="auto" w:fill="F2F2F2" w:themeFill="background1" w:themeFillShade="F2"/>
            <w:vAlign w:val="center"/>
          </w:tcPr>
          <w:p w14:paraId="79CF93DB" w14:textId="76B8E1CA" w:rsidR="00133610" w:rsidRPr="00166DB1" w:rsidRDefault="00133610" w:rsidP="002D261F">
            <w:pPr>
              <w:pStyle w:val="KeyFindingsTableHeading"/>
            </w:pPr>
            <w:r w:rsidRPr="00166DB1">
              <w:t>Summary of key findings</w:t>
            </w:r>
          </w:p>
        </w:tc>
      </w:tr>
      <w:tr w:rsidR="00166DB1" w:rsidRPr="00166DB1" w14:paraId="77FE2C7F" w14:textId="77777777" w:rsidTr="00133610">
        <w:trPr>
          <w:cantSplit/>
        </w:trPr>
        <w:tc>
          <w:tcPr>
            <w:tcW w:w="1843" w:type="dxa"/>
            <w:shd w:val="clear" w:color="auto" w:fill="F2F2F2" w:themeFill="background1" w:themeFillShade="F2"/>
            <w:vAlign w:val="center"/>
          </w:tcPr>
          <w:p w14:paraId="57F786EE" w14:textId="2411892E" w:rsidR="00166DB1" w:rsidRPr="00166DB1" w:rsidRDefault="00166DB1" w:rsidP="002D261F">
            <w:pPr>
              <w:pStyle w:val="KeyFindingsTableLeftColumn"/>
            </w:pPr>
            <w:r w:rsidRPr="00166DB1">
              <w:fldChar w:fldCharType="begin"/>
            </w:r>
            <w:r w:rsidRPr="00166DB1">
              <w:instrText xml:space="preserve"> REF _Ref490676913 \r \h </w:instrText>
            </w:r>
            <w:r w:rsidR="002D261F">
              <w:instrText xml:space="preserve"> \* MERGEFORMAT </w:instrText>
            </w:r>
            <w:r w:rsidRPr="00166DB1">
              <w:fldChar w:fldCharType="separate"/>
            </w:r>
            <w:r w:rsidRPr="00166DB1">
              <w:t>Key Finding 12:</w:t>
            </w:r>
            <w:r w:rsidRPr="00166DB1">
              <w:fldChar w:fldCharType="end"/>
            </w:r>
          </w:p>
        </w:tc>
        <w:tc>
          <w:tcPr>
            <w:tcW w:w="5201" w:type="dxa"/>
            <w:shd w:val="clear" w:color="auto" w:fill="F2F2F2" w:themeFill="background1" w:themeFillShade="F2"/>
            <w:vAlign w:val="center"/>
          </w:tcPr>
          <w:p w14:paraId="4E002E54" w14:textId="77777777" w:rsidR="00166DB1" w:rsidRPr="00166DB1" w:rsidRDefault="00166DB1" w:rsidP="002D261F">
            <w:pPr>
              <w:pStyle w:val="KeyFindingsTableCopy"/>
            </w:pPr>
            <w:r w:rsidRPr="00166DB1">
              <w:fldChar w:fldCharType="begin"/>
            </w:r>
            <w:r w:rsidRPr="00166DB1">
              <w:instrText xml:space="preserve"> REF _Ref490676913 \h  \* MERGEFORMAT </w:instrText>
            </w:r>
            <w:r w:rsidRPr="00166DB1">
              <w:fldChar w:fldCharType="separate"/>
            </w:r>
            <w:r w:rsidRPr="00166DB1">
              <w:t>Around an extra 270 FTE of community pharmacists would be required for regional and remote areas to achieve parity with major cities.</w:t>
            </w:r>
            <w:r w:rsidRPr="00166DB1">
              <w:fldChar w:fldCharType="end"/>
            </w:r>
          </w:p>
        </w:tc>
      </w:tr>
      <w:tr w:rsidR="00166DB1" w:rsidRPr="00166DB1" w14:paraId="2B8DC415" w14:textId="77777777" w:rsidTr="00133610">
        <w:trPr>
          <w:cantSplit/>
        </w:trPr>
        <w:tc>
          <w:tcPr>
            <w:tcW w:w="1843" w:type="dxa"/>
            <w:shd w:val="clear" w:color="auto" w:fill="F2F2F2" w:themeFill="background1" w:themeFillShade="F2"/>
            <w:vAlign w:val="center"/>
          </w:tcPr>
          <w:p w14:paraId="6CFDF820" w14:textId="4FC876E3" w:rsidR="00166DB1" w:rsidRPr="00166DB1" w:rsidRDefault="00166DB1" w:rsidP="002D261F">
            <w:pPr>
              <w:pStyle w:val="KeyFindingsTableLeftColumn"/>
            </w:pPr>
            <w:r w:rsidRPr="00166DB1">
              <w:fldChar w:fldCharType="begin"/>
            </w:r>
            <w:r w:rsidRPr="00166DB1">
              <w:instrText xml:space="preserve"> REF _Ref490676918 \r \h </w:instrText>
            </w:r>
            <w:r w:rsidR="002D261F">
              <w:instrText xml:space="preserve"> \* MERGEFORMAT </w:instrText>
            </w:r>
            <w:r w:rsidRPr="00166DB1">
              <w:fldChar w:fldCharType="separate"/>
            </w:r>
            <w:r w:rsidRPr="00166DB1">
              <w:t>Key Finding 13:</w:t>
            </w:r>
            <w:r w:rsidRPr="00166DB1">
              <w:fldChar w:fldCharType="end"/>
            </w:r>
          </w:p>
        </w:tc>
        <w:tc>
          <w:tcPr>
            <w:tcW w:w="5201" w:type="dxa"/>
            <w:shd w:val="clear" w:color="auto" w:fill="F2F2F2" w:themeFill="background1" w:themeFillShade="F2"/>
            <w:vAlign w:val="center"/>
          </w:tcPr>
          <w:p w14:paraId="6624C45B" w14:textId="5885BFC0" w:rsidR="00166DB1" w:rsidRPr="00166DB1" w:rsidRDefault="00166DB1" w:rsidP="002D261F">
            <w:pPr>
              <w:pStyle w:val="KeyFindingsTableCopy"/>
            </w:pPr>
            <w:r w:rsidRPr="00166DB1">
              <w:fldChar w:fldCharType="begin"/>
            </w:r>
            <w:r w:rsidRPr="00166DB1">
              <w:instrText xml:space="preserve"> REF _Ref490676918 \h </w:instrText>
            </w:r>
            <w:r w:rsidR="002D261F">
              <w:instrText xml:space="preserve"> \* MERGEFORMAT </w:instrText>
            </w:r>
            <w:r w:rsidRPr="00166DB1">
              <w:fldChar w:fldCharType="separate"/>
            </w:r>
            <w:r w:rsidRPr="00166DB1">
              <w:t>The workforce recruitment and retention components of the Rural Workforce Package involve approximately 21% of the community pharmacist market annually, or around 800 pharmacists.</w:t>
            </w:r>
            <w:r w:rsidRPr="00166DB1">
              <w:fldChar w:fldCharType="end"/>
            </w:r>
          </w:p>
        </w:tc>
      </w:tr>
      <w:tr w:rsidR="00166DB1" w:rsidRPr="00166DB1" w14:paraId="44079413" w14:textId="77777777" w:rsidTr="00133610">
        <w:trPr>
          <w:cantSplit/>
        </w:trPr>
        <w:tc>
          <w:tcPr>
            <w:tcW w:w="1843" w:type="dxa"/>
            <w:shd w:val="clear" w:color="auto" w:fill="F2F2F2" w:themeFill="background1" w:themeFillShade="F2"/>
            <w:vAlign w:val="center"/>
          </w:tcPr>
          <w:p w14:paraId="78A8181E" w14:textId="1E1A0810" w:rsidR="00166DB1" w:rsidRPr="00166DB1" w:rsidRDefault="00166DB1" w:rsidP="002D261F">
            <w:pPr>
              <w:pStyle w:val="KeyFindingsTableLeftColumn"/>
            </w:pPr>
            <w:r w:rsidRPr="00166DB1">
              <w:fldChar w:fldCharType="begin"/>
            </w:r>
            <w:r w:rsidRPr="00166DB1">
              <w:instrText xml:space="preserve"> REF _Ref490676923 \r \h </w:instrText>
            </w:r>
            <w:r w:rsidR="002D261F">
              <w:instrText xml:space="preserve"> \* MERGEFORMAT </w:instrText>
            </w:r>
            <w:r w:rsidRPr="00166DB1">
              <w:fldChar w:fldCharType="separate"/>
            </w:r>
            <w:r w:rsidRPr="00166DB1">
              <w:t>Key Finding 14:</w:t>
            </w:r>
            <w:r w:rsidRPr="00166DB1">
              <w:fldChar w:fldCharType="end"/>
            </w:r>
          </w:p>
        </w:tc>
        <w:tc>
          <w:tcPr>
            <w:tcW w:w="5201" w:type="dxa"/>
            <w:shd w:val="clear" w:color="auto" w:fill="F2F2F2" w:themeFill="background1" w:themeFillShade="F2"/>
            <w:vAlign w:val="center"/>
          </w:tcPr>
          <w:p w14:paraId="63B22378" w14:textId="67B40316" w:rsidR="00166DB1" w:rsidRPr="00166DB1" w:rsidRDefault="00166DB1" w:rsidP="002D261F">
            <w:pPr>
              <w:pStyle w:val="KeyFindingsTableCopy"/>
            </w:pPr>
            <w:r w:rsidRPr="00166DB1">
              <w:fldChar w:fldCharType="begin"/>
            </w:r>
            <w:r w:rsidRPr="00166DB1">
              <w:instrText xml:space="preserve"> REF _Ref490676923 \h </w:instrText>
            </w:r>
            <w:r w:rsidR="002D261F">
              <w:instrText xml:space="preserve"> \* MERGEFORMAT </w:instrText>
            </w:r>
            <w:r w:rsidRPr="00166DB1">
              <w:fldChar w:fldCharType="separate"/>
            </w:r>
            <w:r w:rsidRPr="00166DB1">
              <w:t>The evaluation concluded that the Rural Workforce Package components under the 5CPA were largely ineffective in strengthening the rural workforce at a macro level, evidenced by the static (inner and outer regional areas) and negative (remote areas) community pharmacist FTE rates per 100,000 people between 2013 and 2015.</w:t>
            </w:r>
            <w:r w:rsidRPr="00166DB1">
              <w:fldChar w:fldCharType="end"/>
            </w:r>
          </w:p>
        </w:tc>
      </w:tr>
      <w:tr w:rsidR="00166DB1" w:rsidRPr="00166DB1" w14:paraId="53EEA686" w14:textId="77777777" w:rsidTr="00133610">
        <w:trPr>
          <w:cantSplit/>
        </w:trPr>
        <w:tc>
          <w:tcPr>
            <w:tcW w:w="1843" w:type="dxa"/>
            <w:shd w:val="clear" w:color="auto" w:fill="F2F2F2" w:themeFill="background1" w:themeFillShade="F2"/>
            <w:vAlign w:val="center"/>
          </w:tcPr>
          <w:p w14:paraId="71C882CD" w14:textId="7FE74272" w:rsidR="00166DB1" w:rsidRPr="00166DB1" w:rsidRDefault="00166DB1" w:rsidP="002D261F">
            <w:pPr>
              <w:pStyle w:val="KeyFindingsTableLeftColumn"/>
            </w:pPr>
            <w:r w:rsidRPr="00166DB1">
              <w:fldChar w:fldCharType="begin"/>
            </w:r>
            <w:r w:rsidRPr="00166DB1">
              <w:instrText xml:space="preserve"> REF _Ref490676929 \r \h </w:instrText>
            </w:r>
            <w:r w:rsidR="002D261F">
              <w:instrText xml:space="preserve"> \* MERGEFORMAT </w:instrText>
            </w:r>
            <w:r w:rsidRPr="00166DB1">
              <w:fldChar w:fldCharType="separate"/>
            </w:r>
            <w:r w:rsidRPr="00166DB1">
              <w:t>Key Finding 15:</w:t>
            </w:r>
            <w:r w:rsidRPr="00166DB1">
              <w:fldChar w:fldCharType="end"/>
            </w:r>
          </w:p>
        </w:tc>
        <w:tc>
          <w:tcPr>
            <w:tcW w:w="5201" w:type="dxa"/>
            <w:shd w:val="clear" w:color="auto" w:fill="F2F2F2" w:themeFill="background1" w:themeFillShade="F2"/>
            <w:vAlign w:val="center"/>
          </w:tcPr>
          <w:p w14:paraId="344EF3E0" w14:textId="65ED1F59" w:rsidR="00166DB1" w:rsidRPr="00166DB1" w:rsidRDefault="00166DB1" w:rsidP="002D261F">
            <w:pPr>
              <w:pStyle w:val="KeyFindingsTableCopy"/>
            </w:pPr>
            <w:r w:rsidRPr="00166DB1">
              <w:fldChar w:fldCharType="begin"/>
            </w:r>
            <w:r w:rsidRPr="00166DB1">
              <w:instrText xml:space="preserve"> REF _Ref490676929 \h </w:instrText>
            </w:r>
            <w:r w:rsidR="002D261F">
              <w:instrText xml:space="preserve"> \* MERGEFORMAT </w:instrText>
            </w:r>
            <w:r w:rsidRPr="00166DB1">
              <w:fldChar w:fldCharType="separate"/>
            </w:r>
            <w:r w:rsidRPr="00166DB1">
              <w:t>Workforce recruitment programs generally achieved their derived aims of supporting students and interns to undertake education, placements and training that increased their exposure to rural pharmacy practice. Some programs (i.e. the Scholarship Scheme) were found to have a tangible impact on the number of prospective new rural pharmacists. Some programs may increase intention to practise in a rural area but there is no clear evidence that the program actually increases recruitment.</w:t>
            </w:r>
            <w:r w:rsidRPr="00166DB1">
              <w:fldChar w:fldCharType="end"/>
            </w:r>
          </w:p>
        </w:tc>
      </w:tr>
      <w:tr w:rsidR="00166DB1" w:rsidRPr="00166DB1" w14:paraId="69E5CF0A" w14:textId="77777777" w:rsidTr="00133610">
        <w:trPr>
          <w:cantSplit/>
        </w:trPr>
        <w:tc>
          <w:tcPr>
            <w:tcW w:w="1843" w:type="dxa"/>
            <w:shd w:val="clear" w:color="auto" w:fill="F2F2F2" w:themeFill="background1" w:themeFillShade="F2"/>
            <w:vAlign w:val="center"/>
          </w:tcPr>
          <w:p w14:paraId="05774DD5" w14:textId="54D896FC" w:rsidR="00166DB1" w:rsidRPr="00166DB1" w:rsidRDefault="00166DB1" w:rsidP="002D261F">
            <w:pPr>
              <w:pStyle w:val="KeyFindingsTableLeftColumn"/>
            </w:pPr>
            <w:r w:rsidRPr="00166DB1">
              <w:fldChar w:fldCharType="begin"/>
            </w:r>
            <w:r w:rsidRPr="00166DB1">
              <w:instrText xml:space="preserve"> REF _Ref490676934 \r \h </w:instrText>
            </w:r>
            <w:r w:rsidR="002D261F">
              <w:instrText xml:space="preserve"> \* MERGEFORMAT </w:instrText>
            </w:r>
            <w:r w:rsidRPr="00166DB1">
              <w:fldChar w:fldCharType="separate"/>
            </w:r>
            <w:r w:rsidRPr="00166DB1">
              <w:t>Key Finding 16:</w:t>
            </w:r>
            <w:r w:rsidRPr="00166DB1">
              <w:fldChar w:fldCharType="end"/>
            </w:r>
          </w:p>
        </w:tc>
        <w:tc>
          <w:tcPr>
            <w:tcW w:w="5201" w:type="dxa"/>
            <w:shd w:val="clear" w:color="auto" w:fill="F2F2F2" w:themeFill="background1" w:themeFillShade="F2"/>
            <w:vAlign w:val="center"/>
          </w:tcPr>
          <w:p w14:paraId="4CF18E1D" w14:textId="142532D7" w:rsidR="00166DB1" w:rsidRPr="00166DB1" w:rsidRDefault="00166DB1" w:rsidP="002D261F">
            <w:pPr>
              <w:pStyle w:val="KeyFindingsTableCopy"/>
            </w:pPr>
            <w:r w:rsidRPr="00166DB1">
              <w:fldChar w:fldCharType="begin"/>
            </w:r>
            <w:r w:rsidRPr="00166DB1">
              <w:instrText xml:space="preserve"> REF _Ref490676934 \h </w:instrText>
            </w:r>
            <w:r w:rsidR="002D261F">
              <w:instrText xml:space="preserve"> \* MERGEFORMAT </w:instrText>
            </w:r>
            <w:r w:rsidRPr="00166DB1">
              <w:fldChar w:fldCharType="separate"/>
            </w:r>
            <w:r w:rsidRPr="00166DB1">
              <w:t xml:space="preserve">Retention component programs achieved their </w:t>
            </w:r>
            <w:r w:rsidRPr="00166DB1">
              <w:rPr>
                <w:i/>
              </w:rPr>
              <w:t>derived aims</w:t>
            </w:r>
            <w:r w:rsidRPr="00166DB1">
              <w:t xml:space="preserve"> of reducing financial barriers to rural practice such as access to CPE, locums and interns. All programs were highly valued by the pharmacists who accessed them. However, the extent to which these programs prevented pharmacists leaving rural practice was not measurable and could not be isolated from other drivers of greater retention.</w:t>
            </w:r>
            <w:r w:rsidRPr="00166DB1">
              <w:fldChar w:fldCharType="end"/>
            </w:r>
          </w:p>
        </w:tc>
      </w:tr>
    </w:tbl>
    <w:p w14:paraId="7419C04E" w14:textId="77777777" w:rsidR="00D62D23" w:rsidRDefault="00D62D23" w:rsidP="00166DB1">
      <w:pPr>
        <w:spacing w:before="60" w:after="60"/>
        <w:ind w:left="142" w:right="142"/>
        <w:rPr>
          <w:rFonts w:ascii="Franklin Gothic Book" w:eastAsia="Garamond" w:hAnsi="Franklin Gothic Book"/>
          <w:color w:val="000000"/>
        </w:rPr>
        <w:sectPr w:rsidR="00D62D23" w:rsidSect="00D62D23">
          <w:pgSz w:w="16839" w:h="11907" w:orient="landscape" w:code="9"/>
          <w:pgMar w:top="2268" w:right="1304" w:bottom="850" w:left="737" w:header="567" w:footer="284" w:gutter="0"/>
          <w:cols w:num="2" w:space="709"/>
          <w:titlePg/>
          <w:docGrid w:linePitch="360"/>
        </w:sectPr>
      </w:pPr>
    </w:p>
    <w:tbl>
      <w:tblPr>
        <w:tblStyle w:val="KeyFindings"/>
        <w:tblW w:w="5000" w:type="pct"/>
        <w:shd w:val="clear" w:color="auto" w:fill="F2F2F2" w:themeFill="background1" w:themeFillShade="F2"/>
        <w:tblLayout w:type="fixed"/>
        <w:tblLook w:val="04A0" w:firstRow="1" w:lastRow="0" w:firstColumn="1" w:lastColumn="0" w:noHBand="0" w:noVBand="1"/>
        <w:tblCaption w:val="KEY FINDINGS ON EFFECTIVENESS"/>
        <w:tblDescription w:val="KEY FINDINGS ON EFFECTIVENESS Table summarising Key Findings 17 to 21"/>
      </w:tblPr>
      <w:tblGrid>
        <w:gridCol w:w="1876"/>
        <w:gridCol w:w="5168"/>
      </w:tblGrid>
      <w:tr w:rsidR="005D2DA1" w:rsidRPr="00166DB1" w14:paraId="292C8196" w14:textId="77777777" w:rsidTr="0083126D">
        <w:trPr>
          <w:cnfStyle w:val="100000000000" w:firstRow="1" w:lastRow="0" w:firstColumn="0" w:lastColumn="0" w:oddVBand="0" w:evenVBand="0" w:oddHBand="0" w:evenHBand="0" w:firstRowFirstColumn="0" w:firstRowLastColumn="0" w:lastRowFirstColumn="0" w:lastRowLastColumn="0"/>
          <w:cantSplit/>
          <w:tblHeader/>
        </w:trPr>
        <w:tc>
          <w:tcPr>
            <w:tcW w:w="1876" w:type="dxa"/>
            <w:shd w:val="clear" w:color="auto" w:fill="F2F2F2" w:themeFill="background1" w:themeFillShade="F2"/>
            <w:vAlign w:val="center"/>
          </w:tcPr>
          <w:p w14:paraId="798C6B96" w14:textId="77777777" w:rsidR="005D2DA1" w:rsidRPr="00C53DB8" w:rsidRDefault="005D2DA1" w:rsidP="005D2DA1">
            <w:pPr>
              <w:pStyle w:val="KeyFindingsTableHeading"/>
            </w:pPr>
          </w:p>
        </w:tc>
        <w:tc>
          <w:tcPr>
            <w:tcW w:w="5168" w:type="dxa"/>
            <w:shd w:val="clear" w:color="auto" w:fill="F2F2F2" w:themeFill="background1" w:themeFillShade="F2"/>
            <w:vAlign w:val="center"/>
          </w:tcPr>
          <w:p w14:paraId="1B085188" w14:textId="62D41442" w:rsidR="005D2DA1" w:rsidRPr="00C53DB8" w:rsidRDefault="005D2DA1" w:rsidP="005D2DA1">
            <w:pPr>
              <w:pStyle w:val="KeyFindingsTableHeading"/>
            </w:pPr>
            <w:r w:rsidRPr="00166DB1">
              <w:t>Summary of key findings</w:t>
            </w:r>
          </w:p>
        </w:tc>
      </w:tr>
      <w:tr w:rsidR="00166DB1" w:rsidRPr="00166DB1" w14:paraId="38DD0786" w14:textId="77777777" w:rsidTr="0083126D">
        <w:trPr>
          <w:cantSplit/>
        </w:trPr>
        <w:tc>
          <w:tcPr>
            <w:tcW w:w="1876" w:type="dxa"/>
            <w:shd w:val="clear" w:color="auto" w:fill="F2F2F2" w:themeFill="background1" w:themeFillShade="F2"/>
            <w:vAlign w:val="center"/>
          </w:tcPr>
          <w:p w14:paraId="3044B10A" w14:textId="721C2E28" w:rsidR="00166DB1" w:rsidRPr="00C53DB8" w:rsidRDefault="00166DB1" w:rsidP="00C53DB8">
            <w:pPr>
              <w:pStyle w:val="KeyFindingsTableLeftColumn"/>
            </w:pPr>
            <w:r w:rsidRPr="00C53DB8">
              <w:fldChar w:fldCharType="begin"/>
            </w:r>
            <w:r w:rsidRPr="00C53DB8">
              <w:instrText xml:space="preserve"> REF _Ref490676959 \r \h </w:instrText>
            </w:r>
            <w:r w:rsidR="002D261F" w:rsidRPr="00C53DB8">
              <w:instrText xml:space="preserve"> \* MERGEFORMAT </w:instrText>
            </w:r>
            <w:r w:rsidRPr="00C53DB8">
              <w:fldChar w:fldCharType="separate"/>
            </w:r>
            <w:r w:rsidRPr="00C53DB8">
              <w:t>Key Finding 17:</w:t>
            </w:r>
            <w:r w:rsidRPr="00C53DB8">
              <w:fldChar w:fldCharType="end"/>
            </w:r>
          </w:p>
        </w:tc>
        <w:tc>
          <w:tcPr>
            <w:tcW w:w="5168" w:type="dxa"/>
            <w:shd w:val="clear" w:color="auto" w:fill="F2F2F2" w:themeFill="background1" w:themeFillShade="F2"/>
            <w:vAlign w:val="center"/>
          </w:tcPr>
          <w:p w14:paraId="56489084" w14:textId="3E239C62" w:rsidR="00166DB1" w:rsidRPr="00C53DB8" w:rsidRDefault="00166DB1" w:rsidP="00C53DB8">
            <w:pPr>
              <w:pStyle w:val="KeyFindingsTableCopy"/>
            </w:pPr>
            <w:r w:rsidRPr="00C53DB8">
              <w:fldChar w:fldCharType="begin"/>
            </w:r>
            <w:r w:rsidRPr="00C53DB8">
              <w:instrText xml:space="preserve"> REF _Ref490676959 \h </w:instrText>
            </w:r>
            <w:r w:rsidR="002D261F" w:rsidRPr="00C53DB8">
              <w:instrText xml:space="preserve"> \* MERGEFORMAT </w:instrText>
            </w:r>
            <w:r w:rsidRPr="00C53DB8">
              <w:fldChar w:fldCharType="separate"/>
            </w:r>
            <w:r w:rsidRPr="00C53DB8">
              <w:t>Other support component programs generally achieved their derived aims. However, these aims remain broad and self-fulfilling. A majority of stakeholders involved in the delivery of the programs stated that the support programs were vital to supporting recruitment activities.</w:t>
            </w:r>
            <w:r w:rsidRPr="00C53DB8">
              <w:fldChar w:fldCharType="end"/>
            </w:r>
          </w:p>
        </w:tc>
      </w:tr>
      <w:tr w:rsidR="00166DB1" w:rsidRPr="00166DB1" w14:paraId="1A28675F" w14:textId="77777777" w:rsidTr="0083126D">
        <w:trPr>
          <w:cantSplit/>
        </w:trPr>
        <w:tc>
          <w:tcPr>
            <w:tcW w:w="1876" w:type="dxa"/>
            <w:shd w:val="clear" w:color="auto" w:fill="F2F2F2" w:themeFill="background1" w:themeFillShade="F2"/>
            <w:vAlign w:val="center"/>
          </w:tcPr>
          <w:p w14:paraId="127664EB" w14:textId="77332C25" w:rsidR="00166DB1" w:rsidRPr="00166DB1" w:rsidRDefault="00166DB1" w:rsidP="002D261F">
            <w:pPr>
              <w:pStyle w:val="KeyFindingsTableLeftColumn"/>
            </w:pPr>
            <w:r w:rsidRPr="00166DB1">
              <w:fldChar w:fldCharType="begin"/>
            </w:r>
            <w:r w:rsidRPr="00166DB1">
              <w:instrText xml:space="preserve"> REF _Ref490676965 \r \h </w:instrText>
            </w:r>
            <w:r w:rsidR="002D261F">
              <w:instrText xml:space="preserve"> \* MERGEFORMAT </w:instrText>
            </w:r>
            <w:r w:rsidRPr="00166DB1">
              <w:fldChar w:fldCharType="separate"/>
            </w:r>
            <w:r w:rsidRPr="00166DB1">
              <w:t>Key Finding 18:</w:t>
            </w:r>
            <w:r w:rsidRPr="00166DB1">
              <w:fldChar w:fldCharType="end"/>
            </w:r>
          </w:p>
        </w:tc>
        <w:tc>
          <w:tcPr>
            <w:tcW w:w="5168" w:type="dxa"/>
            <w:shd w:val="clear" w:color="auto" w:fill="F2F2F2" w:themeFill="background1" w:themeFillShade="F2"/>
            <w:vAlign w:val="center"/>
          </w:tcPr>
          <w:p w14:paraId="630A388D" w14:textId="013191C3" w:rsidR="00166DB1" w:rsidRPr="00166DB1" w:rsidRDefault="00166DB1" w:rsidP="002D261F">
            <w:pPr>
              <w:pStyle w:val="KeyFindingsTableCopy"/>
            </w:pPr>
            <w:r w:rsidRPr="00166DB1">
              <w:fldChar w:fldCharType="begin"/>
            </w:r>
            <w:r w:rsidRPr="00166DB1">
              <w:instrText xml:space="preserve"> REF _Ref490676965 \h </w:instrText>
            </w:r>
            <w:r w:rsidR="002D261F">
              <w:instrText xml:space="preserve"> \* MERGEFORMAT </w:instrText>
            </w:r>
            <w:r w:rsidRPr="00166DB1">
              <w:fldChar w:fldCharType="separate"/>
            </w:r>
            <w:r w:rsidRPr="00166DB1">
              <w:t>Despite the overall growth in the number of Aboriginal and Torres Strait Islander pharmacists, the FTE rate per 100,000 Aboriginal and Torres Strait Islander population remained low, supporting a position that there is an ongoing need to have recruitment programs for Aboriginal and Torres Islander pharmacy workforce.</w:t>
            </w:r>
            <w:r w:rsidRPr="00166DB1">
              <w:fldChar w:fldCharType="end"/>
            </w:r>
          </w:p>
        </w:tc>
      </w:tr>
      <w:tr w:rsidR="00166DB1" w:rsidRPr="00166DB1" w14:paraId="0DD441DE" w14:textId="77777777" w:rsidTr="0083126D">
        <w:trPr>
          <w:cantSplit/>
        </w:trPr>
        <w:tc>
          <w:tcPr>
            <w:tcW w:w="1876" w:type="dxa"/>
            <w:shd w:val="clear" w:color="auto" w:fill="F2F2F2" w:themeFill="background1" w:themeFillShade="F2"/>
            <w:vAlign w:val="center"/>
          </w:tcPr>
          <w:p w14:paraId="1B125B71" w14:textId="65B1A54D" w:rsidR="00166DB1" w:rsidRPr="00166DB1" w:rsidRDefault="00166DB1" w:rsidP="002D261F">
            <w:pPr>
              <w:pStyle w:val="KeyFindingsTableLeftColumn"/>
            </w:pPr>
            <w:r w:rsidRPr="00166DB1">
              <w:fldChar w:fldCharType="begin"/>
            </w:r>
            <w:r w:rsidRPr="00166DB1">
              <w:instrText xml:space="preserve"> REF _Ref490676970 \r \h </w:instrText>
            </w:r>
            <w:r w:rsidR="002D261F">
              <w:instrText xml:space="preserve"> \* MERGEFORMAT </w:instrText>
            </w:r>
            <w:r w:rsidRPr="00166DB1">
              <w:fldChar w:fldCharType="separate"/>
            </w:r>
            <w:r w:rsidRPr="00166DB1">
              <w:t>Key Finding 19:</w:t>
            </w:r>
            <w:r w:rsidRPr="00166DB1">
              <w:fldChar w:fldCharType="end"/>
            </w:r>
          </w:p>
        </w:tc>
        <w:tc>
          <w:tcPr>
            <w:tcW w:w="5168" w:type="dxa"/>
            <w:shd w:val="clear" w:color="auto" w:fill="F2F2F2" w:themeFill="background1" w:themeFillShade="F2"/>
            <w:vAlign w:val="center"/>
          </w:tcPr>
          <w:p w14:paraId="2A4AACCF" w14:textId="6B1F7568" w:rsidR="00166DB1" w:rsidRPr="00166DB1" w:rsidRDefault="00166DB1" w:rsidP="002D261F">
            <w:pPr>
              <w:pStyle w:val="KeyFindingsTableCopy"/>
            </w:pPr>
            <w:r w:rsidRPr="00166DB1">
              <w:fldChar w:fldCharType="begin"/>
            </w:r>
            <w:r w:rsidRPr="00166DB1">
              <w:instrText xml:space="preserve"> REF _Ref490676970 \h </w:instrText>
            </w:r>
            <w:r w:rsidR="002D261F">
              <w:instrText xml:space="preserve"> \* MERGEFORMAT </w:instrText>
            </w:r>
            <w:r w:rsidRPr="00166DB1">
              <w:fldChar w:fldCharType="separate"/>
            </w:r>
            <w:r w:rsidRPr="00166DB1">
              <w:t>Distribution of the Aboriginal and Torres Strait Islander pharmacy workforce is skewed towards major cities and remote areas.</w:t>
            </w:r>
            <w:r w:rsidRPr="00166DB1">
              <w:fldChar w:fldCharType="end"/>
            </w:r>
          </w:p>
        </w:tc>
      </w:tr>
      <w:tr w:rsidR="00166DB1" w:rsidRPr="00166DB1" w14:paraId="2F878EAB" w14:textId="77777777" w:rsidTr="0083126D">
        <w:trPr>
          <w:cantSplit/>
        </w:trPr>
        <w:tc>
          <w:tcPr>
            <w:tcW w:w="1876" w:type="dxa"/>
            <w:shd w:val="clear" w:color="auto" w:fill="F2F2F2" w:themeFill="background1" w:themeFillShade="F2"/>
            <w:vAlign w:val="center"/>
          </w:tcPr>
          <w:p w14:paraId="22EF8BC3" w14:textId="30E7F471" w:rsidR="00166DB1" w:rsidRPr="00166DB1" w:rsidRDefault="00166DB1" w:rsidP="002D261F">
            <w:pPr>
              <w:pStyle w:val="KeyFindingsTableLeftColumn"/>
            </w:pPr>
            <w:r w:rsidRPr="00166DB1">
              <w:fldChar w:fldCharType="begin"/>
            </w:r>
            <w:r w:rsidRPr="00166DB1">
              <w:instrText xml:space="preserve"> REF _Ref490676974 \r \h </w:instrText>
            </w:r>
            <w:r w:rsidR="002D261F">
              <w:instrText xml:space="preserve"> \* MERGEFORMAT </w:instrText>
            </w:r>
            <w:r w:rsidRPr="00166DB1">
              <w:fldChar w:fldCharType="separate"/>
            </w:r>
            <w:r w:rsidRPr="00166DB1">
              <w:t>Key Finding 20:</w:t>
            </w:r>
            <w:r w:rsidRPr="00166DB1">
              <w:fldChar w:fldCharType="end"/>
            </w:r>
          </w:p>
        </w:tc>
        <w:tc>
          <w:tcPr>
            <w:tcW w:w="5168" w:type="dxa"/>
            <w:shd w:val="clear" w:color="auto" w:fill="F2F2F2" w:themeFill="background1" w:themeFillShade="F2"/>
            <w:vAlign w:val="center"/>
          </w:tcPr>
          <w:p w14:paraId="5AD16E76" w14:textId="4D996EFD" w:rsidR="00166DB1" w:rsidRPr="00166DB1" w:rsidRDefault="00166DB1" w:rsidP="002D261F">
            <w:pPr>
              <w:pStyle w:val="KeyFindingsTableCopy"/>
            </w:pPr>
            <w:r w:rsidRPr="00166DB1">
              <w:fldChar w:fldCharType="begin"/>
            </w:r>
            <w:r w:rsidRPr="00166DB1">
              <w:instrText xml:space="preserve"> REF _Ref490676974 \h </w:instrText>
            </w:r>
            <w:r w:rsidR="002D261F">
              <w:instrText xml:space="preserve"> \* MERGEFORMAT </w:instrText>
            </w:r>
            <w:r w:rsidRPr="00166DB1">
              <w:fldChar w:fldCharType="separate"/>
            </w:r>
            <w:r w:rsidRPr="00166DB1">
              <w:t>Programs under the component addressing the availability of culturally appropriate services for Aboriginal and Torres Strait Islander people contributed to their aim of increasing the Aboriginal and Torres Strait Islander pharmacy workforce. However, it is unclear whether an increase in Aboriginal and Torres Strait Islander representation in pharmacy workforce will effectively enhance the availability of culturally appropriate services for Aboriginal and Torres Strait Islander communities.</w:t>
            </w:r>
            <w:r w:rsidRPr="00166DB1">
              <w:fldChar w:fldCharType="end"/>
            </w:r>
          </w:p>
        </w:tc>
      </w:tr>
      <w:tr w:rsidR="00166DB1" w:rsidRPr="00166DB1" w14:paraId="487DD879" w14:textId="77777777" w:rsidTr="0083126D">
        <w:trPr>
          <w:cantSplit/>
        </w:trPr>
        <w:tc>
          <w:tcPr>
            <w:tcW w:w="1876" w:type="dxa"/>
            <w:shd w:val="clear" w:color="auto" w:fill="F2F2F2" w:themeFill="background1" w:themeFillShade="F2"/>
            <w:vAlign w:val="center"/>
          </w:tcPr>
          <w:p w14:paraId="7E78FBE0" w14:textId="1243B4E2" w:rsidR="00166DB1" w:rsidRPr="00166DB1" w:rsidRDefault="00166DB1" w:rsidP="002D261F">
            <w:pPr>
              <w:pStyle w:val="KeyFindingsTableLeftColumn"/>
            </w:pPr>
            <w:r w:rsidRPr="00166DB1">
              <w:fldChar w:fldCharType="begin"/>
            </w:r>
            <w:r w:rsidRPr="00166DB1">
              <w:instrText xml:space="preserve"> REF _Ref490676981 \r \h </w:instrText>
            </w:r>
            <w:r w:rsidR="002D261F">
              <w:instrText xml:space="preserve"> \* MERGEFORMAT </w:instrText>
            </w:r>
            <w:r w:rsidRPr="00166DB1">
              <w:fldChar w:fldCharType="separate"/>
            </w:r>
            <w:r w:rsidRPr="00166DB1">
              <w:t>Key Finding 21:</w:t>
            </w:r>
            <w:r w:rsidRPr="00166DB1">
              <w:fldChar w:fldCharType="end"/>
            </w:r>
          </w:p>
        </w:tc>
        <w:tc>
          <w:tcPr>
            <w:tcW w:w="5168" w:type="dxa"/>
            <w:shd w:val="clear" w:color="auto" w:fill="F2F2F2" w:themeFill="background1" w:themeFillShade="F2"/>
            <w:vAlign w:val="center"/>
          </w:tcPr>
          <w:p w14:paraId="0263C4B4" w14:textId="4A7EF4D4" w:rsidR="00166DB1" w:rsidRPr="00166DB1" w:rsidRDefault="00166DB1" w:rsidP="002D261F">
            <w:pPr>
              <w:pStyle w:val="KeyFindingsTableCopy"/>
            </w:pPr>
            <w:r w:rsidRPr="00166DB1">
              <w:fldChar w:fldCharType="begin"/>
            </w:r>
            <w:r w:rsidRPr="00166DB1">
              <w:instrText xml:space="preserve"> REF _Ref490676981 \h </w:instrText>
            </w:r>
            <w:r w:rsidR="002D261F">
              <w:instrText xml:space="preserve"> \* MERGEFORMAT </w:instrText>
            </w:r>
            <w:r w:rsidRPr="00166DB1">
              <w:fldChar w:fldCharType="separate"/>
            </w:r>
            <w:r w:rsidRPr="00166DB1">
              <w:t>Wholesale changes to the Pharmacy Programs should be approached with caution. Although we found that the programs did not have any observable impact on strengthening the rural and remote pharmacy workforce levels, based on the available 2013–2015 data, there are other factors that must be considered in forming decisions about the future of the programs: the impacts of the current programs and their value to current and prospective recipients. An increase in the value of the grants could increase the incentives to take up the grants and promote larger shifts in the workforce into rural and remote areas.</w:t>
            </w:r>
            <w:r w:rsidRPr="00166DB1">
              <w:fldChar w:fldCharType="end"/>
            </w:r>
          </w:p>
        </w:tc>
      </w:tr>
    </w:tbl>
    <w:p w14:paraId="1EE684CF" w14:textId="77777777" w:rsidR="00166DB1" w:rsidRPr="00166DB1" w:rsidRDefault="00166DB1" w:rsidP="0029291C">
      <w:pPr>
        <w:pStyle w:val="ESHeading2"/>
        <w:spacing w:before="240"/>
        <w:rPr>
          <w:lang w:val="en-US"/>
        </w:rPr>
      </w:pPr>
      <w:r w:rsidRPr="00166DB1">
        <w:rPr>
          <w:lang w:val="en-US"/>
        </w:rPr>
        <w:t>Effectiveness analysis</w:t>
      </w:r>
    </w:p>
    <w:p w14:paraId="0C81C46E" w14:textId="77777777" w:rsidR="00166DB1" w:rsidRPr="00166DB1" w:rsidRDefault="00166DB1" w:rsidP="009B60C3">
      <w:pPr>
        <w:pStyle w:val="SectionTitle"/>
        <w:rPr>
          <w:lang w:val="en-US"/>
        </w:rPr>
      </w:pPr>
      <w:r w:rsidRPr="00166DB1">
        <w:rPr>
          <w:lang w:val="en-US"/>
        </w:rPr>
        <w:t>Rural Pharmacy workforce package effectiveness</w:t>
      </w:r>
    </w:p>
    <w:p w14:paraId="69597185" w14:textId="3758E378" w:rsidR="00166DB1" w:rsidRPr="00B24642" w:rsidRDefault="00166DB1" w:rsidP="00B24642">
      <w:pPr>
        <w:pStyle w:val="Heading2"/>
      </w:pPr>
      <w:bookmarkStart w:id="65" w:name="_Toc523322063"/>
      <w:r w:rsidRPr="00B24642">
        <w:t>Estimated Shortfall in Community Pharmacists Relative to Program Impacts</w:t>
      </w:r>
      <w:bookmarkEnd w:id="65"/>
    </w:p>
    <w:p w14:paraId="2764F90C"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It was beyond the scope of this evaluation to determine what an appropriate FTE rate of pharmacists per head of population is, or whether the current pharmacist FTE rates in major cities or other locations represent an under- or over-supply. However, we have developed a magnitude estimate of the extent of underlying need, assuming the current FTE ratio in major cities represents a reasonable benchmark. The workings are shown at Attachment C. We estimated that around an extra 1,080 FTE of pharmacists would be required for regional and remote areas to achieve </w:t>
      </w:r>
      <w:r w:rsidRPr="00166DB1">
        <w:rPr>
          <w:rFonts w:ascii="Garamond" w:eastAsia="Garamond" w:hAnsi="Garamond"/>
          <w:color w:val="000000"/>
        </w:rPr>
        <w:lastRenderedPageBreak/>
        <w:t>parity with major cities. Of these, we estimated that approximately 270 FTE would need to be community pharmacists.</w:t>
      </w:r>
    </w:p>
    <w:p w14:paraId="67B31341" w14:textId="77777777" w:rsidR="00166DB1" w:rsidRPr="00166DB1" w:rsidRDefault="00166DB1" w:rsidP="00063226">
      <w:pPr>
        <w:pStyle w:val="KeyFinding"/>
        <w:shd w:val="clear" w:color="auto" w:fill="F2F2F2" w:themeFill="background1" w:themeFillShade="F2"/>
      </w:pPr>
      <w:bookmarkStart w:id="66" w:name="_Ref490676913"/>
      <w:r w:rsidRPr="00166DB1">
        <w:t>Around an extra 270 FTE of community pharmacists would be required for regional and remote areas to achieve parity with major cities.</w:t>
      </w:r>
      <w:bookmarkEnd w:id="66"/>
    </w:p>
    <w:p w14:paraId="5BF692E8" w14:textId="77777777" w:rsidR="00166DB1" w:rsidRPr="00166DB1" w:rsidRDefault="00166DB1" w:rsidP="00B24642">
      <w:pPr>
        <w:pStyle w:val="Heading2"/>
      </w:pPr>
      <w:bookmarkStart w:id="67" w:name="_Toc523322064"/>
      <w:r w:rsidRPr="00166DB1">
        <w:t>Assessing impact: Program effects relative to underlying need</w:t>
      </w:r>
      <w:bookmarkEnd w:id="67"/>
    </w:p>
    <w:p w14:paraId="1D6EB682"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To assess the impact of the Rural Workforce Package relative to underlying need for additional pharmacists outside the major cities, we examined their market reach. </w:t>
      </w:r>
    </w:p>
    <w:p w14:paraId="3B5C661B"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Our estimates calculated the workforce recruitment program components of the Package could contribute around 250 extra pharmacists per annum (see </w:t>
      </w:r>
      <w:r w:rsidRPr="00166DB1">
        <w:rPr>
          <w:rFonts w:ascii="Garamond" w:eastAsia="Garamond" w:hAnsi="Garamond"/>
          <w:color w:val="000000"/>
        </w:rPr>
        <w:fldChar w:fldCharType="begin"/>
      </w:r>
      <w:r w:rsidRPr="00166DB1">
        <w:rPr>
          <w:rFonts w:ascii="Garamond" w:eastAsia="Garamond" w:hAnsi="Garamond"/>
          <w:color w:val="000000"/>
        </w:rPr>
        <w:instrText xml:space="preserve"> REF _Ref488142409 \h </w:instrText>
      </w:r>
      <w:r w:rsidRPr="00166DB1">
        <w:rPr>
          <w:rFonts w:ascii="Garamond" w:eastAsia="Garamond" w:hAnsi="Garamond"/>
          <w:color w:val="000000"/>
        </w:rPr>
      </w:r>
      <w:r w:rsidRPr="00166DB1">
        <w:rPr>
          <w:rFonts w:ascii="Garamond" w:eastAsia="Garamond" w:hAnsi="Garamond"/>
          <w:color w:val="000000"/>
        </w:rPr>
        <w:fldChar w:fldCharType="separate"/>
      </w:r>
      <w:r w:rsidRPr="00166DB1">
        <w:rPr>
          <w:rFonts w:ascii="Garamond" w:eastAsia="Garamond" w:hAnsi="Garamond"/>
          <w:color w:val="000000"/>
        </w:rPr>
        <w:t xml:space="preserve">Table </w:t>
      </w:r>
      <w:r w:rsidRPr="00166DB1">
        <w:rPr>
          <w:rFonts w:ascii="Garamond" w:eastAsia="Garamond" w:hAnsi="Garamond"/>
          <w:noProof/>
          <w:color w:val="000000"/>
        </w:rPr>
        <w:t>5</w:t>
      </w:r>
      <w:r w:rsidRPr="00166DB1">
        <w:rPr>
          <w:rFonts w:ascii="Garamond" w:eastAsia="Garamond" w:hAnsi="Garamond"/>
          <w:color w:val="000000"/>
        </w:rPr>
        <w:t>.</w:t>
      </w:r>
      <w:r w:rsidRPr="00166DB1">
        <w:rPr>
          <w:rFonts w:ascii="Garamond" w:eastAsia="Garamond" w:hAnsi="Garamond"/>
          <w:noProof/>
          <w:color w:val="000000"/>
        </w:rPr>
        <w:t>1</w:t>
      </w:r>
      <w:r w:rsidRPr="00166DB1">
        <w:rPr>
          <w:rFonts w:ascii="Garamond" w:eastAsia="Garamond" w:hAnsi="Garamond"/>
          <w:color w:val="000000"/>
        </w:rPr>
        <w:fldChar w:fldCharType="end"/>
      </w:r>
      <w:r w:rsidRPr="00166DB1">
        <w:rPr>
          <w:rFonts w:ascii="Garamond" w:eastAsia="Garamond" w:hAnsi="Garamond"/>
          <w:color w:val="000000"/>
        </w:rPr>
        <w:t xml:space="preserve">). </w:t>
      </w:r>
    </w:p>
    <w:p w14:paraId="62C5DB38" w14:textId="77777777" w:rsidR="00166DB1" w:rsidRPr="00166DB1" w:rsidRDefault="00166DB1" w:rsidP="00483C21">
      <w:pPr>
        <w:pStyle w:val="Caption"/>
      </w:pPr>
      <w:bookmarkStart w:id="68" w:name="_Ref493580608"/>
      <w:bookmarkStart w:id="69" w:name="_Ref488142409"/>
      <w:r w:rsidRPr="00166DB1">
        <w:t xml:space="preserve">Table </w:t>
      </w:r>
      <w:r w:rsidRPr="00166DB1">
        <w:rPr>
          <w:noProof/>
        </w:rPr>
        <w:fldChar w:fldCharType="begin"/>
      </w:r>
      <w:r w:rsidRPr="00166DB1">
        <w:rPr>
          <w:noProof/>
        </w:rPr>
        <w:instrText xml:space="preserve"> STYLEREF 1 \s </w:instrText>
      </w:r>
      <w:r w:rsidRPr="00166DB1">
        <w:rPr>
          <w:noProof/>
        </w:rPr>
        <w:fldChar w:fldCharType="separate"/>
      </w:r>
      <w:r w:rsidRPr="00166DB1">
        <w:rPr>
          <w:noProof/>
        </w:rPr>
        <w:t>5</w:t>
      </w:r>
      <w:r w:rsidRPr="00166DB1">
        <w:rPr>
          <w:noProof/>
        </w:rPr>
        <w:fldChar w:fldCharType="end"/>
      </w:r>
      <w:r w:rsidRPr="00166DB1">
        <w:t>.</w:t>
      </w:r>
      <w:r w:rsidRPr="00166DB1">
        <w:rPr>
          <w:noProof/>
        </w:rPr>
        <w:fldChar w:fldCharType="begin"/>
      </w:r>
      <w:r w:rsidRPr="00166DB1">
        <w:rPr>
          <w:noProof/>
        </w:rPr>
        <w:instrText xml:space="preserve"> SEQ Table \* ARABIC \s 1 </w:instrText>
      </w:r>
      <w:r w:rsidRPr="00166DB1">
        <w:rPr>
          <w:noProof/>
        </w:rPr>
        <w:fldChar w:fldCharType="separate"/>
      </w:r>
      <w:r w:rsidRPr="00166DB1">
        <w:rPr>
          <w:noProof/>
        </w:rPr>
        <w:t>1</w:t>
      </w:r>
      <w:r w:rsidRPr="00166DB1">
        <w:rPr>
          <w:noProof/>
        </w:rPr>
        <w:fldChar w:fldCharType="end"/>
      </w:r>
      <w:bookmarkEnd w:id="68"/>
      <w:bookmarkEnd w:id="69"/>
      <w:r w:rsidRPr="00166DB1">
        <w:t xml:space="preserve">: Average recruitment program volume and estimated contribution to non-metropolitan new graduates, 2013–14 and 2014–15 </w:t>
      </w:r>
    </w:p>
    <w:tbl>
      <w:tblPr>
        <w:tblStyle w:val="HMATable"/>
        <w:tblW w:w="4959" w:type="pct"/>
        <w:shd w:val="clear" w:color="auto" w:fill="F2F2F2" w:themeFill="background1" w:themeFillShade="F2"/>
        <w:tblLayout w:type="fixed"/>
        <w:tblLook w:val="04A0" w:firstRow="1" w:lastRow="0" w:firstColumn="1" w:lastColumn="0" w:noHBand="0" w:noVBand="1"/>
        <w:tblCaption w:val="Table 5.1: Average recruitment program volume and estimated contribution to non-metropolitan new graduates, 2013-14 and 2014-15"/>
        <w:tblDescription w:val="Table 5.1: Average recruitment program volume and estimated contribution to non-metropolitan new graduates, 2013-14 and 2014-15. Table compares Rural Workforce Package, workforce recruitment program components compared to Column A: Average annual no. of new program recipients compared to Column B: Return rate assumptions compared ot Column C (A*B) Estimated new graduates p.a. attributable to program impacts.&#10;"/>
      </w:tblPr>
      <w:tblGrid>
        <w:gridCol w:w="1828"/>
        <w:gridCol w:w="1578"/>
        <w:gridCol w:w="1519"/>
        <w:gridCol w:w="2051"/>
      </w:tblGrid>
      <w:tr w:rsidR="00166DB1" w:rsidRPr="00166DB1" w14:paraId="0B6BEC0A" w14:textId="77777777" w:rsidTr="00904A68">
        <w:trPr>
          <w:cnfStyle w:val="100000000000" w:firstRow="1" w:lastRow="0" w:firstColumn="0" w:lastColumn="0" w:oddVBand="0" w:evenVBand="0" w:oddHBand="0" w:evenHBand="0" w:firstRowFirstColumn="0" w:firstRowLastColumn="0" w:lastRowFirstColumn="0" w:lastRowLastColumn="0"/>
          <w:trHeight w:val="1262"/>
          <w:tblHeader/>
        </w:trPr>
        <w:tc>
          <w:tcPr>
            <w:cnfStyle w:val="001000000100" w:firstRow="0" w:lastRow="0" w:firstColumn="1" w:lastColumn="0" w:oddVBand="0" w:evenVBand="0" w:oddHBand="0" w:evenHBand="0" w:firstRowFirstColumn="1" w:firstRowLastColumn="0" w:lastRowFirstColumn="0" w:lastRowLastColumn="0"/>
            <w:tcW w:w="1310" w:type="pct"/>
            <w:shd w:val="clear" w:color="auto" w:fill="D9D9D9" w:themeFill="background1" w:themeFillShade="D9"/>
            <w:noWrap/>
            <w:hideMark/>
          </w:tcPr>
          <w:p w14:paraId="5B77E323" w14:textId="77777777" w:rsidR="00166DB1" w:rsidRPr="00166DB1" w:rsidRDefault="00166DB1" w:rsidP="00CF2305">
            <w:pPr>
              <w:pStyle w:val="TableColumnHeading"/>
            </w:pPr>
            <w:r w:rsidRPr="00166DB1">
              <w:t>Rural Workforce Package, workforce recruitment program components</w:t>
            </w:r>
          </w:p>
        </w:tc>
        <w:tc>
          <w:tcPr>
            <w:tcW w:w="1131" w:type="pct"/>
            <w:shd w:val="clear" w:color="auto" w:fill="D9D9D9" w:themeFill="background1" w:themeFillShade="D9"/>
            <w:noWrap/>
            <w:hideMark/>
          </w:tcPr>
          <w:p w14:paraId="21518FDB" w14:textId="77777777" w:rsidR="00166DB1" w:rsidRPr="00166DB1" w:rsidRDefault="00166DB1" w:rsidP="00CF2305">
            <w:pPr>
              <w:pStyle w:val="TableColumnHeading"/>
              <w:cnfStyle w:val="100000000000" w:firstRow="1" w:lastRow="0" w:firstColumn="0" w:lastColumn="0" w:oddVBand="0" w:evenVBand="0" w:oddHBand="0" w:evenHBand="0" w:firstRowFirstColumn="0" w:firstRowLastColumn="0" w:lastRowFirstColumn="0" w:lastRowLastColumn="0"/>
            </w:pPr>
            <w:r w:rsidRPr="00166DB1">
              <w:t xml:space="preserve">Column A: </w:t>
            </w:r>
          </w:p>
          <w:p w14:paraId="51088BBD" w14:textId="77777777" w:rsidR="00166DB1" w:rsidRPr="00166DB1" w:rsidRDefault="00166DB1" w:rsidP="00CF2305">
            <w:pPr>
              <w:pStyle w:val="TableColumnHeading"/>
              <w:cnfStyle w:val="100000000000" w:firstRow="1" w:lastRow="0" w:firstColumn="0" w:lastColumn="0" w:oddVBand="0" w:evenVBand="0" w:oddHBand="0" w:evenHBand="0" w:firstRowFirstColumn="0" w:firstRowLastColumn="0" w:lastRowFirstColumn="0" w:lastRowLastColumn="0"/>
            </w:pPr>
          </w:p>
          <w:p w14:paraId="4FE5C0EE" w14:textId="77777777" w:rsidR="00166DB1" w:rsidRPr="00166DB1" w:rsidRDefault="00166DB1" w:rsidP="00CF2305">
            <w:pPr>
              <w:pStyle w:val="TableColumnHeading"/>
              <w:cnfStyle w:val="100000000000" w:firstRow="1" w:lastRow="0" w:firstColumn="0" w:lastColumn="0" w:oddVBand="0" w:evenVBand="0" w:oddHBand="0" w:evenHBand="0" w:firstRowFirstColumn="0" w:firstRowLastColumn="0" w:lastRowFirstColumn="0" w:lastRowLastColumn="0"/>
            </w:pPr>
            <w:r w:rsidRPr="00166DB1">
              <w:t>Average annual no.</w:t>
            </w:r>
          </w:p>
          <w:p w14:paraId="3C273A2F" w14:textId="77777777" w:rsidR="00166DB1" w:rsidRPr="00166DB1" w:rsidRDefault="00166DB1" w:rsidP="00CF2305">
            <w:pPr>
              <w:pStyle w:val="TableColumnHeading"/>
              <w:cnfStyle w:val="100000000000" w:firstRow="1" w:lastRow="0" w:firstColumn="0" w:lastColumn="0" w:oddVBand="0" w:evenVBand="0" w:oddHBand="0" w:evenHBand="0" w:firstRowFirstColumn="0" w:firstRowLastColumn="0" w:lastRowFirstColumn="0" w:lastRowLastColumn="0"/>
            </w:pPr>
            <w:r w:rsidRPr="00166DB1">
              <w:t xml:space="preserve">of new program recipients </w:t>
            </w:r>
          </w:p>
        </w:tc>
        <w:tc>
          <w:tcPr>
            <w:tcW w:w="1089" w:type="pct"/>
            <w:shd w:val="clear" w:color="auto" w:fill="D9D9D9" w:themeFill="background1" w:themeFillShade="D9"/>
            <w:noWrap/>
            <w:hideMark/>
          </w:tcPr>
          <w:p w14:paraId="47F0011A" w14:textId="77777777" w:rsidR="00166DB1" w:rsidRPr="00166DB1" w:rsidRDefault="00166DB1" w:rsidP="00CF2305">
            <w:pPr>
              <w:pStyle w:val="TableColumnHeading"/>
              <w:cnfStyle w:val="100000000000" w:firstRow="1" w:lastRow="0" w:firstColumn="0" w:lastColumn="0" w:oddVBand="0" w:evenVBand="0" w:oddHBand="0" w:evenHBand="0" w:firstRowFirstColumn="0" w:firstRowLastColumn="0" w:lastRowFirstColumn="0" w:lastRowLastColumn="0"/>
            </w:pPr>
            <w:r w:rsidRPr="00166DB1">
              <w:t xml:space="preserve">Column B: </w:t>
            </w:r>
          </w:p>
          <w:p w14:paraId="5D672F17" w14:textId="77777777" w:rsidR="00166DB1" w:rsidRPr="00166DB1" w:rsidRDefault="00166DB1" w:rsidP="00CF2305">
            <w:pPr>
              <w:pStyle w:val="TableColumnHeading"/>
              <w:cnfStyle w:val="100000000000" w:firstRow="1" w:lastRow="0" w:firstColumn="0" w:lastColumn="0" w:oddVBand="0" w:evenVBand="0" w:oddHBand="0" w:evenHBand="0" w:firstRowFirstColumn="0" w:firstRowLastColumn="0" w:lastRowFirstColumn="0" w:lastRowLastColumn="0"/>
            </w:pPr>
          </w:p>
          <w:p w14:paraId="5A866DBB" w14:textId="77777777" w:rsidR="00166DB1" w:rsidRPr="00166DB1" w:rsidRDefault="00166DB1" w:rsidP="00CF2305">
            <w:pPr>
              <w:pStyle w:val="TableColumnHeading"/>
              <w:cnfStyle w:val="100000000000" w:firstRow="1" w:lastRow="0" w:firstColumn="0" w:lastColumn="0" w:oddVBand="0" w:evenVBand="0" w:oddHBand="0" w:evenHBand="0" w:firstRowFirstColumn="0" w:firstRowLastColumn="0" w:lastRowFirstColumn="0" w:lastRowLastColumn="0"/>
            </w:pPr>
            <w:r w:rsidRPr="00166DB1">
              <w:t>Return rate</w:t>
            </w:r>
          </w:p>
          <w:p w14:paraId="722C79BE" w14:textId="77777777" w:rsidR="00166DB1" w:rsidRPr="00166DB1" w:rsidRDefault="00166DB1" w:rsidP="00CF2305">
            <w:pPr>
              <w:pStyle w:val="TableColumnHeading"/>
              <w:cnfStyle w:val="100000000000" w:firstRow="1" w:lastRow="0" w:firstColumn="0" w:lastColumn="0" w:oddVBand="0" w:evenVBand="0" w:oddHBand="0" w:evenHBand="0" w:firstRowFirstColumn="0" w:firstRowLastColumn="0" w:lastRowFirstColumn="0" w:lastRowLastColumn="0"/>
            </w:pPr>
            <w:r w:rsidRPr="00166DB1">
              <w:t>assumptions</w:t>
            </w:r>
          </w:p>
        </w:tc>
        <w:tc>
          <w:tcPr>
            <w:tcW w:w="1470" w:type="pct"/>
            <w:shd w:val="clear" w:color="auto" w:fill="D9D9D9" w:themeFill="background1" w:themeFillShade="D9"/>
            <w:noWrap/>
            <w:hideMark/>
          </w:tcPr>
          <w:p w14:paraId="2F4773EC" w14:textId="77777777" w:rsidR="00166DB1" w:rsidRPr="00166DB1" w:rsidRDefault="00166DB1" w:rsidP="00CF2305">
            <w:pPr>
              <w:pStyle w:val="TableColumnHeading"/>
              <w:cnfStyle w:val="100000000000" w:firstRow="1" w:lastRow="0" w:firstColumn="0" w:lastColumn="0" w:oddVBand="0" w:evenVBand="0" w:oddHBand="0" w:evenHBand="0" w:firstRowFirstColumn="0" w:firstRowLastColumn="0" w:lastRowFirstColumn="0" w:lastRowLastColumn="0"/>
            </w:pPr>
            <w:r w:rsidRPr="00166DB1">
              <w:t xml:space="preserve">Column C (A*B) </w:t>
            </w:r>
          </w:p>
          <w:p w14:paraId="6336EEFD" w14:textId="77777777" w:rsidR="00166DB1" w:rsidRPr="00166DB1" w:rsidRDefault="00166DB1" w:rsidP="00CF2305">
            <w:pPr>
              <w:pStyle w:val="TableColumnHeading"/>
              <w:cnfStyle w:val="100000000000" w:firstRow="1" w:lastRow="0" w:firstColumn="0" w:lastColumn="0" w:oddVBand="0" w:evenVBand="0" w:oddHBand="0" w:evenHBand="0" w:firstRowFirstColumn="0" w:firstRowLastColumn="0" w:lastRowFirstColumn="0" w:lastRowLastColumn="0"/>
            </w:pPr>
          </w:p>
          <w:p w14:paraId="4D7B39F9" w14:textId="77777777" w:rsidR="00166DB1" w:rsidRPr="00166DB1" w:rsidRDefault="00166DB1" w:rsidP="00CF2305">
            <w:pPr>
              <w:pStyle w:val="TableColumnHeading"/>
              <w:cnfStyle w:val="100000000000" w:firstRow="1" w:lastRow="0" w:firstColumn="0" w:lastColumn="0" w:oddVBand="0" w:evenVBand="0" w:oddHBand="0" w:evenHBand="0" w:firstRowFirstColumn="0" w:firstRowLastColumn="0" w:lastRowFirstColumn="0" w:lastRowLastColumn="0"/>
            </w:pPr>
            <w:r w:rsidRPr="00166DB1">
              <w:t xml:space="preserve">Estimated new graduates p.a. attributable to program impacts </w:t>
            </w:r>
          </w:p>
        </w:tc>
      </w:tr>
      <w:tr w:rsidR="00166DB1" w:rsidRPr="00166DB1" w14:paraId="3D0D30ED" w14:textId="77777777" w:rsidTr="00904A68">
        <w:trPr>
          <w:trHeight w:val="20"/>
        </w:trPr>
        <w:tc>
          <w:tcPr>
            <w:cnfStyle w:val="001000000000" w:firstRow="0" w:lastRow="0" w:firstColumn="1" w:lastColumn="0" w:oddVBand="0" w:evenVBand="0" w:oddHBand="0" w:evenHBand="0" w:firstRowFirstColumn="0" w:firstRowLastColumn="0" w:lastRowFirstColumn="0" w:lastRowLastColumn="0"/>
            <w:tcW w:w="1310" w:type="pct"/>
            <w:shd w:val="clear" w:color="auto" w:fill="F2F2F2" w:themeFill="background1" w:themeFillShade="F2"/>
            <w:noWrap/>
            <w:hideMark/>
          </w:tcPr>
          <w:p w14:paraId="464AE24C" w14:textId="77777777" w:rsidR="00166DB1" w:rsidRPr="00166DB1" w:rsidRDefault="00166DB1" w:rsidP="00CF2305">
            <w:pPr>
              <w:pStyle w:val="TableCopy"/>
            </w:pPr>
            <w:r w:rsidRPr="00166DB1">
              <w:t xml:space="preserve">Rural Pharmacy Scholarship Program </w:t>
            </w:r>
          </w:p>
        </w:tc>
        <w:tc>
          <w:tcPr>
            <w:tcW w:w="1131" w:type="pct"/>
            <w:shd w:val="clear" w:color="auto" w:fill="F2F2F2" w:themeFill="background1" w:themeFillShade="F2"/>
            <w:noWrap/>
            <w:hideMark/>
          </w:tcPr>
          <w:p w14:paraId="41D84CF5" w14:textId="77777777" w:rsidR="00166DB1" w:rsidRPr="00166DB1" w:rsidRDefault="00166DB1" w:rsidP="00CF2305">
            <w:pPr>
              <w:pStyle w:val="TableCopy"/>
              <w:jc w:val="center"/>
              <w:cnfStyle w:val="000000000000" w:firstRow="0" w:lastRow="0" w:firstColumn="0" w:lastColumn="0" w:oddVBand="0" w:evenVBand="0" w:oddHBand="0" w:evenHBand="0" w:firstRowFirstColumn="0" w:firstRowLastColumn="0" w:lastRowFirstColumn="0" w:lastRowLastColumn="0"/>
            </w:pPr>
            <w:r w:rsidRPr="00166DB1">
              <w:t>42*</w:t>
            </w:r>
          </w:p>
        </w:tc>
        <w:tc>
          <w:tcPr>
            <w:tcW w:w="1089" w:type="pct"/>
            <w:shd w:val="clear" w:color="auto" w:fill="F2F2F2" w:themeFill="background1" w:themeFillShade="F2"/>
            <w:noWrap/>
            <w:hideMark/>
          </w:tcPr>
          <w:p w14:paraId="220D3A8F" w14:textId="77777777" w:rsidR="00166DB1" w:rsidRPr="00166DB1" w:rsidRDefault="00166DB1" w:rsidP="00CF2305">
            <w:pPr>
              <w:pStyle w:val="TableCopy"/>
              <w:jc w:val="center"/>
              <w:cnfStyle w:val="000000000000" w:firstRow="0" w:lastRow="0" w:firstColumn="0" w:lastColumn="0" w:oddVBand="0" w:evenVBand="0" w:oddHBand="0" w:evenHBand="0" w:firstRowFirstColumn="0" w:firstRowLastColumn="0" w:lastRowFirstColumn="0" w:lastRowLastColumn="0"/>
            </w:pPr>
            <w:r w:rsidRPr="00166DB1">
              <w:t>50% return rate</w:t>
            </w:r>
          </w:p>
          <w:p w14:paraId="708C3479" w14:textId="77777777" w:rsidR="00166DB1" w:rsidRPr="00166DB1" w:rsidRDefault="00166DB1" w:rsidP="00CF2305">
            <w:pPr>
              <w:pStyle w:val="TableCopy"/>
              <w:jc w:val="center"/>
              <w:cnfStyle w:val="000000000000" w:firstRow="0" w:lastRow="0" w:firstColumn="0" w:lastColumn="0" w:oddVBand="0" w:evenVBand="0" w:oddHBand="0" w:evenHBand="0" w:firstRowFirstColumn="0" w:firstRowLastColumn="0" w:lastRowFirstColumn="0" w:lastRowLastColumn="0"/>
            </w:pPr>
            <w:r w:rsidRPr="00166DB1">
              <w:t>(based on evaluation survey responses)</w:t>
            </w:r>
          </w:p>
        </w:tc>
        <w:tc>
          <w:tcPr>
            <w:tcW w:w="1470" w:type="pct"/>
            <w:shd w:val="clear" w:color="auto" w:fill="F2F2F2" w:themeFill="background1" w:themeFillShade="F2"/>
            <w:noWrap/>
            <w:hideMark/>
          </w:tcPr>
          <w:p w14:paraId="4DC5EC75" w14:textId="77777777" w:rsidR="00166DB1" w:rsidRPr="00166DB1" w:rsidRDefault="00166DB1" w:rsidP="00CF2305">
            <w:pPr>
              <w:pStyle w:val="TableCopy"/>
              <w:jc w:val="center"/>
              <w:cnfStyle w:val="000000000000" w:firstRow="0" w:lastRow="0" w:firstColumn="0" w:lastColumn="0" w:oddVBand="0" w:evenVBand="0" w:oddHBand="0" w:evenHBand="0" w:firstRowFirstColumn="0" w:firstRowLastColumn="0" w:lastRowFirstColumn="0" w:lastRowLastColumn="0"/>
            </w:pPr>
            <w:r w:rsidRPr="00166DB1">
              <w:t>21</w:t>
            </w:r>
          </w:p>
        </w:tc>
      </w:tr>
      <w:tr w:rsidR="00166DB1" w:rsidRPr="00166DB1" w14:paraId="6A94A524" w14:textId="77777777" w:rsidTr="00904A68">
        <w:trPr>
          <w:trHeight w:val="20"/>
        </w:trPr>
        <w:tc>
          <w:tcPr>
            <w:cnfStyle w:val="001000000000" w:firstRow="0" w:lastRow="0" w:firstColumn="1" w:lastColumn="0" w:oddVBand="0" w:evenVBand="0" w:oddHBand="0" w:evenHBand="0" w:firstRowFirstColumn="0" w:firstRowLastColumn="0" w:lastRowFirstColumn="0" w:lastRowLastColumn="0"/>
            <w:tcW w:w="1310" w:type="pct"/>
            <w:shd w:val="clear" w:color="auto" w:fill="F2F2F2" w:themeFill="background1" w:themeFillShade="F2"/>
            <w:noWrap/>
            <w:hideMark/>
          </w:tcPr>
          <w:p w14:paraId="3E1AC791" w14:textId="77777777" w:rsidR="00166DB1" w:rsidRPr="00166DB1" w:rsidRDefault="00166DB1" w:rsidP="00CF2305">
            <w:pPr>
              <w:pStyle w:val="TableCopy"/>
            </w:pPr>
            <w:r w:rsidRPr="00166DB1">
              <w:t xml:space="preserve">Rural Pharmacy Student Placement Allowance </w:t>
            </w:r>
          </w:p>
        </w:tc>
        <w:tc>
          <w:tcPr>
            <w:tcW w:w="1131" w:type="pct"/>
            <w:shd w:val="clear" w:color="auto" w:fill="F2F2F2" w:themeFill="background1" w:themeFillShade="F2"/>
            <w:noWrap/>
            <w:hideMark/>
          </w:tcPr>
          <w:p w14:paraId="2466ECDB" w14:textId="77777777" w:rsidR="00166DB1" w:rsidRPr="00166DB1" w:rsidRDefault="00166DB1" w:rsidP="00CF2305">
            <w:pPr>
              <w:pStyle w:val="TableCopy"/>
              <w:jc w:val="center"/>
              <w:cnfStyle w:val="000000000000" w:firstRow="0" w:lastRow="0" w:firstColumn="0" w:lastColumn="0" w:oddVBand="0" w:evenVBand="0" w:oddHBand="0" w:evenHBand="0" w:firstRowFirstColumn="0" w:firstRowLastColumn="0" w:lastRowFirstColumn="0" w:lastRowLastColumn="0"/>
            </w:pPr>
            <w:r w:rsidRPr="00166DB1">
              <w:t>381</w:t>
            </w:r>
          </w:p>
        </w:tc>
        <w:tc>
          <w:tcPr>
            <w:tcW w:w="1089" w:type="pct"/>
            <w:shd w:val="clear" w:color="auto" w:fill="F2F2F2" w:themeFill="background1" w:themeFillShade="F2"/>
            <w:noWrap/>
            <w:hideMark/>
          </w:tcPr>
          <w:p w14:paraId="1B99459C" w14:textId="77777777" w:rsidR="00166DB1" w:rsidRPr="00166DB1" w:rsidRDefault="00166DB1" w:rsidP="00CF2305">
            <w:pPr>
              <w:pStyle w:val="TableCopy"/>
              <w:jc w:val="center"/>
              <w:cnfStyle w:val="000000000000" w:firstRow="0" w:lastRow="0" w:firstColumn="0" w:lastColumn="0" w:oddVBand="0" w:evenVBand="0" w:oddHBand="0" w:evenHBand="0" w:firstRowFirstColumn="0" w:firstRowLastColumn="0" w:lastRowFirstColumn="0" w:lastRowLastColumn="0"/>
            </w:pPr>
            <w:r w:rsidRPr="00166DB1">
              <w:t>20% return rate</w:t>
            </w:r>
          </w:p>
          <w:p w14:paraId="6210200D" w14:textId="7D53C84D" w:rsidR="00166DB1" w:rsidRPr="00166DB1" w:rsidRDefault="00166DB1" w:rsidP="00CF2305">
            <w:pPr>
              <w:pStyle w:val="TableCopy"/>
              <w:jc w:val="center"/>
              <w:cnfStyle w:val="000000000000" w:firstRow="0" w:lastRow="0" w:firstColumn="0" w:lastColumn="0" w:oddVBand="0" w:evenVBand="0" w:oddHBand="0" w:evenHBand="0" w:firstRowFirstColumn="0" w:firstRowLastColumn="0" w:lastRowFirstColumn="0" w:lastRowLastColumn="0"/>
            </w:pPr>
            <w:r w:rsidRPr="00166DB1">
              <w:t>(based on consultation findings)</w:t>
            </w:r>
          </w:p>
        </w:tc>
        <w:tc>
          <w:tcPr>
            <w:tcW w:w="1470" w:type="pct"/>
            <w:shd w:val="clear" w:color="auto" w:fill="F2F2F2" w:themeFill="background1" w:themeFillShade="F2"/>
            <w:noWrap/>
            <w:hideMark/>
          </w:tcPr>
          <w:p w14:paraId="1FAA7D46" w14:textId="77777777" w:rsidR="00166DB1" w:rsidRPr="00166DB1" w:rsidRDefault="00166DB1" w:rsidP="00CF2305">
            <w:pPr>
              <w:pStyle w:val="TableCopy"/>
              <w:jc w:val="center"/>
              <w:cnfStyle w:val="000000000000" w:firstRow="0" w:lastRow="0" w:firstColumn="0" w:lastColumn="0" w:oddVBand="0" w:evenVBand="0" w:oddHBand="0" w:evenHBand="0" w:firstRowFirstColumn="0" w:firstRowLastColumn="0" w:lastRowFirstColumn="0" w:lastRowLastColumn="0"/>
            </w:pPr>
            <w:r w:rsidRPr="00166DB1">
              <w:t>76</w:t>
            </w:r>
          </w:p>
        </w:tc>
      </w:tr>
      <w:tr w:rsidR="00166DB1" w:rsidRPr="00166DB1" w14:paraId="45132712" w14:textId="77777777" w:rsidTr="00904A68">
        <w:trPr>
          <w:trHeight w:val="20"/>
        </w:trPr>
        <w:tc>
          <w:tcPr>
            <w:cnfStyle w:val="001000000000" w:firstRow="0" w:lastRow="0" w:firstColumn="1" w:lastColumn="0" w:oddVBand="0" w:evenVBand="0" w:oddHBand="0" w:evenHBand="0" w:firstRowFirstColumn="0" w:firstRowLastColumn="0" w:lastRowFirstColumn="0" w:lastRowLastColumn="0"/>
            <w:tcW w:w="1310" w:type="pct"/>
            <w:shd w:val="clear" w:color="auto" w:fill="F2F2F2" w:themeFill="background1" w:themeFillShade="F2"/>
            <w:noWrap/>
            <w:hideMark/>
          </w:tcPr>
          <w:p w14:paraId="6390578D" w14:textId="77777777" w:rsidR="00166DB1" w:rsidRPr="00166DB1" w:rsidRDefault="00166DB1" w:rsidP="00CF2305">
            <w:pPr>
              <w:pStyle w:val="TableCopy"/>
            </w:pPr>
            <w:r w:rsidRPr="00166DB1">
              <w:t xml:space="preserve">Rural Intern Training Allowance </w:t>
            </w:r>
          </w:p>
        </w:tc>
        <w:tc>
          <w:tcPr>
            <w:tcW w:w="1131" w:type="pct"/>
            <w:shd w:val="clear" w:color="auto" w:fill="F2F2F2" w:themeFill="background1" w:themeFillShade="F2"/>
            <w:noWrap/>
            <w:hideMark/>
          </w:tcPr>
          <w:p w14:paraId="337BB7A1" w14:textId="77777777" w:rsidR="00166DB1" w:rsidRPr="00166DB1" w:rsidRDefault="00166DB1" w:rsidP="00CF2305">
            <w:pPr>
              <w:pStyle w:val="TableCopy"/>
              <w:jc w:val="center"/>
              <w:cnfStyle w:val="000000000000" w:firstRow="0" w:lastRow="0" w:firstColumn="0" w:lastColumn="0" w:oddVBand="0" w:evenVBand="0" w:oddHBand="0" w:evenHBand="0" w:firstRowFirstColumn="0" w:firstRowLastColumn="0" w:lastRowFirstColumn="0" w:lastRowLastColumn="0"/>
            </w:pPr>
            <w:r w:rsidRPr="00166DB1">
              <w:t>185</w:t>
            </w:r>
          </w:p>
        </w:tc>
        <w:tc>
          <w:tcPr>
            <w:tcW w:w="1089" w:type="pct"/>
            <w:shd w:val="clear" w:color="auto" w:fill="F2F2F2" w:themeFill="background1" w:themeFillShade="F2"/>
            <w:noWrap/>
            <w:hideMark/>
          </w:tcPr>
          <w:p w14:paraId="2C407B8C" w14:textId="77777777" w:rsidR="00166DB1" w:rsidRPr="00166DB1" w:rsidRDefault="00166DB1" w:rsidP="00CF2305">
            <w:pPr>
              <w:pStyle w:val="TableCopy"/>
              <w:jc w:val="center"/>
              <w:cnfStyle w:val="000000000000" w:firstRow="0" w:lastRow="0" w:firstColumn="0" w:lastColumn="0" w:oddVBand="0" w:evenVBand="0" w:oddHBand="0" w:evenHBand="0" w:firstRowFirstColumn="0" w:firstRowLastColumn="0" w:lastRowFirstColumn="0" w:lastRowLastColumn="0"/>
            </w:pPr>
            <w:r w:rsidRPr="00166DB1">
              <w:t>92% return rate</w:t>
            </w:r>
          </w:p>
          <w:p w14:paraId="40D07E74" w14:textId="115B7993" w:rsidR="00166DB1" w:rsidRPr="00166DB1" w:rsidRDefault="00166DB1" w:rsidP="00CF2305">
            <w:pPr>
              <w:pStyle w:val="TableCopy"/>
              <w:jc w:val="center"/>
              <w:cnfStyle w:val="000000000000" w:firstRow="0" w:lastRow="0" w:firstColumn="0" w:lastColumn="0" w:oddVBand="0" w:evenVBand="0" w:oddHBand="0" w:evenHBand="0" w:firstRowFirstColumn="0" w:firstRowLastColumn="0" w:lastRowFirstColumn="0" w:lastRowLastColumn="0"/>
            </w:pPr>
            <w:r w:rsidRPr="00166DB1">
              <w:t>(based on NHWDS)</w:t>
            </w:r>
          </w:p>
        </w:tc>
        <w:tc>
          <w:tcPr>
            <w:tcW w:w="1470" w:type="pct"/>
            <w:shd w:val="clear" w:color="auto" w:fill="F2F2F2" w:themeFill="background1" w:themeFillShade="F2"/>
            <w:noWrap/>
            <w:hideMark/>
          </w:tcPr>
          <w:p w14:paraId="199004C1" w14:textId="77777777" w:rsidR="00166DB1" w:rsidRPr="00166DB1" w:rsidRDefault="00166DB1" w:rsidP="00CF2305">
            <w:pPr>
              <w:pStyle w:val="TableCopy"/>
              <w:jc w:val="center"/>
              <w:cnfStyle w:val="000000000000" w:firstRow="0" w:lastRow="0" w:firstColumn="0" w:lastColumn="0" w:oddVBand="0" w:evenVBand="0" w:oddHBand="0" w:evenHBand="0" w:firstRowFirstColumn="0" w:firstRowLastColumn="0" w:lastRowFirstColumn="0" w:lastRowLastColumn="0"/>
            </w:pPr>
            <w:r w:rsidRPr="00166DB1">
              <w:t>170</w:t>
            </w:r>
          </w:p>
        </w:tc>
      </w:tr>
      <w:tr w:rsidR="00166DB1" w:rsidRPr="00166DB1" w14:paraId="01E5EF7A" w14:textId="77777777" w:rsidTr="00904A68">
        <w:trPr>
          <w:trHeight w:val="20"/>
        </w:trPr>
        <w:tc>
          <w:tcPr>
            <w:cnfStyle w:val="001000000000" w:firstRow="0" w:lastRow="0" w:firstColumn="1" w:lastColumn="0" w:oddVBand="0" w:evenVBand="0" w:oddHBand="0" w:evenHBand="0" w:firstRowFirstColumn="0" w:firstRowLastColumn="0" w:lastRowFirstColumn="0" w:lastRowLastColumn="0"/>
            <w:tcW w:w="1310" w:type="pct"/>
            <w:shd w:val="clear" w:color="auto" w:fill="F2F2F2" w:themeFill="background1" w:themeFillShade="F2"/>
            <w:noWrap/>
            <w:hideMark/>
          </w:tcPr>
          <w:p w14:paraId="0ACEB7E8" w14:textId="77777777" w:rsidR="00166DB1" w:rsidRPr="00166DB1" w:rsidRDefault="00166DB1" w:rsidP="00CF2305">
            <w:pPr>
              <w:pStyle w:val="TableCopy"/>
            </w:pPr>
            <w:r w:rsidRPr="00166DB1">
              <w:t xml:space="preserve">Total </w:t>
            </w:r>
          </w:p>
        </w:tc>
        <w:tc>
          <w:tcPr>
            <w:tcW w:w="1131" w:type="pct"/>
            <w:shd w:val="clear" w:color="auto" w:fill="F2F2F2" w:themeFill="background1" w:themeFillShade="F2"/>
            <w:noWrap/>
            <w:hideMark/>
          </w:tcPr>
          <w:p w14:paraId="3771F501" w14:textId="77777777" w:rsidR="00166DB1" w:rsidRPr="00166DB1" w:rsidRDefault="00166DB1" w:rsidP="00CF2305">
            <w:pPr>
              <w:pStyle w:val="TableCopy"/>
              <w:jc w:val="center"/>
              <w:cnfStyle w:val="000000000000" w:firstRow="0" w:lastRow="0" w:firstColumn="0" w:lastColumn="0" w:oddVBand="0" w:evenVBand="0" w:oddHBand="0" w:evenHBand="0" w:firstRowFirstColumn="0" w:firstRowLastColumn="0" w:lastRowFirstColumn="0" w:lastRowLastColumn="0"/>
            </w:pPr>
            <w:r w:rsidRPr="00166DB1">
              <w:t>607</w:t>
            </w:r>
          </w:p>
        </w:tc>
        <w:tc>
          <w:tcPr>
            <w:tcW w:w="1089" w:type="pct"/>
            <w:shd w:val="clear" w:color="auto" w:fill="F2F2F2" w:themeFill="background1" w:themeFillShade="F2"/>
            <w:noWrap/>
            <w:hideMark/>
          </w:tcPr>
          <w:p w14:paraId="29D10A45" w14:textId="77777777" w:rsidR="00166DB1" w:rsidRPr="00166DB1" w:rsidRDefault="00166DB1" w:rsidP="00CF2305">
            <w:pPr>
              <w:pStyle w:val="TableCopy"/>
              <w:jc w:val="center"/>
              <w:cnfStyle w:val="000000000000" w:firstRow="0" w:lastRow="0" w:firstColumn="0" w:lastColumn="0" w:oddVBand="0" w:evenVBand="0" w:oddHBand="0" w:evenHBand="0" w:firstRowFirstColumn="0" w:firstRowLastColumn="0" w:lastRowFirstColumn="0" w:lastRowLastColumn="0"/>
            </w:pPr>
          </w:p>
        </w:tc>
        <w:tc>
          <w:tcPr>
            <w:tcW w:w="1470" w:type="pct"/>
            <w:shd w:val="clear" w:color="auto" w:fill="F2F2F2" w:themeFill="background1" w:themeFillShade="F2"/>
            <w:noWrap/>
            <w:hideMark/>
          </w:tcPr>
          <w:p w14:paraId="5383C9EA" w14:textId="77777777" w:rsidR="00166DB1" w:rsidRPr="00166DB1" w:rsidRDefault="00166DB1" w:rsidP="00CF2305">
            <w:pPr>
              <w:pStyle w:val="TableCopy"/>
              <w:jc w:val="center"/>
              <w:cnfStyle w:val="000000000000" w:firstRow="0" w:lastRow="0" w:firstColumn="0" w:lastColumn="0" w:oddVBand="0" w:evenVBand="0" w:oddHBand="0" w:evenHBand="0" w:firstRowFirstColumn="0" w:firstRowLastColumn="0" w:lastRowFirstColumn="0" w:lastRowLastColumn="0"/>
            </w:pPr>
            <w:r w:rsidRPr="00166DB1">
              <w:t>267^</w:t>
            </w:r>
          </w:p>
        </w:tc>
      </w:tr>
    </w:tbl>
    <w:p w14:paraId="6D20CA26" w14:textId="77777777" w:rsidR="00166DB1" w:rsidRPr="00166DB1" w:rsidRDefault="00166DB1" w:rsidP="0029291C">
      <w:pPr>
        <w:pStyle w:val="TableNotes"/>
      </w:pPr>
      <w:r w:rsidRPr="00166DB1">
        <w:t>Source: Recruitment program data, NHWDS 2013–2015.</w:t>
      </w:r>
    </w:p>
    <w:p w14:paraId="1DF801CE" w14:textId="77777777" w:rsidR="00166DB1" w:rsidRPr="00166DB1" w:rsidRDefault="00166DB1" w:rsidP="0029291C">
      <w:pPr>
        <w:pStyle w:val="TableNotes"/>
      </w:pPr>
      <w:r w:rsidRPr="00166DB1">
        <w:t>* based on average scholarship intake per cohort year.</w:t>
      </w:r>
    </w:p>
    <w:p w14:paraId="4E69F8E7" w14:textId="77777777" w:rsidR="00166DB1" w:rsidRPr="00166DB1" w:rsidRDefault="00166DB1" w:rsidP="0029291C">
      <w:pPr>
        <w:pStyle w:val="TableNotes"/>
      </w:pPr>
      <w:r w:rsidRPr="00166DB1">
        <w:t xml:space="preserve">^The total estimated number of new graduate attributable to program impacts may overestimate the actual number as one new graduate may have benefitted from more than one program. </w:t>
      </w:r>
    </w:p>
    <w:p w14:paraId="527E912E"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The recruitment impacts of the Package must be considered in conjunction with its retention program impacts. We estimated that, at best, these programs would involve around 500 (14%) of the 3,700 community pharmacist FTE operating outside major cities (see </w:t>
      </w:r>
      <w:r w:rsidRPr="00166DB1">
        <w:rPr>
          <w:rFonts w:ascii="Garamond" w:eastAsia="Garamond" w:hAnsi="Garamond"/>
          <w:color w:val="000000"/>
        </w:rPr>
        <w:fldChar w:fldCharType="begin"/>
      </w:r>
      <w:r w:rsidRPr="00166DB1">
        <w:rPr>
          <w:rFonts w:ascii="Garamond" w:eastAsia="Garamond" w:hAnsi="Garamond"/>
          <w:color w:val="000000"/>
        </w:rPr>
        <w:instrText xml:space="preserve"> REF _Ref488056623 \h </w:instrText>
      </w:r>
      <w:r w:rsidRPr="00166DB1">
        <w:rPr>
          <w:rFonts w:ascii="Garamond" w:eastAsia="Garamond" w:hAnsi="Garamond"/>
          <w:color w:val="000000"/>
        </w:rPr>
      </w:r>
      <w:r w:rsidRPr="00166DB1">
        <w:rPr>
          <w:rFonts w:ascii="Garamond" w:eastAsia="Garamond" w:hAnsi="Garamond"/>
          <w:color w:val="000000"/>
        </w:rPr>
        <w:fldChar w:fldCharType="separate"/>
      </w:r>
      <w:r w:rsidRPr="00166DB1">
        <w:rPr>
          <w:rFonts w:ascii="Garamond" w:eastAsia="Garamond" w:hAnsi="Garamond"/>
          <w:color w:val="000000"/>
        </w:rPr>
        <w:t xml:space="preserve">Table </w:t>
      </w:r>
      <w:r w:rsidRPr="00166DB1">
        <w:rPr>
          <w:rFonts w:ascii="Garamond" w:eastAsia="Garamond" w:hAnsi="Garamond"/>
          <w:noProof/>
          <w:color w:val="000000"/>
        </w:rPr>
        <w:t>5</w:t>
      </w:r>
      <w:r w:rsidRPr="00166DB1">
        <w:rPr>
          <w:rFonts w:ascii="Garamond" w:eastAsia="Garamond" w:hAnsi="Garamond"/>
          <w:color w:val="000000"/>
        </w:rPr>
        <w:t>.</w:t>
      </w:r>
      <w:r w:rsidRPr="00166DB1">
        <w:rPr>
          <w:rFonts w:ascii="Garamond" w:eastAsia="Garamond" w:hAnsi="Garamond"/>
          <w:noProof/>
          <w:color w:val="000000"/>
        </w:rPr>
        <w:t>2</w:t>
      </w:r>
      <w:r w:rsidRPr="00166DB1">
        <w:rPr>
          <w:rFonts w:ascii="Garamond" w:eastAsia="Garamond" w:hAnsi="Garamond"/>
          <w:color w:val="000000"/>
        </w:rPr>
        <w:fldChar w:fldCharType="end"/>
      </w:r>
      <w:r w:rsidRPr="00166DB1">
        <w:rPr>
          <w:rFonts w:ascii="Garamond" w:eastAsia="Garamond" w:hAnsi="Garamond"/>
          <w:color w:val="000000"/>
        </w:rPr>
        <w:t xml:space="preserve">). </w:t>
      </w:r>
    </w:p>
    <w:p w14:paraId="5C9474B1" w14:textId="7AA31F5E" w:rsidR="00166DB1" w:rsidRPr="00166DB1" w:rsidRDefault="00166DB1" w:rsidP="00483C21">
      <w:pPr>
        <w:pStyle w:val="Caption"/>
      </w:pPr>
      <w:bookmarkStart w:id="70" w:name="_Ref493580619"/>
      <w:bookmarkStart w:id="71" w:name="_Ref488056623"/>
      <w:r w:rsidRPr="00166DB1">
        <w:t xml:space="preserve">Table </w:t>
      </w:r>
      <w:r w:rsidRPr="00166DB1">
        <w:rPr>
          <w:noProof/>
        </w:rPr>
        <w:fldChar w:fldCharType="begin"/>
      </w:r>
      <w:r w:rsidRPr="00166DB1">
        <w:rPr>
          <w:noProof/>
        </w:rPr>
        <w:instrText xml:space="preserve"> STYLEREF 1 \s </w:instrText>
      </w:r>
      <w:r w:rsidRPr="00166DB1">
        <w:rPr>
          <w:noProof/>
        </w:rPr>
        <w:fldChar w:fldCharType="separate"/>
      </w:r>
      <w:r w:rsidRPr="00166DB1">
        <w:rPr>
          <w:noProof/>
        </w:rPr>
        <w:t>5</w:t>
      </w:r>
      <w:r w:rsidRPr="00166DB1">
        <w:rPr>
          <w:noProof/>
        </w:rPr>
        <w:fldChar w:fldCharType="end"/>
      </w:r>
      <w:r w:rsidRPr="00166DB1">
        <w:t>.</w:t>
      </w:r>
      <w:r w:rsidRPr="00166DB1">
        <w:rPr>
          <w:noProof/>
        </w:rPr>
        <w:fldChar w:fldCharType="begin"/>
      </w:r>
      <w:r w:rsidRPr="00166DB1">
        <w:rPr>
          <w:noProof/>
        </w:rPr>
        <w:instrText xml:space="preserve"> SEQ Table \* ARABIC \s 1 </w:instrText>
      </w:r>
      <w:r w:rsidRPr="00166DB1">
        <w:rPr>
          <w:noProof/>
        </w:rPr>
        <w:fldChar w:fldCharType="separate"/>
      </w:r>
      <w:r w:rsidRPr="00166DB1">
        <w:rPr>
          <w:noProof/>
        </w:rPr>
        <w:t>2</w:t>
      </w:r>
      <w:r w:rsidRPr="00166DB1">
        <w:rPr>
          <w:noProof/>
        </w:rPr>
        <w:fldChar w:fldCharType="end"/>
      </w:r>
      <w:bookmarkEnd w:id="70"/>
      <w:bookmarkEnd w:id="71"/>
      <w:r w:rsidRPr="00166DB1">
        <w:t>: Average retention program volume as percentage of average number of non-metropolitan community pharmacists, 2014</w:t>
      </w:r>
      <w:r w:rsidR="0029291C">
        <w:t>–</w:t>
      </w:r>
      <w:r w:rsidRPr="00166DB1">
        <w:t xml:space="preserve">2015 </w:t>
      </w:r>
    </w:p>
    <w:tbl>
      <w:tblPr>
        <w:tblStyle w:val="HMATable"/>
        <w:tblW w:w="5000" w:type="pct"/>
        <w:shd w:val="clear" w:color="auto" w:fill="F2F2F2" w:themeFill="background1" w:themeFillShade="F2"/>
        <w:tblLook w:val="04A0" w:firstRow="1" w:lastRow="0" w:firstColumn="1" w:lastColumn="0" w:noHBand="0" w:noVBand="1"/>
        <w:tblCaption w:val="Table 5.2: Average retention program volume as percentage of average number of non-metropolitan community pharmacists, 2014-2015"/>
        <w:tblDescription w:val="Table 5.2: Average retention program volume as percentage of average number of non-metropolitan community pharmacists, 2014-2015"/>
      </w:tblPr>
      <w:tblGrid>
        <w:gridCol w:w="3001"/>
        <w:gridCol w:w="1629"/>
        <w:gridCol w:w="2404"/>
      </w:tblGrid>
      <w:tr w:rsidR="00166DB1" w:rsidRPr="00166DB1" w14:paraId="058C7AD5" w14:textId="77777777" w:rsidTr="0036771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1927" w:type="pct"/>
            <w:shd w:val="clear" w:color="auto" w:fill="D9D9D9" w:themeFill="background1" w:themeFillShade="D9"/>
            <w:noWrap/>
            <w:vAlign w:val="center"/>
            <w:hideMark/>
          </w:tcPr>
          <w:p w14:paraId="464D821E" w14:textId="77777777" w:rsidR="00166DB1" w:rsidRPr="00166DB1" w:rsidRDefault="00166DB1" w:rsidP="00CF2305">
            <w:pPr>
              <w:pStyle w:val="TableColumnHeading"/>
            </w:pPr>
            <w:r w:rsidRPr="00166DB1">
              <w:t>Rural Workforce Package, workforce retention components</w:t>
            </w:r>
          </w:p>
        </w:tc>
        <w:tc>
          <w:tcPr>
            <w:tcW w:w="1540" w:type="pct"/>
            <w:shd w:val="clear" w:color="auto" w:fill="D9D9D9" w:themeFill="background1" w:themeFillShade="D9"/>
            <w:noWrap/>
            <w:vAlign w:val="center"/>
            <w:hideMark/>
          </w:tcPr>
          <w:p w14:paraId="26858E3E" w14:textId="77777777" w:rsidR="00166DB1" w:rsidRPr="00166DB1" w:rsidRDefault="00166DB1" w:rsidP="00CF2305">
            <w:pPr>
              <w:pStyle w:val="TableColumnHeading"/>
              <w:cnfStyle w:val="100000000000" w:firstRow="1" w:lastRow="0" w:firstColumn="0" w:lastColumn="0" w:oddVBand="0" w:evenVBand="0" w:oddHBand="0" w:evenHBand="0" w:firstRowFirstColumn="0" w:firstRowLastColumn="0" w:lastRowFirstColumn="0" w:lastRowLastColumn="0"/>
            </w:pPr>
            <w:r w:rsidRPr="00166DB1">
              <w:t xml:space="preserve">Avg annual volume, 2014–2015 </w:t>
            </w:r>
          </w:p>
        </w:tc>
        <w:tc>
          <w:tcPr>
            <w:tcW w:w="1533" w:type="pct"/>
            <w:shd w:val="clear" w:color="auto" w:fill="D9D9D9" w:themeFill="background1" w:themeFillShade="D9"/>
            <w:noWrap/>
            <w:vAlign w:val="center"/>
            <w:hideMark/>
          </w:tcPr>
          <w:p w14:paraId="6CAEB617" w14:textId="77777777" w:rsidR="00166DB1" w:rsidRPr="00166DB1" w:rsidRDefault="00166DB1" w:rsidP="00CF2305">
            <w:pPr>
              <w:pStyle w:val="TableColumnHeading"/>
              <w:cnfStyle w:val="100000000000" w:firstRow="1" w:lastRow="0" w:firstColumn="0" w:lastColumn="0" w:oddVBand="0" w:evenVBand="0" w:oddHBand="0" w:evenHBand="0" w:firstRowFirstColumn="0" w:firstRowLastColumn="0" w:lastRowFirstColumn="0" w:lastRowLastColumn="0"/>
            </w:pPr>
            <w:r w:rsidRPr="00166DB1">
              <w:t xml:space="preserve">% of non-metropolitan community pharmacists </w:t>
            </w:r>
          </w:p>
        </w:tc>
      </w:tr>
      <w:tr w:rsidR="00166DB1" w:rsidRPr="00166DB1" w14:paraId="78B833A3" w14:textId="77777777" w:rsidTr="00CF2305">
        <w:trPr>
          <w:trHeight w:val="290"/>
        </w:trPr>
        <w:tc>
          <w:tcPr>
            <w:cnfStyle w:val="001000000000" w:firstRow="0" w:lastRow="0" w:firstColumn="1" w:lastColumn="0" w:oddVBand="0" w:evenVBand="0" w:oddHBand="0" w:evenHBand="0" w:firstRowFirstColumn="0" w:firstRowLastColumn="0" w:lastRowFirstColumn="0" w:lastRowLastColumn="0"/>
            <w:tcW w:w="1734" w:type="pct"/>
            <w:shd w:val="clear" w:color="auto" w:fill="F2F2F2" w:themeFill="background1" w:themeFillShade="F2"/>
            <w:noWrap/>
            <w:hideMark/>
          </w:tcPr>
          <w:p w14:paraId="7950F533" w14:textId="77777777" w:rsidR="00166DB1" w:rsidRPr="00166DB1" w:rsidRDefault="00166DB1" w:rsidP="00CF2305">
            <w:pPr>
              <w:pStyle w:val="TableCopy"/>
              <w:rPr>
                <w:lang w:eastAsia="en-AU"/>
              </w:rPr>
            </w:pPr>
            <w:r w:rsidRPr="00166DB1">
              <w:rPr>
                <w:lang w:eastAsia="en-AU"/>
              </w:rPr>
              <w:t xml:space="preserve">Continuing Professional Education Allowance </w:t>
            </w:r>
          </w:p>
        </w:tc>
        <w:tc>
          <w:tcPr>
            <w:tcW w:w="1356" w:type="pct"/>
            <w:shd w:val="clear" w:color="auto" w:fill="F2F2F2" w:themeFill="background1" w:themeFillShade="F2"/>
            <w:noWrap/>
            <w:hideMark/>
          </w:tcPr>
          <w:p w14:paraId="31DB8BBB" w14:textId="77777777" w:rsidR="00166DB1" w:rsidRPr="00166DB1" w:rsidRDefault="00166DB1" w:rsidP="00CF2305">
            <w:pPr>
              <w:pStyle w:val="TableCopy"/>
              <w:jc w:val="center"/>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385</w:t>
            </w:r>
          </w:p>
        </w:tc>
        <w:tc>
          <w:tcPr>
            <w:tcW w:w="1909" w:type="pct"/>
            <w:shd w:val="clear" w:color="auto" w:fill="F2F2F2" w:themeFill="background1" w:themeFillShade="F2"/>
            <w:noWrap/>
            <w:hideMark/>
          </w:tcPr>
          <w:p w14:paraId="4E8C557B" w14:textId="77777777" w:rsidR="00166DB1" w:rsidRPr="00166DB1" w:rsidRDefault="00166DB1" w:rsidP="00CF2305">
            <w:pPr>
              <w:pStyle w:val="TableCopy"/>
              <w:jc w:val="center"/>
              <w:cnfStyle w:val="000000000000" w:firstRow="0" w:lastRow="0" w:firstColumn="0" w:lastColumn="0" w:oddVBand="0" w:evenVBand="0" w:oddHBand="0" w:evenHBand="0" w:firstRowFirstColumn="0" w:firstRowLastColumn="0" w:lastRowFirstColumn="0" w:lastRowLastColumn="0"/>
              <w:rPr>
                <w:lang w:eastAsia="en-AU"/>
              </w:rPr>
            </w:pPr>
            <w:r w:rsidRPr="00166DB1">
              <w:t>10%</w:t>
            </w:r>
          </w:p>
        </w:tc>
      </w:tr>
      <w:tr w:rsidR="00166DB1" w:rsidRPr="00166DB1" w14:paraId="383B1BCD" w14:textId="77777777" w:rsidTr="00CF2305">
        <w:trPr>
          <w:trHeight w:val="290"/>
        </w:trPr>
        <w:tc>
          <w:tcPr>
            <w:cnfStyle w:val="001000000000" w:firstRow="0" w:lastRow="0" w:firstColumn="1" w:lastColumn="0" w:oddVBand="0" w:evenVBand="0" w:oddHBand="0" w:evenHBand="0" w:firstRowFirstColumn="0" w:firstRowLastColumn="0" w:lastRowFirstColumn="0" w:lastRowLastColumn="0"/>
            <w:tcW w:w="1927" w:type="pct"/>
            <w:shd w:val="clear" w:color="auto" w:fill="F2F2F2" w:themeFill="background1" w:themeFillShade="F2"/>
            <w:noWrap/>
            <w:hideMark/>
          </w:tcPr>
          <w:p w14:paraId="4DA1D9E4" w14:textId="77777777" w:rsidR="00166DB1" w:rsidRPr="00166DB1" w:rsidRDefault="00166DB1" w:rsidP="00CF2305">
            <w:pPr>
              <w:pStyle w:val="TableCopy"/>
              <w:rPr>
                <w:lang w:eastAsia="en-AU"/>
              </w:rPr>
            </w:pPr>
            <w:r w:rsidRPr="00166DB1">
              <w:rPr>
                <w:lang w:eastAsia="en-AU"/>
              </w:rPr>
              <w:t xml:space="preserve">Intern Incentive Allowance for Rural Pharmacies </w:t>
            </w:r>
          </w:p>
        </w:tc>
        <w:tc>
          <w:tcPr>
            <w:tcW w:w="1540" w:type="pct"/>
            <w:shd w:val="clear" w:color="auto" w:fill="F2F2F2" w:themeFill="background1" w:themeFillShade="F2"/>
            <w:noWrap/>
            <w:hideMark/>
          </w:tcPr>
          <w:p w14:paraId="5530EC66" w14:textId="77777777" w:rsidR="00166DB1" w:rsidRPr="00166DB1" w:rsidRDefault="00166DB1" w:rsidP="00CF2305">
            <w:pPr>
              <w:pStyle w:val="TableCopy"/>
              <w:jc w:val="center"/>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74</w:t>
            </w:r>
          </w:p>
        </w:tc>
        <w:tc>
          <w:tcPr>
            <w:tcW w:w="1533" w:type="pct"/>
            <w:shd w:val="clear" w:color="auto" w:fill="F2F2F2" w:themeFill="background1" w:themeFillShade="F2"/>
            <w:noWrap/>
            <w:hideMark/>
          </w:tcPr>
          <w:p w14:paraId="50E9E676" w14:textId="77777777" w:rsidR="00166DB1" w:rsidRPr="00166DB1" w:rsidRDefault="00166DB1" w:rsidP="00CF2305">
            <w:pPr>
              <w:pStyle w:val="TableCopy"/>
              <w:jc w:val="center"/>
              <w:cnfStyle w:val="000000000000" w:firstRow="0" w:lastRow="0" w:firstColumn="0" w:lastColumn="0" w:oddVBand="0" w:evenVBand="0" w:oddHBand="0" w:evenHBand="0" w:firstRowFirstColumn="0" w:firstRowLastColumn="0" w:lastRowFirstColumn="0" w:lastRowLastColumn="0"/>
              <w:rPr>
                <w:lang w:eastAsia="en-AU"/>
              </w:rPr>
            </w:pPr>
            <w:r w:rsidRPr="00166DB1">
              <w:t>2%</w:t>
            </w:r>
          </w:p>
        </w:tc>
      </w:tr>
      <w:tr w:rsidR="00166DB1" w:rsidRPr="00166DB1" w14:paraId="3A8DE08F" w14:textId="77777777" w:rsidTr="00CF2305">
        <w:trPr>
          <w:trHeight w:val="290"/>
        </w:trPr>
        <w:tc>
          <w:tcPr>
            <w:cnfStyle w:val="001000000000" w:firstRow="0" w:lastRow="0" w:firstColumn="1" w:lastColumn="0" w:oddVBand="0" w:evenVBand="0" w:oddHBand="0" w:evenHBand="0" w:firstRowFirstColumn="0" w:firstRowLastColumn="0" w:lastRowFirstColumn="0" w:lastRowLastColumn="0"/>
            <w:tcW w:w="1927" w:type="pct"/>
            <w:shd w:val="clear" w:color="auto" w:fill="F2F2F2" w:themeFill="background1" w:themeFillShade="F2"/>
            <w:noWrap/>
            <w:hideMark/>
          </w:tcPr>
          <w:p w14:paraId="4EA666A2" w14:textId="77777777" w:rsidR="00166DB1" w:rsidRPr="00166DB1" w:rsidRDefault="00166DB1" w:rsidP="00CF2305">
            <w:pPr>
              <w:pStyle w:val="TableCopy"/>
              <w:rPr>
                <w:lang w:eastAsia="en-AU"/>
              </w:rPr>
            </w:pPr>
            <w:r w:rsidRPr="00166DB1">
              <w:rPr>
                <w:lang w:eastAsia="en-AU"/>
              </w:rPr>
              <w:t>Emergency Locum Service</w:t>
            </w:r>
          </w:p>
        </w:tc>
        <w:tc>
          <w:tcPr>
            <w:tcW w:w="1540" w:type="pct"/>
            <w:shd w:val="clear" w:color="auto" w:fill="F2F2F2" w:themeFill="background1" w:themeFillShade="F2"/>
            <w:noWrap/>
            <w:hideMark/>
          </w:tcPr>
          <w:p w14:paraId="60BC228D" w14:textId="77777777" w:rsidR="00166DB1" w:rsidRPr="00166DB1" w:rsidRDefault="00166DB1" w:rsidP="00CF2305">
            <w:pPr>
              <w:pStyle w:val="TableCopy"/>
              <w:jc w:val="center"/>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56</w:t>
            </w:r>
          </w:p>
        </w:tc>
        <w:tc>
          <w:tcPr>
            <w:tcW w:w="1533" w:type="pct"/>
            <w:shd w:val="clear" w:color="auto" w:fill="F2F2F2" w:themeFill="background1" w:themeFillShade="F2"/>
            <w:noWrap/>
            <w:hideMark/>
          </w:tcPr>
          <w:p w14:paraId="2C8662ED" w14:textId="77777777" w:rsidR="00166DB1" w:rsidRPr="00166DB1" w:rsidRDefault="00166DB1" w:rsidP="00CF2305">
            <w:pPr>
              <w:pStyle w:val="TableCopy"/>
              <w:jc w:val="center"/>
              <w:cnfStyle w:val="000000000000" w:firstRow="0" w:lastRow="0" w:firstColumn="0" w:lastColumn="0" w:oddVBand="0" w:evenVBand="0" w:oddHBand="0" w:evenHBand="0" w:firstRowFirstColumn="0" w:firstRowLastColumn="0" w:lastRowFirstColumn="0" w:lastRowLastColumn="0"/>
              <w:rPr>
                <w:lang w:eastAsia="en-AU"/>
              </w:rPr>
            </w:pPr>
            <w:r w:rsidRPr="00166DB1">
              <w:t>1%</w:t>
            </w:r>
          </w:p>
        </w:tc>
      </w:tr>
      <w:tr w:rsidR="00166DB1" w:rsidRPr="00166DB1" w14:paraId="6EF9AE60" w14:textId="77777777" w:rsidTr="00CF2305">
        <w:trPr>
          <w:trHeight w:val="290"/>
        </w:trPr>
        <w:tc>
          <w:tcPr>
            <w:cnfStyle w:val="001000000000" w:firstRow="0" w:lastRow="0" w:firstColumn="1" w:lastColumn="0" w:oddVBand="0" w:evenVBand="0" w:oddHBand="0" w:evenHBand="0" w:firstRowFirstColumn="0" w:firstRowLastColumn="0" w:lastRowFirstColumn="0" w:lastRowLastColumn="0"/>
            <w:tcW w:w="1927" w:type="pct"/>
            <w:tcBorders>
              <w:bottom w:val="double" w:sz="4" w:space="0" w:color="4B4B4B"/>
            </w:tcBorders>
            <w:shd w:val="clear" w:color="auto" w:fill="F2F2F2" w:themeFill="background1" w:themeFillShade="F2"/>
            <w:noWrap/>
            <w:hideMark/>
          </w:tcPr>
          <w:p w14:paraId="6FECAC35" w14:textId="77777777" w:rsidR="00166DB1" w:rsidRPr="00166DB1" w:rsidRDefault="00166DB1" w:rsidP="00CF2305">
            <w:pPr>
              <w:pStyle w:val="TableCopy"/>
              <w:rPr>
                <w:lang w:eastAsia="en-AU"/>
              </w:rPr>
            </w:pPr>
            <w:r w:rsidRPr="00166DB1">
              <w:rPr>
                <w:lang w:eastAsia="en-AU"/>
              </w:rPr>
              <w:t>Intern Incentive Allowance –Extension Program</w:t>
            </w:r>
          </w:p>
        </w:tc>
        <w:tc>
          <w:tcPr>
            <w:tcW w:w="1540" w:type="pct"/>
            <w:tcBorders>
              <w:bottom w:val="double" w:sz="4" w:space="0" w:color="4B4B4B"/>
            </w:tcBorders>
            <w:shd w:val="clear" w:color="auto" w:fill="F2F2F2" w:themeFill="background1" w:themeFillShade="F2"/>
            <w:noWrap/>
            <w:hideMark/>
          </w:tcPr>
          <w:p w14:paraId="65975A6C" w14:textId="77777777" w:rsidR="00166DB1" w:rsidRPr="00166DB1" w:rsidRDefault="00166DB1" w:rsidP="00CF2305">
            <w:pPr>
              <w:pStyle w:val="TableCopy"/>
              <w:jc w:val="center"/>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9</w:t>
            </w:r>
          </w:p>
        </w:tc>
        <w:tc>
          <w:tcPr>
            <w:tcW w:w="1533" w:type="pct"/>
            <w:tcBorders>
              <w:bottom w:val="double" w:sz="4" w:space="0" w:color="4B4B4B"/>
            </w:tcBorders>
            <w:shd w:val="clear" w:color="auto" w:fill="F2F2F2" w:themeFill="background1" w:themeFillShade="F2"/>
            <w:noWrap/>
            <w:hideMark/>
          </w:tcPr>
          <w:p w14:paraId="7A74D419" w14:textId="77777777" w:rsidR="00166DB1" w:rsidRPr="00166DB1" w:rsidRDefault="00166DB1" w:rsidP="00CF2305">
            <w:pPr>
              <w:pStyle w:val="TableCopy"/>
              <w:jc w:val="center"/>
              <w:cnfStyle w:val="000000000000" w:firstRow="0" w:lastRow="0" w:firstColumn="0" w:lastColumn="0" w:oddVBand="0" w:evenVBand="0" w:oddHBand="0" w:evenHBand="0" w:firstRowFirstColumn="0" w:firstRowLastColumn="0" w:lastRowFirstColumn="0" w:lastRowLastColumn="0"/>
              <w:rPr>
                <w:lang w:eastAsia="en-AU"/>
              </w:rPr>
            </w:pPr>
            <w:r w:rsidRPr="00166DB1">
              <w:t>0%</w:t>
            </w:r>
          </w:p>
        </w:tc>
      </w:tr>
      <w:tr w:rsidR="00166DB1" w:rsidRPr="00166DB1" w14:paraId="526DAE1B" w14:textId="77777777" w:rsidTr="00CF2305">
        <w:trPr>
          <w:trHeight w:val="290"/>
        </w:trPr>
        <w:tc>
          <w:tcPr>
            <w:cnfStyle w:val="001000000000" w:firstRow="0" w:lastRow="0" w:firstColumn="1" w:lastColumn="0" w:oddVBand="0" w:evenVBand="0" w:oddHBand="0" w:evenHBand="0" w:firstRowFirstColumn="0" w:firstRowLastColumn="0" w:lastRowFirstColumn="0" w:lastRowLastColumn="0"/>
            <w:tcW w:w="1927" w:type="pct"/>
            <w:tcBorders>
              <w:bottom w:val="double" w:sz="4" w:space="0" w:color="4B4B4B"/>
            </w:tcBorders>
            <w:shd w:val="clear" w:color="auto" w:fill="F2F2F2" w:themeFill="background1" w:themeFillShade="F2"/>
            <w:noWrap/>
          </w:tcPr>
          <w:p w14:paraId="7BA39D45" w14:textId="77777777" w:rsidR="00166DB1" w:rsidRPr="00166DB1" w:rsidRDefault="00166DB1" w:rsidP="00CF2305">
            <w:pPr>
              <w:pStyle w:val="TableCopy"/>
              <w:rPr>
                <w:lang w:eastAsia="en-AU"/>
              </w:rPr>
            </w:pPr>
            <w:r w:rsidRPr="00166DB1">
              <w:rPr>
                <w:lang w:eastAsia="en-AU"/>
              </w:rPr>
              <w:t>Workforce retention programs – estimated total</w:t>
            </w:r>
          </w:p>
        </w:tc>
        <w:tc>
          <w:tcPr>
            <w:tcW w:w="1540" w:type="pct"/>
            <w:tcBorders>
              <w:bottom w:val="double" w:sz="4" w:space="0" w:color="4B4B4B"/>
            </w:tcBorders>
            <w:shd w:val="clear" w:color="auto" w:fill="F2F2F2" w:themeFill="background1" w:themeFillShade="F2"/>
            <w:noWrap/>
          </w:tcPr>
          <w:p w14:paraId="4ED55EC5" w14:textId="77777777" w:rsidR="00166DB1" w:rsidRPr="00166DB1" w:rsidRDefault="00166DB1" w:rsidP="00CF2305">
            <w:pPr>
              <w:pStyle w:val="TableCopy"/>
              <w:jc w:val="center"/>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524*</w:t>
            </w:r>
          </w:p>
        </w:tc>
        <w:tc>
          <w:tcPr>
            <w:tcW w:w="1533" w:type="pct"/>
            <w:tcBorders>
              <w:bottom w:val="double" w:sz="4" w:space="0" w:color="4B4B4B"/>
            </w:tcBorders>
            <w:shd w:val="clear" w:color="auto" w:fill="F2F2F2" w:themeFill="background1" w:themeFillShade="F2"/>
            <w:noWrap/>
          </w:tcPr>
          <w:p w14:paraId="6AA18B66" w14:textId="77777777" w:rsidR="00166DB1" w:rsidRPr="00166DB1" w:rsidRDefault="00166DB1" w:rsidP="00CF2305">
            <w:pPr>
              <w:pStyle w:val="TableCopy"/>
              <w:jc w:val="center"/>
              <w:cnfStyle w:val="000000000000" w:firstRow="0" w:lastRow="0" w:firstColumn="0" w:lastColumn="0" w:oddVBand="0" w:evenVBand="0" w:oddHBand="0" w:evenHBand="0" w:firstRowFirstColumn="0" w:firstRowLastColumn="0" w:lastRowFirstColumn="0" w:lastRowLastColumn="0"/>
              <w:rPr>
                <w:lang w:eastAsia="en-AU"/>
              </w:rPr>
            </w:pPr>
            <w:r w:rsidRPr="00166DB1">
              <w:t>14%</w:t>
            </w:r>
          </w:p>
        </w:tc>
      </w:tr>
      <w:tr w:rsidR="00166DB1" w:rsidRPr="00166DB1" w14:paraId="6781BEE0" w14:textId="77777777" w:rsidTr="00CF2305">
        <w:trPr>
          <w:trHeight w:val="290"/>
        </w:trPr>
        <w:tc>
          <w:tcPr>
            <w:cnfStyle w:val="001000000000" w:firstRow="0" w:lastRow="0" w:firstColumn="1" w:lastColumn="0" w:oddVBand="0" w:evenVBand="0" w:oddHBand="0" w:evenHBand="0" w:firstRowFirstColumn="0" w:firstRowLastColumn="0" w:lastRowFirstColumn="0" w:lastRowLastColumn="0"/>
            <w:tcW w:w="1927" w:type="pct"/>
            <w:tcBorders>
              <w:top w:val="double" w:sz="4" w:space="0" w:color="4B4B4B"/>
            </w:tcBorders>
            <w:shd w:val="clear" w:color="auto" w:fill="F2F2F2" w:themeFill="background1" w:themeFillShade="F2"/>
            <w:noWrap/>
          </w:tcPr>
          <w:p w14:paraId="54BD2AC8" w14:textId="77777777" w:rsidR="00166DB1" w:rsidRPr="00166DB1" w:rsidRDefault="00166DB1" w:rsidP="00CF2305">
            <w:pPr>
              <w:pStyle w:val="TableCopy"/>
              <w:rPr>
                <w:lang w:eastAsia="en-AU"/>
              </w:rPr>
            </w:pPr>
            <w:r w:rsidRPr="00166DB1">
              <w:rPr>
                <w:lang w:eastAsia="en-AU"/>
              </w:rPr>
              <w:t xml:space="preserve">Pharmacist FTE outside major cities </w:t>
            </w:r>
          </w:p>
        </w:tc>
        <w:tc>
          <w:tcPr>
            <w:tcW w:w="1540" w:type="pct"/>
            <w:tcBorders>
              <w:top w:val="double" w:sz="4" w:space="0" w:color="4B4B4B"/>
            </w:tcBorders>
            <w:shd w:val="clear" w:color="auto" w:fill="F2F2F2" w:themeFill="background1" w:themeFillShade="F2"/>
            <w:noWrap/>
          </w:tcPr>
          <w:p w14:paraId="781F26D9" w14:textId="77777777" w:rsidR="00166DB1" w:rsidRPr="00166DB1" w:rsidRDefault="00166DB1" w:rsidP="00CF2305">
            <w:pPr>
              <w:pStyle w:val="TableCopy"/>
              <w:jc w:val="center"/>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3,772^</w:t>
            </w:r>
          </w:p>
        </w:tc>
        <w:tc>
          <w:tcPr>
            <w:tcW w:w="1533" w:type="pct"/>
            <w:tcBorders>
              <w:top w:val="double" w:sz="4" w:space="0" w:color="4B4B4B"/>
            </w:tcBorders>
            <w:shd w:val="clear" w:color="auto" w:fill="F2F2F2" w:themeFill="background1" w:themeFillShade="F2"/>
            <w:noWrap/>
          </w:tcPr>
          <w:p w14:paraId="5E225E1F" w14:textId="77777777" w:rsidR="00166DB1" w:rsidRPr="00166DB1" w:rsidRDefault="00166DB1" w:rsidP="00CF2305">
            <w:pPr>
              <w:pStyle w:val="TableCopy"/>
              <w:jc w:val="center"/>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100%</w:t>
            </w:r>
          </w:p>
        </w:tc>
      </w:tr>
    </w:tbl>
    <w:p w14:paraId="77847BA0" w14:textId="77777777" w:rsidR="00166DB1" w:rsidRPr="00166DB1" w:rsidRDefault="00166DB1" w:rsidP="0029291C">
      <w:pPr>
        <w:pStyle w:val="TableNotes"/>
      </w:pPr>
      <w:r w:rsidRPr="00166DB1">
        <w:t>^ NHWDS 2013–2015</w:t>
      </w:r>
    </w:p>
    <w:p w14:paraId="3087AAAD" w14:textId="77777777" w:rsidR="00166DB1" w:rsidRPr="00166DB1" w:rsidRDefault="00166DB1" w:rsidP="0029291C">
      <w:pPr>
        <w:pStyle w:val="TableNotes"/>
      </w:pPr>
      <w:r w:rsidRPr="00166DB1">
        <w:t xml:space="preserve">*The estimated total volume of workforce retention program recipients may overestimate actual volume as one pharmacist may have benefitted from more than one program. </w:t>
      </w:r>
    </w:p>
    <w:p w14:paraId="5FAB8AEF"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lastRenderedPageBreak/>
        <w:t>Based on the market reach analysis we estimated that the recruitment and retention programs would involve around 750-800 pharmacists or new pharmacy recruits per annum</w:t>
      </w:r>
      <w:r w:rsidRPr="00166DB1">
        <w:rPr>
          <w:rFonts w:ascii="Garamond" w:eastAsia="Garamond" w:hAnsi="Garamond"/>
          <w:color w:val="000000"/>
          <w:vertAlign w:val="superscript"/>
        </w:rPr>
        <w:footnoteReference w:id="4"/>
      </w:r>
      <w:r w:rsidRPr="00166DB1">
        <w:rPr>
          <w:rFonts w:ascii="Garamond" w:eastAsia="Garamond" w:hAnsi="Garamond"/>
          <w:color w:val="000000"/>
        </w:rPr>
        <w:t>, or around 21% of the community pharmacist market outside major cities.</w:t>
      </w:r>
    </w:p>
    <w:p w14:paraId="52FDD5BB" w14:textId="77777777" w:rsidR="00166DB1" w:rsidRPr="00166DB1" w:rsidRDefault="00166DB1" w:rsidP="00063226">
      <w:pPr>
        <w:pStyle w:val="KeyFinding"/>
        <w:shd w:val="clear" w:color="auto" w:fill="F2F2F2" w:themeFill="background1" w:themeFillShade="F2"/>
      </w:pPr>
      <w:bookmarkStart w:id="72" w:name="_Ref490676918"/>
      <w:r w:rsidRPr="00166DB1">
        <w:t>The workforce recruitment and retention components of the Rural Workforce Package involve approximately 21% of the community pharmacist market annually, or around 800 pharmacists.</w:t>
      </w:r>
      <w:bookmarkEnd w:id="72"/>
    </w:p>
    <w:p w14:paraId="6EFD37C7"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The reach of the Rural Workforce Package recruitment and retention program components is relatively low compared to the current workforce in rural and remote areas (approximately 4,800 total pharmacist FTE, or 3,700 community pharmacists FTE). Based on this disparity, we concluded that the Rural Workforce Package had no major impact at a macro level on reducing the inequitable pharmacist workforce distribution described in the assessment of appropriateness (see Chapter 4). The limited workforce trend data described in Chapter 4 supports this conclusion: the pharmacist FTE per 100,000 people between 2013 and 2015 were largely static (in the case of inner regional and outer regional areas) or went backwards (in the case of remote areas).</w:t>
      </w:r>
    </w:p>
    <w:p w14:paraId="0351CD20" w14:textId="77777777" w:rsidR="00166DB1" w:rsidRPr="00166DB1" w:rsidRDefault="00166DB1" w:rsidP="00063226">
      <w:pPr>
        <w:pStyle w:val="KeyFinding"/>
        <w:shd w:val="clear" w:color="auto" w:fill="F2F2F2" w:themeFill="background1" w:themeFillShade="F2"/>
      </w:pPr>
      <w:bookmarkStart w:id="73" w:name="_Ref490676923"/>
      <w:r w:rsidRPr="00166DB1">
        <w:t>The evaluation concluded that the Rural Workforce Package components under the 5CPA were largely ineffective in strengthening the rural workforce at a macro level, evidenced by the static (inner and outer regional areas) and negative (remote areas) community pharmacist FTE rates per 100,000 people between 2013 and 2015.</w:t>
      </w:r>
      <w:bookmarkEnd w:id="73"/>
    </w:p>
    <w:p w14:paraId="7436F39A"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Although the evidence suggests there are problems over effectiveness at a macro level, the evaluation found evidence of effectiveness at a micro level – the impacts of the programs on individual students and pharmacists. Micro level effectiveness is discussed below.</w:t>
      </w:r>
    </w:p>
    <w:p w14:paraId="7B2C56E0" w14:textId="77777777" w:rsidR="00166DB1" w:rsidRPr="00166DB1" w:rsidRDefault="00166DB1" w:rsidP="00B24642">
      <w:pPr>
        <w:pStyle w:val="Heading2"/>
      </w:pPr>
      <w:bookmarkStart w:id="74" w:name="_Toc523322065"/>
      <w:r w:rsidRPr="00166DB1">
        <w:t>rural workforce package: impacts on recipients</w:t>
      </w:r>
      <w:bookmarkEnd w:id="74"/>
    </w:p>
    <w:p w14:paraId="6F0DD0EC"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The findings about the effectiveness impact of the Rural Workforce Package component on recipients are based on survey responses of Pharmacy Workforce Program grant recipients, and observations from peak bodies and program user consultations. Further details are available in Volume 2, </w:t>
      </w:r>
      <w:r w:rsidRPr="00166DB1">
        <w:rPr>
          <w:rFonts w:ascii="Garamond" w:eastAsia="Garamond" w:hAnsi="Garamond"/>
          <w:i/>
          <w:color w:val="000000"/>
        </w:rPr>
        <w:t>Detailed Analysis of Workforce Programs</w:t>
      </w:r>
      <w:r w:rsidRPr="00166DB1">
        <w:rPr>
          <w:rFonts w:ascii="Garamond" w:eastAsia="Garamond" w:hAnsi="Garamond"/>
          <w:color w:val="000000"/>
        </w:rPr>
        <w:t xml:space="preserve">.  </w:t>
      </w:r>
    </w:p>
    <w:p w14:paraId="0014F030"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The Rural Workforce impacts on recipients are examined in three categories: recruitment, retention and other workforce support.</w:t>
      </w:r>
    </w:p>
    <w:p w14:paraId="3E4F1E0E" w14:textId="77777777" w:rsidR="00166DB1" w:rsidRPr="00166DB1" w:rsidRDefault="00166DB1" w:rsidP="00B24642">
      <w:pPr>
        <w:pStyle w:val="Heading3"/>
      </w:pPr>
      <w:bookmarkStart w:id="75" w:name="_Toc523322066"/>
      <w:r w:rsidRPr="00166DB1">
        <w:t>Workforce recruitment programs</w:t>
      </w:r>
      <w:bookmarkEnd w:id="75"/>
    </w:p>
    <w:p w14:paraId="7C40D6E6"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Workforce recruitment programs aim to support the recruitment of new pharmacists into the rural workforce through programs targeting students and interns who will potentially practise in rural and remote areas. This section discusses the extent to which the programs in this category achieved this broad aim and their program-specific </w:t>
      </w:r>
      <w:r w:rsidRPr="00166DB1">
        <w:rPr>
          <w:rFonts w:ascii="Garamond" w:eastAsia="Garamond" w:hAnsi="Garamond"/>
          <w:i/>
          <w:color w:val="000000"/>
        </w:rPr>
        <w:t>derived aims</w:t>
      </w:r>
      <w:r w:rsidRPr="00166DB1">
        <w:rPr>
          <w:rFonts w:ascii="Garamond" w:eastAsia="Garamond" w:hAnsi="Garamond"/>
          <w:color w:val="000000"/>
        </w:rPr>
        <w:t xml:space="preserve">. This section concludes with an overall assessment of effectiveness at the category level. </w:t>
      </w:r>
    </w:p>
    <w:p w14:paraId="5E813EE6" w14:textId="77777777" w:rsidR="00166DB1" w:rsidRPr="0029291C" w:rsidRDefault="00166DB1" w:rsidP="008A6360">
      <w:pPr>
        <w:pStyle w:val="Heading4"/>
      </w:pPr>
      <w:r w:rsidRPr="0029291C">
        <w:t>Rural Pharmacy Scholarship Scheme</w:t>
      </w:r>
    </w:p>
    <w:p w14:paraId="1F56D573" w14:textId="77777777" w:rsidR="00166DB1" w:rsidRPr="00166DB1" w:rsidRDefault="00166DB1" w:rsidP="00166DB1">
      <w:pPr>
        <w:keepNext/>
        <w:keepLines/>
        <w:spacing w:before="85" w:after="85"/>
        <w:rPr>
          <w:rFonts w:ascii="Garamond" w:eastAsia="Garamond" w:hAnsi="Garamond"/>
          <w:color w:val="000000"/>
        </w:rPr>
      </w:pPr>
      <w:r w:rsidRPr="00166DB1">
        <w:rPr>
          <w:rFonts w:ascii="Garamond" w:eastAsia="Garamond" w:hAnsi="Garamond"/>
          <w:color w:val="000000"/>
        </w:rPr>
        <w:t xml:space="preserve">The Scholarship Scheme as it is currently administered achieves its aim to enable students from PhARIA 2–6 areas to attend university. Evaluation surveys found the financial support provided under the Scheme is a deciding factor for many of the respondent students who said they could not otherwise afford to attend university. </w:t>
      </w:r>
    </w:p>
    <w:p w14:paraId="614752B9"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However, the PhARIA geographic criteria excludes students from regional areas classified as PhARIA 1. </w:t>
      </w:r>
    </w:p>
    <w:p w14:paraId="083D7B05"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Despite scholarship recipients having previous intentions to practise in a rural area prior to studying pharmacy, the evaluation survey shows only around half of </w:t>
      </w:r>
      <w:r w:rsidRPr="00166DB1">
        <w:rPr>
          <w:rFonts w:ascii="Garamond" w:eastAsia="Garamond" w:hAnsi="Garamond"/>
          <w:color w:val="000000"/>
        </w:rPr>
        <w:lastRenderedPageBreak/>
        <w:t xml:space="preserve">scholarship recipients go on to practise in rural and remote areas after becoming qualified. </w:t>
      </w:r>
    </w:p>
    <w:p w14:paraId="39A5334D" w14:textId="77777777" w:rsidR="00166DB1" w:rsidRPr="00166DB1" w:rsidRDefault="00166DB1" w:rsidP="008A6360">
      <w:pPr>
        <w:pStyle w:val="Heading4"/>
      </w:pPr>
      <w:r w:rsidRPr="00166DB1">
        <w:t>Rural Pharmacy Scholarship Mentor Scheme</w:t>
      </w:r>
    </w:p>
    <w:p w14:paraId="11ADEB90"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The Mentor Scheme achieves its aim to encourage scholarship recipients to undertake studies in pharmacy and was highly valued by participating scholarship recipients. However, it is unclear whether mentoring has an impact on scholars’ intention to return to a rural area once qualified. Most mentors collect the honorarium payment and believe it is adequate compensation for their effort. </w:t>
      </w:r>
    </w:p>
    <w:p w14:paraId="5832BDF1" w14:textId="77777777" w:rsidR="00166DB1" w:rsidRPr="00166DB1" w:rsidRDefault="00166DB1" w:rsidP="008A6360">
      <w:pPr>
        <w:pStyle w:val="Heading4"/>
      </w:pPr>
      <w:r w:rsidRPr="00166DB1">
        <w:t>Rural Intern Training Allowance</w:t>
      </w:r>
    </w:p>
    <w:p w14:paraId="2DAD9D18"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Both the surveys and consultations affirmed the Rural Intern Training Allowance achieves its aim to reduce the additional costs incurred to undertake compulsory workshops and examinations.</w:t>
      </w:r>
    </w:p>
    <w:p w14:paraId="787073B0" w14:textId="77777777" w:rsidR="00166DB1" w:rsidRPr="00166DB1" w:rsidRDefault="00166DB1" w:rsidP="008A6360">
      <w:pPr>
        <w:pStyle w:val="Heading4"/>
      </w:pPr>
      <w:r w:rsidRPr="00166DB1">
        <w:t>Rural Pharmacy Student Placement Allowance</w:t>
      </w:r>
    </w:p>
    <w:p w14:paraId="0D131C34"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The program achieved its aim of covering travel and accommodation costs associated with rural placements. Students who received the allowance, as well as university placement officers, stated students generally would not complete a rural placement without access to the allowance.</w:t>
      </w:r>
    </w:p>
    <w:p w14:paraId="312DB4B5"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The number of students who received a placement allowance decreased over the 5CPA, despite increases in the number of students enrolled in pharmacy courses. The proportion of students who receive an allowance has remained low across the 5CPA when compared to the total number of enrolled students. </w:t>
      </w:r>
    </w:p>
    <w:p w14:paraId="417A57F9" w14:textId="77777777" w:rsidR="00166DB1" w:rsidRPr="00166DB1" w:rsidRDefault="00166DB1" w:rsidP="002E1F1A">
      <w:pPr>
        <w:pStyle w:val="KeyFinding"/>
        <w:keepLines/>
        <w:shd w:val="clear" w:color="auto" w:fill="F2F2F2" w:themeFill="background1" w:themeFillShade="F2"/>
      </w:pPr>
      <w:bookmarkStart w:id="76" w:name="_Ref490676929"/>
      <w:r w:rsidRPr="00166DB1">
        <w:t>Workforce recruitment programs generally achieved their derived aims of supporting students and interns to undertake education, placements and training that increased their exposure to rural pharmacy practice. Some programs (i.e. the Scholarship Scheme) were found to have a tangible impact on the number of prospective new rural pharmacists. Some programs may increase intention to practise in a rural area but there is no clear evidence that the program actually increases recruitment.</w:t>
      </w:r>
      <w:bookmarkEnd w:id="76"/>
      <w:r w:rsidRPr="00166DB1">
        <w:t xml:space="preserve"> </w:t>
      </w:r>
    </w:p>
    <w:p w14:paraId="0D8DCB98" w14:textId="77777777" w:rsidR="00166DB1" w:rsidRPr="00166DB1" w:rsidRDefault="00166DB1" w:rsidP="00B24642">
      <w:pPr>
        <w:pStyle w:val="Heading3"/>
      </w:pPr>
      <w:bookmarkStart w:id="77" w:name="_Toc523322067"/>
      <w:r w:rsidRPr="00166DB1">
        <w:t>Workforce retention programs</w:t>
      </w:r>
      <w:bookmarkEnd w:id="77"/>
    </w:p>
    <w:p w14:paraId="13C83B6C"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Programs in this category aim to support retention of existing rural pharmacists in PhARIA 2–6 areas by addressing disadvantages faced by pharmacists relative to pharmacists working in PhARIA 1. This section discusses the extent to which these programs achieved this broad aim and program-specific </w:t>
      </w:r>
      <w:r w:rsidRPr="00166DB1">
        <w:rPr>
          <w:rFonts w:ascii="Garamond" w:eastAsia="Garamond" w:hAnsi="Garamond"/>
          <w:i/>
          <w:color w:val="000000"/>
        </w:rPr>
        <w:t>derived aims</w:t>
      </w:r>
      <w:r w:rsidRPr="00166DB1">
        <w:rPr>
          <w:rFonts w:ascii="Garamond" w:eastAsia="Garamond" w:hAnsi="Garamond"/>
          <w:color w:val="000000"/>
        </w:rPr>
        <w:t xml:space="preserve">. </w:t>
      </w:r>
    </w:p>
    <w:p w14:paraId="039C505E" w14:textId="77777777" w:rsidR="00166DB1" w:rsidRPr="00166DB1" w:rsidRDefault="00166DB1" w:rsidP="008A6360">
      <w:pPr>
        <w:pStyle w:val="Heading4"/>
      </w:pPr>
      <w:r w:rsidRPr="00166DB1">
        <w:t>Continuing Professional Education Allowance</w:t>
      </w:r>
    </w:p>
    <w:p w14:paraId="1EC3C71F"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Based on the usage data of the CPE Allowance from 2012 to 2015, we concluded that the program meets its aim of reducing additional costs incurred by pharmacists practising in rural and remote communities to undertake CPE activities. However, the distribution of the allowance funds may not be equitable across the jurisdictions or reflect need based on remoteness (using the PhARIA scale). </w:t>
      </w:r>
    </w:p>
    <w:p w14:paraId="57BAA0BD"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Conversely, the CPE Allowance has not led to an increase in delivery of face-to-face CPE activities in rural and remote areas, evidenced by the educator use of CPE Allowance funds.</w:t>
      </w:r>
    </w:p>
    <w:p w14:paraId="2DB56082" w14:textId="77777777" w:rsidR="00166DB1" w:rsidRPr="00166DB1" w:rsidRDefault="00166DB1" w:rsidP="008A6360">
      <w:pPr>
        <w:pStyle w:val="Heading4"/>
      </w:pPr>
      <w:r w:rsidRPr="00166DB1">
        <w:t>Emergency Locum Service</w:t>
      </w:r>
    </w:p>
    <w:p w14:paraId="224419A5"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The Emergency Locum Service is a highly-valued program among non-metropolitan pharmacists, as reflected by the increase in demand over the last five years. The Service was considered vital by recipient pharmacists in reducing temporary closures of pharmacies. </w:t>
      </w:r>
    </w:p>
    <w:p w14:paraId="29988E2F"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lastRenderedPageBreak/>
        <w:t>Demand is highest in PhARIA 3 and above locations, with PhARIA 6 pharmacists requiring the greatest length of locum days. This indicates that the Service is achieving its aim of supporting rural and remote communities to retain access to community pharmacy services.</w:t>
      </w:r>
    </w:p>
    <w:p w14:paraId="5C93603D" w14:textId="77777777" w:rsidR="00166DB1" w:rsidRPr="00166DB1" w:rsidRDefault="00166DB1" w:rsidP="008A6360">
      <w:pPr>
        <w:pStyle w:val="Heading4"/>
      </w:pPr>
      <w:r w:rsidRPr="00166DB1">
        <w:t>Intern Incentive Allowance for Rural Pharmacies and Extension Program</w:t>
      </w:r>
    </w:p>
    <w:p w14:paraId="1CDFE2B9"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The Intern Incentive Allowance for Rural Pharmacies and the associated Extension Program were found to partially meet their aim to enable rural and remote pharmacies to engage pharmacy interns and new graduates. Some pharmacies may not be able to employ an intern or new graduate without these programs. However, other factors influence the number of interns and new graduates seeking placement or employment in non-metropolitan pharmacies. For example, some potential interns do not want to travel to more remote locations, even though a contribution to costs is available. There are also non-financial barriers on the pharmacy side; many comments were made by pharmacists about interns being a time-consuming staff resource. </w:t>
      </w:r>
    </w:p>
    <w:p w14:paraId="54098F86" w14:textId="77777777" w:rsidR="00166DB1" w:rsidRPr="00166DB1" w:rsidRDefault="00166DB1" w:rsidP="00063226">
      <w:pPr>
        <w:pStyle w:val="KeyFinding"/>
        <w:shd w:val="clear" w:color="auto" w:fill="F2F2F2" w:themeFill="background1" w:themeFillShade="F2"/>
      </w:pPr>
      <w:bookmarkStart w:id="78" w:name="_Ref490676934"/>
      <w:r w:rsidRPr="00166DB1">
        <w:t xml:space="preserve">Retention component programs achieved their </w:t>
      </w:r>
      <w:r w:rsidRPr="00166DB1">
        <w:rPr>
          <w:i/>
        </w:rPr>
        <w:t>derived aims</w:t>
      </w:r>
      <w:r w:rsidRPr="00166DB1">
        <w:t xml:space="preserve"> of reducing financial barriers to rural practice such as access to CPE, locums and interns. All programs were highly valued by the pharmacists who accessed them. However, the extent to which these programs prevented pharmacists leaving rural practice was not measurable and could not be isolated from other drivers of greater retention.</w:t>
      </w:r>
      <w:bookmarkEnd w:id="78"/>
      <w:r w:rsidRPr="00166DB1">
        <w:t xml:space="preserve"> </w:t>
      </w:r>
    </w:p>
    <w:p w14:paraId="0DD3E9FD" w14:textId="77777777" w:rsidR="00166DB1" w:rsidRPr="00166DB1" w:rsidRDefault="00166DB1" w:rsidP="00B24642">
      <w:pPr>
        <w:pStyle w:val="Heading3"/>
      </w:pPr>
      <w:bookmarkStart w:id="79" w:name="_Toc523322068"/>
      <w:r w:rsidRPr="00166DB1">
        <w:t>Other workforce support programs</w:t>
      </w:r>
      <w:bookmarkEnd w:id="79"/>
    </w:p>
    <w:p w14:paraId="15C44E61"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Other workforce support programs underpin the broader rural pharmacy workforce including students, pharmacy schools and practising pharmacists, delivered via funding available to 12 University Departments of Rural Health (UDRHs) and Pharmacy Schools. This section discusses the extent to which the programs in this category achieved this broad aim and program-specific </w:t>
      </w:r>
      <w:r w:rsidRPr="00166DB1">
        <w:rPr>
          <w:rFonts w:ascii="Garamond" w:eastAsia="Garamond" w:hAnsi="Garamond"/>
          <w:i/>
          <w:color w:val="000000"/>
        </w:rPr>
        <w:t>derived aims</w:t>
      </w:r>
      <w:r w:rsidRPr="00166DB1">
        <w:rPr>
          <w:rFonts w:ascii="Garamond" w:eastAsia="Garamond" w:hAnsi="Garamond"/>
          <w:color w:val="000000"/>
        </w:rPr>
        <w:t xml:space="preserve">. </w:t>
      </w:r>
    </w:p>
    <w:p w14:paraId="26FF8CF2" w14:textId="77777777" w:rsidR="00166DB1" w:rsidRPr="00166DB1" w:rsidRDefault="00166DB1" w:rsidP="008A6360">
      <w:pPr>
        <w:pStyle w:val="Heading4"/>
      </w:pPr>
      <w:r w:rsidRPr="00166DB1">
        <w:t>Rural Pharmacy Liaison Officer Program</w:t>
      </w:r>
    </w:p>
    <w:p w14:paraId="34CEF21D"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The RPLO program is highly regarded by peak body stakeholders (other than The Guild), rural pharmacists operating within the catchment of UDRHs, and pharmacy students who had exposure to UDRHs. RPLOs were found to achieve each of the aims of their role, particularly in their role of supporting rural placements coordinated through the UDRHs.</w:t>
      </w:r>
    </w:p>
    <w:p w14:paraId="022AFFFB"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However, the RPLO program is restricted by the current scope of the role and the administrative arrangements of the program, including inability to secure long term contracts, and the inability of the funds to be applied to research work.</w:t>
      </w:r>
    </w:p>
    <w:p w14:paraId="46AAF190" w14:textId="77777777" w:rsidR="00166DB1" w:rsidRPr="00166DB1" w:rsidRDefault="00166DB1" w:rsidP="008A6360">
      <w:pPr>
        <w:pStyle w:val="Heading4"/>
      </w:pPr>
      <w:r w:rsidRPr="00166DB1">
        <w:t>Administrative Support to Pharmacy Schools</w:t>
      </w:r>
    </w:p>
    <w:p w14:paraId="2701EFB1"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The Administration Support to Pharmacy Schools program was considered vital by university placement coordinators to compensate for the additional workload associated with arranging rural placements. However, the program has not led to an increase in the number of rural placements provided by universities over the life of the 5CPA. It is unclear whether the program prevented decreases in placements. Further investigation is required to determine whether the program has met its aims of increasing the number of placement coordinators employed by universities, and increasing awareness of other recruitment programs.</w:t>
      </w:r>
    </w:p>
    <w:p w14:paraId="105523A2" w14:textId="77777777" w:rsidR="00166DB1" w:rsidRPr="00166DB1" w:rsidRDefault="00166DB1" w:rsidP="00063226">
      <w:pPr>
        <w:pStyle w:val="KeyFinding"/>
        <w:shd w:val="clear" w:color="auto" w:fill="F2F2F2" w:themeFill="background1" w:themeFillShade="F2"/>
      </w:pPr>
      <w:bookmarkStart w:id="80" w:name="_Ref490676959"/>
      <w:r w:rsidRPr="00166DB1">
        <w:t xml:space="preserve">Other support component programs generally achieved their </w:t>
      </w:r>
      <w:r w:rsidRPr="00166DB1">
        <w:rPr>
          <w:i/>
        </w:rPr>
        <w:t>derived aims</w:t>
      </w:r>
      <w:r w:rsidRPr="00166DB1">
        <w:t>. However, these aims remain broad and self-fulfilling. A majority of stakeholders involved in the delivery of the programs stated that the support programs were vital to supporting recruitment activities.</w:t>
      </w:r>
      <w:bookmarkEnd w:id="80"/>
      <w:r w:rsidRPr="00166DB1">
        <w:t xml:space="preserve"> </w:t>
      </w:r>
    </w:p>
    <w:p w14:paraId="2D44B886" w14:textId="77777777" w:rsidR="00166DB1" w:rsidRPr="00166DB1" w:rsidRDefault="00166DB1" w:rsidP="002E1F1A">
      <w:pPr>
        <w:pStyle w:val="SectionTitle"/>
        <w:keepNext/>
        <w:rPr>
          <w:lang w:val="en-US"/>
        </w:rPr>
      </w:pPr>
      <w:r w:rsidRPr="00166DB1">
        <w:rPr>
          <w:lang w:val="en-US"/>
        </w:rPr>
        <w:lastRenderedPageBreak/>
        <w:t>Aboriginal and Torres Strait Islander workforce package effectiveness</w:t>
      </w:r>
    </w:p>
    <w:p w14:paraId="4067A8C6" w14:textId="77777777" w:rsidR="00166DB1" w:rsidRPr="00166DB1" w:rsidRDefault="00166DB1" w:rsidP="00B24642">
      <w:pPr>
        <w:pStyle w:val="Heading2"/>
      </w:pPr>
      <w:bookmarkStart w:id="81" w:name="_Toc523322069"/>
      <w:r w:rsidRPr="00166DB1">
        <w:t>Effectiveness in addressing underlying need</w:t>
      </w:r>
      <w:bookmarkEnd w:id="81"/>
    </w:p>
    <w:p w14:paraId="63C28154"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As discussed previously, a number of measures exist to support enhanced access to culturally appropriate pharmacy services for Aboriginal and Torres Strait Islander people. Each of these initiatives, as well as the in-scope workforce programs, seek to address different aspects of the medicines supply chain. For example, QUMAX and Section 100 arrangements aim to improve access to and quality use of PBS medicines, particularly in remote areas. The objective of the Closing The Gap (CTG) PBS Co-Payment Measure is to reduce the cost of PBS medicines for eligible Aboriginal and Torres Strait Islander people, thereby removing financial barriers to accessing pharmacy services. </w:t>
      </w:r>
    </w:p>
    <w:p w14:paraId="37E865B5"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Another way in which culturally enhanced access to medicines can be facilitated is to have Aboriginal and Torres Strait Islander pharmacists and pharmacy assistants working in community pharmacies. This will increase access to culturally appropriate advice on quality use of medicines. In addition, some Aboriginal and Torres Strait Islander people can find it culturally confronting to access their medicines outside an Aboriginal Medical Service (AMS); the ability to receive dispensing and advice from Aboriginal and Torres Strait Islander pharmacy staff may overcome this perception.</w:t>
      </w:r>
    </w:p>
    <w:p w14:paraId="6992A3B3"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In 2015, there was an increase of 12 Aboriginal and Torres Strait Islander pharmacists compared to 2013, a 21% increase from a base of 55, bringing the total to 67 pharmacists. This represented an average rate of 9.3 FTE pharmacists per 100,000 Aboriginal and Torres Strait Islander population. This is still significantly below the 2015 major city benchmark rate of 76 FTE per 100,000 people. To reach this benchmark, a further 450 Aboriginal and Torres Strait Islander pharmacist FTE is required (an approximate seven-fold increase on 2015 FTE figures). </w:t>
      </w:r>
    </w:p>
    <w:p w14:paraId="399EE6CA"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In 2015, the FTE rate of Aboriginal and Torres Strait Islander pharmacists per 100,000 Aboriginal and Torres Strait Islander people was highest in major cities (17), and lowest in outer regional areas (3.8). No Aboriginal and Torres Strait Islander pharmacists were working in very remote locations as shown in </w:t>
      </w:r>
      <w:r w:rsidRPr="00166DB1">
        <w:rPr>
          <w:rFonts w:ascii="Garamond" w:eastAsia="Garamond" w:hAnsi="Garamond"/>
          <w:color w:val="000000"/>
        </w:rPr>
        <w:fldChar w:fldCharType="begin"/>
      </w:r>
      <w:r w:rsidRPr="00166DB1">
        <w:rPr>
          <w:rFonts w:ascii="Garamond" w:eastAsia="Garamond" w:hAnsi="Garamond"/>
          <w:color w:val="000000"/>
        </w:rPr>
        <w:instrText xml:space="preserve"> REF _Ref487801947 \h </w:instrText>
      </w:r>
      <w:r w:rsidRPr="00166DB1">
        <w:rPr>
          <w:rFonts w:ascii="Garamond" w:eastAsia="Garamond" w:hAnsi="Garamond"/>
          <w:color w:val="000000"/>
        </w:rPr>
      </w:r>
      <w:r w:rsidRPr="00166DB1">
        <w:rPr>
          <w:rFonts w:ascii="Garamond" w:eastAsia="Garamond" w:hAnsi="Garamond"/>
          <w:color w:val="000000"/>
        </w:rPr>
        <w:fldChar w:fldCharType="separate"/>
      </w:r>
      <w:r w:rsidRPr="00166DB1">
        <w:rPr>
          <w:rFonts w:ascii="Garamond" w:eastAsia="Garamond" w:hAnsi="Garamond"/>
          <w:color w:val="000000"/>
        </w:rPr>
        <w:t xml:space="preserve">Figure </w:t>
      </w:r>
      <w:r w:rsidRPr="00166DB1">
        <w:rPr>
          <w:rFonts w:ascii="Garamond" w:eastAsia="Garamond" w:hAnsi="Garamond"/>
          <w:noProof/>
          <w:color w:val="000000"/>
        </w:rPr>
        <w:t>5</w:t>
      </w:r>
      <w:r w:rsidRPr="00166DB1">
        <w:rPr>
          <w:rFonts w:ascii="Garamond" w:eastAsia="Garamond" w:hAnsi="Garamond"/>
          <w:color w:val="000000"/>
        </w:rPr>
        <w:t>.</w:t>
      </w:r>
      <w:r w:rsidRPr="00166DB1">
        <w:rPr>
          <w:rFonts w:ascii="Garamond" w:eastAsia="Garamond" w:hAnsi="Garamond"/>
          <w:noProof/>
          <w:color w:val="000000"/>
        </w:rPr>
        <w:t>1</w:t>
      </w:r>
      <w:r w:rsidRPr="00166DB1">
        <w:rPr>
          <w:rFonts w:ascii="Garamond" w:eastAsia="Garamond" w:hAnsi="Garamond"/>
          <w:color w:val="000000"/>
        </w:rPr>
        <w:fldChar w:fldCharType="end"/>
      </w:r>
      <w:r w:rsidRPr="00166DB1">
        <w:rPr>
          <w:rFonts w:ascii="Garamond" w:eastAsia="Garamond" w:hAnsi="Garamond"/>
          <w:color w:val="000000"/>
        </w:rPr>
        <w:t xml:space="preserve">. </w:t>
      </w:r>
    </w:p>
    <w:p w14:paraId="2008A847" w14:textId="77777777" w:rsidR="00166DB1" w:rsidRPr="00166DB1" w:rsidRDefault="00166DB1" w:rsidP="00483C21">
      <w:pPr>
        <w:pStyle w:val="Caption"/>
      </w:pPr>
      <w:bookmarkStart w:id="82" w:name="_Ref487801947"/>
      <w:r w:rsidRPr="00166DB1">
        <w:t xml:space="preserve">Figure </w:t>
      </w:r>
      <w:r w:rsidRPr="00166DB1">
        <w:rPr>
          <w:noProof/>
        </w:rPr>
        <w:fldChar w:fldCharType="begin"/>
      </w:r>
      <w:r w:rsidRPr="00166DB1">
        <w:rPr>
          <w:noProof/>
        </w:rPr>
        <w:instrText xml:space="preserve"> STYLEREF 1 \s </w:instrText>
      </w:r>
      <w:r w:rsidRPr="00166DB1">
        <w:rPr>
          <w:noProof/>
        </w:rPr>
        <w:fldChar w:fldCharType="separate"/>
      </w:r>
      <w:r w:rsidRPr="00166DB1">
        <w:rPr>
          <w:noProof/>
        </w:rPr>
        <w:t>5</w:t>
      </w:r>
      <w:r w:rsidRPr="00166DB1">
        <w:rPr>
          <w:noProof/>
        </w:rPr>
        <w:fldChar w:fldCharType="end"/>
      </w:r>
      <w:r w:rsidRPr="00166DB1">
        <w:t>.</w:t>
      </w:r>
      <w:r w:rsidRPr="00166DB1">
        <w:rPr>
          <w:noProof/>
        </w:rPr>
        <w:fldChar w:fldCharType="begin"/>
      </w:r>
      <w:r w:rsidRPr="00166DB1">
        <w:rPr>
          <w:noProof/>
        </w:rPr>
        <w:instrText xml:space="preserve"> SEQ Figure \* ARABIC \s 1 </w:instrText>
      </w:r>
      <w:r w:rsidRPr="00166DB1">
        <w:rPr>
          <w:noProof/>
        </w:rPr>
        <w:fldChar w:fldCharType="separate"/>
      </w:r>
      <w:r w:rsidRPr="00166DB1">
        <w:rPr>
          <w:noProof/>
        </w:rPr>
        <w:t>1</w:t>
      </w:r>
      <w:r w:rsidRPr="00166DB1">
        <w:rPr>
          <w:noProof/>
        </w:rPr>
        <w:fldChar w:fldCharType="end"/>
      </w:r>
      <w:bookmarkEnd w:id="82"/>
      <w:r w:rsidRPr="00166DB1">
        <w:t>: FTE rate per 100,000 non-Indigenous people compared to Aboriginal and Torres Strait Islander pharmacists, by remoteness category, 2015</w:t>
      </w:r>
    </w:p>
    <w:p w14:paraId="072C7DEB" w14:textId="77777777" w:rsidR="00166DB1" w:rsidRPr="00166DB1" w:rsidRDefault="00166DB1" w:rsidP="00166DB1">
      <w:pPr>
        <w:spacing w:after="120" w:line="240" w:lineRule="auto"/>
        <w:rPr>
          <w:rFonts w:ascii="Garamond" w:eastAsia="Garamond" w:hAnsi="Garamond"/>
          <w:sz w:val="20"/>
        </w:rPr>
      </w:pPr>
      <w:r w:rsidRPr="00166DB1">
        <w:rPr>
          <w:rFonts w:ascii="Garamond" w:eastAsia="Garamond" w:hAnsi="Garamond"/>
          <w:noProof/>
          <w:sz w:val="20"/>
          <w:lang w:eastAsia="en-AU"/>
        </w:rPr>
        <w:drawing>
          <wp:inline distT="0" distB="0" distL="0" distR="0" wp14:anchorId="5A967FD8" wp14:editId="687EC926">
            <wp:extent cx="4472940" cy="2919730"/>
            <wp:effectExtent l="0" t="0" r="3810" b="13970"/>
            <wp:docPr id="81" name="Chart 81" descr="Figure 5.1 Bar graph showing FTE rate per 100,000 non-Indigenous people compared to Aboriginal and Torres Strait Islander pharmacists, by remoteness category, 2015">
              <a:extLst xmlns:a="http://schemas.openxmlformats.org/drawingml/2006/main">
                <a:ext uri="{FF2B5EF4-FFF2-40B4-BE49-F238E27FC236}">
                  <a16:creationId xmlns:a16="http://schemas.microsoft.com/office/drawing/2014/main" id="{61EE7E9A-D0F0-444C-90A3-ADFDCC3FA5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0E756D8" w14:textId="77777777" w:rsidR="00166DB1" w:rsidRPr="00166DB1" w:rsidRDefault="00166DB1" w:rsidP="00787AA0">
      <w:pPr>
        <w:pStyle w:val="TableNotes"/>
      </w:pPr>
      <w:r w:rsidRPr="00166DB1">
        <w:t>Source: AHPRA</w:t>
      </w:r>
      <w:sdt>
        <w:sdtPr>
          <w:id w:val="318698562"/>
          <w:citation/>
        </w:sdtPr>
        <w:sdtEndPr/>
        <w:sdtContent>
          <w:r w:rsidRPr="00166DB1">
            <w:fldChar w:fldCharType="begin"/>
          </w:r>
          <w:r w:rsidRPr="00166DB1">
            <w:instrText xml:space="preserve"> CITATION Aus15 \l 3081 </w:instrText>
          </w:r>
          <w:r w:rsidRPr="00166DB1">
            <w:fldChar w:fldCharType="separate"/>
          </w:r>
          <w:r w:rsidRPr="00166DB1">
            <w:rPr>
              <w:noProof/>
            </w:rPr>
            <w:t xml:space="preserve"> [4]</w:t>
          </w:r>
          <w:r w:rsidRPr="00166DB1">
            <w:fldChar w:fldCharType="end"/>
          </w:r>
        </w:sdtContent>
      </w:sdt>
      <w:r w:rsidRPr="00166DB1">
        <w:t>, ABS</w:t>
      </w:r>
      <w:sdt>
        <w:sdtPr>
          <w:id w:val="-1216042645"/>
          <w:citation/>
        </w:sdtPr>
        <w:sdtEndPr/>
        <w:sdtContent>
          <w:r w:rsidRPr="00166DB1">
            <w:fldChar w:fldCharType="begin"/>
          </w:r>
          <w:r w:rsidRPr="00166DB1">
            <w:instrText xml:space="preserve"> CITATION Aus112 \l 3081 </w:instrText>
          </w:r>
          <w:r w:rsidRPr="00166DB1">
            <w:fldChar w:fldCharType="separate"/>
          </w:r>
          <w:r w:rsidRPr="00166DB1">
            <w:rPr>
              <w:noProof/>
            </w:rPr>
            <w:t xml:space="preserve"> [5]</w:t>
          </w:r>
          <w:r w:rsidRPr="00166DB1">
            <w:fldChar w:fldCharType="end"/>
          </w:r>
        </w:sdtContent>
      </w:sdt>
    </w:p>
    <w:p w14:paraId="55FB7854" w14:textId="77777777" w:rsidR="00166DB1" w:rsidRPr="00166DB1" w:rsidRDefault="00166DB1" w:rsidP="00787AA0">
      <w:pPr>
        <w:pStyle w:val="TableNotes"/>
      </w:pPr>
      <w:r w:rsidRPr="00166DB1">
        <w:t>N.B: FTE rates for Aboriginal and Torres Strait Islander pharmacy workforce were calculated using clinical FTE and total Aboriginal and Torres Strait Islander population from 2011 ABS census data for each remoteness category. The FTE rate for non-Indigenous pharmacists was calculated using clinical FTE and ABS data for the total Australian population. This method better reflects the capacity of the Aboriginal and Torres Strait Islander pharmacy workforce to service the needs of Aboriginal and Torres Strait Islander communities.</w:t>
      </w:r>
    </w:p>
    <w:p w14:paraId="2B4422E1" w14:textId="77777777" w:rsidR="00166DB1" w:rsidRPr="00166DB1" w:rsidRDefault="00166DB1" w:rsidP="00063226">
      <w:pPr>
        <w:pStyle w:val="KeyFinding"/>
        <w:shd w:val="clear" w:color="auto" w:fill="F2F2F2" w:themeFill="background1" w:themeFillShade="F2"/>
      </w:pPr>
      <w:bookmarkStart w:id="83" w:name="_Ref489868820"/>
      <w:bookmarkStart w:id="84" w:name="_Ref490676965"/>
      <w:r w:rsidRPr="00166DB1">
        <w:t>Despite the overall growth in the number of Aboriginal and Torres Strait Islander pharmacists, the FTE rate per 100,000 Aboriginal and Torres Strait Islander population remained lo</w:t>
      </w:r>
      <w:bookmarkEnd w:id="83"/>
      <w:r w:rsidRPr="00166DB1">
        <w:t>w, supporting a position that there is an ongoing need to have recruitment programs for Aboriginal and Torres Islander pharmacy workforce.</w:t>
      </w:r>
      <w:bookmarkEnd w:id="84"/>
    </w:p>
    <w:p w14:paraId="6FFAEEF2" w14:textId="77777777" w:rsidR="00166DB1" w:rsidRPr="00166DB1" w:rsidRDefault="00166DB1" w:rsidP="00166DB1">
      <w:pPr>
        <w:spacing w:before="85" w:after="85"/>
        <w:rPr>
          <w:rFonts w:ascii="Garamond" w:eastAsia="Garamond" w:hAnsi="Garamond"/>
          <w:color w:val="000000"/>
        </w:rPr>
      </w:pPr>
    </w:p>
    <w:p w14:paraId="08ADB89F" w14:textId="77777777" w:rsidR="00166DB1" w:rsidRPr="00166DB1" w:rsidRDefault="00166DB1" w:rsidP="00063226">
      <w:pPr>
        <w:pStyle w:val="KeyFinding"/>
        <w:shd w:val="clear" w:color="auto" w:fill="F2F2F2" w:themeFill="background1" w:themeFillShade="F2"/>
      </w:pPr>
      <w:bookmarkStart w:id="85" w:name="_Ref489868839"/>
      <w:bookmarkStart w:id="86" w:name="_Ref490676970"/>
      <w:r w:rsidRPr="00166DB1">
        <w:t>Distribution of the Aboriginal and Torres Strait Islander pharmacy workforce is skewed towards major cities</w:t>
      </w:r>
      <w:bookmarkEnd w:id="85"/>
      <w:r w:rsidRPr="00166DB1">
        <w:t xml:space="preserve"> and remote areas.</w:t>
      </w:r>
      <w:bookmarkEnd w:id="86"/>
    </w:p>
    <w:p w14:paraId="0B90653C" w14:textId="77777777" w:rsidR="00166DB1" w:rsidRPr="00166DB1" w:rsidRDefault="00166DB1" w:rsidP="00B24642">
      <w:pPr>
        <w:pStyle w:val="Heading2"/>
      </w:pPr>
      <w:bookmarkStart w:id="87" w:name="_Toc523322070"/>
      <w:r w:rsidRPr="00166DB1">
        <w:t>Evaluation limitations: pharmacy Assistants</w:t>
      </w:r>
      <w:bookmarkEnd w:id="87"/>
    </w:p>
    <w:p w14:paraId="3D886E7D"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Pharmacy assistants are not required to register with the Pharmacy Board. As a consequence, there is no current data available from the Pharmacy Board on trends in the number of pharmacy assistants. This meant the evaluation was unable to assess the impacts of the Aboriginal and Torres Strait Islander Pharmacy Assistant Traineeship Scheme in addressing underlying needs for Aboriginal and Torres Strait Islander pharmacy assistants.  </w:t>
      </w:r>
    </w:p>
    <w:p w14:paraId="36037406" w14:textId="77777777" w:rsidR="00166DB1" w:rsidRPr="00166DB1" w:rsidRDefault="00166DB1" w:rsidP="00B24642">
      <w:pPr>
        <w:pStyle w:val="Heading2"/>
      </w:pPr>
      <w:bookmarkStart w:id="88" w:name="_Toc523322071"/>
      <w:r w:rsidRPr="00166DB1">
        <w:t>Enhancing availability of culturally appropriate services component programs</w:t>
      </w:r>
      <w:bookmarkEnd w:id="88"/>
    </w:p>
    <w:p w14:paraId="3D86D003"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Programs under the Aboriginal and Torres Strait Islander Package seek to enhance availability of culturally appropriate pharmacy services by increasing the number of Aboriginal and Torres Strait Islander people within the pharmacy workforce. This section discusses the extent to which component programs achieved this broad aim and program-specific </w:t>
      </w:r>
      <w:r w:rsidRPr="00166DB1">
        <w:rPr>
          <w:rFonts w:ascii="Garamond" w:eastAsia="Garamond" w:hAnsi="Garamond"/>
          <w:i/>
          <w:color w:val="000000"/>
        </w:rPr>
        <w:t>derived aims</w:t>
      </w:r>
      <w:r w:rsidRPr="00166DB1">
        <w:rPr>
          <w:rFonts w:ascii="Garamond" w:eastAsia="Garamond" w:hAnsi="Garamond"/>
          <w:color w:val="000000"/>
        </w:rPr>
        <w:t xml:space="preserve">. </w:t>
      </w:r>
    </w:p>
    <w:p w14:paraId="77E6E804" w14:textId="77777777" w:rsidR="00166DB1" w:rsidRPr="00166DB1" w:rsidRDefault="00166DB1" w:rsidP="00B24642">
      <w:pPr>
        <w:pStyle w:val="Heading3"/>
      </w:pPr>
      <w:bookmarkStart w:id="89" w:name="_Toc523322072"/>
      <w:r w:rsidRPr="00166DB1">
        <w:t>Aboriginal and Torres Strait Islander Pharmacy Assistant Traineeship Scheme</w:t>
      </w:r>
      <w:bookmarkEnd w:id="89"/>
    </w:p>
    <w:p w14:paraId="705FD4FD"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Available data was not sufficiently detailed to determine whether the Aboriginal and Torres Strait Islander Pharmacy Assistant Traineeship Scheme led to an increase in the number of Aboriginal and Torres Strait Islander pharmacy assistants over the </w:t>
      </w:r>
      <w:r w:rsidRPr="00166DB1">
        <w:rPr>
          <w:rFonts w:ascii="Garamond" w:eastAsia="Garamond" w:hAnsi="Garamond"/>
          <w:color w:val="000000"/>
        </w:rPr>
        <w:t>life of the 5CPA – data was only available on the number of grant recipients, not how many of those recipients continued in an assistant role. However, program participants agreed the Scheme was effective in encouraging Aboriginal and Torres Strait Islander people to commence a career as a pharmacy assistant.</w:t>
      </w:r>
    </w:p>
    <w:p w14:paraId="277AF1B6" w14:textId="77777777" w:rsidR="00166DB1" w:rsidRPr="00166DB1" w:rsidRDefault="00166DB1" w:rsidP="008A6360">
      <w:pPr>
        <w:pStyle w:val="Heading4"/>
      </w:pPr>
      <w:r w:rsidRPr="00166DB1">
        <w:t>Aboriginal and Torres Strait Islander Pharmacy Scholarship Scheme</w:t>
      </w:r>
    </w:p>
    <w:p w14:paraId="32979A13"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Aboriginal and Torres Strait Islander Pharmacy Scholarship Scheme recipients may account for a significant proportion of the increase in Aboriginal and Torres Strait Islander pharmacists. However, it is unclear if increasing workforce is the most appropriate means of increasing access to culturally appropriate pharmacy services for Aboriginal and Torres Strait Islander people.</w:t>
      </w:r>
    </w:p>
    <w:p w14:paraId="7CFEA543" w14:textId="77777777" w:rsidR="00166DB1" w:rsidRPr="00166DB1" w:rsidRDefault="00166DB1" w:rsidP="00063226">
      <w:pPr>
        <w:pStyle w:val="KeyFinding"/>
        <w:shd w:val="clear" w:color="auto" w:fill="F2F2F2" w:themeFill="background1" w:themeFillShade="F2"/>
      </w:pPr>
      <w:bookmarkStart w:id="90" w:name="_Ref490676974"/>
      <w:r w:rsidRPr="00166DB1">
        <w:t>Programs under the component addressing the availability of culturally appropriate services for Aboriginal and Torres Strait Islander people contributed to their aim of increasing the Aboriginal and Torres Strait Islander pharmacy workforce. However, it is unclear whether an increase in Aboriginal and Torres Strait Islander representation in pharmacy workforce will effectively enhance the availability of culturally appropriate services for Aboriginal and Torres Strait Islander communities.</w:t>
      </w:r>
      <w:bookmarkEnd w:id="90"/>
      <w:r w:rsidRPr="00166DB1">
        <w:t xml:space="preserve"> </w:t>
      </w:r>
    </w:p>
    <w:p w14:paraId="5016FDCA" w14:textId="77777777" w:rsidR="00166DB1" w:rsidRPr="00166DB1" w:rsidRDefault="00166DB1" w:rsidP="00B24642">
      <w:pPr>
        <w:pStyle w:val="Heading2"/>
      </w:pPr>
      <w:bookmarkStart w:id="91" w:name="_Toc523322073"/>
      <w:r w:rsidRPr="00166DB1">
        <w:t>Overall conclusion on effectiveness</w:t>
      </w:r>
      <w:bookmarkEnd w:id="91"/>
    </w:p>
    <w:p w14:paraId="1D13115E"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Our analysis of the program effectiveness has sought to distinguish different aspects of this evaluation criteria. While we found that the program Packages had been ineffective in reducing the underlying need for a strengthened workforce, this was not the case at a micro level – the impact on individual students and community pharmacists was effective.</w:t>
      </w:r>
    </w:p>
    <w:p w14:paraId="7F8DF499"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In Section 5.3 it was noted there are around 600 new recipients of direct support annually via recruitment support programs and 500 recipients annually of direct support via workforce retention grants. The evaluation survey responses and consultation feedback suggest that an overwhelming majority of these recipients </w:t>
      </w:r>
      <w:r w:rsidRPr="00166DB1">
        <w:rPr>
          <w:rFonts w:ascii="Garamond" w:eastAsia="Garamond" w:hAnsi="Garamond"/>
          <w:color w:val="000000"/>
        </w:rPr>
        <w:lastRenderedPageBreak/>
        <w:t xml:space="preserve">valued the grant monies received and acknowledged that it informed their decisions about career planning. </w:t>
      </w:r>
    </w:p>
    <w:p w14:paraId="03ED8D4B"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The actual recruitment and retention levels clearly attributable to the Pharmacy Workforce are much harder to quantify – in some cases this would be extremely difficult to measure, for example, the Emergency Locum Scheme. Evaluation survey responses suggest that measuring recruitment and retention that is directly attributable to a program is highly variable according to the specific program; indicative rates range from 20% of recruitment due to the program (Rural Pharmacy Student Placement Allowance) up to 50% (Rural Pharmacy Scholarship Program). </w:t>
      </w:r>
    </w:p>
    <w:p w14:paraId="4B522587"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Based on these observations, we suggest that wholesale changes to the Pharmacy Programs should be approached with caution. Although we found that the programs did not have any observable impact on strengthening the rural and remote pharmacy workforce levels, based on the available 2013–2105 data, there are other factors that must be considered in forming decisions about the future of the programs, such as:</w:t>
      </w:r>
    </w:p>
    <w:p w14:paraId="2976771F" w14:textId="77777777" w:rsidR="00166DB1" w:rsidRPr="00787AA0" w:rsidRDefault="00166DB1" w:rsidP="009F66FB">
      <w:pPr>
        <w:pStyle w:val="ListParagraph"/>
        <w:numPr>
          <w:ilvl w:val="0"/>
          <w:numId w:val="18"/>
        </w:numPr>
        <w:tabs>
          <w:tab w:val="num" w:pos="426"/>
        </w:tabs>
        <w:spacing w:before="20" w:after="20"/>
        <w:rPr>
          <w:rFonts w:ascii="Garamond" w:eastAsia="Times New Roman" w:hAnsi="Garamond"/>
          <w:color w:val="000000"/>
        </w:rPr>
      </w:pPr>
      <w:r w:rsidRPr="00787AA0">
        <w:rPr>
          <w:rFonts w:ascii="Garamond" w:eastAsia="Times New Roman" w:hAnsi="Garamond"/>
          <w:color w:val="000000"/>
        </w:rPr>
        <w:t>the effect of these programs may be offsetting underlying incentives for the workforce to prefer working in major cities, which may have stabilised the shift of resources to major cities, and</w:t>
      </w:r>
    </w:p>
    <w:p w14:paraId="40C4BA40" w14:textId="77777777" w:rsidR="00166DB1" w:rsidRPr="00787AA0" w:rsidRDefault="00166DB1" w:rsidP="009F66FB">
      <w:pPr>
        <w:pStyle w:val="ListParagraph"/>
        <w:numPr>
          <w:ilvl w:val="0"/>
          <w:numId w:val="18"/>
        </w:numPr>
        <w:tabs>
          <w:tab w:val="num" w:pos="426"/>
        </w:tabs>
        <w:spacing w:before="20" w:after="20"/>
        <w:rPr>
          <w:rFonts w:ascii="Garamond" w:eastAsia="Times New Roman" w:hAnsi="Garamond"/>
          <w:color w:val="000000"/>
        </w:rPr>
      </w:pPr>
      <w:r w:rsidRPr="00787AA0">
        <w:rPr>
          <w:rFonts w:ascii="Garamond" w:eastAsia="Times New Roman" w:hAnsi="Garamond"/>
          <w:color w:val="000000"/>
        </w:rPr>
        <w:t>it is possible that the allocation of additional resources to the Packages, via an increased value of grants for many of the programs, could increase the incentive of individuals to take up the grants and promote larger shifts in the workforce into rural and remote areas.</w:t>
      </w:r>
    </w:p>
    <w:p w14:paraId="562A08DC" w14:textId="77777777" w:rsidR="00166DB1" w:rsidRPr="00166DB1" w:rsidRDefault="00166DB1" w:rsidP="002E1F1A">
      <w:pPr>
        <w:pStyle w:val="KeyFinding"/>
        <w:keepLines/>
        <w:shd w:val="clear" w:color="auto" w:fill="F2F2F2" w:themeFill="background1" w:themeFillShade="F2"/>
      </w:pPr>
      <w:bookmarkStart w:id="92" w:name="_Ref490676981"/>
      <w:r w:rsidRPr="00063226">
        <w:rPr>
          <w:shd w:val="clear" w:color="auto" w:fill="F2F2F2" w:themeFill="background1" w:themeFillShade="F2"/>
        </w:rPr>
        <w:t>Wholesale changes to the Pharmacy Programs should be approached with caution. Although we found that the programs did not have any observable impact on strengthening the rural and remote pharmacy workforce levels, based on the available 2013–2015 data, there are other factors that must be considered in forming decisions about the future of the programs: the impacts of the current programs and their value to current and</w:t>
      </w:r>
      <w:r w:rsidRPr="00166DB1">
        <w:t xml:space="preserve"> prospective recipients. An increase in the value of the grants could increase the incentives to take up the grants and promote larger shifts in the workforce into rural and remote areas.</w:t>
      </w:r>
      <w:bookmarkEnd w:id="92"/>
    </w:p>
    <w:p w14:paraId="715C0A0A" w14:textId="77777777" w:rsidR="00D62D23" w:rsidRDefault="00D62D23" w:rsidP="00063226">
      <w:pPr>
        <w:keepNext/>
        <w:keepLines/>
        <w:shd w:val="clear" w:color="auto" w:fill="F2F2F2" w:themeFill="background1" w:themeFillShade="F2"/>
        <w:spacing w:before="85" w:after="85"/>
        <w:rPr>
          <w:rFonts w:ascii="Garamond" w:eastAsia="Garamond" w:hAnsi="Garamond"/>
          <w:color w:val="000000"/>
        </w:rPr>
        <w:sectPr w:rsidR="00D62D23" w:rsidSect="0029291C">
          <w:headerReference w:type="default" r:id="rId34"/>
          <w:headerReference w:type="first" r:id="rId35"/>
          <w:pgSz w:w="16839" w:h="11907" w:orient="landscape" w:code="9"/>
          <w:pgMar w:top="1843" w:right="1304" w:bottom="850" w:left="737" w:header="567" w:footer="284" w:gutter="0"/>
          <w:cols w:num="2" w:space="709"/>
          <w:docGrid w:linePitch="360"/>
        </w:sectPr>
      </w:pPr>
    </w:p>
    <w:p w14:paraId="22845110" w14:textId="04C68CF0" w:rsidR="00281DD2" w:rsidRPr="00281DD2" w:rsidRDefault="00281DD2" w:rsidP="00B24642">
      <w:pPr>
        <w:pStyle w:val="Heading1"/>
        <w:rPr>
          <w:lang w:val="en-US"/>
        </w:rPr>
      </w:pPr>
      <w:bookmarkStart w:id="93" w:name="_Toc523322074"/>
      <w:r w:rsidRPr="00281DD2">
        <w:rPr>
          <w:lang w:val="en-US"/>
        </w:rPr>
        <w:lastRenderedPageBreak/>
        <w:t>Efficiency</w:t>
      </w:r>
      <w:bookmarkEnd w:id="93"/>
    </w:p>
    <w:p w14:paraId="749FDCF6" w14:textId="68766EC4"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An examination of a program’s </w:t>
      </w:r>
      <w:r w:rsidRPr="00166DB1">
        <w:rPr>
          <w:rFonts w:ascii="Garamond" w:eastAsia="Garamond" w:hAnsi="Garamond"/>
          <w:i/>
          <w:color w:val="000000"/>
        </w:rPr>
        <w:t>efficiency</w:t>
      </w:r>
      <w:r w:rsidRPr="00166DB1">
        <w:rPr>
          <w:rFonts w:ascii="Garamond" w:eastAsia="Garamond" w:hAnsi="Garamond"/>
          <w:color w:val="000000"/>
        </w:rPr>
        <w:t xml:space="preserve"> seeks to ascertain:</w:t>
      </w:r>
    </w:p>
    <w:p w14:paraId="33ECB50A" w14:textId="77777777" w:rsidR="00166DB1" w:rsidRPr="00166DB1" w:rsidRDefault="00166DB1" w:rsidP="00166DB1">
      <w:pPr>
        <w:spacing w:before="85" w:after="85"/>
        <w:ind w:left="284" w:right="284"/>
        <w:rPr>
          <w:rFonts w:ascii="Times New Roman" w:eastAsia="Garamond" w:hAnsi="Times New Roman"/>
          <w:i/>
          <w:iCs/>
          <w:color w:val="000000"/>
          <w:sz w:val="20"/>
          <w:lang w:val="en-US"/>
        </w:rPr>
      </w:pPr>
      <w:r w:rsidRPr="00166DB1">
        <w:rPr>
          <w:rFonts w:ascii="Times New Roman" w:eastAsia="Garamond" w:hAnsi="Times New Roman"/>
          <w:i/>
          <w:iCs/>
          <w:color w:val="000000"/>
          <w:sz w:val="20"/>
        </w:rPr>
        <w:t>whether there are better ways of achieving these objectives</w:t>
      </w:r>
      <w:sdt>
        <w:sdtPr>
          <w:rPr>
            <w:rFonts w:ascii="Times New Roman" w:eastAsia="Garamond" w:hAnsi="Times New Roman"/>
            <w:i/>
            <w:iCs/>
            <w:color w:val="000000"/>
            <w:sz w:val="20"/>
          </w:rPr>
          <w:id w:val="-1376152418"/>
          <w:citation/>
        </w:sdtPr>
        <w:sdtEndPr/>
        <w:sdtContent>
          <w:r w:rsidRPr="00166DB1">
            <w:rPr>
              <w:rFonts w:ascii="Times New Roman" w:eastAsia="Garamond" w:hAnsi="Times New Roman"/>
              <w:i/>
              <w:iCs/>
              <w:color w:val="000000"/>
              <w:sz w:val="20"/>
            </w:rPr>
            <w:fldChar w:fldCharType="begin"/>
          </w:r>
          <w:r w:rsidRPr="00166DB1">
            <w:rPr>
              <w:rFonts w:ascii="Times New Roman" w:eastAsia="Garamond" w:hAnsi="Times New Roman"/>
              <w:i/>
              <w:iCs/>
              <w:color w:val="000000"/>
              <w:sz w:val="20"/>
            </w:rPr>
            <w:instrText xml:space="preserve"> CITATION Tun10 \l 3081 </w:instrText>
          </w:r>
          <w:r w:rsidRPr="00166DB1">
            <w:rPr>
              <w:rFonts w:ascii="Times New Roman" w:eastAsia="Garamond" w:hAnsi="Times New Roman"/>
              <w:i/>
              <w:iCs/>
              <w:color w:val="000000"/>
              <w:sz w:val="20"/>
            </w:rPr>
            <w:fldChar w:fldCharType="separate"/>
          </w:r>
          <w:r w:rsidRPr="00166DB1">
            <w:rPr>
              <w:rFonts w:ascii="Times New Roman" w:eastAsia="Garamond" w:hAnsi="Times New Roman"/>
              <w:i/>
              <w:iCs/>
              <w:noProof/>
              <w:color w:val="000000"/>
              <w:sz w:val="20"/>
            </w:rPr>
            <w:t xml:space="preserve"> [1]</w:t>
          </w:r>
          <w:r w:rsidRPr="00166DB1">
            <w:rPr>
              <w:rFonts w:ascii="Times New Roman" w:eastAsia="Garamond" w:hAnsi="Times New Roman"/>
              <w:i/>
              <w:iCs/>
              <w:color w:val="000000"/>
              <w:sz w:val="20"/>
            </w:rPr>
            <w:fldChar w:fldCharType="end"/>
          </w:r>
        </w:sdtContent>
      </w:sdt>
      <w:r w:rsidRPr="00166DB1">
        <w:rPr>
          <w:rFonts w:ascii="Times New Roman" w:eastAsia="Garamond" w:hAnsi="Times New Roman"/>
          <w:i/>
          <w:iCs/>
          <w:color w:val="000000"/>
          <w:sz w:val="20"/>
        </w:rPr>
        <w:t>, including consideration of expenditure and cost per output, project governance arrangements, and implementation processes</w:t>
      </w:r>
      <w:r w:rsidRPr="00166DB1">
        <w:rPr>
          <w:rFonts w:ascii="Times New Roman" w:eastAsia="Garamond" w:hAnsi="Times New Roman"/>
          <w:i/>
          <w:iCs/>
          <w:color w:val="000000"/>
          <w:sz w:val="20"/>
          <w:lang w:val="en-US"/>
        </w:rPr>
        <w:t>.</w:t>
      </w:r>
      <w:sdt>
        <w:sdtPr>
          <w:rPr>
            <w:rFonts w:ascii="Times New Roman" w:eastAsia="Garamond" w:hAnsi="Times New Roman"/>
            <w:i/>
            <w:iCs/>
            <w:color w:val="000000"/>
            <w:sz w:val="20"/>
            <w:lang w:val="en-US"/>
          </w:rPr>
          <w:id w:val="-359121386"/>
          <w:citation/>
        </w:sdtPr>
        <w:sdtEndPr/>
        <w:sdtContent>
          <w:r w:rsidRPr="00166DB1">
            <w:rPr>
              <w:rFonts w:ascii="Times New Roman" w:eastAsia="Garamond" w:hAnsi="Times New Roman"/>
              <w:i/>
              <w:iCs/>
              <w:color w:val="000000"/>
              <w:sz w:val="20"/>
              <w:lang w:val="en-US"/>
            </w:rPr>
            <w:fldChar w:fldCharType="begin"/>
          </w:r>
          <w:r w:rsidRPr="00166DB1">
            <w:rPr>
              <w:rFonts w:ascii="Times New Roman" w:eastAsia="Garamond" w:hAnsi="Times New Roman"/>
              <w:i/>
              <w:iCs/>
              <w:color w:val="000000"/>
              <w:sz w:val="20"/>
            </w:rPr>
            <w:instrText xml:space="preserve">CITATION Hea \l 3081 </w:instrText>
          </w:r>
          <w:r w:rsidRPr="00166DB1">
            <w:rPr>
              <w:rFonts w:ascii="Times New Roman" w:eastAsia="Garamond" w:hAnsi="Times New Roman"/>
              <w:i/>
              <w:iCs/>
              <w:color w:val="000000"/>
              <w:sz w:val="20"/>
              <w:lang w:val="en-US"/>
            </w:rPr>
            <w:fldChar w:fldCharType="separate"/>
          </w:r>
          <w:r w:rsidRPr="00166DB1">
            <w:rPr>
              <w:rFonts w:ascii="Times New Roman" w:eastAsia="Garamond" w:hAnsi="Times New Roman"/>
              <w:i/>
              <w:iCs/>
              <w:noProof/>
              <w:color w:val="000000"/>
              <w:sz w:val="20"/>
            </w:rPr>
            <w:t xml:space="preserve"> [2]</w:t>
          </w:r>
          <w:r w:rsidRPr="00166DB1">
            <w:rPr>
              <w:rFonts w:ascii="Times New Roman" w:eastAsia="Garamond" w:hAnsi="Times New Roman"/>
              <w:i/>
              <w:iCs/>
              <w:color w:val="000000"/>
              <w:sz w:val="20"/>
              <w:lang w:val="en-US"/>
            </w:rPr>
            <w:fldChar w:fldCharType="end"/>
          </w:r>
        </w:sdtContent>
      </w:sdt>
    </w:p>
    <w:p w14:paraId="1AEA1B39" w14:textId="77777777" w:rsidR="00166DB1" w:rsidRPr="00166DB1" w:rsidRDefault="00166DB1" w:rsidP="00166DB1">
      <w:pPr>
        <w:spacing w:before="85" w:after="85"/>
        <w:rPr>
          <w:rFonts w:ascii="Garamond" w:eastAsia="Garamond" w:hAnsi="Garamond"/>
          <w:color w:val="000000"/>
          <w:lang w:val="en-US"/>
        </w:rPr>
      </w:pPr>
      <w:r w:rsidRPr="00166DB1">
        <w:rPr>
          <w:rFonts w:ascii="Garamond" w:eastAsia="Garamond" w:hAnsi="Garamond"/>
          <w:color w:val="000000"/>
          <w:lang w:val="en-US"/>
        </w:rPr>
        <w:t>To assess efficiency for this evaluation we examined:</w:t>
      </w:r>
    </w:p>
    <w:p w14:paraId="22232456" w14:textId="77777777" w:rsidR="00166DB1" w:rsidRPr="00CF2305" w:rsidRDefault="00166DB1" w:rsidP="009F66FB">
      <w:pPr>
        <w:pStyle w:val="ListParagraph"/>
        <w:numPr>
          <w:ilvl w:val="0"/>
          <w:numId w:val="18"/>
        </w:numPr>
        <w:tabs>
          <w:tab w:val="num" w:pos="284"/>
        </w:tabs>
        <w:spacing w:before="20" w:after="20"/>
        <w:ind w:left="284" w:hanging="218"/>
        <w:rPr>
          <w:rFonts w:ascii="Garamond" w:eastAsia="Times New Roman" w:hAnsi="Garamond"/>
          <w:color w:val="000000"/>
          <w:lang w:val="en-US"/>
        </w:rPr>
      </w:pPr>
      <w:r w:rsidRPr="00CF2305">
        <w:rPr>
          <w:rFonts w:ascii="Garamond" w:eastAsia="Times New Roman" w:hAnsi="Garamond"/>
          <w:color w:val="000000"/>
          <w:lang w:val="en-US"/>
        </w:rPr>
        <w:t>the mix and balance of program expenditure targeting retention, recruitment, other support or enhancing access to culturally appropriate services</w:t>
      </w:r>
    </w:p>
    <w:p w14:paraId="3935CDC9" w14:textId="77777777" w:rsidR="00166DB1" w:rsidRPr="00CF2305" w:rsidRDefault="00166DB1" w:rsidP="009F66FB">
      <w:pPr>
        <w:pStyle w:val="ListParagraph"/>
        <w:numPr>
          <w:ilvl w:val="0"/>
          <w:numId w:val="18"/>
        </w:numPr>
        <w:tabs>
          <w:tab w:val="num" w:pos="284"/>
        </w:tabs>
        <w:spacing w:before="20" w:after="20"/>
        <w:ind w:left="284" w:hanging="218"/>
        <w:rPr>
          <w:rFonts w:ascii="Garamond" w:eastAsia="Times New Roman" w:hAnsi="Garamond"/>
          <w:color w:val="000000"/>
          <w:lang w:val="en-US"/>
        </w:rPr>
      </w:pPr>
      <w:r w:rsidRPr="00CF2305">
        <w:rPr>
          <w:rFonts w:ascii="Garamond" w:eastAsia="Times New Roman" w:hAnsi="Garamond"/>
          <w:color w:val="000000"/>
          <w:lang w:val="en-US"/>
        </w:rPr>
        <w:t>the acceptability of estimated overhead costs for administering the programs, and</w:t>
      </w:r>
    </w:p>
    <w:p w14:paraId="602469FD" w14:textId="77777777" w:rsidR="00166DB1" w:rsidRPr="00CF2305" w:rsidRDefault="00166DB1" w:rsidP="009F66FB">
      <w:pPr>
        <w:pStyle w:val="ListParagraph"/>
        <w:numPr>
          <w:ilvl w:val="0"/>
          <w:numId w:val="18"/>
        </w:numPr>
        <w:tabs>
          <w:tab w:val="num" w:pos="284"/>
        </w:tabs>
        <w:spacing w:before="20" w:after="20"/>
        <w:ind w:left="284" w:hanging="218"/>
        <w:rPr>
          <w:rFonts w:ascii="Garamond" w:eastAsia="Times New Roman" w:hAnsi="Garamond"/>
          <w:color w:val="000000"/>
          <w:lang w:val="en-US"/>
        </w:rPr>
      </w:pPr>
      <w:r w:rsidRPr="00CF2305">
        <w:rPr>
          <w:rFonts w:ascii="Garamond" w:eastAsia="Times New Roman" w:hAnsi="Garamond"/>
          <w:color w:val="000000"/>
          <w:lang w:val="en-US"/>
        </w:rPr>
        <w:t xml:space="preserve">each program’s value for money as perceived by community pharmacists in surveys. </w:t>
      </w:r>
    </w:p>
    <w:p w14:paraId="7003042C" w14:textId="77777777" w:rsidR="00166DB1" w:rsidRPr="00166DB1" w:rsidRDefault="00166DB1" w:rsidP="00787AA0">
      <w:pPr>
        <w:pStyle w:val="ESHeading2"/>
        <w:spacing w:before="240"/>
        <w:rPr>
          <w:lang w:val="en-US"/>
        </w:rPr>
      </w:pPr>
      <w:r w:rsidRPr="00166DB1">
        <w:rPr>
          <w:lang w:val="en-US"/>
        </w:rPr>
        <w:t>KEY FINDINGS ON Efficiency</w:t>
      </w:r>
    </w:p>
    <w:p w14:paraId="3EC3F017" w14:textId="77777777" w:rsidR="00166DB1" w:rsidRPr="00166DB1" w:rsidRDefault="00166DB1" w:rsidP="00166DB1">
      <w:pPr>
        <w:spacing w:before="85" w:after="85"/>
        <w:rPr>
          <w:rFonts w:ascii="Garamond" w:eastAsia="Garamond" w:hAnsi="Garamond"/>
          <w:color w:val="000000"/>
          <w:lang w:val="en-US"/>
        </w:rPr>
      </w:pPr>
      <w:r w:rsidRPr="00166DB1">
        <w:rPr>
          <w:rFonts w:ascii="Garamond" w:eastAsia="Garamond" w:hAnsi="Garamond"/>
          <w:color w:val="000000"/>
          <w:lang w:val="en-US"/>
        </w:rPr>
        <w:t>The key findings of the evaluation on effectiveness are summarised in the following table.</w:t>
      </w:r>
    </w:p>
    <w:tbl>
      <w:tblPr>
        <w:tblStyle w:val="KeyFindings"/>
        <w:tblW w:w="5000" w:type="pct"/>
        <w:shd w:val="clear" w:color="auto" w:fill="F2F2F2" w:themeFill="background1" w:themeFillShade="F2"/>
        <w:tblLayout w:type="fixed"/>
        <w:tblLook w:val="04A0" w:firstRow="1" w:lastRow="0" w:firstColumn="1" w:lastColumn="0" w:noHBand="0" w:noVBand="1"/>
        <w:tblCaption w:val="Summary of Key Findings"/>
        <w:tblDescription w:val="Table summarising Key Findings 22 to 28"/>
      </w:tblPr>
      <w:tblGrid>
        <w:gridCol w:w="1843"/>
        <w:gridCol w:w="5201"/>
      </w:tblGrid>
      <w:tr w:rsidR="00133610" w:rsidRPr="00166DB1" w14:paraId="596C7190" w14:textId="77777777" w:rsidTr="00133610">
        <w:trPr>
          <w:cnfStyle w:val="100000000000" w:firstRow="1" w:lastRow="0" w:firstColumn="0" w:lastColumn="0" w:oddVBand="0" w:evenVBand="0" w:oddHBand="0" w:evenHBand="0" w:firstRowFirstColumn="0" w:firstRowLastColumn="0" w:lastRowFirstColumn="0" w:lastRowLastColumn="0"/>
          <w:cantSplit/>
          <w:tblHeader/>
        </w:trPr>
        <w:tc>
          <w:tcPr>
            <w:tcW w:w="1843" w:type="dxa"/>
            <w:shd w:val="clear" w:color="auto" w:fill="F2F2F2" w:themeFill="background1" w:themeFillShade="F2"/>
            <w:vAlign w:val="center"/>
          </w:tcPr>
          <w:p w14:paraId="09D76661" w14:textId="4B639C05" w:rsidR="00133610" w:rsidRPr="00166DB1" w:rsidRDefault="00133610" w:rsidP="00323BD8">
            <w:pPr>
              <w:pStyle w:val="KeyFindingsTableHeading"/>
            </w:pPr>
          </w:p>
        </w:tc>
        <w:tc>
          <w:tcPr>
            <w:tcW w:w="5201" w:type="dxa"/>
            <w:shd w:val="clear" w:color="auto" w:fill="F2F2F2" w:themeFill="background1" w:themeFillShade="F2"/>
            <w:vAlign w:val="center"/>
          </w:tcPr>
          <w:p w14:paraId="7DDE6F9A" w14:textId="476548A7" w:rsidR="00133610" w:rsidRPr="00166DB1" w:rsidRDefault="00133610" w:rsidP="00323BD8">
            <w:pPr>
              <w:pStyle w:val="KeyFindingsTableHeading"/>
            </w:pPr>
            <w:r w:rsidRPr="00166DB1">
              <w:t>Summary of key findings</w:t>
            </w:r>
          </w:p>
        </w:tc>
      </w:tr>
      <w:tr w:rsidR="00166DB1" w:rsidRPr="00166DB1" w14:paraId="392F4F4F" w14:textId="77777777" w:rsidTr="00133610">
        <w:trPr>
          <w:cantSplit/>
        </w:trPr>
        <w:tc>
          <w:tcPr>
            <w:tcW w:w="1843" w:type="dxa"/>
            <w:shd w:val="clear" w:color="auto" w:fill="F2F2F2" w:themeFill="background1" w:themeFillShade="F2"/>
            <w:vAlign w:val="center"/>
          </w:tcPr>
          <w:p w14:paraId="304D7CA7" w14:textId="08579236" w:rsidR="00166DB1" w:rsidRPr="00166DB1" w:rsidRDefault="00166DB1" w:rsidP="00323BD8">
            <w:pPr>
              <w:pStyle w:val="KeyFindingsTableLeftColumn"/>
            </w:pPr>
            <w:r w:rsidRPr="00166DB1">
              <w:fldChar w:fldCharType="begin"/>
            </w:r>
            <w:r w:rsidRPr="00166DB1">
              <w:instrText xml:space="preserve"> REF _Ref492992955 \r \h </w:instrText>
            </w:r>
            <w:r w:rsidR="00323BD8">
              <w:instrText xml:space="preserve"> \* MERGEFORMAT </w:instrText>
            </w:r>
            <w:r w:rsidRPr="00166DB1">
              <w:fldChar w:fldCharType="separate"/>
            </w:r>
            <w:r w:rsidRPr="00166DB1">
              <w:t>Key Finding 22:</w:t>
            </w:r>
            <w:r w:rsidRPr="00166DB1">
              <w:fldChar w:fldCharType="end"/>
            </w:r>
          </w:p>
        </w:tc>
        <w:tc>
          <w:tcPr>
            <w:tcW w:w="5201" w:type="dxa"/>
            <w:shd w:val="clear" w:color="auto" w:fill="F2F2F2" w:themeFill="background1" w:themeFillShade="F2"/>
            <w:vAlign w:val="center"/>
          </w:tcPr>
          <w:p w14:paraId="27B3D641" w14:textId="2290CB5B" w:rsidR="00166DB1" w:rsidRPr="00166DB1" w:rsidRDefault="00166DB1" w:rsidP="00323BD8">
            <w:pPr>
              <w:pStyle w:val="KeyFindingsTableCopy"/>
            </w:pPr>
            <w:r w:rsidRPr="00166DB1">
              <w:fldChar w:fldCharType="begin"/>
            </w:r>
            <w:r w:rsidRPr="00166DB1">
              <w:instrText xml:space="preserve"> REF _Ref492992955 \h </w:instrText>
            </w:r>
            <w:r w:rsidR="00323BD8">
              <w:instrText xml:space="preserve"> \* MERGEFORMAT </w:instrText>
            </w:r>
            <w:r w:rsidRPr="00166DB1">
              <w:fldChar w:fldCharType="separate"/>
            </w:r>
            <w:r w:rsidRPr="00166DB1">
              <w:t>The review of Pharmacy Workforce Programs found they are not maximising their impact or reach and may not be reacting to the changing needs of rural community pharmacists. The impact, reach and currency of the Pharmacy Workforce Programs could be improved by more proactive program governance.</w:t>
            </w:r>
            <w:r w:rsidRPr="00166DB1">
              <w:fldChar w:fldCharType="end"/>
            </w:r>
          </w:p>
        </w:tc>
      </w:tr>
      <w:tr w:rsidR="00166DB1" w:rsidRPr="00166DB1" w14:paraId="3F06D63D" w14:textId="77777777" w:rsidTr="00133610">
        <w:trPr>
          <w:cantSplit/>
        </w:trPr>
        <w:tc>
          <w:tcPr>
            <w:tcW w:w="1843" w:type="dxa"/>
            <w:shd w:val="clear" w:color="auto" w:fill="F2F2F2" w:themeFill="background1" w:themeFillShade="F2"/>
            <w:vAlign w:val="center"/>
          </w:tcPr>
          <w:p w14:paraId="67025F6A" w14:textId="27D61C34" w:rsidR="00166DB1" w:rsidRPr="00166DB1" w:rsidRDefault="00166DB1" w:rsidP="00323BD8">
            <w:pPr>
              <w:pStyle w:val="KeyFindingsTableLeftColumn"/>
            </w:pPr>
            <w:r w:rsidRPr="00166DB1">
              <w:fldChar w:fldCharType="begin"/>
            </w:r>
            <w:r w:rsidRPr="00166DB1">
              <w:instrText xml:space="preserve"> REF _Ref490677216 \r \h </w:instrText>
            </w:r>
            <w:r w:rsidR="00323BD8">
              <w:instrText xml:space="preserve"> \* MERGEFORMAT </w:instrText>
            </w:r>
            <w:r w:rsidRPr="00166DB1">
              <w:fldChar w:fldCharType="separate"/>
            </w:r>
            <w:r w:rsidRPr="00166DB1">
              <w:t>Key Finding 23:</w:t>
            </w:r>
            <w:r w:rsidRPr="00166DB1">
              <w:fldChar w:fldCharType="end"/>
            </w:r>
          </w:p>
        </w:tc>
        <w:tc>
          <w:tcPr>
            <w:tcW w:w="5201" w:type="dxa"/>
            <w:shd w:val="clear" w:color="auto" w:fill="F2F2F2" w:themeFill="background1" w:themeFillShade="F2"/>
            <w:vAlign w:val="center"/>
          </w:tcPr>
          <w:p w14:paraId="61135DEA" w14:textId="5C04CEEE" w:rsidR="00166DB1" w:rsidRPr="00166DB1" w:rsidRDefault="00166DB1" w:rsidP="00323BD8">
            <w:pPr>
              <w:pStyle w:val="KeyFindingsTableCopy"/>
            </w:pPr>
            <w:r w:rsidRPr="00166DB1">
              <w:fldChar w:fldCharType="begin"/>
            </w:r>
            <w:r w:rsidRPr="00166DB1">
              <w:instrText xml:space="preserve"> REF _Ref490677216 \h </w:instrText>
            </w:r>
            <w:r w:rsidR="00323BD8">
              <w:instrText xml:space="preserve"> \* MERGEFORMAT </w:instrText>
            </w:r>
            <w:r w:rsidRPr="00166DB1">
              <w:fldChar w:fldCharType="separate"/>
            </w:r>
            <w:r w:rsidRPr="00166DB1">
              <w:t>The majority of program funding was directed to recruitment programs (38.1% of total Pharmacy Workforce Programs’ expenditure), followed by retention programs (28.1% of expenditure), other workforce support programs (28.9% of expenditure) and programs to enhance availability of culturally appropriate services (4.9% of expenditure).</w:t>
            </w:r>
            <w:r w:rsidRPr="00166DB1">
              <w:fldChar w:fldCharType="end"/>
            </w:r>
          </w:p>
        </w:tc>
      </w:tr>
      <w:tr w:rsidR="00166DB1" w:rsidRPr="00166DB1" w14:paraId="1F7F13E9" w14:textId="77777777" w:rsidTr="00133610">
        <w:trPr>
          <w:cantSplit/>
        </w:trPr>
        <w:tc>
          <w:tcPr>
            <w:tcW w:w="1843" w:type="dxa"/>
            <w:shd w:val="clear" w:color="auto" w:fill="F2F2F2" w:themeFill="background1" w:themeFillShade="F2"/>
            <w:vAlign w:val="center"/>
          </w:tcPr>
          <w:p w14:paraId="0455C226" w14:textId="3F836AB6" w:rsidR="00166DB1" w:rsidRPr="00166DB1" w:rsidRDefault="00166DB1" w:rsidP="00323BD8">
            <w:pPr>
              <w:pStyle w:val="KeyFindingsTableLeftColumn"/>
            </w:pPr>
            <w:r w:rsidRPr="00166DB1">
              <w:fldChar w:fldCharType="begin"/>
            </w:r>
            <w:r w:rsidRPr="00166DB1">
              <w:instrText xml:space="preserve"> REF _Ref490677221 \r \h </w:instrText>
            </w:r>
            <w:r w:rsidR="00323BD8">
              <w:instrText xml:space="preserve"> \* MERGEFORMAT </w:instrText>
            </w:r>
            <w:r w:rsidRPr="00166DB1">
              <w:fldChar w:fldCharType="separate"/>
            </w:r>
            <w:r w:rsidRPr="00166DB1">
              <w:t>Key Finding 24:</w:t>
            </w:r>
            <w:r w:rsidRPr="00166DB1">
              <w:fldChar w:fldCharType="end"/>
            </w:r>
          </w:p>
        </w:tc>
        <w:tc>
          <w:tcPr>
            <w:tcW w:w="5201" w:type="dxa"/>
            <w:shd w:val="clear" w:color="auto" w:fill="F2F2F2" w:themeFill="background1" w:themeFillShade="F2"/>
            <w:vAlign w:val="center"/>
          </w:tcPr>
          <w:p w14:paraId="6905D311" w14:textId="2FA19153" w:rsidR="00166DB1" w:rsidRPr="00166DB1" w:rsidRDefault="00166DB1" w:rsidP="00323BD8">
            <w:pPr>
              <w:pStyle w:val="KeyFindingsTableCopy"/>
            </w:pPr>
            <w:r w:rsidRPr="00166DB1">
              <w:fldChar w:fldCharType="begin"/>
            </w:r>
            <w:r w:rsidRPr="00166DB1">
              <w:instrText xml:space="preserve"> REF _Ref490677221 \h </w:instrText>
            </w:r>
            <w:r w:rsidR="00323BD8">
              <w:instrText xml:space="preserve"> \* MERGEFORMAT </w:instrText>
            </w:r>
            <w:r w:rsidRPr="00166DB1">
              <w:fldChar w:fldCharType="separate"/>
            </w:r>
            <w:r w:rsidRPr="00166DB1">
              <w:t>In contrast to general practice and dentistry, there are no programs that incentivise existing pharmacists in major cities to relocate to rural and remote areas, or overseas trained pharmacists to work in non-metropolitan areas. Consideration could be given to introducing such programs to enhance recruitment rates to non-metropolitan areas.</w:t>
            </w:r>
            <w:r w:rsidRPr="00166DB1">
              <w:fldChar w:fldCharType="end"/>
            </w:r>
          </w:p>
        </w:tc>
      </w:tr>
      <w:tr w:rsidR="00166DB1" w:rsidRPr="00166DB1" w14:paraId="4F8C6F55" w14:textId="77777777" w:rsidTr="00133610">
        <w:trPr>
          <w:cantSplit/>
        </w:trPr>
        <w:tc>
          <w:tcPr>
            <w:tcW w:w="1843" w:type="dxa"/>
            <w:shd w:val="clear" w:color="auto" w:fill="F2F2F2" w:themeFill="background1" w:themeFillShade="F2"/>
            <w:vAlign w:val="center"/>
          </w:tcPr>
          <w:p w14:paraId="692B983A" w14:textId="6450E262" w:rsidR="00166DB1" w:rsidRPr="00166DB1" w:rsidRDefault="00166DB1" w:rsidP="00323BD8">
            <w:pPr>
              <w:pStyle w:val="KeyFindingsTableLeftColumn"/>
            </w:pPr>
            <w:r w:rsidRPr="00166DB1">
              <w:fldChar w:fldCharType="begin"/>
            </w:r>
            <w:r w:rsidRPr="00166DB1">
              <w:instrText xml:space="preserve"> REF _Ref489869158 \r \h </w:instrText>
            </w:r>
            <w:r w:rsidR="00323BD8">
              <w:instrText xml:space="preserve"> \* MERGEFORMAT </w:instrText>
            </w:r>
            <w:r w:rsidRPr="00166DB1">
              <w:fldChar w:fldCharType="separate"/>
            </w:r>
            <w:r w:rsidRPr="00166DB1">
              <w:t>Key Finding 25:</w:t>
            </w:r>
            <w:r w:rsidRPr="00166DB1">
              <w:fldChar w:fldCharType="end"/>
            </w:r>
          </w:p>
        </w:tc>
        <w:tc>
          <w:tcPr>
            <w:tcW w:w="5201" w:type="dxa"/>
            <w:shd w:val="clear" w:color="auto" w:fill="F2F2F2" w:themeFill="background1" w:themeFillShade="F2"/>
            <w:vAlign w:val="center"/>
          </w:tcPr>
          <w:p w14:paraId="487BC6F5" w14:textId="0E09C383" w:rsidR="00166DB1" w:rsidRPr="00166DB1" w:rsidRDefault="00166DB1" w:rsidP="00323BD8">
            <w:pPr>
              <w:pStyle w:val="KeyFindingsTableCopy"/>
            </w:pPr>
            <w:r w:rsidRPr="00166DB1">
              <w:fldChar w:fldCharType="begin"/>
            </w:r>
            <w:r w:rsidRPr="00166DB1">
              <w:instrText xml:space="preserve"> REF _Ref489869158 \h </w:instrText>
            </w:r>
            <w:r w:rsidR="00323BD8">
              <w:instrText xml:space="preserve"> \* MERGEFORMAT </w:instrText>
            </w:r>
            <w:r w:rsidRPr="00166DB1">
              <w:fldChar w:fldCharType="separate"/>
            </w:r>
            <w:r w:rsidRPr="00166DB1">
              <w:t>The funding for enhanced culturally appropriate services targeting Aboriginal and Torres Straits students and trainees was focussed solely on recruitment programs. This was reflected in the recruitment of new graduates to rural and remote areas, but there were no retention programs for this workforce category.</w:t>
            </w:r>
            <w:r w:rsidRPr="00166DB1">
              <w:fldChar w:fldCharType="end"/>
            </w:r>
          </w:p>
        </w:tc>
      </w:tr>
    </w:tbl>
    <w:p w14:paraId="5B27214F" w14:textId="77777777" w:rsidR="00072DFC" w:rsidRDefault="00072DFC" w:rsidP="00166DB1">
      <w:pPr>
        <w:spacing w:before="60" w:after="60"/>
        <w:ind w:left="142" w:right="142"/>
        <w:rPr>
          <w:rFonts w:ascii="Franklin Gothic Book" w:eastAsia="Garamond" w:hAnsi="Franklin Gothic Book"/>
          <w:color w:val="000000"/>
        </w:rPr>
        <w:sectPr w:rsidR="00072DFC" w:rsidSect="00072DFC">
          <w:headerReference w:type="default" r:id="rId36"/>
          <w:headerReference w:type="first" r:id="rId37"/>
          <w:pgSz w:w="16839" w:h="11907" w:orient="landscape" w:code="9"/>
          <w:pgMar w:top="2268" w:right="1304" w:bottom="850" w:left="737" w:header="567" w:footer="284" w:gutter="0"/>
          <w:cols w:num="2" w:space="709"/>
          <w:titlePg/>
          <w:docGrid w:linePitch="360"/>
        </w:sectPr>
      </w:pPr>
    </w:p>
    <w:tbl>
      <w:tblPr>
        <w:tblStyle w:val="KeyFindings"/>
        <w:tblW w:w="5000" w:type="pct"/>
        <w:shd w:val="clear" w:color="auto" w:fill="F2F2F2" w:themeFill="background1" w:themeFillShade="F2"/>
        <w:tblLayout w:type="fixed"/>
        <w:tblLook w:val="04A0" w:firstRow="1" w:lastRow="0" w:firstColumn="1" w:lastColumn="0" w:noHBand="0" w:noVBand="1"/>
        <w:tblCaption w:val="SUMMARY OF KEY FINDINGS"/>
        <w:tblDescription w:val="SUMMARY OF KEY FINDINGS Table summarising Key Findings 26 to 28"/>
      </w:tblPr>
      <w:tblGrid>
        <w:gridCol w:w="1876"/>
        <w:gridCol w:w="5168"/>
      </w:tblGrid>
      <w:tr w:rsidR="00CE71F8" w:rsidRPr="00166DB1" w14:paraId="21066163" w14:textId="77777777" w:rsidTr="00E804BF">
        <w:trPr>
          <w:cnfStyle w:val="100000000000" w:firstRow="1" w:lastRow="0" w:firstColumn="0" w:lastColumn="0" w:oddVBand="0" w:evenVBand="0" w:oddHBand="0" w:evenHBand="0" w:firstRowFirstColumn="0" w:firstRowLastColumn="0" w:lastRowFirstColumn="0" w:lastRowLastColumn="0"/>
          <w:cantSplit/>
          <w:tblHeader/>
        </w:trPr>
        <w:tc>
          <w:tcPr>
            <w:tcW w:w="1876" w:type="dxa"/>
            <w:shd w:val="clear" w:color="auto" w:fill="F2F2F2" w:themeFill="background1" w:themeFillShade="F2"/>
            <w:vAlign w:val="center"/>
          </w:tcPr>
          <w:p w14:paraId="286071B6" w14:textId="77777777" w:rsidR="00CE71F8" w:rsidRPr="00166DB1" w:rsidRDefault="00CE71F8" w:rsidP="00323BD8">
            <w:pPr>
              <w:pStyle w:val="KeyFindingsTableLeftColumn"/>
            </w:pPr>
          </w:p>
        </w:tc>
        <w:tc>
          <w:tcPr>
            <w:tcW w:w="5168" w:type="dxa"/>
            <w:shd w:val="clear" w:color="auto" w:fill="F2F2F2" w:themeFill="background1" w:themeFillShade="F2"/>
            <w:vAlign w:val="center"/>
          </w:tcPr>
          <w:p w14:paraId="16F71C53" w14:textId="31D09070" w:rsidR="00CE71F8" w:rsidRPr="00166DB1" w:rsidRDefault="00CE71F8" w:rsidP="00CE71F8">
            <w:pPr>
              <w:pStyle w:val="KeyFindingsTableHeading"/>
            </w:pPr>
            <w:r w:rsidRPr="00166DB1">
              <w:t>Summary of key findings</w:t>
            </w:r>
          </w:p>
        </w:tc>
      </w:tr>
      <w:tr w:rsidR="00166DB1" w:rsidRPr="00166DB1" w14:paraId="28579BD9" w14:textId="77777777" w:rsidTr="00063226">
        <w:trPr>
          <w:cantSplit/>
        </w:trPr>
        <w:tc>
          <w:tcPr>
            <w:tcW w:w="1876" w:type="dxa"/>
            <w:shd w:val="clear" w:color="auto" w:fill="F2F2F2" w:themeFill="background1" w:themeFillShade="F2"/>
            <w:vAlign w:val="center"/>
          </w:tcPr>
          <w:p w14:paraId="5997F0E9" w14:textId="279E405F" w:rsidR="00166DB1" w:rsidRPr="00166DB1" w:rsidRDefault="00166DB1" w:rsidP="00323BD8">
            <w:pPr>
              <w:pStyle w:val="KeyFindingsTableLeftColumn"/>
            </w:pPr>
            <w:r w:rsidRPr="00166DB1">
              <w:fldChar w:fldCharType="begin"/>
            </w:r>
            <w:r w:rsidRPr="00166DB1">
              <w:instrText xml:space="preserve"> REF _Ref489869175 \r \h </w:instrText>
            </w:r>
            <w:r w:rsidR="00323BD8">
              <w:instrText xml:space="preserve"> \* MERGEFORMAT </w:instrText>
            </w:r>
            <w:r w:rsidRPr="00166DB1">
              <w:fldChar w:fldCharType="separate"/>
            </w:r>
            <w:r w:rsidRPr="00166DB1">
              <w:t>Key Finding 26:</w:t>
            </w:r>
            <w:r w:rsidRPr="00166DB1">
              <w:fldChar w:fldCharType="end"/>
            </w:r>
          </w:p>
        </w:tc>
        <w:tc>
          <w:tcPr>
            <w:tcW w:w="5168" w:type="dxa"/>
            <w:shd w:val="clear" w:color="auto" w:fill="F2F2F2" w:themeFill="background1" w:themeFillShade="F2"/>
            <w:vAlign w:val="center"/>
          </w:tcPr>
          <w:p w14:paraId="3501FD1A" w14:textId="7D1856CC" w:rsidR="00166DB1" w:rsidRPr="00166DB1" w:rsidRDefault="00166DB1" w:rsidP="00323BD8">
            <w:pPr>
              <w:pStyle w:val="KeyFindingsTableCopy"/>
            </w:pPr>
            <w:r w:rsidRPr="00166DB1">
              <w:fldChar w:fldCharType="begin"/>
            </w:r>
            <w:r w:rsidRPr="00166DB1">
              <w:instrText xml:space="preserve"> REF _Ref489869175 \h </w:instrText>
            </w:r>
            <w:r w:rsidR="00323BD8">
              <w:instrText xml:space="preserve"> \* MERGEFORMAT </w:instrText>
            </w:r>
            <w:r w:rsidRPr="00166DB1">
              <w:fldChar w:fldCharType="separate"/>
            </w:r>
            <w:r w:rsidRPr="00166DB1">
              <w:t>There was insufficient data on programs aimed at increasing access to culturally appropriate pharmacy services to determine their impact on the rural and remote workforce. However, the Aboriginal and Torres Strait Islander Scholarship Scheme appeared to have contributed to modest growth in the Aboriginal and Torres Strait Islander pharmacist workforce.</w:t>
            </w:r>
            <w:r w:rsidRPr="00166DB1">
              <w:fldChar w:fldCharType="end"/>
            </w:r>
          </w:p>
        </w:tc>
      </w:tr>
      <w:tr w:rsidR="00166DB1" w:rsidRPr="00166DB1" w14:paraId="180B8B5F" w14:textId="77777777" w:rsidTr="00063226">
        <w:trPr>
          <w:cantSplit/>
        </w:trPr>
        <w:tc>
          <w:tcPr>
            <w:tcW w:w="1876" w:type="dxa"/>
            <w:shd w:val="clear" w:color="auto" w:fill="F2F2F2" w:themeFill="background1" w:themeFillShade="F2"/>
            <w:vAlign w:val="center"/>
          </w:tcPr>
          <w:p w14:paraId="44029FA9" w14:textId="29C6CB98" w:rsidR="00166DB1" w:rsidRPr="00166DB1" w:rsidRDefault="00166DB1" w:rsidP="00323BD8">
            <w:pPr>
              <w:pStyle w:val="KeyFindingsTableLeftColumn"/>
              <w:rPr>
                <w:rFonts w:eastAsia="Garamond"/>
              </w:rPr>
            </w:pPr>
            <w:r w:rsidRPr="00166DB1">
              <w:rPr>
                <w:rFonts w:eastAsia="Garamond"/>
              </w:rPr>
              <w:fldChar w:fldCharType="begin"/>
            </w:r>
            <w:r w:rsidRPr="00166DB1">
              <w:rPr>
                <w:rFonts w:eastAsia="Garamond"/>
              </w:rPr>
              <w:instrText xml:space="preserve"> REF _Ref490677235 \r \h </w:instrText>
            </w:r>
            <w:r w:rsidR="00323BD8">
              <w:rPr>
                <w:rFonts w:eastAsia="Garamond"/>
              </w:rPr>
              <w:instrText xml:space="preserve"> \* MERGEFORMAT </w:instrText>
            </w:r>
            <w:r w:rsidRPr="00166DB1">
              <w:rPr>
                <w:rFonts w:eastAsia="Garamond"/>
              </w:rPr>
            </w:r>
            <w:r w:rsidRPr="00166DB1">
              <w:rPr>
                <w:rFonts w:eastAsia="Garamond"/>
              </w:rPr>
              <w:fldChar w:fldCharType="separate"/>
            </w:r>
            <w:r w:rsidRPr="00166DB1">
              <w:rPr>
                <w:rFonts w:eastAsia="Garamond"/>
              </w:rPr>
              <w:t>Key Finding 27:</w:t>
            </w:r>
            <w:r w:rsidRPr="00166DB1">
              <w:rPr>
                <w:rFonts w:eastAsia="Garamond"/>
              </w:rPr>
              <w:fldChar w:fldCharType="end"/>
            </w:r>
          </w:p>
        </w:tc>
        <w:tc>
          <w:tcPr>
            <w:tcW w:w="5168" w:type="dxa"/>
            <w:shd w:val="clear" w:color="auto" w:fill="F2F2F2" w:themeFill="background1" w:themeFillShade="F2"/>
            <w:vAlign w:val="center"/>
          </w:tcPr>
          <w:p w14:paraId="33B3E957" w14:textId="4A7D46E2" w:rsidR="00166DB1" w:rsidRPr="00166DB1" w:rsidRDefault="00166DB1" w:rsidP="00323BD8">
            <w:pPr>
              <w:pStyle w:val="KeyFindingsTableCopy"/>
            </w:pPr>
            <w:r w:rsidRPr="00166DB1">
              <w:fldChar w:fldCharType="begin"/>
            </w:r>
            <w:r w:rsidRPr="00166DB1">
              <w:instrText xml:space="preserve"> REF _Ref490677235 \h </w:instrText>
            </w:r>
            <w:r w:rsidR="00323BD8">
              <w:instrText xml:space="preserve"> \* MERGEFORMAT </w:instrText>
            </w:r>
            <w:r w:rsidRPr="00166DB1">
              <w:fldChar w:fldCharType="separate"/>
            </w:r>
            <w:r w:rsidRPr="00166DB1">
              <w:t>The estimated cost of administering both Pharmacy Workforce package components was within an acceptable range (under 30% of total program cost).</w:t>
            </w:r>
            <w:r w:rsidRPr="00166DB1">
              <w:fldChar w:fldCharType="end"/>
            </w:r>
          </w:p>
        </w:tc>
      </w:tr>
      <w:tr w:rsidR="00166DB1" w:rsidRPr="00166DB1" w14:paraId="1F962DBD" w14:textId="77777777" w:rsidTr="00063226">
        <w:trPr>
          <w:cantSplit/>
        </w:trPr>
        <w:tc>
          <w:tcPr>
            <w:tcW w:w="1876" w:type="dxa"/>
            <w:shd w:val="clear" w:color="auto" w:fill="F2F2F2" w:themeFill="background1" w:themeFillShade="F2"/>
            <w:vAlign w:val="center"/>
          </w:tcPr>
          <w:p w14:paraId="0DEE6A0C" w14:textId="43151C93" w:rsidR="00166DB1" w:rsidRPr="00166DB1" w:rsidRDefault="00166DB1" w:rsidP="00323BD8">
            <w:pPr>
              <w:pStyle w:val="KeyFindingsTableLeftColumn"/>
              <w:rPr>
                <w:rFonts w:eastAsia="Garamond"/>
              </w:rPr>
            </w:pPr>
            <w:r w:rsidRPr="00166DB1">
              <w:rPr>
                <w:rFonts w:eastAsia="Garamond"/>
              </w:rPr>
              <w:fldChar w:fldCharType="begin"/>
            </w:r>
            <w:r w:rsidRPr="00166DB1">
              <w:rPr>
                <w:rFonts w:eastAsia="Garamond"/>
              </w:rPr>
              <w:instrText xml:space="preserve"> REF _Ref490677246 \r \h </w:instrText>
            </w:r>
            <w:r w:rsidR="00323BD8">
              <w:rPr>
                <w:rFonts w:eastAsia="Garamond"/>
              </w:rPr>
              <w:instrText xml:space="preserve"> \* MERGEFORMAT </w:instrText>
            </w:r>
            <w:r w:rsidRPr="00166DB1">
              <w:rPr>
                <w:rFonts w:eastAsia="Garamond"/>
              </w:rPr>
            </w:r>
            <w:r w:rsidRPr="00166DB1">
              <w:rPr>
                <w:rFonts w:eastAsia="Garamond"/>
              </w:rPr>
              <w:fldChar w:fldCharType="separate"/>
            </w:r>
            <w:r w:rsidRPr="00166DB1">
              <w:rPr>
                <w:rFonts w:eastAsia="Garamond"/>
              </w:rPr>
              <w:t>Key Finding 28:</w:t>
            </w:r>
            <w:r w:rsidRPr="00166DB1">
              <w:rPr>
                <w:rFonts w:eastAsia="Garamond"/>
              </w:rPr>
              <w:fldChar w:fldCharType="end"/>
            </w:r>
          </w:p>
        </w:tc>
        <w:tc>
          <w:tcPr>
            <w:tcW w:w="5168" w:type="dxa"/>
            <w:shd w:val="clear" w:color="auto" w:fill="F2F2F2" w:themeFill="background1" w:themeFillShade="F2"/>
            <w:vAlign w:val="center"/>
          </w:tcPr>
          <w:p w14:paraId="0E66FA1F" w14:textId="1BF61064" w:rsidR="00166DB1" w:rsidRPr="00166DB1" w:rsidRDefault="00166DB1" w:rsidP="00323BD8">
            <w:pPr>
              <w:pStyle w:val="KeyFindingsTableCopy"/>
            </w:pPr>
            <w:r w:rsidRPr="00166DB1">
              <w:fldChar w:fldCharType="begin"/>
            </w:r>
            <w:r w:rsidRPr="00166DB1">
              <w:instrText xml:space="preserve"> REF _Ref490677246 \h </w:instrText>
            </w:r>
            <w:r w:rsidR="00323BD8">
              <w:instrText xml:space="preserve"> \* MERGEFORMAT </w:instrText>
            </w:r>
            <w:r w:rsidRPr="00166DB1">
              <w:fldChar w:fldCharType="separate"/>
            </w:r>
            <w:r w:rsidRPr="00166DB1">
              <w:t>Pharmacists considered the most effective programs relative to cost were the Intern Incentive Allowance for Rural Pharmacies, the CPE Allowance and the RPLO Program.</w:t>
            </w:r>
            <w:r w:rsidRPr="00166DB1">
              <w:fldChar w:fldCharType="end"/>
            </w:r>
          </w:p>
        </w:tc>
      </w:tr>
    </w:tbl>
    <w:p w14:paraId="5F656128" w14:textId="77777777" w:rsidR="00166DB1" w:rsidRPr="00166DB1" w:rsidRDefault="00166DB1" w:rsidP="00787AA0">
      <w:pPr>
        <w:pStyle w:val="ESHeading2"/>
        <w:spacing w:before="240"/>
        <w:rPr>
          <w:lang w:val="en-US"/>
        </w:rPr>
      </w:pPr>
      <w:r w:rsidRPr="00166DB1">
        <w:rPr>
          <w:lang w:val="en-US"/>
        </w:rPr>
        <w:t>Efficiency analysis</w:t>
      </w:r>
    </w:p>
    <w:p w14:paraId="4F4D2FE5" w14:textId="77777777" w:rsidR="00166DB1" w:rsidRPr="00B24642" w:rsidRDefault="00166DB1" w:rsidP="00B24642">
      <w:pPr>
        <w:pStyle w:val="Heading2"/>
      </w:pPr>
      <w:bookmarkStart w:id="94" w:name="_Toc523322075"/>
      <w:bookmarkStart w:id="95" w:name="_Toc490574939"/>
      <w:r w:rsidRPr="00B24642">
        <w:t>Program governance</w:t>
      </w:r>
      <w:bookmarkEnd w:id="94"/>
    </w:p>
    <w:p w14:paraId="5F334167"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Issues with program management, operation and reporting identified during the review point to areas in which program governance could be improved. We did not find strong evidence that the Pharmacy Workforce Programs were closely monitored to ensure the programs consistently meet their objectives, maximised their reach and continue to innovate and adapt to workforce issues. On the contrary, HMA had to retrospectively calculate annual activity and expenditure estimates by summing data in quarterly returns. </w:t>
      </w:r>
    </w:p>
    <w:p w14:paraId="4C60E4C2"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As discussed in Section </w:t>
      </w:r>
      <w:r w:rsidRPr="00166DB1">
        <w:rPr>
          <w:rFonts w:ascii="Garamond" w:eastAsia="Garamond" w:hAnsi="Garamond"/>
          <w:color w:val="000000"/>
        </w:rPr>
        <w:fldChar w:fldCharType="begin"/>
      </w:r>
      <w:r w:rsidRPr="00166DB1">
        <w:rPr>
          <w:rFonts w:ascii="Garamond" w:eastAsia="Garamond" w:hAnsi="Garamond"/>
          <w:color w:val="000000"/>
        </w:rPr>
        <w:instrText xml:space="preserve"> REF _Ref492987606 \n \h </w:instrText>
      </w:r>
      <w:r w:rsidRPr="00166DB1">
        <w:rPr>
          <w:rFonts w:ascii="Garamond" w:eastAsia="Garamond" w:hAnsi="Garamond"/>
          <w:color w:val="000000"/>
        </w:rPr>
      </w:r>
      <w:r w:rsidRPr="00166DB1">
        <w:rPr>
          <w:rFonts w:ascii="Garamond" w:eastAsia="Garamond" w:hAnsi="Garamond"/>
          <w:color w:val="000000"/>
        </w:rPr>
        <w:fldChar w:fldCharType="separate"/>
      </w:r>
      <w:r w:rsidRPr="00166DB1">
        <w:rPr>
          <w:rFonts w:ascii="Garamond" w:eastAsia="Garamond" w:hAnsi="Garamond"/>
          <w:color w:val="000000"/>
        </w:rPr>
        <w:t>2.2</w:t>
      </w:r>
      <w:r w:rsidRPr="00166DB1">
        <w:rPr>
          <w:rFonts w:ascii="Garamond" w:eastAsia="Garamond" w:hAnsi="Garamond"/>
          <w:color w:val="000000"/>
        </w:rPr>
        <w:fldChar w:fldCharType="end"/>
      </w:r>
      <w:r w:rsidRPr="00166DB1">
        <w:rPr>
          <w:rFonts w:ascii="Garamond" w:eastAsia="Garamond" w:hAnsi="Garamond"/>
          <w:color w:val="000000"/>
        </w:rPr>
        <w:t xml:space="preserve">, the programs lack measurable objectives which diminished the Department’s ability to monitor their effectiveness against specific targets. </w:t>
      </w:r>
    </w:p>
    <w:p w14:paraId="3C34C63C"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Furthermore, the program under-spend identified in Section </w:t>
      </w:r>
      <w:r w:rsidRPr="00166DB1">
        <w:rPr>
          <w:rFonts w:ascii="Garamond" w:eastAsia="Garamond" w:hAnsi="Garamond"/>
          <w:color w:val="000000"/>
        </w:rPr>
        <w:fldChar w:fldCharType="begin"/>
      </w:r>
      <w:r w:rsidRPr="00166DB1">
        <w:rPr>
          <w:rFonts w:ascii="Garamond" w:eastAsia="Garamond" w:hAnsi="Garamond"/>
          <w:color w:val="000000"/>
        </w:rPr>
        <w:instrText xml:space="preserve"> REF _Ref492988637 \n \h </w:instrText>
      </w:r>
      <w:r w:rsidRPr="00166DB1">
        <w:rPr>
          <w:rFonts w:ascii="Garamond" w:eastAsia="Garamond" w:hAnsi="Garamond"/>
          <w:color w:val="000000"/>
        </w:rPr>
      </w:r>
      <w:r w:rsidRPr="00166DB1">
        <w:rPr>
          <w:rFonts w:ascii="Garamond" w:eastAsia="Garamond" w:hAnsi="Garamond"/>
          <w:color w:val="000000"/>
        </w:rPr>
        <w:fldChar w:fldCharType="separate"/>
      </w:r>
      <w:r w:rsidRPr="00166DB1">
        <w:rPr>
          <w:rFonts w:ascii="Garamond" w:eastAsia="Garamond" w:hAnsi="Garamond"/>
          <w:color w:val="000000"/>
        </w:rPr>
        <w:t>2.4</w:t>
      </w:r>
      <w:r w:rsidRPr="00166DB1">
        <w:rPr>
          <w:rFonts w:ascii="Garamond" w:eastAsia="Garamond" w:hAnsi="Garamond"/>
          <w:color w:val="000000"/>
        </w:rPr>
        <w:fldChar w:fldCharType="end"/>
      </w:r>
      <w:r w:rsidRPr="00166DB1">
        <w:rPr>
          <w:rFonts w:ascii="Garamond" w:eastAsia="Garamond" w:hAnsi="Garamond"/>
          <w:color w:val="000000"/>
        </w:rPr>
        <w:t xml:space="preserve"> indicates available resources were not being utilised to maximise program outputs. Identifying under-spending is made more difficult as expenditure appears to be reported by individual program, rather than tallied for the package as a whole. </w:t>
      </w:r>
    </w:p>
    <w:p w14:paraId="4FA5CAE1"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Take-up volumes for particular programs appeared to be low (e.g. the Aboriginal and Torres Strait Islander Pharmacy Assistant Traineeship Scheme). However, no proactive management of program marketing was identified in the review. Consultation with pharmacy students, interns and community pharmacists identified a lack of awareness of particular programs suggesting patchy promotion activities. </w:t>
      </w:r>
    </w:p>
    <w:p w14:paraId="266506D6"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Finally, the evaluation found that the goals and functions of the programs have not evolved to any great degree since their inception in the 3CPA. However, the subsequent 17 years have seen significant changes in the way community pharmacists operate in rural and remote areas such as the introduction of QUMAX. In addition, incentives to develop the non-metropolitan workforce in the medicine, nursing and other allied health professions have evolved over this same period.</w:t>
      </w:r>
    </w:p>
    <w:p w14:paraId="0CC40534" w14:textId="77777777" w:rsidR="00166DB1" w:rsidRPr="00166DB1" w:rsidRDefault="00166DB1" w:rsidP="00063226">
      <w:pPr>
        <w:pStyle w:val="KeyFinding"/>
        <w:shd w:val="clear" w:color="auto" w:fill="F2F2F2" w:themeFill="background1" w:themeFillShade="F2"/>
      </w:pPr>
      <w:bookmarkStart w:id="96" w:name="_Ref492992955"/>
      <w:r w:rsidRPr="00166DB1">
        <w:t>The review of Pharmacy Workforce Programs found they are not maximising their impact or reach and may not be reacting to the changing needs of rural community pharmacists. The impact, reach and currency of the Pharmacy Workforce Programs could be improved by more proactive program governance.</w:t>
      </w:r>
      <w:bookmarkEnd w:id="96"/>
      <w:r w:rsidRPr="00166DB1">
        <w:t xml:space="preserve"> </w:t>
      </w:r>
    </w:p>
    <w:p w14:paraId="57085DFA" w14:textId="77777777" w:rsidR="00166DB1" w:rsidRPr="00166DB1" w:rsidRDefault="00166DB1" w:rsidP="00B24642">
      <w:pPr>
        <w:pStyle w:val="Heading2"/>
      </w:pPr>
      <w:bookmarkStart w:id="97" w:name="_Toc523322076"/>
      <w:r w:rsidRPr="00166DB1">
        <w:t>Mix of program types</w:t>
      </w:r>
      <w:bookmarkEnd w:id="95"/>
      <w:bookmarkEnd w:id="97"/>
    </w:p>
    <w:p w14:paraId="770A2199"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For this evaluation, the Pharmacy Workforce Programs were categorised by their objective (recruitment, retention, other support or access to culturally appropriate services). In addition, a second classification based on the workforce support activity type was undertaken as follows: professional and lifestyle exposure of students to a rural and remote community experience; a scholarship or traineeship; and travel / accommodation costs to ease the burden of distance generated from working in rural and remote areas. </w:t>
      </w:r>
    </w:p>
    <w:p w14:paraId="5AB7EC5B"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lastRenderedPageBreak/>
        <w:t xml:space="preserve">The relationship of programs between these two classification systems is presented in </w:t>
      </w:r>
      <w:r w:rsidRPr="00166DB1">
        <w:rPr>
          <w:rFonts w:ascii="Garamond" w:eastAsia="Garamond" w:hAnsi="Garamond"/>
          <w:color w:val="000000"/>
        </w:rPr>
        <w:fldChar w:fldCharType="begin"/>
      </w:r>
      <w:r w:rsidRPr="00166DB1">
        <w:rPr>
          <w:rFonts w:ascii="Garamond" w:eastAsia="Garamond" w:hAnsi="Garamond"/>
          <w:color w:val="000000"/>
        </w:rPr>
        <w:instrText xml:space="preserve"> REF _Ref488145761 \h </w:instrText>
      </w:r>
      <w:r w:rsidRPr="00166DB1">
        <w:rPr>
          <w:rFonts w:ascii="Garamond" w:eastAsia="Garamond" w:hAnsi="Garamond"/>
          <w:color w:val="000000"/>
        </w:rPr>
      </w:r>
      <w:r w:rsidRPr="00166DB1">
        <w:rPr>
          <w:rFonts w:ascii="Garamond" w:eastAsia="Garamond" w:hAnsi="Garamond"/>
          <w:color w:val="000000"/>
        </w:rPr>
        <w:fldChar w:fldCharType="separate"/>
      </w:r>
      <w:r w:rsidRPr="00166DB1">
        <w:rPr>
          <w:rFonts w:ascii="Garamond" w:eastAsia="Garamond" w:hAnsi="Garamond"/>
          <w:color w:val="000000"/>
        </w:rPr>
        <w:t xml:space="preserve">Table </w:t>
      </w:r>
      <w:r w:rsidRPr="00166DB1">
        <w:rPr>
          <w:rFonts w:ascii="Garamond" w:eastAsia="Garamond" w:hAnsi="Garamond"/>
          <w:noProof/>
          <w:color w:val="000000"/>
        </w:rPr>
        <w:t>6</w:t>
      </w:r>
      <w:r w:rsidRPr="00166DB1">
        <w:rPr>
          <w:rFonts w:ascii="Garamond" w:eastAsia="Garamond" w:hAnsi="Garamond"/>
          <w:color w:val="000000"/>
        </w:rPr>
        <w:t>.</w:t>
      </w:r>
      <w:r w:rsidRPr="00166DB1">
        <w:rPr>
          <w:rFonts w:ascii="Garamond" w:eastAsia="Garamond" w:hAnsi="Garamond"/>
          <w:noProof/>
          <w:color w:val="000000"/>
        </w:rPr>
        <w:t>1</w:t>
      </w:r>
      <w:r w:rsidRPr="00166DB1">
        <w:rPr>
          <w:rFonts w:ascii="Garamond" w:eastAsia="Garamond" w:hAnsi="Garamond"/>
          <w:color w:val="000000"/>
        </w:rPr>
        <w:fldChar w:fldCharType="end"/>
      </w:r>
      <w:r w:rsidRPr="00166DB1">
        <w:rPr>
          <w:rFonts w:ascii="Garamond" w:eastAsia="Garamond" w:hAnsi="Garamond"/>
          <w:color w:val="000000"/>
        </w:rPr>
        <w:t xml:space="preserve">. </w:t>
      </w:r>
    </w:p>
    <w:p w14:paraId="5CF34FF9"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This analysis shows that the recruitment programs focused across all activity types – professional and lifestyle exposure, scholarship and travel expenses – with a total annual investment of approximately </w:t>
      </w:r>
      <w:r w:rsidRPr="00166DB1">
        <w:rPr>
          <w:rFonts w:ascii="Times New Roman" w:eastAsia="Garamond" w:hAnsi="Times New Roman"/>
          <w:color w:val="000000"/>
        </w:rPr>
        <w:t>$1.8</w:t>
      </w:r>
      <w:r w:rsidRPr="00166DB1">
        <w:rPr>
          <w:rFonts w:ascii="Garamond" w:eastAsia="Garamond" w:hAnsi="Garamond"/>
          <w:color w:val="000000"/>
        </w:rPr>
        <w:t>m (or 38.1% of the total Pharmacy Workforce Programs’ expenditure).</w:t>
      </w:r>
    </w:p>
    <w:p w14:paraId="7D4FF964"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Retention programs covered two of the activities – professional and lifestyle exposure and travel expenses – with a total annual expenditure of approximately </w:t>
      </w:r>
      <w:r w:rsidRPr="00166DB1">
        <w:rPr>
          <w:rFonts w:ascii="Times New Roman" w:eastAsia="Garamond" w:hAnsi="Times New Roman"/>
          <w:color w:val="000000"/>
        </w:rPr>
        <w:t>$</w:t>
      </w:r>
      <w:r w:rsidRPr="00166DB1">
        <w:rPr>
          <w:rFonts w:ascii="Garamond" w:eastAsia="Garamond" w:hAnsi="Garamond"/>
          <w:color w:val="000000"/>
        </w:rPr>
        <w:t xml:space="preserve">1.3m (28.1%). </w:t>
      </w:r>
    </w:p>
    <w:p w14:paraId="001F6DCA"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The ‘other workforce support’ programs were professional and lifestyle-related programs, and focused predominately on recruitment (e.g. student placements) rather than retention of the existing workforce. These programs had a total annual expenditure of approximately </w:t>
      </w:r>
      <w:r w:rsidRPr="00166DB1">
        <w:rPr>
          <w:rFonts w:ascii="Times New Roman" w:eastAsia="Garamond" w:hAnsi="Times New Roman"/>
          <w:color w:val="000000"/>
        </w:rPr>
        <w:t>$</w:t>
      </w:r>
      <w:r w:rsidRPr="00166DB1">
        <w:rPr>
          <w:rFonts w:ascii="Garamond" w:eastAsia="Garamond" w:hAnsi="Garamond"/>
          <w:color w:val="000000"/>
        </w:rPr>
        <w:t xml:space="preserve">1.4m (28.9%). </w:t>
      </w:r>
    </w:p>
    <w:p w14:paraId="50C3869E" w14:textId="2DCAA022"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The programs to enhance availability of culturally appropriate pharmacy services – targeting Aboriginal and Torres Strait Islander students – were all scholarship or </w:t>
      </w:r>
      <w:r w:rsidR="00D65552" w:rsidRPr="00166DB1">
        <w:rPr>
          <w:rFonts w:ascii="Garamond" w:eastAsia="Garamond" w:hAnsi="Garamond"/>
          <w:color w:val="000000"/>
        </w:rPr>
        <w:t>traineeship-based</w:t>
      </w:r>
      <w:r w:rsidRPr="00166DB1">
        <w:rPr>
          <w:rFonts w:ascii="Garamond" w:eastAsia="Garamond" w:hAnsi="Garamond"/>
          <w:color w:val="000000"/>
        </w:rPr>
        <w:t xml:space="preserve"> programs. Total annual expenditure was approximately </w:t>
      </w:r>
      <w:r w:rsidRPr="00166DB1">
        <w:rPr>
          <w:rFonts w:ascii="Times New Roman" w:eastAsia="Garamond" w:hAnsi="Times New Roman"/>
          <w:color w:val="000000"/>
        </w:rPr>
        <w:t>$</w:t>
      </w:r>
      <w:r w:rsidRPr="00166DB1">
        <w:rPr>
          <w:rFonts w:ascii="Garamond" w:eastAsia="Garamond" w:hAnsi="Garamond"/>
          <w:color w:val="000000"/>
        </w:rPr>
        <w:t xml:space="preserve">0.2m (4.9%). </w:t>
      </w:r>
    </w:p>
    <w:p w14:paraId="781049FE" w14:textId="77777777" w:rsidR="00166DB1" w:rsidRPr="00166DB1" w:rsidRDefault="00166DB1" w:rsidP="00546711">
      <w:pPr>
        <w:pStyle w:val="KeyFinding"/>
        <w:shd w:val="clear" w:color="auto" w:fill="F2F2F2" w:themeFill="background1" w:themeFillShade="F2"/>
      </w:pPr>
      <w:bookmarkStart w:id="98" w:name="_Ref490677216"/>
      <w:r w:rsidRPr="00166DB1">
        <w:t>The majority of program funding was directed to recruitment programs (38.1% of total Pharmacy Workforce Programs’ expenditure), followed by retention programs (28.1% of expenditure), other workforce support programs (28.9% of expenditure) and programs to enhance availability of culturally appropriate services (4.9% of expenditure).</w:t>
      </w:r>
      <w:bookmarkEnd w:id="98"/>
      <w:r w:rsidRPr="00166DB1">
        <w:t xml:space="preserve">  </w:t>
      </w:r>
    </w:p>
    <w:p w14:paraId="23F38166"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This analysis of expenditures by activity type highlights opportunities to find alternative ways of promoting the strengthening of the community pharmacy workforce. These are examined under the recruitment and retention activity categories below. </w:t>
      </w:r>
    </w:p>
    <w:p w14:paraId="4FB7DDBA" w14:textId="28A3BCF2" w:rsidR="00166DB1" w:rsidRPr="00166DB1" w:rsidRDefault="00166DB1" w:rsidP="00B24642">
      <w:pPr>
        <w:pStyle w:val="Heading3"/>
      </w:pPr>
      <w:bookmarkStart w:id="99" w:name="_Toc490574940"/>
      <w:bookmarkStart w:id="100" w:name="_Toc523322077"/>
      <w:r w:rsidRPr="00166DB1">
        <w:t>Recruitment and support programs</w:t>
      </w:r>
      <w:bookmarkEnd w:id="99"/>
      <w:bookmarkEnd w:id="100"/>
    </w:p>
    <w:p w14:paraId="5BC200D6"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Combining the expenditure on recruitment and other support programs (as both types of programs primarily target pharmacy students and interns) had an average expenditure of </w:t>
      </w:r>
      <w:r w:rsidRPr="00166DB1">
        <w:rPr>
          <w:rFonts w:ascii="Times New Roman" w:eastAsia="Garamond" w:hAnsi="Times New Roman"/>
          <w:color w:val="000000"/>
        </w:rPr>
        <w:t>$</w:t>
      </w:r>
      <w:r w:rsidRPr="00166DB1">
        <w:rPr>
          <w:rFonts w:ascii="Garamond" w:eastAsia="Garamond" w:hAnsi="Garamond"/>
          <w:color w:val="000000"/>
        </w:rPr>
        <w:t xml:space="preserve">3.2m or 67.0% of the Pharmacy Workforce Package funding. It is noteworthy that the individual programs focus on recruiting newly graduated pharmacists to work in rural and remote locations, unlike general practice (supported by the GP Rural Incentives Program that provides grants of up to </w:t>
      </w:r>
      <w:r w:rsidRPr="00166DB1">
        <w:rPr>
          <w:rFonts w:ascii="Times New Roman" w:eastAsia="Garamond" w:hAnsi="Times New Roman"/>
          <w:color w:val="000000"/>
        </w:rPr>
        <w:t>$</w:t>
      </w:r>
      <w:r w:rsidRPr="00166DB1">
        <w:rPr>
          <w:rFonts w:ascii="Garamond" w:eastAsia="Garamond" w:hAnsi="Garamond"/>
          <w:color w:val="000000"/>
        </w:rPr>
        <w:t>60,000). Until recently, regional relocation of dentists was supported by the Dental Relocation and Infrastructure Support Scheme.</w:t>
      </w:r>
    </w:p>
    <w:p w14:paraId="3CA6EA88" w14:textId="77777777" w:rsidR="00166DB1" w:rsidRPr="00166DB1" w:rsidRDefault="00166DB1" w:rsidP="00063226">
      <w:pPr>
        <w:pStyle w:val="KeyFinding"/>
        <w:shd w:val="clear" w:color="auto" w:fill="F2F2F2" w:themeFill="background1" w:themeFillShade="F2"/>
      </w:pPr>
      <w:bookmarkStart w:id="101" w:name="_Ref490677221"/>
      <w:r w:rsidRPr="00166DB1">
        <w:t>In contrast to general practice and dentistry, there are no programs that incentivise existing pharmacists in major cities to relocate to rural and remote areas, or overseas trained pharmacists to work in non-metropolitan areas. Consideration could be given to introducing such programs to enhance recruitment rates to non-metropolitan areas.</w:t>
      </w:r>
      <w:bookmarkEnd w:id="101"/>
    </w:p>
    <w:p w14:paraId="6A80469C" w14:textId="2C94547A" w:rsidR="00166DB1" w:rsidRPr="00166DB1" w:rsidRDefault="00166DB1" w:rsidP="00B24642">
      <w:pPr>
        <w:pStyle w:val="Heading3"/>
      </w:pPr>
      <w:bookmarkStart w:id="102" w:name="_Toc490574941"/>
      <w:bookmarkStart w:id="103" w:name="_Toc523322078"/>
      <w:r w:rsidRPr="00166DB1">
        <w:t>Retention programs</w:t>
      </w:r>
      <w:bookmarkEnd w:id="102"/>
      <w:bookmarkEnd w:id="103"/>
    </w:p>
    <w:p w14:paraId="5621BB64"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Retention programs account for approximately one-third of the Pharmacy Workforce Programs’ expenditure. The retention programs focus solely on financial support for known expense burdens, e.g. travel/accommodation costs for professional development or emergency locums, or funds to offset higher wages/living costs for interns. However, there are no ‘other support programs’ tailored to increasing retention rates, such as assistance with small business operations (e.g. accounting, new infrastructure), flexible legislation for single pharmacist areas, or professional networking opportunities. Nor are there any scholarship programs to support pharmacists to gain additional skills that may be required to effectively operate in a non-metropolitan pharmacy. </w:t>
      </w:r>
    </w:p>
    <w:p w14:paraId="671EDAAB" w14:textId="77777777" w:rsidR="00166DB1" w:rsidRPr="00166DB1" w:rsidRDefault="00166DB1" w:rsidP="00CF2305">
      <w:pPr>
        <w:keepLines/>
        <w:spacing w:before="85" w:after="85"/>
        <w:rPr>
          <w:rFonts w:ascii="Garamond" w:eastAsia="Garamond" w:hAnsi="Garamond"/>
          <w:color w:val="000000"/>
        </w:rPr>
      </w:pPr>
      <w:r w:rsidRPr="00166DB1">
        <w:rPr>
          <w:rFonts w:ascii="Garamond" w:eastAsia="Garamond" w:hAnsi="Garamond"/>
          <w:color w:val="000000"/>
        </w:rPr>
        <w:lastRenderedPageBreak/>
        <w:t>It must be noted that the RPLO program was designed to assist with networking and professional development opportunities. However, at 0.4 to 0.6 FTE, most RPLOs predominately focus on student placement needs. In addition, there are many rural and remote locations that are not affiliated with a UDRH that has an RPLO employed.</w:t>
      </w:r>
    </w:p>
    <w:p w14:paraId="25B7CF2E" w14:textId="77777777" w:rsidR="00166DB1" w:rsidRPr="00166DB1" w:rsidRDefault="00166DB1" w:rsidP="00166DB1">
      <w:pPr>
        <w:spacing w:before="85" w:after="85"/>
        <w:rPr>
          <w:rFonts w:ascii="Garamond" w:eastAsia="Garamond" w:hAnsi="Garamond"/>
          <w:color w:val="000000"/>
        </w:rPr>
      </w:pPr>
    </w:p>
    <w:p w14:paraId="1793D142" w14:textId="77777777" w:rsidR="00166DB1" w:rsidRPr="00166DB1" w:rsidRDefault="00166DB1" w:rsidP="00166DB1">
      <w:pPr>
        <w:spacing w:before="85" w:after="85"/>
        <w:rPr>
          <w:rFonts w:ascii="Garamond" w:eastAsia="Garamond" w:hAnsi="Garamond"/>
          <w:color w:val="000000"/>
        </w:rPr>
        <w:sectPr w:rsidR="00166DB1" w:rsidRPr="00166DB1" w:rsidSect="00072DFC">
          <w:headerReference w:type="default" r:id="rId38"/>
          <w:pgSz w:w="16839" w:h="11907" w:orient="landscape" w:code="9"/>
          <w:pgMar w:top="2268" w:right="1304" w:bottom="850" w:left="737" w:header="567" w:footer="284" w:gutter="0"/>
          <w:cols w:num="2" w:space="709"/>
          <w:docGrid w:linePitch="360"/>
        </w:sectPr>
      </w:pPr>
    </w:p>
    <w:p w14:paraId="1CCF97A3" w14:textId="77777777" w:rsidR="00166DB1" w:rsidRPr="00166DB1" w:rsidRDefault="00166DB1" w:rsidP="00483C21">
      <w:pPr>
        <w:pStyle w:val="Caption"/>
      </w:pPr>
      <w:bookmarkStart w:id="104" w:name="_Ref488145761"/>
      <w:r w:rsidRPr="00166DB1">
        <w:lastRenderedPageBreak/>
        <w:t xml:space="preserve">Table </w:t>
      </w:r>
      <w:r w:rsidRPr="00166DB1">
        <w:rPr>
          <w:noProof/>
        </w:rPr>
        <w:fldChar w:fldCharType="begin"/>
      </w:r>
      <w:r w:rsidRPr="00166DB1">
        <w:rPr>
          <w:noProof/>
        </w:rPr>
        <w:instrText xml:space="preserve"> STYLEREF 1 \s </w:instrText>
      </w:r>
      <w:r w:rsidRPr="00166DB1">
        <w:rPr>
          <w:noProof/>
        </w:rPr>
        <w:fldChar w:fldCharType="separate"/>
      </w:r>
      <w:r w:rsidRPr="00166DB1">
        <w:rPr>
          <w:noProof/>
        </w:rPr>
        <w:t>6</w:t>
      </w:r>
      <w:r w:rsidRPr="00166DB1">
        <w:rPr>
          <w:noProof/>
        </w:rPr>
        <w:fldChar w:fldCharType="end"/>
      </w:r>
      <w:r w:rsidRPr="00166DB1">
        <w:t>.</w:t>
      </w:r>
      <w:r w:rsidRPr="00166DB1">
        <w:rPr>
          <w:noProof/>
        </w:rPr>
        <w:fldChar w:fldCharType="begin"/>
      </w:r>
      <w:r w:rsidRPr="00166DB1">
        <w:rPr>
          <w:noProof/>
        </w:rPr>
        <w:instrText xml:space="preserve"> SEQ Table \* ARABIC \s 1 </w:instrText>
      </w:r>
      <w:r w:rsidRPr="00166DB1">
        <w:rPr>
          <w:noProof/>
        </w:rPr>
        <w:fldChar w:fldCharType="separate"/>
      </w:r>
      <w:r w:rsidRPr="00166DB1">
        <w:rPr>
          <w:noProof/>
        </w:rPr>
        <w:t>1</w:t>
      </w:r>
      <w:r w:rsidRPr="00166DB1">
        <w:rPr>
          <w:noProof/>
        </w:rPr>
        <w:fldChar w:fldCharType="end"/>
      </w:r>
      <w:bookmarkEnd w:id="104"/>
      <w:r w:rsidRPr="00166DB1">
        <w:t>: Average expenditure of Pharmacy Workforce Program (2013–14 to 2014–15) by category type, $m (% total expenditure)</w:t>
      </w:r>
    </w:p>
    <w:tbl>
      <w:tblPr>
        <w:tblStyle w:val="HMATable"/>
        <w:tblW w:w="5000" w:type="pct"/>
        <w:tblLayout w:type="fixed"/>
        <w:tblLook w:val="04A0" w:firstRow="1" w:lastRow="0" w:firstColumn="1" w:lastColumn="0" w:noHBand="0" w:noVBand="1"/>
        <w:tblCaption w:val="Table 6.1: Average expenditure of Pharmacy Workforce Program (2013-14 to 2014-15) by category type, $m (% total expenditure)"/>
        <w:tblDescription w:val="Table 6.1: Average expenditure of Pharmacy Workforce Program (2013-14 to 2014-15) by category type, $m (% total expenditure)"/>
      </w:tblPr>
      <w:tblGrid>
        <w:gridCol w:w="1555"/>
        <w:gridCol w:w="3925"/>
        <w:gridCol w:w="3020"/>
        <w:gridCol w:w="2694"/>
        <w:gridCol w:w="2109"/>
        <w:gridCol w:w="1485"/>
      </w:tblGrid>
      <w:tr w:rsidR="00367717" w:rsidRPr="00166DB1" w14:paraId="6D617BDD" w14:textId="77777777" w:rsidTr="0036771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526" w:type="pct"/>
            <w:shd w:val="clear" w:color="auto" w:fill="D9D9D9" w:themeFill="background1" w:themeFillShade="D9"/>
            <w:noWrap/>
            <w:vAlign w:val="center"/>
          </w:tcPr>
          <w:p w14:paraId="03054333" w14:textId="37086C1F" w:rsidR="00367717" w:rsidRPr="00F44120" w:rsidRDefault="00367717" w:rsidP="00F44120">
            <w:pPr>
              <w:pStyle w:val="TableColumnHeading"/>
              <w:rPr>
                <w:b/>
              </w:rPr>
            </w:pPr>
          </w:p>
        </w:tc>
        <w:tc>
          <w:tcPr>
            <w:tcW w:w="1327" w:type="pct"/>
            <w:shd w:val="clear" w:color="auto" w:fill="D9D9D9" w:themeFill="background1" w:themeFillShade="D9"/>
            <w:vAlign w:val="center"/>
          </w:tcPr>
          <w:p w14:paraId="62F906B4" w14:textId="25888FE6" w:rsidR="00367717" w:rsidRPr="00F44120" w:rsidRDefault="00367717" w:rsidP="00F44120">
            <w:pPr>
              <w:pStyle w:val="TableColumnHeading"/>
              <w:cnfStyle w:val="100000000000" w:firstRow="1" w:lastRow="0" w:firstColumn="0" w:lastColumn="0" w:oddVBand="0" w:evenVBand="0" w:oddHBand="0" w:evenHBand="0" w:firstRowFirstColumn="0" w:firstRowLastColumn="0" w:lastRowFirstColumn="0" w:lastRowLastColumn="0"/>
              <w:rPr>
                <w:b/>
              </w:rPr>
            </w:pPr>
          </w:p>
        </w:tc>
        <w:tc>
          <w:tcPr>
            <w:tcW w:w="1021" w:type="pct"/>
            <w:tcBorders>
              <w:right w:val="nil"/>
            </w:tcBorders>
            <w:shd w:val="clear" w:color="auto" w:fill="D9D9D9" w:themeFill="background1" w:themeFillShade="D9"/>
            <w:noWrap/>
          </w:tcPr>
          <w:p w14:paraId="289462DF" w14:textId="77777777" w:rsidR="00367717" w:rsidRPr="00F44120" w:rsidRDefault="00367717" w:rsidP="00F44120">
            <w:pPr>
              <w:pStyle w:val="TableColumnHeading"/>
              <w:cnfStyle w:val="100000000000" w:firstRow="1" w:lastRow="0" w:firstColumn="0" w:lastColumn="0" w:oddVBand="0" w:evenVBand="0" w:oddHBand="0" w:evenHBand="0" w:firstRowFirstColumn="0" w:firstRowLastColumn="0" w:lastRowFirstColumn="0" w:lastRowLastColumn="0"/>
              <w:rPr>
                <w:b/>
              </w:rPr>
            </w:pPr>
            <w:r w:rsidRPr="00F44120">
              <w:rPr>
                <w:b/>
              </w:rPr>
              <w:t>Rationale for the Expenditure Type</w:t>
            </w:r>
          </w:p>
        </w:tc>
        <w:tc>
          <w:tcPr>
            <w:tcW w:w="911" w:type="pct"/>
            <w:tcBorders>
              <w:left w:val="nil"/>
              <w:right w:val="nil"/>
            </w:tcBorders>
            <w:shd w:val="clear" w:color="auto" w:fill="D9D9D9" w:themeFill="background1" w:themeFillShade="D9"/>
          </w:tcPr>
          <w:p w14:paraId="5FA1C1B4" w14:textId="77777777" w:rsidR="00367717" w:rsidRPr="00F44120" w:rsidRDefault="00367717" w:rsidP="00F44120">
            <w:pPr>
              <w:pStyle w:val="TableColumnHeading"/>
              <w:cnfStyle w:val="100000000000" w:firstRow="1" w:lastRow="0" w:firstColumn="0" w:lastColumn="0" w:oddVBand="0" w:evenVBand="0" w:oddHBand="0" w:evenHBand="0" w:firstRowFirstColumn="0" w:firstRowLastColumn="0" w:lastRowFirstColumn="0" w:lastRowLastColumn="0"/>
              <w:rPr>
                <w:b/>
              </w:rPr>
            </w:pPr>
          </w:p>
        </w:tc>
        <w:tc>
          <w:tcPr>
            <w:tcW w:w="713" w:type="pct"/>
            <w:tcBorders>
              <w:left w:val="nil"/>
            </w:tcBorders>
            <w:shd w:val="clear" w:color="auto" w:fill="D9D9D9" w:themeFill="background1" w:themeFillShade="D9"/>
          </w:tcPr>
          <w:p w14:paraId="068313F7" w14:textId="062A8747" w:rsidR="00367717" w:rsidRPr="00F44120" w:rsidRDefault="00367717" w:rsidP="00F44120">
            <w:pPr>
              <w:pStyle w:val="TableColumnHeading"/>
              <w:cnfStyle w:val="100000000000" w:firstRow="1" w:lastRow="0" w:firstColumn="0" w:lastColumn="0" w:oddVBand="0" w:evenVBand="0" w:oddHBand="0" w:evenHBand="0" w:firstRowFirstColumn="0" w:firstRowLastColumn="0" w:lastRowFirstColumn="0" w:lastRowLastColumn="0"/>
              <w:rPr>
                <w:b/>
              </w:rPr>
            </w:pPr>
          </w:p>
        </w:tc>
        <w:tc>
          <w:tcPr>
            <w:tcW w:w="502" w:type="pct"/>
            <w:shd w:val="clear" w:color="auto" w:fill="D9D9D9" w:themeFill="background1" w:themeFillShade="D9"/>
            <w:noWrap/>
          </w:tcPr>
          <w:p w14:paraId="6DA1A5C6" w14:textId="77777777" w:rsidR="00367717" w:rsidRPr="00166DB1" w:rsidRDefault="00367717" w:rsidP="00166DB1">
            <w:pPr>
              <w:keepNext/>
              <w:ind w:left="57" w:right="57"/>
              <w:cnfStyle w:val="100000000000" w:firstRow="1" w:lastRow="0" w:firstColumn="0" w:lastColumn="0" w:oddVBand="0" w:evenVBand="0" w:oddHBand="0" w:evenHBand="0" w:firstRowFirstColumn="0" w:firstRowLastColumn="0" w:lastRowFirstColumn="0" w:lastRowLastColumn="0"/>
              <w:rPr>
                <w:rFonts w:eastAsia="Garamond"/>
                <w:color w:val="000000"/>
              </w:rPr>
            </w:pPr>
          </w:p>
        </w:tc>
      </w:tr>
      <w:tr w:rsidR="002E1F1A" w:rsidRPr="00166DB1" w14:paraId="1847AA0C" w14:textId="77777777" w:rsidTr="0036771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526" w:type="pct"/>
            <w:shd w:val="clear" w:color="auto" w:fill="D9D9D9" w:themeFill="background1" w:themeFillShade="D9"/>
            <w:noWrap/>
          </w:tcPr>
          <w:p w14:paraId="7AFBB62B" w14:textId="77777777" w:rsidR="002E1F1A" w:rsidRPr="00166DB1" w:rsidRDefault="002E1F1A" w:rsidP="00166DB1">
            <w:pPr>
              <w:spacing w:line="240" w:lineRule="atLeast"/>
              <w:ind w:left="57" w:right="57"/>
              <w:jc w:val="center"/>
              <w:rPr>
                <w:rFonts w:eastAsia="Garamond"/>
                <w:b/>
                <w:color w:val="000000"/>
              </w:rPr>
            </w:pPr>
          </w:p>
        </w:tc>
        <w:tc>
          <w:tcPr>
            <w:tcW w:w="1327" w:type="pct"/>
            <w:shd w:val="clear" w:color="auto" w:fill="D9D9D9" w:themeFill="background1" w:themeFillShade="D9"/>
          </w:tcPr>
          <w:p w14:paraId="4FD9AC85" w14:textId="5588C508" w:rsidR="002E1F1A" w:rsidRPr="00166DB1" w:rsidRDefault="002E1F1A" w:rsidP="00166DB1">
            <w:pPr>
              <w:spacing w:line="240" w:lineRule="atLeast"/>
              <w:ind w:left="57" w:right="57"/>
              <w:jc w:val="center"/>
              <w:cnfStyle w:val="100000000000" w:firstRow="1" w:lastRow="0" w:firstColumn="0" w:lastColumn="0" w:oddVBand="0" w:evenVBand="0" w:oddHBand="0" w:evenHBand="0" w:firstRowFirstColumn="0" w:firstRowLastColumn="0" w:lastRowFirstColumn="0" w:lastRowLastColumn="0"/>
              <w:rPr>
                <w:rFonts w:eastAsia="Garamond"/>
                <w:color w:val="000000"/>
              </w:rPr>
            </w:pPr>
          </w:p>
        </w:tc>
        <w:tc>
          <w:tcPr>
            <w:tcW w:w="1021" w:type="pct"/>
            <w:shd w:val="clear" w:color="auto" w:fill="F2F2F2" w:themeFill="background1" w:themeFillShade="F2"/>
            <w:noWrap/>
            <w:hideMark/>
          </w:tcPr>
          <w:p w14:paraId="6CBC3F0F" w14:textId="77777777" w:rsidR="002E1F1A" w:rsidRPr="00FF3C41" w:rsidRDefault="002E1F1A" w:rsidP="00FF3C41">
            <w:pPr>
              <w:pStyle w:val="TableCopy"/>
              <w:cnfStyle w:val="100000000000" w:firstRow="1" w:lastRow="0" w:firstColumn="0" w:lastColumn="0" w:oddVBand="0" w:evenVBand="0" w:oddHBand="0" w:evenHBand="0" w:firstRowFirstColumn="0" w:firstRowLastColumn="0" w:lastRowFirstColumn="0" w:lastRowLastColumn="0"/>
              <w:rPr>
                <w:b/>
              </w:rPr>
            </w:pPr>
            <w:r w:rsidRPr="00FF3C41">
              <w:rPr>
                <w:b/>
              </w:rPr>
              <w:t>Exposure</w:t>
            </w:r>
          </w:p>
        </w:tc>
        <w:tc>
          <w:tcPr>
            <w:tcW w:w="911" w:type="pct"/>
            <w:shd w:val="clear" w:color="auto" w:fill="F2F2F2" w:themeFill="background1" w:themeFillShade="F2"/>
            <w:noWrap/>
            <w:hideMark/>
          </w:tcPr>
          <w:p w14:paraId="0CCC0D00" w14:textId="77777777" w:rsidR="002E1F1A" w:rsidRPr="00FF3C41" w:rsidRDefault="002E1F1A" w:rsidP="00FF3C41">
            <w:pPr>
              <w:pStyle w:val="TableCopy"/>
              <w:cnfStyle w:val="100000000000" w:firstRow="1" w:lastRow="0" w:firstColumn="0" w:lastColumn="0" w:oddVBand="0" w:evenVBand="0" w:oddHBand="0" w:evenHBand="0" w:firstRowFirstColumn="0" w:firstRowLastColumn="0" w:lastRowFirstColumn="0" w:lastRowLastColumn="0"/>
              <w:rPr>
                <w:b/>
              </w:rPr>
            </w:pPr>
            <w:r w:rsidRPr="00FF3C41">
              <w:rPr>
                <w:b/>
              </w:rPr>
              <w:t xml:space="preserve">Scholarship </w:t>
            </w:r>
          </w:p>
        </w:tc>
        <w:tc>
          <w:tcPr>
            <w:tcW w:w="713" w:type="pct"/>
            <w:shd w:val="clear" w:color="auto" w:fill="F2F2F2" w:themeFill="background1" w:themeFillShade="F2"/>
            <w:noWrap/>
            <w:hideMark/>
          </w:tcPr>
          <w:p w14:paraId="0B1B77DE" w14:textId="77777777" w:rsidR="002E1F1A" w:rsidRPr="00FF3C41" w:rsidRDefault="002E1F1A" w:rsidP="00FF3C41">
            <w:pPr>
              <w:pStyle w:val="TableCopy"/>
              <w:cnfStyle w:val="100000000000" w:firstRow="1" w:lastRow="0" w:firstColumn="0" w:lastColumn="0" w:oddVBand="0" w:evenVBand="0" w:oddHBand="0" w:evenHBand="0" w:firstRowFirstColumn="0" w:firstRowLastColumn="0" w:lastRowFirstColumn="0" w:lastRowLastColumn="0"/>
              <w:rPr>
                <w:b/>
              </w:rPr>
            </w:pPr>
            <w:r w:rsidRPr="00FF3C41">
              <w:rPr>
                <w:b/>
              </w:rPr>
              <w:t xml:space="preserve">Travel </w:t>
            </w:r>
          </w:p>
        </w:tc>
        <w:tc>
          <w:tcPr>
            <w:tcW w:w="502" w:type="pct"/>
            <w:shd w:val="clear" w:color="auto" w:fill="F2F2F2" w:themeFill="background1" w:themeFillShade="F2"/>
            <w:noWrap/>
            <w:hideMark/>
          </w:tcPr>
          <w:p w14:paraId="37D24256" w14:textId="077B45BE" w:rsidR="002E1F1A" w:rsidRPr="00FF3C41" w:rsidRDefault="002E1F1A" w:rsidP="00FF3C41">
            <w:pPr>
              <w:pStyle w:val="TableCopy"/>
              <w:cnfStyle w:val="100000000000" w:firstRow="1" w:lastRow="0" w:firstColumn="0" w:lastColumn="0" w:oddVBand="0" w:evenVBand="0" w:oddHBand="0" w:evenHBand="0" w:firstRowFirstColumn="0" w:firstRowLastColumn="0" w:lastRowFirstColumn="0" w:lastRowLastColumn="0"/>
              <w:rPr>
                <w:b/>
              </w:rPr>
            </w:pPr>
            <w:r w:rsidRPr="00FF3C41">
              <w:rPr>
                <w:b/>
              </w:rPr>
              <w:t>Total</w:t>
            </w:r>
          </w:p>
        </w:tc>
      </w:tr>
      <w:tr w:rsidR="002E1F1A" w:rsidRPr="00166DB1" w14:paraId="01663E4C" w14:textId="77777777" w:rsidTr="00367717">
        <w:trPr>
          <w:trHeight w:val="290"/>
        </w:trPr>
        <w:tc>
          <w:tcPr>
            <w:cnfStyle w:val="001000000000" w:firstRow="0" w:lastRow="0" w:firstColumn="1" w:lastColumn="0" w:oddVBand="0" w:evenVBand="0" w:oddHBand="0" w:evenHBand="0" w:firstRowFirstColumn="0" w:firstRowLastColumn="0" w:lastRowFirstColumn="0" w:lastRowLastColumn="0"/>
            <w:tcW w:w="526" w:type="pct"/>
            <w:shd w:val="clear" w:color="auto" w:fill="D9D9D9" w:themeFill="background1" w:themeFillShade="D9"/>
            <w:noWrap/>
            <w:vAlign w:val="center"/>
          </w:tcPr>
          <w:p w14:paraId="4BF6C8F9" w14:textId="2CA8B72B" w:rsidR="002E1F1A" w:rsidRPr="002E1F1A" w:rsidRDefault="002E1F1A" w:rsidP="002E1F1A">
            <w:pPr>
              <w:pStyle w:val="TableColumnHeading"/>
              <w:rPr>
                <w:b w:val="0"/>
              </w:rPr>
            </w:pPr>
            <w:r w:rsidRPr="00F44120">
              <w:t>Workforce Support Activity Type</w:t>
            </w:r>
          </w:p>
        </w:tc>
        <w:tc>
          <w:tcPr>
            <w:tcW w:w="1327" w:type="pct"/>
            <w:shd w:val="clear" w:color="auto" w:fill="D9D9D9" w:themeFill="background1" w:themeFillShade="D9"/>
            <w:vAlign w:val="center"/>
          </w:tcPr>
          <w:p w14:paraId="105348CF" w14:textId="5928C36B" w:rsidR="002E1F1A" w:rsidRPr="002E1F1A" w:rsidRDefault="002E1F1A" w:rsidP="002E1F1A">
            <w:pPr>
              <w:pStyle w:val="TableColumnHeading"/>
              <w:cnfStyle w:val="000000000000" w:firstRow="0" w:lastRow="0" w:firstColumn="0" w:lastColumn="0" w:oddVBand="0" w:evenVBand="0" w:oddHBand="0" w:evenHBand="0" w:firstRowFirstColumn="0" w:firstRowLastColumn="0" w:lastRowFirstColumn="0" w:lastRowLastColumn="0"/>
              <w:rPr>
                <w:b/>
              </w:rPr>
            </w:pPr>
            <w:r w:rsidRPr="00F44120">
              <w:rPr>
                <w:b/>
              </w:rPr>
              <w:t>Rationale</w:t>
            </w:r>
          </w:p>
        </w:tc>
        <w:tc>
          <w:tcPr>
            <w:tcW w:w="1021" w:type="pct"/>
            <w:shd w:val="clear" w:color="auto" w:fill="BFBFBF" w:themeFill="background1" w:themeFillShade="BF"/>
            <w:noWrap/>
          </w:tcPr>
          <w:p w14:paraId="661CD462" w14:textId="77777777" w:rsidR="002E1F1A" w:rsidRPr="00166DB1" w:rsidRDefault="002E1F1A" w:rsidP="00F44120">
            <w:pPr>
              <w:pStyle w:val="TableCopy"/>
              <w:cnfStyle w:val="000000000000" w:firstRow="0" w:lastRow="0" w:firstColumn="0" w:lastColumn="0" w:oddVBand="0" w:evenVBand="0" w:oddHBand="0" w:evenHBand="0" w:firstRowFirstColumn="0" w:firstRowLastColumn="0" w:lastRowFirstColumn="0" w:lastRowLastColumn="0"/>
            </w:pPr>
            <w:r w:rsidRPr="00166DB1">
              <w:t>Professional and lifestyle exposure of students to a rural and remote community experience, with time to support immersion into a community, identified in the literature as an effective way to attract employees</w:t>
            </w:r>
          </w:p>
        </w:tc>
        <w:tc>
          <w:tcPr>
            <w:tcW w:w="911" w:type="pct"/>
            <w:shd w:val="clear" w:color="auto" w:fill="BFBFBF" w:themeFill="background1" w:themeFillShade="BF"/>
            <w:noWrap/>
          </w:tcPr>
          <w:p w14:paraId="7B0CB3BA" w14:textId="77777777" w:rsidR="002E1F1A" w:rsidRPr="00166DB1" w:rsidRDefault="002E1F1A" w:rsidP="00F44120">
            <w:pPr>
              <w:pStyle w:val="TableCopy"/>
              <w:cnfStyle w:val="000000000000" w:firstRow="0" w:lastRow="0" w:firstColumn="0" w:lastColumn="0" w:oddVBand="0" w:evenVBand="0" w:oddHBand="0" w:evenHBand="0" w:firstRowFirstColumn="0" w:firstRowLastColumn="0" w:lastRowFirstColumn="0" w:lastRowLastColumn="0"/>
            </w:pPr>
            <w:r w:rsidRPr="00166DB1">
              <w:t>To enable financially disadvantaged rural or Aboriginal and Torres Strait Islander students to undertake pharmacy studies</w:t>
            </w:r>
          </w:p>
        </w:tc>
        <w:tc>
          <w:tcPr>
            <w:tcW w:w="713" w:type="pct"/>
            <w:shd w:val="clear" w:color="auto" w:fill="BFBFBF" w:themeFill="background1" w:themeFillShade="BF"/>
            <w:noWrap/>
          </w:tcPr>
          <w:p w14:paraId="3157D7A3" w14:textId="77777777" w:rsidR="002E1F1A" w:rsidRPr="00166DB1" w:rsidRDefault="002E1F1A" w:rsidP="00F44120">
            <w:pPr>
              <w:pStyle w:val="TableCopy"/>
              <w:cnfStyle w:val="000000000000" w:firstRow="0" w:lastRow="0" w:firstColumn="0" w:lastColumn="0" w:oddVBand="0" w:evenVBand="0" w:oddHBand="0" w:evenHBand="0" w:firstRowFirstColumn="0" w:firstRowLastColumn="0" w:lastRowFirstColumn="0" w:lastRowLastColumn="0"/>
            </w:pPr>
            <w:r w:rsidRPr="00166DB1">
              <w:t>To compensate for the increased travel costs associated with rural and remote locations</w:t>
            </w:r>
          </w:p>
        </w:tc>
        <w:tc>
          <w:tcPr>
            <w:tcW w:w="502" w:type="pct"/>
            <w:shd w:val="clear" w:color="auto" w:fill="F2F2F2" w:themeFill="background1" w:themeFillShade="F2"/>
            <w:noWrap/>
          </w:tcPr>
          <w:p w14:paraId="11F865CE" w14:textId="77777777" w:rsidR="002E1F1A" w:rsidRPr="00166DB1" w:rsidRDefault="002E1F1A" w:rsidP="00F44120">
            <w:pPr>
              <w:pStyle w:val="TableCopy"/>
              <w:cnfStyle w:val="000000000000" w:firstRow="0" w:lastRow="0" w:firstColumn="0" w:lastColumn="0" w:oddVBand="0" w:evenVBand="0" w:oddHBand="0" w:evenHBand="0" w:firstRowFirstColumn="0" w:firstRowLastColumn="0" w:lastRowFirstColumn="0" w:lastRowLastColumn="0"/>
              <w:rPr>
                <w:rFonts w:ascii="Franklin Gothic Book" w:hAnsi="Franklin Gothic Book"/>
                <w:b/>
              </w:rPr>
            </w:pPr>
            <w:r w:rsidRPr="00166DB1">
              <w:rPr>
                <w:rFonts w:ascii="Franklin Gothic Book" w:hAnsi="Franklin Gothic Book"/>
              </w:rPr>
              <w:t>Total Annual Expenditure ($m)</w:t>
            </w:r>
          </w:p>
        </w:tc>
      </w:tr>
      <w:tr w:rsidR="00166DB1" w:rsidRPr="00166DB1" w14:paraId="5534CCCC" w14:textId="77777777" w:rsidTr="00367717">
        <w:trPr>
          <w:trHeight w:val="290"/>
        </w:trPr>
        <w:tc>
          <w:tcPr>
            <w:cnfStyle w:val="001000000000" w:firstRow="0" w:lastRow="0" w:firstColumn="1" w:lastColumn="0" w:oddVBand="0" w:evenVBand="0" w:oddHBand="0" w:evenHBand="0" w:firstRowFirstColumn="0" w:firstRowLastColumn="0" w:lastRowFirstColumn="0" w:lastRowLastColumn="0"/>
            <w:tcW w:w="526" w:type="pct"/>
            <w:shd w:val="clear" w:color="auto" w:fill="D9D9D9" w:themeFill="background1" w:themeFillShade="D9"/>
            <w:noWrap/>
            <w:hideMark/>
          </w:tcPr>
          <w:p w14:paraId="4A708E66" w14:textId="77777777" w:rsidR="00166DB1" w:rsidRPr="00166DB1" w:rsidRDefault="00166DB1" w:rsidP="00F44120">
            <w:pPr>
              <w:pStyle w:val="TableCopy"/>
            </w:pPr>
            <w:r w:rsidRPr="00166DB1">
              <w:t>Recruit</w:t>
            </w:r>
          </w:p>
        </w:tc>
        <w:tc>
          <w:tcPr>
            <w:tcW w:w="1327" w:type="pct"/>
            <w:shd w:val="clear" w:color="auto" w:fill="BFBFBF" w:themeFill="background1" w:themeFillShade="BF"/>
          </w:tcPr>
          <w:p w14:paraId="5B13C003" w14:textId="77777777" w:rsidR="00166DB1" w:rsidRPr="00166DB1" w:rsidRDefault="00166DB1" w:rsidP="00F44120">
            <w:pPr>
              <w:pStyle w:val="TableCopy"/>
              <w:cnfStyle w:val="000000000000" w:firstRow="0" w:lastRow="0" w:firstColumn="0" w:lastColumn="0" w:oddVBand="0" w:evenVBand="0" w:oddHBand="0" w:evenHBand="0" w:firstRowFirstColumn="0" w:firstRowLastColumn="0" w:lastRowFirstColumn="0" w:lastRowLastColumn="0"/>
            </w:pPr>
            <w:r w:rsidRPr="00166DB1">
              <w:t>To attract new graduate pharmacists to work in rural and remote locations</w:t>
            </w:r>
          </w:p>
        </w:tc>
        <w:tc>
          <w:tcPr>
            <w:tcW w:w="1021" w:type="pct"/>
            <w:shd w:val="clear" w:color="auto" w:fill="F2F2F2" w:themeFill="background1" w:themeFillShade="F2"/>
            <w:noWrap/>
            <w:hideMark/>
          </w:tcPr>
          <w:p w14:paraId="1FBA1A0B" w14:textId="77777777" w:rsidR="00166DB1" w:rsidRPr="00166DB1" w:rsidRDefault="00166DB1" w:rsidP="00F44120">
            <w:pPr>
              <w:pStyle w:val="TableCopy"/>
              <w:cnfStyle w:val="000000000000" w:firstRow="0" w:lastRow="0" w:firstColumn="0" w:lastColumn="0" w:oddVBand="0" w:evenVBand="0" w:oddHBand="0" w:evenHBand="0" w:firstRowFirstColumn="0" w:firstRowLastColumn="0" w:lastRowFirstColumn="0" w:lastRowLastColumn="0"/>
            </w:pPr>
            <w:r w:rsidRPr="00166DB1">
              <w:rPr>
                <w:rFonts w:ascii="Times New Roman" w:hAnsi="Times New Roman"/>
              </w:rPr>
              <w:t>$</w:t>
            </w:r>
            <w:r w:rsidRPr="00166DB1">
              <w:t>0.67m (14.3%)</w:t>
            </w:r>
          </w:p>
          <w:p w14:paraId="4185E180"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Student Placement Allowance</w:t>
            </w:r>
          </w:p>
        </w:tc>
        <w:tc>
          <w:tcPr>
            <w:tcW w:w="911" w:type="pct"/>
            <w:shd w:val="clear" w:color="auto" w:fill="F2F2F2" w:themeFill="background1" w:themeFillShade="F2"/>
            <w:noWrap/>
            <w:hideMark/>
          </w:tcPr>
          <w:p w14:paraId="4828CC9B" w14:textId="77777777" w:rsidR="00166DB1" w:rsidRPr="00166DB1" w:rsidRDefault="00166DB1" w:rsidP="00F44120">
            <w:pPr>
              <w:pStyle w:val="TableCopy"/>
              <w:cnfStyle w:val="000000000000" w:firstRow="0" w:lastRow="0" w:firstColumn="0" w:lastColumn="0" w:oddVBand="0" w:evenVBand="0" w:oddHBand="0" w:evenHBand="0" w:firstRowFirstColumn="0" w:firstRowLastColumn="0" w:lastRowFirstColumn="0" w:lastRowLastColumn="0"/>
            </w:pPr>
            <w:r w:rsidRPr="00166DB1">
              <w:rPr>
                <w:rFonts w:ascii="Times New Roman" w:hAnsi="Times New Roman"/>
              </w:rPr>
              <w:t>$</w:t>
            </w:r>
            <w:r w:rsidRPr="00166DB1">
              <w:t xml:space="preserve">1.04m (22.1%) </w:t>
            </w:r>
          </w:p>
          <w:p w14:paraId="603E3FBB" w14:textId="77777777" w:rsidR="00166DB1" w:rsidRPr="009B60C3"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 xml:space="preserve">Rural Scholarship </w:t>
            </w:r>
          </w:p>
          <w:p w14:paraId="4F1FD893"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9B60C3">
              <w:t>Mentorship Scheme</w:t>
            </w:r>
          </w:p>
        </w:tc>
        <w:tc>
          <w:tcPr>
            <w:tcW w:w="713" w:type="pct"/>
            <w:shd w:val="clear" w:color="auto" w:fill="F2F2F2" w:themeFill="background1" w:themeFillShade="F2"/>
            <w:noWrap/>
            <w:hideMark/>
          </w:tcPr>
          <w:p w14:paraId="13C471F9" w14:textId="77777777" w:rsidR="00166DB1" w:rsidRPr="00166DB1" w:rsidRDefault="00166DB1" w:rsidP="00F44120">
            <w:pPr>
              <w:pStyle w:val="TableCopy"/>
              <w:cnfStyle w:val="000000000000" w:firstRow="0" w:lastRow="0" w:firstColumn="0" w:lastColumn="0" w:oddVBand="0" w:evenVBand="0" w:oddHBand="0" w:evenHBand="0" w:firstRowFirstColumn="0" w:firstRowLastColumn="0" w:lastRowFirstColumn="0" w:lastRowLastColumn="0"/>
            </w:pPr>
            <w:r w:rsidRPr="00166DB1">
              <w:rPr>
                <w:rFonts w:ascii="Times New Roman" w:hAnsi="Times New Roman"/>
              </w:rPr>
              <w:t>$</w:t>
            </w:r>
            <w:r w:rsidRPr="00166DB1">
              <w:t xml:space="preserve">0.08m (1.7%) </w:t>
            </w:r>
          </w:p>
          <w:p w14:paraId="72550684"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Rural Intern Incentive Allowance</w:t>
            </w:r>
          </w:p>
        </w:tc>
        <w:tc>
          <w:tcPr>
            <w:tcW w:w="502" w:type="pct"/>
            <w:shd w:val="clear" w:color="auto" w:fill="F2F2F2" w:themeFill="background1" w:themeFillShade="F2"/>
            <w:noWrap/>
            <w:hideMark/>
          </w:tcPr>
          <w:p w14:paraId="42E7E479" w14:textId="77777777" w:rsidR="00166DB1" w:rsidRPr="00166DB1" w:rsidRDefault="00166DB1" w:rsidP="00F44120">
            <w:pPr>
              <w:pStyle w:val="TableCopy"/>
              <w:cnfStyle w:val="000000000000" w:firstRow="0" w:lastRow="0" w:firstColumn="0" w:lastColumn="0" w:oddVBand="0" w:evenVBand="0" w:oddHBand="0" w:evenHBand="0" w:firstRowFirstColumn="0" w:firstRowLastColumn="0" w:lastRowFirstColumn="0" w:lastRowLastColumn="0"/>
              <w:rPr>
                <w:b/>
              </w:rPr>
            </w:pPr>
            <w:r w:rsidRPr="00166DB1">
              <w:rPr>
                <w:rFonts w:ascii="Times New Roman" w:hAnsi="Times New Roman"/>
                <w:b/>
              </w:rPr>
              <w:t>$</w:t>
            </w:r>
            <w:r w:rsidRPr="00166DB1">
              <w:rPr>
                <w:b/>
              </w:rPr>
              <w:t>1.79m (38.1%)</w:t>
            </w:r>
          </w:p>
        </w:tc>
      </w:tr>
      <w:tr w:rsidR="00166DB1" w:rsidRPr="00166DB1" w14:paraId="1E0BF50A" w14:textId="77777777" w:rsidTr="00367717">
        <w:trPr>
          <w:trHeight w:val="290"/>
        </w:trPr>
        <w:tc>
          <w:tcPr>
            <w:cnfStyle w:val="001000000000" w:firstRow="0" w:lastRow="0" w:firstColumn="1" w:lastColumn="0" w:oddVBand="0" w:evenVBand="0" w:oddHBand="0" w:evenHBand="0" w:firstRowFirstColumn="0" w:firstRowLastColumn="0" w:lastRowFirstColumn="0" w:lastRowLastColumn="0"/>
            <w:tcW w:w="526" w:type="pct"/>
            <w:shd w:val="clear" w:color="auto" w:fill="D9D9D9" w:themeFill="background1" w:themeFillShade="D9"/>
            <w:noWrap/>
            <w:hideMark/>
          </w:tcPr>
          <w:p w14:paraId="65A19BF4" w14:textId="77777777" w:rsidR="00166DB1" w:rsidRPr="00166DB1" w:rsidRDefault="00166DB1" w:rsidP="00F44120">
            <w:pPr>
              <w:pStyle w:val="TableCopy"/>
            </w:pPr>
            <w:r w:rsidRPr="00166DB1">
              <w:t xml:space="preserve">Retention </w:t>
            </w:r>
          </w:p>
        </w:tc>
        <w:tc>
          <w:tcPr>
            <w:tcW w:w="1327" w:type="pct"/>
            <w:shd w:val="clear" w:color="auto" w:fill="BFBFBF" w:themeFill="background1" w:themeFillShade="BF"/>
          </w:tcPr>
          <w:p w14:paraId="03E8C46C" w14:textId="77777777" w:rsidR="00166DB1" w:rsidRPr="00166DB1" w:rsidRDefault="00166DB1" w:rsidP="00F44120">
            <w:pPr>
              <w:pStyle w:val="TableCopy"/>
              <w:cnfStyle w:val="000000000000" w:firstRow="0" w:lastRow="0" w:firstColumn="0" w:lastColumn="0" w:oddVBand="0" w:evenVBand="0" w:oddHBand="0" w:evenHBand="0" w:firstRowFirstColumn="0" w:firstRowLastColumn="0" w:lastRowFirstColumn="0" w:lastRowLastColumn="0"/>
            </w:pPr>
            <w:r w:rsidRPr="00166DB1">
              <w:t xml:space="preserve">To support the existing workforce to continue working in rural and remote locations </w:t>
            </w:r>
          </w:p>
        </w:tc>
        <w:tc>
          <w:tcPr>
            <w:tcW w:w="1021" w:type="pct"/>
            <w:shd w:val="clear" w:color="auto" w:fill="F2F2F2" w:themeFill="background1" w:themeFillShade="F2"/>
            <w:noWrap/>
            <w:hideMark/>
          </w:tcPr>
          <w:p w14:paraId="13C4227A" w14:textId="77777777" w:rsidR="00166DB1" w:rsidRPr="00166DB1" w:rsidRDefault="00166DB1" w:rsidP="00F44120">
            <w:pPr>
              <w:pStyle w:val="TableCopy"/>
              <w:cnfStyle w:val="000000000000" w:firstRow="0" w:lastRow="0" w:firstColumn="0" w:lastColumn="0" w:oddVBand="0" w:evenVBand="0" w:oddHBand="0" w:evenHBand="0" w:firstRowFirstColumn="0" w:firstRowLastColumn="0" w:lastRowFirstColumn="0" w:lastRowLastColumn="0"/>
            </w:pPr>
            <w:r w:rsidRPr="00166DB1">
              <w:rPr>
                <w:rFonts w:ascii="Times New Roman" w:hAnsi="Times New Roman"/>
              </w:rPr>
              <w:t>$</w:t>
            </w:r>
            <w:r w:rsidRPr="00166DB1">
              <w:t>0.86 (18.3%)</w:t>
            </w:r>
          </w:p>
          <w:p w14:paraId="666B617C"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Intern Incentive Allowance for Rural Pharmacies</w:t>
            </w:r>
          </w:p>
          <w:p w14:paraId="4087B09B"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Intern Incentive Allowance for Rural Pharmacies – Extension program</w:t>
            </w:r>
          </w:p>
        </w:tc>
        <w:tc>
          <w:tcPr>
            <w:tcW w:w="911" w:type="pct"/>
            <w:shd w:val="clear" w:color="auto" w:fill="F2F2F2" w:themeFill="background1" w:themeFillShade="F2"/>
            <w:noWrap/>
            <w:hideMark/>
          </w:tcPr>
          <w:p w14:paraId="308F0CFE" w14:textId="77777777" w:rsidR="00166DB1" w:rsidRPr="00166DB1" w:rsidRDefault="00166DB1" w:rsidP="00F44120">
            <w:pPr>
              <w:pStyle w:val="TableCopy"/>
              <w:cnfStyle w:val="000000000000" w:firstRow="0" w:lastRow="0" w:firstColumn="0" w:lastColumn="0" w:oddVBand="0" w:evenVBand="0" w:oddHBand="0" w:evenHBand="0" w:firstRowFirstColumn="0" w:firstRowLastColumn="0" w:lastRowFirstColumn="0" w:lastRowLastColumn="0"/>
            </w:pPr>
            <w:r w:rsidRPr="00166DB1">
              <w:t>-</w:t>
            </w:r>
          </w:p>
        </w:tc>
        <w:tc>
          <w:tcPr>
            <w:tcW w:w="713" w:type="pct"/>
            <w:shd w:val="clear" w:color="auto" w:fill="F2F2F2" w:themeFill="background1" w:themeFillShade="F2"/>
            <w:noWrap/>
            <w:hideMark/>
          </w:tcPr>
          <w:p w14:paraId="7AF22836" w14:textId="77777777" w:rsidR="00166DB1" w:rsidRPr="00166DB1" w:rsidRDefault="00166DB1" w:rsidP="00F44120">
            <w:pPr>
              <w:pStyle w:val="TableCopy"/>
              <w:cnfStyle w:val="000000000000" w:firstRow="0" w:lastRow="0" w:firstColumn="0" w:lastColumn="0" w:oddVBand="0" w:evenVBand="0" w:oddHBand="0" w:evenHBand="0" w:firstRowFirstColumn="0" w:firstRowLastColumn="0" w:lastRowFirstColumn="0" w:lastRowLastColumn="0"/>
            </w:pPr>
            <w:r w:rsidRPr="00166DB1">
              <w:rPr>
                <w:rFonts w:ascii="Times New Roman" w:hAnsi="Times New Roman"/>
              </w:rPr>
              <w:t>$</w:t>
            </w:r>
            <w:r w:rsidRPr="00166DB1">
              <w:t>0.46m (9.8%)</w:t>
            </w:r>
          </w:p>
          <w:p w14:paraId="36FDABCF"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CPE Allowance</w:t>
            </w:r>
          </w:p>
          <w:p w14:paraId="3CB4F858"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 xml:space="preserve">Emergency Locum Service </w:t>
            </w:r>
          </w:p>
        </w:tc>
        <w:tc>
          <w:tcPr>
            <w:tcW w:w="502" w:type="pct"/>
            <w:shd w:val="clear" w:color="auto" w:fill="F2F2F2" w:themeFill="background1" w:themeFillShade="F2"/>
            <w:noWrap/>
            <w:hideMark/>
          </w:tcPr>
          <w:p w14:paraId="05A82123" w14:textId="77777777" w:rsidR="00166DB1" w:rsidRPr="00166DB1" w:rsidRDefault="00166DB1" w:rsidP="00F44120">
            <w:pPr>
              <w:pStyle w:val="TableCopy"/>
              <w:cnfStyle w:val="000000000000" w:firstRow="0" w:lastRow="0" w:firstColumn="0" w:lastColumn="0" w:oddVBand="0" w:evenVBand="0" w:oddHBand="0" w:evenHBand="0" w:firstRowFirstColumn="0" w:firstRowLastColumn="0" w:lastRowFirstColumn="0" w:lastRowLastColumn="0"/>
              <w:rPr>
                <w:b/>
              </w:rPr>
            </w:pPr>
            <w:r w:rsidRPr="00166DB1">
              <w:rPr>
                <w:rFonts w:ascii="Times New Roman" w:hAnsi="Times New Roman"/>
                <w:b/>
              </w:rPr>
              <w:t>$</w:t>
            </w:r>
            <w:r w:rsidRPr="00166DB1">
              <w:rPr>
                <w:b/>
              </w:rPr>
              <w:t xml:space="preserve">1.32m (28.1%) </w:t>
            </w:r>
          </w:p>
        </w:tc>
      </w:tr>
      <w:tr w:rsidR="00166DB1" w:rsidRPr="00166DB1" w14:paraId="71CA84AE" w14:textId="77777777" w:rsidTr="00367717">
        <w:trPr>
          <w:trHeight w:val="290"/>
        </w:trPr>
        <w:tc>
          <w:tcPr>
            <w:cnfStyle w:val="001000000000" w:firstRow="0" w:lastRow="0" w:firstColumn="1" w:lastColumn="0" w:oddVBand="0" w:evenVBand="0" w:oddHBand="0" w:evenHBand="0" w:firstRowFirstColumn="0" w:firstRowLastColumn="0" w:lastRowFirstColumn="0" w:lastRowLastColumn="0"/>
            <w:tcW w:w="526" w:type="pct"/>
            <w:shd w:val="clear" w:color="auto" w:fill="D9D9D9" w:themeFill="background1" w:themeFillShade="D9"/>
            <w:noWrap/>
            <w:hideMark/>
          </w:tcPr>
          <w:p w14:paraId="4BC43263" w14:textId="77777777" w:rsidR="00166DB1" w:rsidRPr="00166DB1" w:rsidRDefault="00166DB1" w:rsidP="00F44120">
            <w:pPr>
              <w:pStyle w:val="TableCopy"/>
            </w:pPr>
            <w:r w:rsidRPr="00166DB1">
              <w:t>Support</w:t>
            </w:r>
          </w:p>
        </w:tc>
        <w:tc>
          <w:tcPr>
            <w:tcW w:w="1327" w:type="pct"/>
            <w:shd w:val="clear" w:color="auto" w:fill="BFBFBF" w:themeFill="background1" w:themeFillShade="BF"/>
          </w:tcPr>
          <w:p w14:paraId="40CDCAD2" w14:textId="77777777" w:rsidR="00166DB1" w:rsidRPr="00166DB1" w:rsidRDefault="00166DB1" w:rsidP="00F44120">
            <w:pPr>
              <w:pStyle w:val="TableCopy"/>
              <w:cnfStyle w:val="000000000000" w:firstRow="0" w:lastRow="0" w:firstColumn="0" w:lastColumn="0" w:oddVBand="0" w:evenVBand="0" w:oddHBand="0" w:evenHBand="0" w:firstRowFirstColumn="0" w:firstRowLastColumn="0" w:lastRowFirstColumn="0" w:lastRowLastColumn="0"/>
            </w:pPr>
            <w:r w:rsidRPr="00166DB1">
              <w:t xml:space="preserve">To provide indirect support for student placements </w:t>
            </w:r>
          </w:p>
        </w:tc>
        <w:tc>
          <w:tcPr>
            <w:tcW w:w="1021" w:type="pct"/>
            <w:shd w:val="clear" w:color="auto" w:fill="F2F2F2" w:themeFill="background1" w:themeFillShade="F2"/>
            <w:noWrap/>
            <w:hideMark/>
          </w:tcPr>
          <w:p w14:paraId="31EA9F60" w14:textId="77777777" w:rsidR="00166DB1" w:rsidRPr="00166DB1" w:rsidRDefault="00166DB1" w:rsidP="00F44120">
            <w:pPr>
              <w:pStyle w:val="TableCopy"/>
              <w:cnfStyle w:val="000000000000" w:firstRow="0" w:lastRow="0" w:firstColumn="0" w:lastColumn="0" w:oddVBand="0" w:evenVBand="0" w:oddHBand="0" w:evenHBand="0" w:firstRowFirstColumn="0" w:firstRowLastColumn="0" w:lastRowFirstColumn="0" w:lastRowLastColumn="0"/>
            </w:pPr>
            <w:r w:rsidRPr="00166DB1">
              <w:rPr>
                <w:rFonts w:ascii="Times New Roman" w:hAnsi="Times New Roman"/>
              </w:rPr>
              <w:t>$</w:t>
            </w:r>
            <w:r w:rsidRPr="00166DB1">
              <w:t>1.36m (28.9%)</w:t>
            </w:r>
          </w:p>
          <w:p w14:paraId="10F0EB7D"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RPLO</w:t>
            </w:r>
          </w:p>
          <w:p w14:paraId="0586C413"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Administration Support to Pharmacy Schools</w:t>
            </w:r>
          </w:p>
        </w:tc>
        <w:tc>
          <w:tcPr>
            <w:tcW w:w="911" w:type="pct"/>
            <w:shd w:val="clear" w:color="auto" w:fill="F2F2F2" w:themeFill="background1" w:themeFillShade="F2"/>
            <w:noWrap/>
            <w:hideMark/>
          </w:tcPr>
          <w:p w14:paraId="1E1CC015" w14:textId="77777777" w:rsidR="00166DB1" w:rsidRPr="00166DB1" w:rsidRDefault="00166DB1" w:rsidP="00F44120">
            <w:pPr>
              <w:pStyle w:val="TableCopy"/>
              <w:cnfStyle w:val="000000000000" w:firstRow="0" w:lastRow="0" w:firstColumn="0" w:lastColumn="0" w:oddVBand="0" w:evenVBand="0" w:oddHBand="0" w:evenHBand="0" w:firstRowFirstColumn="0" w:firstRowLastColumn="0" w:lastRowFirstColumn="0" w:lastRowLastColumn="0"/>
            </w:pPr>
            <w:r w:rsidRPr="00166DB1">
              <w:t>-</w:t>
            </w:r>
          </w:p>
        </w:tc>
        <w:tc>
          <w:tcPr>
            <w:tcW w:w="713" w:type="pct"/>
            <w:shd w:val="clear" w:color="auto" w:fill="F2F2F2" w:themeFill="background1" w:themeFillShade="F2"/>
            <w:noWrap/>
            <w:hideMark/>
          </w:tcPr>
          <w:p w14:paraId="50019B6D" w14:textId="77777777" w:rsidR="00166DB1" w:rsidRPr="00166DB1" w:rsidRDefault="00166DB1" w:rsidP="00F44120">
            <w:pPr>
              <w:pStyle w:val="TableCopy"/>
              <w:cnfStyle w:val="000000000000" w:firstRow="0" w:lastRow="0" w:firstColumn="0" w:lastColumn="0" w:oddVBand="0" w:evenVBand="0" w:oddHBand="0" w:evenHBand="0" w:firstRowFirstColumn="0" w:firstRowLastColumn="0" w:lastRowFirstColumn="0" w:lastRowLastColumn="0"/>
            </w:pPr>
            <w:r w:rsidRPr="00166DB1">
              <w:t>-</w:t>
            </w:r>
          </w:p>
        </w:tc>
        <w:tc>
          <w:tcPr>
            <w:tcW w:w="502" w:type="pct"/>
            <w:shd w:val="clear" w:color="auto" w:fill="F2F2F2" w:themeFill="background1" w:themeFillShade="F2"/>
            <w:noWrap/>
            <w:hideMark/>
          </w:tcPr>
          <w:p w14:paraId="68B48E78" w14:textId="77777777" w:rsidR="00166DB1" w:rsidRPr="00166DB1" w:rsidRDefault="00166DB1" w:rsidP="00F44120">
            <w:pPr>
              <w:pStyle w:val="TableCopy"/>
              <w:cnfStyle w:val="000000000000" w:firstRow="0" w:lastRow="0" w:firstColumn="0" w:lastColumn="0" w:oddVBand="0" w:evenVBand="0" w:oddHBand="0" w:evenHBand="0" w:firstRowFirstColumn="0" w:firstRowLastColumn="0" w:lastRowFirstColumn="0" w:lastRowLastColumn="0"/>
              <w:rPr>
                <w:b/>
              </w:rPr>
            </w:pPr>
            <w:r w:rsidRPr="00166DB1">
              <w:rPr>
                <w:rFonts w:ascii="Times New Roman" w:hAnsi="Times New Roman"/>
                <w:b/>
              </w:rPr>
              <w:t>$</w:t>
            </w:r>
            <w:r w:rsidRPr="00166DB1">
              <w:rPr>
                <w:b/>
              </w:rPr>
              <w:t xml:space="preserve">1.36m (28.9%) </w:t>
            </w:r>
          </w:p>
        </w:tc>
      </w:tr>
      <w:tr w:rsidR="00166DB1" w:rsidRPr="00166DB1" w14:paraId="41CD14D6" w14:textId="77777777" w:rsidTr="00133610">
        <w:trPr>
          <w:trHeight w:val="290"/>
        </w:trPr>
        <w:tc>
          <w:tcPr>
            <w:cnfStyle w:val="001000000000" w:firstRow="0" w:lastRow="0" w:firstColumn="1" w:lastColumn="0" w:oddVBand="0" w:evenVBand="0" w:oddHBand="0" w:evenHBand="0" w:firstRowFirstColumn="0" w:firstRowLastColumn="0" w:lastRowFirstColumn="0" w:lastRowLastColumn="0"/>
            <w:tcW w:w="526" w:type="pct"/>
            <w:tcBorders>
              <w:bottom w:val="single" w:sz="4" w:space="0" w:color="auto"/>
            </w:tcBorders>
            <w:shd w:val="clear" w:color="auto" w:fill="D9D9D9" w:themeFill="background1" w:themeFillShade="D9"/>
            <w:noWrap/>
            <w:hideMark/>
          </w:tcPr>
          <w:p w14:paraId="0151076B" w14:textId="77777777" w:rsidR="00166DB1" w:rsidRPr="00166DB1" w:rsidRDefault="00166DB1" w:rsidP="00F44120">
            <w:pPr>
              <w:pStyle w:val="TableCopy"/>
            </w:pPr>
            <w:r w:rsidRPr="00166DB1">
              <w:t>Access to culturally appropriate services</w:t>
            </w:r>
          </w:p>
        </w:tc>
        <w:tc>
          <w:tcPr>
            <w:tcW w:w="1327" w:type="pct"/>
            <w:tcBorders>
              <w:bottom w:val="single" w:sz="4" w:space="0" w:color="auto"/>
            </w:tcBorders>
            <w:shd w:val="clear" w:color="auto" w:fill="BFBFBF" w:themeFill="background1" w:themeFillShade="BF"/>
          </w:tcPr>
          <w:p w14:paraId="1C963F42" w14:textId="77777777" w:rsidR="00166DB1" w:rsidRPr="00166DB1" w:rsidRDefault="00166DB1" w:rsidP="00F44120">
            <w:pPr>
              <w:pStyle w:val="TableCopy"/>
              <w:cnfStyle w:val="000000000000" w:firstRow="0" w:lastRow="0" w:firstColumn="0" w:lastColumn="0" w:oddVBand="0" w:evenVBand="0" w:oddHBand="0" w:evenHBand="0" w:firstRowFirstColumn="0" w:firstRowLastColumn="0" w:lastRowFirstColumn="0" w:lastRowLastColumn="0"/>
            </w:pPr>
            <w:r w:rsidRPr="00166DB1">
              <w:t xml:space="preserve">To increase access to culturally appropriate pharmacy services for Aboriginal and Torres Strait Islander customers </w:t>
            </w:r>
          </w:p>
        </w:tc>
        <w:tc>
          <w:tcPr>
            <w:tcW w:w="1021" w:type="pct"/>
            <w:shd w:val="clear" w:color="auto" w:fill="F2F2F2" w:themeFill="background1" w:themeFillShade="F2"/>
            <w:noWrap/>
            <w:hideMark/>
          </w:tcPr>
          <w:p w14:paraId="4B0580F9" w14:textId="77777777" w:rsidR="00166DB1" w:rsidRPr="00166DB1" w:rsidRDefault="00166DB1" w:rsidP="00F44120">
            <w:pPr>
              <w:pStyle w:val="TableCopy"/>
              <w:cnfStyle w:val="000000000000" w:firstRow="0" w:lastRow="0" w:firstColumn="0" w:lastColumn="0" w:oddVBand="0" w:evenVBand="0" w:oddHBand="0" w:evenHBand="0" w:firstRowFirstColumn="0" w:firstRowLastColumn="0" w:lastRowFirstColumn="0" w:lastRowLastColumn="0"/>
            </w:pPr>
            <w:r w:rsidRPr="00166DB1">
              <w:t>-</w:t>
            </w:r>
          </w:p>
        </w:tc>
        <w:tc>
          <w:tcPr>
            <w:tcW w:w="911" w:type="pct"/>
            <w:shd w:val="clear" w:color="auto" w:fill="F2F2F2" w:themeFill="background1" w:themeFillShade="F2"/>
            <w:noWrap/>
            <w:hideMark/>
          </w:tcPr>
          <w:p w14:paraId="2D31A610" w14:textId="77777777" w:rsidR="00166DB1" w:rsidRPr="00166DB1" w:rsidRDefault="00166DB1" w:rsidP="00F44120">
            <w:pPr>
              <w:pStyle w:val="TableCopy"/>
              <w:cnfStyle w:val="000000000000" w:firstRow="0" w:lastRow="0" w:firstColumn="0" w:lastColumn="0" w:oddVBand="0" w:evenVBand="0" w:oddHBand="0" w:evenHBand="0" w:firstRowFirstColumn="0" w:firstRowLastColumn="0" w:lastRowFirstColumn="0" w:lastRowLastColumn="0"/>
            </w:pPr>
            <w:r w:rsidRPr="00166DB1">
              <w:rPr>
                <w:rFonts w:ascii="Times New Roman" w:hAnsi="Times New Roman"/>
              </w:rPr>
              <w:t>$</w:t>
            </w:r>
            <w:r w:rsidRPr="00166DB1">
              <w:t xml:space="preserve">0.23m (4.9%) </w:t>
            </w:r>
          </w:p>
          <w:p w14:paraId="64BC8EA0"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Aboriginal and Torres Strait Islander Pharmacy Scholarship Scheme</w:t>
            </w:r>
          </w:p>
          <w:p w14:paraId="30B86FA9"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Aboriginal and Torres Strait Islander Pharmacy Assistant Traineeship Scheme</w:t>
            </w:r>
          </w:p>
        </w:tc>
        <w:tc>
          <w:tcPr>
            <w:tcW w:w="713" w:type="pct"/>
            <w:shd w:val="clear" w:color="auto" w:fill="F2F2F2" w:themeFill="background1" w:themeFillShade="F2"/>
            <w:noWrap/>
            <w:hideMark/>
          </w:tcPr>
          <w:p w14:paraId="2EA07093" w14:textId="77777777" w:rsidR="00166DB1" w:rsidRPr="00166DB1" w:rsidRDefault="00166DB1" w:rsidP="00F44120">
            <w:pPr>
              <w:pStyle w:val="TableCopy"/>
              <w:cnfStyle w:val="000000000000" w:firstRow="0" w:lastRow="0" w:firstColumn="0" w:lastColumn="0" w:oddVBand="0" w:evenVBand="0" w:oddHBand="0" w:evenHBand="0" w:firstRowFirstColumn="0" w:firstRowLastColumn="0" w:lastRowFirstColumn="0" w:lastRowLastColumn="0"/>
            </w:pPr>
            <w:r w:rsidRPr="00166DB1">
              <w:t>-</w:t>
            </w:r>
          </w:p>
        </w:tc>
        <w:tc>
          <w:tcPr>
            <w:tcW w:w="502" w:type="pct"/>
            <w:shd w:val="clear" w:color="auto" w:fill="F2F2F2" w:themeFill="background1" w:themeFillShade="F2"/>
            <w:noWrap/>
            <w:hideMark/>
          </w:tcPr>
          <w:p w14:paraId="5C0B8A7F" w14:textId="77777777" w:rsidR="00166DB1" w:rsidRPr="00166DB1" w:rsidRDefault="00166DB1" w:rsidP="00F44120">
            <w:pPr>
              <w:pStyle w:val="TableCopy"/>
              <w:cnfStyle w:val="000000000000" w:firstRow="0" w:lastRow="0" w:firstColumn="0" w:lastColumn="0" w:oddVBand="0" w:evenVBand="0" w:oddHBand="0" w:evenHBand="0" w:firstRowFirstColumn="0" w:firstRowLastColumn="0" w:lastRowFirstColumn="0" w:lastRowLastColumn="0"/>
              <w:rPr>
                <w:b/>
              </w:rPr>
            </w:pPr>
            <w:r w:rsidRPr="00166DB1">
              <w:rPr>
                <w:rFonts w:ascii="Times New Roman" w:hAnsi="Times New Roman"/>
                <w:b/>
              </w:rPr>
              <w:t>$</w:t>
            </w:r>
            <w:r w:rsidRPr="00166DB1">
              <w:rPr>
                <w:b/>
              </w:rPr>
              <w:t xml:space="preserve">0.23m (4.9%) </w:t>
            </w:r>
          </w:p>
        </w:tc>
      </w:tr>
      <w:tr w:rsidR="00133610" w:rsidRPr="00166DB1" w14:paraId="28CB0ED2" w14:textId="77777777" w:rsidTr="00133610">
        <w:trPr>
          <w:trHeight w:val="290"/>
        </w:trPr>
        <w:tc>
          <w:tcPr>
            <w:cnfStyle w:val="001000000000" w:firstRow="0" w:lastRow="0" w:firstColumn="1" w:lastColumn="0" w:oddVBand="0" w:evenVBand="0" w:oddHBand="0" w:evenHBand="0" w:firstRowFirstColumn="0" w:firstRowLastColumn="0" w:lastRowFirstColumn="0" w:lastRowLastColumn="0"/>
            <w:tcW w:w="526" w:type="pct"/>
            <w:tcBorders>
              <w:right w:val="nil"/>
            </w:tcBorders>
            <w:shd w:val="clear" w:color="auto" w:fill="D9D9D9" w:themeFill="background1" w:themeFillShade="D9"/>
            <w:noWrap/>
            <w:hideMark/>
          </w:tcPr>
          <w:p w14:paraId="4ADC9B34" w14:textId="77777777" w:rsidR="00133610" w:rsidRPr="00166DB1" w:rsidRDefault="00133610" w:rsidP="00F44120">
            <w:pPr>
              <w:pStyle w:val="TableCopy"/>
              <w:rPr>
                <w:b w:val="0"/>
                <w:color w:val="FFFFFF"/>
              </w:rPr>
            </w:pPr>
            <w:r w:rsidRPr="00166DB1">
              <w:t xml:space="preserve">Total </w:t>
            </w:r>
          </w:p>
        </w:tc>
        <w:tc>
          <w:tcPr>
            <w:tcW w:w="1327" w:type="pct"/>
            <w:tcBorders>
              <w:left w:val="nil"/>
            </w:tcBorders>
            <w:shd w:val="clear" w:color="auto" w:fill="D9D9D9" w:themeFill="background1" w:themeFillShade="D9"/>
          </w:tcPr>
          <w:p w14:paraId="73A52264" w14:textId="0B18A0C7" w:rsidR="00133610" w:rsidRPr="00166DB1" w:rsidRDefault="00133610" w:rsidP="00F44120">
            <w:pPr>
              <w:pStyle w:val="TableCopy"/>
              <w:cnfStyle w:val="000000000000" w:firstRow="0" w:lastRow="0" w:firstColumn="0" w:lastColumn="0" w:oddVBand="0" w:evenVBand="0" w:oddHBand="0" w:evenHBand="0" w:firstRowFirstColumn="0" w:firstRowLastColumn="0" w:lastRowFirstColumn="0" w:lastRowLastColumn="0"/>
              <w:rPr>
                <w:color w:val="FFFFFF"/>
              </w:rPr>
            </w:pPr>
          </w:p>
        </w:tc>
        <w:tc>
          <w:tcPr>
            <w:tcW w:w="1021" w:type="pct"/>
            <w:shd w:val="clear" w:color="auto" w:fill="F2F2F2" w:themeFill="background1" w:themeFillShade="F2"/>
            <w:noWrap/>
            <w:hideMark/>
          </w:tcPr>
          <w:p w14:paraId="21254F90" w14:textId="77777777" w:rsidR="00133610" w:rsidRPr="00166DB1" w:rsidRDefault="00133610" w:rsidP="00F44120">
            <w:pPr>
              <w:pStyle w:val="TableCopy"/>
              <w:cnfStyle w:val="000000000000" w:firstRow="0" w:lastRow="0" w:firstColumn="0" w:lastColumn="0" w:oddVBand="0" w:evenVBand="0" w:oddHBand="0" w:evenHBand="0" w:firstRowFirstColumn="0" w:firstRowLastColumn="0" w:lastRowFirstColumn="0" w:lastRowLastColumn="0"/>
              <w:rPr>
                <w:b/>
              </w:rPr>
            </w:pPr>
            <w:r w:rsidRPr="00166DB1">
              <w:rPr>
                <w:rFonts w:ascii="Times New Roman" w:hAnsi="Times New Roman"/>
                <w:b/>
              </w:rPr>
              <w:t>$</w:t>
            </w:r>
            <w:r w:rsidRPr="00166DB1">
              <w:rPr>
                <w:b/>
              </w:rPr>
              <w:t>2.89m (61.5%)</w:t>
            </w:r>
          </w:p>
        </w:tc>
        <w:tc>
          <w:tcPr>
            <w:tcW w:w="911" w:type="pct"/>
            <w:shd w:val="clear" w:color="auto" w:fill="F2F2F2" w:themeFill="background1" w:themeFillShade="F2"/>
            <w:noWrap/>
            <w:hideMark/>
          </w:tcPr>
          <w:p w14:paraId="2F6A1D42" w14:textId="77777777" w:rsidR="00133610" w:rsidRPr="00166DB1" w:rsidRDefault="00133610" w:rsidP="00F44120">
            <w:pPr>
              <w:pStyle w:val="TableCopy"/>
              <w:cnfStyle w:val="000000000000" w:firstRow="0" w:lastRow="0" w:firstColumn="0" w:lastColumn="0" w:oddVBand="0" w:evenVBand="0" w:oddHBand="0" w:evenHBand="0" w:firstRowFirstColumn="0" w:firstRowLastColumn="0" w:lastRowFirstColumn="0" w:lastRowLastColumn="0"/>
              <w:rPr>
                <w:b/>
              </w:rPr>
            </w:pPr>
            <w:r w:rsidRPr="00166DB1">
              <w:rPr>
                <w:rFonts w:ascii="Times New Roman" w:hAnsi="Times New Roman"/>
                <w:b/>
              </w:rPr>
              <w:t>$</w:t>
            </w:r>
            <w:r w:rsidRPr="00166DB1">
              <w:rPr>
                <w:b/>
              </w:rPr>
              <w:t xml:space="preserve">1.27m (27.0%) </w:t>
            </w:r>
          </w:p>
        </w:tc>
        <w:tc>
          <w:tcPr>
            <w:tcW w:w="713" w:type="pct"/>
            <w:shd w:val="clear" w:color="auto" w:fill="F2F2F2" w:themeFill="background1" w:themeFillShade="F2"/>
            <w:noWrap/>
            <w:hideMark/>
          </w:tcPr>
          <w:p w14:paraId="14F12D91" w14:textId="77777777" w:rsidR="00133610" w:rsidRPr="00166DB1" w:rsidRDefault="00133610" w:rsidP="00F44120">
            <w:pPr>
              <w:pStyle w:val="TableCopy"/>
              <w:cnfStyle w:val="000000000000" w:firstRow="0" w:lastRow="0" w:firstColumn="0" w:lastColumn="0" w:oddVBand="0" w:evenVBand="0" w:oddHBand="0" w:evenHBand="0" w:firstRowFirstColumn="0" w:firstRowLastColumn="0" w:lastRowFirstColumn="0" w:lastRowLastColumn="0"/>
              <w:rPr>
                <w:b/>
              </w:rPr>
            </w:pPr>
            <w:r w:rsidRPr="00166DB1">
              <w:rPr>
                <w:rFonts w:ascii="Times New Roman" w:hAnsi="Times New Roman"/>
                <w:b/>
              </w:rPr>
              <w:t>$</w:t>
            </w:r>
            <w:r w:rsidRPr="00166DB1">
              <w:rPr>
                <w:b/>
              </w:rPr>
              <w:t>0.54m (11.5%)</w:t>
            </w:r>
          </w:p>
        </w:tc>
        <w:tc>
          <w:tcPr>
            <w:tcW w:w="502" w:type="pct"/>
            <w:shd w:val="clear" w:color="auto" w:fill="F2F2F2" w:themeFill="background1" w:themeFillShade="F2"/>
            <w:noWrap/>
            <w:hideMark/>
          </w:tcPr>
          <w:p w14:paraId="036DDD2F" w14:textId="77777777" w:rsidR="00133610" w:rsidRPr="00166DB1" w:rsidRDefault="00133610" w:rsidP="00F44120">
            <w:pPr>
              <w:pStyle w:val="TableCopy"/>
              <w:cnfStyle w:val="000000000000" w:firstRow="0" w:lastRow="0" w:firstColumn="0" w:lastColumn="0" w:oddVBand="0" w:evenVBand="0" w:oddHBand="0" w:evenHBand="0" w:firstRowFirstColumn="0" w:firstRowLastColumn="0" w:lastRowFirstColumn="0" w:lastRowLastColumn="0"/>
              <w:rPr>
                <w:b/>
              </w:rPr>
            </w:pPr>
            <w:r w:rsidRPr="00166DB1">
              <w:rPr>
                <w:rFonts w:ascii="Times New Roman" w:hAnsi="Times New Roman"/>
                <w:b/>
              </w:rPr>
              <w:t>$</w:t>
            </w:r>
            <w:r w:rsidRPr="00166DB1">
              <w:rPr>
                <w:b/>
              </w:rPr>
              <w:t>4.7m (100%)</w:t>
            </w:r>
          </w:p>
        </w:tc>
      </w:tr>
    </w:tbl>
    <w:p w14:paraId="1104515A" w14:textId="77777777" w:rsidR="00166DB1" w:rsidRPr="00166DB1" w:rsidRDefault="00166DB1" w:rsidP="00166DB1">
      <w:pPr>
        <w:spacing w:before="85" w:after="85"/>
        <w:rPr>
          <w:rFonts w:ascii="Garamond" w:eastAsia="Garamond" w:hAnsi="Garamond"/>
          <w:color w:val="000000"/>
        </w:rPr>
        <w:sectPr w:rsidR="00166DB1" w:rsidRPr="00166DB1" w:rsidSect="00720069">
          <w:pgSz w:w="16839" w:h="11907" w:orient="landscape" w:code="9"/>
          <w:pgMar w:top="2268" w:right="1304" w:bottom="851" w:left="737" w:header="567" w:footer="284" w:gutter="0"/>
          <w:cols w:space="709"/>
          <w:docGrid w:linePitch="360"/>
        </w:sectPr>
      </w:pPr>
    </w:p>
    <w:p w14:paraId="6DB1B2F9" w14:textId="77777777" w:rsidR="00166DB1" w:rsidRPr="00166DB1" w:rsidRDefault="00166DB1" w:rsidP="00B24642">
      <w:pPr>
        <w:pStyle w:val="Heading3"/>
      </w:pPr>
      <w:bookmarkStart w:id="105" w:name="_Toc490574942"/>
      <w:bookmarkStart w:id="106" w:name="_Toc523322079"/>
      <w:r w:rsidRPr="00166DB1">
        <w:lastRenderedPageBreak/>
        <w:t>Enhanced culturally appropriate service access programs</w:t>
      </w:r>
      <w:bookmarkEnd w:id="105"/>
      <w:bookmarkEnd w:id="106"/>
    </w:p>
    <w:p w14:paraId="552BED05"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Programs to increase access to culturally appropriate pharmacy services for Aboriginal and Torres Strait Islander people account for only 4.9% of the Pharmacy Workforce Package funding. The Aboriginal and Torres Strait Islander Scholarship Scheme may contribute substantially to the small increase in Aboriginal and Torres Strait Islander pharmacists observed between 2013 and 2015. However, there is evidence to indicate that many previous scholarship recipients are now working in PhARIA 1 locations, albeit with Aboriginal and Torres Strait Islander populations above the national average. This is an important contribution to culturally appropriate service access, but it may not reflect an increase in the rural and remote workforce. </w:t>
      </w:r>
    </w:p>
    <w:p w14:paraId="1130CEAF"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Similarly, most pharmacies that benefited from the Aboriginal and Torres Strait Islander Pharmacy Assistant Traineeship Scheme were located in areas with Aboriginal and Torres Strait islander populations above the national average, indicating a contribution to culturally appropriate access. However, there was insufficient data on how many pharmacy assistants completed the training and continued employment at the pharmacy post training, or if the pharmacies were in rural or remote areas. Therefore, the contribution of the Aboriginal and Torres Strait Islander Pharmacy Assistant Traineeship Scheme to the rural and remote workforce is unclear. </w:t>
      </w:r>
    </w:p>
    <w:p w14:paraId="1875B857" w14:textId="77777777" w:rsidR="00166DB1" w:rsidRPr="00166DB1" w:rsidRDefault="00166DB1" w:rsidP="00546711">
      <w:pPr>
        <w:pStyle w:val="KeyFinding"/>
        <w:shd w:val="clear" w:color="auto" w:fill="F2F2F2" w:themeFill="background1" w:themeFillShade="F2"/>
      </w:pPr>
      <w:bookmarkStart w:id="107" w:name="_Ref489869158"/>
      <w:r w:rsidRPr="00166DB1">
        <w:t>The funding for enhanced culturally appropriate services targeting Aboriginal and Torres Straits students and trainees was focussed solely on recruitment programs. This was reflected in the recruitment of new graduates to rural and remote areas, but there were no retention programs for this workforce category.</w:t>
      </w:r>
      <w:bookmarkEnd w:id="107"/>
      <w:r w:rsidRPr="00166DB1">
        <w:t xml:space="preserve"> </w:t>
      </w:r>
    </w:p>
    <w:p w14:paraId="772D8DE3" w14:textId="77777777" w:rsidR="00166DB1" w:rsidRPr="00166DB1" w:rsidRDefault="00166DB1" w:rsidP="00166DB1">
      <w:pPr>
        <w:spacing w:before="85" w:after="85"/>
        <w:rPr>
          <w:rFonts w:ascii="Garamond" w:eastAsia="Garamond" w:hAnsi="Garamond"/>
          <w:color w:val="000000"/>
        </w:rPr>
      </w:pPr>
    </w:p>
    <w:p w14:paraId="29A924B8" w14:textId="77777777" w:rsidR="00166DB1" w:rsidRPr="00166DB1" w:rsidRDefault="00166DB1" w:rsidP="00546711">
      <w:pPr>
        <w:pStyle w:val="KeyFinding"/>
        <w:shd w:val="clear" w:color="auto" w:fill="F2F2F2" w:themeFill="background1" w:themeFillShade="F2"/>
      </w:pPr>
      <w:bookmarkStart w:id="108" w:name="_Ref489869175"/>
      <w:r w:rsidRPr="00166DB1">
        <w:t>There was insufficient data on programs aimed at increasing access to culturally appropriate pharmacy services to determine their impact on the rural and remote workforce. However, the Aboriginal and Torres Strait Islander Scholarship Scheme appeared to have contributed to modest growth in the Aboriginal and Torres Strait Islander pharmacist workforce.</w:t>
      </w:r>
      <w:bookmarkEnd w:id="108"/>
    </w:p>
    <w:p w14:paraId="58F26602" w14:textId="77777777" w:rsidR="00166DB1" w:rsidRPr="00166DB1" w:rsidRDefault="00166DB1" w:rsidP="00B24642">
      <w:pPr>
        <w:pStyle w:val="Heading2"/>
      </w:pPr>
      <w:bookmarkStart w:id="109" w:name="_Toc490574943"/>
      <w:bookmarkStart w:id="110" w:name="_Toc523322080"/>
      <w:r w:rsidRPr="00166DB1">
        <w:t>Unit cost</w:t>
      </w:r>
      <w:bookmarkEnd w:id="109"/>
      <w:r w:rsidRPr="00166DB1">
        <w:t xml:space="preserve"> and administrative overheads</w:t>
      </w:r>
      <w:bookmarkEnd w:id="110"/>
    </w:p>
    <w:p w14:paraId="66403949"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Total unit costs of individual programs were calculated for each Pharmacy Workforce Program. The unit costs were calculated based on:</w:t>
      </w:r>
    </w:p>
    <w:p w14:paraId="48E28833" w14:textId="77777777" w:rsidR="00166DB1" w:rsidRPr="00FF3C41" w:rsidRDefault="00166DB1" w:rsidP="009F66FB">
      <w:pPr>
        <w:pStyle w:val="ListParagraph"/>
        <w:numPr>
          <w:ilvl w:val="0"/>
          <w:numId w:val="19"/>
        </w:numPr>
        <w:tabs>
          <w:tab w:val="num" w:pos="170"/>
        </w:tabs>
        <w:spacing w:before="20" w:after="20"/>
        <w:rPr>
          <w:rFonts w:ascii="Garamond" w:eastAsia="Times New Roman" w:hAnsi="Garamond"/>
          <w:color w:val="000000"/>
        </w:rPr>
      </w:pPr>
      <w:r w:rsidRPr="00FF3C41">
        <w:rPr>
          <w:rFonts w:ascii="Garamond" w:eastAsia="Times New Roman" w:hAnsi="Garamond"/>
          <w:color w:val="000000"/>
        </w:rPr>
        <w:t>direct program expenditure (e.g. value of scholarship x the number of scholarships grants), and</w:t>
      </w:r>
    </w:p>
    <w:p w14:paraId="358FEED6" w14:textId="77777777" w:rsidR="00166DB1" w:rsidRPr="00FF3C41" w:rsidRDefault="00166DB1" w:rsidP="009F66FB">
      <w:pPr>
        <w:pStyle w:val="ListParagraph"/>
        <w:numPr>
          <w:ilvl w:val="0"/>
          <w:numId w:val="19"/>
        </w:numPr>
        <w:tabs>
          <w:tab w:val="num" w:pos="170"/>
        </w:tabs>
        <w:spacing w:before="20" w:after="20"/>
        <w:rPr>
          <w:rFonts w:ascii="Garamond" w:eastAsia="Times New Roman" w:hAnsi="Garamond"/>
          <w:color w:val="000000"/>
        </w:rPr>
      </w:pPr>
      <w:r w:rsidRPr="00FF3C41">
        <w:rPr>
          <w:rFonts w:ascii="Garamond" w:eastAsia="Times New Roman" w:hAnsi="Garamond"/>
          <w:color w:val="000000"/>
        </w:rPr>
        <w:t xml:space="preserve">an allocated proportion of The Guild’s administrative costs (see </w:t>
      </w:r>
      <w:r w:rsidRPr="00FF3C41">
        <w:rPr>
          <w:rFonts w:ascii="Garamond" w:eastAsia="Times New Roman" w:hAnsi="Garamond"/>
          <w:color w:val="000000"/>
        </w:rPr>
        <w:fldChar w:fldCharType="begin"/>
      </w:r>
      <w:r w:rsidRPr="00FF3C41">
        <w:rPr>
          <w:rFonts w:ascii="Garamond" w:eastAsia="Times New Roman" w:hAnsi="Garamond"/>
          <w:color w:val="000000"/>
        </w:rPr>
        <w:instrText xml:space="preserve"> REF _Ref488233640 \r \h  \* MERGEFORMAT </w:instrText>
      </w:r>
      <w:r w:rsidRPr="00FF3C41">
        <w:rPr>
          <w:rFonts w:ascii="Garamond" w:eastAsia="Times New Roman" w:hAnsi="Garamond"/>
          <w:color w:val="000000"/>
        </w:rPr>
      </w:r>
      <w:r w:rsidRPr="00FF3C41">
        <w:rPr>
          <w:rFonts w:ascii="Garamond" w:eastAsia="Times New Roman" w:hAnsi="Garamond"/>
          <w:color w:val="000000"/>
        </w:rPr>
        <w:fldChar w:fldCharType="separate"/>
      </w:r>
      <w:r w:rsidRPr="00FF3C41">
        <w:rPr>
          <w:rFonts w:ascii="Garamond" w:eastAsia="Times New Roman" w:hAnsi="Garamond"/>
          <w:color w:val="000000"/>
        </w:rPr>
        <w:t>Appendix E</w:t>
      </w:r>
      <w:r w:rsidRPr="00FF3C41">
        <w:rPr>
          <w:rFonts w:ascii="Garamond" w:eastAsia="Times New Roman" w:hAnsi="Garamond"/>
          <w:color w:val="000000"/>
        </w:rPr>
        <w:fldChar w:fldCharType="end"/>
      </w:r>
      <w:r w:rsidRPr="00FF3C41">
        <w:rPr>
          <w:rFonts w:ascii="Garamond" w:eastAsia="Times New Roman" w:hAnsi="Garamond"/>
          <w:color w:val="000000"/>
        </w:rPr>
        <w:t xml:space="preserve">). </w:t>
      </w:r>
    </w:p>
    <w:p w14:paraId="6DCA4734"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fldChar w:fldCharType="begin"/>
      </w:r>
      <w:r w:rsidRPr="00166DB1">
        <w:rPr>
          <w:rFonts w:ascii="Garamond" w:eastAsia="Garamond" w:hAnsi="Garamond"/>
          <w:color w:val="000000"/>
        </w:rPr>
        <w:instrText xml:space="preserve"> REF _Ref490647609 \h  \* MERGEFORMAT </w:instrText>
      </w:r>
      <w:r w:rsidRPr="00166DB1">
        <w:rPr>
          <w:rFonts w:ascii="Garamond" w:eastAsia="Garamond" w:hAnsi="Garamond"/>
          <w:color w:val="000000"/>
        </w:rPr>
      </w:r>
      <w:r w:rsidRPr="00166DB1">
        <w:rPr>
          <w:rFonts w:ascii="Garamond" w:eastAsia="Garamond" w:hAnsi="Garamond"/>
          <w:color w:val="000000"/>
        </w:rPr>
        <w:fldChar w:fldCharType="separate"/>
      </w:r>
      <w:r w:rsidRPr="00166DB1">
        <w:rPr>
          <w:rFonts w:ascii="Garamond" w:eastAsia="Garamond" w:hAnsi="Garamond"/>
          <w:color w:val="000000"/>
        </w:rPr>
        <w:t xml:space="preserve">Table </w:t>
      </w:r>
      <w:r w:rsidRPr="00166DB1">
        <w:rPr>
          <w:rFonts w:ascii="Garamond" w:eastAsia="Garamond" w:hAnsi="Garamond"/>
          <w:noProof/>
          <w:color w:val="000000"/>
        </w:rPr>
        <w:t>6.2</w:t>
      </w:r>
      <w:r w:rsidRPr="00166DB1">
        <w:rPr>
          <w:rFonts w:ascii="Garamond" w:eastAsia="Garamond" w:hAnsi="Garamond"/>
          <w:color w:val="000000"/>
        </w:rPr>
        <w:fldChar w:fldCharType="end"/>
      </w:r>
      <w:r w:rsidRPr="00166DB1">
        <w:rPr>
          <w:rFonts w:ascii="Garamond" w:eastAsia="Garamond" w:hAnsi="Garamond"/>
          <w:color w:val="000000"/>
        </w:rPr>
        <w:t xml:space="preserve"> shows the estimated administrative overhead costs by program, as a proportion of total unit cost. Administration overhead costs incurred by The Guild were derived from budget reporting data provided by the Department for 2010/11 – 2014/15 financial years of the 5CPA for both the Aboriginal and Torres Strait Islander Workforce Programs and Rural Pharmacy Workforce Programs. </w:t>
      </w:r>
    </w:p>
    <w:p w14:paraId="041A9054"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There were numerous limitations with this data, including:</w:t>
      </w:r>
    </w:p>
    <w:p w14:paraId="0A1F9281" w14:textId="77777777" w:rsidR="00166DB1" w:rsidRPr="00FF3C41" w:rsidRDefault="00166DB1" w:rsidP="009F66FB">
      <w:pPr>
        <w:pStyle w:val="ListParagraph"/>
        <w:numPr>
          <w:ilvl w:val="0"/>
          <w:numId w:val="20"/>
        </w:numPr>
        <w:tabs>
          <w:tab w:val="num" w:pos="170"/>
        </w:tabs>
        <w:spacing w:before="20" w:after="20"/>
        <w:rPr>
          <w:rFonts w:ascii="Garamond" w:eastAsia="Times New Roman" w:hAnsi="Garamond"/>
          <w:color w:val="000000"/>
        </w:rPr>
      </w:pPr>
      <w:r w:rsidRPr="00FF3C41">
        <w:rPr>
          <w:rFonts w:ascii="Garamond" w:eastAsia="Times New Roman" w:hAnsi="Garamond"/>
          <w:color w:val="000000"/>
        </w:rPr>
        <w:t>the data reflects administration budgets not expenditure, and</w:t>
      </w:r>
    </w:p>
    <w:p w14:paraId="784403E0" w14:textId="77777777" w:rsidR="00166DB1" w:rsidRPr="00FF3C41" w:rsidRDefault="00166DB1" w:rsidP="009F66FB">
      <w:pPr>
        <w:pStyle w:val="ListParagraph"/>
        <w:numPr>
          <w:ilvl w:val="0"/>
          <w:numId w:val="20"/>
        </w:numPr>
        <w:tabs>
          <w:tab w:val="num" w:pos="170"/>
        </w:tabs>
        <w:spacing w:before="20" w:after="20"/>
        <w:rPr>
          <w:rFonts w:ascii="Garamond" w:eastAsia="Times New Roman" w:hAnsi="Garamond"/>
          <w:color w:val="000000"/>
        </w:rPr>
      </w:pPr>
      <w:r w:rsidRPr="00FF3C41">
        <w:rPr>
          <w:rFonts w:ascii="Garamond" w:eastAsia="Times New Roman" w:hAnsi="Garamond"/>
          <w:color w:val="000000"/>
        </w:rPr>
        <w:t xml:space="preserve">the total administration budget was not broken down by individual program. The administration costs were ‘pooled’ into two categories: </w:t>
      </w:r>
    </w:p>
    <w:p w14:paraId="64559E3C" w14:textId="77777777" w:rsidR="00166DB1" w:rsidRPr="00FF3C41" w:rsidRDefault="00166DB1" w:rsidP="009F66FB">
      <w:pPr>
        <w:pStyle w:val="ListParagraph"/>
        <w:numPr>
          <w:ilvl w:val="1"/>
          <w:numId w:val="21"/>
        </w:numPr>
        <w:tabs>
          <w:tab w:val="num" w:pos="397"/>
        </w:tabs>
        <w:spacing w:before="20" w:after="20"/>
        <w:rPr>
          <w:rFonts w:ascii="Garamond" w:eastAsia="Times New Roman" w:hAnsi="Garamond"/>
          <w:color w:val="000000"/>
        </w:rPr>
      </w:pPr>
      <w:r w:rsidRPr="00FF3C41">
        <w:rPr>
          <w:rFonts w:ascii="Garamond" w:eastAsia="Times New Roman" w:hAnsi="Garamond"/>
          <w:color w:val="000000"/>
        </w:rPr>
        <w:t>Aboriginal and Torres Strait Islander Workforce Programs, and</w:t>
      </w:r>
    </w:p>
    <w:p w14:paraId="43A4595C" w14:textId="77777777" w:rsidR="00166DB1" w:rsidRPr="00FF3C41" w:rsidRDefault="00166DB1" w:rsidP="009F66FB">
      <w:pPr>
        <w:pStyle w:val="ListParagraph"/>
        <w:numPr>
          <w:ilvl w:val="1"/>
          <w:numId w:val="21"/>
        </w:numPr>
        <w:tabs>
          <w:tab w:val="num" w:pos="397"/>
        </w:tabs>
        <w:spacing w:before="20" w:after="20"/>
        <w:rPr>
          <w:rFonts w:ascii="Garamond" w:eastAsia="Times New Roman" w:hAnsi="Garamond"/>
          <w:color w:val="000000"/>
        </w:rPr>
      </w:pPr>
      <w:r w:rsidRPr="00FF3C41">
        <w:rPr>
          <w:rFonts w:ascii="Garamond" w:eastAsia="Times New Roman" w:hAnsi="Garamond"/>
          <w:color w:val="000000"/>
        </w:rPr>
        <w:t xml:space="preserve">Rural Pharmacy Workforce Programs. </w:t>
      </w:r>
    </w:p>
    <w:p w14:paraId="1304F80A"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Administration overhead budget was allocated to each program by program volume. This assumes that, as program volumes increase, so does the administrative effort required to deliver the program (e.g. processing applications, managing funds, reporting etc.). This approach was limited as some programs required greater effort </w:t>
      </w:r>
      <w:r w:rsidRPr="00166DB1">
        <w:rPr>
          <w:rFonts w:ascii="Garamond" w:eastAsia="Garamond" w:hAnsi="Garamond"/>
          <w:color w:val="000000"/>
        </w:rPr>
        <w:lastRenderedPageBreak/>
        <w:t>than others to administer. However, HMA considers this limitation was not significant. The distribution of the administration budget across the programs was a ‘zero sum game’; under this cost apportionment methodology a reduction in the average overhead allocation for one program would be offset by increases in another.</w:t>
      </w:r>
    </w:p>
    <w:p w14:paraId="40AC5466" w14:textId="77777777" w:rsidR="00166DB1" w:rsidRPr="00166DB1" w:rsidRDefault="00166DB1" w:rsidP="00483C21">
      <w:pPr>
        <w:pStyle w:val="Caption"/>
      </w:pPr>
      <w:bookmarkStart w:id="111" w:name="_Ref490647609"/>
      <w:r w:rsidRPr="00166DB1">
        <w:t xml:space="preserve">Table </w:t>
      </w:r>
      <w:r w:rsidRPr="00166DB1">
        <w:rPr>
          <w:noProof/>
        </w:rPr>
        <w:fldChar w:fldCharType="begin"/>
      </w:r>
      <w:r w:rsidRPr="00166DB1">
        <w:rPr>
          <w:noProof/>
        </w:rPr>
        <w:instrText xml:space="preserve"> STYLEREF 1 \s </w:instrText>
      </w:r>
      <w:r w:rsidRPr="00166DB1">
        <w:rPr>
          <w:noProof/>
        </w:rPr>
        <w:fldChar w:fldCharType="separate"/>
      </w:r>
      <w:r w:rsidRPr="00166DB1">
        <w:rPr>
          <w:noProof/>
        </w:rPr>
        <w:t>6</w:t>
      </w:r>
      <w:r w:rsidRPr="00166DB1">
        <w:rPr>
          <w:noProof/>
        </w:rPr>
        <w:fldChar w:fldCharType="end"/>
      </w:r>
      <w:r w:rsidRPr="00166DB1">
        <w:t>.</w:t>
      </w:r>
      <w:r w:rsidRPr="00166DB1">
        <w:rPr>
          <w:noProof/>
        </w:rPr>
        <w:fldChar w:fldCharType="begin"/>
      </w:r>
      <w:r w:rsidRPr="00166DB1">
        <w:rPr>
          <w:noProof/>
        </w:rPr>
        <w:instrText xml:space="preserve"> SEQ Table \* ARABIC \s 1 </w:instrText>
      </w:r>
      <w:r w:rsidRPr="00166DB1">
        <w:rPr>
          <w:noProof/>
        </w:rPr>
        <w:fldChar w:fldCharType="separate"/>
      </w:r>
      <w:r w:rsidRPr="00166DB1">
        <w:rPr>
          <w:noProof/>
        </w:rPr>
        <w:t>2</w:t>
      </w:r>
      <w:r w:rsidRPr="00166DB1">
        <w:rPr>
          <w:noProof/>
        </w:rPr>
        <w:fldChar w:fldCharType="end"/>
      </w:r>
      <w:bookmarkEnd w:id="111"/>
      <w:r w:rsidRPr="00166DB1">
        <w:t>: Estimated administration overhead cost as a proportion of unit cost</w:t>
      </w:r>
    </w:p>
    <w:tbl>
      <w:tblPr>
        <w:tblStyle w:val="HMATable"/>
        <w:tblW w:w="5000" w:type="pct"/>
        <w:shd w:val="clear" w:color="auto" w:fill="F2F2F2" w:themeFill="background1" w:themeFillShade="F2"/>
        <w:tblLook w:val="04A0" w:firstRow="1" w:lastRow="0" w:firstColumn="1" w:lastColumn="0" w:noHBand="0" w:noVBand="1"/>
        <w:tblCaption w:val="Table 6.2: Estimated administration overhead cost as a proportion of unit cost"/>
        <w:tblDescription w:val="Table 6.2: Estimated administration overhead cost for each program as a proportion of unit cost"/>
      </w:tblPr>
      <w:tblGrid>
        <w:gridCol w:w="4531"/>
        <w:gridCol w:w="2503"/>
      </w:tblGrid>
      <w:tr w:rsidR="00166DB1" w:rsidRPr="00166DB1" w14:paraId="05436C4B" w14:textId="77777777" w:rsidTr="0013361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221" w:type="pct"/>
            <w:tcBorders>
              <w:bottom w:val="single" w:sz="4" w:space="0" w:color="auto"/>
            </w:tcBorders>
            <w:shd w:val="clear" w:color="auto" w:fill="F2F2F2" w:themeFill="background1" w:themeFillShade="F2"/>
          </w:tcPr>
          <w:p w14:paraId="2E2EB2CF" w14:textId="77777777" w:rsidR="00166DB1" w:rsidRPr="00166DB1" w:rsidRDefault="00166DB1" w:rsidP="00FF3C41">
            <w:pPr>
              <w:pStyle w:val="TableColumnHeading"/>
            </w:pPr>
            <w:r w:rsidRPr="00166DB1">
              <w:t>Program</w:t>
            </w:r>
          </w:p>
        </w:tc>
        <w:tc>
          <w:tcPr>
            <w:tcW w:w="1779" w:type="pct"/>
            <w:tcBorders>
              <w:bottom w:val="single" w:sz="4" w:space="0" w:color="auto"/>
            </w:tcBorders>
            <w:shd w:val="clear" w:color="auto" w:fill="F2F2F2" w:themeFill="background1" w:themeFillShade="F2"/>
          </w:tcPr>
          <w:p w14:paraId="508E7C4D" w14:textId="77777777" w:rsidR="00166DB1" w:rsidRPr="00166DB1" w:rsidRDefault="00166DB1" w:rsidP="00FF3C41">
            <w:pPr>
              <w:pStyle w:val="TableColumnHeading"/>
              <w:cnfStyle w:val="100000000000" w:firstRow="1" w:lastRow="0" w:firstColumn="0" w:lastColumn="0" w:oddVBand="0" w:evenVBand="0" w:oddHBand="0" w:evenHBand="0" w:firstRowFirstColumn="0" w:firstRowLastColumn="0" w:lastRowFirstColumn="0" w:lastRowLastColumn="0"/>
            </w:pPr>
            <w:r w:rsidRPr="00166DB1">
              <w:t>Estimated administration overhead cost as a proportion of unit cost</w:t>
            </w:r>
          </w:p>
        </w:tc>
      </w:tr>
      <w:tr w:rsidR="00133610" w:rsidRPr="003E51C4" w14:paraId="7E967652" w14:textId="77777777" w:rsidTr="00133610">
        <w:tc>
          <w:tcPr>
            <w:cnfStyle w:val="001000000000" w:firstRow="0" w:lastRow="0" w:firstColumn="1" w:lastColumn="0" w:oddVBand="0" w:evenVBand="0" w:oddHBand="0" w:evenHBand="0" w:firstRowFirstColumn="0" w:firstRowLastColumn="0" w:lastRowFirstColumn="0" w:lastRowLastColumn="0"/>
            <w:tcW w:w="3221" w:type="pct"/>
            <w:tcBorders>
              <w:right w:val="nil"/>
            </w:tcBorders>
            <w:shd w:val="clear" w:color="auto" w:fill="BFBFBF" w:themeFill="background1" w:themeFillShade="BF"/>
          </w:tcPr>
          <w:p w14:paraId="53C08402" w14:textId="77777777" w:rsidR="00133610" w:rsidRPr="003E51C4" w:rsidRDefault="00133610" w:rsidP="00FF3C41">
            <w:pPr>
              <w:pStyle w:val="Tablesubheading1"/>
              <w:rPr>
                <w:b w:val="0"/>
                <w:color w:val="000000" w:themeColor="text1"/>
              </w:rPr>
            </w:pPr>
            <w:r w:rsidRPr="003E51C4">
              <w:rPr>
                <w:color w:val="000000" w:themeColor="text1"/>
              </w:rPr>
              <w:t>Rural Pharmacy Workforce Programs</w:t>
            </w:r>
          </w:p>
        </w:tc>
        <w:tc>
          <w:tcPr>
            <w:tcW w:w="1779" w:type="pct"/>
            <w:tcBorders>
              <w:left w:val="nil"/>
            </w:tcBorders>
            <w:shd w:val="clear" w:color="auto" w:fill="BFBFBF" w:themeFill="background1" w:themeFillShade="BF"/>
          </w:tcPr>
          <w:p w14:paraId="069E3651" w14:textId="5BA7E9C8" w:rsidR="00133610" w:rsidRPr="003E51C4" w:rsidRDefault="00133610" w:rsidP="00FF3C41">
            <w:pPr>
              <w:pStyle w:val="Tablesubheading1"/>
              <w:cnfStyle w:val="000000000000" w:firstRow="0" w:lastRow="0" w:firstColumn="0" w:lastColumn="0" w:oddVBand="0" w:evenVBand="0" w:oddHBand="0" w:evenHBand="0" w:firstRowFirstColumn="0" w:firstRowLastColumn="0" w:lastRowFirstColumn="0" w:lastRowLastColumn="0"/>
              <w:rPr>
                <w:color w:val="000000" w:themeColor="text1"/>
              </w:rPr>
            </w:pPr>
          </w:p>
        </w:tc>
      </w:tr>
      <w:tr w:rsidR="00166DB1" w:rsidRPr="00166DB1" w14:paraId="4783CFE9" w14:textId="77777777" w:rsidTr="00FF3C41">
        <w:tc>
          <w:tcPr>
            <w:cnfStyle w:val="001000000000" w:firstRow="0" w:lastRow="0" w:firstColumn="1" w:lastColumn="0" w:oddVBand="0" w:evenVBand="0" w:oddHBand="0" w:evenHBand="0" w:firstRowFirstColumn="0" w:firstRowLastColumn="0" w:lastRowFirstColumn="0" w:lastRowLastColumn="0"/>
            <w:tcW w:w="3221" w:type="pct"/>
            <w:shd w:val="clear" w:color="auto" w:fill="F2F2F2" w:themeFill="background1" w:themeFillShade="F2"/>
          </w:tcPr>
          <w:p w14:paraId="6D463121" w14:textId="77777777" w:rsidR="00166DB1" w:rsidRPr="00166DB1" w:rsidRDefault="00166DB1" w:rsidP="00FF3C41">
            <w:pPr>
              <w:pStyle w:val="TableCopy"/>
            </w:pPr>
            <w:r w:rsidRPr="00166DB1">
              <w:t>Rural Pharmacy Scholarship Mentor Scheme</w:t>
            </w:r>
          </w:p>
        </w:tc>
        <w:tc>
          <w:tcPr>
            <w:tcW w:w="1779" w:type="pct"/>
            <w:shd w:val="clear" w:color="auto" w:fill="F2F2F2" w:themeFill="background1" w:themeFillShade="F2"/>
          </w:tcPr>
          <w:p w14:paraId="38D7BD3E" w14:textId="77777777" w:rsidR="00166DB1" w:rsidRPr="00166DB1" w:rsidRDefault="00166DB1" w:rsidP="00FF3C41">
            <w:pPr>
              <w:pStyle w:val="TableCopy"/>
              <w:jc w:val="right"/>
              <w:cnfStyle w:val="000000000000" w:firstRow="0" w:lastRow="0" w:firstColumn="0" w:lastColumn="0" w:oddVBand="0" w:evenVBand="0" w:oddHBand="0" w:evenHBand="0" w:firstRowFirstColumn="0" w:firstRowLastColumn="0" w:lastRowFirstColumn="0" w:lastRowLastColumn="0"/>
            </w:pPr>
            <w:r w:rsidRPr="00166DB1">
              <w:t>62%</w:t>
            </w:r>
          </w:p>
        </w:tc>
      </w:tr>
      <w:tr w:rsidR="00166DB1" w:rsidRPr="00166DB1" w14:paraId="43FA8D50" w14:textId="77777777" w:rsidTr="00FF3C41">
        <w:tc>
          <w:tcPr>
            <w:cnfStyle w:val="001000000000" w:firstRow="0" w:lastRow="0" w:firstColumn="1" w:lastColumn="0" w:oddVBand="0" w:evenVBand="0" w:oddHBand="0" w:evenHBand="0" w:firstRowFirstColumn="0" w:firstRowLastColumn="0" w:lastRowFirstColumn="0" w:lastRowLastColumn="0"/>
            <w:tcW w:w="3221" w:type="pct"/>
            <w:shd w:val="clear" w:color="auto" w:fill="F2F2F2" w:themeFill="background1" w:themeFillShade="F2"/>
          </w:tcPr>
          <w:p w14:paraId="26CBF610" w14:textId="77777777" w:rsidR="00166DB1" w:rsidRPr="00166DB1" w:rsidRDefault="00166DB1" w:rsidP="00FF3C41">
            <w:pPr>
              <w:pStyle w:val="TableCopy"/>
            </w:pPr>
            <w:r w:rsidRPr="00166DB1">
              <w:t>Rural Intern Training Allowance</w:t>
            </w:r>
          </w:p>
        </w:tc>
        <w:tc>
          <w:tcPr>
            <w:tcW w:w="1779" w:type="pct"/>
            <w:shd w:val="clear" w:color="auto" w:fill="F2F2F2" w:themeFill="background1" w:themeFillShade="F2"/>
          </w:tcPr>
          <w:p w14:paraId="79AB842C" w14:textId="77777777" w:rsidR="00166DB1" w:rsidRPr="00166DB1" w:rsidRDefault="00166DB1" w:rsidP="00FF3C41">
            <w:pPr>
              <w:pStyle w:val="TableCopy"/>
              <w:jc w:val="right"/>
              <w:cnfStyle w:val="000000000000" w:firstRow="0" w:lastRow="0" w:firstColumn="0" w:lastColumn="0" w:oddVBand="0" w:evenVBand="0" w:oddHBand="0" w:evenHBand="0" w:firstRowFirstColumn="0" w:firstRowLastColumn="0" w:lastRowFirstColumn="0" w:lastRowLastColumn="0"/>
            </w:pPr>
            <w:r w:rsidRPr="00166DB1">
              <w:t>61%</w:t>
            </w:r>
          </w:p>
        </w:tc>
      </w:tr>
      <w:tr w:rsidR="00166DB1" w:rsidRPr="00166DB1" w14:paraId="412CFF83" w14:textId="77777777" w:rsidTr="00FF3C41">
        <w:tc>
          <w:tcPr>
            <w:cnfStyle w:val="001000000000" w:firstRow="0" w:lastRow="0" w:firstColumn="1" w:lastColumn="0" w:oddVBand="0" w:evenVBand="0" w:oddHBand="0" w:evenHBand="0" w:firstRowFirstColumn="0" w:firstRowLastColumn="0" w:lastRowFirstColumn="0" w:lastRowLastColumn="0"/>
            <w:tcW w:w="3221" w:type="pct"/>
            <w:shd w:val="clear" w:color="auto" w:fill="F2F2F2" w:themeFill="background1" w:themeFillShade="F2"/>
          </w:tcPr>
          <w:p w14:paraId="7E0BFD51" w14:textId="77777777" w:rsidR="00166DB1" w:rsidRPr="00166DB1" w:rsidRDefault="00166DB1" w:rsidP="00FF3C41">
            <w:pPr>
              <w:pStyle w:val="TableCopy"/>
            </w:pPr>
            <w:r w:rsidRPr="00166DB1">
              <w:t>Continuing Professional Education Allowance</w:t>
            </w:r>
          </w:p>
        </w:tc>
        <w:tc>
          <w:tcPr>
            <w:tcW w:w="1779" w:type="pct"/>
            <w:shd w:val="clear" w:color="auto" w:fill="F2F2F2" w:themeFill="background1" w:themeFillShade="F2"/>
          </w:tcPr>
          <w:p w14:paraId="2D0202AA" w14:textId="77777777" w:rsidR="00166DB1" w:rsidRPr="00166DB1" w:rsidRDefault="00166DB1" w:rsidP="00FF3C41">
            <w:pPr>
              <w:pStyle w:val="TableCopy"/>
              <w:jc w:val="right"/>
              <w:cnfStyle w:val="000000000000" w:firstRow="0" w:lastRow="0" w:firstColumn="0" w:lastColumn="0" w:oddVBand="0" w:evenVBand="0" w:oddHBand="0" w:evenHBand="0" w:firstRowFirstColumn="0" w:firstRowLastColumn="0" w:lastRowFirstColumn="0" w:lastRowLastColumn="0"/>
            </w:pPr>
            <w:r w:rsidRPr="00166DB1">
              <w:t>56%</w:t>
            </w:r>
          </w:p>
        </w:tc>
      </w:tr>
      <w:tr w:rsidR="00166DB1" w:rsidRPr="00166DB1" w14:paraId="43BE218B" w14:textId="77777777" w:rsidTr="00FF3C41">
        <w:tc>
          <w:tcPr>
            <w:cnfStyle w:val="001000000000" w:firstRow="0" w:lastRow="0" w:firstColumn="1" w:lastColumn="0" w:oddVBand="0" w:evenVBand="0" w:oddHBand="0" w:evenHBand="0" w:firstRowFirstColumn="0" w:firstRowLastColumn="0" w:lastRowFirstColumn="0" w:lastRowLastColumn="0"/>
            <w:tcW w:w="3221" w:type="pct"/>
            <w:shd w:val="clear" w:color="auto" w:fill="F2F2F2" w:themeFill="background1" w:themeFillShade="F2"/>
          </w:tcPr>
          <w:p w14:paraId="76531090" w14:textId="77777777" w:rsidR="00166DB1" w:rsidRPr="00166DB1" w:rsidRDefault="00166DB1" w:rsidP="00FF3C41">
            <w:pPr>
              <w:pStyle w:val="TableCopy"/>
            </w:pPr>
            <w:r w:rsidRPr="00166DB1">
              <w:t>Emergency Locum Service</w:t>
            </w:r>
          </w:p>
        </w:tc>
        <w:tc>
          <w:tcPr>
            <w:tcW w:w="1779" w:type="pct"/>
            <w:shd w:val="clear" w:color="auto" w:fill="F2F2F2" w:themeFill="background1" w:themeFillShade="F2"/>
          </w:tcPr>
          <w:p w14:paraId="6BAF6B8E" w14:textId="77777777" w:rsidR="00166DB1" w:rsidRPr="00166DB1" w:rsidRDefault="00166DB1" w:rsidP="00FF3C41">
            <w:pPr>
              <w:pStyle w:val="TableCopy"/>
              <w:jc w:val="right"/>
              <w:cnfStyle w:val="000000000000" w:firstRow="0" w:lastRow="0" w:firstColumn="0" w:lastColumn="0" w:oddVBand="0" w:evenVBand="0" w:oddHBand="0" w:evenHBand="0" w:firstRowFirstColumn="0" w:firstRowLastColumn="0" w:lastRowFirstColumn="0" w:lastRowLastColumn="0"/>
            </w:pPr>
            <w:r w:rsidRPr="00166DB1">
              <w:t>20%</w:t>
            </w:r>
          </w:p>
        </w:tc>
      </w:tr>
      <w:tr w:rsidR="00166DB1" w:rsidRPr="00166DB1" w14:paraId="2F18493E" w14:textId="77777777" w:rsidTr="00FF3C41">
        <w:tc>
          <w:tcPr>
            <w:cnfStyle w:val="001000000000" w:firstRow="0" w:lastRow="0" w:firstColumn="1" w:lastColumn="0" w:oddVBand="0" w:evenVBand="0" w:oddHBand="0" w:evenHBand="0" w:firstRowFirstColumn="0" w:firstRowLastColumn="0" w:lastRowFirstColumn="0" w:lastRowLastColumn="0"/>
            <w:tcW w:w="3221" w:type="pct"/>
            <w:shd w:val="clear" w:color="auto" w:fill="F2F2F2" w:themeFill="background1" w:themeFillShade="F2"/>
          </w:tcPr>
          <w:p w14:paraId="7019AE2E" w14:textId="77777777" w:rsidR="00166DB1" w:rsidRPr="00166DB1" w:rsidRDefault="00166DB1" w:rsidP="00FF3C41">
            <w:pPr>
              <w:pStyle w:val="TableCopy"/>
            </w:pPr>
            <w:r w:rsidRPr="00166DB1">
              <w:t>Rural Pharmacy Scholarship Scheme</w:t>
            </w:r>
          </w:p>
        </w:tc>
        <w:tc>
          <w:tcPr>
            <w:tcW w:w="1779" w:type="pct"/>
            <w:shd w:val="clear" w:color="auto" w:fill="F2F2F2" w:themeFill="background1" w:themeFillShade="F2"/>
          </w:tcPr>
          <w:p w14:paraId="243C0F00" w14:textId="77777777" w:rsidR="00166DB1" w:rsidRPr="00166DB1" w:rsidRDefault="00166DB1" w:rsidP="00FF3C41">
            <w:pPr>
              <w:pStyle w:val="TableCopy"/>
              <w:jc w:val="right"/>
              <w:cnfStyle w:val="000000000000" w:firstRow="0" w:lastRow="0" w:firstColumn="0" w:lastColumn="0" w:oddVBand="0" w:evenVBand="0" w:oddHBand="0" w:evenHBand="0" w:firstRowFirstColumn="0" w:firstRowLastColumn="0" w:lastRowFirstColumn="0" w:lastRowLastColumn="0"/>
            </w:pPr>
            <w:r w:rsidRPr="00166DB1">
              <w:t>6%</w:t>
            </w:r>
          </w:p>
        </w:tc>
      </w:tr>
      <w:tr w:rsidR="00166DB1" w:rsidRPr="00166DB1" w14:paraId="0894AA12" w14:textId="77777777" w:rsidTr="00FF3C41">
        <w:tc>
          <w:tcPr>
            <w:cnfStyle w:val="001000000000" w:firstRow="0" w:lastRow="0" w:firstColumn="1" w:lastColumn="0" w:oddVBand="0" w:evenVBand="0" w:oddHBand="0" w:evenHBand="0" w:firstRowFirstColumn="0" w:firstRowLastColumn="0" w:lastRowFirstColumn="0" w:lastRowLastColumn="0"/>
            <w:tcW w:w="3221" w:type="pct"/>
            <w:shd w:val="clear" w:color="auto" w:fill="F2F2F2" w:themeFill="background1" w:themeFillShade="F2"/>
          </w:tcPr>
          <w:p w14:paraId="51BEABFC" w14:textId="77777777" w:rsidR="00166DB1" w:rsidRPr="00166DB1" w:rsidRDefault="00166DB1" w:rsidP="00FF3C41">
            <w:pPr>
              <w:pStyle w:val="TableCopy"/>
            </w:pPr>
            <w:r w:rsidRPr="00166DB1">
              <w:t>Intern Incentive Allowance for Rural Pharmacies</w:t>
            </w:r>
          </w:p>
        </w:tc>
        <w:tc>
          <w:tcPr>
            <w:tcW w:w="1779" w:type="pct"/>
            <w:shd w:val="clear" w:color="auto" w:fill="F2F2F2" w:themeFill="background1" w:themeFillShade="F2"/>
          </w:tcPr>
          <w:p w14:paraId="1AD8C1EF" w14:textId="77777777" w:rsidR="00166DB1" w:rsidRPr="00166DB1" w:rsidRDefault="00166DB1" w:rsidP="00FF3C41">
            <w:pPr>
              <w:pStyle w:val="TableCopy"/>
              <w:jc w:val="right"/>
              <w:cnfStyle w:val="000000000000" w:firstRow="0" w:lastRow="0" w:firstColumn="0" w:lastColumn="0" w:oddVBand="0" w:evenVBand="0" w:oddHBand="0" w:evenHBand="0" w:firstRowFirstColumn="0" w:firstRowLastColumn="0" w:lastRowFirstColumn="0" w:lastRowLastColumn="0"/>
            </w:pPr>
            <w:r w:rsidRPr="00166DB1">
              <w:t>6%</w:t>
            </w:r>
          </w:p>
        </w:tc>
      </w:tr>
      <w:tr w:rsidR="00166DB1" w:rsidRPr="00166DB1" w14:paraId="2F7031D4" w14:textId="77777777" w:rsidTr="00FF3C41">
        <w:tc>
          <w:tcPr>
            <w:cnfStyle w:val="001000000000" w:firstRow="0" w:lastRow="0" w:firstColumn="1" w:lastColumn="0" w:oddVBand="0" w:evenVBand="0" w:oddHBand="0" w:evenHBand="0" w:firstRowFirstColumn="0" w:firstRowLastColumn="0" w:lastRowFirstColumn="0" w:lastRowLastColumn="0"/>
            <w:tcW w:w="3221" w:type="pct"/>
            <w:shd w:val="clear" w:color="auto" w:fill="F2F2F2" w:themeFill="background1" w:themeFillShade="F2"/>
          </w:tcPr>
          <w:p w14:paraId="4A4D2983" w14:textId="77777777" w:rsidR="00166DB1" w:rsidRPr="00166DB1" w:rsidRDefault="00166DB1" w:rsidP="00FF3C41">
            <w:pPr>
              <w:pStyle w:val="TableCopy"/>
            </w:pPr>
            <w:r w:rsidRPr="00166DB1">
              <w:t>Intern Incentive Allowance for Rural Pharmacies – Extension Program</w:t>
            </w:r>
          </w:p>
        </w:tc>
        <w:tc>
          <w:tcPr>
            <w:tcW w:w="1779" w:type="pct"/>
            <w:shd w:val="clear" w:color="auto" w:fill="F2F2F2" w:themeFill="background1" w:themeFillShade="F2"/>
          </w:tcPr>
          <w:p w14:paraId="0D3E708B" w14:textId="77777777" w:rsidR="00166DB1" w:rsidRPr="00166DB1" w:rsidRDefault="00166DB1" w:rsidP="00FF3C41">
            <w:pPr>
              <w:pStyle w:val="TableCopy"/>
              <w:jc w:val="right"/>
              <w:cnfStyle w:val="000000000000" w:firstRow="0" w:lastRow="0" w:firstColumn="0" w:lastColumn="0" w:oddVBand="0" w:evenVBand="0" w:oddHBand="0" w:evenHBand="0" w:firstRowFirstColumn="0" w:firstRowLastColumn="0" w:lastRowFirstColumn="0" w:lastRowLastColumn="0"/>
            </w:pPr>
            <w:r w:rsidRPr="00166DB1">
              <w:t>3%</w:t>
            </w:r>
          </w:p>
        </w:tc>
      </w:tr>
      <w:tr w:rsidR="00166DB1" w:rsidRPr="00166DB1" w14:paraId="2EE22AEA" w14:textId="77777777" w:rsidTr="00FF3C41">
        <w:tc>
          <w:tcPr>
            <w:cnfStyle w:val="001000000000" w:firstRow="0" w:lastRow="0" w:firstColumn="1" w:lastColumn="0" w:oddVBand="0" w:evenVBand="0" w:oddHBand="0" w:evenHBand="0" w:firstRowFirstColumn="0" w:firstRowLastColumn="0" w:lastRowFirstColumn="0" w:lastRowLastColumn="0"/>
            <w:tcW w:w="3221" w:type="pct"/>
            <w:shd w:val="clear" w:color="auto" w:fill="F2F2F2" w:themeFill="background1" w:themeFillShade="F2"/>
          </w:tcPr>
          <w:p w14:paraId="7E3467BB" w14:textId="77777777" w:rsidR="00166DB1" w:rsidRPr="00166DB1" w:rsidRDefault="00166DB1" w:rsidP="00FF3C41">
            <w:pPr>
              <w:pStyle w:val="TableCopy"/>
            </w:pPr>
            <w:r w:rsidRPr="00166DB1">
              <w:t>Rural Pharmacy Student Placement Allowance</w:t>
            </w:r>
          </w:p>
        </w:tc>
        <w:tc>
          <w:tcPr>
            <w:tcW w:w="1779" w:type="pct"/>
            <w:shd w:val="clear" w:color="auto" w:fill="F2F2F2" w:themeFill="background1" w:themeFillShade="F2"/>
          </w:tcPr>
          <w:p w14:paraId="3B7C6958" w14:textId="77777777" w:rsidR="00166DB1" w:rsidRPr="00166DB1" w:rsidRDefault="00166DB1" w:rsidP="00FF3C41">
            <w:pPr>
              <w:pStyle w:val="TableCopy"/>
              <w:jc w:val="right"/>
              <w:cnfStyle w:val="000000000000" w:firstRow="0" w:lastRow="0" w:firstColumn="0" w:lastColumn="0" w:oddVBand="0" w:evenVBand="0" w:oddHBand="0" w:evenHBand="0" w:firstRowFirstColumn="0" w:firstRowLastColumn="0" w:lastRowFirstColumn="0" w:lastRowLastColumn="0"/>
            </w:pPr>
            <w:r w:rsidRPr="00166DB1">
              <w:t>2%</w:t>
            </w:r>
          </w:p>
        </w:tc>
      </w:tr>
      <w:tr w:rsidR="00166DB1" w:rsidRPr="00166DB1" w14:paraId="1246931A" w14:textId="77777777" w:rsidTr="00FF3C41">
        <w:tc>
          <w:tcPr>
            <w:cnfStyle w:val="001000000000" w:firstRow="0" w:lastRow="0" w:firstColumn="1" w:lastColumn="0" w:oddVBand="0" w:evenVBand="0" w:oddHBand="0" w:evenHBand="0" w:firstRowFirstColumn="0" w:firstRowLastColumn="0" w:lastRowFirstColumn="0" w:lastRowLastColumn="0"/>
            <w:tcW w:w="3221" w:type="pct"/>
            <w:shd w:val="clear" w:color="auto" w:fill="F2F2F2" w:themeFill="background1" w:themeFillShade="F2"/>
          </w:tcPr>
          <w:p w14:paraId="35951399" w14:textId="77777777" w:rsidR="00166DB1" w:rsidRPr="00166DB1" w:rsidRDefault="00166DB1" w:rsidP="00FF3C41">
            <w:pPr>
              <w:pStyle w:val="TableCopy"/>
            </w:pPr>
            <w:r w:rsidRPr="00166DB1">
              <w:t>Administrative Support to Pharmacy Schools</w:t>
            </w:r>
          </w:p>
        </w:tc>
        <w:tc>
          <w:tcPr>
            <w:tcW w:w="1779" w:type="pct"/>
            <w:shd w:val="clear" w:color="auto" w:fill="F2F2F2" w:themeFill="background1" w:themeFillShade="F2"/>
          </w:tcPr>
          <w:p w14:paraId="331D9E16" w14:textId="77777777" w:rsidR="00166DB1" w:rsidRPr="00166DB1" w:rsidRDefault="00166DB1" w:rsidP="00FF3C41">
            <w:pPr>
              <w:pStyle w:val="TableCopy"/>
              <w:jc w:val="right"/>
              <w:cnfStyle w:val="000000000000" w:firstRow="0" w:lastRow="0" w:firstColumn="0" w:lastColumn="0" w:oddVBand="0" w:evenVBand="0" w:oddHBand="0" w:evenHBand="0" w:firstRowFirstColumn="0" w:firstRowLastColumn="0" w:lastRowFirstColumn="0" w:lastRowLastColumn="0"/>
            </w:pPr>
            <w:r w:rsidRPr="00166DB1">
              <w:t>2%</w:t>
            </w:r>
          </w:p>
        </w:tc>
      </w:tr>
      <w:tr w:rsidR="00166DB1" w:rsidRPr="00166DB1" w14:paraId="4B45C26E" w14:textId="77777777" w:rsidTr="00FF3C41">
        <w:tc>
          <w:tcPr>
            <w:cnfStyle w:val="001000000000" w:firstRow="0" w:lastRow="0" w:firstColumn="1" w:lastColumn="0" w:oddVBand="0" w:evenVBand="0" w:oddHBand="0" w:evenHBand="0" w:firstRowFirstColumn="0" w:firstRowLastColumn="0" w:lastRowFirstColumn="0" w:lastRowLastColumn="0"/>
            <w:tcW w:w="3221" w:type="pct"/>
            <w:shd w:val="clear" w:color="auto" w:fill="F2F2F2" w:themeFill="background1" w:themeFillShade="F2"/>
          </w:tcPr>
          <w:p w14:paraId="38860F82" w14:textId="77777777" w:rsidR="00166DB1" w:rsidRPr="00166DB1" w:rsidRDefault="00166DB1" w:rsidP="00FF3C41">
            <w:pPr>
              <w:pStyle w:val="TableCopy"/>
            </w:pPr>
            <w:r w:rsidRPr="00166DB1">
              <w:t>Rural Pharmacy Liaison Officer Program</w:t>
            </w:r>
          </w:p>
        </w:tc>
        <w:tc>
          <w:tcPr>
            <w:tcW w:w="1779" w:type="pct"/>
            <w:shd w:val="clear" w:color="auto" w:fill="F2F2F2" w:themeFill="background1" w:themeFillShade="F2"/>
          </w:tcPr>
          <w:p w14:paraId="0A0DB783" w14:textId="77777777" w:rsidR="00166DB1" w:rsidRPr="00166DB1" w:rsidRDefault="00166DB1" w:rsidP="00FF3C41">
            <w:pPr>
              <w:pStyle w:val="TableCopy"/>
              <w:jc w:val="right"/>
              <w:cnfStyle w:val="000000000000" w:firstRow="0" w:lastRow="0" w:firstColumn="0" w:lastColumn="0" w:oddVBand="0" w:evenVBand="0" w:oddHBand="0" w:evenHBand="0" w:firstRowFirstColumn="0" w:firstRowLastColumn="0" w:lastRowFirstColumn="0" w:lastRowLastColumn="0"/>
            </w:pPr>
            <w:r w:rsidRPr="00166DB1">
              <w:t>1%</w:t>
            </w:r>
          </w:p>
        </w:tc>
      </w:tr>
      <w:tr w:rsidR="00166DB1" w:rsidRPr="00166DB1" w14:paraId="4AD98F07" w14:textId="77777777" w:rsidTr="00133610">
        <w:tc>
          <w:tcPr>
            <w:cnfStyle w:val="001000000000" w:firstRow="0" w:lastRow="0" w:firstColumn="1" w:lastColumn="0" w:oddVBand="0" w:evenVBand="0" w:oddHBand="0" w:evenHBand="0" w:firstRowFirstColumn="0" w:firstRowLastColumn="0" w:lastRowFirstColumn="0" w:lastRowLastColumn="0"/>
            <w:tcW w:w="3221" w:type="pct"/>
            <w:tcBorders>
              <w:bottom w:val="single" w:sz="4" w:space="0" w:color="auto"/>
            </w:tcBorders>
            <w:shd w:val="clear" w:color="auto" w:fill="F2F2F2" w:themeFill="background1" w:themeFillShade="F2"/>
          </w:tcPr>
          <w:p w14:paraId="4E40C562" w14:textId="77777777" w:rsidR="00166DB1" w:rsidRPr="00166DB1" w:rsidRDefault="00166DB1" w:rsidP="00FF3C41">
            <w:pPr>
              <w:pStyle w:val="TableCopy"/>
              <w:rPr>
                <w:i/>
              </w:rPr>
            </w:pPr>
            <w:r w:rsidRPr="00166DB1">
              <w:rPr>
                <w:i/>
              </w:rPr>
              <w:t>Average proportion for package</w:t>
            </w:r>
          </w:p>
        </w:tc>
        <w:tc>
          <w:tcPr>
            <w:tcW w:w="1779" w:type="pct"/>
            <w:tcBorders>
              <w:bottom w:val="single" w:sz="4" w:space="0" w:color="auto"/>
            </w:tcBorders>
            <w:shd w:val="clear" w:color="auto" w:fill="F2F2F2" w:themeFill="background1" w:themeFillShade="F2"/>
          </w:tcPr>
          <w:p w14:paraId="25E12F1F" w14:textId="77777777" w:rsidR="00166DB1" w:rsidRPr="00166DB1" w:rsidRDefault="00166DB1" w:rsidP="00FF3C41">
            <w:pPr>
              <w:pStyle w:val="TableCopy"/>
              <w:jc w:val="right"/>
              <w:cnfStyle w:val="000000000000" w:firstRow="0" w:lastRow="0" w:firstColumn="0" w:lastColumn="0" w:oddVBand="0" w:evenVBand="0" w:oddHBand="0" w:evenHBand="0" w:firstRowFirstColumn="0" w:firstRowLastColumn="0" w:lastRowFirstColumn="0" w:lastRowLastColumn="0"/>
            </w:pPr>
            <w:r w:rsidRPr="00166DB1">
              <w:t>15%</w:t>
            </w:r>
          </w:p>
        </w:tc>
      </w:tr>
      <w:tr w:rsidR="00133610" w:rsidRPr="003E51C4" w14:paraId="15A47FC6" w14:textId="77777777" w:rsidTr="00133610">
        <w:tc>
          <w:tcPr>
            <w:cnfStyle w:val="001000000000" w:firstRow="0" w:lastRow="0" w:firstColumn="1" w:lastColumn="0" w:oddVBand="0" w:evenVBand="0" w:oddHBand="0" w:evenHBand="0" w:firstRowFirstColumn="0" w:firstRowLastColumn="0" w:lastRowFirstColumn="0" w:lastRowLastColumn="0"/>
            <w:tcW w:w="3221" w:type="pct"/>
            <w:tcBorders>
              <w:right w:val="nil"/>
            </w:tcBorders>
            <w:shd w:val="clear" w:color="auto" w:fill="BFBFBF" w:themeFill="background1" w:themeFillShade="BF"/>
          </w:tcPr>
          <w:p w14:paraId="4BC3869C" w14:textId="77777777" w:rsidR="00133610" w:rsidRPr="003E51C4" w:rsidRDefault="00133610" w:rsidP="00FF3C41">
            <w:pPr>
              <w:pStyle w:val="Tablesubheading1"/>
              <w:rPr>
                <w:b w:val="0"/>
                <w:color w:val="000000" w:themeColor="text1"/>
              </w:rPr>
            </w:pPr>
            <w:r w:rsidRPr="003E51C4">
              <w:rPr>
                <w:color w:val="000000" w:themeColor="text1"/>
              </w:rPr>
              <w:t>Aboriginal and Torres Strait Islander Workforce Programs</w:t>
            </w:r>
          </w:p>
        </w:tc>
        <w:tc>
          <w:tcPr>
            <w:tcW w:w="1779" w:type="pct"/>
            <w:tcBorders>
              <w:left w:val="nil"/>
            </w:tcBorders>
            <w:shd w:val="clear" w:color="auto" w:fill="BFBFBF" w:themeFill="background1" w:themeFillShade="BF"/>
          </w:tcPr>
          <w:p w14:paraId="1750E66C" w14:textId="7D3094A5" w:rsidR="00133610" w:rsidRPr="003E51C4" w:rsidRDefault="00133610" w:rsidP="00FF3C41">
            <w:pPr>
              <w:pStyle w:val="Tablesubheading1"/>
              <w:cnfStyle w:val="000000000000" w:firstRow="0" w:lastRow="0" w:firstColumn="0" w:lastColumn="0" w:oddVBand="0" w:evenVBand="0" w:oddHBand="0" w:evenHBand="0" w:firstRowFirstColumn="0" w:firstRowLastColumn="0" w:lastRowFirstColumn="0" w:lastRowLastColumn="0"/>
              <w:rPr>
                <w:color w:val="000000" w:themeColor="text1"/>
              </w:rPr>
            </w:pPr>
          </w:p>
        </w:tc>
      </w:tr>
      <w:tr w:rsidR="00166DB1" w:rsidRPr="00166DB1" w14:paraId="3F5E97E9" w14:textId="77777777" w:rsidTr="00FF3C41">
        <w:tc>
          <w:tcPr>
            <w:cnfStyle w:val="001000000000" w:firstRow="0" w:lastRow="0" w:firstColumn="1" w:lastColumn="0" w:oddVBand="0" w:evenVBand="0" w:oddHBand="0" w:evenHBand="0" w:firstRowFirstColumn="0" w:firstRowLastColumn="0" w:lastRowFirstColumn="0" w:lastRowLastColumn="0"/>
            <w:tcW w:w="3221" w:type="pct"/>
            <w:shd w:val="clear" w:color="auto" w:fill="F2F2F2" w:themeFill="background1" w:themeFillShade="F2"/>
          </w:tcPr>
          <w:p w14:paraId="62C68DCB" w14:textId="77777777" w:rsidR="00166DB1" w:rsidRPr="00166DB1" w:rsidRDefault="00166DB1" w:rsidP="00FF3C41">
            <w:pPr>
              <w:pStyle w:val="TableCopy"/>
            </w:pPr>
            <w:r w:rsidRPr="00166DB1">
              <w:t>Aboriginal and Torres Strait Islander Pharmacy Assistant Traineeship Scheme</w:t>
            </w:r>
          </w:p>
        </w:tc>
        <w:tc>
          <w:tcPr>
            <w:tcW w:w="1779" w:type="pct"/>
            <w:shd w:val="clear" w:color="auto" w:fill="F2F2F2" w:themeFill="background1" w:themeFillShade="F2"/>
          </w:tcPr>
          <w:p w14:paraId="763A8DCB" w14:textId="77777777" w:rsidR="00166DB1" w:rsidRPr="00166DB1" w:rsidRDefault="00166DB1" w:rsidP="00FF3C41">
            <w:pPr>
              <w:pStyle w:val="TableCopy"/>
              <w:jc w:val="right"/>
              <w:cnfStyle w:val="000000000000" w:firstRow="0" w:lastRow="0" w:firstColumn="0" w:lastColumn="0" w:oddVBand="0" w:evenVBand="0" w:oddHBand="0" w:evenHBand="0" w:firstRowFirstColumn="0" w:firstRowLastColumn="0" w:lastRowFirstColumn="0" w:lastRowLastColumn="0"/>
            </w:pPr>
            <w:r w:rsidRPr="00166DB1">
              <w:t>29%</w:t>
            </w:r>
          </w:p>
        </w:tc>
      </w:tr>
      <w:tr w:rsidR="00166DB1" w:rsidRPr="00166DB1" w14:paraId="0C9532F6" w14:textId="77777777" w:rsidTr="00FF3C41">
        <w:tc>
          <w:tcPr>
            <w:cnfStyle w:val="001000000000" w:firstRow="0" w:lastRow="0" w:firstColumn="1" w:lastColumn="0" w:oddVBand="0" w:evenVBand="0" w:oddHBand="0" w:evenHBand="0" w:firstRowFirstColumn="0" w:firstRowLastColumn="0" w:lastRowFirstColumn="0" w:lastRowLastColumn="0"/>
            <w:tcW w:w="3221" w:type="pct"/>
            <w:shd w:val="clear" w:color="auto" w:fill="F2F2F2" w:themeFill="background1" w:themeFillShade="F2"/>
          </w:tcPr>
          <w:p w14:paraId="2AF6A687" w14:textId="77777777" w:rsidR="00166DB1" w:rsidRPr="00166DB1" w:rsidRDefault="00166DB1" w:rsidP="00FF3C41">
            <w:pPr>
              <w:pStyle w:val="TableCopy"/>
            </w:pPr>
            <w:r w:rsidRPr="00166DB1">
              <w:t>Aboriginal and Torres Strait Islander Pharmacy Scholarship Scheme</w:t>
            </w:r>
          </w:p>
        </w:tc>
        <w:tc>
          <w:tcPr>
            <w:tcW w:w="1779" w:type="pct"/>
            <w:shd w:val="clear" w:color="auto" w:fill="F2F2F2" w:themeFill="background1" w:themeFillShade="F2"/>
          </w:tcPr>
          <w:p w14:paraId="535F5D90" w14:textId="77777777" w:rsidR="00166DB1" w:rsidRPr="00166DB1" w:rsidRDefault="00166DB1" w:rsidP="00FF3C41">
            <w:pPr>
              <w:pStyle w:val="TableCopy"/>
              <w:jc w:val="right"/>
              <w:cnfStyle w:val="000000000000" w:firstRow="0" w:lastRow="0" w:firstColumn="0" w:lastColumn="0" w:oddVBand="0" w:evenVBand="0" w:oddHBand="0" w:evenHBand="0" w:firstRowFirstColumn="0" w:firstRowLastColumn="0" w:lastRowFirstColumn="0" w:lastRowLastColumn="0"/>
            </w:pPr>
            <w:r w:rsidRPr="00166DB1">
              <w:t>21%</w:t>
            </w:r>
          </w:p>
        </w:tc>
      </w:tr>
      <w:tr w:rsidR="00166DB1" w:rsidRPr="00166DB1" w14:paraId="38A13C02" w14:textId="77777777" w:rsidTr="00FF3C41">
        <w:tc>
          <w:tcPr>
            <w:cnfStyle w:val="001000000000" w:firstRow="0" w:lastRow="0" w:firstColumn="1" w:lastColumn="0" w:oddVBand="0" w:evenVBand="0" w:oddHBand="0" w:evenHBand="0" w:firstRowFirstColumn="0" w:firstRowLastColumn="0" w:lastRowFirstColumn="0" w:lastRowLastColumn="0"/>
            <w:tcW w:w="3221" w:type="pct"/>
            <w:shd w:val="clear" w:color="auto" w:fill="F2F2F2" w:themeFill="background1" w:themeFillShade="F2"/>
          </w:tcPr>
          <w:p w14:paraId="52D0AC15" w14:textId="77777777" w:rsidR="00166DB1" w:rsidRPr="00166DB1" w:rsidRDefault="00166DB1" w:rsidP="00FF3C41">
            <w:pPr>
              <w:pStyle w:val="TableCopy"/>
              <w:rPr>
                <w:i/>
              </w:rPr>
            </w:pPr>
            <w:r w:rsidRPr="00166DB1">
              <w:rPr>
                <w:i/>
              </w:rPr>
              <w:t>Average proportion for package</w:t>
            </w:r>
          </w:p>
        </w:tc>
        <w:tc>
          <w:tcPr>
            <w:tcW w:w="1779" w:type="pct"/>
            <w:shd w:val="clear" w:color="auto" w:fill="F2F2F2" w:themeFill="background1" w:themeFillShade="F2"/>
          </w:tcPr>
          <w:p w14:paraId="2A667B9F" w14:textId="77777777" w:rsidR="00166DB1" w:rsidRPr="00166DB1" w:rsidRDefault="00166DB1" w:rsidP="00FF3C41">
            <w:pPr>
              <w:pStyle w:val="TableCopy"/>
              <w:jc w:val="right"/>
              <w:cnfStyle w:val="000000000000" w:firstRow="0" w:lastRow="0" w:firstColumn="0" w:lastColumn="0" w:oddVBand="0" w:evenVBand="0" w:oddHBand="0" w:evenHBand="0" w:firstRowFirstColumn="0" w:firstRowLastColumn="0" w:lastRowFirstColumn="0" w:lastRowLastColumn="0"/>
            </w:pPr>
            <w:r w:rsidRPr="00166DB1">
              <w:t>25%</w:t>
            </w:r>
          </w:p>
        </w:tc>
      </w:tr>
    </w:tbl>
    <w:p w14:paraId="1C87E9E0" w14:textId="77777777" w:rsidR="00166DB1" w:rsidRPr="00166DB1" w:rsidRDefault="00166DB1" w:rsidP="00546711">
      <w:pPr>
        <w:pStyle w:val="KeyFinding"/>
        <w:shd w:val="clear" w:color="auto" w:fill="F2F2F2" w:themeFill="background1" w:themeFillShade="F2"/>
      </w:pPr>
      <w:bookmarkStart w:id="112" w:name="_Ref490677235"/>
      <w:r w:rsidRPr="00166DB1">
        <w:t>The estimated cost of administering both Pharmacy Workforce package components was within an acceptable range (under 30% of total program cost).</w:t>
      </w:r>
      <w:bookmarkEnd w:id="112"/>
      <w:r w:rsidRPr="00166DB1">
        <w:t xml:space="preserve"> </w:t>
      </w:r>
    </w:p>
    <w:p w14:paraId="2524055A" w14:textId="77777777" w:rsidR="00166DB1" w:rsidRPr="00166DB1" w:rsidRDefault="00166DB1" w:rsidP="00B24642">
      <w:pPr>
        <w:pStyle w:val="Heading2"/>
      </w:pPr>
      <w:bookmarkStart w:id="113" w:name="_Toc523322081"/>
      <w:r w:rsidRPr="00166DB1">
        <w:t>Rank correlation analysis</w:t>
      </w:r>
      <w:bookmarkEnd w:id="113"/>
    </w:p>
    <w:p w14:paraId="71EE1267"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In order to gain a quantitative assessment of the workforce programs’ value for money, a survey was distributed to community pharmacists who attended the consultations at UDRH sites. This survey provided pharmacists with information regarding program rules as well as the average annual volume of recipients and funding attributed per output (e.g. per scholarship). Pharmacists were asked to assign a value from 0–5 based upon how effective they perceived these programs to be against how much the programs cost (a score of 1 was assigned if the program was not at all effective, while 5 was assigned if it was extremely effective). The data collected through this survey was used to conduct a rank correlation analysis, an evaluation technique that allows for the direct comparison of multiple programs with varied outputs and requires stakeholders to identify their value. </w:t>
      </w:r>
    </w:p>
    <w:p w14:paraId="5544E8E9"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The 28 responses received from community pharmacists was collated to produce an overall score of all 12 Pharmacy Workforce Programs summarised in </w:t>
      </w:r>
      <w:r w:rsidRPr="00166DB1">
        <w:rPr>
          <w:rFonts w:ascii="Garamond" w:eastAsia="Garamond" w:hAnsi="Garamond"/>
          <w:color w:val="000000"/>
        </w:rPr>
        <w:fldChar w:fldCharType="begin"/>
      </w:r>
      <w:r w:rsidRPr="00166DB1">
        <w:rPr>
          <w:rFonts w:ascii="Garamond" w:eastAsia="Garamond" w:hAnsi="Garamond"/>
          <w:color w:val="000000"/>
        </w:rPr>
        <w:instrText xml:space="preserve"> REF _Ref484453107 \h  \* MERGEFORMAT </w:instrText>
      </w:r>
      <w:r w:rsidRPr="00166DB1">
        <w:rPr>
          <w:rFonts w:ascii="Garamond" w:eastAsia="Garamond" w:hAnsi="Garamond"/>
          <w:color w:val="000000"/>
        </w:rPr>
      </w:r>
      <w:r w:rsidRPr="00166DB1">
        <w:rPr>
          <w:rFonts w:ascii="Garamond" w:eastAsia="Garamond" w:hAnsi="Garamond"/>
          <w:color w:val="000000"/>
        </w:rPr>
        <w:fldChar w:fldCharType="separate"/>
      </w:r>
      <w:r w:rsidRPr="00166DB1">
        <w:rPr>
          <w:rFonts w:ascii="Garamond" w:eastAsia="Garamond" w:hAnsi="Garamond"/>
          <w:color w:val="000000"/>
        </w:rPr>
        <w:t xml:space="preserve">Table </w:t>
      </w:r>
      <w:r w:rsidRPr="00166DB1">
        <w:rPr>
          <w:rFonts w:ascii="Garamond" w:eastAsia="Garamond" w:hAnsi="Garamond"/>
          <w:noProof/>
          <w:color w:val="000000"/>
        </w:rPr>
        <w:t>6.3</w:t>
      </w:r>
      <w:r w:rsidRPr="00166DB1">
        <w:rPr>
          <w:rFonts w:ascii="Garamond" w:eastAsia="Garamond" w:hAnsi="Garamond"/>
          <w:color w:val="000000"/>
        </w:rPr>
        <w:fldChar w:fldCharType="end"/>
      </w:r>
      <w:r w:rsidRPr="00166DB1">
        <w:rPr>
          <w:rFonts w:ascii="Garamond" w:eastAsia="Garamond" w:hAnsi="Garamond"/>
          <w:color w:val="000000"/>
        </w:rPr>
        <w:t xml:space="preserve">. A detailed summary of the scores and ranking methodology is provided in </w:t>
      </w:r>
      <w:r w:rsidRPr="00166DB1">
        <w:rPr>
          <w:rFonts w:ascii="Garamond" w:eastAsia="Garamond" w:hAnsi="Garamond"/>
          <w:color w:val="000000"/>
        </w:rPr>
        <w:fldChar w:fldCharType="begin"/>
      </w:r>
      <w:r w:rsidRPr="00166DB1">
        <w:rPr>
          <w:rFonts w:ascii="Garamond" w:eastAsia="Garamond" w:hAnsi="Garamond"/>
          <w:color w:val="000000"/>
        </w:rPr>
        <w:instrText xml:space="preserve"> REF _Ref488303652 \n \h  \* MERGEFORMAT </w:instrText>
      </w:r>
      <w:r w:rsidRPr="00166DB1">
        <w:rPr>
          <w:rFonts w:ascii="Garamond" w:eastAsia="Garamond" w:hAnsi="Garamond"/>
          <w:color w:val="000000"/>
        </w:rPr>
      </w:r>
      <w:r w:rsidRPr="00166DB1">
        <w:rPr>
          <w:rFonts w:ascii="Garamond" w:eastAsia="Garamond" w:hAnsi="Garamond"/>
          <w:color w:val="000000"/>
        </w:rPr>
        <w:fldChar w:fldCharType="separate"/>
      </w:r>
      <w:r w:rsidRPr="00166DB1">
        <w:rPr>
          <w:rFonts w:ascii="Garamond" w:eastAsia="Garamond" w:hAnsi="Garamond"/>
          <w:color w:val="000000"/>
        </w:rPr>
        <w:t>Appendix F</w:t>
      </w:r>
      <w:r w:rsidRPr="00166DB1">
        <w:rPr>
          <w:rFonts w:ascii="Garamond" w:eastAsia="Garamond" w:hAnsi="Garamond"/>
          <w:color w:val="000000"/>
        </w:rPr>
        <w:fldChar w:fldCharType="end"/>
      </w:r>
      <w:r w:rsidRPr="00166DB1">
        <w:rPr>
          <w:rFonts w:ascii="Garamond" w:eastAsia="Garamond" w:hAnsi="Garamond"/>
          <w:color w:val="000000"/>
        </w:rPr>
        <w:t>. The highest possible score a program could achieve was 140 (28 responses times a maximum of 5 points).</w:t>
      </w:r>
    </w:p>
    <w:p w14:paraId="4FA81746" w14:textId="77777777" w:rsidR="00166DB1" w:rsidRPr="00166DB1" w:rsidRDefault="00166DB1" w:rsidP="00483C21">
      <w:pPr>
        <w:pStyle w:val="Caption"/>
      </w:pPr>
      <w:bookmarkStart w:id="114" w:name="_Ref484453107"/>
      <w:r w:rsidRPr="00166DB1">
        <w:t xml:space="preserve">Table </w:t>
      </w:r>
      <w:r w:rsidRPr="00166DB1">
        <w:rPr>
          <w:noProof/>
        </w:rPr>
        <w:fldChar w:fldCharType="begin"/>
      </w:r>
      <w:r w:rsidRPr="00166DB1">
        <w:rPr>
          <w:noProof/>
        </w:rPr>
        <w:instrText xml:space="preserve"> STYLEREF 1 \s </w:instrText>
      </w:r>
      <w:r w:rsidRPr="00166DB1">
        <w:rPr>
          <w:noProof/>
        </w:rPr>
        <w:fldChar w:fldCharType="separate"/>
      </w:r>
      <w:r w:rsidRPr="00166DB1">
        <w:rPr>
          <w:noProof/>
        </w:rPr>
        <w:t>6</w:t>
      </w:r>
      <w:r w:rsidRPr="00166DB1">
        <w:rPr>
          <w:noProof/>
        </w:rPr>
        <w:fldChar w:fldCharType="end"/>
      </w:r>
      <w:r w:rsidRPr="00166DB1">
        <w:t>.</w:t>
      </w:r>
      <w:r w:rsidRPr="00166DB1">
        <w:rPr>
          <w:noProof/>
        </w:rPr>
        <w:fldChar w:fldCharType="begin"/>
      </w:r>
      <w:r w:rsidRPr="00166DB1">
        <w:rPr>
          <w:noProof/>
        </w:rPr>
        <w:instrText xml:space="preserve"> SEQ Table \* ARABIC \s 1 </w:instrText>
      </w:r>
      <w:r w:rsidRPr="00166DB1">
        <w:rPr>
          <w:noProof/>
        </w:rPr>
        <w:fldChar w:fldCharType="separate"/>
      </w:r>
      <w:r w:rsidRPr="00166DB1">
        <w:rPr>
          <w:noProof/>
        </w:rPr>
        <w:t>3</w:t>
      </w:r>
      <w:r w:rsidRPr="00166DB1">
        <w:rPr>
          <w:noProof/>
        </w:rPr>
        <w:fldChar w:fldCharType="end"/>
      </w:r>
      <w:bookmarkEnd w:id="114"/>
      <w:r w:rsidRPr="00166DB1">
        <w:t xml:space="preserve"> </w:t>
      </w:r>
      <w:r w:rsidRPr="00787AA0">
        <w:rPr>
          <w:rFonts w:ascii="Franklin Gothic Book" w:hAnsi="Franklin Gothic Book"/>
          <w:b/>
        </w:rPr>
        <w:t>Rank correlation analysis aggregate scores by program</w:t>
      </w:r>
    </w:p>
    <w:tbl>
      <w:tblPr>
        <w:tblStyle w:val="HMATable"/>
        <w:tblW w:w="5000" w:type="pct"/>
        <w:shd w:val="clear" w:color="auto" w:fill="F2F2F2" w:themeFill="background1" w:themeFillShade="F2"/>
        <w:tblLook w:val="04A0" w:firstRow="1" w:lastRow="0" w:firstColumn="1" w:lastColumn="0" w:noHBand="0" w:noVBand="1"/>
        <w:tblCaption w:val="Table 6.3: Rank correlation analysis aggregate scores by program"/>
        <w:tblDescription w:val="Table 6.3: Rank correlation analysis aggregate scores by program"/>
      </w:tblPr>
      <w:tblGrid>
        <w:gridCol w:w="5281"/>
        <w:gridCol w:w="1753"/>
      </w:tblGrid>
      <w:tr w:rsidR="00166DB1" w:rsidRPr="00166DB1" w14:paraId="2357774C" w14:textId="77777777" w:rsidTr="009B60C3">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5281" w:type="dxa"/>
            <w:shd w:val="clear" w:color="auto" w:fill="F2F2F2" w:themeFill="background1" w:themeFillShade="F2"/>
            <w:noWrap/>
            <w:hideMark/>
          </w:tcPr>
          <w:p w14:paraId="7E91B018" w14:textId="77777777" w:rsidR="00166DB1" w:rsidRPr="00166DB1" w:rsidRDefault="00166DB1" w:rsidP="00FF3C41">
            <w:pPr>
              <w:pStyle w:val="TableColumnHeading"/>
            </w:pPr>
            <w:r w:rsidRPr="00166DB1">
              <w:t>Workforce program</w:t>
            </w:r>
          </w:p>
        </w:tc>
        <w:tc>
          <w:tcPr>
            <w:tcW w:w="1753" w:type="dxa"/>
            <w:shd w:val="clear" w:color="auto" w:fill="F2F2F2" w:themeFill="background1" w:themeFillShade="F2"/>
            <w:noWrap/>
            <w:hideMark/>
          </w:tcPr>
          <w:p w14:paraId="361D767D" w14:textId="77777777" w:rsidR="00166DB1" w:rsidRPr="00166DB1" w:rsidRDefault="00166DB1" w:rsidP="00FF3C41">
            <w:pPr>
              <w:pStyle w:val="TableColumnHeading"/>
              <w:cnfStyle w:val="100000000000" w:firstRow="1" w:lastRow="0" w:firstColumn="0" w:lastColumn="0" w:oddVBand="0" w:evenVBand="0" w:oddHBand="0" w:evenHBand="0" w:firstRowFirstColumn="0" w:firstRowLastColumn="0" w:lastRowFirstColumn="0" w:lastRowLastColumn="0"/>
            </w:pPr>
            <w:r w:rsidRPr="00166DB1">
              <w:t>Total respondent score</w:t>
            </w:r>
          </w:p>
        </w:tc>
      </w:tr>
      <w:tr w:rsidR="00166DB1" w:rsidRPr="00166DB1" w14:paraId="08C566E1" w14:textId="77777777" w:rsidTr="00546711">
        <w:trPr>
          <w:trHeight w:val="300"/>
        </w:trPr>
        <w:tc>
          <w:tcPr>
            <w:cnfStyle w:val="001000000000" w:firstRow="0" w:lastRow="0" w:firstColumn="1" w:lastColumn="0" w:oddVBand="0" w:evenVBand="0" w:oddHBand="0" w:evenHBand="0" w:firstRowFirstColumn="0" w:firstRowLastColumn="0" w:lastRowFirstColumn="0" w:lastRowLastColumn="0"/>
            <w:tcW w:w="5281" w:type="dxa"/>
            <w:shd w:val="clear" w:color="auto" w:fill="F2F2F2" w:themeFill="background1" w:themeFillShade="F2"/>
            <w:noWrap/>
            <w:hideMark/>
          </w:tcPr>
          <w:p w14:paraId="6D8868F0" w14:textId="77777777" w:rsidR="00166DB1" w:rsidRPr="00166DB1" w:rsidRDefault="00166DB1" w:rsidP="00FF3C41">
            <w:pPr>
              <w:pStyle w:val="TableCopy"/>
            </w:pPr>
            <w:r w:rsidRPr="00166DB1">
              <w:t>Intern Incentive Allowance for Rural Pharmacies</w:t>
            </w:r>
          </w:p>
        </w:tc>
        <w:tc>
          <w:tcPr>
            <w:tcW w:w="1753" w:type="dxa"/>
            <w:shd w:val="clear" w:color="auto" w:fill="F2F2F2" w:themeFill="background1" w:themeFillShade="F2"/>
            <w:noWrap/>
            <w:hideMark/>
          </w:tcPr>
          <w:p w14:paraId="252EA039" w14:textId="77777777" w:rsidR="00166DB1" w:rsidRPr="00166DB1" w:rsidRDefault="00166DB1" w:rsidP="00FF3C41">
            <w:pPr>
              <w:pStyle w:val="TableCopy"/>
              <w:jc w:val="center"/>
              <w:cnfStyle w:val="000000000000" w:firstRow="0" w:lastRow="0" w:firstColumn="0" w:lastColumn="0" w:oddVBand="0" w:evenVBand="0" w:oddHBand="0" w:evenHBand="0" w:firstRowFirstColumn="0" w:firstRowLastColumn="0" w:lastRowFirstColumn="0" w:lastRowLastColumn="0"/>
            </w:pPr>
            <w:r w:rsidRPr="00166DB1">
              <w:t>109</w:t>
            </w:r>
          </w:p>
        </w:tc>
      </w:tr>
      <w:tr w:rsidR="00166DB1" w:rsidRPr="00166DB1" w14:paraId="06EE220B" w14:textId="77777777" w:rsidTr="00546711">
        <w:trPr>
          <w:trHeight w:val="300"/>
        </w:trPr>
        <w:tc>
          <w:tcPr>
            <w:cnfStyle w:val="001000000000" w:firstRow="0" w:lastRow="0" w:firstColumn="1" w:lastColumn="0" w:oddVBand="0" w:evenVBand="0" w:oddHBand="0" w:evenHBand="0" w:firstRowFirstColumn="0" w:firstRowLastColumn="0" w:lastRowFirstColumn="0" w:lastRowLastColumn="0"/>
            <w:tcW w:w="5281" w:type="dxa"/>
            <w:shd w:val="clear" w:color="auto" w:fill="F2F2F2" w:themeFill="background1" w:themeFillShade="F2"/>
            <w:noWrap/>
            <w:hideMark/>
          </w:tcPr>
          <w:p w14:paraId="180873BF" w14:textId="77777777" w:rsidR="00166DB1" w:rsidRPr="00166DB1" w:rsidRDefault="00166DB1" w:rsidP="00FF3C41">
            <w:pPr>
              <w:pStyle w:val="TableCopy"/>
            </w:pPr>
            <w:r w:rsidRPr="00166DB1">
              <w:t>Continuing Professional Education Allowance</w:t>
            </w:r>
          </w:p>
        </w:tc>
        <w:tc>
          <w:tcPr>
            <w:tcW w:w="1753" w:type="dxa"/>
            <w:shd w:val="clear" w:color="auto" w:fill="F2F2F2" w:themeFill="background1" w:themeFillShade="F2"/>
            <w:noWrap/>
            <w:hideMark/>
          </w:tcPr>
          <w:p w14:paraId="174D2E19" w14:textId="77777777" w:rsidR="00166DB1" w:rsidRPr="00166DB1" w:rsidRDefault="00166DB1" w:rsidP="00FF3C41">
            <w:pPr>
              <w:pStyle w:val="TableCopy"/>
              <w:jc w:val="center"/>
              <w:cnfStyle w:val="000000000000" w:firstRow="0" w:lastRow="0" w:firstColumn="0" w:lastColumn="0" w:oddVBand="0" w:evenVBand="0" w:oddHBand="0" w:evenHBand="0" w:firstRowFirstColumn="0" w:firstRowLastColumn="0" w:lastRowFirstColumn="0" w:lastRowLastColumn="0"/>
            </w:pPr>
            <w:r w:rsidRPr="00166DB1">
              <w:t>109</w:t>
            </w:r>
          </w:p>
        </w:tc>
      </w:tr>
      <w:tr w:rsidR="00166DB1" w:rsidRPr="00166DB1" w14:paraId="0B717CE8" w14:textId="77777777" w:rsidTr="00546711">
        <w:trPr>
          <w:trHeight w:val="300"/>
        </w:trPr>
        <w:tc>
          <w:tcPr>
            <w:cnfStyle w:val="001000000000" w:firstRow="0" w:lastRow="0" w:firstColumn="1" w:lastColumn="0" w:oddVBand="0" w:evenVBand="0" w:oddHBand="0" w:evenHBand="0" w:firstRowFirstColumn="0" w:firstRowLastColumn="0" w:lastRowFirstColumn="0" w:lastRowLastColumn="0"/>
            <w:tcW w:w="5281" w:type="dxa"/>
            <w:shd w:val="clear" w:color="auto" w:fill="F2F2F2" w:themeFill="background1" w:themeFillShade="F2"/>
            <w:noWrap/>
            <w:hideMark/>
          </w:tcPr>
          <w:p w14:paraId="789CB2DF" w14:textId="77777777" w:rsidR="00166DB1" w:rsidRPr="00166DB1" w:rsidRDefault="00166DB1" w:rsidP="00FF3C41">
            <w:pPr>
              <w:pStyle w:val="TableCopy"/>
            </w:pPr>
            <w:r w:rsidRPr="00166DB1">
              <w:t>Rural Pharmacy Liaison Officer Program</w:t>
            </w:r>
          </w:p>
        </w:tc>
        <w:tc>
          <w:tcPr>
            <w:tcW w:w="1753" w:type="dxa"/>
            <w:shd w:val="clear" w:color="auto" w:fill="F2F2F2" w:themeFill="background1" w:themeFillShade="F2"/>
            <w:noWrap/>
            <w:hideMark/>
          </w:tcPr>
          <w:p w14:paraId="2E86FBAA" w14:textId="77777777" w:rsidR="00166DB1" w:rsidRPr="00166DB1" w:rsidRDefault="00166DB1" w:rsidP="00FF3C41">
            <w:pPr>
              <w:pStyle w:val="TableCopy"/>
              <w:jc w:val="center"/>
              <w:cnfStyle w:val="000000000000" w:firstRow="0" w:lastRow="0" w:firstColumn="0" w:lastColumn="0" w:oddVBand="0" w:evenVBand="0" w:oddHBand="0" w:evenHBand="0" w:firstRowFirstColumn="0" w:firstRowLastColumn="0" w:lastRowFirstColumn="0" w:lastRowLastColumn="0"/>
            </w:pPr>
            <w:r w:rsidRPr="00166DB1">
              <w:t>109</w:t>
            </w:r>
          </w:p>
        </w:tc>
      </w:tr>
      <w:tr w:rsidR="00166DB1" w:rsidRPr="00166DB1" w14:paraId="12DF812E" w14:textId="77777777" w:rsidTr="00546711">
        <w:trPr>
          <w:trHeight w:val="300"/>
        </w:trPr>
        <w:tc>
          <w:tcPr>
            <w:cnfStyle w:val="001000000000" w:firstRow="0" w:lastRow="0" w:firstColumn="1" w:lastColumn="0" w:oddVBand="0" w:evenVBand="0" w:oddHBand="0" w:evenHBand="0" w:firstRowFirstColumn="0" w:firstRowLastColumn="0" w:lastRowFirstColumn="0" w:lastRowLastColumn="0"/>
            <w:tcW w:w="5281" w:type="dxa"/>
            <w:shd w:val="clear" w:color="auto" w:fill="F2F2F2" w:themeFill="background1" w:themeFillShade="F2"/>
            <w:noWrap/>
            <w:hideMark/>
          </w:tcPr>
          <w:p w14:paraId="1BD18316" w14:textId="77777777" w:rsidR="00166DB1" w:rsidRPr="00166DB1" w:rsidRDefault="00166DB1" w:rsidP="00FF3C41">
            <w:pPr>
              <w:pStyle w:val="TableCopy"/>
            </w:pPr>
            <w:r w:rsidRPr="00166DB1">
              <w:t>Intern Incentive Allowance for Rural Pharmacies Extension Program</w:t>
            </w:r>
          </w:p>
        </w:tc>
        <w:tc>
          <w:tcPr>
            <w:tcW w:w="1753" w:type="dxa"/>
            <w:shd w:val="clear" w:color="auto" w:fill="F2F2F2" w:themeFill="background1" w:themeFillShade="F2"/>
            <w:noWrap/>
            <w:hideMark/>
          </w:tcPr>
          <w:p w14:paraId="4F9E9C50" w14:textId="77777777" w:rsidR="00166DB1" w:rsidRPr="00166DB1" w:rsidRDefault="00166DB1" w:rsidP="00FF3C41">
            <w:pPr>
              <w:pStyle w:val="TableCopy"/>
              <w:jc w:val="center"/>
              <w:cnfStyle w:val="000000000000" w:firstRow="0" w:lastRow="0" w:firstColumn="0" w:lastColumn="0" w:oddVBand="0" w:evenVBand="0" w:oddHBand="0" w:evenHBand="0" w:firstRowFirstColumn="0" w:firstRowLastColumn="0" w:lastRowFirstColumn="0" w:lastRowLastColumn="0"/>
            </w:pPr>
            <w:r w:rsidRPr="00166DB1">
              <w:t>100</w:t>
            </w:r>
          </w:p>
        </w:tc>
      </w:tr>
      <w:tr w:rsidR="00166DB1" w:rsidRPr="00166DB1" w14:paraId="3F590D73" w14:textId="77777777" w:rsidTr="00546711">
        <w:trPr>
          <w:trHeight w:val="300"/>
        </w:trPr>
        <w:tc>
          <w:tcPr>
            <w:cnfStyle w:val="001000000000" w:firstRow="0" w:lastRow="0" w:firstColumn="1" w:lastColumn="0" w:oddVBand="0" w:evenVBand="0" w:oddHBand="0" w:evenHBand="0" w:firstRowFirstColumn="0" w:firstRowLastColumn="0" w:lastRowFirstColumn="0" w:lastRowLastColumn="0"/>
            <w:tcW w:w="5281" w:type="dxa"/>
            <w:shd w:val="clear" w:color="auto" w:fill="F2F2F2" w:themeFill="background1" w:themeFillShade="F2"/>
            <w:noWrap/>
            <w:hideMark/>
          </w:tcPr>
          <w:p w14:paraId="236B8C91" w14:textId="77777777" w:rsidR="00166DB1" w:rsidRPr="00166DB1" w:rsidRDefault="00166DB1" w:rsidP="00FF3C41">
            <w:pPr>
              <w:pStyle w:val="TableCopy"/>
            </w:pPr>
            <w:r w:rsidRPr="00166DB1">
              <w:t>Rural Pharmacy Scholarship Scheme</w:t>
            </w:r>
          </w:p>
        </w:tc>
        <w:tc>
          <w:tcPr>
            <w:tcW w:w="1753" w:type="dxa"/>
            <w:shd w:val="clear" w:color="auto" w:fill="F2F2F2" w:themeFill="background1" w:themeFillShade="F2"/>
            <w:noWrap/>
            <w:hideMark/>
          </w:tcPr>
          <w:p w14:paraId="6FFC5BC2" w14:textId="77777777" w:rsidR="00166DB1" w:rsidRPr="00166DB1" w:rsidRDefault="00166DB1" w:rsidP="00FF3C41">
            <w:pPr>
              <w:pStyle w:val="TableCopy"/>
              <w:jc w:val="center"/>
              <w:cnfStyle w:val="000000000000" w:firstRow="0" w:lastRow="0" w:firstColumn="0" w:lastColumn="0" w:oddVBand="0" w:evenVBand="0" w:oddHBand="0" w:evenHBand="0" w:firstRowFirstColumn="0" w:firstRowLastColumn="0" w:lastRowFirstColumn="0" w:lastRowLastColumn="0"/>
            </w:pPr>
            <w:r w:rsidRPr="00166DB1">
              <w:t>96</w:t>
            </w:r>
          </w:p>
        </w:tc>
      </w:tr>
      <w:tr w:rsidR="00166DB1" w:rsidRPr="00166DB1" w14:paraId="136EA725" w14:textId="77777777" w:rsidTr="00546711">
        <w:trPr>
          <w:trHeight w:val="300"/>
        </w:trPr>
        <w:tc>
          <w:tcPr>
            <w:cnfStyle w:val="001000000000" w:firstRow="0" w:lastRow="0" w:firstColumn="1" w:lastColumn="0" w:oddVBand="0" w:evenVBand="0" w:oddHBand="0" w:evenHBand="0" w:firstRowFirstColumn="0" w:firstRowLastColumn="0" w:lastRowFirstColumn="0" w:lastRowLastColumn="0"/>
            <w:tcW w:w="5281" w:type="dxa"/>
            <w:shd w:val="clear" w:color="auto" w:fill="F2F2F2" w:themeFill="background1" w:themeFillShade="F2"/>
            <w:noWrap/>
            <w:hideMark/>
          </w:tcPr>
          <w:p w14:paraId="5665C4E0" w14:textId="77777777" w:rsidR="00166DB1" w:rsidRPr="00166DB1" w:rsidRDefault="00166DB1" w:rsidP="00FF3C41">
            <w:pPr>
              <w:pStyle w:val="TableCopy"/>
            </w:pPr>
            <w:r w:rsidRPr="00166DB1">
              <w:t>Rural Pharmacy Student Placement Allowance</w:t>
            </w:r>
          </w:p>
        </w:tc>
        <w:tc>
          <w:tcPr>
            <w:tcW w:w="1753" w:type="dxa"/>
            <w:shd w:val="clear" w:color="auto" w:fill="F2F2F2" w:themeFill="background1" w:themeFillShade="F2"/>
            <w:noWrap/>
            <w:hideMark/>
          </w:tcPr>
          <w:p w14:paraId="193EA5E3" w14:textId="77777777" w:rsidR="00166DB1" w:rsidRPr="00166DB1" w:rsidRDefault="00166DB1" w:rsidP="00FF3C41">
            <w:pPr>
              <w:pStyle w:val="TableCopy"/>
              <w:jc w:val="center"/>
              <w:cnfStyle w:val="000000000000" w:firstRow="0" w:lastRow="0" w:firstColumn="0" w:lastColumn="0" w:oddVBand="0" w:evenVBand="0" w:oddHBand="0" w:evenHBand="0" w:firstRowFirstColumn="0" w:firstRowLastColumn="0" w:lastRowFirstColumn="0" w:lastRowLastColumn="0"/>
            </w:pPr>
            <w:r w:rsidRPr="00166DB1">
              <w:t>93</w:t>
            </w:r>
          </w:p>
        </w:tc>
      </w:tr>
      <w:tr w:rsidR="00166DB1" w:rsidRPr="00166DB1" w14:paraId="66CE4B70" w14:textId="77777777" w:rsidTr="00546711">
        <w:trPr>
          <w:trHeight w:val="300"/>
        </w:trPr>
        <w:tc>
          <w:tcPr>
            <w:cnfStyle w:val="001000000000" w:firstRow="0" w:lastRow="0" w:firstColumn="1" w:lastColumn="0" w:oddVBand="0" w:evenVBand="0" w:oddHBand="0" w:evenHBand="0" w:firstRowFirstColumn="0" w:firstRowLastColumn="0" w:lastRowFirstColumn="0" w:lastRowLastColumn="0"/>
            <w:tcW w:w="5281" w:type="dxa"/>
            <w:shd w:val="clear" w:color="auto" w:fill="F2F2F2" w:themeFill="background1" w:themeFillShade="F2"/>
            <w:noWrap/>
            <w:hideMark/>
          </w:tcPr>
          <w:p w14:paraId="170EFA54" w14:textId="77777777" w:rsidR="00166DB1" w:rsidRPr="00166DB1" w:rsidRDefault="00166DB1" w:rsidP="00FF3C41">
            <w:pPr>
              <w:pStyle w:val="TableCopy"/>
            </w:pPr>
            <w:r w:rsidRPr="00166DB1">
              <w:t>Rural Intern Training Allowance</w:t>
            </w:r>
          </w:p>
        </w:tc>
        <w:tc>
          <w:tcPr>
            <w:tcW w:w="1753" w:type="dxa"/>
            <w:shd w:val="clear" w:color="auto" w:fill="F2F2F2" w:themeFill="background1" w:themeFillShade="F2"/>
            <w:noWrap/>
            <w:hideMark/>
          </w:tcPr>
          <w:p w14:paraId="34A631B9" w14:textId="77777777" w:rsidR="00166DB1" w:rsidRPr="00166DB1" w:rsidRDefault="00166DB1" w:rsidP="00FF3C41">
            <w:pPr>
              <w:pStyle w:val="TableCopy"/>
              <w:jc w:val="center"/>
              <w:cnfStyle w:val="000000000000" w:firstRow="0" w:lastRow="0" w:firstColumn="0" w:lastColumn="0" w:oddVBand="0" w:evenVBand="0" w:oddHBand="0" w:evenHBand="0" w:firstRowFirstColumn="0" w:firstRowLastColumn="0" w:lastRowFirstColumn="0" w:lastRowLastColumn="0"/>
            </w:pPr>
            <w:r w:rsidRPr="00166DB1">
              <w:t>79</w:t>
            </w:r>
          </w:p>
        </w:tc>
      </w:tr>
      <w:tr w:rsidR="00166DB1" w:rsidRPr="00166DB1" w14:paraId="42285413" w14:textId="77777777" w:rsidTr="00546711">
        <w:trPr>
          <w:trHeight w:val="600"/>
        </w:trPr>
        <w:tc>
          <w:tcPr>
            <w:cnfStyle w:val="001000000000" w:firstRow="0" w:lastRow="0" w:firstColumn="1" w:lastColumn="0" w:oddVBand="0" w:evenVBand="0" w:oddHBand="0" w:evenHBand="0" w:firstRowFirstColumn="0" w:firstRowLastColumn="0" w:lastRowFirstColumn="0" w:lastRowLastColumn="0"/>
            <w:tcW w:w="5281" w:type="dxa"/>
            <w:shd w:val="clear" w:color="auto" w:fill="F2F2F2" w:themeFill="background1" w:themeFillShade="F2"/>
            <w:hideMark/>
          </w:tcPr>
          <w:p w14:paraId="13310199" w14:textId="77777777" w:rsidR="00166DB1" w:rsidRPr="00166DB1" w:rsidRDefault="00166DB1" w:rsidP="00FF3C41">
            <w:pPr>
              <w:pStyle w:val="TableCopy"/>
            </w:pPr>
            <w:r w:rsidRPr="00166DB1">
              <w:lastRenderedPageBreak/>
              <w:t xml:space="preserve">Aboriginal and Torres Strait Islander Pharmacy Assistant Traineeship Scheme </w:t>
            </w:r>
          </w:p>
        </w:tc>
        <w:tc>
          <w:tcPr>
            <w:tcW w:w="1753" w:type="dxa"/>
            <w:shd w:val="clear" w:color="auto" w:fill="F2F2F2" w:themeFill="background1" w:themeFillShade="F2"/>
            <w:noWrap/>
            <w:hideMark/>
          </w:tcPr>
          <w:p w14:paraId="5A17125D" w14:textId="77777777" w:rsidR="00166DB1" w:rsidRPr="00166DB1" w:rsidRDefault="00166DB1" w:rsidP="00FF3C41">
            <w:pPr>
              <w:pStyle w:val="TableCopy"/>
              <w:jc w:val="center"/>
              <w:cnfStyle w:val="000000000000" w:firstRow="0" w:lastRow="0" w:firstColumn="0" w:lastColumn="0" w:oddVBand="0" w:evenVBand="0" w:oddHBand="0" w:evenHBand="0" w:firstRowFirstColumn="0" w:firstRowLastColumn="0" w:lastRowFirstColumn="0" w:lastRowLastColumn="0"/>
            </w:pPr>
            <w:r w:rsidRPr="00166DB1">
              <w:t>55</w:t>
            </w:r>
          </w:p>
        </w:tc>
      </w:tr>
      <w:tr w:rsidR="00166DB1" w:rsidRPr="00166DB1" w14:paraId="22F5BEF2" w14:textId="77777777" w:rsidTr="00546711">
        <w:trPr>
          <w:trHeight w:val="300"/>
        </w:trPr>
        <w:tc>
          <w:tcPr>
            <w:cnfStyle w:val="001000000000" w:firstRow="0" w:lastRow="0" w:firstColumn="1" w:lastColumn="0" w:oddVBand="0" w:evenVBand="0" w:oddHBand="0" w:evenHBand="0" w:firstRowFirstColumn="0" w:firstRowLastColumn="0" w:lastRowFirstColumn="0" w:lastRowLastColumn="0"/>
            <w:tcW w:w="5281" w:type="dxa"/>
            <w:shd w:val="clear" w:color="auto" w:fill="F2F2F2" w:themeFill="background1" w:themeFillShade="F2"/>
            <w:noWrap/>
            <w:hideMark/>
          </w:tcPr>
          <w:p w14:paraId="202E3206" w14:textId="77777777" w:rsidR="00166DB1" w:rsidRPr="00166DB1" w:rsidRDefault="00166DB1" w:rsidP="00FF3C41">
            <w:pPr>
              <w:pStyle w:val="TableCopy"/>
            </w:pPr>
            <w:r w:rsidRPr="00166DB1">
              <w:t>Administrative Support to Pharmacy Schools</w:t>
            </w:r>
          </w:p>
        </w:tc>
        <w:tc>
          <w:tcPr>
            <w:tcW w:w="1753" w:type="dxa"/>
            <w:shd w:val="clear" w:color="auto" w:fill="F2F2F2" w:themeFill="background1" w:themeFillShade="F2"/>
            <w:noWrap/>
            <w:hideMark/>
          </w:tcPr>
          <w:p w14:paraId="2741D0D8" w14:textId="77777777" w:rsidR="00166DB1" w:rsidRPr="00166DB1" w:rsidRDefault="00166DB1" w:rsidP="00FF3C41">
            <w:pPr>
              <w:pStyle w:val="TableCopy"/>
              <w:jc w:val="center"/>
              <w:cnfStyle w:val="000000000000" w:firstRow="0" w:lastRow="0" w:firstColumn="0" w:lastColumn="0" w:oddVBand="0" w:evenVBand="0" w:oddHBand="0" w:evenHBand="0" w:firstRowFirstColumn="0" w:firstRowLastColumn="0" w:lastRowFirstColumn="0" w:lastRowLastColumn="0"/>
            </w:pPr>
            <w:r w:rsidRPr="00166DB1">
              <w:t>42</w:t>
            </w:r>
          </w:p>
        </w:tc>
      </w:tr>
      <w:tr w:rsidR="00166DB1" w:rsidRPr="00166DB1" w14:paraId="3A51B3CC" w14:textId="77777777" w:rsidTr="00546711">
        <w:trPr>
          <w:trHeight w:val="600"/>
        </w:trPr>
        <w:tc>
          <w:tcPr>
            <w:cnfStyle w:val="001000000000" w:firstRow="0" w:lastRow="0" w:firstColumn="1" w:lastColumn="0" w:oddVBand="0" w:evenVBand="0" w:oddHBand="0" w:evenHBand="0" w:firstRowFirstColumn="0" w:firstRowLastColumn="0" w:lastRowFirstColumn="0" w:lastRowLastColumn="0"/>
            <w:tcW w:w="5281" w:type="dxa"/>
            <w:shd w:val="clear" w:color="auto" w:fill="F2F2F2" w:themeFill="background1" w:themeFillShade="F2"/>
            <w:hideMark/>
          </w:tcPr>
          <w:p w14:paraId="48AB0089" w14:textId="77777777" w:rsidR="00166DB1" w:rsidRPr="00166DB1" w:rsidRDefault="00166DB1" w:rsidP="00FF3C41">
            <w:pPr>
              <w:pStyle w:val="TableCopy"/>
            </w:pPr>
            <w:r w:rsidRPr="00166DB1">
              <w:t>Aboriginal and Torres Strait Islander Scholarship Scheme</w:t>
            </w:r>
          </w:p>
        </w:tc>
        <w:tc>
          <w:tcPr>
            <w:tcW w:w="1753" w:type="dxa"/>
            <w:shd w:val="clear" w:color="auto" w:fill="F2F2F2" w:themeFill="background1" w:themeFillShade="F2"/>
            <w:noWrap/>
            <w:hideMark/>
          </w:tcPr>
          <w:p w14:paraId="63407191" w14:textId="77777777" w:rsidR="00166DB1" w:rsidRPr="00166DB1" w:rsidRDefault="00166DB1" w:rsidP="00FF3C41">
            <w:pPr>
              <w:pStyle w:val="TableCopy"/>
              <w:jc w:val="center"/>
              <w:cnfStyle w:val="000000000000" w:firstRow="0" w:lastRow="0" w:firstColumn="0" w:lastColumn="0" w:oddVBand="0" w:evenVBand="0" w:oddHBand="0" w:evenHBand="0" w:firstRowFirstColumn="0" w:firstRowLastColumn="0" w:lastRowFirstColumn="0" w:lastRowLastColumn="0"/>
            </w:pPr>
            <w:r w:rsidRPr="00166DB1">
              <w:t>41</w:t>
            </w:r>
          </w:p>
        </w:tc>
      </w:tr>
      <w:tr w:rsidR="00166DB1" w:rsidRPr="00166DB1" w14:paraId="347CF4BB" w14:textId="77777777" w:rsidTr="00546711">
        <w:trPr>
          <w:trHeight w:val="300"/>
        </w:trPr>
        <w:tc>
          <w:tcPr>
            <w:cnfStyle w:val="001000000000" w:firstRow="0" w:lastRow="0" w:firstColumn="1" w:lastColumn="0" w:oddVBand="0" w:evenVBand="0" w:oddHBand="0" w:evenHBand="0" w:firstRowFirstColumn="0" w:firstRowLastColumn="0" w:lastRowFirstColumn="0" w:lastRowLastColumn="0"/>
            <w:tcW w:w="5281" w:type="dxa"/>
            <w:shd w:val="clear" w:color="auto" w:fill="F2F2F2" w:themeFill="background1" w:themeFillShade="F2"/>
            <w:noWrap/>
            <w:hideMark/>
          </w:tcPr>
          <w:p w14:paraId="6B6B7711" w14:textId="77777777" w:rsidR="00166DB1" w:rsidRPr="00166DB1" w:rsidRDefault="00166DB1" w:rsidP="00FF3C41">
            <w:pPr>
              <w:pStyle w:val="TableCopy"/>
            </w:pPr>
            <w:r w:rsidRPr="00166DB1">
              <w:t>Emergency Locum Service</w:t>
            </w:r>
          </w:p>
        </w:tc>
        <w:tc>
          <w:tcPr>
            <w:tcW w:w="1753" w:type="dxa"/>
            <w:shd w:val="clear" w:color="auto" w:fill="F2F2F2" w:themeFill="background1" w:themeFillShade="F2"/>
            <w:noWrap/>
            <w:hideMark/>
          </w:tcPr>
          <w:p w14:paraId="14C3BED7" w14:textId="77777777" w:rsidR="00166DB1" w:rsidRPr="00166DB1" w:rsidRDefault="00166DB1" w:rsidP="00FF3C41">
            <w:pPr>
              <w:pStyle w:val="TableCopy"/>
              <w:jc w:val="center"/>
              <w:cnfStyle w:val="000000000000" w:firstRow="0" w:lastRow="0" w:firstColumn="0" w:lastColumn="0" w:oddVBand="0" w:evenVBand="0" w:oddHBand="0" w:evenHBand="0" w:firstRowFirstColumn="0" w:firstRowLastColumn="0" w:lastRowFirstColumn="0" w:lastRowLastColumn="0"/>
            </w:pPr>
            <w:r w:rsidRPr="00166DB1">
              <w:t>41</w:t>
            </w:r>
          </w:p>
        </w:tc>
      </w:tr>
      <w:tr w:rsidR="00166DB1" w:rsidRPr="00166DB1" w14:paraId="1DAE8407" w14:textId="77777777" w:rsidTr="00546711">
        <w:trPr>
          <w:trHeight w:val="300"/>
        </w:trPr>
        <w:tc>
          <w:tcPr>
            <w:cnfStyle w:val="001000000000" w:firstRow="0" w:lastRow="0" w:firstColumn="1" w:lastColumn="0" w:oddVBand="0" w:evenVBand="0" w:oddHBand="0" w:evenHBand="0" w:firstRowFirstColumn="0" w:firstRowLastColumn="0" w:lastRowFirstColumn="0" w:lastRowLastColumn="0"/>
            <w:tcW w:w="5281" w:type="dxa"/>
            <w:shd w:val="clear" w:color="auto" w:fill="F2F2F2" w:themeFill="background1" w:themeFillShade="F2"/>
            <w:noWrap/>
            <w:hideMark/>
          </w:tcPr>
          <w:p w14:paraId="38C56D5F" w14:textId="77777777" w:rsidR="00166DB1" w:rsidRPr="00166DB1" w:rsidRDefault="00166DB1" w:rsidP="00FF3C41">
            <w:pPr>
              <w:pStyle w:val="TableCopy"/>
            </w:pPr>
            <w:r w:rsidRPr="00166DB1">
              <w:t>Rural Pharmacy Scholarship Mentor Scheme</w:t>
            </w:r>
          </w:p>
        </w:tc>
        <w:tc>
          <w:tcPr>
            <w:tcW w:w="1753" w:type="dxa"/>
            <w:shd w:val="clear" w:color="auto" w:fill="F2F2F2" w:themeFill="background1" w:themeFillShade="F2"/>
            <w:noWrap/>
            <w:hideMark/>
          </w:tcPr>
          <w:p w14:paraId="09019B46" w14:textId="77777777" w:rsidR="00166DB1" w:rsidRPr="00166DB1" w:rsidRDefault="00166DB1" w:rsidP="00FF3C41">
            <w:pPr>
              <w:pStyle w:val="TableCopy"/>
              <w:jc w:val="center"/>
              <w:cnfStyle w:val="000000000000" w:firstRow="0" w:lastRow="0" w:firstColumn="0" w:lastColumn="0" w:oddVBand="0" w:evenVBand="0" w:oddHBand="0" w:evenHBand="0" w:firstRowFirstColumn="0" w:firstRowLastColumn="0" w:lastRowFirstColumn="0" w:lastRowLastColumn="0"/>
            </w:pPr>
            <w:r w:rsidRPr="00166DB1">
              <w:t>34</w:t>
            </w:r>
          </w:p>
        </w:tc>
      </w:tr>
    </w:tbl>
    <w:p w14:paraId="4B0BD1D7"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This ranking data shows that the programs that pharmacists perceived to be the most effective relative to cost are the Intern Incentive Allowance for Rural Pharmacies, CPE Allowance and RPLO Program. The programs seen to be the least effective were the Rural Pharmacy Scholarship Mentor Scheme, the Emergency Locum Service and the Aboriginal and Torres Strait Islander Pharmacy Scholarship Scheme. </w:t>
      </w:r>
    </w:p>
    <w:p w14:paraId="1F7E0205"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As this survey was only distributed to a small number of pharmacists, programs where pharmacists were not the recipient tended to rank lower. Pharmacists consulted also had limited exposure to Aboriginal and Torres Strait Islander specific programs and therefore, many were unable to comment on the efficacy of these programs. </w:t>
      </w:r>
    </w:p>
    <w:p w14:paraId="40203649" w14:textId="72FA1DC0" w:rsidR="00166DB1" w:rsidRPr="00166DB1" w:rsidRDefault="00166DB1" w:rsidP="00546711">
      <w:pPr>
        <w:pStyle w:val="KeyFinding"/>
        <w:shd w:val="clear" w:color="auto" w:fill="F2F2F2" w:themeFill="background1" w:themeFillShade="F2"/>
      </w:pPr>
      <w:bookmarkStart w:id="115" w:name="_Ref490677246"/>
      <w:r w:rsidRPr="00166DB1">
        <w:t>Pharmacists considered the most effective programs relative to cost were the Intern Incentive Allowance for Rural Pharmacies, the CPE Allowance and the RPLO Program.</w:t>
      </w:r>
      <w:bookmarkEnd w:id="115"/>
    </w:p>
    <w:p w14:paraId="6B5A9F99" w14:textId="77777777" w:rsidR="00281DD2" w:rsidRDefault="00281DD2" w:rsidP="00546711">
      <w:pPr>
        <w:shd w:val="clear" w:color="auto" w:fill="F2F2F2" w:themeFill="background1" w:themeFillShade="F2"/>
        <w:spacing w:before="85" w:after="85"/>
        <w:rPr>
          <w:rFonts w:ascii="Garamond" w:eastAsia="Garamond" w:hAnsi="Garamond"/>
          <w:color w:val="000000"/>
        </w:rPr>
        <w:sectPr w:rsidR="00281DD2" w:rsidSect="00720069">
          <w:pgSz w:w="16839" w:h="11907" w:orient="landscape" w:code="9"/>
          <w:pgMar w:top="2268" w:right="1304" w:bottom="850" w:left="737" w:header="567" w:footer="284" w:gutter="0"/>
          <w:cols w:num="2" w:space="709"/>
          <w:docGrid w:linePitch="360"/>
        </w:sectPr>
      </w:pPr>
    </w:p>
    <w:p w14:paraId="754D97B0" w14:textId="3CC11EAB" w:rsidR="00281DD2" w:rsidRPr="00281DD2" w:rsidRDefault="00281DD2" w:rsidP="009F66FB">
      <w:pPr>
        <w:pStyle w:val="Heading1"/>
        <w:rPr>
          <w:lang w:val="en-US"/>
        </w:rPr>
      </w:pPr>
      <w:bookmarkStart w:id="116" w:name="_Toc523322082"/>
      <w:bookmarkStart w:id="117" w:name="_Toc490574946"/>
      <w:r w:rsidRPr="00281DD2">
        <w:rPr>
          <w:lang w:val="en-US"/>
        </w:rPr>
        <w:lastRenderedPageBreak/>
        <w:t>Conclusion and Options for Future development</w:t>
      </w:r>
      <w:bookmarkEnd w:id="116"/>
    </w:p>
    <w:p w14:paraId="45B354FC" w14:textId="77777777" w:rsidR="00660B8E" w:rsidRDefault="00660B8E" w:rsidP="009F66FB">
      <w:pPr>
        <w:pStyle w:val="Heading1"/>
        <w:sectPr w:rsidR="00660B8E" w:rsidSect="00660B8E">
          <w:pgSz w:w="16839" w:h="11907" w:orient="landscape" w:code="9"/>
          <w:pgMar w:top="2268" w:right="1304" w:bottom="850" w:left="737" w:header="567" w:footer="284" w:gutter="0"/>
          <w:cols w:space="709"/>
          <w:titlePg/>
          <w:docGrid w:linePitch="360"/>
        </w:sectPr>
      </w:pPr>
    </w:p>
    <w:p w14:paraId="5F176A35" w14:textId="0750E6CF" w:rsidR="00166DB1" w:rsidRPr="00166DB1" w:rsidRDefault="00166DB1" w:rsidP="00B24642">
      <w:pPr>
        <w:pStyle w:val="Heading2"/>
      </w:pPr>
      <w:bookmarkStart w:id="118" w:name="_Toc523322083"/>
      <w:r w:rsidRPr="00166DB1">
        <w:t>Summary of evaluation findings</w:t>
      </w:r>
      <w:bookmarkEnd w:id="117"/>
      <w:bookmarkEnd w:id="118"/>
    </w:p>
    <w:p w14:paraId="20525437"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The evaluation found that the Pharmacy Workforce Package had minimal impact on the pharmacy workforce at the macro level. However, the impact, reach and currency of the Pharmacy Workforce Programs could be improved by more proactive program governance.</w:t>
      </w:r>
    </w:p>
    <w:p w14:paraId="1175771C"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All 12 Pharmacy Workforce Programs were highly valued by recipients and generally well received by broader stakeholders. Although, as a package, the programs did not show significant impact on pharmacy workforce growth in rural and remote locations, further analysis indicates that some program types may have more impact than others. </w:t>
      </w:r>
    </w:p>
    <w:p w14:paraId="62671854"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Recruitment programs may have the greatest impact. It was estimated that recruitment programs could reach approximately 600 recipients per year, with approximately 250 students / interns likely to return to rural and remote areas. This correlates with the average number of new graduates working in rural and remote areas (270 new graduates). </w:t>
      </w:r>
    </w:p>
    <w:p w14:paraId="281D4055"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Conversely, retention programs do not appear to significantly impact on the pharmacy workforce. Pharmacist turn-over rates in rural and remote areas were estimated to be 1.3 to 1.8 times higher than in major cities. In addition, retention programs were estimated to reach less than 10% of the existing rural and remote workforce. </w:t>
      </w:r>
    </w:p>
    <w:p w14:paraId="0539D35A"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It was estimated that an additional 800 pharmacists are required in rural and remote areas in order to reach parity with major cities. Therefore, a greater investment in workforce programs is required to address the ongoing pharmacist shortage in these areas. </w:t>
      </w:r>
    </w:p>
    <w:p w14:paraId="166DC857"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Programs supporting increased access to culturally appropriate services for Aboriginal and Torres Strait Islander people were more challenging to evaluate, as their core objectives were to improve culturally appropriate access to PBS </w:t>
      </w:r>
      <w:r w:rsidRPr="00166DB1">
        <w:rPr>
          <w:rFonts w:ascii="Garamond" w:eastAsia="Garamond" w:hAnsi="Garamond"/>
          <w:color w:val="000000"/>
        </w:rPr>
        <w:t>medicines, and should therefore not be limited to workforce growth or rural and remote locations.</w:t>
      </w:r>
    </w:p>
    <w:p w14:paraId="0CAB5E44"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Total unit costs of individual programs were calculated based on program usage and an allocated proportion of administration funding. The unit costs were ranked as small (below </w:t>
      </w:r>
      <w:r w:rsidRPr="00166DB1">
        <w:rPr>
          <w:rFonts w:ascii="Times New Roman" w:eastAsia="Garamond" w:hAnsi="Times New Roman"/>
          <w:color w:val="000000"/>
        </w:rPr>
        <w:t>$</w:t>
      </w:r>
      <w:r w:rsidRPr="00166DB1">
        <w:rPr>
          <w:rFonts w:ascii="Garamond" w:eastAsia="Garamond" w:hAnsi="Garamond"/>
          <w:color w:val="000000"/>
        </w:rPr>
        <w:t>10,000), moderate (</w:t>
      </w:r>
      <w:r w:rsidRPr="00166DB1">
        <w:rPr>
          <w:rFonts w:ascii="Times New Roman" w:eastAsia="Garamond" w:hAnsi="Times New Roman"/>
          <w:color w:val="000000"/>
        </w:rPr>
        <w:t>$</w:t>
      </w:r>
      <w:r w:rsidRPr="00166DB1">
        <w:rPr>
          <w:rFonts w:ascii="Garamond" w:eastAsia="Garamond" w:hAnsi="Garamond"/>
          <w:color w:val="000000"/>
        </w:rPr>
        <w:t xml:space="preserve">10,000 to </w:t>
      </w:r>
      <w:r w:rsidRPr="00166DB1">
        <w:rPr>
          <w:rFonts w:ascii="Times New Roman" w:eastAsia="Garamond" w:hAnsi="Times New Roman"/>
          <w:color w:val="000000"/>
        </w:rPr>
        <w:t>$</w:t>
      </w:r>
      <w:r w:rsidRPr="00166DB1">
        <w:rPr>
          <w:rFonts w:ascii="Garamond" w:eastAsia="Garamond" w:hAnsi="Garamond"/>
          <w:color w:val="000000"/>
        </w:rPr>
        <w:t xml:space="preserve">50,000), or large (above </w:t>
      </w:r>
      <w:r w:rsidRPr="00166DB1">
        <w:rPr>
          <w:rFonts w:ascii="Times New Roman" w:eastAsia="Garamond" w:hAnsi="Times New Roman"/>
          <w:color w:val="000000"/>
        </w:rPr>
        <w:t>$</w:t>
      </w:r>
      <w:r w:rsidRPr="00166DB1">
        <w:rPr>
          <w:rFonts w:ascii="Garamond" w:eastAsia="Garamond" w:hAnsi="Garamond"/>
          <w:color w:val="000000"/>
        </w:rPr>
        <w:t xml:space="preserve">50,000). </w:t>
      </w:r>
    </w:p>
    <w:p w14:paraId="254C1412"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The perceived benefit of the programs on the rural and remote pharmacy workforce was also assessed. The benefit of the programs was assessed using the perceptions of peak body stakeholders, pharmacists or program recipients or supported by published peer reviewed literature, workforce data, program data and rank correlation analysis (see </w:t>
      </w:r>
      <w:r w:rsidRPr="00166DB1">
        <w:rPr>
          <w:rFonts w:ascii="Garamond" w:eastAsia="Garamond" w:hAnsi="Garamond"/>
          <w:color w:val="000000"/>
        </w:rPr>
        <w:fldChar w:fldCharType="begin"/>
      </w:r>
      <w:r w:rsidRPr="00166DB1">
        <w:rPr>
          <w:rFonts w:ascii="Garamond" w:eastAsia="Garamond" w:hAnsi="Garamond"/>
          <w:color w:val="000000"/>
        </w:rPr>
        <w:instrText xml:space="preserve"> REF _Ref488303652 \n \h </w:instrText>
      </w:r>
      <w:r w:rsidRPr="00166DB1">
        <w:rPr>
          <w:rFonts w:ascii="Garamond" w:eastAsia="Garamond" w:hAnsi="Garamond"/>
          <w:color w:val="000000"/>
        </w:rPr>
      </w:r>
      <w:r w:rsidRPr="00166DB1">
        <w:rPr>
          <w:rFonts w:ascii="Garamond" w:eastAsia="Garamond" w:hAnsi="Garamond"/>
          <w:color w:val="000000"/>
        </w:rPr>
        <w:fldChar w:fldCharType="separate"/>
      </w:r>
      <w:r w:rsidRPr="00166DB1">
        <w:rPr>
          <w:rFonts w:ascii="Garamond" w:eastAsia="Garamond" w:hAnsi="Garamond"/>
          <w:color w:val="000000"/>
        </w:rPr>
        <w:t>Appendix F</w:t>
      </w:r>
      <w:r w:rsidRPr="00166DB1">
        <w:rPr>
          <w:rFonts w:ascii="Garamond" w:eastAsia="Garamond" w:hAnsi="Garamond"/>
          <w:color w:val="000000"/>
        </w:rPr>
        <w:fldChar w:fldCharType="end"/>
      </w:r>
      <w:r w:rsidRPr="00166DB1">
        <w:rPr>
          <w:rFonts w:ascii="Garamond" w:eastAsia="Garamond" w:hAnsi="Garamond"/>
          <w:color w:val="000000"/>
        </w:rPr>
        <w:t>). An assessment of perceived benefit was based on the strength of support indicated by each of the data sources listed above. Examples of how the strength of evidence is weight include:</w:t>
      </w:r>
    </w:p>
    <w:p w14:paraId="72AAC74F" w14:textId="77777777" w:rsidR="00166DB1" w:rsidRPr="00FF3C41" w:rsidRDefault="00166DB1" w:rsidP="009F66FB">
      <w:pPr>
        <w:pStyle w:val="ListParagraph"/>
        <w:numPr>
          <w:ilvl w:val="0"/>
          <w:numId w:val="22"/>
        </w:numPr>
        <w:tabs>
          <w:tab w:val="num" w:pos="170"/>
        </w:tabs>
        <w:spacing w:before="20" w:after="20"/>
        <w:rPr>
          <w:rFonts w:ascii="Garamond" w:eastAsia="Times New Roman" w:hAnsi="Garamond"/>
          <w:color w:val="000000"/>
        </w:rPr>
      </w:pPr>
      <w:r w:rsidRPr="00FF3C41">
        <w:rPr>
          <w:rFonts w:ascii="Garamond" w:eastAsia="Times New Roman" w:hAnsi="Garamond"/>
          <w:color w:val="000000"/>
        </w:rPr>
        <w:t>supported by workforce data – high perceived benefit</w:t>
      </w:r>
    </w:p>
    <w:p w14:paraId="1CAD1A90" w14:textId="77777777" w:rsidR="00166DB1" w:rsidRPr="00FF3C41" w:rsidRDefault="00166DB1" w:rsidP="009F66FB">
      <w:pPr>
        <w:pStyle w:val="ListParagraph"/>
        <w:numPr>
          <w:ilvl w:val="0"/>
          <w:numId w:val="22"/>
        </w:numPr>
        <w:tabs>
          <w:tab w:val="num" w:pos="170"/>
        </w:tabs>
        <w:spacing w:before="20" w:after="20"/>
        <w:rPr>
          <w:rFonts w:ascii="Garamond" w:eastAsia="Times New Roman" w:hAnsi="Garamond"/>
          <w:color w:val="000000"/>
        </w:rPr>
      </w:pPr>
      <w:r w:rsidRPr="00FF3C41">
        <w:rPr>
          <w:rFonts w:ascii="Garamond" w:eastAsia="Times New Roman" w:hAnsi="Garamond"/>
          <w:color w:val="000000"/>
        </w:rPr>
        <w:t>supported by strong literature evidence – high perceived benefit</w:t>
      </w:r>
    </w:p>
    <w:p w14:paraId="37E0B957" w14:textId="77777777" w:rsidR="00166DB1" w:rsidRPr="00FF3C41" w:rsidRDefault="00166DB1" w:rsidP="009F66FB">
      <w:pPr>
        <w:pStyle w:val="ListParagraph"/>
        <w:numPr>
          <w:ilvl w:val="0"/>
          <w:numId w:val="22"/>
        </w:numPr>
        <w:tabs>
          <w:tab w:val="num" w:pos="170"/>
        </w:tabs>
        <w:spacing w:before="20" w:after="20"/>
        <w:rPr>
          <w:rFonts w:ascii="Garamond" w:eastAsia="Times New Roman" w:hAnsi="Garamond"/>
          <w:color w:val="000000"/>
        </w:rPr>
      </w:pPr>
      <w:r w:rsidRPr="00FF3C41">
        <w:rPr>
          <w:rFonts w:ascii="Garamond" w:eastAsia="Times New Roman" w:hAnsi="Garamond"/>
          <w:color w:val="000000"/>
        </w:rPr>
        <w:t>supported by moderate literature evidence – moderate perceived benefit</w:t>
      </w:r>
    </w:p>
    <w:p w14:paraId="43330CD5" w14:textId="77777777" w:rsidR="00166DB1" w:rsidRPr="00FF3C41" w:rsidRDefault="00166DB1" w:rsidP="009F66FB">
      <w:pPr>
        <w:pStyle w:val="ListParagraph"/>
        <w:numPr>
          <w:ilvl w:val="0"/>
          <w:numId w:val="22"/>
        </w:numPr>
        <w:tabs>
          <w:tab w:val="num" w:pos="170"/>
        </w:tabs>
        <w:spacing w:before="20" w:after="20"/>
        <w:rPr>
          <w:rFonts w:ascii="Garamond" w:eastAsia="Times New Roman" w:hAnsi="Garamond"/>
          <w:color w:val="000000"/>
        </w:rPr>
      </w:pPr>
      <w:r w:rsidRPr="00FF3C41">
        <w:rPr>
          <w:rFonts w:ascii="Garamond" w:eastAsia="Times New Roman" w:hAnsi="Garamond"/>
          <w:color w:val="000000"/>
        </w:rPr>
        <w:t xml:space="preserve">supported by multiple stakeholder groups (e.g. peak bodies and recipients) – moderate perceived benefit, and </w:t>
      </w:r>
    </w:p>
    <w:p w14:paraId="18801322" w14:textId="77777777" w:rsidR="00166DB1" w:rsidRPr="00FF3C41" w:rsidRDefault="00166DB1" w:rsidP="009F66FB">
      <w:pPr>
        <w:pStyle w:val="ListParagraph"/>
        <w:numPr>
          <w:ilvl w:val="0"/>
          <w:numId w:val="22"/>
        </w:numPr>
        <w:tabs>
          <w:tab w:val="num" w:pos="170"/>
        </w:tabs>
        <w:spacing w:before="20" w:after="20"/>
        <w:rPr>
          <w:rFonts w:ascii="Garamond" w:eastAsia="Times New Roman" w:hAnsi="Garamond"/>
          <w:color w:val="000000"/>
        </w:rPr>
      </w:pPr>
      <w:r w:rsidRPr="00FF3C41">
        <w:rPr>
          <w:rFonts w:ascii="Garamond" w:eastAsia="Times New Roman" w:hAnsi="Garamond"/>
          <w:color w:val="000000"/>
        </w:rPr>
        <w:t xml:space="preserve">weak literature evidence and limited stakeholder support – low perceived benefit. </w:t>
      </w:r>
    </w:p>
    <w:p w14:paraId="046ACB55"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The unit cost and of the perceived benefit were then compared for each program. This analysis generated an overall assessment of effectiveness for each program. See </w:t>
      </w:r>
      <w:r w:rsidRPr="00166DB1">
        <w:rPr>
          <w:rFonts w:ascii="Garamond" w:eastAsia="Garamond" w:hAnsi="Garamond"/>
          <w:color w:val="000000"/>
        </w:rPr>
        <w:fldChar w:fldCharType="begin"/>
      </w:r>
      <w:r w:rsidRPr="00166DB1">
        <w:rPr>
          <w:rFonts w:ascii="Garamond" w:eastAsia="Garamond" w:hAnsi="Garamond"/>
          <w:color w:val="000000"/>
        </w:rPr>
        <w:instrText xml:space="preserve"> REF _Ref488233748 \h  \* MERGEFORMAT </w:instrText>
      </w:r>
      <w:r w:rsidRPr="00166DB1">
        <w:rPr>
          <w:rFonts w:ascii="Garamond" w:eastAsia="Garamond" w:hAnsi="Garamond"/>
          <w:color w:val="000000"/>
        </w:rPr>
      </w:r>
      <w:r w:rsidRPr="00166DB1">
        <w:rPr>
          <w:rFonts w:ascii="Garamond" w:eastAsia="Garamond" w:hAnsi="Garamond"/>
          <w:color w:val="000000"/>
        </w:rPr>
        <w:fldChar w:fldCharType="separate"/>
      </w:r>
      <w:r w:rsidRPr="00166DB1">
        <w:rPr>
          <w:rFonts w:ascii="Garamond" w:eastAsia="Garamond" w:hAnsi="Garamond"/>
          <w:color w:val="000000"/>
        </w:rPr>
        <w:t xml:space="preserve">Table </w:t>
      </w:r>
      <w:r w:rsidRPr="00166DB1">
        <w:rPr>
          <w:rFonts w:ascii="Garamond" w:eastAsia="Garamond" w:hAnsi="Garamond"/>
          <w:noProof/>
          <w:color w:val="000000"/>
        </w:rPr>
        <w:t>7.1</w:t>
      </w:r>
      <w:r w:rsidRPr="00166DB1">
        <w:rPr>
          <w:rFonts w:ascii="Garamond" w:eastAsia="Garamond" w:hAnsi="Garamond"/>
          <w:color w:val="000000"/>
        </w:rPr>
        <w:fldChar w:fldCharType="end"/>
      </w:r>
      <w:r w:rsidRPr="00166DB1">
        <w:rPr>
          <w:rFonts w:ascii="Garamond" w:eastAsia="Garamond" w:hAnsi="Garamond"/>
          <w:color w:val="000000"/>
        </w:rPr>
        <w:t>.</w:t>
      </w:r>
    </w:p>
    <w:p w14:paraId="10073667" w14:textId="77777777" w:rsidR="00166DB1" w:rsidRPr="00166DB1" w:rsidRDefault="00166DB1" w:rsidP="00166DB1">
      <w:pPr>
        <w:spacing w:before="85" w:after="85"/>
        <w:rPr>
          <w:rFonts w:ascii="Garamond" w:eastAsia="Garamond" w:hAnsi="Garamond"/>
          <w:color w:val="000000"/>
        </w:rPr>
        <w:sectPr w:rsidR="00166DB1" w:rsidRPr="00166DB1" w:rsidSect="00660B8E">
          <w:type w:val="continuous"/>
          <w:pgSz w:w="16839" w:h="11907" w:orient="landscape" w:code="9"/>
          <w:pgMar w:top="2268" w:right="1304" w:bottom="850" w:left="737" w:header="567" w:footer="284" w:gutter="0"/>
          <w:cols w:num="2" w:space="709"/>
          <w:titlePg/>
          <w:docGrid w:linePitch="360"/>
        </w:sectPr>
      </w:pPr>
    </w:p>
    <w:p w14:paraId="7FBEBB92" w14:textId="77777777" w:rsidR="00166DB1" w:rsidRPr="00166DB1" w:rsidRDefault="00166DB1" w:rsidP="00483C21">
      <w:pPr>
        <w:pStyle w:val="Caption"/>
      </w:pPr>
      <w:bookmarkStart w:id="119" w:name="_Ref488233748"/>
      <w:r w:rsidRPr="00166DB1">
        <w:lastRenderedPageBreak/>
        <w:t xml:space="preserve">Table </w:t>
      </w:r>
      <w:r w:rsidRPr="00166DB1">
        <w:rPr>
          <w:noProof/>
        </w:rPr>
        <w:fldChar w:fldCharType="begin"/>
      </w:r>
      <w:r w:rsidRPr="00166DB1">
        <w:rPr>
          <w:noProof/>
        </w:rPr>
        <w:instrText xml:space="preserve"> STYLEREF 1 \s </w:instrText>
      </w:r>
      <w:r w:rsidRPr="00166DB1">
        <w:rPr>
          <w:noProof/>
        </w:rPr>
        <w:fldChar w:fldCharType="separate"/>
      </w:r>
      <w:r w:rsidRPr="00166DB1">
        <w:rPr>
          <w:noProof/>
        </w:rPr>
        <w:t>7</w:t>
      </w:r>
      <w:r w:rsidRPr="00166DB1">
        <w:rPr>
          <w:noProof/>
        </w:rPr>
        <w:fldChar w:fldCharType="end"/>
      </w:r>
      <w:r w:rsidRPr="00166DB1">
        <w:t>.</w:t>
      </w:r>
      <w:r w:rsidRPr="00166DB1">
        <w:rPr>
          <w:noProof/>
        </w:rPr>
        <w:fldChar w:fldCharType="begin"/>
      </w:r>
      <w:r w:rsidRPr="00166DB1">
        <w:rPr>
          <w:noProof/>
        </w:rPr>
        <w:instrText xml:space="preserve"> SEQ Table \* ARABIC \s 1 </w:instrText>
      </w:r>
      <w:r w:rsidRPr="00166DB1">
        <w:rPr>
          <w:noProof/>
        </w:rPr>
        <w:fldChar w:fldCharType="separate"/>
      </w:r>
      <w:r w:rsidRPr="00166DB1">
        <w:rPr>
          <w:noProof/>
        </w:rPr>
        <w:t>1</w:t>
      </w:r>
      <w:r w:rsidRPr="00166DB1">
        <w:rPr>
          <w:noProof/>
        </w:rPr>
        <w:fldChar w:fldCharType="end"/>
      </w:r>
      <w:bookmarkEnd w:id="119"/>
      <w:r w:rsidRPr="00166DB1">
        <w:t xml:space="preserve">: Unit costs and perceived program benefit </w:t>
      </w:r>
    </w:p>
    <w:tbl>
      <w:tblPr>
        <w:tblStyle w:val="HMATable"/>
        <w:tblW w:w="5000" w:type="pct"/>
        <w:shd w:val="clear" w:color="auto" w:fill="F2F2F2" w:themeFill="background1" w:themeFillShade="F2"/>
        <w:tblLook w:val="04A0" w:firstRow="1" w:lastRow="0" w:firstColumn="1" w:lastColumn="0" w:noHBand="0" w:noVBand="1"/>
        <w:tblCaption w:val="Table 7.1: Unit costs and perceived program benefit"/>
        <w:tblDescription w:val="Table 7.1: Unit costs and perceived program benefit. Table consists of Package component, Total unit cost (annual)*, Unit cost rank, Perceived benefit, Rationale, and Overall value assessment."/>
      </w:tblPr>
      <w:tblGrid>
        <w:gridCol w:w="2419"/>
        <w:gridCol w:w="1405"/>
        <w:gridCol w:w="994"/>
        <w:gridCol w:w="1133"/>
        <w:gridCol w:w="7616"/>
        <w:gridCol w:w="1221"/>
      </w:tblGrid>
      <w:tr w:rsidR="00166DB1" w:rsidRPr="00166DB1" w14:paraId="48A9F88F" w14:textId="77777777" w:rsidTr="0006633E">
        <w:trPr>
          <w:cnfStyle w:val="100000000000" w:firstRow="1" w:lastRow="0" w:firstColumn="0" w:lastColumn="0" w:oddVBand="0" w:evenVBand="0" w:oddHBand="0" w:evenHBand="0" w:firstRowFirstColumn="0" w:firstRowLastColumn="0" w:lastRowFirstColumn="0" w:lastRowLastColumn="0"/>
          <w:trHeight w:val="20"/>
          <w:tblHeader/>
        </w:trPr>
        <w:tc>
          <w:tcPr>
            <w:cnfStyle w:val="001000000100" w:firstRow="0" w:lastRow="0" w:firstColumn="1" w:lastColumn="0" w:oddVBand="0" w:evenVBand="0" w:oddHBand="0" w:evenHBand="0" w:firstRowFirstColumn="1" w:firstRowLastColumn="0" w:lastRowFirstColumn="0" w:lastRowLastColumn="0"/>
            <w:tcW w:w="818" w:type="pct"/>
            <w:shd w:val="clear" w:color="auto" w:fill="D9D9D9" w:themeFill="background1" w:themeFillShade="D9"/>
            <w:noWrap/>
            <w:hideMark/>
          </w:tcPr>
          <w:p w14:paraId="532ECC0B" w14:textId="77777777" w:rsidR="00166DB1" w:rsidRPr="00166DB1" w:rsidRDefault="00166DB1" w:rsidP="00FF3C41">
            <w:pPr>
              <w:pStyle w:val="TableColumnHeading"/>
              <w:rPr>
                <w:lang w:eastAsia="en-AU"/>
              </w:rPr>
            </w:pPr>
            <w:r w:rsidRPr="00166DB1">
              <w:rPr>
                <w:lang w:eastAsia="en-AU"/>
              </w:rPr>
              <w:t>Package component</w:t>
            </w:r>
          </w:p>
        </w:tc>
        <w:tc>
          <w:tcPr>
            <w:tcW w:w="475" w:type="pct"/>
            <w:shd w:val="clear" w:color="auto" w:fill="D9D9D9" w:themeFill="background1" w:themeFillShade="D9"/>
            <w:hideMark/>
          </w:tcPr>
          <w:p w14:paraId="4556B383" w14:textId="77777777" w:rsidR="00166DB1" w:rsidRPr="00166DB1" w:rsidRDefault="00166DB1" w:rsidP="00FF3C41">
            <w:pPr>
              <w:pStyle w:val="TableColumnHeading"/>
              <w:cnfStyle w:val="100000000000" w:firstRow="1" w:lastRow="0" w:firstColumn="0" w:lastColumn="0" w:oddVBand="0" w:evenVBand="0" w:oddHBand="0" w:evenHBand="0" w:firstRowFirstColumn="0" w:firstRowLastColumn="0" w:lastRowFirstColumn="0" w:lastRowLastColumn="0"/>
              <w:rPr>
                <w:lang w:eastAsia="en-AU"/>
              </w:rPr>
            </w:pPr>
            <w:r w:rsidRPr="00166DB1">
              <w:rPr>
                <w:lang w:eastAsia="en-AU"/>
              </w:rPr>
              <w:t>Total unit cost (annual)*</w:t>
            </w:r>
          </w:p>
        </w:tc>
        <w:tc>
          <w:tcPr>
            <w:tcW w:w="336" w:type="pct"/>
            <w:shd w:val="clear" w:color="auto" w:fill="D9D9D9" w:themeFill="background1" w:themeFillShade="D9"/>
          </w:tcPr>
          <w:p w14:paraId="2A31898C" w14:textId="77777777" w:rsidR="00166DB1" w:rsidRPr="00166DB1" w:rsidRDefault="00166DB1" w:rsidP="00FF3C41">
            <w:pPr>
              <w:pStyle w:val="TableColumnHeading"/>
              <w:cnfStyle w:val="100000000000" w:firstRow="1" w:lastRow="0" w:firstColumn="0" w:lastColumn="0" w:oddVBand="0" w:evenVBand="0" w:oddHBand="0" w:evenHBand="0" w:firstRowFirstColumn="0" w:firstRowLastColumn="0" w:lastRowFirstColumn="0" w:lastRowLastColumn="0"/>
              <w:rPr>
                <w:lang w:eastAsia="en-AU"/>
              </w:rPr>
            </w:pPr>
            <w:r w:rsidRPr="00166DB1">
              <w:rPr>
                <w:lang w:eastAsia="en-AU"/>
              </w:rPr>
              <w:t xml:space="preserve">Unit cost rank </w:t>
            </w:r>
          </w:p>
        </w:tc>
        <w:tc>
          <w:tcPr>
            <w:tcW w:w="383" w:type="pct"/>
            <w:shd w:val="clear" w:color="auto" w:fill="D9D9D9" w:themeFill="background1" w:themeFillShade="D9"/>
          </w:tcPr>
          <w:p w14:paraId="49769B59" w14:textId="77777777" w:rsidR="00166DB1" w:rsidRPr="00166DB1" w:rsidRDefault="00166DB1" w:rsidP="00FF3C41">
            <w:pPr>
              <w:pStyle w:val="TableColumnHeading"/>
              <w:cnfStyle w:val="100000000000" w:firstRow="1" w:lastRow="0" w:firstColumn="0" w:lastColumn="0" w:oddVBand="0" w:evenVBand="0" w:oddHBand="0" w:evenHBand="0" w:firstRowFirstColumn="0" w:firstRowLastColumn="0" w:lastRowFirstColumn="0" w:lastRowLastColumn="0"/>
              <w:rPr>
                <w:lang w:eastAsia="en-AU"/>
              </w:rPr>
            </w:pPr>
            <w:r w:rsidRPr="00166DB1">
              <w:rPr>
                <w:lang w:eastAsia="en-AU"/>
              </w:rPr>
              <w:t xml:space="preserve">Perceived benefit </w:t>
            </w:r>
          </w:p>
        </w:tc>
        <w:tc>
          <w:tcPr>
            <w:tcW w:w="2575" w:type="pct"/>
            <w:shd w:val="clear" w:color="auto" w:fill="D9D9D9" w:themeFill="background1" w:themeFillShade="D9"/>
          </w:tcPr>
          <w:p w14:paraId="663276DA" w14:textId="77777777" w:rsidR="00166DB1" w:rsidRPr="00166DB1" w:rsidRDefault="00166DB1" w:rsidP="00FF3C41">
            <w:pPr>
              <w:pStyle w:val="TableColumnHeading"/>
              <w:cnfStyle w:val="100000000000" w:firstRow="1" w:lastRow="0" w:firstColumn="0" w:lastColumn="0" w:oddVBand="0" w:evenVBand="0" w:oddHBand="0" w:evenHBand="0" w:firstRowFirstColumn="0" w:firstRowLastColumn="0" w:lastRowFirstColumn="0" w:lastRowLastColumn="0"/>
              <w:rPr>
                <w:lang w:eastAsia="en-AU"/>
              </w:rPr>
            </w:pPr>
            <w:r w:rsidRPr="00166DB1">
              <w:rPr>
                <w:lang w:eastAsia="en-AU"/>
              </w:rPr>
              <w:t xml:space="preserve">Rationale </w:t>
            </w:r>
          </w:p>
        </w:tc>
        <w:tc>
          <w:tcPr>
            <w:tcW w:w="413" w:type="pct"/>
            <w:shd w:val="clear" w:color="auto" w:fill="D9D9D9" w:themeFill="background1" w:themeFillShade="D9"/>
          </w:tcPr>
          <w:p w14:paraId="39067B03" w14:textId="77777777" w:rsidR="00166DB1" w:rsidRPr="00166DB1" w:rsidRDefault="00166DB1" w:rsidP="00FF3C41">
            <w:pPr>
              <w:pStyle w:val="TableColumnHeading"/>
              <w:cnfStyle w:val="100000000000" w:firstRow="1" w:lastRow="0" w:firstColumn="0" w:lastColumn="0" w:oddVBand="0" w:evenVBand="0" w:oddHBand="0" w:evenHBand="0" w:firstRowFirstColumn="0" w:firstRowLastColumn="0" w:lastRowFirstColumn="0" w:lastRowLastColumn="0"/>
              <w:rPr>
                <w:lang w:eastAsia="en-AU"/>
              </w:rPr>
            </w:pPr>
            <w:r w:rsidRPr="00166DB1">
              <w:rPr>
                <w:lang w:eastAsia="en-AU"/>
              </w:rPr>
              <w:t>Overall value assessment</w:t>
            </w:r>
          </w:p>
        </w:tc>
      </w:tr>
      <w:tr w:rsidR="00AB00DC" w:rsidRPr="0006633E" w14:paraId="71F1E265" w14:textId="77777777" w:rsidTr="00AB00DC">
        <w:trPr>
          <w:trHeight w:val="20"/>
        </w:trPr>
        <w:tc>
          <w:tcPr>
            <w:cnfStyle w:val="001000000000" w:firstRow="0" w:lastRow="0" w:firstColumn="1" w:lastColumn="0" w:oddVBand="0" w:evenVBand="0" w:oddHBand="0" w:evenHBand="0" w:firstRowFirstColumn="0" w:firstRowLastColumn="0" w:lastRowFirstColumn="0" w:lastRowLastColumn="0"/>
            <w:tcW w:w="818" w:type="pct"/>
            <w:shd w:val="clear" w:color="auto" w:fill="D9D9D9" w:themeFill="background1" w:themeFillShade="D9"/>
            <w:noWrap/>
            <w:hideMark/>
          </w:tcPr>
          <w:p w14:paraId="5FE2972E" w14:textId="77777777" w:rsidR="00AB00DC" w:rsidRPr="0006633E" w:rsidRDefault="00AB00DC" w:rsidP="00FF3C41">
            <w:pPr>
              <w:pStyle w:val="Tablesubheading2"/>
              <w:rPr>
                <w:lang w:eastAsia="en-AU"/>
              </w:rPr>
            </w:pPr>
            <w:r w:rsidRPr="0006633E">
              <w:rPr>
                <w:b/>
                <w:lang w:eastAsia="en-AU"/>
              </w:rPr>
              <w:t xml:space="preserve">Recruitment Programs </w:t>
            </w:r>
          </w:p>
        </w:tc>
        <w:tc>
          <w:tcPr>
            <w:tcW w:w="475" w:type="pct"/>
            <w:shd w:val="clear" w:color="auto" w:fill="D9D9D9" w:themeFill="background1" w:themeFillShade="D9"/>
          </w:tcPr>
          <w:p w14:paraId="12CEA996" w14:textId="77777777" w:rsidR="00AB00DC" w:rsidRPr="0006633E" w:rsidRDefault="00AB00DC" w:rsidP="00FF3C41">
            <w:pPr>
              <w:pStyle w:val="Tablesubheading2"/>
              <w:cnfStyle w:val="000000000000" w:firstRow="0" w:lastRow="0" w:firstColumn="0" w:lastColumn="0" w:oddVBand="0" w:evenVBand="0" w:oddHBand="0" w:evenHBand="0" w:firstRowFirstColumn="0" w:firstRowLastColumn="0" w:lastRowFirstColumn="0" w:lastRowLastColumn="0"/>
              <w:rPr>
                <w:lang w:eastAsia="en-AU"/>
              </w:rPr>
            </w:pPr>
          </w:p>
        </w:tc>
        <w:tc>
          <w:tcPr>
            <w:tcW w:w="336" w:type="pct"/>
            <w:shd w:val="clear" w:color="auto" w:fill="D9D9D9" w:themeFill="background1" w:themeFillShade="D9"/>
          </w:tcPr>
          <w:p w14:paraId="1D4CAC39" w14:textId="77777777" w:rsidR="00AB00DC" w:rsidRPr="0006633E" w:rsidRDefault="00AB00DC" w:rsidP="00FF3C41">
            <w:pPr>
              <w:pStyle w:val="Tablesubheading2"/>
              <w:cnfStyle w:val="000000000000" w:firstRow="0" w:lastRow="0" w:firstColumn="0" w:lastColumn="0" w:oddVBand="0" w:evenVBand="0" w:oddHBand="0" w:evenHBand="0" w:firstRowFirstColumn="0" w:firstRowLastColumn="0" w:lastRowFirstColumn="0" w:lastRowLastColumn="0"/>
              <w:rPr>
                <w:lang w:eastAsia="en-AU"/>
              </w:rPr>
            </w:pPr>
          </w:p>
        </w:tc>
        <w:tc>
          <w:tcPr>
            <w:tcW w:w="383" w:type="pct"/>
            <w:shd w:val="clear" w:color="auto" w:fill="D9D9D9" w:themeFill="background1" w:themeFillShade="D9"/>
          </w:tcPr>
          <w:p w14:paraId="2177BA2F" w14:textId="77777777" w:rsidR="00AB00DC" w:rsidRPr="0006633E" w:rsidRDefault="00AB00DC" w:rsidP="00FF3C41">
            <w:pPr>
              <w:pStyle w:val="Tablesubheading2"/>
              <w:cnfStyle w:val="000000000000" w:firstRow="0" w:lastRow="0" w:firstColumn="0" w:lastColumn="0" w:oddVBand="0" w:evenVBand="0" w:oddHBand="0" w:evenHBand="0" w:firstRowFirstColumn="0" w:firstRowLastColumn="0" w:lastRowFirstColumn="0" w:lastRowLastColumn="0"/>
              <w:rPr>
                <w:lang w:eastAsia="en-AU"/>
              </w:rPr>
            </w:pPr>
          </w:p>
        </w:tc>
        <w:tc>
          <w:tcPr>
            <w:tcW w:w="2575" w:type="pct"/>
            <w:shd w:val="clear" w:color="auto" w:fill="D9D9D9" w:themeFill="background1" w:themeFillShade="D9"/>
          </w:tcPr>
          <w:p w14:paraId="092E6EC0" w14:textId="77777777" w:rsidR="00AB00DC" w:rsidRPr="0006633E" w:rsidRDefault="00AB00DC" w:rsidP="00FF3C41">
            <w:pPr>
              <w:pStyle w:val="Tablesubheading2"/>
              <w:cnfStyle w:val="000000000000" w:firstRow="0" w:lastRow="0" w:firstColumn="0" w:lastColumn="0" w:oddVBand="0" w:evenVBand="0" w:oddHBand="0" w:evenHBand="0" w:firstRowFirstColumn="0" w:firstRowLastColumn="0" w:lastRowFirstColumn="0" w:lastRowLastColumn="0"/>
              <w:rPr>
                <w:lang w:eastAsia="en-AU"/>
              </w:rPr>
            </w:pPr>
          </w:p>
        </w:tc>
        <w:tc>
          <w:tcPr>
            <w:tcW w:w="413" w:type="pct"/>
            <w:shd w:val="clear" w:color="auto" w:fill="D9D9D9" w:themeFill="background1" w:themeFillShade="D9"/>
          </w:tcPr>
          <w:p w14:paraId="4710FE20" w14:textId="61644CC9" w:rsidR="00AB00DC" w:rsidRPr="0006633E" w:rsidRDefault="00AB00DC" w:rsidP="00FF3C41">
            <w:pPr>
              <w:pStyle w:val="Tablesubheading2"/>
              <w:cnfStyle w:val="000000000000" w:firstRow="0" w:lastRow="0" w:firstColumn="0" w:lastColumn="0" w:oddVBand="0" w:evenVBand="0" w:oddHBand="0" w:evenHBand="0" w:firstRowFirstColumn="0" w:firstRowLastColumn="0" w:lastRowFirstColumn="0" w:lastRowLastColumn="0"/>
              <w:rPr>
                <w:b w:val="0"/>
                <w:lang w:eastAsia="en-AU"/>
              </w:rPr>
            </w:pPr>
          </w:p>
        </w:tc>
      </w:tr>
      <w:tr w:rsidR="00166DB1" w:rsidRPr="00166DB1" w14:paraId="0395FD42" w14:textId="77777777" w:rsidTr="0006633E">
        <w:trPr>
          <w:trHeight w:val="20"/>
        </w:trPr>
        <w:tc>
          <w:tcPr>
            <w:cnfStyle w:val="001000000000" w:firstRow="0" w:lastRow="0" w:firstColumn="1" w:lastColumn="0" w:oddVBand="0" w:evenVBand="0" w:oddHBand="0" w:evenHBand="0" w:firstRowFirstColumn="0" w:firstRowLastColumn="0" w:lastRowFirstColumn="0" w:lastRowLastColumn="0"/>
            <w:tcW w:w="818" w:type="pct"/>
            <w:shd w:val="clear" w:color="auto" w:fill="F2F2F2" w:themeFill="background1" w:themeFillShade="F2"/>
            <w:hideMark/>
          </w:tcPr>
          <w:p w14:paraId="6787358C" w14:textId="77777777" w:rsidR="00166DB1" w:rsidRPr="00166DB1" w:rsidRDefault="00166DB1" w:rsidP="00FF3C41">
            <w:pPr>
              <w:pStyle w:val="TableCopy"/>
              <w:rPr>
                <w:lang w:eastAsia="en-AU"/>
              </w:rPr>
            </w:pPr>
            <w:r w:rsidRPr="00166DB1">
              <w:rPr>
                <w:lang w:eastAsia="en-AU"/>
              </w:rPr>
              <w:t>Rural Pharmacy Scholarship Scheme</w:t>
            </w:r>
          </w:p>
        </w:tc>
        <w:tc>
          <w:tcPr>
            <w:tcW w:w="475" w:type="pct"/>
            <w:shd w:val="clear" w:color="auto" w:fill="F2F2F2" w:themeFill="background1" w:themeFillShade="F2"/>
            <w:noWrap/>
            <w:hideMark/>
          </w:tcPr>
          <w:p w14:paraId="491E3B9D" w14:textId="77777777" w:rsidR="00166DB1" w:rsidRPr="00166DB1" w:rsidRDefault="00166DB1" w:rsidP="00FF3C41">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w:t>
            </w:r>
            <w:r w:rsidRPr="00166DB1">
              <w:rPr>
                <w:lang w:eastAsia="en-AU"/>
              </w:rPr>
              <w:t xml:space="preserve">10,618 </w:t>
            </w:r>
          </w:p>
        </w:tc>
        <w:tc>
          <w:tcPr>
            <w:tcW w:w="336" w:type="pct"/>
            <w:shd w:val="clear" w:color="auto" w:fill="F2F2F2" w:themeFill="background1" w:themeFillShade="F2"/>
            <w:noWrap/>
          </w:tcPr>
          <w:p w14:paraId="27E1C443" w14:textId="77777777" w:rsidR="00166DB1" w:rsidRPr="00166DB1" w:rsidRDefault="00166DB1" w:rsidP="00FF3C41">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 xml:space="preserve">Moderate </w:t>
            </w:r>
          </w:p>
        </w:tc>
        <w:tc>
          <w:tcPr>
            <w:tcW w:w="383" w:type="pct"/>
            <w:shd w:val="clear" w:color="auto" w:fill="F2F2F2" w:themeFill="background1" w:themeFillShade="F2"/>
            <w:noWrap/>
          </w:tcPr>
          <w:p w14:paraId="1B330A18" w14:textId="77777777" w:rsidR="00166DB1" w:rsidRPr="00166DB1" w:rsidRDefault="00166DB1" w:rsidP="00FF3C41">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 xml:space="preserve">High </w:t>
            </w:r>
          </w:p>
        </w:tc>
        <w:tc>
          <w:tcPr>
            <w:tcW w:w="2575" w:type="pct"/>
            <w:shd w:val="clear" w:color="auto" w:fill="F2F2F2" w:themeFill="background1" w:themeFillShade="F2"/>
          </w:tcPr>
          <w:p w14:paraId="101706B3"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Strong literature support on the effectiveness of scholarships in encouraging rural practise among students with a rural origin.</w:t>
            </w:r>
          </w:p>
          <w:p w14:paraId="5E68BB8B"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Approximately 50% of recipients go on to practise in a rural area, based on recipient survey findings.</w:t>
            </w:r>
          </w:p>
          <w:p w14:paraId="72EFBE60"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Strong stakeholder and recipient support.</w:t>
            </w:r>
          </w:p>
        </w:tc>
        <w:tc>
          <w:tcPr>
            <w:tcW w:w="413" w:type="pct"/>
            <w:shd w:val="clear" w:color="auto" w:fill="F2F2F2" w:themeFill="background1" w:themeFillShade="F2"/>
          </w:tcPr>
          <w:p w14:paraId="726764E1" w14:textId="77777777" w:rsidR="00166DB1" w:rsidRPr="00166DB1" w:rsidRDefault="00166DB1" w:rsidP="00FF3C41">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Moderate - High</w:t>
            </w:r>
          </w:p>
        </w:tc>
      </w:tr>
      <w:tr w:rsidR="00166DB1" w:rsidRPr="00166DB1" w14:paraId="317AC56E" w14:textId="77777777" w:rsidTr="0006633E">
        <w:trPr>
          <w:trHeight w:val="20"/>
        </w:trPr>
        <w:tc>
          <w:tcPr>
            <w:cnfStyle w:val="001000000000" w:firstRow="0" w:lastRow="0" w:firstColumn="1" w:lastColumn="0" w:oddVBand="0" w:evenVBand="0" w:oddHBand="0" w:evenHBand="0" w:firstRowFirstColumn="0" w:firstRowLastColumn="0" w:lastRowFirstColumn="0" w:lastRowLastColumn="0"/>
            <w:tcW w:w="818" w:type="pct"/>
            <w:shd w:val="clear" w:color="auto" w:fill="F2F2F2" w:themeFill="background1" w:themeFillShade="F2"/>
            <w:hideMark/>
          </w:tcPr>
          <w:p w14:paraId="2C2187A6" w14:textId="77777777" w:rsidR="00166DB1" w:rsidRPr="00166DB1" w:rsidRDefault="00166DB1" w:rsidP="00FF3C41">
            <w:pPr>
              <w:pStyle w:val="TableCopy"/>
              <w:rPr>
                <w:lang w:eastAsia="en-AU"/>
              </w:rPr>
            </w:pPr>
            <w:r w:rsidRPr="00166DB1">
              <w:rPr>
                <w:lang w:eastAsia="en-AU"/>
              </w:rPr>
              <w:t>Rural Pharmacy Scholarship Mentor Scheme</w:t>
            </w:r>
          </w:p>
        </w:tc>
        <w:tc>
          <w:tcPr>
            <w:tcW w:w="475" w:type="pct"/>
            <w:shd w:val="clear" w:color="auto" w:fill="F2F2F2" w:themeFill="background1" w:themeFillShade="F2"/>
            <w:noWrap/>
            <w:hideMark/>
          </w:tcPr>
          <w:p w14:paraId="1D5DA766" w14:textId="77777777" w:rsidR="00166DB1" w:rsidRPr="00166DB1" w:rsidRDefault="00166DB1" w:rsidP="00FF3C41">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w:t>
            </w:r>
            <w:r w:rsidRPr="00166DB1">
              <w:rPr>
                <w:lang w:eastAsia="en-AU"/>
              </w:rPr>
              <w:t xml:space="preserve">987 </w:t>
            </w:r>
          </w:p>
        </w:tc>
        <w:tc>
          <w:tcPr>
            <w:tcW w:w="336" w:type="pct"/>
            <w:shd w:val="clear" w:color="auto" w:fill="F2F2F2" w:themeFill="background1" w:themeFillShade="F2"/>
            <w:noWrap/>
          </w:tcPr>
          <w:p w14:paraId="2CEBC175" w14:textId="77777777" w:rsidR="00166DB1" w:rsidRPr="00166DB1" w:rsidRDefault="00166DB1" w:rsidP="00FF3C41">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 xml:space="preserve">Small </w:t>
            </w:r>
          </w:p>
        </w:tc>
        <w:tc>
          <w:tcPr>
            <w:tcW w:w="383" w:type="pct"/>
            <w:shd w:val="clear" w:color="auto" w:fill="F2F2F2" w:themeFill="background1" w:themeFillShade="F2"/>
            <w:noWrap/>
          </w:tcPr>
          <w:p w14:paraId="6B697154" w14:textId="77777777" w:rsidR="00166DB1" w:rsidRPr="00166DB1" w:rsidRDefault="00166DB1" w:rsidP="00FF3C41">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 xml:space="preserve">Moderate </w:t>
            </w:r>
          </w:p>
        </w:tc>
        <w:tc>
          <w:tcPr>
            <w:tcW w:w="2575" w:type="pct"/>
            <w:shd w:val="clear" w:color="auto" w:fill="F2F2F2" w:themeFill="background1" w:themeFillShade="F2"/>
          </w:tcPr>
          <w:p w14:paraId="472D9CD3"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 xml:space="preserve">Moderate literature support on the positive effect of mentorship on retaining students in their studies (especially for Aboriginal and Torres Strait Islander students). </w:t>
            </w:r>
          </w:p>
          <w:p w14:paraId="3BE6277D"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Low stakeholder support, due to few peak body stakeholders and pharmacists consulted being aware of the program.</w:t>
            </w:r>
          </w:p>
        </w:tc>
        <w:tc>
          <w:tcPr>
            <w:tcW w:w="413" w:type="pct"/>
            <w:shd w:val="clear" w:color="auto" w:fill="F2F2F2" w:themeFill="background1" w:themeFillShade="F2"/>
          </w:tcPr>
          <w:p w14:paraId="0785C247" w14:textId="77777777" w:rsidR="00166DB1" w:rsidRPr="00166DB1" w:rsidRDefault="00166DB1" w:rsidP="00FF3C41">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Moderate</w:t>
            </w:r>
          </w:p>
        </w:tc>
      </w:tr>
      <w:tr w:rsidR="00166DB1" w:rsidRPr="00166DB1" w14:paraId="77071F9E" w14:textId="77777777" w:rsidTr="0006633E">
        <w:trPr>
          <w:trHeight w:val="20"/>
        </w:trPr>
        <w:tc>
          <w:tcPr>
            <w:cnfStyle w:val="001000000000" w:firstRow="0" w:lastRow="0" w:firstColumn="1" w:lastColumn="0" w:oddVBand="0" w:evenVBand="0" w:oddHBand="0" w:evenHBand="0" w:firstRowFirstColumn="0" w:firstRowLastColumn="0" w:lastRowFirstColumn="0" w:lastRowLastColumn="0"/>
            <w:tcW w:w="818" w:type="pct"/>
            <w:shd w:val="clear" w:color="auto" w:fill="F2F2F2" w:themeFill="background1" w:themeFillShade="F2"/>
            <w:hideMark/>
          </w:tcPr>
          <w:p w14:paraId="4DF4EA2C" w14:textId="77777777" w:rsidR="00166DB1" w:rsidRPr="00166DB1" w:rsidRDefault="00166DB1" w:rsidP="00FF3C41">
            <w:pPr>
              <w:pStyle w:val="TableCopy"/>
              <w:rPr>
                <w:lang w:eastAsia="en-AU"/>
              </w:rPr>
            </w:pPr>
            <w:r w:rsidRPr="00166DB1">
              <w:rPr>
                <w:lang w:eastAsia="en-AU"/>
              </w:rPr>
              <w:t>Rural Intern Training Allowance</w:t>
            </w:r>
          </w:p>
        </w:tc>
        <w:tc>
          <w:tcPr>
            <w:tcW w:w="475" w:type="pct"/>
            <w:shd w:val="clear" w:color="auto" w:fill="F2F2F2" w:themeFill="background1" w:themeFillShade="F2"/>
            <w:noWrap/>
            <w:hideMark/>
          </w:tcPr>
          <w:p w14:paraId="47C87253" w14:textId="77777777" w:rsidR="00166DB1" w:rsidRPr="00166DB1" w:rsidRDefault="00166DB1" w:rsidP="00FF3C41">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w:t>
            </w:r>
            <w:r w:rsidRPr="00166DB1">
              <w:rPr>
                <w:lang w:eastAsia="en-AU"/>
              </w:rPr>
              <w:t xml:space="preserve">1,170 </w:t>
            </w:r>
          </w:p>
        </w:tc>
        <w:tc>
          <w:tcPr>
            <w:tcW w:w="336" w:type="pct"/>
            <w:shd w:val="clear" w:color="auto" w:fill="F2F2F2" w:themeFill="background1" w:themeFillShade="F2"/>
            <w:noWrap/>
          </w:tcPr>
          <w:p w14:paraId="6FD6B9E8" w14:textId="77777777" w:rsidR="00166DB1" w:rsidRPr="00166DB1" w:rsidRDefault="00166DB1" w:rsidP="00FF3C41">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 xml:space="preserve">Small </w:t>
            </w:r>
          </w:p>
        </w:tc>
        <w:tc>
          <w:tcPr>
            <w:tcW w:w="383" w:type="pct"/>
            <w:shd w:val="clear" w:color="auto" w:fill="F2F2F2" w:themeFill="background1" w:themeFillShade="F2"/>
            <w:noWrap/>
          </w:tcPr>
          <w:p w14:paraId="1BA6FEBB" w14:textId="77777777" w:rsidR="00166DB1" w:rsidRPr="00166DB1" w:rsidRDefault="00166DB1" w:rsidP="00FF3C41">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 xml:space="preserve">High </w:t>
            </w:r>
          </w:p>
        </w:tc>
        <w:tc>
          <w:tcPr>
            <w:tcW w:w="2575" w:type="pct"/>
            <w:shd w:val="clear" w:color="auto" w:fill="F2F2F2" w:themeFill="background1" w:themeFillShade="F2"/>
          </w:tcPr>
          <w:p w14:paraId="708712BD"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Strong literature support on the effectiveness of rural exposure (via an internship) on encouraging rural practise.</w:t>
            </w:r>
          </w:p>
          <w:p w14:paraId="08E6CF74"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Approximately 92% of recipients go on to practise in a rural area based on NHWDS data.</w:t>
            </w:r>
          </w:p>
          <w:p w14:paraId="19B1531C"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Moderate stakeholder support weakened by the low number of interns consulted.</w:t>
            </w:r>
          </w:p>
        </w:tc>
        <w:tc>
          <w:tcPr>
            <w:tcW w:w="413" w:type="pct"/>
            <w:shd w:val="clear" w:color="auto" w:fill="F2F2F2" w:themeFill="background1" w:themeFillShade="F2"/>
          </w:tcPr>
          <w:p w14:paraId="42CE14F7" w14:textId="77777777" w:rsidR="00166DB1" w:rsidRPr="00166DB1" w:rsidRDefault="00166DB1" w:rsidP="00FF3C41">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High</w:t>
            </w:r>
          </w:p>
        </w:tc>
      </w:tr>
      <w:tr w:rsidR="00166DB1" w:rsidRPr="00166DB1" w14:paraId="5DEAA134" w14:textId="77777777" w:rsidTr="0006633E">
        <w:trPr>
          <w:trHeight w:val="20"/>
        </w:trPr>
        <w:tc>
          <w:tcPr>
            <w:cnfStyle w:val="001000000000" w:firstRow="0" w:lastRow="0" w:firstColumn="1" w:lastColumn="0" w:oddVBand="0" w:evenVBand="0" w:oddHBand="0" w:evenHBand="0" w:firstRowFirstColumn="0" w:firstRowLastColumn="0" w:lastRowFirstColumn="0" w:lastRowLastColumn="0"/>
            <w:tcW w:w="818" w:type="pct"/>
            <w:shd w:val="clear" w:color="auto" w:fill="F2F2F2" w:themeFill="background1" w:themeFillShade="F2"/>
            <w:hideMark/>
          </w:tcPr>
          <w:p w14:paraId="6754F312" w14:textId="77777777" w:rsidR="00166DB1" w:rsidRPr="00166DB1" w:rsidRDefault="00166DB1" w:rsidP="00FF3C41">
            <w:pPr>
              <w:pStyle w:val="TableCopy"/>
              <w:rPr>
                <w:lang w:eastAsia="en-AU"/>
              </w:rPr>
            </w:pPr>
            <w:r w:rsidRPr="00166DB1">
              <w:rPr>
                <w:lang w:eastAsia="en-AU"/>
              </w:rPr>
              <w:t>Rural Pharmacy Student Placement Allowance#</w:t>
            </w:r>
          </w:p>
        </w:tc>
        <w:tc>
          <w:tcPr>
            <w:tcW w:w="475" w:type="pct"/>
            <w:shd w:val="clear" w:color="auto" w:fill="F2F2F2" w:themeFill="background1" w:themeFillShade="F2"/>
            <w:noWrap/>
            <w:hideMark/>
          </w:tcPr>
          <w:p w14:paraId="40FDF15A" w14:textId="77777777" w:rsidR="00166DB1" w:rsidRPr="00166DB1" w:rsidRDefault="00166DB1" w:rsidP="00FF3C41">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w:t>
            </w:r>
            <w:r w:rsidRPr="00166DB1">
              <w:t>1,696</w:t>
            </w:r>
          </w:p>
          <w:p w14:paraId="6920CE2D" w14:textId="77777777" w:rsidR="00166DB1" w:rsidRPr="00166DB1" w:rsidRDefault="00166DB1" w:rsidP="00FF3C41">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 xml:space="preserve">(or </w:t>
            </w:r>
            <w:r w:rsidRPr="00166DB1">
              <w:rPr>
                <w:rFonts w:ascii="Times New Roman" w:hAnsi="Times New Roman"/>
                <w:lang w:eastAsia="en-AU"/>
              </w:rPr>
              <w:t>$</w:t>
            </w:r>
            <w:r w:rsidRPr="00166DB1">
              <w:rPr>
                <w:lang w:eastAsia="en-AU"/>
              </w:rPr>
              <w:t>40,390</w:t>
            </w:r>
            <w:r w:rsidRPr="00166DB1">
              <w:t>)</w:t>
            </w:r>
          </w:p>
        </w:tc>
        <w:tc>
          <w:tcPr>
            <w:tcW w:w="336" w:type="pct"/>
            <w:shd w:val="clear" w:color="auto" w:fill="F2F2F2" w:themeFill="background1" w:themeFillShade="F2"/>
            <w:noWrap/>
          </w:tcPr>
          <w:p w14:paraId="2A92954D" w14:textId="77777777" w:rsidR="00166DB1" w:rsidRPr="00166DB1" w:rsidRDefault="00166DB1" w:rsidP="00FF3C41">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 xml:space="preserve"> Small</w:t>
            </w:r>
          </w:p>
          <w:p w14:paraId="5476759A" w14:textId="77777777" w:rsidR="00166DB1" w:rsidRPr="00166DB1" w:rsidRDefault="00166DB1" w:rsidP="00FF3C41">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(Moderate)</w:t>
            </w:r>
          </w:p>
        </w:tc>
        <w:tc>
          <w:tcPr>
            <w:tcW w:w="383" w:type="pct"/>
            <w:shd w:val="clear" w:color="auto" w:fill="F2F2F2" w:themeFill="background1" w:themeFillShade="F2"/>
            <w:noWrap/>
          </w:tcPr>
          <w:p w14:paraId="5F8A6B7C" w14:textId="77777777" w:rsidR="00166DB1" w:rsidRPr="00166DB1" w:rsidRDefault="00166DB1" w:rsidP="00FF3C41">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Moderate</w:t>
            </w:r>
          </w:p>
        </w:tc>
        <w:tc>
          <w:tcPr>
            <w:tcW w:w="2575" w:type="pct"/>
            <w:shd w:val="clear" w:color="auto" w:fill="F2F2F2" w:themeFill="background1" w:themeFillShade="F2"/>
          </w:tcPr>
          <w:p w14:paraId="5C4A6C61"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 xml:space="preserve">Strong literature support on the effectiveness of placements in encouraging rural practise. </w:t>
            </w:r>
          </w:p>
          <w:p w14:paraId="2E2CBA81"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 xml:space="preserve">Low return rate, as an estimated 20% of recipients go on to practise in rural areas, based on recipient consultations. </w:t>
            </w:r>
          </w:p>
          <w:p w14:paraId="04FBA49C"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Strong stakeholder support</w:t>
            </w:r>
          </w:p>
        </w:tc>
        <w:tc>
          <w:tcPr>
            <w:tcW w:w="413" w:type="pct"/>
            <w:shd w:val="clear" w:color="auto" w:fill="F2F2F2" w:themeFill="background1" w:themeFillShade="F2"/>
          </w:tcPr>
          <w:p w14:paraId="44E69B8F" w14:textId="77777777" w:rsidR="00166DB1" w:rsidRPr="00166DB1" w:rsidRDefault="00166DB1" w:rsidP="00FF3C41">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Moderate</w:t>
            </w:r>
          </w:p>
        </w:tc>
      </w:tr>
      <w:tr w:rsidR="00AB00DC" w:rsidRPr="00166DB1" w14:paraId="17499248" w14:textId="77777777" w:rsidTr="00AB00DC">
        <w:trPr>
          <w:trHeight w:val="84"/>
        </w:trPr>
        <w:tc>
          <w:tcPr>
            <w:cnfStyle w:val="001000000000" w:firstRow="0" w:lastRow="0" w:firstColumn="1" w:lastColumn="0" w:oddVBand="0" w:evenVBand="0" w:oddHBand="0" w:evenHBand="0" w:firstRowFirstColumn="0" w:firstRowLastColumn="0" w:lastRowFirstColumn="0" w:lastRowLastColumn="0"/>
            <w:tcW w:w="818" w:type="pct"/>
            <w:shd w:val="clear" w:color="auto" w:fill="D9D9D9" w:themeFill="background1" w:themeFillShade="D9"/>
          </w:tcPr>
          <w:p w14:paraId="1D0A2079" w14:textId="77777777" w:rsidR="00AB00DC" w:rsidRPr="0006633E" w:rsidRDefault="00AB00DC" w:rsidP="00FF3C41">
            <w:pPr>
              <w:pStyle w:val="Tablesubheading2"/>
              <w:rPr>
                <w:lang w:eastAsia="en-AU"/>
              </w:rPr>
            </w:pPr>
            <w:r w:rsidRPr="0006633E">
              <w:rPr>
                <w:b/>
                <w:lang w:eastAsia="en-AU"/>
              </w:rPr>
              <w:t xml:space="preserve">Other Support Programs </w:t>
            </w:r>
          </w:p>
        </w:tc>
        <w:tc>
          <w:tcPr>
            <w:tcW w:w="475" w:type="pct"/>
            <w:shd w:val="clear" w:color="auto" w:fill="D9D9D9" w:themeFill="background1" w:themeFillShade="D9"/>
          </w:tcPr>
          <w:p w14:paraId="288C8039" w14:textId="77777777" w:rsidR="00AB00DC" w:rsidRPr="0006633E" w:rsidRDefault="00AB00DC" w:rsidP="00FF3C41">
            <w:pPr>
              <w:pStyle w:val="Tablesubheading2"/>
              <w:cnfStyle w:val="000000000000" w:firstRow="0" w:lastRow="0" w:firstColumn="0" w:lastColumn="0" w:oddVBand="0" w:evenVBand="0" w:oddHBand="0" w:evenHBand="0" w:firstRowFirstColumn="0" w:firstRowLastColumn="0" w:lastRowFirstColumn="0" w:lastRowLastColumn="0"/>
              <w:rPr>
                <w:lang w:eastAsia="en-AU"/>
              </w:rPr>
            </w:pPr>
          </w:p>
        </w:tc>
        <w:tc>
          <w:tcPr>
            <w:tcW w:w="336" w:type="pct"/>
            <w:shd w:val="clear" w:color="auto" w:fill="D9D9D9" w:themeFill="background1" w:themeFillShade="D9"/>
          </w:tcPr>
          <w:p w14:paraId="311FE260" w14:textId="77777777" w:rsidR="00AB00DC" w:rsidRPr="0006633E" w:rsidRDefault="00AB00DC" w:rsidP="00FF3C41">
            <w:pPr>
              <w:pStyle w:val="Tablesubheading2"/>
              <w:cnfStyle w:val="000000000000" w:firstRow="0" w:lastRow="0" w:firstColumn="0" w:lastColumn="0" w:oddVBand="0" w:evenVBand="0" w:oddHBand="0" w:evenHBand="0" w:firstRowFirstColumn="0" w:firstRowLastColumn="0" w:lastRowFirstColumn="0" w:lastRowLastColumn="0"/>
              <w:rPr>
                <w:lang w:eastAsia="en-AU"/>
              </w:rPr>
            </w:pPr>
          </w:p>
        </w:tc>
        <w:tc>
          <w:tcPr>
            <w:tcW w:w="383" w:type="pct"/>
            <w:shd w:val="clear" w:color="auto" w:fill="D9D9D9" w:themeFill="background1" w:themeFillShade="D9"/>
          </w:tcPr>
          <w:p w14:paraId="2F3C4448" w14:textId="77777777" w:rsidR="00AB00DC" w:rsidRPr="0006633E" w:rsidRDefault="00AB00DC" w:rsidP="00FF3C41">
            <w:pPr>
              <w:pStyle w:val="Tablesubheading2"/>
              <w:cnfStyle w:val="000000000000" w:firstRow="0" w:lastRow="0" w:firstColumn="0" w:lastColumn="0" w:oddVBand="0" w:evenVBand="0" w:oddHBand="0" w:evenHBand="0" w:firstRowFirstColumn="0" w:firstRowLastColumn="0" w:lastRowFirstColumn="0" w:lastRowLastColumn="0"/>
              <w:rPr>
                <w:lang w:eastAsia="en-AU"/>
              </w:rPr>
            </w:pPr>
          </w:p>
        </w:tc>
        <w:tc>
          <w:tcPr>
            <w:tcW w:w="2575" w:type="pct"/>
            <w:shd w:val="clear" w:color="auto" w:fill="D9D9D9" w:themeFill="background1" w:themeFillShade="D9"/>
          </w:tcPr>
          <w:p w14:paraId="36145BF8" w14:textId="77777777" w:rsidR="00AB00DC" w:rsidRPr="0006633E" w:rsidRDefault="00AB00DC" w:rsidP="00FF3C41">
            <w:pPr>
              <w:pStyle w:val="Tablesubheading2"/>
              <w:cnfStyle w:val="000000000000" w:firstRow="0" w:lastRow="0" w:firstColumn="0" w:lastColumn="0" w:oddVBand="0" w:evenVBand="0" w:oddHBand="0" w:evenHBand="0" w:firstRowFirstColumn="0" w:firstRowLastColumn="0" w:lastRowFirstColumn="0" w:lastRowLastColumn="0"/>
              <w:rPr>
                <w:lang w:eastAsia="en-AU"/>
              </w:rPr>
            </w:pPr>
          </w:p>
        </w:tc>
        <w:tc>
          <w:tcPr>
            <w:tcW w:w="413" w:type="pct"/>
            <w:shd w:val="clear" w:color="auto" w:fill="D9D9D9" w:themeFill="background1" w:themeFillShade="D9"/>
          </w:tcPr>
          <w:p w14:paraId="0D372315" w14:textId="7127C053" w:rsidR="00AB00DC" w:rsidRPr="0006633E" w:rsidRDefault="00AB00DC" w:rsidP="00FF3C41">
            <w:pPr>
              <w:pStyle w:val="Tablesubheading2"/>
              <w:cnfStyle w:val="000000000000" w:firstRow="0" w:lastRow="0" w:firstColumn="0" w:lastColumn="0" w:oddVBand="0" w:evenVBand="0" w:oddHBand="0" w:evenHBand="0" w:firstRowFirstColumn="0" w:firstRowLastColumn="0" w:lastRowFirstColumn="0" w:lastRowLastColumn="0"/>
              <w:rPr>
                <w:b w:val="0"/>
                <w:lang w:eastAsia="en-AU"/>
              </w:rPr>
            </w:pPr>
          </w:p>
        </w:tc>
      </w:tr>
      <w:tr w:rsidR="00166DB1" w:rsidRPr="00166DB1" w14:paraId="2F75E6F9" w14:textId="77777777" w:rsidTr="0006633E">
        <w:trPr>
          <w:trHeight w:val="20"/>
        </w:trPr>
        <w:tc>
          <w:tcPr>
            <w:cnfStyle w:val="001000000000" w:firstRow="0" w:lastRow="0" w:firstColumn="1" w:lastColumn="0" w:oddVBand="0" w:evenVBand="0" w:oddHBand="0" w:evenHBand="0" w:firstRowFirstColumn="0" w:firstRowLastColumn="0" w:lastRowFirstColumn="0" w:lastRowLastColumn="0"/>
            <w:tcW w:w="818" w:type="pct"/>
            <w:shd w:val="clear" w:color="auto" w:fill="F2F2F2" w:themeFill="background1" w:themeFillShade="F2"/>
            <w:hideMark/>
          </w:tcPr>
          <w:p w14:paraId="7C7D89BA" w14:textId="77777777" w:rsidR="00166DB1" w:rsidRPr="00166DB1" w:rsidRDefault="00166DB1" w:rsidP="0006633E">
            <w:pPr>
              <w:pStyle w:val="TableCopy"/>
              <w:rPr>
                <w:lang w:eastAsia="en-AU"/>
              </w:rPr>
            </w:pPr>
            <w:r w:rsidRPr="00166DB1">
              <w:rPr>
                <w:lang w:eastAsia="en-AU"/>
              </w:rPr>
              <w:t>Administrative Support to Pharmacy Schools#</w:t>
            </w:r>
          </w:p>
        </w:tc>
        <w:tc>
          <w:tcPr>
            <w:tcW w:w="475" w:type="pct"/>
            <w:shd w:val="clear" w:color="auto" w:fill="F2F2F2" w:themeFill="background1" w:themeFillShade="F2"/>
            <w:noWrap/>
            <w:hideMark/>
          </w:tcPr>
          <w:p w14:paraId="77199FE6" w14:textId="77777777" w:rsidR="00166DB1" w:rsidRPr="00166DB1" w:rsidRDefault="00166DB1" w:rsidP="0006633E">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w:t>
            </w:r>
            <w:r w:rsidRPr="00166DB1">
              <w:t>1,426</w:t>
            </w:r>
          </w:p>
          <w:p w14:paraId="2D183A29" w14:textId="77777777" w:rsidR="00166DB1" w:rsidRPr="00166DB1" w:rsidRDefault="00166DB1" w:rsidP="0006633E">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 xml:space="preserve">(or </w:t>
            </w:r>
            <w:r w:rsidRPr="00166DB1">
              <w:rPr>
                <w:rFonts w:ascii="Times New Roman" w:hAnsi="Times New Roman"/>
                <w:lang w:eastAsia="en-AU"/>
              </w:rPr>
              <w:t>$</w:t>
            </w:r>
            <w:r w:rsidRPr="00166DB1">
              <w:rPr>
                <w:lang w:eastAsia="en-AU"/>
              </w:rPr>
              <w:t>33,959</w:t>
            </w:r>
            <w:r w:rsidRPr="00166DB1">
              <w:t>)</w:t>
            </w:r>
          </w:p>
        </w:tc>
        <w:tc>
          <w:tcPr>
            <w:tcW w:w="336" w:type="pct"/>
            <w:shd w:val="clear" w:color="auto" w:fill="F2F2F2" w:themeFill="background1" w:themeFillShade="F2"/>
            <w:noWrap/>
          </w:tcPr>
          <w:p w14:paraId="157BF743" w14:textId="77777777" w:rsidR="00166DB1" w:rsidRPr="00166DB1" w:rsidRDefault="00166DB1" w:rsidP="0006633E">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Small</w:t>
            </w:r>
          </w:p>
          <w:p w14:paraId="4FC979F0" w14:textId="77777777" w:rsidR="00166DB1" w:rsidRPr="00166DB1" w:rsidRDefault="00166DB1" w:rsidP="0006633E">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(Moderate)</w:t>
            </w:r>
          </w:p>
        </w:tc>
        <w:tc>
          <w:tcPr>
            <w:tcW w:w="383" w:type="pct"/>
            <w:shd w:val="clear" w:color="auto" w:fill="F2F2F2" w:themeFill="background1" w:themeFillShade="F2"/>
            <w:noWrap/>
          </w:tcPr>
          <w:p w14:paraId="7F57D9A7" w14:textId="77777777" w:rsidR="00166DB1" w:rsidRPr="00166DB1" w:rsidRDefault="00166DB1" w:rsidP="0006633E">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Moderate</w:t>
            </w:r>
          </w:p>
        </w:tc>
        <w:tc>
          <w:tcPr>
            <w:tcW w:w="2575" w:type="pct"/>
            <w:shd w:val="clear" w:color="auto" w:fill="F2F2F2" w:themeFill="background1" w:themeFillShade="F2"/>
          </w:tcPr>
          <w:p w14:paraId="6845EA54"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Strong literature support on the effectiveness of placements in encouraging rural practise.</w:t>
            </w:r>
          </w:p>
          <w:p w14:paraId="5D3B92B9"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 xml:space="preserve">Low return rate as an estimated 20% of recipients go on to practise in rural areas, based on recipient consultations. </w:t>
            </w:r>
          </w:p>
          <w:p w14:paraId="5178A6DC"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 xml:space="preserve">Low stakeholder support due to few stakeholders being aware of the program or its objectives. </w:t>
            </w:r>
          </w:p>
        </w:tc>
        <w:tc>
          <w:tcPr>
            <w:tcW w:w="413" w:type="pct"/>
            <w:shd w:val="clear" w:color="auto" w:fill="F2F2F2" w:themeFill="background1" w:themeFillShade="F2"/>
          </w:tcPr>
          <w:p w14:paraId="1CA63618" w14:textId="77777777" w:rsidR="00166DB1" w:rsidRPr="00166DB1" w:rsidRDefault="00166DB1" w:rsidP="0006633E">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Moderate</w:t>
            </w:r>
          </w:p>
        </w:tc>
      </w:tr>
      <w:tr w:rsidR="00166DB1" w:rsidRPr="00166DB1" w14:paraId="6A1D2A23" w14:textId="77777777" w:rsidTr="0006633E">
        <w:trPr>
          <w:trHeight w:val="20"/>
        </w:trPr>
        <w:tc>
          <w:tcPr>
            <w:cnfStyle w:val="001000000000" w:firstRow="0" w:lastRow="0" w:firstColumn="1" w:lastColumn="0" w:oddVBand="0" w:evenVBand="0" w:oddHBand="0" w:evenHBand="0" w:firstRowFirstColumn="0" w:firstRowLastColumn="0" w:lastRowFirstColumn="0" w:lastRowLastColumn="0"/>
            <w:tcW w:w="818" w:type="pct"/>
            <w:shd w:val="clear" w:color="auto" w:fill="F2F2F2" w:themeFill="background1" w:themeFillShade="F2"/>
            <w:hideMark/>
          </w:tcPr>
          <w:p w14:paraId="592AB765" w14:textId="77777777" w:rsidR="00166DB1" w:rsidRPr="00166DB1" w:rsidRDefault="00166DB1" w:rsidP="0006633E">
            <w:pPr>
              <w:pStyle w:val="TableCopy"/>
              <w:rPr>
                <w:lang w:eastAsia="en-AU"/>
              </w:rPr>
            </w:pPr>
            <w:r w:rsidRPr="00166DB1">
              <w:rPr>
                <w:lang w:eastAsia="en-AU"/>
              </w:rPr>
              <w:t>Rural Pharmacy Liaison Officer Program^</w:t>
            </w:r>
          </w:p>
        </w:tc>
        <w:tc>
          <w:tcPr>
            <w:tcW w:w="475" w:type="pct"/>
            <w:shd w:val="clear" w:color="auto" w:fill="F2F2F2" w:themeFill="background1" w:themeFillShade="F2"/>
            <w:noWrap/>
            <w:hideMark/>
          </w:tcPr>
          <w:p w14:paraId="56CA8ED5" w14:textId="77777777" w:rsidR="00166DB1" w:rsidRPr="00166DB1" w:rsidRDefault="00166DB1" w:rsidP="0006633E">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w:t>
            </w:r>
            <w:r w:rsidRPr="00166DB1">
              <w:t>2,195</w:t>
            </w:r>
          </w:p>
          <w:p w14:paraId="33D665DC" w14:textId="77777777" w:rsidR="00166DB1" w:rsidRPr="00166DB1" w:rsidRDefault="00166DB1" w:rsidP="0006633E">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 xml:space="preserve">(or </w:t>
            </w:r>
            <w:r w:rsidRPr="00166DB1">
              <w:rPr>
                <w:rFonts w:ascii="Times New Roman" w:hAnsi="Times New Roman"/>
                <w:lang w:eastAsia="en-AU"/>
              </w:rPr>
              <w:t>$</w:t>
            </w:r>
            <w:r w:rsidRPr="00166DB1">
              <w:rPr>
                <w:lang w:eastAsia="en-AU"/>
              </w:rPr>
              <w:t>83,613)</w:t>
            </w:r>
          </w:p>
        </w:tc>
        <w:tc>
          <w:tcPr>
            <w:tcW w:w="336" w:type="pct"/>
            <w:shd w:val="clear" w:color="auto" w:fill="F2F2F2" w:themeFill="background1" w:themeFillShade="F2"/>
            <w:noWrap/>
          </w:tcPr>
          <w:p w14:paraId="430E72A7" w14:textId="77777777" w:rsidR="00166DB1" w:rsidRPr="00166DB1" w:rsidRDefault="00166DB1" w:rsidP="0006633E">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Small</w:t>
            </w:r>
          </w:p>
          <w:p w14:paraId="1C514052" w14:textId="77777777" w:rsidR="00166DB1" w:rsidRPr="00166DB1" w:rsidRDefault="00166DB1" w:rsidP="0006633E">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(Large)</w:t>
            </w:r>
          </w:p>
        </w:tc>
        <w:tc>
          <w:tcPr>
            <w:tcW w:w="383" w:type="pct"/>
            <w:shd w:val="clear" w:color="auto" w:fill="F2F2F2" w:themeFill="background1" w:themeFillShade="F2"/>
            <w:noWrap/>
          </w:tcPr>
          <w:p w14:paraId="741D407C" w14:textId="77777777" w:rsidR="00166DB1" w:rsidRPr="00166DB1" w:rsidRDefault="00166DB1" w:rsidP="0006633E">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High</w:t>
            </w:r>
          </w:p>
        </w:tc>
        <w:tc>
          <w:tcPr>
            <w:tcW w:w="2575" w:type="pct"/>
            <w:shd w:val="clear" w:color="auto" w:fill="F2F2F2" w:themeFill="background1" w:themeFillShade="F2"/>
          </w:tcPr>
          <w:p w14:paraId="213FC5D1"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Strong literature support on the effectiveness of placements in encouraging rural practise.</w:t>
            </w:r>
          </w:p>
          <w:p w14:paraId="2694A4A4"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Low return rate, as an estimated 20% of recipients go on to practise in rural areas, based on recipient consultations.</w:t>
            </w:r>
          </w:p>
          <w:p w14:paraId="2F7CE685"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Strong stakeholder support from pharmacists and peak bodies.</w:t>
            </w:r>
          </w:p>
        </w:tc>
        <w:tc>
          <w:tcPr>
            <w:tcW w:w="413" w:type="pct"/>
            <w:shd w:val="clear" w:color="auto" w:fill="F2F2F2" w:themeFill="background1" w:themeFillShade="F2"/>
          </w:tcPr>
          <w:p w14:paraId="65A445F8" w14:textId="77777777" w:rsidR="00166DB1" w:rsidRPr="00166DB1" w:rsidRDefault="00166DB1" w:rsidP="0006633E">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High</w:t>
            </w:r>
          </w:p>
        </w:tc>
      </w:tr>
      <w:tr w:rsidR="00AB00DC" w:rsidRPr="00166DB1" w14:paraId="50467E95" w14:textId="77777777" w:rsidTr="00AB00DC">
        <w:trPr>
          <w:trHeight w:val="20"/>
        </w:trPr>
        <w:tc>
          <w:tcPr>
            <w:cnfStyle w:val="001000000000" w:firstRow="0" w:lastRow="0" w:firstColumn="1" w:lastColumn="0" w:oddVBand="0" w:evenVBand="0" w:oddHBand="0" w:evenHBand="0" w:firstRowFirstColumn="0" w:firstRowLastColumn="0" w:lastRowFirstColumn="0" w:lastRowLastColumn="0"/>
            <w:tcW w:w="818" w:type="pct"/>
            <w:shd w:val="clear" w:color="auto" w:fill="D9D9D9" w:themeFill="background1" w:themeFillShade="D9"/>
          </w:tcPr>
          <w:p w14:paraId="008BDCC2" w14:textId="77777777" w:rsidR="00AB00DC" w:rsidRPr="0006633E" w:rsidRDefault="00AB00DC" w:rsidP="00FF3C41">
            <w:pPr>
              <w:pStyle w:val="Tablesubheading2"/>
              <w:rPr>
                <w:lang w:eastAsia="en-AU"/>
              </w:rPr>
            </w:pPr>
            <w:r w:rsidRPr="0006633E">
              <w:rPr>
                <w:b/>
                <w:lang w:eastAsia="en-AU"/>
              </w:rPr>
              <w:t xml:space="preserve">Retention Programs </w:t>
            </w:r>
          </w:p>
        </w:tc>
        <w:tc>
          <w:tcPr>
            <w:tcW w:w="475" w:type="pct"/>
            <w:shd w:val="clear" w:color="auto" w:fill="D9D9D9" w:themeFill="background1" w:themeFillShade="D9"/>
          </w:tcPr>
          <w:p w14:paraId="10A09E06" w14:textId="77777777" w:rsidR="00AB00DC" w:rsidRPr="0006633E" w:rsidRDefault="00AB00DC" w:rsidP="00FF3C41">
            <w:pPr>
              <w:pStyle w:val="Tablesubheading2"/>
              <w:cnfStyle w:val="000000000000" w:firstRow="0" w:lastRow="0" w:firstColumn="0" w:lastColumn="0" w:oddVBand="0" w:evenVBand="0" w:oddHBand="0" w:evenHBand="0" w:firstRowFirstColumn="0" w:firstRowLastColumn="0" w:lastRowFirstColumn="0" w:lastRowLastColumn="0"/>
              <w:rPr>
                <w:lang w:eastAsia="en-AU"/>
              </w:rPr>
            </w:pPr>
          </w:p>
        </w:tc>
        <w:tc>
          <w:tcPr>
            <w:tcW w:w="336" w:type="pct"/>
            <w:shd w:val="clear" w:color="auto" w:fill="D9D9D9" w:themeFill="background1" w:themeFillShade="D9"/>
          </w:tcPr>
          <w:p w14:paraId="7CDB11B6" w14:textId="77777777" w:rsidR="00AB00DC" w:rsidRPr="0006633E" w:rsidRDefault="00AB00DC" w:rsidP="00FF3C41">
            <w:pPr>
              <w:pStyle w:val="Tablesubheading2"/>
              <w:cnfStyle w:val="000000000000" w:firstRow="0" w:lastRow="0" w:firstColumn="0" w:lastColumn="0" w:oddVBand="0" w:evenVBand="0" w:oddHBand="0" w:evenHBand="0" w:firstRowFirstColumn="0" w:firstRowLastColumn="0" w:lastRowFirstColumn="0" w:lastRowLastColumn="0"/>
              <w:rPr>
                <w:lang w:eastAsia="en-AU"/>
              </w:rPr>
            </w:pPr>
          </w:p>
        </w:tc>
        <w:tc>
          <w:tcPr>
            <w:tcW w:w="383" w:type="pct"/>
            <w:shd w:val="clear" w:color="auto" w:fill="D9D9D9" w:themeFill="background1" w:themeFillShade="D9"/>
          </w:tcPr>
          <w:p w14:paraId="7B436E09" w14:textId="77777777" w:rsidR="00AB00DC" w:rsidRPr="0006633E" w:rsidRDefault="00AB00DC" w:rsidP="00FF3C41">
            <w:pPr>
              <w:pStyle w:val="Tablesubheading2"/>
              <w:cnfStyle w:val="000000000000" w:firstRow="0" w:lastRow="0" w:firstColumn="0" w:lastColumn="0" w:oddVBand="0" w:evenVBand="0" w:oddHBand="0" w:evenHBand="0" w:firstRowFirstColumn="0" w:firstRowLastColumn="0" w:lastRowFirstColumn="0" w:lastRowLastColumn="0"/>
              <w:rPr>
                <w:lang w:eastAsia="en-AU"/>
              </w:rPr>
            </w:pPr>
          </w:p>
        </w:tc>
        <w:tc>
          <w:tcPr>
            <w:tcW w:w="2575" w:type="pct"/>
            <w:shd w:val="clear" w:color="auto" w:fill="D9D9D9" w:themeFill="background1" w:themeFillShade="D9"/>
          </w:tcPr>
          <w:p w14:paraId="64E13BB0" w14:textId="77777777" w:rsidR="00AB00DC" w:rsidRPr="0006633E" w:rsidRDefault="00AB00DC" w:rsidP="00FF3C41">
            <w:pPr>
              <w:pStyle w:val="Tablesubheading2"/>
              <w:cnfStyle w:val="000000000000" w:firstRow="0" w:lastRow="0" w:firstColumn="0" w:lastColumn="0" w:oddVBand="0" w:evenVBand="0" w:oddHBand="0" w:evenHBand="0" w:firstRowFirstColumn="0" w:firstRowLastColumn="0" w:lastRowFirstColumn="0" w:lastRowLastColumn="0"/>
              <w:rPr>
                <w:lang w:eastAsia="en-AU"/>
              </w:rPr>
            </w:pPr>
          </w:p>
        </w:tc>
        <w:tc>
          <w:tcPr>
            <w:tcW w:w="413" w:type="pct"/>
            <w:shd w:val="clear" w:color="auto" w:fill="D9D9D9" w:themeFill="background1" w:themeFillShade="D9"/>
          </w:tcPr>
          <w:p w14:paraId="7BE661E5" w14:textId="25030963" w:rsidR="00AB00DC" w:rsidRPr="0006633E" w:rsidRDefault="00AB00DC" w:rsidP="00FF3C41">
            <w:pPr>
              <w:pStyle w:val="Tablesubheading2"/>
              <w:cnfStyle w:val="000000000000" w:firstRow="0" w:lastRow="0" w:firstColumn="0" w:lastColumn="0" w:oddVBand="0" w:evenVBand="0" w:oddHBand="0" w:evenHBand="0" w:firstRowFirstColumn="0" w:firstRowLastColumn="0" w:lastRowFirstColumn="0" w:lastRowLastColumn="0"/>
              <w:rPr>
                <w:b w:val="0"/>
                <w:lang w:eastAsia="en-AU"/>
              </w:rPr>
            </w:pPr>
          </w:p>
        </w:tc>
      </w:tr>
      <w:tr w:rsidR="00166DB1" w:rsidRPr="00166DB1" w14:paraId="0EF9A1F0" w14:textId="77777777" w:rsidTr="0006633E">
        <w:trPr>
          <w:trHeight w:val="20"/>
        </w:trPr>
        <w:tc>
          <w:tcPr>
            <w:cnfStyle w:val="001000000000" w:firstRow="0" w:lastRow="0" w:firstColumn="1" w:lastColumn="0" w:oddVBand="0" w:evenVBand="0" w:oddHBand="0" w:evenHBand="0" w:firstRowFirstColumn="0" w:firstRowLastColumn="0" w:lastRowFirstColumn="0" w:lastRowLastColumn="0"/>
            <w:tcW w:w="818" w:type="pct"/>
            <w:shd w:val="clear" w:color="auto" w:fill="F2F2F2" w:themeFill="background1" w:themeFillShade="F2"/>
          </w:tcPr>
          <w:p w14:paraId="1A1B229B" w14:textId="77777777" w:rsidR="00166DB1" w:rsidRPr="00166DB1" w:rsidRDefault="00166DB1" w:rsidP="0006633E">
            <w:pPr>
              <w:pStyle w:val="TableCopy"/>
              <w:rPr>
                <w:lang w:eastAsia="en-AU"/>
              </w:rPr>
            </w:pPr>
            <w:r w:rsidRPr="00166DB1">
              <w:rPr>
                <w:lang w:eastAsia="en-AU"/>
              </w:rPr>
              <w:t>Intern Incentive Allowance for Rural Pharmacies</w:t>
            </w:r>
          </w:p>
        </w:tc>
        <w:tc>
          <w:tcPr>
            <w:tcW w:w="475" w:type="pct"/>
            <w:shd w:val="clear" w:color="auto" w:fill="F2F2F2" w:themeFill="background1" w:themeFillShade="F2"/>
            <w:noWrap/>
          </w:tcPr>
          <w:p w14:paraId="1E0B4BAF" w14:textId="77777777" w:rsidR="00166DB1" w:rsidRPr="00166DB1" w:rsidRDefault="00166DB1" w:rsidP="0006633E">
            <w:pPr>
              <w:pStyle w:val="TableCopy"/>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AU"/>
              </w:rPr>
            </w:pPr>
            <w:r w:rsidRPr="00166DB1">
              <w:rPr>
                <w:rFonts w:ascii="Times New Roman" w:hAnsi="Times New Roman"/>
                <w:lang w:eastAsia="en-AU"/>
              </w:rPr>
              <w:t>$</w:t>
            </w:r>
            <w:r w:rsidRPr="00166DB1">
              <w:rPr>
                <w:lang w:eastAsia="en-AU"/>
              </w:rPr>
              <w:t>10,593</w:t>
            </w:r>
          </w:p>
        </w:tc>
        <w:tc>
          <w:tcPr>
            <w:tcW w:w="336" w:type="pct"/>
            <w:shd w:val="clear" w:color="auto" w:fill="F2F2F2" w:themeFill="background1" w:themeFillShade="F2"/>
            <w:noWrap/>
          </w:tcPr>
          <w:p w14:paraId="326334F8" w14:textId="77777777" w:rsidR="00166DB1" w:rsidRPr="00166DB1" w:rsidRDefault="00166DB1" w:rsidP="0006633E">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Moderate</w:t>
            </w:r>
          </w:p>
        </w:tc>
        <w:tc>
          <w:tcPr>
            <w:tcW w:w="383" w:type="pct"/>
            <w:shd w:val="clear" w:color="auto" w:fill="F2F2F2" w:themeFill="background1" w:themeFillShade="F2"/>
            <w:noWrap/>
          </w:tcPr>
          <w:p w14:paraId="22F3D102" w14:textId="77777777" w:rsidR="00166DB1" w:rsidRPr="00166DB1" w:rsidRDefault="00166DB1" w:rsidP="0006633E">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High</w:t>
            </w:r>
          </w:p>
        </w:tc>
        <w:tc>
          <w:tcPr>
            <w:tcW w:w="2575" w:type="pct"/>
            <w:shd w:val="clear" w:color="auto" w:fill="F2F2F2" w:themeFill="background1" w:themeFillShade="F2"/>
          </w:tcPr>
          <w:p w14:paraId="7EA5F511"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Strong literature support on the effectiveness of rural exposure (via internships) on encouraging rural practise.</w:t>
            </w:r>
          </w:p>
          <w:p w14:paraId="3FB787FC"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Estimated 92% return rate, based on NHWDS data</w:t>
            </w:r>
          </w:p>
          <w:p w14:paraId="7EE89D4B"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Strong stakeholder support from pharmacists.</w:t>
            </w:r>
          </w:p>
        </w:tc>
        <w:tc>
          <w:tcPr>
            <w:tcW w:w="413" w:type="pct"/>
            <w:shd w:val="clear" w:color="auto" w:fill="F2F2F2" w:themeFill="background1" w:themeFillShade="F2"/>
          </w:tcPr>
          <w:p w14:paraId="3CE742C7" w14:textId="77777777" w:rsidR="00166DB1" w:rsidRPr="00166DB1" w:rsidRDefault="00166DB1" w:rsidP="0006633E">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Moderate – High</w:t>
            </w:r>
          </w:p>
        </w:tc>
      </w:tr>
      <w:tr w:rsidR="00166DB1" w:rsidRPr="00166DB1" w14:paraId="362D9FE5" w14:textId="77777777" w:rsidTr="0006633E">
        <w:trPr>
          <w:trHeight w:val="20"/>
        </w:trPr>
        <w:tc>
          <w:tcPr>
            <w:cnfStyle w:val="001000000000" w:firstRow="0" w:lastRow="0" w:firstColumn="1" w:lastColumn="0" w:oddVBand="0" w:evenVBand="0" w:oddHBand="0" w:evenHBand="0" w:firstRowFirstColumn="0" w:firstRowLastColumn="0" w:lastRowFirstColumn="0" w:lastRowLastColumn="0"/>
            <w:tcW w:w="818" w:type="pct"/>
            <w:shd w:val="clear" w:color="auto" w:fill="F2F2F2" w:themeFill="background1" w:themeFillShade="F2"/>
            <w:hideMark/>
          </w:tcPr>
          <w:p w14:paraId="19C63F45" w14:textId="77777777" w:rsidR="00166DB1" w:rsidRPr="00166DB1" w:rsidRDefault="00166DB1" w:rsidP="0006633E">
            <w:pPr>
              <w:pStyle w:val="TableCopy"/>
              <w:rPr>
                <w:lang w:eastAsia="en-AU"/>
              </w:rPr>
            </w:pPr>
            <w:r w:rsidRPr="00166DB1">
              <w:rPr>
                <w:lang w:eastAsia="en-AU"/>
              </w:rPr>
              <w:lastRenderedPageBreak/>
              <w:t>Intern Incentive Allowance for Rural Pharmacies – Extension Program</w:t>
            </w:r>
          </w:p>
        </w:tc>
        <w:tc>
          <w:tcPr>
            <w:tcW w:w="475" w:type="pct"/>
            <w:shd w:val="clear" w:color="auto" w:fill="F2F2F2" w:themeFill="background1" w:themeFillShade="F2"/>
            <w:noWrap/>
            <w:hideMark/>
          </w:tcPr>
          <w:p w14:paraId="6575EDB1" w14:textId="77777777" w:rsidR="00166DB1" w:rsidRPr="00166DB1" w:rsidRDefault="00166DB1" w:rsidP="0006633E">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w:t>
            </w:r>
            <w:r w:rsidRPr="00166DB1">
              <w:rPr>
                <w:lang w:eastAsia="en-AU"/>
              </w:rPr>
              <w:t>20,644</w:t>
            </w:r>
          </w:p>
        </w:tc>
        <w:tc>
          <w:tcPr>
            <w:tcW w:w="336" w:type="pct"/>
            <w:shd w:val="clear" w:color="auto" w:fill="F2F2F2" w:themeFill="background1" w:themeFillShade="F2"/>
            <w:noWrap/>
          </w:tcPr>
          <w:p w14:paraId="782C7EE8" w14:textId="77777777" w:rsidR="00166DB1" w:rsidRPr="00166DB1" w:rsidRDefault="00166DB1" w:rsidP="0006633E">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 xml:space="preserve">Moderate </w:t>
            </w:r>
          </w:p>
        </w:tc>
        <w:tc>
          <w:tcPr>
            <w:tcW w:w="383" w:type="pct"/>
            <w:shd w:val="clear" w:color="auto" w:fill="F2F2F2" w:themeFill="background1" w:themeFillShade="F2"/>
            <w:noWrap/>
          </w:tcPr>
          <w:p w14:paraId="5E0D81CA" w14:textId="77777777" w:rsidR="00166DB1" w:rsidRPr="00166DB1" w:rsidRDefault="00166DB1" w:rsidP="0006633E">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 xml:space="preserve">High </w:t>
            </w:r>
          </w:p>
        </w:tc>
        <w:tc>
          <w:tcPr>
            <w:tcW w:w="2575" w:type="pct"/>
            <w:shd w:val="clear" w:color="auto" w:fill="F2F2F2" w:themeFill="background1" w:themeFillShade="F2"/>
          </w:tcPr>
          <w:p w14:paraId="473917CC"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Strong literature support on the effectiveness of rural exposure (via a graduate program) on encouraging rural practise.</w:t>
            </w:r>
          </w:p>
          <w:p w14:paraId="7452B8C9"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 xml:space="preserve"> Estimated 92% return rate, based on NHWDS data.</w:t>
            </w:r>
          </w:p>
          <w:p w14:paraId="2487E265"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 xml:space="preserve">Strong stakeholder support from pharmacists. </w:t>
            </w:r>
          </w:p>
        </w:tc>
        <w:tc>
          <w:tcPr>
            <w:tcW w:w="413" w:type="pct"/>
            <w:shd w:val="clear" w:color="auto" w:fill="F2F2F2" w:themeFill="background1" w:themeFillShade="F2"/>
          </w:tcPr>
          <w:p w14:paraId="0C04FB69" w14:textId="77777777" w:rsidR="00166DB1" w:rsidRPr="00166DB1" w:rsidRDefault="00166DB1" w:rsidP="0006633E">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 xml:space="preserve">Moderate – High </w:t>
            </w:r>
          </w:p>
        </w:tc>
      </w:tr>
      <w:tr w:rsidR="00166DB1" w:rsidRPr="00166DB1" w14:paraId="0303F0FD" w14:textId="77777777" w:rsidTr="0006633E">
        <w:trPr>
          <w:trHeight w:val="20"/>
        </w:trPr>
        <w:tc>
          <w:tcPr>
            <w:cnfStyle w:val="001000000000" w:firstRow="0" w:lastRow="0" w:firstColumn="1" w:lastColumn="0" w:oddVBand="0" w:evenVBand="0" w:oddHBand="0" w:evenHBand="0" w:firstRowFirstColumn="0" w:firstRowLastColumn="0" w:lastRowFirstColumn="0" w:lastRowLastColumn="0"/>
            <w:tcW w:w="818" w:type="pct"/>
            <w:shd w:val="clear" w:color="auto" w:fill="F2F2F2" w:themeFill="background1" w:themeFillShade="F2"/>
            <w:hideMark/>
          </w:tcPr>
          <w:p w14:paraId="0F5BE93D" w14:textId="77777777" w:rsidR="00166DB1" w:rsidRPr="00166DB1" w:rsidRDefault="00166DB1" w:rsidP="0006633E">
            <w:pPr>
              <w:pStyle w:val="TableCopy"/>
              <w:rPr>
                <w:lang w:eastAsia="en-AU"/>
              </w:rPr>
            </w:pPr>
            <w:r w:rsidRPr="00166DB1">
              <w:rPr>
                <w:lang w:eastAsia="en-AU"/>
              </w:rPr>
              <w:t>Continuing Professional Education Allowance</w:t>
            </w:r>
          </w:p>
        </w:tc>
        <w:tc>
          <w:tcPr>
            <w:tcW w:w="475" w:type="pct"/>
            <w:shd w:val="clear" w:color="auto" w:fill="F2F2F2" w:themeFill="background1" w:themeFillShade="F2"/>
            <w:noWrap/>
            <w:hideMark/>
          </w:tcPr>
          <w:p w14:paraId="540F82DB" w14:textId="77777777" w:rsidR="00166DB1" w:rsidRPr="00166DB1" w:rsidRDefault="00166DB1" w:rsidP="0006633E">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w:t>
            </w:r>
            <w:r w:rsidRPr="00166DB1">
              <w:rPr>
                <w:lang w:eastAsia="en-AU"/>
              </w:rPr>
              <w:t xml:space="preserve">1,932 </w:t>
            </w:r>
          </w:p>
        </w:tc>
        <w:tc>
          <w:tcPr>
            <w:tcW w:w="336" w:type="pct"/>
            <w:shd w:val="clear" w:color="auto" w:fill="F2F2F2" w:themeFill="background1" w:themeFillShade="F2"/>
            <w:noWrap/>
          </w:tcPr>
          <w:p w14:paraId="721BE026" w14:textId="77777777" w:rsidR="00166DB1" w:rsidRPr="00166DB1" w:rsidRDefault="00166DB1" w:rsidP="0006633E">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Small</w:t>
            </w:r>
          </w:p>
        </w:tc>
        <w:tc>
          <w:tcPr>
            <w:tcW w:w="383" w:type="pct"/>
            <w:shd w:val="clear" w:color="auto" w:fill="F2F2F2" w:themeFill="background1" w:themeFillShade="F2"/>
            <w:noWrap/>
          </w:tcPr>
          <w:p w14:paraId="327314C8" w14:textId="77777777" w:rsidR="00166DB1" w:rsidRPr="00166DB1" w:rsidRDefault="00166DB1" w:rsidP="0006633E">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Moderate</w:t>
            </w:r>
          </w:p>
        </w:tc>
        <w:tc>
          <w:tcPr>
            <w:tcW w:w="2575" w:type="pct"/>
            <w:shd w:val="clear" w:color="auto" w:fill="F2F2F2" w:themeFill="background1" w:themeFillShade="F2"/>
          </w:tcPr>
          <w:p w14:paraId="03F1039E"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Moderate literature support on the effectiveness of CPE access in supporting rural workforce</w:t>
            </w:r>
          </w:p>
          <w:p w14:paraId="50247866"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 xml:space="preserve">Strong stakeholder support from pharmacists and peak bodies. </w:t>
            </w:r>
          </w:p>
        </w:tc>
        <w:tc>
          <w:tcPr>
            <w:tcW w:w="413" w:type="pct"/>
            <w:shd w:val="clear" w:color="auto" w:fill="F2F2F2" w:themeFill="background1" w:themeFillShade="F2"/>
          </w:tcPr>
          <w:p w14:paraId="222BBD25" w14:textId="77777777" w:rsidR="00166DB1" w:rsidRPr="00166DB1" w:rsidRDefault="00166DB1" w:rsidP="0006633E">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Moderate</w:t>
            </w:r>
          </w:p>
        </w:tc>
      </w:tr>
      <w:tr w:rsidR="00166DB1" w:rsidRPr="00166DB1" w14:paraId="3FD92F5D" w14:textId="77777777" w:rsidTr="0006633E">
        <w:trPr>
          <w:trHeight w:val="20"/>
        </w:trPr>
        <w:tc>
          <w:tcPr>
            <w:cnfStyle w:val="001000000000" w:firstRow="0" w:lastRow="0" w:firstColumn="1" w:lastColumn="0" w:oddVBand="0" w:evenVBand="0" w:oddHBand="0" w:evenHBand="0" w:firstRowFirstColumn="0" w:firstRowLastColumn="0" w:lastRowFirstColumn="0" w:lastRowLastColumn="0"/>
            <w:tcW w:w="818" w:type="pct"/>
            <w:shd w:val="clear" w:color="auto" w:fill="F2F2F2" w:themeFill="background1" w:themeFillShade="F2"/>
            <w:hideMark/>
          </w:tcPr>
          <w:p w14:paraId="4940C465" w14:textId="77777777" w:rsidR="00166DB1" w:rsidRPr="00166DB1" w:rsidRDefault="00166DB1" w:rsidP="0006633E">
            <w:pPr>
              <w:pStyle w:val="TableCopy"/>
              <w:rPr>
                <w:lang w:eastAsia="en-AU"/>
              </w:rPr>
            </w:pPr>
            <w:r w:rsidRPr="00166DB1">
              <w:rPr>
                <w:lang w:eastAsia="en-AU"/>
              </w:rPr>
              <w:t>Emergency Locum Service</w:t>
            </w:r>
          </w:p>
        </w:tc>
        <w:tc>
          <w:tcPr>
            <w:tcW w:w="475" w:type="pct"/>
            <w:shd w:val="clear" w:color="auto" w:fill="F2F2F2" w:themeFill="background1" w:themeFillShade="F2"/>
            <w:noWrap/>
            <w:hideMark/>
          </w:tcPr>
          <w:p w14:paraId="54BB3028" w14:textId="77777777" w:rsidR="00166DB1" w:rsidRPr="00166DB1" w:rsidRDefault="00166DB1" w:rsidP="0006633E">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w:t>
            </w:r>
            <w:r w:rsidRPr="00166DB1">
              <w:rPr>
                <w:lang w:eastAsia="en-AU"/>
              </w:rPr>
              <w:t xml:space="preserve">3,346 </w:t>
            </w:r>
          </w:p>
        </w:tc>
        <w:tc>
          <w:tcPr>
            <w:tcW w:w="336" w:type="pct"/>
            <w:shd w:val="clear" w:color="auto" w:fill="F2F2F2" w:themeFill="background1" w:themeFillShade="F2"/>
            <w:noWrap/>
          </w:tcPr>
          <w:p w14:paraId="2C335ABB" w14:textId="77777777" w:rsidR="00166DB1" w:rsidRPr="00166DB1" w:rsidRDefault="00166DB1" w:rsidP="0006633E">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Small</w:t>
            </w:r>
          </w:p>
        </w:tc>
        <w:tc>
          <w:tcPr>
            <w:tcW w:w="383" w:type="pct"/>
            <w:shd w:val="clear" w:color="auto" w:fill="F2F2F2" w:themeFill="background1" w:themeFillShade="F2"/>
            <w:noWrap/>
          </w:tcPr>
          <w:p w14:paraId="492C7680" w14:textId="77777777" w:rsidR="00166DB1" w:rsidRPr="00166DB1" w:rsidRDefault="00166DB1" w:rsidP="0006633E">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Moderate</w:t>
            </w:r>
          </w:p>
        </w:tc>
        <w:tc>
          <w:tcPr>
            <w:tcW w:w="2575" w:type="pct"/>
            <w:shd w:val="clear" w:color="auto" w:fill="F2F2F2" w:themeFill="background1" w:themeFillShade="F2"/>
          </w:tcPr>
          <w:p w14:paraId="49CAD9AD"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Limited literature supporting the effectiveness of emergency locums in supporting rural workforce</w:t>
            </w:r>
          </w:p>
          <w:p w14:paraId="060D9F23"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 xml:space="preserve">Moderate stakeholder support </w:t>
            </w:r>
          </w:p>
          <w:p w14:paraId="539EBAA9"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 xml:space="preserve">Strong support from users of the service  </w:t>
            </w:r>
          </w:p>
        </w:tc>
        <w:tc>
          <w:tcPr>
            <w:tcW w:w="413" w:type="pct"/>
            <w:shd w:val="clear" w:color="auto" w:fill="F2F2F2" w:themeFill="background1" w:themeFillShade="F2"/>
          </w:tcPr>
          <w:p w14:paraId="0B6BC109" w14:textId="77777777" w:rsidR="00166DB1" w:rsidRPr="00166DB1" w:rsidRDefault="00166DB1" w:rsidP="0006633E">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Moderate</w:t>
            </w:r>
          </w:p>
        </w:tc>
      </w:tr>
      <w:tr w:rsidR="00AB00DC" w:rsidRPr="0006633E" w14:paraId="10EA5562" w14:textId="77777777" w:rsidTr="00AB00DC">
        <w:trPr>
          <w:trHeight w:val="20"/>
        </w:trPr>
        <w:tc>
          <w:tcPr>
            <w:cnfStyle w:val="001000000000" w:firstRow="0" w:lastRow="0" w:firstColumn="1" w:lastColumn="0" w:oddVBand="0" w:evenVBand="0" w:oddHBand="0" w:evenHBand="0" w:firstRowFirstColumn="0" w:firstRowLastColumn="0" w:lastRowFirstColumn="0" w:lastRowLastColumn="0"/>
            <w:tcW w:w="818" w:type="pct"/>
            <w:shd w:val="clear" w:color="auto" w:fill="D9D9D9" w:themeFill="background1" w:themeFillShade="D9"/>
          </w:tcPr>
          <w:p w14:paraId="013CC166" w14:textId="77777777" w:rsidR="00AB00DC" w:rsidRPr="0006633E" w:rsidDel="00FE6C49" w:rsidRDefault="00AB00DC" w:rsidP="0006633E">
            <w:pPr>
              <w:pStyle w:val="Tablesubheading2"/>
              <w:rPr>
                <w:lang w:eastAsia="en-AU"/>
              </w:rPr>
            </w:pPr>
            <w:r w:rsidRPr="0006633E">
              <w:rPr>
                <w:b/>
                <w:lang w:eastAsia="en-AU"/>
              </w:rPr>
              <w:t xml:space="preserve">Culturally Appropriate Access Programs </w:t>
            </w:r>
          </w:p>
        </w:tc>
        <w:tc>
          <w:tcPr>
            <w:tcW w:w="475" w:type="pct"/>
            <w:shd w:val="clear" w:color="auto" w:fill="D9D9D9" w:themeFill="background1" w:themeFillShade="D9"/>
          </w:tcPr>
          <w:p w14:paraId="12D417F6" w14:textId="77777777" w:rsidR="00AB00DC" w:rsidRPr="0006633E" w:rsidDel="00FE6C49" w:rsidRDefault="00AB00DC" w:rsidP="0006633E">
            <w:pPr>
              <w:pStyle w:val="Tablesubheading2"/>
              <w:cnfStyle w:val="000000000000" w:firstRow="0" w:lastRow="0" w:firstColumn="0" w:lastColumn="0" w:oddVBand="0" w:evenVBand="0" w:oddHBand="0" w:evenHBand="0" w:firstRowFirstColumn="0" w:firstRowLastColumn="0" w:lastRowFirstColumn="0" w:lastRowLastColumn="0"/>
              <w:rPr>
                <w:lang w:eastAsia="en-AU"/>
              </w:rPr>
            </w:pPr>
          </w:p>
        </w:tc>
        <w:tc>
          <w:tcPr>
            <w:tcW w:w="336" w:type="pct"/>
            <w:shd w:val="clear" w:color="auto" w:fill="D9D9D9" w:themeFill="background1" w:themeFillShade="D9"/>
          </w:tcPr>
          <w:p w14:paraId="6DA7EACB" w14:textId="77777777" w:rsidR="00AB00DC" w:rsidRPr="0006633E" w:rsidDel="00FE6C49" w:rsidRDefault="00AB00DC" w:rsidP="0006633E">
            <w:pPr>
              <w:pStyle w:val="Tablesubheading2"/>
              <w:cnfStyle w:val="000000000000" w:firstRow="0" w:lastRow="0" w:firstColumn="0" w:lastColumn="0" w:oddVBand="0" w:evenVBand="0" w:oddHBand="0" w:evenHBand="0" w:firstRowFirstColumn="0" w:firstRowLastColumn="0" w:lastRowFirstColumn="0" w:lastRowLastColumn="0"/>
              <w:rPr>
                <w:lang w:eastAsia="en-AU"/>
              </w:rPr>
            </w:pPr>
          </w:p>
        </w:tc>
        <w:tc>
          <w:tcPr>
            <w:tcW w:w="383" w:type="pct"/>
            <w:shd w:val="clear" w:color="auto" w:fill="D9D9D9" w:themeFill="background1" w:themeFillShade="D9"/>
          </w:tcPr>
          <w:p w14:paraId="5DE75C73" w14:textId="77777777" w:rsidR="00AB00DC" w:rsidRPr="0006633E" w:rsidDel="00FE6C49" w:rsidRDefault="00AB00DC" w:rsidP="0006633E">
            <w:pPr>
              <w:pStyle w:val="Tablesubheading2"/>
              <w:cnfStyle w:val="000000000000" w:firstRow="0" w:lastRow="0" w:firstColumn="0" w:lastColumn="0" w:oddVBand="0" w:evenVBand="0" w:oddHBand="0" w:evenHBand="0" w:firstRowFirstColumn="0" w:firstRowLastColumn="0" w:lastRowFirstColumn="0" w:lastRowLastColumn="0"/>
              <w:rPr>
                <w:lang w:eastAsia="en-AU"/>
              </w:rPr>
            </w:pPr>
          </w:p>
        </w:tc>
        <w:tc>
          <w:tcPr>
            <w:tcW w:w="2575" w:type="pct"/>
            <w:shd w:val="clear" w:color="auto" w:fill="D9D9D9" w:themeFill="background1" w:themeFillShade="D9"/>
          </w:tcPr>
          <w:p w14:paraId="0FD2A330" w14:textId="77777777" w:rsidR="00AB00DC" w:rsidRPr="0006633E" w:rsidDel="00FE6C49" w:rsidRDefault="00AB00DC" w:rsidP="0006633E">
            <w:pPr>
              <w:pStyle w:val="Tablesubheading2"/>
              <w:cnfStyle w:val="000000000000" w:firstRow="0" w:lastRow="0" w:firstColumn="0" w:lastColumn="0" w:oddVBand="0" w:evenVBand="0" w:oddHBand="0" w:evenHBand="0" w:firstRowFirstColumn="0" w:firstRowLastColumn="0" w:lastRowFirstColumn="0" w:lastRowLastColumn="0"/>
              <w:rPr>
                <w:lang w:eastAsia="en-AU"/>
              </w:rPr>
            </w:pPr>
          </w:p>
        </w:tc>
        <w:tc>
          <w:tcPr>
            <w:tcW w:w="413" w:type="pct"/>
            <w:shd w:val="clear" w:color="auto" w:fill="D9D9D9" w:themeFill="background1" w:themeFillShade="D9"/>
          </w:tcPr>
          <w:p w14:paraId="11D0C38B" w14:textId="4AF7030C" w:rsidR="00AB00DC" w:rsidRPr="0006633E" w:rsidDel="00FE6C49" w:rsidRDefault="00AB00DC" w:rsidP="0006633E">
            <w:pPr>
              <w:pStyle w:val="Tablesubheading2"/>
              <w:cnfStyle w:val="000000000000" w:firstRow="0" w:lastRow="0" w:firstColumn="0" w:lastColumn="0" w:oddVBand="0" w:evenVBand="0" w:oddHBand="0" w:evenHBand="0" w:firstRowFirstColumn="0" w:firstRowLastColumn="0" w:lastRowFirstColumn="0" w:lastRowLastColumn="0"/>
              <w:rPr>
                <w:b w:val="0"/>
                <w:lang w:eastAsia="en-AU"/>
              </w:rPr>
            </w:pPr>
          </w:p>
        </w:tc>
      </w:tr>
      <w:tr w:rsidR="00166DB1" w:rsidRPr="00166DB1" w14:paraId="4EB0B0E6" w14:textId="77777777" w:rsidTr="0006633E">
        <w:trPr>
          <w:trHeight w:val="20"/>
        </w:trPr>
        <w:tc>
          <w:tcPr>
            <w:cnfStyle w:val="001000000000" w:firstRow="0" w:lastRow="0" w:firstColumn="1" w:lastColumn="0" w:oddVBand="0" w:evenVBand="0" w:oddHBand="0" w:evenHBand="0" w:firstRowFirstColumn="0" w:firstRowLastColumn="0" w:lastRowFirstColumn="0" w:lastRowLastColumn="0"/>
            <w:tcW w:w="818" w:type="pct"/>
            <w:shd w:val="clear" w:color="auto" w:fill="F2F2F2" w:themeFill="background1" w:themeFillShade="F2"/>
            <w:hideMark/>
          </w:tcPr>
          <w:p w14:paraId="08DA58B0" w14:textId="77777777" w:rsidR="00166DB1" w:rsidRPr="00166DB1" w:rsidRDefault="00166DB1" w:rsidP="0006633E">
            <w:pPr>
              <w:pStyle w:val="TableCopy"/>
              <w:rPr>
                <w:lang w:eastAsia="en-AU"/>
              </w:rPr>
            </w:pPr>
            <w:r w:rsidRPr="00166DB1">
              <w:rPr>
                <w:lang w:eastAsia="en-AU"/>
              </w:rPr>
              <w:t>Aboriginal and Torres Strait Islander Pharmacy Scholarship Scheme</w:t>
            </w:r>
          </w:p>
        </w:tc>
        <w:tc>
          <w:tcPr>
            <w:tcW w:w="475" w:type="pct"/>
            <w:shd w:val="clear" w:color="auto" w:fill="F2F2F2" w:themeFill="background1" w:themeFillShade="F2"/>
            <w:noWrap/>
            <w:hideMark/>
          </w:tcPr>
          <w:p w14:paraId="3B890160" w14:textId="77777777" w:rsidR="00166DB1" w:rsidRPr="00166DB1" w:rsidRDefault="00166DB1" w:rsidP="0006633E">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w:t>
            </w:r>
            <w:r w:rsidRPr="00166DB1">
              <w:rPr>
                <w:lang w:eastAsia="en-AU"/>
              </w:rPr>
              <w:t xml:space="preserve">19,098 </w:t>
            </w:r>
          </w:p>
        </w:tc>
        <w:tc>
          <w:tcPr>
            <w:tcW w:w="336" w:type="pct"/>
            <w:shd w:val="clear" w:color="auto" w:fill="F2F2F2" w:themeFill="background1" w:themeFillShade="F2"/>
            <w:noWrap/>
          </w:tcPr>
          <w:p w14:paraId="12068483" w14:textId="77777777" w:rsidR="00166DB1" w:rsidRPr="00166DB1" w:rsidRDefault="00166DB1" w:rsidP="0006633E">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Moderate</w:t>
            </w:r>
          </w:p>
        </w:tc>
        <w:tc>
          <w:tcPr>
            <w:tcW w:w="383" w:type="pct"/>
            <w:shd w:val="clear" w:color="auto" w:fill="F2F2F2" w:themeFill="background1" w:themeFillShade="F2"/>
            <w:noWrap/>
          </w:tcPr>
          <w:p w14:paraId="1F1657C1" w14:textId="77777777" w:rsidR="00166DB1" w:rsidRPr="00166DB1" w:rsidRDefault="00166DB1" w:rsidP="0006633E">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 xml:space="preserve">Moderate </w:t>
            </w:r>
          </w:p>
        </w:tc>
        <w:tc>
          <w:tcPr>
            <w:tcW w:w="2575" w:type="pct"/>
            <w:shd w:val="clear" w:color="auto" w:fill="F2F2F2" w:themeFill="background1" w:themeFillShade="F2"/>
          </w:tcPr>
          <w:p w14:paraId="37314980"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Moderate literature support on the effectiveness of scholarships in supporting Aboriginal and Torres Strait Islander students.</w:t>
            </w:r>
          </w:p>
          <w:p w14:paraId="78DD8ACA"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 xml:space="preserve">Low stakeholder support due to few stakeholders being aware of the program and the lack of apparent community consultation. </w:t>
            </w:r>
          </w:p>
        </w:tc>
        <w:tc>
          <w:tcPr>
            <w:tcW w:w="413" w:type="pct"/>
            <w:shd w:val="clear" w:color="auto" w:fill="F2F2F2" w:themeFill="background1" w:themeFillShade="F2"/>
          </w:tcPr>
          <w:p w14:paraId="662258AC" w14:textId="77777777" w:rsidR="00166DB1" w:rsidRPr="00166DB1" w:rsidRDefault="00166DB1" w:rsidP="0006633E">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Moderate</w:t>
            </w:r>
          </w:p>
        </w:tc>
      </w:tr>
      <w:tr w:rsidR="00166DB1" w:rsidRPr="00166DB1" w14:paraId="1EE9A865" w14:textId="77777777" w:rsidTr="0006633E">
        <w:trPr>
          <w:trHeight w:val="20"/>
        </w:trPr>
        <w:tc>
          <w:tcPr>
            <w:cnfStyle w:val="001000000000" w:firstRow="0" w:lastRow="0" w:firstColumn="1" w:lastColumn="0" w:oddVBand="0" w:evenVBand="0" w:oddHBand="0" w:evenHBand="0" w:firstRowFirstColumn="0" w:firstRowLastColumn="0" w:lastRowFirstColumn="0" w:lastRowLastColumn="0"/>
            <w:tcW w:w="818" w:type="pct"/>
            <w:shd w:val="clear" w:color="auto" w:fill="F2F2F2" w:themeFill="background1" w:themeFillShade="F2"/>
            <w:hideMark/>
          </w:tcPr>
          <w:p w14:paraId="6B7F4F67" w14:textId="77777777" w:rsidR="00166DB1" w:rsidRPr="00166DB1" w:rsidRDefault="00166DB1" w:rsidP="0006633E">
            <w:pPr>
              <w:pStyle w:val="TableCopy"/>
              <w:rPr>
                <w:lang w:eastAsia="en-AU"/>
              </w:rPr>
            </w:pPr>
            <w:r w:rsidRPr="00166DB1">
              <w:rPr>
                <w:lang w:eastAsia="en-AU"/>
              </w:rPr>
              <w:t>Aboriginal and Torres Strait Islander Pharmacy Assistant Traineeship Scheme</w:t>
            </w:r>
          </w:p>
        </w:tc>
        <w:tc>
          <w:tcPr>
            <w:tcW w:w="475" w:type="pct"/>
            <w:shd w:val="clear" w:color="auto" w:fill="F2F2F2" w:themeFill="background1" w:themeFillShade="F2"/>
            <w:noWrap/>
            <w:hideMark/>
          </w:tcPr>
          <w:p w14:paraId="0E16192F" w14:textId="77777777" w:rsidR="00166DB1" w:rsidRPr="00166DB1" w:rsidRDefault="00166DB1" w:rsidP="0006633E">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w:t>
            </w:r>
            <w:r w:rsidRPr="00166DB1">
              <w:rPr>
                <w:lang w:eastAsia="en-AU"/>
              </w:rPr>
              <w:t xml:space="preserve">14,098 </w:t>
            </w:r>
          </w:p>
        </w:tc>
        <w:tc>
          <w:tcPr>
            <w:tcW w:w="336" w:type="pct"/>
            <w:shd w:val="clear" w:color="auto" w:fill="F2F2F2" w:themeFill="background1" w:themeFillShade="F2"/>
            <w:noWrap/>
          </w:tcPr>
          <w:p w14:paraId="00D0CFCF" w14:textId="77777777" w:rsidR="00166DB1" w:rsidRPr="00166DB1" w:rsidRDefault="00166DB1" w:rsidP="0006633E">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Moderate</w:t>
            </w:r>
          </w:p>
        </w:tc>
        <w:tc>
          <w:tcPr>
            <w:tcW w:w="383" w:type="pct"/>
            <w:shd w:val="clear" w:color="auto" w:fill="F2F2F2" w:themeFill="background1" w:themeFillShade="F2"/>
            <w:noWrap/>
          </w:tcPr>
          <w:p w14:paraId="65C0E05C" w14:textId="77777777" w:rsidR="00166DB1" w:rsidRPr="00166DB1" w:rsidRDefault="00166DB1" w:rsidP="0006633E">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 xml:space="preserve">Unable to </w:t>
            </w:r>
            <w:r w:rsidRPr="00166DB1">
              <w:rPr>
                <w:lang w:eastAsia="en-AU"/>
              </w:rPr>
              <w:br/>
              <w:t xml:space="preserve">determine </w:t>
            </w:r>
          </w:p>
        </w:tc>
        <w:tc>
          <w:tcPr>
            <w:tcW w:w="2575" w:type="pct"/>
            <w:shd w:val="clear" w:color="auto" w:fill="F2F2F2" w:themeFill="background1" w:themeFillShade="F2"/>
          </w:tcPr>
          <w:p w14:paraId="336C110D"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Limited literature or data available to assess contribution to the workforce.</w:t>
            </w:r>
          </w:p>
          <w:p w14:paraId="53D6E6AE"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Insufficient survey responses to determine perceived benefit.</w:t>
            </w:r>
          </w:p>
          <w:p w14:paraId="765C7B92"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 xml:space="preserve">Moderate to low support from stakeholders, due to a lack of awareness among stakeholders and the lack of apparent community consultation. </w:t>
            </w:r>
          </w:p>
        </w:tc>
        <w:tc>
          <w:tcPr>
            <w:tcW w:w="413" w:type="pct"/>
            <w:shd w:val="clear" w:color="auto" w:fill="F2F2F2" w:themeFill="background1" w:themeFillShade="F2"/>
          </w:tcPr>
          <w:p w14:paraId="54FD927D" w14:textId="77777777" w:rsidR="00166DB1" w:rsidRPr="00166DB1" w:rsidRDefault="00166DB1" w:rsidP="0006633E">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Unable to determine</w:t>
            </w:r>
          </w:p>
        </w:tc>
      </w:tr>
    </w:tbl>
    <w:p w14:paraId="04EDDC26" w14:textId="77777777" w:rsidR="00166DB1" w:rsidRPr="00166DB1" w:rsidRDefault="00166DB1" w:rsidP="00787AA0">
      <w:pPr>
        <w:pStyle w:val="TableNotes"/>
        <w:rPr>
          <w:lang w:eastAsia="en-AU"/>
        </w:rPr>
      </w:pPr>
      <w:r w:rsidRPr="00166DB1">
        <w:rPr>
          <w:lang w:eastAsia="en-AU"/>
        </w:rPr>
        <w:t>* Dollar figures are rounded to the nearest whole dollar figure.</w:t>
      </w:r>
    </w:p>
    <w:p w14:paraId="34234CC9" w14:textId="77777777" w:rsidR="00166DB1" w:rsidRPr="00166DB1" w:rsidRDefault="00166DB1" w:rsidP="00787AA0">
      <w:pPr>
        <w:pStyle w:val="TableNotes"/>
        <w:rPr>
          <w:lang w:eastAsia="en-AU"/>
        </w:rPr>
      </w:pPr>
      <w:r w:rsidRPr="00166DB1">
        <w:rPr>
          <w:lang w:eastAsia="en-AU"/>
        </w:rPr>
        <w:t xml:space="preserve">^Unit cost for RPLO is based on the number of student placements (or the number of officers in brackets). </w:t>
      </w:r>
    </w:p>
    <w:p w14:paraId="49459096" w14:textId="77777777" w:rsidR="00166DB1" w:rsidRPr="00166DB1" w:rsidRDefault="00166DB1" w:rsidP="00787AA0">
      <w:pPr>
        <w:pStyle w:val="TableNotes"/>
        <w:rPr>
          <w:lang w:eastAsia="en-AU"/>
        </w:rPr>
      </w:pPr>
      <w:r w:rsidRPr="00166DB1">
        <w:rPr>
          <w:lang w:eastAsia="en-AU"/>
        </w:rPr>
        <w:t>#Unit cost is based on number of student placements (or number of contracted universities in brackets)</w:t>
      </w:r>
    </w:p>
    <w:p w14:paraId="2BAC8FEA" w14:textId="77777777" w:rsidR="00787AA0" w:rsidRDefault="00787AA0" w:rsidP="00787AA0">
      <w:pPr>
        <w:pStyle w:val="TableNotes"/>
        <w:sectPr w:rsidR="00787AA0" w:rsidSect="00720069">
          <w:headerReference w:type="default" r:id="rId39"/>
          <w:pgSz w:w="16839" w:h="11907" w:orient="landscape" w:code="9"/>
          <w:pgMar w:top="2268" w:right="1304" w:bottom="850" w:left="737" w:header="567" w:footer="284" w:gutter="0"/>
          <w:cols w:space="709"/>
          <w:docGrid w:linePitch="360"/>
        </w:sectPr>
      </w:pPr>
    </w:p>
    <w:p w14:paraId="0CC8B4F8" w14:textId="1ACFA9AA" w:rsidR="00166DB1" w:rsidRPr="00166DB1" w:rsidRDefault="00166DB1" w:rsidP="00787AA0">
      <w:pPr>
        <w:pStyle w:val="TableNotes"/>
        <w:sectPr w:rsidR="00166DB1" w:rsidRPr="00166DB1" w:rsidSect="00720069">
          <w:pgSz w:w="16839" w:h="11907" w:orient="landscape" w:code="9"/>
          <w:pgMar w:top="2268" w:right="1304" w:bottom="850" w:left="737" w:header="567" w:footer="284" w:gutter="0"/>
          <w:cols w:space="709"/>
          <w:docGrid w:linePitch="360"/>
        </w:sectPr>
      </w:pPr>
    </w:p>
    <w:p w14:paraId="662B2856" w14:textId="77777777" w:rsidR="00166DB1" w:rsidRPr="00166DB1" w:rsidRDefault="00166DB1" w:rsidP="00B24642">
      <w:pPr>
        <w:pStyle w:val="Heading2"/>
      </w:pPr>
      <w:bookmarkStart w:id="120" w:name="_Toc490574947"/>
      <w:bookmarkStart w:id="121" w:name="_Toc523322084"/>
      <w:r w:rsidRPr="00166DB1">
        <w:t>Alternative models of service delivery</w:t>
      </w:r>
      <w:bookmarkEnd w:id="120"/>
      <w:bookmarkEnd w:id="121"/>
    </w:p>
    <w:p w14:paraId="20B76647"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Addressing pharmacist shortages is only one avenue to improve access to medicines in rural and remote areas. Alternative models of service delivery for remote locations already exist, such as the provision of medicines in ACCHOs through the Remote Area Aboriginal Health Service Program. In addition, there are emerging models of care that have the potential to impact on medicines access. For example, in 2014, the National Rural Health Alliance prepared a discussion paper on access to medicines and pharmacy services in rural and remote Australia. In this paper, alternative models of service delivery were discussed, such as removing legislative requirements that tie dispensing and counselling to a registered location, in favour of pharmacy outposts that could increase the potential for pharmacists to improve the quality of access in remote locations. </w:t>
      </w:r>
      <w:sdt>
        <w:sdtPr>
          <w:rPr>
            <w:rFonts w:ascii="Garamond" w:eastAsia="Garamond" w:hAnsi="Garamond"/>
            <w:color w:val="000000"/>
          </w:rPr>
          <w:id w:val="547026698"/>
          <w:citation/>
        </w:sdtPr>
        <w:sdtEndPr/>
        <w:sdtContent>
          <w:r w:rsidRPr="00166DB1">
            <w:rPr>
              <w:rFonts w:ascii="Garamond" w:eastAsia="Garamond" w:hAnsi="Garamond"/>
              <w:color w:val="000000"/>
            </w:rPr>
            <w:fldChar w:fldCharType="begin"/>
          </w:r>
          <w:r w:rsidRPr="00166DB1">
            <w:rPr>
              <w:rFonts w:ascii="Garamond" w:eastAsia="Garamond" w:hAnsi="Garamond"/>
              <w:color w:val="000000"/>
            </w:rPr>
            <w:instrText xml:space="preserve"> CITATION Nat14 \l 3081 </w:instrText>
          </w:r>
          <w:r w:rsidRPr="00166DB1">
            <w:rPr>
              <w:rFonts w:ascii="Garamond" w:eastAsia="Garamond" w:hAnsi="Garamond"/>
              <w:color w:val="000000"/>
            </w:rPr>
            <w:fldChar w:fldCharType="separate"/>
          </w:r>
          <w:r w:rsidRPr="00166DB1">
            <w:rPr>
              <w:rFonts w:ascii="Garamond" w:eastAsia="Garamond" w:hAnsi="Garamond"/>
              <w:noProof/>
              <w:color w:val="000000"/>
            </w:rPr>
            <w:t>[6]</w:t>
          </w:r>
          <w:r w:rsidRPr="00166DB1">
            <w:rPr>
              <w:rFonts w:ascii="Garamond" w:eastAsia="Garamond" w:hAnsi="Garamond"/>
              <w:color w:val="000000"/>
            </w:rPr>
            <w:fldChar w:fldCharType="end"/>
          </w:r>
        </w:sdtContent>
      </w:sdt>
    </w:p>
    <w:p w14:paraId="36DB6F03"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Similarly, in a position statement prepared by the Pharmaceutical Society of Australia (PSA) in 2010, it was suggested (among other advice) that: </w:t>
      </w:r>
    </w:p>
    <w:p w14:paraId="1B3E88EE" w14:textId="77777777" w:rsidR="00166DB1" w:rsidRPr="0006633E" w:rsidRDefault="00166DB1" w:rsidP="009F66FB">
      <w:pPr>
        <w:pStyle w:val="ListParagraph"/>
        <w:numPr>
          <w:ilvl w:val="0"/>
          <w:numId w:val="24"/>
        </w:numPr>
        <w:tabs>
          <w:tab w:val="num" w:pos="284"/>
        </w:tabs>
        <w:spacing w:before="20" w:after="20"/>
        <w:ind w:left="284" w:hanging="284"/>
        <w:rPr>
          <w:rFonts w:ascii="Garamond" w:eastAsia="Times New Roman" w:hAnsi="Garamond"/>
          <w:color w:val="000000"/>
        </w:rPr>
      </w:pPr>
      <w:r w:rsidRPr="0006633E">
        <w:rPr>
          <w:rFonts w:ascii="Garamond" w:eastAsia="Times New Roman" w:hAnsi="Garamond"/>
          <w:color w:val="000000"/>
        </w:rPr>
        <w:t>a model of practice be developed that allows pharmacists in rural and remote locations to deliver an appropriate range of services to the community</w:t>
      </w:r>
    </w:p>
    <w:p w14:paraId="4917C6D6" w14:textId="77777777" w:rsidR="00166DB1" w:rsidRPr="0006633E" w:rsidRDefault="00166DB1" w:rsidP="009F66FB">
      <w:pPr>
        <w:pStyle w:val="ListParagraph"/>
        <w:numPr>
          <w:ilvl w:val="0"/>
          <w:numId w:val="24"/>
        </w:numPr>
        <w:tabs>
          <w:tab w:val="num" w:pos="284"/>
        </w:tabs>
        <w:spacing w:before="20" w:after="20"/>
        <w:ind w:left="284" w:hanging="284"/>
        <w:rPr>
          <w:rFonts w:ascii="Garamond" w:eastAsia="Times New Roman" w:hAnsi="Garamond"/>
          <w:color w:val="000000"/>
        </w:rPr>
      </w:pPr>
      <w:r w:rsidRPr="0006633E">
        <w:rPr>
          <w:rFonts w:ascii="Garamond" w:eastAsia="Times New Roman" w:hAnsi="Garamond"/>
          <w:color w:val="000000"/>
        </w:rPr>
        <w:t>remote health clinics be registered as pharmacy outstations, so that pharmacists may dispense in these locations</w:t>
      </w:r>
    </w:p>
    <w:p w14:paraId="3033D84F" w14:textId="77777777" w:rsidR="00166DB1" w:rsidRPr="0006633E" w:rsidRDefault="00166DB1" w:rsidP="009F66FB">
      <w:pPr>
        <w:pStyle w:val="ListParagraph"/>
        <w:numPr>
          <w:ilvl w:val="0"/>
          <w:numId w:val="24"/>
        </w:numPr>
        <w:tabs>
          <w:tab w:val="num" w:pos="284"/>
        </w:tabs>
        <w:spacing w:before="20" w:after="20"/>
        <w:ind w:left="284" w:hanging="284"/>
        <w:rPr>
          <w:rFonts w:ascii="Garamond" w:eastAsia="Times New Roman" w:hAnsi="Garamond"/>
          <w:color w:val="000000"/>
        </w:rPr>
      </w:pPr>
      <w:r w:rsidRPr="0006633E">
        <w:rPr>
          <w:rFonts w:ascii="Garamond" w:eastAsia="Times New Roman" w:hAnsi="Garamond"/>
          <w:color w:val="000000"/>
        </w:rPr>
        <w:t xml:space="preserve">appropriately credentialed pharmacy technicians be allowed to provide Pharmacist Only Medicines and dispense Prescription Only Medicines under a pharmacist’s supervision through video conference or at remote depots/outstations, and </w:t>
      </w:r>
    </w:p>
    <w:p w14:paraId="4FFE1D00" w14:textId="77777777" w:rsidR="00166DB1" w:rsidRPr="0006633E" w:rsidRDefault="00166DB1" w:rsidP="009F66FB">
      <w:pPr>
        <w:pStyle w:val="ListParagraph"/>
        <w:numPr>
          <w:ilvl w:val="0"/>
          <w:numId w:val="24"/>
        </w:numPr>
        <w:tabs>
          <w:tab w:val="num" w:pos="284"/>
        </w:tabs>
        <w:spacing w:before="20" w:after="20"/>
        <w:ind w:left="284" w:hanging="284"/>
        <w:rPr>
          <w:rFonts w:ascii="Garamond" w:eastAsia="Times New Roman" w:hAnsi="Garamond"/>
          <w:color w:val="000000"/>
        </w:rPr>
      </w:pPr>
      <w:r w:rsidRPr="0006633E">
        <w:rPr>
          <w:rFonts w:ascii="Garamond" w:eastAsia="Times New Roman" w:hAnsi="Garamond"/>
          <w:color w:val="000000"/>
        </w:rPr>
        <w:t>modifications to the requirement for a pharmacist to be present at the pharmacy while open be considered for single-pharmacy locations.</w:t>
      </w:r>
      <w:sdt>
        <w:sdtPr>
          <w:id w:val="-1614204183"/>
          <w:citation/>
        </w:sdtPr>
        <w:sdtEndPr/>
        <w:sdtContent>
          <w:r w:rsidRPr="0006633E">
            <w:rPr>
              <w:rFonts w:ascii="Garamond" w:eastAsia="Times New Roman" w:hAnsi="Garamond"/>
              <w:color w:val="000000"/>
            </w:rPr>
            <w:fldChar w:fldCharType="begin"/>
          </w:r>
          <w:r w:rsidRPr="0006633E">
            <w:rPr>
              <w:rFonts w:ascii="Garamond" w:eastAsia="Times New Roman" w:hAnsi="Garamond"/>
              <w:color w:val="000000"/>
            </w:rPr>
            <w:instrText xml:space="preserve"> CITATION Pha10 \l 3081 </w:instrText>
          </w:r>
          <w:r w:rsidRPr="0006633E">
            <w:rPr>
              <w:rFonts w:ascii="Garamond" w:eastAsia="Times New Roman" w:hAnsi="Garamond"/>
              <w:color w:val="000000"/>
            </w:rPr>
            <w:fldChar w:fldCharType="separate"/>
          </w:r>
          <w:r w:rsidRPr="0006633E">
            <w:rPr>
              <w:rFonts w:ascii="Garamond" w:eastAsia="Times New Roman" w:hAnsi="Garamond"/>
              <w:noProof/>
              <w:color w:val="000000"/>
            </w:rPr>
            <w:t xml:space="preserve"> [7]</w:t>
          </w:r>
          <w:r w:rsidRPr="0006633E">
            <w:rPr>
              <w:rFonts w:ascii="Garamond" w:eastAsia="Times New Roman" w:hAnsi="Garamond"/>
              <w:color w:val="000000"/>
            </w:rPr>
            <w:fldChar w:fldCharType="end"/>
          </w:r>
        </w:sdtContent>
      </w:sdt>
      <w:r w:rsidRPr="0006633E">
        <w:rPr>
          <w:rFonts w:ascii="Garamond" w:eastAsia="Times New Roman" w:hAnsi="Garamond"/>
          <w:color w:val="000000"/>
        </w:rPr>
        <w:t xml:space="preserve"> </w:t>
      </w:r>
    </w:p>
    <w:p w14:paraId="62AB5BB8"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A review of alternative models of service delivery is beyond the scope of this evaluation on pharmacy workforce programs. However, the workforce requirements need to be considered in reviewing existing and emerging alternative models of service delivery. </w:t>
      </w:r>
    </w:p>
    <w:p w14:paraId="62EA9010" w14:textId="209B17F7" w:rsidR="00166DB1" w:rsidRPr="00166DB1" w:rsidRDefault="00166DB1" w:rsidP="00546711">
      <w:pPr>
        <w:pStyle w:val="KeyFinding"/>
        <w:shd w:val="clear" w:color="auto" w:fill="F2F2F2" w:themeFill="background1" w:themeFillShade="F2"/>
      </w:pPr>
      <w:bookmarkStart w:id="122" w:name="_Ref490676772"/>
      <w:r w:rsidRPr="00166DB1">
        <w:t>Alternative models of service delivery, in addition to / or as an alternative, may need to be considered to maximise access to PBS medicines in rural and remote locations.</w:t>
      </w:r>
      <w:bookmarkEnd w:id="122"/>
    </w:p>
    <w:p w14:paraId="5BA59711" w14:textId="10A9B0D5" w:rsidR="00166DB1" w:rsidRPr="00166DB1" w:rsidRDefault="00166DB1" w:rsidP="00B24642">
      <w:pPr>
        <w:pStyle w:val="Heading2"/>
      </w:pPr>
      <w:bookmarkStart w:id="123" w:name="_Toc490574948"/>
      <w:bookmarkStart w:id="124" w:name="_Toc523322085"/>
      <w:r w:rsidRPr="00166DB1">
        <w:t>Options for future development</w:t>
      </w:r>
      <w:bookmarkEnd w:id="123"/>
      <w:bookmarkEnd w:id="124"/>
    </w:p>
    <w:p w14:paraId="7AA15E89" w14:textId="77777777" w:rsidR="00166DB1" w:rsidRPr="00166DB1" w:rsidRDefault="00166DB1" w:rsidP="00CB2141">
      <w:pPr>
        <w:pStyle w:val="BodyCopy"/>
      </w:pPr>
      <w:r w:rsidRPr="00166DB1">
        <w:t xml:space="preserve">Looking at options for future development of the Pharmacy Workforce Program, it is necessary to acknowledge the broader context in which these programs operate, while appreciating the actual benefit they may offer to individual recipients. </w:t>
      </w:r>
    </w:p>
    <w:p w14:paraId="1BB4952C"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Many other concurrently operating programs target improved access to PBS medicines, especially in remote locations. These programs may reduce the need for rural workforce parity with major cities. However, the relationship with these programs was not in-scope for this evaluation. </w:t>
      </w:r>
    </w:p>
    <w:p w14:paraId="79CB85EF"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Based on the evaluation findings of the individual programs (see Volume 2, </w:t>
      </w:r>
      <w:r w:rsidRPr="00166DB1">
        <w:rPr>
          <w:rFonts w:ascii="Garamond" w:eastAsia="Garamond" w:hAnsi="Garamond"/>
          <w:i/>
          <w:color w:val="000000"/>
        </w:rPr>
        <w:t>Detailed Analysis of Workforce Programs</w:t>
      </w:r>
      <w:r w:rsidRPr="00166DB1">
        <w:rPr>
          <w:rFonts w:ascii="Garamond" w:eastAsia="Garamond" w:hAnsi="Garamond"/>
          <w:color w:val="000000"/>
        </w:rPr>
        <w:t>) and of the overall impact of the package components (as discussed in this report), we propose that consideration be given to several options for future development:</w:t>
      </w:r>
    </w:p>
    <w:p w14:paraId="0FDE1092" w14:textId="77777777" w:rsidR="00166DB1" w:rsidRPr="0006633E" w:rsidRDefault="00166DB1" w:rsidP="009F66FB">
      <w:pPr>
        <w:pStyle w:val="ListParagraph"/>
        <w:numPr>
          <w:ilvl w:val="0"/>
          <w:numId w:val="23"/>
        </w:numPr>
        <w:tabs>
          <w:tab w:val="num" w:pos="426"/>
        </w:tabs>
        <w:spacing w:before="20" w:after="20"/>
        <w:ind w:left="426" w:hanging="426"/>
        <w:rPr>
          <w:rFonts w:ascii="Garamond" w:eastAsia="Times New Roman" w:hAnsi="Garamond"/>
          <w:color w:val="000000"/>
        </w:rPr>
      </w:pPr>
      <w:r w:rsidRPr="0006633E">
        <w:rPr>
          <w:rFonts w:ascii="Garamond" w:eastAsia="Times New Roman" w:hAnsi="Garamond"/>
          <w:b/>
          <w:color w:val="000000"/>
        </w:rPr>
        <w:t>Option 1:</w:t>
      </w:r>
      <w:r w:rsidRPr="0006633E">
        <w:rPr>
          <w:rFonts w:ascii="Garamond" w:eastAsia="Times New Roman" w:hAnsi="Garamond"/>
          <w:color w:val="000000"/>
        </w:rPr>
        <w:t xml:space="preserve"> keep existing programs with minor modifications to improve functionality</w:t>
      </w:r>
    </w:p>
    <w:p w14:paraId="552E767F" w14:textId="77777777" w:rsidR="00166DB1" w:rsidRPr="0006633E" w:rsidRDefault="00166DB1" w:rsidP="009F66FB">
      <w:pPr>
        <w:pStyle w:val="ListParagraph"/>
        <w:numPr>
          <w:ilvl w:val="0"/>
          <w:numId w:val="23"/>
        </w:numPr>
        <w:tabs>
          <w:tab w:val="num" w:pos="426"/>
        </w:tabs>
        <w:spacing w:before="20" w:after="20"/>
        <w:ind w:left="426" w:hanging="426"/>
        <w:rPr>
          <w:rFonts w:ascii="Garamond" w:eastAsia="Times New Roman" w:hAnsi="Garamond"/>
          <w:color w:val="000000"/>
        </w:rPr>
      </w:pPr>
      <w:r w:rsidRPr="0006633E">
        <w:rPr>
          <w:rFonts w:ascii="Garamond" w:eastAsia="Times New Roman" w:hAnsi="Garamond"/>
          <w:b/>
          <w:color w:val="000000"/>
        </w:rPr>
        <w:t>Option 2:</w:t>
      </w:r>
      <w:r w:rsidRPr="0006633E">
        <w:rPr>
          <w:rFonts w:ascii="Garamond" w:eastAsia="Times New Roman" w:hAnsi="Garamond"/>
          <w:color w:val="000000"/>
        </w:rPr>
        <w:t xml:space="preserve"> remove PhARIA 1 restrictions to existing programs to improve the Pharmacy Workforce program’s reach in regional areas</w:t>
      </w:r>
    </w:p>
    <w:p w14:paraId="7284CE96" w14:textId="77777777" w:rsidR="00166DB1" w:rsidRPr="0006633E" w:rsidRDefault="00166DB1" w:rsidP="009F66FB">
      <w:pPr>
        <w:pStyle w:val="ListParagraph"/>
        <w:numPr>
          <w:ilvl w:val="0"/>
          <w:numId w:val="23"/>
        </w:numPr>
        <w:tabs>
          <w:tab w:val="num" w:pos="426"/>
        </w:tabs>
        <w:spacing w:before="20" w:after="20"/>
        <w:ind w:left="426" w:hanging="426"/>
        <w:rPr>
          <w:rFonts w:ascii="Garamond" w:eastAsia="Times New Roman" w:hAnsi="Garamond"/>
          <w:color w:val="000000"/>
        </w:rPr>
      </w:pPr>
      <w:r w:rsidRPr="0006633E">
        <w:rPr>
          <w:rFonts w:ascii="Garamond" w:eastAsia="Times New Roman" w:hAnsi="Garamond"/>
          <w:b/>
          <w:color w:val="000000"/>
        </w:rPr>
        <w:t xml:space="preserve">Option 3: </w:t>
      </w:r>
      <w:r w:rsidRPr="0006633E">
        <w:rPr>
          <w:rFonts w:ascii="Garamond" w:eastAsia="Times New Roman" w:hAnsi="Garamond"/>
          <w:color w:val="000000"/>
        </w:rPr>
        <w:t xml:space="preserve">moderate restructure to include additional workforce program types, while retaining some or all of the existing programs, or </w:t>
      </w:r>
    </w:p>
    <w:p w14:paraId="6BF63245" w14:textId="77777777" w:rsidR="00166DB1" w:rsidRPr="0006633E" w:rsidRDefault="00166DB1" w:rsidP="009F66FB">
      <w:pPr>
        <w:pStyle w:val="ListParagraph"/>
        <w:numPr>
          <w:ilvl w:val="0"/>
          <w:numId w:val="23"/>
        </w:numPr>
        <w:tabs>
          <w:tab w:val="num" w:pos="426"/>
        </w:tabs>
        <w:spacing w:before="20" w:after="20"/>
        <w:ind w:left="426" w:hanging="426"/>
        <w:rPr>
          <w:rFonts w:ascii="Garamond" w:eastAsia="Times New Roman" w:hAnsi="Garamond"/>
          <w:color w:val="000000"/>
        </w:rPr>
      </w:pPr>
      <w:r w:rsidRPr="0006633E">
        <w:rPr>
          <w:rFonts w:ascii="Garamond" w:eastAsia="Times New Roman" w:hAnsi="Garamond"/>
          <w:b/>
          <w:color w:val="000000"/>
        </w:rPr>
        <w:t>Option 4:</w:t>
      </w:r>
      <w:r w:rsidRPr="0006633E">
        <w:rPr>
          <w:rFonts w:ascii="Garamond" w:eastAsia="Times New Roman" w:hAnsi="Garamond"/>
          <w:color w:val="000000"/>
        </w:rPr>
        <w:t xml:space="preserve"> major restructure to cease all existing program and use funds to enhance the level of workforce support pharmacists in targeted geographic areas (possibly prioritised on the basis of rurality).</w:t>
      </w:r>
    </w:p>
    <w:p w14:paraId="5EF382EA"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The pros and cons of each are discussed below.</w:t>
      </w:r>
    </w:p>
    <w:p w14:paraId="3EF242F8" w14:textId="23D82893" w:rsidR="00166DB1" w:rsidRPr="00BF753C" w:rsidRDefault="00166DB1" w:rsidP="00BF753C">
      <w:pPr>
        <w:pStyle w:val="ESHeading3"/>
        <w:spacing w:before="120"/>
      </w:pPr>
      <w:bookmarkStart w:id="125" w:name="_Ref488248498"/>
      <w:bookmarkStart w:id="126" w:name="_Toc490574949"/>
      <w:r w:rsidRPr="00BF753C">
        <w:lastRenderedPageBreak/>
        <w:t>Option 1: Minor modifications to existing programs</w:t>
      </w:r>
      <w:bookmarkEnd w:id="125"/>
      <w:bookmarkEnd w:id="126"/>
    </w:p>
    <w:p w14:paraId="6EFFF683"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Data analysis and consultation activities revealed a number of limitations with the programs in their current state. These ranged from program-specific issues including restrictive eligibility criteria, inflexible program rules that hamper or limit program take-up, and administration issues. </w:t>
      </w:r>
    </w:p>
    <w:p w14:paraId="6CA0F84C"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These program-specific options are summarised in </w:t>
      </w:r>
      <w:r w:rsidRPr="00166DB1">
        <w:rPr>
          <w:rFonts w:ascii="Garamond" w:eastAsia="Garamond" w:hAnsi="Garamond"/>
          <w:color w:val="000000"/>
        </w:rPr>
        <w:fldChar w:fldCharType="begin"/>
      </w:r>
      <w:r w:rsidRPr="00166DB1">
        <w:rPr>
          <w:rFonts w:ascii="Garamond" w:eastAsia="Garamond" w:hAnsi="Garamond"/>
          <w:color w:val="000000"/>
        </w:rPr>
        <w:instrText xml:space="preserve"> REF _Ref490585438 \h </w:instrText>
      </w:r>
      <w:r w:rsidRPr="00166DB1">
        <w:rPr>
          <w:rFonts w:ascii="Garamond" w:eastAsia="Garamond" w:hAnsi="Garamond"/>
          <w:color w:val="000000"/>
        </w:rPr>
      </w:r>
      <w:r w:rsidRPr="00166DB1">
        <w:rPr>
          <w:rFonts w:ascii="Garamond" w:eastAsia="Garamond" w:hAnsi="Garamond"/>
          <w:color w:val="000000"/>
        </w:rPr>
        <w:fldChar w:fldCharType="separate"/>
      </w:r>
      <w:r w:rsidRPr="00166DB1">
        <w:rPr>
          <w:rFonts w:ascii="Garamond" w:eastAsia="Garamond" w:hAnsi="Garamond"/>
          <w:color w:val="000000"/>
        </w:rPr>
        <w:t xml:space="preserve">Table </w:t>
      </w:r>
      <w:r w:rsidRPr="00166DB1">
        <w:rPr>
          <w:rFonts w:ascii="Garamond" w:eastAsia="Garamond" w:hAnsi="Garamond"/>
          <w:noProof/>
          <w:color w:val="000000"/>
        </w:rPr>
        <w:t>7</w:t>
      </w:r>
      <w:r w:rsidRPr="00166DB1">
        <w:rPr>
          <w:rFonts w:ascii="Garamond" w:eastAsia="Garamond" w:hAnsi="Garamond"/>
          <w:color w:val="000000"/>
        </w:rPr>
        <w:t>.</w:t>
      </w:r>
      <w:r w:rsidRPr="00166DB1">
        <w:rPr>
          <w:rFonts w:ascii="Garamond" w:eastAsia="Garamond" w:hAnsi="Garamond"/>
          <w:noProof/>
          <w:color w:val="000000"/>
        </w:rPr>
        <w:t>2</w:t>
      </w:r>
      <w:r w:rsidRPr="00166DB1">
        <w:rPr>
          <w:rFonts w:ascii="Garamond" w:eastAsia="Garamond" w:hAnsi="Garamond"/>
          <w:color w:val="000000"/>
        </w:rPr>
        <w:fldChar w:fldCharType="end"/>
      </w:r>
    </w:p>
    <w:p w14:paraId="76626D6C" w14:textId="77777777" w:rsidR="00166DB1" w:rsidRPr="00166DB1" w:rsidRDefault="00166DB1" w:rsidP="00166DB1">
      <w:pPr>
        <w:spacing w:before="85" w:after="85"/>
        <w:rPr>
          <w:rFonts w:ascii="Garamond" w:eastAsia="Garamond" w:hAnsi="Garamond"/>
          <w:color w:val="000000"/>
        </w:rPr>
        <w:sectPr w:rsidR="00166DB1" w:rsidRPr="00166DB1" w:rsidSect="00720069">
          <w:type w:val="continuous"/>
          <w:pgSz w:w="16839" w:h="11907" w:orient="landscape" w:code="9"/>
          <w:pgMar w:top="2268" w:right="1304" w:bottom="850" w:left="737" w:header="567" w:footer="284" w:gutter="0"/>
          <w:cols w:num="2" w:space="709"/>
          <w:docGrid w:linePitch="360"/>
        </w:sectPr>
      </w:pPr>
    </w:p>
    <w:p w14:paraId="390CC524" w14:textId="77777777" w:rsidR="00166DB1" w:rsidRPr="00166DB1" w:rsidRDefault="00166DB1" w:rsidP="00483C21">
      <w:pPr>
        <w:pStyle w:val="Caption"/>
      </w:pPr>
      <w:bookmarkStart w:id="127" w:name="_Ref490585438"/>
      <w:r w:rsidRPr="00166DB1">
        <w:lastRenderedPageBreak/>
        <w:t xml:space="preserve">Table </w:t>
      </w:r>
      <w:r w:rsidRPr="00166DB1">
        <w:rPr>
          <w:noProof/>
        </w:rPr>
        <w:fldChar w:fldCharType="begin"/>
      </w:r>
      <w:r w:rsidRPr="00166DB1">
        <w:rPr>
          <w:noProof/>
        </w:rPr>
        <w:instrText xml:space="preserve"> STYLEREF 1 \s </w:instrText>
      </w:r>
      <w:r w:rsidRPr="00166DB1">
        <w:rPr>
          <w:noProof/>
        </w:rPr>
        <w:fldChar w:fldCharType="separate"/>
      </w:r>
      <w:r w:rsidRPr="00166DB1">
        <w:rPr>
          <w:noProof/>
        </w:rPr>
        <w:t>7</w:t>
      </w:r>
      <w:r w:rsidRPr="00166DB1">
        <w:rPr>
          <w:noProof/>
        </w:rPr>
        <w:fldChar w:fldCharType="end"/>
      </w:r>
      <w:r w:rsidRPr="00166DB1">
        <w:t>.</w:t>
      </w:r>
      <w:r w:rsidRPr="00166DB1">
        <w:rPr>
          <w:noProof/>
        </w:rPr>
        <w:fldChar w:fldCharType="begin"/>
      </w:r>
      <w:r w:rsidRPr="00166DB1">
        <w:rPr>
          <w:noProof/>
        </w:rPr>
        <w:instrText xml:space="preserve"> SEQ Table \* ARABIC \s 1 </w:instrText>
      </w:r>
      <w:r w:rsidRPr="00166DB1">
        <w:rPr>
          <w:noProof/>
        </w:rPr>
        <w:fldChar w:fldCharType="separate"/>
      </w:r>
      <w:r w:rsidRPr="00166DB1">
        <w:rPr>
          <w:noProof/>
        </w:rPr>
        <w:t>2</w:t>
      </w:r>
      <w:r w:rsidRPr="00166DB1">
        <w:rPr>
          <w:noProof/>
        </w:rPr>
        <w:fldChar w:fldCharType="end"/>
      </w:r>
      <w:bookmarkEnd w:id="127"/>
      <w:r w:rsidRPr="00166DB1">
        <w:rPr>
          <w:noProof/>
        </w:rPr>
        <w:t xml:space="preserve">: </w:t>
      </w:r>
      <w:r w:rsidRPr="00166DB1">
        <w:t>Options for improved Pharmacy Workforce Program Operations</w:t>
      </w:r>
    </w:p>
    <w:tbl>
      <w:tblPr>
        <w:tblStyle w:val="HMATable"/>
        <w:tblW w:w="5000" w:type="pct"/>
        <w:tblLook w:val="04A0" w:firstRow="1" w:lastRow="0" w:firstColumn="1" w:lastColumn="0" w:noHBand="0" w:noVBand="1"/>
        <w:tblCaption w:val="Table 7.2: Options for improved Pharmacy Workforce Program Operations"/>
        <w:tblDescription w:val="Table 7.2: Options for improved Pharmacy Workforce Program Operations. Table consists of Programs, Modification suggested for consideration, Pros, Cons, and Expected result."/>
      </w:tblPr>
      <w:tblGrid>
        <w:gridCol w:w="2957"/>
        <w:gridCol w:w="2957"/>
        <w:gridCol w:w="2958"/>
        <w:gridCol w:w="2958"/>
        <w:gridCol w:w="2958"/>
      </w:tblGrid>
      <w:tr w:rsidR="00166DB1" w:rsidRPr="00166DB1" w14:paraId="23F2D75F" w14:textId="77777777" w:rsidTr="0006633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000" w:type="pct"/>
            <w:shd w:val="clear" w:color="auto" w:fill="D9D9D9" w:themeFill="background1" w:themeFillShade="D9"/>
          </w:tcPr>
          <w:p w14:paraId="39F3C820" w14:textId="77777777" w:rsidR="00166DB1" w:rsidRPr="00166DB1" w:rsidRDefault="00166DB1" w:rsidP="0006633E">
            <w:pPr>
              <w:pStyle w:val="TableColumnHeading"/>
            </w:pPr>
            <w:r w:rsidRPr="00166DB1">
              <w:t>Program</w:t>
            </w:r>
          </w:p>
        </w:tc>
        <w:tc>
          <w:tcPr>
            <w:tcW w:w="1000" w:type="pct"/>
            <w:shd w:val="clear" w:color="auto" w:fill="D9D9D9" w:themeFill="background1" w:themeFillShade="D9"/>
          </w:tcPr>
          <w:p w14:paraId="5851497E" w14:textId="77777777" w:rsidR="00166DB1" w:rsidRPr="00166DB1" w:rsidRDefault="00166DB1" w:rsidP="0006633E">
            <w:pPr>
              <w:pStyle w:val="TableColumnHeading"/>
              <w:cnfStyle w:val="100000000000" w:firstRow="1" w:lastRow="0" w:firstColumn="0" w:lastColumn="0" w:oddVBand="0" w:evenVBand="0" w:oddHBand="0" w:evenHBand="0" w:firstRowFirstColumn="0" w:firstRowLastColumn="0" w:lastRowFirstColumn="0" w:lastRowLastColumn="0"/>
            </w:pPr>
            <w:r w:rsidRPr="00166DB1">
              <w:t>Modification suggested for consideration</w:t>
            </w:r>
          </w:p>
        </w:tc>
        <w:tc>
          <w:tcPr>
            <w:tcW w:w="1000" w:type="pct"/>
            <w:shd w:val="clear" w:color="auto" w:fill="D9D9D9" w:themeFill="background1" w:themeFillShade="D9"/>
          </w:tcPr>
          <w:p w14:paraId="417D46C2" w14:textId="77777777" w:rsidR="00166DB1" w:rsidRPr="00166DB1" w:rsidRDefault="00166DB1" w:rsidP="0006633E">
            <w:pPr>
              <w:pStyle w:val="TableColumnHeading"/>
              <w:cnfStyle w:val="100000000000" w:firstRow="1" w:lastRow="0" w:firstColumn="0" w:lastColumn="0" w:oddVBand="0" w:evenVBand="0" w:oddHBand="0" w:evenHBand="0" w:firstRowFirstColumn="0" w:firstRowLastColumn="0" w:lastRowFirstColumn="0" w:lastRowLastColumn="0"/>
            </w:pPr>
            <w:r w:rsidRPr="00166DB1">
              <w:t>Pros</w:t>
            </w:r>
          </w:p>
        </w:tc>
        <w:tc>
          <w:tcPr>
            <w:tcW w:w="1000" w:type="pct"/>
            <w:shd w:val="clear" w:color="auto" w:fill="D9D9D9" w:themeFill="background1" w:themeFillShade="D9"/>
          </w:tcPr>
          <w:p w14:paraId="7E104E19" w14:textId="77777777" w:rsidR="00166DB1" w:rsidRPr="00166DB1" w:rsidRDefault="00166DB1" w:rsidP="0006633E">
            <w:pPr>
              <w:pStyle w:val="TableColumnHeading"/>
              <w:cnfStyle w:val="100000000000" w:firstRow="1" w:lastRow="0" w:firstColumn="0" w:lastColumn="0" w:oddVBand="0" w:evenVBand="0" w:oddHBand="0" w:evenHBand="0" w:firstRowFirstColumn="0" w:firstRowLastColumn="0" w:lastRowFirstColumn="0" w:lastRowLastColumn="0"/>
            </w:pPr>
            <w:r w:rsidRPr="00166DB1">
              <w:t>Cons</w:t>
            </w:r>
          </w:p>
        </w:tc>
        <w:tc>
          <w:tcPr>
            <w:tcW w:w="1000" w:type="pct"/>
            <w:shd w:val="clear" w:color="auto" w:fill="D9D9D9" w:themeFill="background1" w:themeFillShade="D9"/>
          </w:tcPr>
          <w:p w14:paraId="52911C2D" w14:textId="77777777" w:rsidR="00166DB1" w:rsidRPr="00166DB1" w:rsidRDefault="00166DB1" w:rsidP="0006633E">
            <w:pPr>
              <w:pStyle w:val="TableColumnHeading"/>
              <w:cnfStyle w:val="100000000000" w:firstRow="1" w:lastRow="0" w:firstColumn="0" w:lastColumn="0" w:oddVBand="0" w:evenVBand="0" w:oddHBand="0" w:evenHBand="0" w:firstRowFirstColumn="0" w:firstRowLastColumn="0" w:lastRowFirstColumn="0" w:lastRowLastColumn="0"/>
            </w:pPr>
            <w:r w:rsidRPr="00166DB1">
              <w:t>Expected result</w:t>
            </w:r>
          </w:p>
        </w:tc>
      </w:tr>
      <w:tr w:rsidR="00166DB1" w:rsidRPr="00166DB1" w14:paraId="6081EA92" w14:textId="77777777" w:rsidTr="00166DB1">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000000"/>
          </w:tcPr>
          <w:p w14:paraId="363D1601" w14:textId="77777777" w:rsidR="00166DB1" w:rsidRPr="00166DB1" w:rsidRDefault="00166DB1" w:rsidP="0006633E">
            <w:pPr>
              <w:pStyle w:val="Tablesubheading1"/>
            </w:pPr>
            <w:r w:rsidRPr="00166DB1">
              <w:t>Rural Pharmacy Workforce Programs</w:t>
            </w:r>
          </w:p>
        </w:tc>
      </w:tr>
      <w:tr w:rsidR="00166DB1" w:rsidRPr="00166DB1" w14:paraId="53AE9700" w14:textId="77777777" w:rsidTr="0006633E">
        <w:tc>
          <w:tcPr>
            <w:cnfStyle w:val="001000000000" w:firstRow="0" w:lastRow="0" w:firstColumn="1" w:lastColumn="0" w:oddVBand="0" w:evenVBand="0" w:oddHBand="0" w:evenHBand="0" w:firstRowFirstColumn="0" w:firstRowLastColumn="0" w:lastRowFirstColumn="0" w:lastRowLastColumn="0"/>
            <w:tcW w:w="1000" w:type="pct"/>
            <w:vMerge w:val="restart"/>
            <w:shd w:val="clear" w:color="auto" w:fill="F2F2F2" w:themeFill="background1" w:themeFillShade="F2"/>
          </w:tcPr>
          <w:p w14:paraId="7310C471" w14:textId="77777777" w:rsidR="00166DB1" w:rsidRPr="00166DB1" w:rsidRDefault="00166DB1" w:rsidP="0006633E">
            <w:pPr>
              <w:pStyle w:val="TableCopy"/>
            </w:pPr>
            <w:r w:rsidRPr="00166DB1">
              <w:t>Rural Pharmacy Scholarship Scheme</w:t>
            </w:r>
          </w:p>
        </w:tc>
        <w:tc>
          <w:tcPr>
            <w:tcW w:w="1000" w:type="pct"/>
            <w:shd w:val="clear" w:color="auto" w:fill="F2F2F2" w:themeFill="background1" w:themeFillShade="F2"/>
          </w:tcPr>
          <w:p w14:paraId="654D2859" w14:textId="77777777" w:rsidR="00166DB1" w:rsidRPr="00166DB1" w:rsidRDefault="00166DB1" w:rsidP="009B60C3">
            <w:pPr>
              <w:pStyle w:val="TableNumbers1"/>
              <w:cnfStyle w:val="000000000000" w:firstRow="0" w:lastRow="0" w:firstColumn="0" w:lastColumn="0" w:oddVBand="0" w:evenVBand="0" w:oddHBand="0" w:evenHBand="0" w:firstRowFirstColumn="0" w:firstRowLastColumn="0" w:lastRowFirstColumn="0" w:lastRowLastColumn="0"/>
            </w:pPr>
            <w:r w:rsidRPr="00166DB1">
              <w:t>Embed a one-year Return of Service Obligation period in a rural pharmacy for all scholarship recipients.</w:t>
            </w:r>
          </w:p>
        </w:tc>
        <w:tc>
          <w:tcPr>
            <w:tcW w:w="1000" w:type="pct"/>
            <w:shd w:val="clear" w:color="auto" w:fill="F2F2F2" w:themeFill="background1" w:themeFillShade="F2"/>
          </w:tcPr>
          <w:p w14:paraId="5C11BD91"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In line with ‘higher value scholarships’ of the Health Workforce Scholarship Program.</w:t>
            </w:r>
          </w:p>
          <w:p w14:paraId="2FA23859"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Supported by peak body stakeholders and scholars.</w:t>
            </w:r>
          </w:p>
        </w:tc>
        <w:tc>
          <w:tcPr>
            <w:tcW w:w="1000" w:type="pct"/>
            <w:shd w:val="clear" w:color="auto" w:fill="F2F2F2" w:themeFill="background1" w:themeFillShade="F2"/>
          </w:tcPr>
          <w:p w14:paraId="7D586B8C"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Not in line with other scholarship schemes including the Nursing and Allied Health Scholarship and Support Scheme.</w:t>
            </w:r>
          </w:p>
          <w:p w14:paraId="4422C30F"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Not supported by the literature.</w:t>
            </w:r>
          </w:p>
        </w:tc>
        <w:tc>
          <w:tcPr>
            <w:tcW w:w="1000" w:type="pct"/>
            <w:shd w:val="clear" w:color="auto" w:fill="F2F2F2" w:themeFill="background1" w:themeFillShade="F2"/>
          </w:tcPr>
          <w:p w14:paraId="04A1F131"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Increase in the number of scholarship recipients returning to a rural area once qualified, but may not result in a sustained commitment (because of the perceived obligation to comply)</w:t>
            </w:r>
          </w:p>
        </w:tc>
      </w:tr>
      <w:tr w:rsidR="00166DB1" w:rsidRPr="00166DB1" w14:paraId="3821944C" w14:textId="77777777" w:rsidTr="0006633E">
        <w:tc>
          <w:tcPr>
            <w:cnfStyle w:val="001000000000" w:firstRow="0" w:lastRow="0" w:firstColumn="1" w:lastColumn="0" w:oddVBand="0" w:evenVBand="0" w:oddHBand="0" w:evenHBand="0" w:firstRowFirstColumn="0" w:firstRowLastColumn="0" w:lastRowFirstColumn="0" w:lastRowLastColumn="0"/>
            <w:tcW w:w="1000" w:type="pct"/>
            <w:vMerge/>
            <w:shd w:val="clear" w:color="auto" w:fill="F2F2F2" w:themeFill="background1" w:themeFillShade="F2"/>
          </w:tcPr>
          <w:p w14:paraId="6BE3CFA9" w14:textId="77777777" w:rsidR="00166DB1" w:rsidRPr="00166DB1" w:rsidRDefault="00166DB1" w:rsidP="0006633E">
            <w:pPr>
              <w:pStyle w:val="TableCopy"/>
            </w:pPr>
          </w:p>
        </w:tc>
        <w:tc>
          <w:tcPr>
            <w:tcW w:w="1000" w:type="pct"/>
            <w:shd w:val="clear" w:color="auto" w:fill="F2F2F2" w:themeFill="background1" w:themeFillShade="F2"/>
          </w:tcPr>
          <w:p w14:paraId="1DA27F7B" w14:textId="77777777" w:rsidR="00166DB1" w:rsidRPr="00166DB1" w:rsidRDefault="00166DB1" w:rsidP="009B60C3">
            <w:pPr>
              <w:pStyle w:val="TableNumbers1"/>
              <w:cnfStyle w:val="000000000000" w:firstRow="0" w:lastRow="0" w:firstColumn="0" w:lastColumn="0" w:oddVBand="0" w:evenVBand="0" w:oddHBand="0" w:evenHBand="0" w:firstRowFirstColumn="0" w:firstRowLastColumn="0" w:lastRowFirstColumn="0" w:lastRowLastColumn="0"/>
            </w:pPr>
            <w:r w:rsidRPr="00166DB1">
              <w:t>Linking the scholarship to the Intern Incentive Allowance for Rural Pharmacies to guarantee a rural internship for scholarship recipients.</w:t>
            </w:r>
          </w:p>
        </w:tc>
        <w:tc>
          <w:tcPr>
            <w:tcW w:w="1000" w:type="pct"/>
            <w:shd w:val="clear" w:color="auto" w:fill="F2F2F2" w:themeFill="background1" w:themeFillShade="F2"/>
          </w:tcPr>
          <w:p w14:paraId="7E015989"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Increases rural exposure and professional networking for scholarship recipients.</w:t>
            </w:r>
          </w:p>
        </w:tc>
        <w:tc>
          <w:tcPr>
            <w:tcW w:w="1000" w:type="pct"/>
            <w:shd w:val="clear" w:color="auto" w:fill="F2F2F2" w:themeFill="background1" w:themeFillShade="F2"/>
          </w:tcPr>
          <w:p w14:paraId="14D4E465"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Scholarship recipients have rural experience. Intern Incentive may impact more interns if provided to those without rural experience.</w:t>
            </w:r>
          </w:p>
        </w:tc>
        <w:tc>
          <w:tcPr>
            <w:tcW w:w="1000" w:type="pct"/>
            <w:shd w:val="clear" w:color="auto" w:fill="F2F2F2" w:themeFill="background1" w:themeFillShade="F2"/>
          </w:tcPr>
          <w:p w14:paraId="464AA17A"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Possible increase in the number of scholarship recipients remaining in a rural area once qualified.</w:t>
            </w:r>
          </w:p>
        </w:tc>
      </w:tr>
      <w:tr w:rsidR="00166DB1" w:rsidRPr="00166DB1" w14:paraId="52FBC4B3" w14:textId="77777777" w:rsidTr="0006633E">
        <w:tc>
          <w:tcPr>
            <w:cnfStyle w:val="001000000000" w:firstRow="0" w:lastRow="0" w:firstColumn="1" w:lastColumn="0" w:oddVBand="0" w:evenVBand="0" w:oddHBand="0" w:evenHBand="0" w:firstRowFirstColumn="0" w:firstRowLastColumn="0" w:lastRowFirstColumn="0" w:lastRowLastColumn="0"/>
            <w:tcW w:w="1000" w:type="pct"/>
            <w:shd w:val="clear" w:color="auto" w:fill="F2F2F2" w:themeFill="background1" w:themeFillShade="F2"/>
          </w:tcPr>
          <w:p w14:paraId="7B42EC51" w14:textId="77777777" w:rsidR="00166DB1" w:rsidRPr="00166DB1" w:rsidRDefault="00166DB1" w:rsidP="0006633E">
            <w:pPr>
              <w:pStyle w:val="TableCopy"/>
            </w:pPr>
            <w:r w:rsidRPr="00166DB1">
              <w:t>Rural Pharmacy Scholarship Mentor Scheme</w:t>
            </w:r>
          </w:p>
        </w:tc>
        <w:tc>
          <w:tcPr>
            <w:tcW w:w="1000" w:type="pct"/>
            <w:shd w:val="clear" w:color="auto" w:fill="F2F2F2" w:themeFill="background1" w:themeFillShade="F2"/>
          </w:tcPr>
          <w:p w14:paraId="5170CEEB" w14:textId="77777777" w:rsidR="00166DB1" w:rsidRPr="00166DB1" w:rsidRDefault="00166DB1" w:rsidP="009B60C3">
            <w:pPr>
              <w:pStyle w:val="TableNumbers1"/>
              <w:cnfStyle w:val="000000000000" w:firstRow="0" w:lastRow="0" w:firstColumn="0" w:lastColumn="0" w:oddVBand="0" w:evenVBand="0" w:oddHBand="0" w:evenHBand="0" w:firstRowFirstColumn="0" w:firstRowLastColumn="0" w:lastRowFirstColumn="0" w:lastRowLastColumn="0"/>
            </w:pPr>
            <w:r w:rsidRPr="00166DB1">
              <w:t xml:space="preserve">Linking the Mentor Scheme with the Intern Incentive Allowance for Rural Pharmacies to support mentors being able to offer placements to scholarship recipients. </w:t>
            </w:r>
          </w:p>
        </w:tc>
        <w:tc>
          <w:tcPr>
            <w:tcW w:w="1000" w:type="pct"/>
            <w:shd w:val="clear" w:color="auto" w:fill="F2F2F2" w:themeFill="background1" w:themeFillShade="F2"/>
          </w:tcPr>
          <w:p w14:paraId="6FBEF1FF"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As above</w:t>
            </w:r>
          </w:p>
          <w:p w14:paraId="0B56C1AB"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 xml:space="preserve">Improved capacity to track the future internship and practice locations of scholarship recipients. </w:t>
            </w:r>
          </w:p>
        </w:tc>
        <w:tc>
          <w:tcPr>
            <w:tcW w:w="1000" w:type="pct"/>
            <w:shd w:val="clear" w:color="auto" w:fill="F2F2F2" w:themeFill="background1" w:themeFillShade="F2"/>
          </w:tcPr>
          <w:p w14:paraId="1A5084AE"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As above</w:t>
            </w:r>
          </w:p>
        </w:tc>
        <w:tc>
          <w:tcPr>
            <w:tcW w:w="1000" w:type="pct"/>
            <w:shd w:val="clear" w:color="auto" w:fill="F2F2F2" w:themeFill="background1" w:themeFillShade="F2"/>
          </w:tcPr>
          <w:p w14:paraId="1DFECC99"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As above</w:t>
            </w:r>
          </w:p>
        </w:tc>
      </w:tr>
      <w:tr w:rsidR="00166DB1" w:rsidRPr="00166DB1" w14:paraId="1CF3A0B0" w14:textId="77777777" w:rsidTr="0006633E">
        <w:tc>
          <w:tcPr>
            <w:cnfStyle w:val="001000000000" w:firstRow="0" w:lastRow="0" w:firstColumn="1" w:lastColumn="0" w:oddVBand="0" w:evenVBand="0" w:oddHBand="0" w:evenHBand="0" w:firstRowFirstColumn="0" w:firstRowLastColumn="0" w:lastRowFirstColumn="0" w:lastRowLastColumn="0"/>
            <w:tcW w:w="1000" w:type="pct"/>
            <w:vMerge w:val="restart"/>
            <w:shd w:val="clear" w:color="auto" w:fill="F2F2F2" w:themeFill="background1" w:themeFillShade="F2"/>
          </w:tcPr>
          <w:p w14:paraId="1FB5ECEF" w14:textId="77777777" w:rsidR="00166DB1" w:rsidRPr="00166DB1" w:rsidRDefault="00166DB1" w:rsidP="0006633E">
            <w:pPr>
              <w:pStyle w:val="TableCopy"/>
            </w:pPr>
            <w:r w:rsidRPr="00166DB1">
              <w:t>Rural Intern Training Allowance</w:t>
            </w:r>
          </w:p>
        </w:tc>
        <w:tc>
          <w:tcPr>
            <w:tcW w:w="1000" w:type="pct"/>
            <w:shd w:val="clear" w:color="auto" w:fill="F2F2F2" w:themeFill="background1" w:themeFillShade="F2"/>
          </w:tcPr>
          <w:p w14:paraId="214F4180" w14:textId="77777777" w:rsidR="00166DB1" w:rsidRPr="00166DB1" w:rsidRDefault="00166DB1" w:rsidP="009B60C3">
            <w:pPr>
              <w:pStyle w:val="TableNumbers1"/>
              <w:cnfStyle w:val="000000000000" w:firstRow="0" w:lastRow="0" w:firstColumn="0" w:lastColumn="0" w:oddVBand="0" w:evenVBand="0" w:oddHBand="0" w:evenHBand="0" w:firstRowFirstColumn="0" w:firstRowLastColumn="0" w:lastRowFirstColumn="0" w:lastRowLastColumn="0"/>
            </w:pPr>
            <w:r w:rsidRPr="00166DB1">
              <w:t>Removal of the 500-kilometre cap on funded distance travelled.</w:t>
            </w:r>
          </w:p>
        </w:tc>
        <w:tc>
          <w:tcPr>
            <w:tcW w:w="1000" w:type="pct"/>
            <w:shd w:val="clear" w:color="auto" w:fill="F2F2F2" w:themeFill="background1" w:themeFillShade="F2"/>
          </w:tcPr>
          <w:p w14:paraId="78909992"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Removes disadvantage experienced by remote interns who cannot afford / choose not to purchase airfares to attend training.</w:t>
            </w:r>
          </w:p>
          <w:p w14:paraId="5E608094"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Supported by interns.</w:t>
            </w:r>
          </w:p>
        </w:tc>
        <w:tc>
          <w:tcPr>
            <w:tcW w:w="1000" w:type="pct"/>
            <w:shd w:val="clear" w:color="auto" w:fill="F2F2F2" w:themeFill="background1" w:themeFillShade="F2"/>
          </w:tcPr>
          <w:p w14:paraId="3731A86D"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Increased claims and potentially higher outlays per claim</w:t>
            </w:r>
          </w:p>
        </w:tc>
        <w:tc>
          <w:tcPr>
            <w:tcW w:w="1000" w:type="pct"/>
            <w:shd w:val="clear" w:color="auto" w:fill="F2F2F2" w:themeFill="background1" w:themeFillShade="F2"/>
          </w:tcPr>
          <w:p w14:paraId="07171E57"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 xml:space="preserve">Increased support for remote interns. </w:t>
            </w:r>
          </w:p>
        </w:tc>
      </w:tr>
      <w:tr w:rsidR="00166DB1" w:rsidRPr="00166DB1" w14:paraId="7D16DECA" w14:textId="77777777" w:rsidTr="0006633E">
        <w:tc>
          <w:tcPr>
            <w:cnfStyle w:val="001000000000" w:firstRow="0" w:lastRow="0" w:firstColumn="1" w:lastColumn="0" w:oddVBand="0" w:evenVBand="0" w:oddHBand="0" w:evenHBand="0" w:firstRowFirstColumn="0" w:firstRowLastColumn="0" w:lastRowFirstColumn="0" w:lastRowLastColumn="0"/>
            <w:tcW w:w="1000" w:type="pct"/>
            <w:vMerge/>
            <w:shd w:val="clear" w:color="auto" w:fill="F2F2F2" w:themeFill="background1" w:themeFillShade="F2"/>
          </w:tcPr>
          <w:p w14:paraId="49683270" w14:textId="77777777" w:rsidR="00166DB1" w:rsidRPr="00166DB1" w:rsidRDefault="00166DB1" w:rsidP="0006633E">
            <w:pPr>
              <w:pStyle w:val="TableCopy"/>
            </w:pPr>
          </w:p>
        </w:tc>
        <w:tc>
          <w:tcPr>
            <w:tcW w:w="1000" w:type="pct"/>
            <w:shd w:val="clear" w:color="auto" w:fill="F2F2F2" w:themeFill="background1" w:themeFillShade="F2"/>
          </w:tcPr>
          <w:p w14:paraId="3D63DCDD" w14:textId="77777777" w:rsidR="00166DB1" w:rsidRPr="00166DB1" w:rsidRDefault="00166DB1" w:rsidP="009B60C3">
            <w:pPr>
              <w:pStyle w:val="TableNumbers1"/>
              <w:cnfStyle w:val="000000000000" w:firstRow="0" w:lastRow="0" w:firstColumn="0" w:lastColumn="0" w:oddVBand="0" w:evenVBand="0" w:oddHBand="0" w:evenHBand="0" w:firstRowFirstColumn="0" w:firstRowLastColumn="0" w:lastRowFirstColumn="0" w:lastRowLastColumn="0"/>
            </w:pPr>
            <w:r w:rsidRPr="00166DB1">
              <w:t>Providing a tiered stipend for intern travel rather than reimbursement.</w:t>
            </w:r>
          </w:p>
        </w:tc>
        <w:tc>
          <w:tcPr>
            <w:tcW w:w="1000" w:type="pct"/>
            <w:shd w:val="clear" w:color="auto" w:fill="F2F2F2" w:themeFill="background1" w:themeFillShade="F2"/>
          </w:tcPr>
          <w:p w14:paraId="3B1CCC86"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Reduces out of pocket expenses for interns on a low wage.</w:t>
            </w:r>
          </w:p>
          <w:p w14:paraId="5ADEFA08"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 xml:space="preserve">Acknowledges increasing costs with increasing remoteness. </w:t>
            </w:r>
          </w:p>
          <w:p w14:paraId="372AFE71"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 xml:space="preserve">Does not significantly increase administration burden or cost. </w:t>
            </w:r>
          </w:p>
          <w:p w14:paraId="0770005C"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Supported by interns.</w:t>
            </w:r>
          </w:p>
        </w:tc>
        <w:tc>
          <w:tcPr>
            <w:tcW w:w="1000" w:type="pct"/>
            <w:shd w:val="clear" w:color="auto" w:fill="F2F2F2" w:themeFill="background1" w:themeFillShade="F2"/>
          </w:tcPr>
          <w:p w14:paraId="6ECA6B96"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May increase the overall program cost as interns in more remote areas will require more funding.</w:t>
            </w:r>
          </w:p>
        </w:tc>
        <w:tc>
          <w:tcPr>
            <w:tcW w:w="1000" w:type="pct"/>
            <w:shd w:val="clear" w:color="auto" w:fill="F2F2F2" w:themeFill="background1" w:themeFillShade="F2"/>
          </w:tcPr>
          <w:p w14:paraId="668E5319"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 xml:space="preserve">Improved support for interns, especially in remote locations. </w:t>
            </w:r>
          </w:p>
        </w:tc>
      </w:tr>
      <w:tr w:rsidR="00166DB1" w:rsidRPr="00166DB1" w14:paraId="0FD8A811" w14:textId="77777777" w:rsidTr="0006633E">
        <w:tc>
          <w:tcPr>
            <w:cnfStyle w:val="001000000000" w:firstRow="0" w:lastRow="0" w:firstColumn="1" w:lastColumn="0" w:oddVBand="0" w:evenVBand="0" w:oddHBand="0" w:evenHBand="0" w:firstRowFirstColumn="0" w:firstRowLastColumn="0" w:lastRowFirstColumn="0" w:lastRowLastColumn="0"/>
            <w:tcW w:w="1000" w:type="pct"/>
            <w:vMerge w:val="restart"/>
            <w:shd w:val="clear" w:color="auto" w:fill="F2F2F2" w:themeFill="background1" w:themeFillShade="F2"/>
          </w:tcPr>
          <w:p w14:paraId="716DDD1F" w14:textId="77777777" w:rsidR="00166DB1" w:rsidRPr="00166DB1" w:rsidRDefault="00166DB1" w:rsidP="0006633E">
            <w:pPr>
              <w:pStyle w:val="TableCopy"/>
            </w:pPr>
            <w:r w:rsidRPr="00166DB1">
              <w:t>Rural Pharmacy Student Placement Allowance</w:t>
            </w:r>
          </w:p>
        </w:tc>
        <w:tc>
          <w:tcPr>
            <w:tcW w:w="1000" w:type="pct"/>
            <w:shd w:val="clear" w:color="auto" w:fill="F2F2F2" w:themeFill="background1" w:themeFillShade="F2"/>
          </w:tcPr>
          <w:p w14:paraId="1EC8E447" w14:textId="77777777" w:rsidR="00166DB1" w:rsidRPr="00166DB1" w:rsidRDefault="00166DB1" w:rsidP="009B60C3">
            <w:pPr>
              <w:pStyle w:val="TableNumbers1"/>
              <w:cnfStyle w:val="000000000000" w:firstRow="0" w:lastRow="0" w:firstColumn="0" w:lastColumn="0" w:oddVBand="0" w:evenVBand="0" w:oddHBand="0" w:evenHBand="0" w:firstRowFirstColumn="0" w:firstRowLastColumn="0" w:lastRowFirstColumn="0" w:lastRowLastColumn="0"/>
            </w:pPr>
            <w:r w:rsidRPr="00166DB1">
              <w:t>Increased regularity of the timing of program funding (i.e. at the start of the calendar year).</w:t>
            </w:r>
          </w:p>
        </w:tc>
        <w:tc>
          <w:tcPr>
            <w:tcW w:w="1000" w:type="pct"/>
            <w:shd w:val="clear" w:color="auto" w:fill="F2F2F2" w:themeFill="background1" w:themeFillShade="F2"/>
          </w:tcPr>
          <w:p w14:paraId="1BEA2E91"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Universities receive funding in a timely manner to inform the number of placements offered.</w:t>
            </w:r>
          </w:p>
          <w:p w14:paraId="0209420D"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lastRenderedPageBreak/>
              <w:t>Students do not miss out on funding.</w:t>
            </w:r>
          </w:p>
          <w:p w14:paraId="3837AA3D"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Supported by placement coordinators.</w:t>
            </w:r>
          </w:p>
        </w:tc>
        <w:tc>
          <w:tcPr>
            <w:tcW w:w="1000" w:type="pct"/>
            <w:shd w:val="clear" w:color="auto" w:fill="F2F2F2" w:themeFill="background1" w:themeFillShade="F2"/>
          </w:tcPr>
          <w:p w14:paraId="4A8AC4DF"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lastRenderedPageBreak/>
              <w:t>None identified.</w:t>
            </w:r>
          </w:p>
        </w:tc>
        <w:tc>
          <w:tcPr>
            <w:tcW w:w="1000" w:type="pct"/>
            <w:shd w:val="clear" w:color="auto" w:fill="F2F2F2" w:themeFill="background1" w:themeFillShade="F2"/>
          </w:tcPr>
          <w:p w14:paraId="48AF8045"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Improved program delivery within contracted universities.</w:t>
            </w:r>
          </w:p>
        </w:tc>
      </w:tr>
      <w:tr w:rsidR="00166DB1" w:rsidRPr="00166DB1" w14:paraId="29200139" w14:textId="77777777" w:rsidTr="0006633E">
        <w:tc>
          <w:tcPr>
            <w:cnfStyle w:val="001000000000" w:firstRow="0" w:lastRow="0" w:firstColumn="1" w:lastColumn="0" w:oddVBand="0" w:evenVBand="0" w:oddHBand="0" w:evenHBand="0" w:firstRowFirstColumn="0" w:firstRowLastColumn="0" w:lastRowFirstColumn="0" w:lastRowLastColumn="0"/>
            <w:tcW w:w="1000" w:type="pct"/>
            <w:vMerge/>
          </w:tcPr>
          <w:p w14:paraId="05B45538" w14:textId="77777777" w:rsidR="00166DB1" w:rsidRPr="00166DB1" w:rsidRDefault="00166DB1" w:rsidP="00166DB1">
            <w:pPr>
              <w:spacing w:line="240" w:lineRule="atLeast"/>
              <w:ind w:left="57" w:right="57"/>
              <w:rPr>
                <w:rFonts w:eastAsia="Garamond"/>
                <w:color w:val="000000"/>
              </w:rPr>
            </w:pPr>
          </w:p>
        </w:tc>
        <w:tc>
          <w:tcPr>
            <w:tcW w:w="1000" w:type="pct"/>
            <w:shd w:val="clear" w:color="auto" w:fill="F2F2F2" w:themeFill="background1" w:themeFillShade="F2"/>
          </w:tcPr>
          <w:p w14:paraId="7235EBEE" w14:textId="77777777" w:rsidR="00166DB1" w:rsidRPr="00166DB1" w:rsidRDefault="00166DB1" w:rsidP="009B60C3">
            <w:pPr>
              <w:pStyle w:val="TableNumbers1"/>
              <w:cnfStyle w:val="000000000000" w:firstRow="0" w:lastRow="0" w:firstColumn="0" w:lastColumn="0" w:oddVBand="0" w:evenVBand="0" w:oddHBand="0" w:evenHBand="0" w:firstRowFirstColumn="0" w:firstRowLastColumn="0" w:lastRowFirstColumn="0" w:lastRowLastColumn="0"/>
            </w:pPr>
            <w:r w:rsidRPr="00166DB1">
              <w:t xml:space="preserve">Allowance for students undertaking longer placements (e.g. 6 weeks or more) to access funding in excess of the </w:t>
            </w:r>
            <w:r w:rsidRPr="00D3633D">
              <w:t>$</w:t>
            </w:r>
            <w:r w:rsidRPr="00166DB1">
              <w:t>3,000 cap.</w:t>
            </w:r>
          </w:p>
        </w:tc>
        <w:tc>
          <w:tcPr>
            <w:tcW w:w="1000" w:type="pct"/>
            <w:shd w:val="clear" w:color="auto" w:fill="F2F2F2" w:themeFill="background1" w:themeFillShade="F2"/>
          </w:tcPr>
          <w:p w14:paraId="19A8F835"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Increased student capacity to undertake longer placements.</w:t>
            </w:r>
          </w:p>
          <w:p w14:paraId="0246CEB7"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Longer placements increase rural exposure, which is associated with increased intention to practise rurally.</w:t>
            </w:r>
          </w:p>
          <w:p w14:paraId="71750491"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Supported by students, RPLOs and placement coordinators.</w:t>
            </w:r>
          </w:p>
        </w:tc>
        <w:tc>
          <w:tcPr>
            <w:tcW w:w="1000" w:type="pct"/>
            <w:shd w:val="clear" w:color="auto" w:fill="F2F2F2" w:themeFill="background1" w:themeFillShade="F2"/>
          </w:tcPr>
          <w:p w14:paraId="313D1076"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May increase the total program cost, as students undertaking longer placements will require additional funding.</w:t>
            </w:r>
          </w:p>
        </w:tc>
        <w:tc>
          <w:tcPr>
            <w:tcW w:w="1000" w:type="pct"/>
            <w:shd w:val="clear" w:color="auto" w:fill="F2F2F2" w:themeFill="background1" w:themeFillShade="F2"/>
          </w:tcPr>
          <w:p w14:paraId="0EAD4AEC"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Improved support for students on longer placements.</w:t>
            </w:r>
          </w:p>
        </w:tc>
      </w:tr>
      <w:tr w:rsidR="00166DB1" w:rsidRPr="00166DB1" w14:paraId="784FD7B8" w14:textId="77777777" w:rsidTr="0006633E">
        <w:tc>
          <w:tcPr>
            <w:cnfStyle w:val="001000000000" w:firstRow="0" w:lastRow="0" w:firstColumn="1" w:lastColumn="0" w:oddVBand="0" w:evenVBand="0" w:oddHBand="0" w:evenHBand="0" w:firstRowFirstColumn="0" w:firstRowLastColumn="0" w:lastRowFirstColumn="0" w:lastRowLastColumn="0"/>
            <w:tcW w:w="1000" w:type="pct"/>
            <w:vMerge w:val="restart"/>
            <w:shd w:val="clear" w:color="auto" w:fill="F2F2F2" w:themeFill="background1" w:themeFillShade="F2"/>
          </w:tcPr>
          <w:p w14:paraId="4BDBB81B" w14:textId="77777777" w:rsidR="00166DB1" w:rsidRPr="00166DB1" w:rsidRDefault="00166DB1" w:rsidP="0006633E">
            <w:pPr>
              <w:pStyle w:val="TableCopy"/>
            </w:pPr>
            <w:r w:rsidRPr="00166DB1">
              <w:t>Continuing Professional Educational Allowance</w:t>
            </w:r>
          </w:p>
        </w:tc>
        <w:tc>
          <w:tcPr>
            <w:tcW w:w="1000" w:type="pct"/>
            <w:shd w:val="clear" w:color="auto" w:fill="F2F2F2" w:themeFill="background1" w:themeFillShade="F2"/>
          </w:tcPr>
          <w:p w14:paraId="4732B9D3" w14:textId="77777777" w:rsidR="00166DB1" w:rsidRPr="00166DB1" w:rsidRDefault="00166DB1" w:rsidP="009B60C3">
            <w:pPr>
              <w:pStyle w:val="TableNumbers1"/>
              <w:cnfStyle w:val="000000000000" w:firstRow="0" w:lastRow="0" w:firstColumn="0" w:lastColumn="0" w:oddVBand="0" w:evenVBand="0" w:oddHBand="0" w:evenHBand="0" w:firstRowFirstColumn="0" w:firstRowLastColumn="0" w:lastRowFirstColumn="0" w:lastRowLastColumn="0"/>
            </w:pPr>
            <w:r w:rsidRPr="00166DB1">
              <w:t>Simplifying the application process.</w:t>
            </w:r>
          </w:p>
        </w:tc>
        <w:tc>
          <w:tcPr>
            <w:tcW w:w="1000" w:type="pct"/>
            <w:shd w:val="clear" w:color="auto" w:fill="F2F2F2" w:themeFill="background1" w:themeFillShade="F2"/>
          </w:tcPr>
          <w:p w14:paraId="000FC194"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Supported by pharmacists.</w:t>
            </w:r>
          </w:p>
          <w:p w14:paraId="7781E9C8"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May reduce administration burden for The Guild.</w:t>
            </w:r>
          </w:p>
        </w:tc>
        <w:tc>
          <w:tcPr>
            <w:tcW w:w="1000" w:type="pct"/>
            <w:shd w:val="clear" w:color="auto" w:fill="F2F2F2" w:themeFill="background1" w:themeFillShade="F2"/>
          </w:tcPr>
          <w:p w14:paraId="4DF2A581"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 xml:space="preserve">Will require revision of the online application portal and existing protocols which may be costly and time-consuming for The Guild. </w:t>
            </w:r>
          </w:p>
        </w:tc>
        <w:tc>
          <w:tcPr>
            <w:tcW w:w="1000" w:type="pct"/>
            <w:shd w:val="clear" w:color="auto" w:fill="F2F2F2" w:themeFill="background1" w:themeFillShade="F2"/>
          </w:tcPr>
          <w:p w14:paraId="70C4131D"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Improved support for pharmacists accessing CPE.</w:t>
            </w:r>
          </w:p>
          <w:p w14:paraId="2D1E23CA"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Increase in demand for CPE Allowances.</w:t>
            </w:r>
          </w:p>
        </w:tc>
      </w:tr>
      <w:tr w:rsidR="00166DB1" w:rsidRPr="00166DB1" w14:paraId="333D0A8A" w14:textId="77777777" w:rsidTr="0006633E">
        <w:tc>
          <w:tcPr>
            <w:cnfStyle w:val="001000000000" w:firstRow="0" w:lastRow="0" w:firstColumn="1" w:lastColumn="0" w:oddVBand="0" w:evenVBand="0" w:oddHBand="0" w:evenHBand="0" w:firstRowFirstColumn="0" w:firstRowLastColumn="0" w:lastRowFirstColumn="0" w:lastRowLastColumn="0"/>
            <w:tcW w:w="1000" w:type="pct"/>
            <w:vMerge/>
            <w:shd w:val="clear" w:color="auto" w:fill="F2F2F2" w:themeFill="background1" w:themeFillShade="F2"/>
          </w:tcPr>
          <w:p w14:paraId="2A1397CB" w14:textId="77777777" w:rsidR="00166DB1" w:rsidRPr="00166DB1" w:rsidRDefault="00166DB1" w:rsidP="0006633E">
            <w:pPr>
              <w:pStyle w:val="TableCopy"/>
            </w:pPr>
          </w:p>
        </w:tc>
        <w:tc>
          <w:tcPr>
            <w:tcW w:w="1000" w:type="pct"/>
            <w:shd w:val="clear" w:color="auto" w:fill="F2F2F2" w:themeFill="background1" w:themeFillShade="F2"/>
          </w:tcPr>
          <w:p w14:paraId="4CB31A97" w14:textId="77777777" w:rsidR="00166DB1" w:rsidRPr="00166DB1" w:rsidRDefault="00166DB1" w:rsidP="009B60C3">
            <w:pPr>
              <w:pStyle w:val="TableNumbers1"/>
              <w:cnfStyle w:val="000000000000" w:firstRow="0" w:lastRow="0" w:firstColumn="0" w:lastColumn="0" w:oddVBand="0" w:evenVBand="0" w:oddHBand="0" w:evenHBand="0" w:firstRowFirstColumn="0" w:firstRowLastColumn="0" w:lastRowFirstColumn="0" w:lastRowLastColumn="0"/>
            </w:pPr>
            <w:r w:rsidRPr="00166DB1">
              <w:t>Inclusion of an allowance to help cover locum travel or wages to help the pharmacist attend CPE.</w:t>
            </w:r>
          </w:p>
        </w:tc>
        <w:tc>
          <w:tcPr>
            <w:tcW w:w="1000" w:type="pct"/>
            <w:shd w:val="clear" w:color="auto" w:fill="F2F2F2" w:themeFill="background1" w:themeFillShade="F2"/>
          </w:tcPr>
          <w:p w14:paraId="0E0FF683"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Supported by pharmacists ‘on the ground’</w:t>
            </w:r>
          </w:p>
          <w:p w14:paraId="1570C966"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May be addressed by changes to the Emergency Locum Service eligibility criteria.</w:t>
            </w:r>
          </w:p>
        </w:tc>
        <w:tc>
          <w:tcPr>
            <w:tcW w:w="1000" w:type="pct"/>
            <w:shd w:val="clear" w:color="auto" w:fill="F2F2F2" w:themeFill="background1" w:themeFillShade="F2"/>
          </w:tcPr>
          <w:p w14:paraId="22EAFE50"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May increase the cost of the program.</w:t>
            </w:r>
          </w:p>
        </w:tc>
        <w:tc>
          <w:tcPr>
            <w:tcW w:w="1000" w:type="pct"/>
            <w:shd w:val="clear" w:color="auto" w:fill="F2F2F2" w:themeFill="background1" w:themeFillShade="F2"/>
          </w:tcPr>
          <w:p w14:paraId="2C2AF5A4"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As above.</w:t>
            </w:r>
          </w:p>
          <w:p w14:paraId="071E5F5C"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Increased demand for the Emergency Locum Service.</w:t>
            </w:r>
          </w:p>
        </w:tc>
      </w:tr>
      <w:tr w:rsidR="00166DB1" w:rsidRPr="00166DB1" w14:paraId="4C9B105A" w14:textId="77777777" w:rsidTr="0006633E">
        <w:tc>
          <w:tcPr>
            <w:cnfStyle w:val="001000000000" w:firstRow="0" w:lastRow="0" w:firstColumn="1" w:lastColumn="0" w:oddVBand="0" w:evenVBand="0" w:oddHBand="0" w:evenHBand="0" w:firstRowFirstColumn="0" w:firstRowLastColumn="0" w:lastRowFirstColumn="0" w:lastRowLastColumn="0"/>
            <w:tcW w:w="1000" w:type="pct"/>
            <w:vMerge/>
            <w:shd w:val="clear" w:color="auto" w:fill="F2F2F2" w:themeFill="background1" w:themeFillShade="F2"/>
          </w:tcPr>
          <w:p w14:paraId="47CA19DD" w14:textId="77777777" w:rsidR="00166DB1" w:rsidRPr="00166DB1" w:rsidRDefault="00166DB1" w:rsidP="0006633E">
            <w:pPr>
              <w:pStyle w:val="TableCopy"/>
            </w:pPr>
          </w:p>
        </w:tc>
        <w:tc>
          <w:tcPr>
            <w:tcW w:w="1000" w:type="pct"/>
            <w:shd w:val="clear" w:color="auto" w:fill="F2F2F2" w:themeFill="background1" w:themeFillShade="F2"/>
          </w:tcPr>
          <w:p w14:paraId="2F4F02EF" w14:textId="77777777" w:rsidR="00166DB1" w:rsidRPr="00166DB1" w:rsidRDefault="00166DB1" w:rsidP="009B60C3">
            <w:pPr>
              <w:pStyle w:val="TableNumbers1"/>
              <w:cnfStyle w:val="000000000000" w:firstRow="0" w:lastRow="0" w:firstColumn="0" w:lastColumn="0" w:oddVBand="0" w:evenVBand="0" w:oddHBand="0" w:evenHBand="0" w:firstRowFirstColumn="0" w:firstRowLastColumn="0" w:lastRowFirstColumn="0" w:lastRowLastColumn="0"/>
            </w:pPr>
            <w:r w:rsidRPr="00166DB1">
              <w:t>Providing tiered funding caps to distribute more funding to remote pharmacists.</w:t>
            </w:r>
          </w:p>
        </w:tc>
        <w:tc>
          <w:tcPr>
            <w:tcW w:w="1000" w:type="pct"/>
            <w:shd w:val="clear" w:color="auto" w:fill="F2F2F2" w:themeFill="background1" w:themeFillShade="F2"/>
          </w:tcPr>
          <w:p w14:paraId="053067E4"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Supported by pharmacists.</w:t>
            </w:r>
          </w:p>
          <w:p w14:paraId="2D0E39DF"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Acknowledges increasing costs with increasing remoteness.</w:t>
            </w:r>
          </w:p>
        </w:tc>
        <w:tc>
          <w:tcPr>
            <w:tcW w:w="1000" w:type="pct"/>
            <w:shd w:val="clear" w:color="auto" w:fill="F2F2F2" w:themeFill="background1" w:themeFillShade="F2"/>
          </w:tcPr>
          <w:p w14:paraId="15CEE1A7"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 xml:space="preserve">May increase the cost of the program. </w:t>
            </w:r>
          </w:p>
        </w:tc>
        <w:tc>
          <w:tcPr>
            <w:tcW w:w="1000" w:type="pct"/>
            <w:shd w:val="clear" w:color="auto" w:fill="F2F2F2" w:themeFill="background1" w:themeFillShade="F2"/>
          </w:tcPr>
          <w:p w14:paraId="3CB37BA4"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Improved support for remote pharmacists accessing the CPE program</w:t>
            </w:r>
          </w:p>
        </w:tc>
      </w:tr>
      <w:tr w:rsidR="00166DB1" w:rsidRPr="00166DB1" w14:paraId="7C19B426" w14:textId="77777777" w:rsidTr="0006633E">
        <w:tc>
          <w:tcPr>
            <w:cnfStyle w:val="001000000000" w:firstRow="0" w:lastRow="0" w:firstColumn="1" w:lastColumn="0" w:oddVBand="0" w:evenVBand="0" w:oddHBand="0" w:evenHBand="0" w:firstRowFirstColumn="0" w:firstRowLastColumn="0" w:lastRowFirstColumn="0" w:lastRowLastColumn="0"/>
            <w:tcW w:w="1000" w:type="pct"/>
            <w:vMerge/>
            <w:shd w:val="clear" w:color="auto" w:fill="F2F2F2" w:themeFill="background1" w:themeFillShade="F2"/>
          </w:tcPr>
          <w:p w14:paraId="73CF3B5D" w14:textId="77777777" w:rsidR="00166DB1" w:rsidRPr="00166DB1" w:rsidRDefault="00166DB1" w:rsidP="0006633E">
            <w:pPr>
              <w:pStyle w:val="TableCopy"/>
            </w:pPr>
          </w:p>
        </w:tc>
        <w:tc>
          <w:tcPr>
            <w:tcW w:w="1000" w:type="pct"/>
            <w:shd w:val="clear" w:color="auto" w:fill="F2F2F2" w:themeFill="background1" w:themeFillShade="F2"/>
          </w:tcPr>
          <w:p w14:paraId="7025437C" w14:textId="77777777" w:rsidR="00166DB1" w:rsidRPr="00166DB1" w:rsidRDefault="00166DB1" w:rsidP="009B60C3">
            <w:pPr>
              <w:pStyle w:val="TableNumbers1"/>
              <w:cnfStyle w:val="000000000000" w:firstRow="0" w:lastRow="0" w:firstColumn="0" w:lastColumn="0" w:oddVBand="0" w:evenVBand="0" w:oddHBand="0" w:evenHBand="0" w:firstRowFirstColumn="0" w:firstRowLastColumn="0" w:lastRowFirstColumn="0" w:lastRowLastColumn="0"/>
            </w:pPr>
            <w:r w:rsidRPr="00166DB1">
              <w:t>Providing CPE Allowance as an upfront per diem rather than as a cost-reimbursement.</w:t>
            </w:r>
          </w:p>
        </w:tc>
        <w:tc>
          <w:tcPr>
            <w:tcW w:w="1000" w:type="pct"/>
            <w:shd w:val="clear" w:color="auto" w:fill="F2F2F2" w:themeFill="background1" w:themeFillShade="F2"/>
          </w:tcPr>
          <w:p w14:paraId="609AF10B"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Supported by pharmacists.</w:t>
            </w:r>
          </w:p>
          <w:p w14:paraId="331E1CB9"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Reduces out-of-pocket expenses for pharmacists.</w:t>
            </w:r>
          </w:p>
          <w:p w14:paraId="2540A400"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Ensures pharmacists receive a CPE allowance.</w:t>
            </w:r>
          </w:p>
          <w:p w14:paraId="3BE04FB8"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 xml:space="preserve">May reduce administration burden. </w:t>
            </w:r>
          </w:p>
        </w:tc>
        <w:tc>
          <w:tcPr>
            <w:tcW w:w="1000" w:type="pct"/>
            <w:shd w:val="clear" w:color="auto" w:fill="F2F2F2" w:themeFill="background1" w:themeFillShade="F2"/>
          </w:tcPr>
          <w:p w14:paraId="275F16C5"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May increase the cost of the program.</w:t>
            </w:r>
          </w:p>
          <w:p w14:paraId="45BE674A" w14:textId="46178EE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Per diem may not reflect actual costs. Processes to ensure event attendance may be required.</w:t>
            </w:r>
          </w:p>
        </w:tc>
        <w:tc>
          <w:tcPr>
            <w:tcW w:w="1000" w:type="pct"/>
            <w:shd w:val="clear" w:color="auto" w:fill="F2F2F2" w:themeFill="background1" w:themeFillShade="F2"/>
          </w:tcPr>
          <w:p w14:paraId="348D49E4"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Improved support for pharmacists accessing CPE.</w:t>
            </w:r>
          </w:p>
          <w:p w14:paraId="2B5878A9"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Increase in demand for CPE Allowances.</w:t>
            </w:r>
            <w:r w:rsidRPr="00166DB1">
              <w:br/>
            </w:r>
            <w:r w:rsidRPr="00166DB1">
              <w:br/>
            </w:r>
          </w:p>
        </w:tc>
      </w:tr>
      <w:tr w:rsidR="00166DB1" w:rsidRPr="00166DB1" w14:paraId="655D51B2" w14:textId="77777777" w:rsidTr="0006633E">
        <w:tc>
          <w:tcPr>
            <w:cnfStyle w:val="001000000000" w:firstRow="0" w:lastRow="0" w:firstColumn="1" w:lastColumn="0" w:oddVBand="0" w:evenVBand="0" w:oddHBand="0" w:evenHBand="0" w:firstRowFirstColumn="0" w:firstRowLastColumn="0" w:lastRowFirstColumn="0" w:lastRowLastColumn="0"/>
            <w:tcW w:w="1000" w:type="pct"/>
            <w:vMerge/>
            <w:shd w:val="clear" w:color="auto" w:fill="F2F2F2" w:themeFill="background1" w:themeFillShade="F2"/>
          </w:tcPr>
          <w:p w14:paraId="0120FDF6" w14:textId="77777777" w:rsidR="00166DB1" w:rsidRPr="00166DB1" w:rsidRDefault="00166DB1" w:rsidP="0006633E">
            <w:pPr>
              <w:pStyle w:val="TableCopy"/>
            </w:pPr>
          </w:p>
        </w:tc>
        <w:tc>
          <w:tcPr>
            <w:tcW w:w="1000" w:type="pct"/>
            <w:shd w:val="clear" w:color="auto" w:fill="F2F2F2" w:themeFill="background1" w:themeFillShade="F2"/>
          </w:tcPr>
          <w:p w14:paraId="69BB660F" w14:textId="77777777" w:rsidR="00166DB1" w:rsidRPr="00166DB1" w:rsidRDefault="00166DB1" w:rsidP="009B60C3">
            <w:pPr>
              <w:pStyle w:val="TableNumbers1"/>
              <w:cnfStyle w:val="000000000000" w:firstRow="0" w:lastRow="0" w:firstColumn="0" w:lastColumn="0" w:oddVBand="0" w:evenVBand="0" w:oddHBand="0" w:evenHBand="0" w:firstRowFirstColumn="0" w:firstRowLastColumn="0" w:lastRowFirstColumn="0" w:lastRowLastColumn="0"/>
            </w:pPr>
            <w:r w:rsidRPr="00166DB1">
              <w:t>Placing a limit on the number of claims that can be made per pharmacist.</w:t>
            </w:r>
          </w:p>
        </w:tc>
        <w:tc>
          <w:tcPr>
            <w:tcW w:w="1000" w:type="pct"/>
            <w:shd w:val="clear" w:color="auto" w:fill="F2F2F2" w:themeFill="background1" w:themeFillShade="F2"/>
          </w:tcPr>
          <w:p w14:paraId="55474748"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Reduces inequity of multiple claims per pharmacist.</w:t>
            </w:r>
          </w:p>
          <w:p w14:paraId="2A8687CC"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New software or system will help streamline the application process.</w:t>
            </w:r>
          </w:p>
        </w:tc>
        <w:tc>
          <w:tcPr>
            <w:tcW w:w="1000" w:type="pct"/>
            <w:shd w:val="clear" w:color="auto" w:fill="F2F2F2" w:themeFill="background1" w:themeFillShade="F2"/>
          </w:tcPr>
          <w:p w14:paraId="06147381"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 xml:space="preserve">Will require investment in appropriate software or systems to track the number of claims per pharmacist. </w:t>
            </w:r>
          </w:p>
        </w:tc>
        <w:tc>
          <w:tcPr>
            <w:tcW w:w="1000" w:type="pct"/>
            <w:shd w:val="clear" w:color="auto" w:fill="F2F2F2" w:themeFill="background1" w:themeFillShade="F2"/>
          </w:tcPr>
          <w:p w14:paraId="599FDFE6"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 xml:space="preserve">Increase in the number of pharmacists assisted under the program. </w:t>
            </w:r>
          </w:p>
        </w:tc>
      </w:tr>
      <w:tr w:rsidR="00166DB1" w:rsidRPr="00166DB1" w14:paraId="6C10508C" w14:textId="77777777" w:rsidTr="0006633E">
        <w:tc>
          <w:tcPr>
            <w:cnfStyle w:val="001000000000" w:firstRow="0" w:lastRow="0" w:firstColumn="1" w:lastColumn="0" w:oddVBand="0" w:evenVBand="0" w:oddHBand="0" w:evenHBand="0" w:firstRowFirstColumn="0" w:firstRowLastColumn="0" w:lastRowFirstColumn="0" w:lastRowLastColumn="0"/>
            <w:tcW w:w="1000" w:type="pct"/>
            <w:vMerge w:val="restart"/>
            <w:shd w:val="clear" w:color="auto" w:fill="F2F2F2" w:themeFill="background1" w:themeFillShade="F2"/>
          </w:tcPr>
          <w:p w14:paraId="4813FD05" w14:textId="77777777" w:rsidR="00166DB1" w:rsidRPr="00166DB1" w:rsidRDefault="00166DB1" w:rsidP="0006633E">
            <w:pPr>
              <w:pStyle w:val="TableCopy"/>
            </w:pPr>
            <w:r w:rsidRPr="00166DB1">
              <w:lastRenderedPageBreak/>
              <w:t>Emergency Locum Service</w:t>
            </w:r>
          </w:p>
        </w:tc>
        <w:tc>
          <w:tcPr>
            <w:tcW w:w="1000" w:type="pct"/>
            <w:shd w:val="clear" w:color="auto" w:fill="F2F2F2" w:themeFill="background1" w:themeFillShade="F2"/>
          </w:tcPr>
          <w:p w14:paraId="41DE7D1C" w14:textId="77777777" w:rsidR="00166DB1" w:rsidRPr="00166DB1" w:rsidRDefault="00166DB1" w:rsidP="009B60C3">
            <w:pPr>
              <w:pStyle w:val="TableNumbers1"/>
              <w:cnfStyle w:val="000000000000" w:firstRow="0" w:lastRow="0" w:firstColumn="0" w:lastColumn="0" w:oddVBand="0" w:evenVBand="0" w:oddHBand="0" w:evenHBand="0" w:firstRowFirstColumn="0" w:firstRowLastColumn="0" w:lastRowFirstColumn="0" w:lastRowLastColumn="0"/>
            </w:pPr>
            <w:r w:rsidRPr="00166DB1">
              <w:t>Improve clarity and transparency of eligibility criteria.</w:t>
            </w:r>
          </w:p>
        </w:tc>
        <w:tc>
          <w:tcPr>
            <w:tcW w:w="1000" w:type="pct"/>
            <w:shd w:val="clear" w:color="auto" w:fill="F2F2F2" w:themeFill="background1" w:themeFillShade="F2"/>
          </w:tcPr>
          <w:p w14:paraId="0F728247"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Supported by pharmacists ‘on the ground’.</w:t>
            </w:r>
          </w:p>
        </w:tc>
        <w:tc>
          <w:tcPr>
            <w:tcW w:w="1000" w:type="pct"/>
            <w:shd w:val="clear" w:color="auto" w:fill="F2F2F2" w:themeFill="background1" w:themeFillShade="F2"/>
          </w:tcPr>
          <w:p w14:paraId="36FC8EDF"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None identified.</w:t>
            </w:r>
          </w:p>
        </w:tc>
        <w:tc>
          <w:tcPr>
            <w:tcW w:w="1000" w:type="pct"/>
            <w:shd w:val="clear" w:color="auto" w:fill="F2F2F2" w:themeFill="background1" w:themeFillShade="F2"/>
          </w:tcPr>
          <w:p w14:paraId="1201D9E1"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 xml:space="preserve">Will align pharmacists’ expectations with Emergency Locum Service offerings and reduce confusion. </w:t>
            </w:r>
          </w:p>
        </w:tc>
      </w:tr>
      <w:tr w:rsidR="00166DB1" w:rsidRPr="00166DB1" w14:paraId="7F36160B" w14:textId="77777777" w:rsidTr="0006633E">
        <w:tc>
          <w:tcPr>
            <w:cnfStyle w:val="001000000000" w:firstRow="0" w:lastRow="0" w:firstColumn="1" w:lastColumn="0" w:oddVBand="0" w:evenVBand="0" w:oddHBand="0" w:evenHBand="0" w:firstRowFirstColumn="0" w:firstRowLastColumn="0" w:lastRowFirstColumn="0" w:lastRowLastColumn="0"/>
            <w:tcW w:w="1000" w:type="pct"/>
            <w:vMerge/>
          </w:tcPr>
          <w:p w14:paraId="48EEF376" w14:textId="77777777" w:rsidR="00166DB1" w:rsidRPr="00166DB1" w:rsidRDefault="00166DB1" w:rsidP="00166DB1">
            <w:pPr>
              <w:spacing w:line="240" w:lineRule="atLeast"/>
              <w:ind w:left="57" w:right="57"/>
              <w:rPr>
                <w:rFonts w:eastAsia="Garamond"/>
                <w:color w:val="000000"/>
              </w:rPr>
            </w:pPr>
          </w:p>
        </w:tc>
        <w:tc>
          <w:tcPr>
            <w:tcW w:w="1000" w:type="pct"/>
            <w:shd w:val="clear" w:color="auto" w:fill="F2F2F2" w:themeFill="background1" w:themeFillShade="F2"/>
          </w:tcPr>
          <w:p w14:paraId="11FEBF3A" w14:textId="77777777" w:rsidR="00166DB1" w:rsidRPr="00166DB1" w:rsidRDefault="00166DB1" w:rsidP="009B60C3">
            <w:pPr>
              <w:pStyle w:val="TableNumbers1"/>
              <w:cnfStyle w:val="000000000000" w:firstRow="0" w:lastRow="0" w:firstColumn="0" w:lastColumn="0" w:oddVBand="0" w:evenVBand="0" w:oddHBand="0" w:evenHBand="0" w:firstRowFirstColumn="0" w:firstRowLastColumn="0" w:lastRowFirstColumn="0" w:lastRowLastColumn="0"/>
            </w:pPr>
            <w:r w:rsidRPr="00166DB1">
              <w:t xml:space="preserve">Funding of accommodation costs for locums travelling to remote areas. </w:t>
            </w:r>
          </w:p>
        </w:tc>
        <w:tc>
          <w:tcPr>
            <w:tcW w:w="1000" w:type="pct"/>
            <w:shd w:val="clear" w:color="auto" w:fill="F2F2F2" w:themeFill="background1" w:themeFillShade="F2"/>
          </w:tcPr>
          <w:p w14:paraId="74FAC0E0"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Supported by pharmacists.</w:t>
            </w:r>
          </w:p>
          <w:p w14:paraId="52C6430A"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 xml:space="preserve">Removes disadvantage experienced by remote pharmacists. </w:t>
            </w:r>
          </w:p>
        </w:tc>
        <w:tc>
          <w:tcPr>
            <w:tcW w:w="1000" w:type="pct"/>
            <w:shd w:val="clear" w:color="auto" w:fill="F2F2F2" w:themeFill="background1" w:themeFillShade="F2"/>
          </w:tcPr>
          <w:p w14:paraId="1B06C59B"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Will increase the cost of the program.</w:t>
            </w:r>
          </w:p>
        </w:tc>
        <w:tc>
          <w:tcPr>
            <w:tcW w:w="1000" w:type="pct"/>
            <w:shd w:val="clear" w:color="auto" w:fill="F2F2F2" w:themeFill="background1" w:themeFillShade="F2"/>
          </w:tcPr>
          <w:p w14:paraId="6DD77F28"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Increased support to remote pharmacists accessing the Emergency Locum Service.</w:t>
            </w:r>
          </w:p>
        </w:tc>
      </w:tr>
      <w:tr w:rsidR="00166DB1" w:rsidRPr="00166DB1" w14:paraId="7DB798F5" w14:textId="77777777" w:rsidTr="0006633E">
        <w:tc>
          <w:tcPr>
            <w:cnfStyle w:val="001000000000" w:firstRow="0" w:lastRow="0" w:firstColumn="1" w:lastColumn="0" w:oddVBand="0" w:evenVBand="0" w:oddHBand="0" w:evenHBand="0" w:firstRowFirstColumn="0" w:firstRowLastColumn="0" w:lastRowFirstColumn="0" w:lastRowLastColumn="0"/>
            <w:tcW w:w="1000" w:type="pct"/>
            <w:shd w:val="clear" w:color="auto" w:fill="F2F2F2" w:themeFill="background1" w:themeFillShade="F2"/>
          </w:tcPr>
          <w:p w14:paraId="58F88F38" w14:textId="77777777" w:rsidR="00166DB1" w:rsidRPr="00166DB1" w:rsidRDefault="00166DB1" w:rsidP="0006633E">
            <w:pPr>
              <w:pStyle w:val="TableCopy"/>
            </w:pPr>
            <w:r w:rsidRPr="00166DB1">
              <w:t>Intern Incentive Allowance for Rural Pharmacies and Extension Program</w:t>
            </w:r>
          </w:p>
        </w:tc>
        <w:tc>
          <w:tcPr>
            <w:tcW w:w="1000" w:type="pct"/>
            <w:shd w:val="clear" w:color="auto" w:fill="F2F2F2" w:themeFill="background1" w:themeFillShade="F2"/>
          </w:tcPr>
          <w:p w14:paraId="529B2E7C" w14:textId="77777777" w:rsidR="00166DB1" w:rsidRPr="00166DB1" w:rsidRDefault="00166DB1" w:rsidP="009B60C3">
            <w:pPr>
              <w:pStyle w:val="TableNumbers1"/>
              <w:cnfStyle w:val="000000000000" w:firstRow="0" w:lastRow="0" w:firstColumn="0" w:lastColumn="0" w:oddVBand="0" w:evenVBand="0" w:oddHBand="0" w:evenHBand="0" w:firstRowFirstColumn="0" w:firstRowLastColumn="0" w:lastRowFirstColumn="0" w:lastRowLastColumn="0"/>
            </w:pPr>
            <w:r w:rsidRPr="00166DB1">
              <w:t>Increase allowance value to reflect increased cost of employing an intern / graduate in a rural or remote area.</w:t>
            </w:r>
          </w:p>
        </w:tc>
        <w:tc>
          <w:tcPr>
            <w:tcW w:w="1000" w:type="pct"/>
            <w:shd w:val="clear" w:color="auto" w:fill="F2F2F2" w:themeFill="background1" w:themeFillShade="F2"/>
          </w:tcPr>
          <w:p w14:paraId="26532E67"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Supported by pharmacists ‘on the ground’.</w:t>
            </w:r>
          </w:p>
          <w:p w14:paraId="6027F9B6"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 xml:space="preserve">Acknowledges the need for pharmacists to offer interns / graduates higher salaries to attract them to rural areas. </w:t>
            </w:r>
          </w:p>
        </w:tc>
        <w:tc>
          <w:tcPr>
            <w:tcW w:w="1000" w:type="pct"/>
            <w:shd w:val="clear" w:color="auto" w:fill="F2F2F2" w:themeFill="background1" w:themeFillShade="F2"/>
          </w:tcPr>
          <w:p w14:paraId="78A3A237"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 xml:space="preserve">Will increase the cost of the program. </w:t>
            </w:r>
          </w:p>
        </w:tc>
        <w:tc>
          <w:tcPr>
            <w:tcW w:w="1000" w:type="pct"/>
            <w:shd w:val="clear" w:color="auto" w:fill="F2F2F2" w:themeFill="background1" w:themeFillShade="F2"/>
          </w:tcPr>
          <w:p w14:paraId="389315C9"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 xml:space="preserve">Increased support to pharmacy employers. </w:t>
            </w:r>
          </w:p>
        </w:tc>
      </w:tr>
      <w:tr w:rsidR="00166DB1" w:rsidRPr="00166DB1" w14:paraId="7964D93C" w14:textId="77777777" w:rsidTr="0006633E">
        <w:tc>
          <w:tcPr>
            <w:cnfStyle w:val="001000000000" w:firstRow="0" w:lastRow="0" w:firstColumn="1" w:lastColumn="0" w:oddVBand="0" w:evenVBand="0" w:oddHBand="0" w:evenHBand="0" w:firstRowFirstColumn="0" w:firstRowLastColumn="0" w:lastRowFirstColumn="0" w:lastRowLastColumn="0"/>
            <w:tcW w:w="1000" w:type="pct"/>
            <w:shd w:val="clear" w:color="auto" w:fill="F2F2F2" w:themeFill="background1" w:themeFillShade="F2"/>
          </w:tcPr>
          <w:p w14:paraId="0773E026" w14:textId="77777777" w:rsidR="00166DB1" w:rsidRPr="00166DB1" w:rsidRDefault="00166DB1" w:rsidP="0006633E">
            <w:pPr>
              <w:pStyle w:val="TableCopy"/>
            </w:pPr>
            <w:r w:rsidRPr="00166DB1">
              <w:t>Rural Pharmacy Liaison Officer Program</w:t>
            </w:r>
          </w:p>
        </w:tc>
        <w:tc>
          <w:tcPr>
            <w:tcW w:w="1000" w:type="pct"/>
            <w:shd w:val="clear" w:color="auto" w:fill="F2F2F2" w:themeFill="background1" w:themeFillShade="F2"/>
          </w:tcPr>
          <w:p w14:paraId="036AD013" w14:textId="77777777" w:rsidR="00166DB1" w:rsidRPr="00166DB1" w:rsidRDefault="00166DB1" w:rsidP="009B60C3">
            <w:pPr>
              <w:pStyle w:val="TableNumbers1"/>
              <w:cnfStyle w:val="000000000000" w:firstRow="0" w:lastRow="0" w:firstColumn="0" w:lastColumn="0" w:oddVBand="0" w:evenVBand="0" w:oddHBand="0" w:evenHBand="0" w:firstRowFirstColumn="0" w:firstRowLastColumn="0" w:lastRowFirstColumn="0" w:lastRowLastColumn="0"/>
            </w:pPr>
            <w:r w:rsidRPr="00166DB1">
              <w:t>Removal of the RPLO Program from the 6CPA and redirecting funding and administrative responsibility to University Departments of Rural Health.</w:t>
            </w:r>
          </w:p>
        </w:tc>
        <w:tc>
          <w:tcPr>
            <w:tcW w:w="1000" w:type="pct"/>
            <w:shd w:val="clear" w:color="auto" w:fill="F2F2F2" w:themeFill="background1" w:themeFillShade="F2"/>
          </w:tcPr>
          <w:p w14:paraId="33BD1A35"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 xml:space="preserve">Supported by RPLOs, UDRHs and some peak body stakeholders. </w:t>
            </w:r>
          </w:p>
          <w:p w14:paraId="78A32AA8"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Provide greater professional stability for RPLOs who currently only have tenure under 12-month contracts</w:t>
            </w:r>
          </w:p>
          <w:p w14:paraId="26A87335"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 xml:space="preserve">Align RPLO objectives with the objectives of the Rural Health Multidisciplinary Training Program. </w:t>
            </w:r>
          </w:p>
        </w:tc>
        <w:tc>
          <w:tcPr>
            <w:tcW w:w="1000" w:type="pct"/>
            <w:shd w:val="clear" w:color="auto" w:fill="F2F2F2" w:themeFill="background1" w:themeFillShade="F2"/>
          </w:tcPr>
          <w:p w14:paraId="27587B9E"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 xml:space="preserve">A change in program governance may impact program scope and the role of RPLOs. </w:t>
            </w:r>
          </w:p>
          <w:p w14:paraId="088B1B31"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Debates over where the transfer should be funded from government general revenue or the CPA</w:t>
            </w:r>
          </w:p>
        </w:tc>
        <w:tc>
          <w:tcPr>
            <w:tcW w:w="1000" w:type="pct"/>
            <w:shd w:val="clear" w:color="auto" w:fill="F2F2F2" w:themeFill="background1" w:themeFillShade="F2"/>
          </w:tcPr>
          <w:p w14:paraId="5B9EE284"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 xml:space="preserve">Increased recruitment and retention of RPLOs at UDRH sites. </w:t>
            </w:r>
          </w:p>
        </w:tc>
      </w:tr>
      <w:tr w:rsidR="00166DB1" w:rsidRPr="00166DB1" w14:paraId="2D312324" w14:textId="77777777" w:rsidTr="0006633E">
        <w:tc>
          <w:tcPr>
            <w:cnfStyle w:val="001000000000" w:firstRow="0" w:lastRow="0" w:firstColumn="1" w:lastColumn="0" w:oddVBand="0" w:evenVBand="0" w:oddHBand="0" w:evenHBand="0" w:firstRowFirstColumn="0" w:firstRowLastColumn="0" w:lastRowFirstColumn="0" w:lastRowLastColumn="0"/>
            <w:tcW w:w="1000" w:type="pct"/>
            <w:shd w:val="clear" w:color="auto" w:fill="F2F2F2" w:themeFill="background1" w:themeFillShade="F2"/>
          </w:tcPr>
          <w:p w14:paraId="2CEED998" w14:textId="77777777" w:rsidR="00166DB1" w:rsidRPr="00166DB1" w:rsidRDefault="00166DB1" w:rsidP="0006633E">
            <w:pPr>
              <w:pStyle w:val="TableCopy"/>
            </w:pPr>
            <w:r w:rsidRPr="00166DB1">
              <w:t>Administrative Support to Pharmacy Schools</w:t>
            </w:r>
          </w:p>
        </w:tc>
        <w:tc>
          <w:tcPr>
            <w:tcW w:w="1000" w:type="pct"/>
            <w:shd w:val="clear" w:color="auto" w:fill="F2F2F2" w:themeFill="background1" w:themeFillShade="F2"/>
          </w:tcPr>
          <w:p w14:paraId="621E6D5D" w14:textId="77777777" w:rsidR="00166DB1" w:rsidRPr="00166DB1" w:rsidRDefault="00166DB1" w:rsidP="009B60C3">
            <w:pPr>
              <w:pStyle w:val="TableNumbers1"/>
              <w:cnfStyle w:val="000000000000" w:firstRow="0" w:lastRow="0" w:firstColumn="0" w:lastColumn="0" w:oddVBand="0" w:evenVBand="0" w:oddHBand="0" w:evenHBand="0" w:firstRowFirstColumn="0" w:firstRowLastColumn="0" w:lastRowFirstColumn="0" w:lastRowLastColumn="0"/>
            </w:pPr>
            <w:r w:rsidRPr="00166DB1">
              <w:t>None identified.</w:t>
            </w:r>
          </w:p>
        </w:tc>
        <w:tc>
          <w:tcPr>
            <w:tcW w:w="1000" w:type="pct"/>
            <w:shd w:val="clear" w:color="auto" w:fill="F2F2F2" w:themeFill="background1" w:themeFillShade="F2"/>
          </w:tcPr>
          <w:p w14:paraId="44567E1F"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None identified.</w:t>
            </w:r>
          </w:p>
        </w:tc>
        <w:tc>
          <w:tcPr>
            <w:tcW w:w="1000" w:type="pct"/>
            <w:shd w:val="clear" w:color="auto" w:fill="F2F2F2" w:themeFill="background1" w:themeFillShade="F2"/>
          </w:tcPr>
          <w:p w14:paraId="45315656"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None identified.</w:t>
            </w:r>
          </w:p>
        </w:tc>
        <w:tc>
          <w:tcPr>
            <w:tcW w:w="1000" w:type="pct"/>
            <w:shd w:val="clear" w:color="auto" w:fill="F2F2F2" w:themeFill="background1" w:themeFillShade="F2"/>
          </w:tcPr>
          <w:p w14:paraId="10C9EA60"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None identified.</w:t>
            </w:r>
          </w:p>
        </w:tc>
      </w:tr>
      <w:tr w:rsidR="00166DB1" w:rsidRPr="00166DB1" w14:paraId="051CADCC" w14:textId="77777777" w:rsidTr="00166DB1">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000000"/>
          </w:tcPr>
          <w:p w14:paraId="511DF3BE" w14:textId="77777777" w:rsidR="00166DB1" w:rsidRPr="00166DB1" w:rsidRDefault="00166DB1" w:rsidP="0006633E">
            <w:pPr>
              <w:pStyle w:val="Tablesubheading1"/>
            </w:pPr>
            <w:r w:rsidRPr="00166DB1">
              <w:t>Aboriginal and Torres Strait Islander Workforce Programs</w:t>
            </w:r>
          </w:p>
        </w:tc>
      </w:tr>
      <w:tr w:rsidR="00166DB1" w:rsidRPr="00166DB1" w14:paraId="6A8DAD14" w14:textId="77777777" w:rsidTr="0006633E">
        <w:tc>
          <w:tcPr>
            <w:cnfStyle w:val="001000000000" w:firstRow="0" w:lastRow="0" w:firstColumn="1" w:lastColumn="0" w:oddVBand="0" w:evenVBand="0" w:oddHBand="0" w:evenHBand="0" w:firstRowFirstColumn="0" w:firstRowLastColumn="0" w:lastRowFirstColumn="0" w:lastRowLastColumn="0"/>
            <w:tcW w:w="1000" w:type="pct"/>
            <w:vMerge w:val="restart"/>
            <w:shd w:val="clear" w:color="auto" w:fill="F2F2F2" w:themeFill="background1" w:themeFillShade="F2"/>
          </w:tcPr>
          <w:p w14:paraId="3844228F" w14:textId="77777777" w:rsidR="00166DB1" w:rsidRPr="00166DB1" w:rsidRDefault="00166DB1" w:rsidP="0006633E">
            <w:pPr>
              <w:pStyle w:val="TableCopy"/>
            </w:pPr>
            <w:r w:rsidRPr="00166DB1">
              <w:t>Aboriginal and Torres Strait Islander Pharmacy Assistant Traineeship Scheme</w:t>
            </w:r>
          </w:p>
        </w:tc>
        <w:tc>
          <w:tcPr>
            <w:tcW w:w="1000" w:type="pct"/>
            <w:shd w:val="clear" w:color="auto" w:fill="F2F2F2" w:themeFill="background1" w:themeFillShade="F2"/>
          </w:tcPr>
          <w:p w14:paraId="28EE8B50" w14:textId="77777777" w:rsidR="00166DB1" w:rsidRPr="00166DB1" w:rsidRDefault="00166DB1" w:rsidP="009B60C3">
            <w:pPr>
              <w:pStyle w:val="TableNumbers1"/>
              <w:cnfStyle w:val="000000000000" w:firstRow="0" w:lastRow="0" w:firstColumn="0" w:lastColumn="0" w:oddVBand="0" w:evenVBand="0" w:oddHBand="0" w:evenHBand="0" w:firstRowFirstColumn="0" w:firstRowLastColumn="0" w:lastRowFirstColumn="0" w:lastRowLastColumn="0"/>
            </w:pPr>
            <w:r w:rsidRPr="00166DB1">
              <w:t xml:space="preserve">Link with the Rural Pharmacy Scholarship Mentor Scheme to provide mentor support for trainees. </w:t>
            </w:r>
          </w:p>
        </w:tc>
        <w:tc>
          <w:tcPr>
            <w:tcW w:w="1000" w:type="pct"/>
            <w:shd w:val="clear" w:color="auto" w:fill="F2F2F2" w:themeFill="background1" w:themeFillShade="F2"/>
          </w:tcPr>
          <w:p w14:paraId="62633ADA"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 xml:space="preserve">Supported by peak body stakeholders and literature. </w:t>
            </w:r>
          </w:p>
          <w:p w14:paraId="13D59F48"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 xml:space="preserve">Expansion of an existing program. </w:t>
            </w:r>
          </w:p>
        </w:tc>
        <w:tc>
          <w:tcPr>
            <w:tcW w:w="1000" w:type="pct"/>
            <w:shd w:val="clear" w:color="auto" w:fill="F2F2F2" w:themeFill="background1" w:themeFillShade="F2"/>
          </w:tcPr>
          <w:p w14:paraId="054C37B8"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 xml:space="preserve">Will increase the cost of the Mentor Scheme with more participating mentors. </w:t>
            </w:r>
          </w:p>
        </w:tc>
        <w:tc>
          <w:tcPr>
            <w:tcW w:w="1000" w:type="pct"/>
            <w:shd w:val="clear" w:color="auto" w:fill="F2F2F2" w:themeFill="background1" w:themeFillShade="F2"/>
          </w:tcPr>
          <w:p w14:paraId="580247E9"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 xml:space="preserve">Pharmacy assistants feel supported and are more likely to be retained. </w:t>
            </w:r>
          </w:p>
        </w:tc>
      </w:tr>
      <w:tr w:rsidR="00166DB1" w:rsidRPr="00166DB1" w14:paraId="5F95338D" w14:textId="77777777" w:rsidTr="0006633E">
        <w:tc>
          <w:tcPr>
            <w:cnfStyle w:val="001000000000" w:firstRow="0" w:lastRow="0" w:firstColumn="1" w:lastColumn="0" w:oddVBand="0" w:evenVBand="0" w:oddHBand="0" w:evenHBand="0" w:firstRowFirstColumn="0" w:firstRowLastColumn="0" w:lastRowFirstColumn="0" w:lastRowLastColumn="0"/>
            <w:tcW w:w="1000" w:type="pct"/>
            <w:vMerge/>
            <w:shd w:val="clear" w:color="auto" w:fill="F2F2F2" w:themeFill="background1" w:themeFillShade="F2"/>
          </w:tcPr>
          <w:p w14:paraId="5835C6A2" w14:textId="77777777" w:rsidR="00166DB1" w:rsidRPr="00166DB1" w:rsidRDefault="00166DB1" w:rsidP="0006633E">
            <w:pPr>
              <w:pStyle w:val="TableCopy"/>
            </w:pPr>
          </w:p>
        </w:tc>
        <w:tc>
          <w:tcPr>
            <w:tcW w:w="1000" w:type="pct"/>
            <w:shd w:val="clear" w:color="auto" w:fill="F2F2F2" w:themeFill="background1" w:themeFillShade="F2"/>
          </w:tcPr>
          <w:p w14:paraId="2212240C" w14:textId="77777777" w:rsidR="00166DB1" w:rsidRPr="00166DB1" w:rsidRDefault="00166DB1" w:rsidP="009B60C3">
            <w:pPr>
              <w:pStyle w:val="TableNumbers1"/>
              <w:cnfStyle w:val="000000000000" w:firstRow="0" w:lastRow="0" w:firstColumn="0" w:lastColumn="0" w:oddVBand="0" w:evenVBand="0" w:oddHBand="0" w:evenHBand="0" w:firstRowFirstColumn="0" w:firstRowLastColumn="0" w:lastRowFirstColumn="0" w:lastRowLastColumn="0"/>
            </w:pPr>
            <w:r w:rsidRPr="00166DB1">
              <w:t xml:space="preserve">Undertake consultations with Aboriginal and Torres Strait Islander communities and peak </w:t>
            </w:r>
            <w:r w:rsidRPr="00166DB1">
              <w:lastRenderedPageBreak/>
              <w:t>body stakeholders (i.e. the National Aboriginal Community Controlled Health Organisation, NACCHO) to assess whether the program meets the needs of the community.</w:t>
            </w:r>
          </w:p>
        </w:tc>
        <w:tc>
          <w:tcPr>
            <w:tcW w:w="1000" w:type="pct"/>
            <w:shd w:val="clear" w:color="auto" w:fill="F2F2F2" w:themeFill="background1" w:themeFillShade="F2"/>
          </w:tcPr>
          <w:p w14:paraId="2CFDA91E"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lastRenderedPageBreak/>
              <w:t xml:space="preserve">Best practice approach in developing and implementing programs to support Aboriginal </w:t>
            </w:r>
            <w:r w:rsidRPr="00166DB1">
              <w:lastRenderedPageBreak/>
              <w:t>and Torres Strait Islander individuals and communities.</w:t>
            </w:r>
          </w:p>
          <w:p w14:paraId="1A4DA5B0"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Support from communities and peak body organisations may increase awareness and access to the program.</w:t>
            </w:r>
          </w:p>
        </w:tc>
        <w:tc>
          <w:tcPr>
            <w:tcW w:w="1000" w:type="pct"/>
            <w:shd w:val="clear" w:color="auto" w:fill="F2F2F2" w:themeFill="background1" w:themeFillShade="F2"/>
          </w:tcPr>
          <w:p w14:paraId="2FDA16D9"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lastRenderedPageBreak/>
              <w:t>None identified.</w:t>
            </w:r>
          </w:p>
        </w:tc>
        <w:tc>
          <w:tcPr>
            <w:tcW w:w="1000" w:type="pct"/>
            <w:shd w:val="clear" w:color="auto" w:fill="F2F2F2" w:themeFill="background1" w:themeFillShade="F2"/>
          </w:tcPr>
          <w:p w14:paraId="5CAB485D"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The program better meets the needs of Aboriginal and Torres Strait Islander communities.</w:t>
            </w:r>
          </w:p>
          <w:p w14:paraId="32040734"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lastRenderedPageBreak/>
              <w:t xml:space="preserve">Increase awareness and access to the program. </w:t>
            </w:r>
          </w:p>
        </w:tc>
      </w:tr>
      <w:tr w:rsidR="00166DB1" w:rsidRPr="00166DB1" w14:paraId="0D75E963" w14:textId="77777777" w:rsidTr="0006633E">
        <w:tc>
          <w:tcPr>
            <w:cnfStyle w:val="001000000000" w:firstRow="0" w:lastRow="0" w:firstColumn="1" w:lastColumn="0" w:oddVBand="0" w:evenVBand="0" w:oddHBand="0" w:evenHBand="0" w:firstRowFirstColumn="0" w:firstRowLastColumn="0" w:lastRowFirstColumn="0" w:lastRowLastColumn="0"/>
            <w:tcW w:w="1000" w:type="pct"/>
            <w:vMerge w:val="restart"/>
            <w:shd w:val="clear" w:color="auto" w:fill="F2F2F2" w:themeFill="background1" w:themeFillShade="F2"/>
          </w:tcPr>
          <w:p w14:paraId="79E78402" w14:textId="77777777" w:rsidR="00166DB1" w:rsidRPr="00166DB1" w:rsidRDefault="00166DB1" w:rsidP="0006633E">
            <w:pPr>
              <w:pStyle w:val="TableCopy"/>
            </w:pPr>
            <w:r w:rsidRPr="00166DB1">
              <w:lastRenderedPageBreak/>
              <w:t>Aboriginal and Torres Strait Islander Pharmacy Scholarship Scheme</w:t>
            </w:r>
          </w:p>
        </w:tc>
        <w:tc>
          <w:tcPr>
            <w:tcW w:w="1000" w:type="pct"/>
            <w:shd w:val="clear" w:color="auto" w:fill="F2F2F2" w:themeFill="background1" w:themeFillShade="F2"/>
          </w:tcPr>
          <w:p w14:paraId="41C02E1F" w14:textId="77777777" w:rsidR="00166DB1" w:rsidRPr="00166DB1" w:rsidRDefault="00166DB1" w:rsidP="009B60C3">
            <w:pPr>
              <w:pStyle w:val="TableNumbers1"/>
              <w:cnfStyle w:val="000000000000" w:firstRow="0" w:lastRow="0" w:firstColumn="0" w:lastColumn="0" w:oddVBand="0" w:evenVBand="0" w:oddHBand="0" w:evenHBand="0" w:firstRowFirstColumn="0" w:firstRowLastColumn="0" w:lastRowFirstColumn="0" w:lastRowLastColumn="0"/>
            </w:pPr>
            <w:r w:rsidRPr="00166DB1">
              <w:t xml:space="preserve">Increase the number of scholarships offered each year. </w:t>
            </w:r>
          </w:p>
        </w:tc>
        <w:tc>
          <w:tcPr>
            <w:tcW w:w="1000" w:type="pct"/>
            <w:shd w:val="clear" w:color="auto" w:fill="F2F2F2" w:themeFill="background1" w:themeFillShade="F2"/>
          </w:tcPr>
          <w:p w14:paraId="04B63C99"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 xml:space="preserve">May lead to increased registrations of Aboriginal and Torres Strait Islander pharmacists. </w:t>
            </w:r>
          </w:p>
        </w:tc>
        <w:tc>
          <w:tcPr>
            <w:tcW w:w="1000" w:type="pct"/>
            <w:shd w:val="clear" w:color="auto" w:fill="F2F2F2" w:themeFill="background1" w:themeFillShade="F2"/>
          </w:tcPr>
          <w:p w14:paraId="5E3F6B2F"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 xml:space="preserve">Will increase the cost of the program. </w:t>
            </w:r>
          </w:p>
        </w:tc>
        <w:tc>
          <w:tcPr>
            <w:tcW w:w="1000" w:type="pct"/>
            <w:shd w:val="clear" w:color="auto" w:fill="F2F2F2" w:themeFill="background1" w:themeFillShade="F2"/>
          </w:tcPr>
          <w:p w14:paraId="41FFCD5B"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 xml:space="preserve">Increase in the number of qualified Aboriginal and Torres Strait Islander pharmacists. </w:t>
            </w:r>
          </w:p>
        </w:tc>
      </w:tr>
      <w:tr w:rsidR="00166DB1" w:rsidRPr="00166DB1" w14:paraId="1C22AA9E" w14:textId="77777777" w:rsidTr="0006633E">
        <w:tc>
          <w:tcPr>
            <w:cnfStyle w:val="001000000000" w:firstRow="0" w:lastRow="0" w:firstColumn="1" w:lastColumn="0" w:oddVBand="0" w:evenVBand="0" w:oddHBand="0" w:evenHBand="0" w:firstRowFirstColumn="0" w:firstRowLastColumn="0" w:lastRowFirstColumn="0" w:lastRowLastColumn="0"/>
            <w:tcW w:w="1000" w:type="pct"/>
            <w:vMerge/>
            <w:shd w:val="clear" w:color="auto" w:fill="F2F2F2" w:themeFill="background1" w:themeFillShade="F2"/>
          </w:tcPr>
          <w:p w14:paraId="7F873FD2" w14:textId="77777777" w:rsidR="00166DB1" w:rsidRPr="00166DB1" w:rsidRDefault="00166DB1" w:rsidP="0006633E">
            <w:pPr>
              <w:pStyle w:val="TableCopy"/>
            </w:pPr>
          </w:p>
        </w:tc>
        <w:tc>
          <w:tcPr>
            <w:tcW w:w="1000" w:type="pct"/>
            <w:shd w:val="clear" w:color="auto" w:fill="F2F2F2" w:themeFill="background1" w:themeFillShade="F2"/>
          </w:tcPr>
          <w:p w14:paraId="02A858B9" w14:textId="77777777" w:rsidR="00166DB1" w:rsidRPr="00166DB1" w:rsidRDefault="00166DB1" w:rsidP="009B60C3">
            <w:pPr>
              <w:pStyle w:val="TableNumbers1"/>
              <w:cnfStyle w:val="000000000000" w:firstRow="0" w:lastRow="0" w:firstColumn="0" w:lastColumn="0" w:oddVBand="0" w:evenVBand="0" w:oddHBand="0" w:evenHBand="0" w:firstRowFirstColumn="0" w:firstRowLastColumn="0" w:lastRowFirstColumn="0" w:lastRowLastColumn="0"/>
            </w:pPr>
            <w:r w:rsidRPr="00166DB1">
              <w:t>Supplement Scheme with a pathway program to assist students without the requisite academic score to access alternate entry to university.</w:t>
            </w:r>
          </w:p>
        </w:tc>
        <w:tc>
          <w:tcPr>
            <w:tcW w:w="1000" w:type="pct"/>
            <w:shd w:val="clear" w:color="auto" w:fill="F2F2F2" w:themeFill="background1" w:themeFillShade="F2"/>
          </w:tcPr>
          <w:p w14:paraId="0F606762"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 xml:space="preserve">Builds capacity of Aboriginal and Torres Strait Islander students. </w:t>
            </w:r>
          </w:p>
        </w:tc>
        <w:tc>
          <w:tcPr>
            <w:tcW w:w="1000" w:type="pct"/>
            <w:shd w:val="clear" w:color="auto" w:fill="F2F2F2" w:themeFill="background1" w:themeFillShade="F2"/>
          </w:tcPr>
          <w:p w14:paraId="006ADA99"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 xml:space="preserve">Will require investigation to identify any existing pathway schemes or additional funding to implement a new support scheme. </w:t>
            </w:r>
          </w:p>
        </w:tc>
        <w:tc>
          <w:tcPr>
            <w:tcW w:w="1000" w:type="pct"/>
            <w:shd w:val="clear" w:color="auto" w:fill="F2F2F2" w:themeFill="background1" w:themeFillShade="F2"/>
          </w:tcPr>
          <w:p w14:paraId="1E50C858"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 xml:space="preserve">Increase in the number of Aboriginal and Torres Strait Islander students enrolled in a pharmacy course. </w:t>
            </w:r>
          </w:p>
        </w:tc>
      </w:tr>
      <w:tr w:rsidR="00166DB1" w:rsidRPr="00166DB1" w14:paraId="5383A725" w14:textId="77777777" w:rsidTr="0006633E">
        <w:tc>
          <w:tcPr>
            <w:cnfStyle w:val="001000000000" w:firstRow="0" w:lastRow="0" w:firstColumn="1" w:lastColumn="0" w:oddVBand="0" w:evenVBand="0" w:oddHBand="0" w:evenHBand="0" w:firstRowFirstColumn="0" w:firstRowLastColumn="0" w:lastRowFirstColumn="0" w:lastRowLastColumn="0"/>
            <w:tcW w:w="1000" w:type="pct"/>
            <w:vMerge/>
            <w:shd w:val="clear" w:color="auto" w:fill="F2F2F2" w:themeFill="background1" w:themeFillShade="F2"/>
          </w:tcPr>
          <w:p w14:paraId="78F83BC9" w14:textId="77777777" w:rsidR="00166DB1" w:rsidRPr="00166DB1" w:rsidRDefault="00166DB1" w:rsidP="0006633E">
            <w:pPr>
              <w:pStyle w:val="TableCopy"/>
            </w:pPr>
          </w:p>
        </w:tc>
        <w:tc>
          <w:tcPr>
            <w:tcW w:w="1000" w:type="pct"/>
            <w:shd w:val="clear" w:color="auto" w:fill="F2F2F2" w:themeFill="background1" w:themeFillShade="F2"/>
          </w:tcPr>
          <w:p w14:paraId="661A820B" w14:textId="77777777" w:rsidR="00166DB1" w:rsidRPr="00166DB1" w:rsidRDefault="00166DB1" w:rsidP="009B60C3">
            <w:pPr>
              <w:pStyle w:val="TableNumbers1"/>
              <w:cnfStyle w:val="000000000000" w:firstRow="0" w:lastRow="0" w:firstColumn="0" w:lastColumn="0" w:oddVBand="0" w:evenVBand="0" w:oddHBand="0" w:evenHBand="0" w:firstRowFirstColumn="0" w:firstRowLastColumn="0" w:lastRowFirstColumn="0" w:lastRowLastColumn="0"/>
            </w:pPr>
            <w:r w:rsidRPr="00166DB1">
              <w:t>Undertake consultations with Aboriginal and Torres Strait Islander communities and peak body stakeholders (i.e. NACCHO) to assess whether the program meets the needs of the community.</w:t>
            </w:r>
          </w:p>
        </w:tc>
        <w:tc>
          <w:tcPr>
            <w:tcW w:w="1000" w:type="pct"/>
            <w:shd w:val="clear" w:color="auto" w:fill="F2F2F2" w:themeFill="background1" w:themeFillShade="F2"/>
          </w:tcPr>
          <w:p w14:paraId="21FBD782"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Best practice approach in developing and implementing programs to support Aboriginal and Torres Strait Islander individuals and communities.</w:t>
            </w:r>
          </w:p>
          <w:p w14:paraId="55876533"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Support from communities and peak body organisations may increase awareness and access to the program.</w:t>
            </w:r>
          </w:p>
        </w:tc>
        <w:tc>
          <w:tcPr>
            <w:tcW w:w="1000" w:type="pct"/>
            <w:shd w:val="clear" w:color="auto" w:fill="F2F2F2" w:themeFill="background1" w:themeFillShade="F2"/>
          </w:tcPr>
          <w:p w14:paraId="4642409A"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None identified.</w:t>
            </w:r>
          </w:p>
        </w:tc>
        <w:tc>
          <w:tcPr>
            <w:tcW w:w="1000" w:type="pct"/>
            <w:shd w:val="clear" w:color="auto" w:fill="F2F2F2" w:themeFill="background1" w:themeFillShade="F2"/>
          </w:tcPr>
          <w:p w14:paraId="76B51D13"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The program better meets the needs of Aboriginal and Torres Strait Islander communities.</w:t>
            </w:r>
          </w:p>
          <w:p w14:paraId="1D294689" w14:textId="77777777" w:rsidR="00166DB1" w:rsidRPr="00166DB1" w:rsidRDefault="00166DB1" w:rsidP="009B60C3">
            <w:pPr>
              <w:pStyle w:val="TableBullets1"/>
              <w:cnfStyle w:val="000000000000" w:firstRow="0" w:lastRow="0" w:firstColumn="0" w:lastColumn="0" w:oddVBand="0" w:evenVBand="0" w:oddHBand="0" w:evenHBand="0" w:firstRowFirstColumn="0" w:firstRowLastColumn="0" w:lastRowFirstColumn="0" w:lastRowLastColumn="0"/>
            </w:pPr>
            <w:r w:rsidRPr="00166DB1">
              <w:t>Increase awareness and access to the program.</w:t>
            </w:r>
          </w:p>
        </w:tc>
      </w:tr>
    </w:tbl>
    <w:p w14:paraId="7CB02B2D" w14:textId="77777777" w:rsidR="00166DB1" w:rsidRPr="00166DB1" w:rsidRDefault="00166DB1" w:rsidP="00166DB1">
      <w:pPr>
        <w:spacing w:before="85" w:after="85"/>
        <w:rPr>
          <w:rFonts w:ascii="Garamond" w:eastAsia="Garamond" w:hAnsi="Garamond"/>
          <w:color w:val="000000"/>
        </w:rPr>
      </w:pPr>
    </w:p>
    <w:p w14:paraId="0D755D67" w14:textId="77777777" w:rsidR="00166DB1" w:rsidRPr="00166DB1" w:rsidRDefault="00166DB1" w:rsidP="00166DB1">
      <w:pPr>
        <w:spacing w:before="85" w:after="85"/>
        <w:rPr>
          <w:rFonts w:ascii="Garamond" w:eastAsia="Garamond" w:hAnsi="Garamond"/>
          <w:color w:val="000000"/>
        </w:rPr>
        <w:sectPr w:rsidR="00166DB1" w:rsidRPr="00166DB1" w:rsidSect="00EB4D7E">
          <w:pgSz w:w="16839" w:h="11907" w:orient="landscape" w:code="9"/>
          <w:pgMar w:top="2127" w:right="1304" w:bottom="850" w:left="737" w:header="567" w:footer="284" w:gutter="0"/>
          <w:cols w:space="709"/>
          <w:docGrid w:linePitch="360"/>
        </w:sectPr>
      </w:pPr>
    </w:p>
    <w:p w14:paraId="6A8CFC3A" w14:textId="77777777" w:rsidR="00166DB1" w:rsidRPr="00BF753C" w:rsidRDefault="00166DB1" w:rsidP="00BF753C">
      <w:pPr>
        <w:pStyle w:val="ESHeading3"/>
        <w:spacing w:before="120"/>
      </w:pPr>
      <w:bookmarkStart w:id="128" w:name="_Ref488248505"/>
      <w:bookmarkStart w:id="129" w:name="_Toc490574950"/>
      <w:r w:rsidRPr="00BF753C">
        <w:lastRenderedPageBreak/>
        <w:t>Option 2: Removal of PhARIA restrictions</w:t>
      </w:r>
      <w:bookmarkEnd w:id="128"/>
      <w:bookmarkEnd w:id="129"/>
      <w:r w:rsidRPr="00BF753C">
        <w:t xml:space="preserve"> </w:t>
      </w:r>
    </w:p>
    <w:p w14:paraId="3DB525AC"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PhARIA is a tool used to determine rural and remote location eligible for the Pharmacy Workforce Programs. PhARIA is a composite index incorporating the geographic distance from major cities determined by the Accessibility / Remoteness Index for Australia (ARIA) and a professional isolation component represented by the road distance to the five closest pharmacies.</w:t>
      </w:r>
      <w:sdt>
        <w:sdtPr>
          <w:rPr>
            <w:rFonts w:ascii="Garamond" w:eastAsia="Garamond" w:hAnsi="Garamond"/>
            <w:color w:val="000000"/>
          </w:rPr>
          <w:id w:val="-1639173825"/>
          <w:citation/>
        </w:sdtPr>
        <w:sdtEndPr/>
        <w:sdtContent>
          <w:r w:rsidRPr="00166DB1">
            <w:rPr>
              <w:rFonts w:ascii="Garamond" w:eastAsia="Garamond" w:hAnsi="Garamond"/>
              <w:color w:val="000000"/>
            </w:rPr>
            <w:fldChar w:fldCharType="begin"/>
          </w:r>
          <w:r w:rsidRPr="00166DB1">
            <w:rPr>
              <w:rFonts w:ascii="Garamond" w:eastAsia="Garamond" w:hAnsi="Garamond"/>
              <w:color w:val="000000"/>
            </w:rPr>
            <w:instrText xml:space="preserve"> CITATION Uni17 \l 3081 </w:instrText>
          </w:r>
          <w:r w:rsidRPr="00166DB1">
            <w:rPr>
              <w:rFonts w:ascii="Garamond" w:eastAsia="Garamond" w:hAnsi="Garamond"/>
              <w:color w:val="000000"/>
            </w:rPr>
            <w:fldChar w:fldCharType="separate"/>
          </w:r>
          <w:r w:rsidRPr="00166DB1">
            <w:rPr>
              <w:rFonts w:ascii="Garamond" w:eastAsia="Garamond" w:hAnsi="Garamond"/>
              <w:noProof/>
              <w:color w:val="000000"/>
            </w:rPr>
            <w:t xml:space="preserve"> [8]</w:t>
          </w:r>
          <w:r w:rsidRPr="00166DB1">
            <w:rPr>
              <w:rFonts w:ascii="Garamond" w:eastAsia="Garamond" w:hAnsi="Garamond"/>
              <w:color w:val="000000"/>
            </w:rPr>
            <w:fldChar w:fldCharType="end"/>
          </w:r>
        </w:sdtContent>
      </w:sdt>
      <w:r w:rsidRPr="00166DB1">
        <w:rPr>
          <w:rFonts w:ascii="Garamond" w:eastAsia="Garamond" w:hAnsi="Garamond"/>
          <w:color w:val="000000"/>
        </w:rPr>
        <w:t xml:space="preserve"> </w:t>
      </w:r>
    </w:p>
    <w:p w14:paraId="697300D6"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The use of the PhARIA to classify eligible rural locations has resulted in complications for a number of programs, including the Rural Pharmacy Scholarship Scheme, the Rural Pharmacy Student Placement Allowance, the Rural Intern Incentive Program, the Continuing Professional Education Allowance and the Intern Incentive Allowance for Rural Pharmacies and Extension Program. Several of these programs aim to alleviate the financial burden experienced by pharmacy students or pharmacists who must travel to attend training or other professional experiences. Applying the PhARIA system to these programs excludes pharmacists or students travelling between PhARIA 1 locations in regional areas and major cities. As a consequence, pharmacy staff in inner regional areas are often excluded from benefitting from the Pharmacy Workforce Program because of the application of the PhARIA 2 or higher location rule. PhARIA 1 locations are excluded, even though some of these locations may experience significant workforce shortages.</w:t>
      </w:r>
    </w:p>
    <w:p w14:paraId="7BF40B46"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Other options for determining rurality of an applicant could include the </w:t>
      </w:r>
      <w:r w:rsidRPr="00166DB1">
        <w:rPr>
          <w:rFonts w:ascii="Garamond" w:eastAsia="Garamond" w:hAnsi="Garamond"/>
          <w:i/>
          <w:color w:val="000000"/>
        </w:rPr>
        <w:t>Modified Monash Model</w:t>
      </w:r>
      <w:r w:rsidRPr="00166DB1">
        <w:rPr>
          <w:rFonts w:ascii="Garamond" w:eastAsia="Garamond" w:hAnsi="Garamond"/>
          <w:color w:val="000000"/>
        </w:rPr>
        <w:t>, which was developed recently and will be adopted by the Department of Health for other health workforce programs including the Bonded Medical Places Scheme.</w:t>
      </w:r>
      <w:sdt>
        <w:sdtPr>
          <w:rPr>
            <w:rFonts w:ascii="Garamond" w:eastAsia="Garamond" w:hAnsi="Garamond"/>
            <w:color w:val="000000"/>
          </w:rPr>
          <w:id w:val="57983622"/>
          <w:citation/>
        </w:sdtPr>
        <w:sdtEndPr/>
        <w:sdtContent>
          <w:r w:rsidRPr="00166DB1">
            <w:rPr>
              <w:rFonts w:ascii="Garamond" w:eastAsia="Garamond" w:hAnsi="Garamond"/>
              <w:color w:val="000000"/>
            </w:rPr>
            <w:fldChar w:fldCharType="begin"/>
          </w:r>
          <w:r w:rsidRPr="00166DB1">
            <w:rPr>
              <w:rFonts w:ascii="Garamond" w:eastAsia="Garamond" w:hAnsi="Garamond"/>
              <w:color w:val="000000"/>
            </w:rPr>
            <w:instrText xml:space="preserve"> CITATION Depp16 \l 3081 </w:instrText>
          </w:r>
          <w:r w:rsidRPr="00166DB1">
            <w:rPr>
              <w:rFonts w:ascii="Garamond" w:eastAsia="Garamond" w:hAnsi="Garamond"/>
              <w:color w:val="000000"/>
            </w:rPr>
            <w:fldChar w:fldCharType="separate"/>
          </w:r>
          <w:r w:rsidRPr="00166DB1">
            <w:rPr>
              <w:rFonts w:ascii="Garamond" w:eastAsia="Garamond" w:hAnsi="Garamond"/>
              <w:noProof/>
              <w:color w:val="000000"/>
            </w:rPr>
            <w:t xml:space="preserve"> [9]</w:t>
          </w:r>
          <w:r w:rsidRPr="00166DB1">
            <w:rPr>
              <w:rFonts w:ascii="Garamond" w:eastAsia="Garamond" w:hAnsi="Garamond"/>
              <w:color w:val="000000"/>
            </w:rPr>
            <w:fldChar w:fldCharType="end"/>
          </w:r>
        </w:sdtContent>
      </w:sdt>
      <w:r w:rsidRPr="00166DB1">
        <w:rPr>
          <w:rFonts w:ascii="Garamond" w:eastAsia="Garamond" w:hAnsi="Garamond"/>
          <w:color w:val="000000"/>
        </w:rPr>
        <w:t xml:space="preserve"> The Modified Monash Model is based on geographic remoteness and population data and is considered to be more up-to-date than other models including the ARIA or the Australian Statistical Geographic Standard – Remoteness Areas (ASGC – RA). </w:t>
      </w:r>
    </w:p>
    <w:p w14:paraId="5C616E18" w14:textId="5458551E" w:rsidR="00166DB1" w:rsidRPr="00BF753C" w:rsidRDefault="00166DB1" w:rsidP="00BF753C">
      <w:pPr>
        <w:pStyle w:val="ESHeading3"/>
        <w:spacing w:before="120"/>
      </w:pPr>
      <w:bookmarkStart w:id="130" w:name="_Toc490574951"/>
      <w:r w:rsidRPr="00BF753C">
        <w:t>Option 3: Moderate restructure of programs</w:t>
      </w:r>
      <w:bookmarkEnd w:id="130"/>
    </w:p>
    <w:p w14:paraId="20C97DB1"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A moderate restructure of programs would allow for the inclusion of different types of workforce programs to further assist workforce growth in rural and remote areas.</w:t>
      </w:r>
    </w:p>
    <w:p w14:paraId="6CE7A326"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Existing recruitment programs only target new graduates. Consequently, other avenues for potential recruits, such as qualified pharmacists in major cities or overseas trained pharmacists, have not been explored. </w:t>
      </w:r>
    </w:p>
    <w:p w14:paraId="0D6ADD52"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Relocation grants are one type of program used by other health professions to attract qualified staff to move from major cities, or even from inner / outer regional areas to more remote locations. Until July 2015, GPs were able to access a relocation program, which may have contributed to the relative high FTE rate of GPs in remote areas. Similarly, since July 2013 and until recently, dentists were able to access relocation and infrastructure grants to move to rural areas. This program correlated with significant growth in the dentistry workforce in rural and remote areas between 2013 and 2015.  </w:t>
      </w:r>
    </w:p>
    <w:p w14:paraId="57B957A6"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Additionally, GP incentive programs include incentives for overseas trained GPs to work in remote or difficult-to-recruit locations. If workforce shortages continue to be a barrier to medicine access in remote locations, a similar program for overseas trained pharmacists could be an option for consideration. </w:t>
      </w:r>
    </w:p>
    <w:p w14:paraId="7C64525E"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Other types of retention programs could also be explored such as assistance with small business operations (e.g. accounting, new infrastructure), assistance or flexible legislation for single pharmacist areas or professional networking opportunities. Expansion and modification to existing retention programs could also result in additional activity as discussed in options 1 and 2. </w:t>
      </w:r>
    </w:p>
    <w:p w14:paraId="2FB8E2E6"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Increasing the capacity of the RPLOs to include greater support for the existing workforce may ease challenges experienced by pharmacists in rural and remote locations (at present, program rules require RPLOs to support students on placements coordinated through UDRHs).</w:t>
      </w:r>
    </w:p>
    <w:p w14:paraId="62E56A0B"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Significant investment in additional programs and program modification could be required to implement any of the changes referred to in Option 3.</w:t>
      </w:r>
    </w:p>
    <w:p w14:paraId="162215B2" w14:textId="3DC89DBE" w:rsidR="00166DB1" w:rsidRPr="00166DB1" w:rsidRDefault="00166DB1" w:rsidP="00BF753C">
      <w:pPr>
        <w:pStyle w:val="ESHeading3"/>
        <w:spacing w:before="120"/>
      </w:pPr>
      <w:bookmarkStart w:id="131" w:name="_Toc490574952"/>
      <w:r w:rsidRPr="00166DB1">
        <w:t>Option 4: Major restructure of programs</w:t>
      </w:r>
      <w:bookmarkEnd w:id="131"/>
    </w:p>
    <w:p w14:paraId="34A6FE25"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A major restructure of the Pharmacy Workforce Programs would be to cease existing programs, and divert all current investment into a program that could provide greater support pharmacists in targeted geographic locations, e.g. outer </w:t>
      </w:r>
      <w:r w:rsidRPr="00166DB1">
        <w:rPr>
          <w:rFonts w:ascii="Garamond" w:eastAsia="Garamond" w:hAnsi="Garamond"/>
          <w:color w:val="000000"/>
        </w:rPr>
        <w:lastRenderedPageBreak/>
        <w:t>regional or remote areas. The funding could be tiered based on rurality to reflect the additional challenges and costs associated with working in these locations. One mechanism to implement this type of model would be to merge the funds into the existing Rural Pharmacy Maintenance Allowance.</w:t>
      </w:r>
    </w:p>
    <w:p w14:paraId="057098ED" w14:textId="5BC64A98"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However, as the funding for the Pharmacy Workforce Programs is relatively small, the effect of such a restructure would be minimal at the individual pharmacy level. It could also create frustration for many pharmacists who would no longer receive access to allowances such as the CPE Allowance (the Rural Pharmacy Maintenance Allowance is paid to pharmacy owners).</w:t>
      </w:r>
    </w:p>
    <w:p w14:paraId="4BA77A83"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A final variant under option 4 would be to substantially increase the value of individual payments under each of the programs, e.g. double the value of a student scholarship or mentorship payments. This would require a substantial investment of funds but the consequent increased take-up could lead to willingness of the pharmacy workforce to work or remain in rural and remote areas.</w:t>
      </w:r>
    </w:p>
    <w:p w14:paraId="7313D931" w14:textId="36A216DB" w:rsidR="00166DB1" w:rsidRPr="00166DB1" w:rsidRDefault="00166DB1" w:rsidP="00B24642">
      <w:pPr>
        <w:pStyle w:val="Heading2"/>
      </w:pPr>
      <w:bookmarkStart w:id="132" w:name="_Toc490574953"/>
      <w:bookmarkStart w:id="133" w:name="_Toc523322086"/>
      <w:r w:rsidRPr="00166DB1">
        <w:t>Conclusion</w:t>
      </w:r>
      <w:bookmarkEnd w:id="132"/>
      <w:bookmarkEnd w:id="133"/>
    </w:p>
    <w:p w14:paraId="5B801254" w14:textId="77777777" w:rsidR="00166DB1" w:rsidRPr="00166DB1" w:rsidRDefault="00166DB1" w:rsidP="00166DB1">
      <w:pPr>
        <w:keepNext/>
        <w:spacing w:before="85" w:after="85"/>
        <w:rPr>
          <w:rFonts w:ascii="Garamond" w:eastAsia="Garamond" w:hAnsi="Garamond"/>
          <w:color w:val="000000"/>
        </w:rPr>
      </w:pPr>
      <w:r w:rsidRPr="00166DB1">
        <w:rPr>
          <w:rFonts w:ascii="Garamond" w:eastAsia="Garamond" w:hAnsi="Garamond"/>
          <w:color w:val="000000"/>
        </w:rPr>
        <w:t>The Pharmacy Workforce Programs have had a negligible impact at a macro level when measured against growing the rural and remote pharmacy workforce. However, they are perceived to be useful by individual recipients and this may have slowed a potential decline in rural pharmacist numbers at the margin. In order for the Pharmacy Workforce Package to have a greater impact on the rural and remote pharmacy workforce, a greater investment is required. Additionally, modifications to the programs could be made:</w:t>
      </w:r>
    </w:p>
    <w:p w14:paraId="5B4BFF26" w14:textId="77777777" w:rsidR="00166DB1" w:rsidRPr="0006633E" w:rsidRDefault="00166DB1" w:rsidP="009F66FB">
      <w:pPr>
        <w:pStyle w:val="ListParagraph"/>
        <w:keepNext/>
        <w:keepLines/>
        <w:numPr>
          <w:ilvl w:val="0"/>
          <w:numId w:val="25"/>
        </w:numPr>
        <w:tabs>
          <w:tab w:val="num" w:pos="170"/>
        </w:tabs>
        <w:spacing w:before="20" w:after="20"/>
        <w:rPr>
          <w:rFonts w:ascii="Garamond" w:eastAsia="Times New Roman" w:hAnsi="Garamond"/>
          <w:color w:val="000000"/>
        </w:rPr>
      </w:pPr>
      <w:r w:rsidRPr="0006633E">
        <w:rPr>
          <w:rFonts w:ascii="Garamond" w:eastAsia="Times New Roman" w:hAnsi="Garamond"/>
          <w:color w:val="000000"/>
        </w:rPr>
        <w:t>via minor adjustments (see Option 1), or</w:t>
      </w:r>
    </w:p>
    <w:p w14:paraId="0D883E75" w14:textId="1AD44DAA" w:rsidR="00166DB1" w:rsidRPr="0006633E" w:rsidRDefault="00166DB1" w:rsidP="009F66FB">
      <w:pPr>
        <w:pStyle w:val="ListParagraph"/>
        <w:keepNext/>
        <w:keepLines/>
        <w:numPr>
          <w:ilvl w:val="0"/>
          <w:numId w:val="25"/>
        </w:numPr>
        <w:tabs>
          <w:tab w:val="num" w:pos="170"/>
        </w:tabs>
        <w:spacing w:before="20" w:after="20"/>
        <w:rPr>
          <w:rFonts w:ascii="Garamond" w:eastAsia="Times New Roman" w:hAnsi="Garamond"/>
          <w:color w:val="000000"/>
        </w:rPr>
      </w:pPr>
      <w:r w:rsidRPr="0006633E">
        <w:rPr>
          <w:rFonts w:ascii="Garamond" w:eastAsia="Times New Roman" w:hAnsi="Garamond"/>
          <w:color w:val="000000"/>
        </w:rPr>
        <w:t xml:space="preserve">through a major restructure that would improve program effectiveness and reach. </w:t>
      </w:r>
    </w:p>
    <w:p w14:paraId="463FB2F0" w14:textId="77777777" w:rsidR="00281DD2" w:rsidRDefault="00166DB1" w:rsidP="00166DB1">
      <w:pPr>
        <w:spacing w:before="85" w:after="85"/>
        <w:rPr>
          <w:rFonts w:ascii="Garamond" w:eastAsia="Garamond" w:hAnsi="Garamond"/>
          <w:color w:val="000000"/>
        </w:rPr>
        <w:sectPr w:rsidR="00281DD2" w:rsidSect="00720069">
          <w:pgSz w:w="16839" w:h="11907" w:orient="landscape" w:code="9"/>
          <w:pgMar w:top="2268" w:right="1304" w:bottom="850" w:left="737" w:header="567" w:footer="284" w:gutter="0"/>
          <w:cols w:num="2" w:space="709"/>
          <w:docGrid w:linePitch="360"/>
        </w:sectPr>
      </w:pPr>
      <w:r w:rsidRPr="00166DB1">
        <w:rPr>
          <w:rFonts w:ascii="Garamond" w:eastAsia="Garamond" w:hAnsi="Garamond"/>
          <w:color w:val="000000"/>
        </w:rPr>
        <w:t>Alternatively, consideration could be given to a major change in the value of individual grant values.</w:t>
      </w:r>
    </w:p>
    <w:p w14:paraId="5368350A" w14:textId="5FC79440" w:rsidR="00281DD2" w:rsidRPr="0068689E" w:rsidRDefault="00281DD2" w:rsidP="009F66FB">
      <w:pPr>
        <w:pStyle w:val="Heading1"/>
        <w:rPr>
          <w:lang w:val="en-US"/>
        </w:rPr>
      </w:pPr>
      <w:bookmarkStart w:id="134" w:name="_Toc490574955"/>
      <w:bookmarkStart w:id="135" w:name="_Toc523322087"/>
      <w:bookmarkStart w:id="136" w:name="_Ref488151659"/>
      <w:bookmarkEnd w:id="134"/>
      <w:r w:rsidRPr="0068689E">
        <w:rPr>
          <w:lang w:val="en-US"/>
        </w:rPr>
        <w:lastRenderedPageBreak/>
        <w:t>Appendices</w:t>
      </w:r>
      <w:bookmarkEnd w:id="135"/>
    </w:p>
    <w:p w14:paraId="0CF84944" w14:textId="118C1595" w:rsidR="00166DB1" w:rsidRPr="00166DB1" w:rsidRDefault="00166DB1" w:rsidP="009F66FB">
      <w:pPr>
        <w:pStyle w:val="HeadingAppendix2"/>
      </w:pPr>
      <w:bookmarkStart w:id="137" w:name="_Toc523322088"/>
      <w:r w:rsidRPr="00166DB1">
        <w:t>Historical Evolution of Program Objectives</w:t>
      </w:r>
      <w:bookmarkEnd w:id="137"/>
    </w:p>
    <w:p w14:paraId="2C1F7505" w14:textId="77777777" w:rsidR="00166DB1" w:rsidRPr="00166DB1" w:rsidRDefault="00166DB1" w:rsidP="009F66FB">
      <w:pPr>
        <w:pStyle w:val="ESHeading3"/>
      </w:pPr>
      <w:bookmarkStart w:id="138" w:name="_Toc490574956"/>
      <w:r w:rsidRPr="00166DB1">
        <w:t>Objectives of the Pharmacy Workforce Programs at a Package Level – Historical Evolution</w:t>
      </w:r>
      <w:bookmarkEnd w:id="138"/>
      <w:r w:rsidRPr="00166DB1">
        <w:t xml:space="preserve"> </w:t>
      </w:r>
    </w:p>
    <w:p w14:paraId="4DD906F3"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The main elements of the Pharmacy Workforce Programs were first implemented under the Third Community Pharmacy Agreement (3CPA) in 2000 and were then known as the Rural Pharmacy Workforce Development Programs. The objective at that time at a package level was described as being to:</w:t>
      </w:r>
    </w:p>
    <w:p w14:paraId="19EC72B8" w14:textId="77777777" w:rsidR="00166DB1" w:rsidRPr="00166DB1" w:rsidRDefault="00166DB1" w:rsidP="00166DB1">
      <w:pPr>
        <w:spacing w:before="85" w:after="85"/>
        <w:ind w:left="284" w:right="284"/>
        <w:rPr>
          <w:rFonts w:ascii="Times New Roman" w:eastAsia="Garamond" w:hAnsi="Times New Roman"/>
          <w:i/>
          <w:iCs/>
          <w:color w:val="000000"/>
          <w:sz w:val="20"/>
        </w:rPr>
      </w:pPr>
      <w:r w:rsidRPr="00166DB1">
        <w:rPr>
          <w:rFonts w:ascii="Times New Roman" w:eastAsia="Garamond" w:hAnsi="Times New Roman"/>
          <w:i/>
          <w:iCs/>
          <w:color w:val="000000"/>
          <w:sz w:val="20"/>
        </w:rPr>
        <w:t>‘increase access to community pharmacies for persons in rural and remote regions of Australia’</w:t>
      </w:r>
    </w:p>
    <w:p w14:paraId="1EF9B98A"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In order to achieve this objective, the Rural Pharmacy Workforce Development Program was established. It was stated in the 3CPA that:</w:t>
      </w:r>
    </w:p>
    <w:p w14:paraId="6D4F9B8D" w14:textId="77777777" w:rsidR="00166DB1" w:rsidRPr="00166DB1" w:rsidRDefault="00166DB1" w:rsidP="00166DB1">
      <w:pPr>
        <w:spacing w:before="85" w:after="85"/>
        <w:ind w:left="284" w:right="284"/>
        <w:rPr>
          <w:rFonts w:ascii="Times New Roman" w:eastAsia="Garamond" w:hAnsi="Times New Roman"/>
          <w:i/>
          <w:iCs/>
          <w:color w:val="000000"/>
          <w:sz w:val="20"/>
        </w:rPr>
      </w:pPr>
      <w:r w:rsidRPr="00166DB1">
        <w:rPr>
          <w:rFonts w:ascii="Times New Roman" w:eastAsia="Garamond" w:hAnsi="Times New Roman"/>
          <w:i/>
          <w:iCs/>
          <w:color w:val="000000"/>
          <w:sz w:val="20"/>
        </w:rPr>
        <w:t>‘A range of initiatives [will be implemented]</w:t>
      </w:r>
      <w:r w:rsidRPr="00166DB1">
        <w:rPr>
          <w:rFonts w:ascii="Times New Roman" w:eastAsia="Garamond" w:hAnsi="Times New Roman"/>
          <w:b/>
          <w:i/>
          <w:iCs/>
          <w:color w:val="000000"/>
          <w:sz w:val="20"/>
        </w:rPr>
        <w:t xml:space="preserve"> to address the shortage of pharmacists in rural areas</w:t>
      </w:r>
      <w:r w:rsidRPr="00166DB1">
        <w:rPr>
          <w:rFonts w:ascii="Times New Roman" w:eastAsia="Garamond" w:hAnsi="Times New Roman"/>
          <w:i/>
          <w:iCs/>
          <w:color w:val="000000"/>
          <w:sz w:val="20"/>
        </w:rPr>
        <w:t xml:space="preserve"> [including] an emergency locum scheme; a rural and remote pharmacy infrastructure scheme; an increase in scholarships for pharmacy students from rural and remote areas; funding for pharmacy academic positions in university Departments of Rural Health; expansion of the existing scheme of Continuing Pharmacy Education to improve access for rural and remote pharmacists</w:t>
      </w:r>
      <w:r w:rsidRPr="00166DB1">
        <w:rPr>
          <w:rFonts w:ascii="Times New Roman" w:eastAsia="Garamond" w:hAnsi="Times New Roman"/>
          <w:b/>
          <w:i/>
          <w:iCs/>
          <w:color w:val="000000"/>
          <w:sz w:val="20"/>
        </w:rPr>
        <w:t>; and the identification and recruitment of pharmacists with an Aboriginal or Torres Strait Island background</w:t>
      </w:r>
      <w:r w:rsidRPr="00166DB1">
        <w:rPr>
          <w:rFonts w:ascii="Times New Roman" w:eastAsia="Garamond" w:hAnsi="Times New Roman"/>
          <w:i/>
          <w:iCs/>
          <w:color w:val="000000"/>
          <w:sz w:val="20"/>
        </w:rPr>
        <w:t>.’ [HMA bolding emphasis]</w:t>
      </w:r>
    </w:p>
    <w:p w14:paraId="220F67CF" w14:textId="77777777" w:rsidR="00166DB1" w:rsidRPr="00166DB1" w:rsidRDefault="00166DB1" w:rsidP="00166DB1">
      <w:pPr>
        <w:keepNext/>
        <w:spacing w:before="85" w:after="85"/>
        <w:rPr>
          <w:rFonts w:ascii="Garamond" w:eastAsia="Garamond" w:hAnsi="Garamond"/>
          <w:color w:val="000000"/>
        </w:rPr>
      </w:pPr>
      <w:r w:rsidRPr="00166DB1">
        <w:rPr>
          <w:rFonts w:ascii="Garamond" w:eastAsia="Garamond" w:hAnsi="Garamond"/>
          <w:color w:val="000000"/>
        </w:rPr>
        <w:t xml:space="preserve">The 3CPA did not contain objectives for the individual programs. </w:t>
      </w:r>
    </w:p>
    <w:p w14:paraId="440E4624" w14:textId="77777777" w:rsidR="00166DB1" w:rsidRPr="00166DB1" w:rsidRDefault="00166DB1" w:rsidP="00166DB1">
      <w:pPr>
        <w:keepNext/>
        <w:spacing w:before="85" w:after="85"/>
        <w:rPr>
          <w:rFonts w:ascii="Garamond" w:eastAsia="Garamond" w:hAnsi="Garamond"/>
          <w:color w:val="000000"/>
        </w:rPr>
      </w:pPr>
      <w:r w:rsidRPr="00166DB1">
        <w:rPr>
          <w:rFonts w:ascii="Garamond" w:eastAsia="Garamond" w:hAnsi="Garamond"/>
          <w:color w:val="000000"/>
        </w:rPr>
        <w:t xml:space="preserve">This situation continued for the Fourth and Fifth Agreements, but with a refinement at the package level that referred to increasing access to community pharmacy services. In 2005, the 4CPA Rural Pharmacy Workforce Programs were a </w:t>
      </w:r>
      <w:r w:rsidRPr="00166DB1">
        <w:rPr>
          <w:rFonts w:ascii="Garamond" w:eastAsia="Garamond" w:hAnsi="Garamond"/>
          <w:color w:val="000000"/>
        </w:rPr>
        <w:t>priority under the Rural Pharmacy Allowance and Support component of the Agreement. The aim was described as to:</w:t>
      </w:r>
    </w:p>
    <w:p w14:paraId="72A5BA07" w14:textId="77777777" w:rsidR="00166DB1" w:rsidRPr="00166DB1" w:rsidRDefault="00166DB1" w:rsidP="00166DB1">
      <w:pPr>
        <w:spacing w:before="85" w:after="85"/>
        <w:ind w:left="284" w:right="284"/>
        <w:rPr>
          <w:rFonts w:ascii="Times New Roman" w:eastAsia="Garamond" w:hAnsi="Times New Roman"/>
          <w:i/>
          <w:iCs/>
          <w:color w:val="000000"/>
          <w:sz w:val="20"/>
        </w:rPr>
      </w:pPr>
      <w:r w:rsidRPr="00166DB1">
        <w:rPr>
          <w:rFonts w:ascii="Times New Roman" w:eastAsia="Garamond" w:hAnsi="Times New Roman"/>
          <w:i/>
          <w:iCs/>
          <w:color w:val="000000"/>
          <w:sz w:val="20"/>
        </w:rPr>
        <w:t>‘</w:t>
      </w:r>
      <w:r w:rsidRPr="00166DB1">
        <w:rPr>
          <w:rFonts w:ascii="Times New Roman" w:eastAsia="Garamond" w:hAnsi="Times New Roman"/>
          <w:b/>
          <w:i/>
          <w:iCs/>
          <w:color w:val="000000"/>
          <w:sz w:val="20"/>
        </w:rPr>
        <w:t>Maintain and improve access to quality community pharmacy services for the community in rural and remote areas of Australia</w:t>
      </w:r>
      <w:r w:rsidRPr="00166DB1">
        <w:rPr>
          <w:rFonts w:ascii="Times New Roman" w:eastAsia="Garamond" w:hAnsi="Times New Roman"/>
          <w:i/>
          <w:iCs/>
          <w:color w:val="000000"/>
          <w:sz w:val="20"/>
        </w:rPr>
        <w:t xml:space="preserve"> and to </w:t>
      </w:r>
      <w:r w:rsidRPr="00166DB1">
        <w:rPr>
          <w:rFonts w:ascii="Times New Roman" w:eastAsia="Garamond" w:hAnsi="Times New Roman"/>
          <w:b/>
          <w:i/>
          <w:iCs/>
          <w:color w:val="000000"/>
          <w:sz w:val="20"/>
        </w:rPr>
        <w:t>increase the proportion of the total pharmacy workforce starting practice</w:t>
      </w:r>
      <w:r w:rsidRPr="00166DB1">
        <w:rPr>
          <w:rFonts w:ascii="Times New Roman" w:eastAsia="Garamond" w:hAnsi="Times New Roman"/>
          <w:i/>
          <w:iCs/>
          <w:color w:val="000000"/>
          <w:sz w:val="20"/>
        </w:rPr>
        <w:t xml:space="preserve"> in rural and remote Australia and </w:t>
      </w:r>
      <w:r w:rsidRPr="00166DB1">
        <w:rPr>
          <w:rFonts w:ascii="Times New Roman" w:eastAsia="Garamond" w:hAnsi="Times New Roman"/>
          <w:b/>
          <w:i/>
          <w:iCs/>
          <w:color w:val="000000"/>
          <w:sz w:val="20"/>
        </w:rPr>
        <w:t>staying in rural and remote practice</w:t>
      </w:r>
      <w:r w:rsidRPr="00166DB1">
        <w:rPr>
          <w:rFonts w:ascii="Times New Roman" w:eastAsia="Garamond" w:hAnsi="Times New Roman"/>
          <w:i/>
          <w:iCs/>
          <w:color w:val="000000"/>
          <w:sz w:val="20"/>
        </w:rPr>
        <w:t xml:space="preserve"> for at least five years.’ [HMA bolding emphasis]</w:t>
      </w:r>
    </w:p>
    <w:p w14:paraId="5ADE8E69"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This objective was maintained without change in the 5CPA in 2010. </w:t>
      </w:r>
    </w:p>
    <w:p w14:paraId="270A3354"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In 2015, the 6CPA objectives for the Rural Workforce Package was to:</w:t>
      </w:r>
    </w:p>
    <w:p w14:paraId="4D5FE78B" w14:textId="77777777" w:rsidR="00166DB1" w:rsidRPr="00166DB1" w:rsidRDefault="00166DB1" w:rsidP="00166DB1">
      <w:pPr>
        <w:spacing w:before="85" w:after="85"/>
        <w:ind w:left="284" w:right="284"/>
        <w:rPr>
          <w:rFonts w:ascii="Times New Roman" w:eastAsia="Garamond" w:hAnsi="Times New Roman"/>
          <w:i/>
          <w:iCs/>
          <w:color w:val="000000"/>
          <w:sz w:val="20"/>
        </w:rPr>
      </w:pPr>
      <w:r w:rsidRPr="00166DB1" w:rsidDel="003D4B1E">
        <w:rPr>
          <w:rFonts w:ascii="Times New Roman" w:eastAsia="Garamond" w:hAnsi="Times New Roman"/>
          <w:i/>
          <w:iCs/>
          <w:color w:val="000000"/>
          <w:sz w:val="20"/>
        </w:rPr>
        <w:t xml:space="preserve"> </w:t>
      </w:r>
      <w:r w:rsidRPr="00166DB1">
        <w:rPr>
          <w:rFonts w:ascii="Times New Roman" w:eastAsia="Garamond" w:hAnsi="Times New Roman"/>
          <w:i/>
          <w:iCs/>
          <w:color w:val="000000"/>
          <w:sz w:val="20"/>
        </w:rPr>
        <w:t>‘fund a range of initiatives designed to</w:t>
      </w:r>
      <w:r w:rsidRPr="00166DB1">
        <w:rPr>
          <w:rFonts w:ascii="Times New Roman" w:eastAsia="Garamond" w:hAnsi="Times New Roman"/>
          <w:b/>
          <w:i/>
          <w:iCs/>
          <w:color w:val="000000"/>
          <w:sz w:val="20"/>
        </w:rPr>
        <w:t xml:space="preserve"> strengthen and support the rural pharmacy workforce</w:t>
      </w:r>
      <w:r w:rsidRPr="00166DB1">
        <w:rPr>
          <w:rFonts w:ascii="Times New Roman" w:eastAsia="Garamond" w:hAnsi="Times New Roman"/>
          <w:i/>
          <w:iCs/>
          <w:color w:val="000000"/>
          <w:sz w:val="20"/>
        </w:rPr>
        <w:t xml:space="preserve">, in turn </w:t>
      </w:r>
      <w:r w:rsidRPr="00166DB1">
        <w:rPr>
          <w:rFonts w:ascii="Times New Roman" w:eastAsia="Garamond" w:hAnsi="Times New Roman"/>
          <w:b/>
          <w:i/>
          <w:iCs/>
          <w:color w:val="000000"/>
          <w:sz w:val="20"/>
        </w:rPr>
        <w:t>to provide increased access to quality pharmacy services for consumers residing in rural and remote regions</w:t>
      </w:r>
      <w:r w:rsidRPr="00166DB1">
        <w:rPr>
          <w:rFonts w:ascii="Times New Roman" w:eastAsia="Garamond" w:hAnsi="Times New Roman"/>
          <w:i/>
          <w:iCs/>
          <w:color w:val="000000"/>
          <w:sz w:val="20"/>
        </w:rPr>
        <w:t xml:space="preserve"> of Australia’. </w:t>
      </w:r>
    </w:p>
    <w:p w14:paraId="7342AB04" w14:textId="77777777" w:rsidR="00166DB1" w:rsidRPr="00166DB1" w:rsidRDefault="00166DB1" w:rsidP="0006633E">
      <w:pPr>
        <w:pStyle w:val="ESHeading3"/>
        <w:spacing w:before="240"/>
      </w:pPr>
      <w:r w:rsidRPr="00166DB1">
        <w:t xml:space="preserve">Objectives of the Aboriginal and Torres Strait Islander Specific Package – Historical evolution </w:t>
      </w:r>
    </w:p>
    <w:p w14:paraId="5FA7AB64"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In 2000, the 3CPA stated the following objective for the Aboriginal and Torres Strait Islander Specific Package components: </w:t>
      </w:r>
    </w:p>
    <w:p w14:paraId="3E670DBE" w14:textId="77777777" w:rsidR="00166DB1" w:rsidRPr="00166DB1" w:rsidRDefault="00166DB1" w:rsidP="00166DB1">
      <w:pPr>
        <w:spacing w:before="85" w:after="85"/>
        <w:ind w:left="284" w:right="284"/>
        <w:rPr>
          <w:rFonts w:ascii="Times New Roman" w:eastAsia="Garamond" w:hAnsi="Times New Roman"/>
          <w:i/>
          <w:iCs/>
          <w:color w:val="000000"/>
          <w:sz w:val="20"/>
        </w:rPr>
      </w:pPr>
      <w:r w:rsidRPr="00166DB1">
        <w:rPr>
          <w:rFonts w:ascii="Times New Roman" w:eastAsia="Garamond" w:hAnsi="Times New Roman"/>
          <w:i/>
          <w:iCs/>
          <w:color w:val="000000"/>
          <w:sz w:val="20"/>
        </w:rPr>
        <w:t>‘a focus on achieving continued improvement in community pharmacy services provided to Aboriginal and Torres Strait Islander people’.</w:t>
      </w:r>
    </w:p>
    <w:p w14:paraId="128719E1"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In 2005, the 4CPA introduced </w:t>
      </w:r>
      <w:r w:rsidRPr="00166DB1">
        <w:rPr>
          <w:rFonts w:ascii="Garamond" w:eastAsia="Garamond" w:hAnsi="Garamond"/>
          <w:i/>
          <w:color w:val="000000"/>
        </w:rPr>
        <w:t>Aboriginal and Torres Strait Islander</w:t>
      </w:r>
      <w:r w:rsidRPr="00166DB1">
        <w:rPr>
          <w:rFonts w:ascii="Garamond" w:eastAsia="Garamond" w:hAnsi="Garamond"/>
          <w:color w:val="000000"/>
        </w:rPr>
        <w:t xml:space="preserve"> </w:t>
      </w:r>
      <w:r w:rsidRPr="00166DB1">
        <w:rPr>
          <w:rFonts w:ascii="Garamond" w:eastAsia="Garamond" w:hAnsi="Garamond"/>
          <w:i/>
          <w:color w:val="000000"/>
        </w:rPr>
        <w:t>Access</w:t>
      </w:r>
      <w:r w:rsidRPr="00166DB1">
        <w:rPr>
          <w:rFonts w:ascii="Garamond" w:eastAsia="Garamond" w:hAnsi="Garamond"/>
          <w:color w:val="000000"/>
        </w:rPr>
        <w:t xml:space="preserve"> as a priority area, which aimed to </w:t>
      </w:r>
    </w:p>
    <w:p w14:paraId="63F876C5" w14:textId="77777777" w:rsidR="00166DB1" w:rsidRPr="00166DB1" w:rsidRDefault="00166DB1" w:rsidP="00166DB1">
      <w:pPr>
        <w:spacing w:before="85" w:after="85"/>
        <w:ind w:left="284" w:right="284"/>
        <w:rPr>
          <w:rFonts w:ascii="Times New Roman" w:eastAsia="Garamond" w:hAnsi="Times New Roman"/>
          <w:i/>
          <w:iCs/>
          <w:color w:val="000000"/>
          <w:sz w:val="20"/>
        </w:rPr>
      </w:pPr>
      <w:r w:rsidRPr="00166DB1">
        <w:rPr>
          <w:rFonts w:ascii="Times New Roman" w:eastAsia="Garamond" w:hAnsi="Times New Roman"/>
          <w:i/>
          <w:iCs/>
          <w:color w:val="000000"/>
          <w:sz w:val="20"/>
        </w:rPr>
        <w:t>improve access to community pharmacy services by Indigenous Australians by taking account of cultural issues in meeting Indigenous health needs.</w:t>
      </w:r>
    </w:p>
    <w:p w14:paraId="4DF15FF2"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This saw the introduction of the Aboriginal and Torres Strait Islander Undergraduate Pharmacy Scholarship Scheme and the Aboriginal and Torres Strait Islander Pharmacy Assistant Scholarship Scheme.</w:t>
      </w:r>
    </w:p>
    <w:p w14:paraId="3FFAB4D6"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In 2010, the 5 CPA maintained the objectives for </w:t>
      </w:r>
      <w:r w:rsidRPr="00166DB1">
        <w:rPr>
          <w:rFonts w:ascii="Garamond" w:eastAsia="Garamond" w:hAnsi="Garamond"/>
          <w:i/>
          <w:color w:val="000000"/>
        </w:rPr>
        <w:t>Aboriginal and Torres Strait Islander</w:t>
      </w:r>
      <w:r w:rsidRPr="00166DB1">
        <w:rPr>
          <w:rFonts w:ascii="Garamond" w:eastAsia="Garamond" w:hAnsi="Garamond"/>
          <w:color w:val="000000"/>
        </w:rPr>
        <w:t xml:space="preserve"> </w:t>
      </w:r>
      <w:r w:rsidRPr="00166DB1">
        <w:rPr>
          <w:rFonts w:ascii="Garamond" w:eastAsia="Garamond" w:hAnsi="Garamond"/>
          <w:i/>
          <w:color w:val="000000"/>
        </w:rPr>
        <w:t xml:space="preserve">Programs </w:t>
      </w:r>
      <w:r w:rsidRPr="00166DB1">
        <w:rPr>
          <w:rFonts w:ascii="Garamond" w:eastAsia="Garamond" w:hAnsi="Garamond"/>
          <w:color w:val="000000"/>
        </w:rPr>
        <w:t xml:space="preserve">and maintained </w:t>
      </w:r>
      <w:r w:rsidRPr="00166DB1">
        <w:rPr>
          <w:rFonts w:ascii="Garamond" w:eastAsia="Garamond" w:hAnsi="Garamond"/>
          <w:i/>
          <w:color w:val="000000"/>
        </w:rPr>
        <w:t>Aboriginal and Torres Strait Islander Workforce</w:t>
      </w:r>
      <w:r w:rsidRPr="00166DB1">
        <w:rPr>
          <w:rFonts w:ascii="Garamond" w:eastAsia="Garamond" w:hAnsi="Garamond"/>
          <w:color w:val="000000"/>
        </w:rPr>
        <w:t xml:space="preserve"> as a priority alongside Section 100 and QUM programs. </w:t>
      </w:r>
    </w:p>
    <w:p w14:paraId="0FF83B21"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lastRenderedPageBreak/>
        <w:t>In 2015, the 6CPA objectives for the Aboriginal and Torres Strait Islander Workforce Package was to:</w:t>
      </w:r>
    </w:p>
    <w:p w14:paraId="4D30970A" w14:textId="633ADA88" w:rsidR="00166DB1" w:rsidRDefault="00166DB1" w:rsidP="005A6C5B">
      <w:pPr>
        <w:spacing w:before="85" w:after="85"/>
        <w:ind w:left="284" w:right="284"/>
        <w:rPr>
          <w:rFonts w:ascii="Times New Roman" w:eastAsia="Garamond" w:hAnsi="Times New Roman"/>
          <w:i/>
          <w:iCs/>
          <w:color w:val="000000"/>
          <w:sz w:val="20"/>
        </w:rPr>
      </w:pPr>
      <w:r w:rsidRPr="00166DB1">
        <w:rPr>
          <w:rFonts w:ascii="Times New Roman" w:eastAsia="Garamond" w:hAnsi="Times New Roman"/>
          <w:i/>
          <w:iCs/>
          <w:color w:val="000000"/>
          <w:sz w:val="20"/>
        </w:rPr>
        <w:t>‘fund a range of initiatives designed to strengthen and support the [Aboriginal and Torres Strait Islander] pharmacy workforce, which in turn will provide improved, culturally-appropriate pharmacy services for [Aboriginal and Torres Strait Islander] consumers’.</w:t>
      </w:r>
    </w:p>
    <w:p w14:paraId="63DE77A9" w14:textId="77777777" w:rsidR="005A6C5B" w:rsidRPr="005A6C5B" w:rsidRDefault="005A6C5B" w:rsidP="005A6C5B">
      <w:pPr>
        <w:spacing w:before="85" w:after="85"/>
        <w:ind w:left="284" w:right="284"/>
        <w:rPr>
          <w:rFonts w:ascii="Times New Roman" w:eastAsia="Garamond" w:hAnsi="Times New Roman"/>
          <w:i/>
          <w:iCs/>
          <w:color w:val="000000"/>
          <w:sz w:val="20"/>
        </w:rPr>
      </w:pPr>
    </w:p>
    <w:p w14:paraId="45665FD0" w14:textId="527FCA57" w:rsidR="005A6C5B" w:rsidRDefault="005A6C5B" w:rsidP="00166DB1">
      <w:pPr>
        <w:spacing w:before="85" w:after="85"/>
        <w:rPr>
          <w:rFonts w:ascii="Garamond" w:eastAsia="Garamond" w:hAnsi="Garamond"/>
          <w:color w:val="000000"/>
        </w:rPr>
      </w:pPr>
    </w:p>
    <w:p w14:paraId="22560A32" w14:textId="77777777" w:rsidR="005A6C5B" w:rsidRDefault="005A6C5B" w:rsidP="00166DB1">
      <w:pPr>
        <w:spacing w:before="85" w:after="85"/>
        <w:rPr>
          <w:rFonts w:ascii="Garamond" w:eastAsia="Garamond" w:hAnsi="Garamond"/>
          <w:color w:val="000000"/>
        </w:rPr>
        <w:sectPr w:rsidR="005A6C5B" w:rsidSect="00072DFC">
          <w:headerReference w:type="default" r:id="rId40"/>
          <w:pgSz w:w="16839" w:h="11907" w:orient="landscape" w:code="9"/>
          <w:pgMar w:top="2268" w:right="1304" w:bottom="850" w:left="737" w:header="567" w:footer="284" w:gutter="0"/>
          <w:cols w:num="2" w:space="709"/>
          <w:titlePg/>
          <w:docGrid w:linePitch="360"/>
        </w:sectPr>
      </w:pPr>
    </w:p>
    <w:p w14:paraId="33A0AA28" w14:textId="4BB4D718" w:rsidR="00166DB1" w:rsidRPr="00166DB1" w:rsidRDefault="00166DB1" w:rsidP="009F66FB">
      <w:pPr>
        <w:pStyle w:val="HeadingAppendix2"/>
      </w:pPr>
      <w:bookmarkStart w:id="139" w:name="_Toc490574957"/>
      <w:bookmarkStart w:id="140" w:name="_Toc523322089"/>
      <w:r w:rsidRPr="00166DB1">
        <w:lastRenderedPageBreak/>
        <w:t>Other influencing programs</w:t>
      </w:r>
      <w:bookmarkEnd w:id="136"/>
      <w:bookmarkEnd w:id="139"/>
      <w:bookmarkEnd w:id="140"/>
    </w:p>
    <w:p w14:paraId="35AC8E9C" w14:textId="77777777" w:rsidR="00166DB1" w:rsidRPr="00166DB1" w:rsidRDefault="00166DB1" w:rsidP="009F66FB">
      <w:pPr>
        <w:pStyle w:val="ESHeading3"/>
      </w:pPr>
      <w:r w:rsidRPr="00166DB1">
        <w:t>Rural Pharmacy Maintenance Allowance</w:t>
      </w:r>
    </w:p>
    <w:p w14:paraId="37E7B47D"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The Rural Pharmacy Maintenance Allowance (RPMA) recognises the additional financial burden of maintaining a pharmacy in rural and remote areas of Australia. A monthly allowance is paid to eligible pharmacy owners. The amount of the allowance ranges from approximately </w:t>
      </w:r>
      <w:r w:rsidRPr="00166DB1">
        <w:rPr>
          <w:rFonts w:ascii="Times New Roman" w:eastAsia="Garamond" w:hAnsi="Times New Roman"/>
          <w:color w:val="000000"/>
        </w:rPr>
        <w:t>$</w:t>
      </w:r>
      <w:r w:rsidRPr="00166DB1">
        <w:rPr>
          <w:rFonts w:ascii="Garamond" w:eastAsia="Garamond" w:hAnsi="Garamond"/>
          <w:color w:val="000000"/>
        </w:rPr>
        <w:t xml:space="preserve">5,000 to over </w:t>
      </w:r>
      <w:r w:rsidRPr="00166DB1">
        <w:rPr>
          <w:rFonts w:ascii="Times New Roman" w:eastAsia="Garamond" w:hAnsi="Times New Roman"/>
          <w:color w:val="000000"/>
        </w:rPr>
        <w:t>$</w:t>
      </w:r>
      <w:r w:rsidRPr="00166DB1">
        <w:rPr>
          <w:rFonts w:ascii="Garamond" w:eastAsia="Garamond" w:hAnsi="Garamond"/>
          <w:color w:val="000000"/>
        </w:rPr>
        <w:t>45,000 per annum, calculated annually, based on the remoteness of the pharmacy (according to the Pharmacy Accessibility Remoteness Index of Australia, PhARIA), and the volume of prescriptions processed. The allowance is payable to eligible proprietors of pharmacies approved under section 90 of the National Health Act 1953.</w:t>
      </w:r>
      <w:sdt>
        <w:sdtPr>
          <w:rPr>
            <w:rFonts w:ascii="Garamond" w:eastAsia="Garamond" w:hAnsi="Garamond"/>
            <w:color w:val="000000"/>
          </w:rPr>
          <w:id w:val="760645931"/>
          <w:citation/>
        </w:sdtPr>
        <w:sdtEndPr/>
        <w:sdtContent>
          <w:r w:rsidRPr="00166DB1">
            <w:rPr>
              <w:rFonts w:ascii="Garamond" w:eastAsia="Garamond" w:hAnsi="Garamond"/>
              <w:color w:val="000000"/>
            </w:rPr>
            <w:fldChar w:fldCharType="begin"/>
          </w:r>
          <w:r w:rsidRPr="00166DB1">
            <w:rPr>
              <w:rFonts w:ascii="Garamond" w:eastAsia="Garamond" w:hAnsi="Garamond"/>
              <w:color w:val="000000"/>
            </w:rPr>
            <w:instrText xml:space="preserve">CITATION Dep16 \l 3081 </w:instrText>
          </w:r>
          <w:r w:rsidRPr="00166DB1">
            <w:rPr>
              <w:rFonts w:ascii="Garamond" w:eastAsia="Garamond" w:hAnsi="Garamond"/>
              <w:color w:val="000000"/>
            </w:rPr>
            <w:fldChar w:fldCharType="separate"/>
          </w:r>
          <w:r w:rsidRPr="00166DB1">
            <w:rPr>
              <w:rFonts w:ascii="Garamond" w:eastAsia="Garamond" w:hAnsi="Garamond"/>
              <w:noProof/>
              <w:color w:val="000000"/>
            </w:rPr>
            <w:t xml:space="preserve"> [10]</w:t>
          </w:r>
          <w:r w:rsidRPr="00166DB1">
            <w:rPr>
              <w:rFonts w:ascii="Garamond" w:eastAsia="Garamond" w:hAnsi="Garamond"/>
              <w:color w:val="000000"/>
            </w:rPr>
            <w:fldChar w:fldCharType="end"/>
          </w:r>
        </w:sdtContent>
      </w:sdt>
    </w:p>
    <w:p w14:paraId="4F03F3A1" w14:textId="77777777" w:rsidR="00166DB1" w:rsidRPr="00166DB1" w:rsidRDefault="00166DB1" w:rsidP="00E45E42">
      <w:pPr>
        <w:pStyle w:val="ESHeading3"/>
      </w:pPr>
      <w:r w:rsidRPr="00166DB1">
        <w:t>QUMAX</w:t>
      </w:r>
    </w:p>
    <w:p w14:paraId="65A6479F"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The Quality Use of Medicines Maximised for Aboriginal and Torres Strait Islander Peoples (QUMAX) Program is a support initiative that aims to improve health outcomes for Aboriginal and Torres Strait Islander people at participating Aboriginal Community Controlled Health Services (ACCHSs). The QUMAX Program focuses on QUM support services provided by participating ACCHS and community pharmacies in rural and urban Australia. The support services include:</w:t>
      </w:r>
    </w:p>
    <w:p w14:paraId="37167A53" w14:textId="77777777" w:rsidR="00166DB1" w:rsidRPr="00BF753C" w:rsidRDefault="00166DB1" w:rsidP="009F66FB">
      <w:pPr>
        <w:pStyle w:val="ListParagraph"/>
        <w:numPr>
          <w:ilvl w:val="0"/>
          <w:numId w:val="27"/>
        </w:numPr>
        <w:tabs>
          <w:tab w:val="num" w:pos="426"/>
        </w:tabs>
        <w:spacing w:before="20" w:after="20"/>
        <w:ind w:left="426" w:hanging="426"/>
        <w:rPr>
          <w:rFonts w:ascii="Garamond" w:eastAsia="Times New Roman" w:hAnsi="Garamond"/>
          <w:color w:val="000000"/>
        </w:rPr>
      </w:pPr>
      <w:r w:rsidRPr="00BF753C">
        <w:rPr>
          <w:rFonts w:ascii="Garamond" w:eastAsia="Times New Roman" w:hAnsi="Garamond"/>
          <w:color w:val="000000"/>
        </w:rPr>
        <w:t>dose administration aids arrangements with participating community pharmacies</w:t>
      </w:r>
    </w:p>
    <w:p w14:paraId="745F9AA4" w14:textId="77777777" w:rsidR="00166DB1" w:rsidRPr="00BF753C" w:rsidRDefault="00166DB1" w:rsidP="009F66FB">
      <w:pPr>
        <w:pStyle w:val="ListParagraph"/>
        <w:numPr>
          <w:ilvl w:val="0"/>
          <w:numId w:val="27"/>
        </w:numPr>
        <w:tabs>
          <w:tab w:val="num" w:pos="426"/>
        </w:tabs>
        <w:spacing w:before="20" w:after="20"/>
        <w:ind w:left="426" w:hanging="426"/>
        <w:rPr>
          <w:rFonts w:ascii="Garamond" w:eastAsia="Times New Roman" w:hAnsi="Garamond"/>
          <w:color w:val="000000"/>
        </w:rPr>
      </w:pPr>
      <w:r w:rsidRPr="00BF753C">
        <w:rPr>
          <w:rFonts w:ascii="Garamond" w:eastAsia="Times New Roman" w:hAnsi="Garamond"/>
          <w:color w:val="000000"/>
        </w:rPr>
        <w:t>pharmacy support, e.g. QUM planning, policies, protocol development, medicine quality assurance and appropriate Safety Net utilisation</w:t>
      </w:r>
    </w:p>
    <w:p w14:paraId="12BC7347" w14:textId="77777777" w:rsidR="00166DB1" w:rsidRPr="00BF753C" w:rsidRDefault="00166DB1" w:rsidP="009F66FB">
      <w:pPr>
        <w:pStyle w:val="ListParagraph"/>
        <w:numPr>
          <w:ilvl w:val="0"/>
          <w:numId w:val="27"/>
        </w:numPr>
        <w:tabs>
          <w:tab w:val="num" w:pos="426"/>
        </w:tabs>
        <w:spacing w:before="20" w:after="20"/>
        <w:ind w:left="426" w:hanging="426"/>
        <w:rPr>
          <w:rFonts w:ascii="Garamond" w:eastAsia="Times New Roman" w:hAnsi="Garamond"/>
          <w:color w:val="000000"/>
        </w:rPr>
      </w:pPr>
      <w:r w:rsidRPr="00BF753C">
        <w:rPr>
          <w:rFonts w:ascii="Garamond" w:eastAsia="Times New Roman" w:hAnsi="Garamond"/>
          <w:color w:val="000000"/>
        </w:rPr>
        <w:t>reducing the cultural and logistical barriers to accessing home medication reviews for ACCHS clients</w:t>
      </w:r>
    </w:p>
    <w:p w14:paraId="629F1B45" w14:textId="77777777" w:rsidR="00166DB1" w:rsidRPr="00BF753C" w:rsidRDefault="00166DB1" w:rsidP="009F66FB">
      <w:pPr>
        <w:pStyle w:val="ListParagraph"/>
        <w:numPr>
          <w:ilvl w:val="0"/>
          <w:numId w:val="27"/>
        </w:numPr>
        <w:tabs>
          <w:tab w:val="num" w:pos="426"/>
        </w:tabs>
        <w:spacing w:before="20" w:after="20"/>
        <w:ind w:left="426" w:hanging="426"/>
        <w:rPr>
          <w:rFonts w:ascii="Garamond" w:eastAsia="Times New Roman" w:hAnsi="Garamond"/>
          <w:color w:val="000000"/>
        </w:rPr>
      </w:pPr>
      <w:r w:rsidRPr="00BF753C">
        <w:rPr>
          <w:rFonts w:ascii="Garamond" w:eastAsia="Times New Roman" w:hAnsi="Garamond"/>
          <w:color w:val="000000"/>
        </w:rPr>
        <w:t>QUM devices</w:t>
      </w:r>
    </w:p>
    <w:p w14:paraId="0CE613EA" w14:textId="77777777" w:rsidR="00166DB1" w:rsidRPr="00BF753C" w:rsidRDefault="00166DB1" w:rsidP="009F66FB">
      <w:pPr>
        <w:pStyle w:val="ListParagraph"/>
        <w:numPr>
          <w:ilvl w:val="0"/>
          <w:numId w:val="27"/>
        </w:numPr>
        <w:tabs>
          <w:tab w:val="num" w:pos="426"/>
        </w:tabs>
        <w:spacing w:before="20" w:after="20"/>
        <w:ind w:left="426" w:hanging="426"/>
        <w:rPr>
          <w:rFonts w:ascii="Garamond" w:eastAsia="Times New Roman" w:hAnsi="Garamond"/>
          <w:color w:val="000000"/>
        </w:rPr>
      </w:pPr>
      <w:r w:rsidRPr="00BF753C">
        <w:rPr>
          <w:rFonts w:ascii="Garamond" w:eastAsia="Times New Roman" w:hAnsi="Garamond"/>
          <w:color w:val="000000"/>
        </w:rPr>
        <w:t>education and training for ACCHS employees</w:t>
      </w:r>
    </w:p>
    <w:p w14:paraId="7196B66C" w14:textId="77777777" w:rsidR="00166DB1" w:rsidRPr="00BF753C" w:rsidRDefault="00166DB1" w:rsidP="00AB00DC">
      <w:pPr>
        <w:pStyle w:val="ListParagraph"/>
        <w:keepNext/>
        <w:numPr>
          <w:ilvl w:val="0"/>
          <w:numId w:val="27"/>
        </w:numPr>
        <w:tabs>
          <w:tab w:val="num" w:pos="426"/>
        </w:tabs>
        <w:spacing w:before="20" w:after="20"/>
        <w:ind w:left="425" w:hanging="425"/>
        <w:rPr>
          <w:rFonts w:ascii="Garamond" w:eastAsia="Times New Roman" w:hAnsi="Garamond"/>
          <w:color w:val="000000"/>
        </w:rPr>
      </w:pPr>
      <w:r w:rsidRPr="00BF753C">
        <w:rPr>
          <w:rFonts w:ascii="Garamond" w:eastAsia="Times New Roman" w:hAnsi="Garamond"/>
          <w:color w:val="000000"/>
        </w:rPr>
        <w:t xml:space="preserve">cultural awareness training for community pharmacists and other community pharmacy staff, and </w:t>
      </w:r>
    </w:p>
    <w:p w14:paraId="3DE132D6" w14:textId="77777777" w:rsidR="00166DB1" w:rsidRPr="00BF753C" w:rsidRDefault="00166DB1" w:rsidP="009F66FB">
      <w:pPr>
        <w:pStyle w:val="ListParagraph"/>
        <w:numPr>
          <w:ilvl w:val="0"/>
          <w:numId w:val="27"/>
        </w:numPr>
        <w:tabs>
          <w:tab w:val="num" w:pos="426"/>
        </w:tabs>
        <w:spacing w:before="20" w:after="20"/>
        <w:ind w:left="426" w:hanging="426"/>
        <w:rPr>
          <w:rFonts w:ascii="Garamond" w:eastAsia="Times New Roman" w:hAnsi="Garamond"/>
          <w:color w:val="000000"/>
        </w:rPr>
      </w:pPr>
      <w:r w:rsidRPr="00BF753C">
        <w:rPr>
          <w:rFonts w:ascii="Garamond" w:eastAsia="Times New Roman" w:hAnsi="Garamond"/>
          <w:color w:val="000000"/>
        </w:rPr>
        <w:t>transport support to access medicines and community pharmacy services.</w:t>
      </w:r>
      <w:sdt>
        <w:sdtPr>
          <w:id w:val="-1700928098"/>
          <w:citation/>
        </w:sdtPr>
        <w:sdtEndPr/>
        <w:sdtContent>
          <w:r w:rsidRPr="00BF753C">
            <w:rPr>
              <w:rFonts w:ascii="Garamond" w:eastAsia="Times New Roman" w:hAnsi="Garamond"/>
              <w:color w:val="000000"/>
            </w:rPr>
            <w:fldChar w:fldCharType="begin"/>
          </w:r>
          <w:r w:rsidRPr="00BF753C">
            <w:rPr>
              <w:rFonts w:ascii="Garamond" w:eastAsia="Times New Roman" w:hAnsi="Garamond"/>
              <w:color w:val="000000"/>
            </w:rPr>
            <w:instrText xml:space="preserve">CITATION Dep16 \l 3081 </w:instrText>
          </w:r>
          <w:r w:rsidRPr="00BF753C">
            <w:rPr>
              <w:rFonts w:ascii="Garamond" w:eastAsia="Times New Roman" w:hAnsi="Garamond"/>
              <w:color w:val="000000"/>
            </w:rPr>
            <w:fldChar w:fldCharType="separate"/>
          </w:r>
          <w:r w:rsidRPr="00BF753C">
            <w:rPr>
              <w:rFonts w:ascii="Garamond" w:eastAsia="Times New Roman" w:hAnsi="Garamond"/>
              <w:noProof/>
              <w:color w:val="000000"/>
            </w:rPr>
            <w:t xml:space="preserve"> [10]</w:t>
          </w:r>
          <w:r w:rsidRPr="00BF753C">
            <w:rPr>
              <w:rFonts w:ascii="Garamond" w:eastAsia="Times New Roman" w:hAnsi="Garamond"/>
              <w:color w:val="000000"/>
            </w:rPr>
            <w:fldChar w:fldCharType="end"/>
          </w:r>
        </w:sdtContent>
      </w:sdt>
    </w:p>
    <w:p w14:paraId="03682146" w14:textId="77777777" w:rsidR="00166DB1" w:rsidRPr="00166DB1" w:rsidRDefault="00166DB1" w:rsidP="00E45E42">
      <w:pPr>
        <w:pStyle w:val="ESHeading3"/>
      </w:pPr>
      <w:r w:rsidRPr="00166DB1">
        <w:t xml:space="preserve">Remote Area Aboriginal Health Service </w:t>
      </w:r>
    </w:p>
    <w:p w14:paraId="4CD132A0" w14:textId="711C3A3F" w:rsidR="00166DB1" w:rsidRPr="00166DB1" w:rsidRDefault="00166DB1" w:rsidP="00E45E42">
      <w:pPr>
        <w:spacing w:before="85" w:after="120"/>
        <w:rPr>
          <w:rFonts w:ascii="Garamond" w:eastAsia="Garamond" w:hAnsi="Garamond"/>
          <w:color w:val="000000"/>
        </w:rPr>
      </w:pPr>
      <w:r w:rsidRPr="00166DB1">
        <w:rPr>
          <w:rFonts w:ascii="Garamond" w:eastAsia="Garamond" w:hAnsi="Garamond"/>
          <w:color w:val="000000"/>
        </w:rPr>
        <w:t xml:space="preserve">The Remote Area Aboriginal Health Service (RAAHS) Program is administered under Section 100 of the National Health Act 1953. RAAHS allows for the supply of PBS medicines to clients of eligible remote area Aboriginal and Torres Strait Islander </w:t>
      </w:r>
      <w:r w:rsidR="00D65552" w:rsidRPr="00166DB1">
        <w:rPr>
          <w:rFonts w:ascii="Garamond" w:eastAsia="Garamond" w:hAnsi="Garamond"/>
          <w:color w:val="000000"/>
        </w:rPr>
        <w:t>community-controlled</w:t>
      </w:r>
      <w:r w:rsidRPr="00166DB1">
        <w:rPr>
          <w:rFonts w:ascii="Garamond" w:eastAsia="Garamond" w:hAnsi="Garamond"/>
          <w:color w:val="000000"/>
        </w:rPr>
        <w:t xml:space="preserve"> health organisations (ACHHOs) at the time of medical consultation without the need for a normal prescription form, and without charge. The Program aims to address identified barriers experienced by Aboriginal and Torres Strait Islander people living in remote areas of Australia in accessing essential medicines through the PBS.</w:t>
      </w:r>
      <w:sdt>
        <w:sdtPr>
          <w:rPr>
            <w:rFonts w:ascii="Garamond" w:eastAsia="Garamond" w:hAnsi="Garamond"/>
            <w:color w:val="000000"/>
          </w:rPr>
          <w:id w:val="1168746056"/>
          <w:citation/>
        </w:sdtPr>
        <w:sdtEndPr/>
        <w:sdtContent>
          <w:r w:rsidRPr="00166DB1">
            <w:rPr>
              <w:rFonts w:ascii="Garamond" w:eastAsia="Garamond" w:hAnsi="Garamond"/>
              <w:color w:val="000000"/>
            </w:rPr>
            <w:fldChar w:fldCharType="begin"/>
          </w:r>
          <w:r w:rsidRPr="00166DB1">
            <w:rPr>
              <w:rFonts w:ascii="Garamond" w:eastAsia="Garamond" w:hAnsi="Garamond"/>
              <w:color w:val="000000"/>
            </w:rPr>
            <w:instrText xml:space="preserve"> CITATION Dep13 \l 3081 </w:instrText>
          </w:r>
          <w:r w:rsidRPr="00166DB1">
            <w:rPr>
              <w:rFonts w:ascii="Garamond" w:eastAsia="Garamond" w:hAnsi="Garamond"/>
              <w:color w:val="000000"/>
            </w:rPr>
            <w:fldChar w:fldCharType="separate"/>
          </w:r>
          <w:r w:rsidRPr="00166DB1">
            <w:rPr>
              <w:rFonts w:ascii="Garamond" w:eastAsia="Garamond" w:hAnsi="Garamond"/>
              <w:noProof/>
              <w:color w:val="000000"/>
            </w:rPr>
            <w:t xml:space="preserve"> [11]</w:t>
          </w:r>
          <w:r w:rsidRPr="00166DB1">
            <w:rPr>
              <w:rFonts w:ascii="Garamond" w:eastAsia="Garamond" w:hAnsi="Garamond"/>
              <w:color w:val="000000"/>
            </w:rPr>
            <w:fldChar w:fldCharType="end"/>
          </w:r>
        </w:sdtContent>
      </w:sdt>
    </w:p>
    <w:p w14:paraId="109006CF" w14:textId="77777777" w:rsidR="00166DB1" w:rsidRPr="00166DB1" w:rsidRDefault="00166DB1" w:rsidP="00E45E42">
      <w:pPr>
        <w:pStyle w:val="ESHeading3"/>
      </w:pPr>
      <w:r w:rsidRPr="00166DB1">
        <w:t xml:space="preserve">Section 100 Support Allowance </w:t>
      </w:r>
    </w:p>
    <w:p w14:paraId="0061EF25"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The Section 100 (s100) Support Allowance Program aims to improve health outcomes for clients of remote area Aboriginal Health Services (AHS) who participate in the special PBS medicines supply arrangements approved under Section 100 of the National Health Act 1953. </w:t>
      </w:r>
      <w:sdt>
        <w:sdtPr>
          <w:rPr>
            <w:rFonts w:ascii="Garamond" w:eastAsia="Garamond" w:hAnsi="Garamond"/>
            <w:color w:val="000000"/>
          </w:rPr>
          <w:id w:val="1985431472"/>
          <w:citation/>
        </w:sdtPr>
        <w:sdtEndPr/>
        <w:sdtContent>
          <w:r w:rsidRPr="00166DB1">
            <w:rPr>
              <w:rFonts w:ascii="Garamond" w:eastAsia="Garamond" w:hAnsi="Garamond"/>
              <w:color w:val="000000"/>
            </w:rPr>
            <w:fldChar w:fldCharType="begin"/>
          </w:r>
          <w:r w:rsidRPr="00166DB1">
            <w:rPr>
              <w:rFonts w:ascii="Garamond" w:eastAsia="Garamond" w:hAnsi="Garamond"/>
              <w:color w:val="000000"/>
            </w:rPr>
            <w:instrText xml:space="preserve">CITATION Dep16 \l 3081 </w:instrText>
          </w:r>
          <w:r w:rsidRPr="00166DB1">
            <w:rPr>
              <w:rFonts w:ascii="Garamond" w:eastAsia="Garamond" w:hAnsi="Garamond"/>
              <w:color w:val="000000"/>
            </w:rPr>
            <w:fldChar w:fldCharType="separate"/>
          </w:r>
          <w:r w:rsidRPr="00166DB1">
            <w:rPr>
              <w:rFonts w:ascii="Garamond" w:eastAsia="Garamond" w:hAnsi="Garamond"/>
              <w:noProof/>
              <w:color w:val="000000"/>
            </w:rPr>
            <w:t>[10]</w:t>
          </w:r>
          <w:r w:rsidRPr="00166DB1">
            <w:rPr>
              <w:rFonts w:ascii="Garamond" w:eastAsia="Garamond" w:hAnsi="Garamond"/>
              <w:color w:val="000000"/>
            </w:rPr>
            <w:fldChar w:fldCharType="end"/>
          </w:r>
        </w:sdtContent>
      </w:sdt>
      <w:r w:rsidRPr="00166DB1">
        <w:rPr>
          <w:rFonts w:ascii="Garamond" w:eastAsia="Garamond" w:hAnsi="Garamond"/>
          <w:color w:val="000000"/>
        </w:rPr>
        <w:t xml:space="preserve"> The allowance supports visits by pharmacists to provide a range of targeted QUM and medication management support services to remote area AHSs who participate in the RAAHS Program. The Program aims to improve QUM through pharmacist visits and advice.</w:t>
      </w:r>
      <w:sdt>
        <w:sdtPr>
          <w:rPr>
            <w:rFonts w:ascii="Garamond" w:eastAsia="Garamond" w:hAnsi="Garamond"/>
            <w:color w:val="000000"/>
          </w:rPr>
          <w:id w:val="-1927489100"/>
          <w:citation/>
        </w:sdtPr>
        <w:sdtEndPr/>
        <w:sdtContent>
          <w:r w:rsidRPr="00166DB1">
            <w:rPr>
              <w:rFonts w:ascii="Garamond" w:eastAsia="Garamond" w:hAnsi="Garamond"/>
              <w:color w:val="000000"/>
            </w:rPr>
            <w:fldChar w:fldCharType="begin"/>
          </w:r>
          <w:r w:rsidRPr="00166DB1">
            <w:rPr>
              <w:rFonts w:ascii="Garamond" w:eastAsia="Garamond" w:hAnsi="Garamond"/>
              <w:color w:val="000000"/>
            </w:rPr>
            <w:instrText xml:space="preserve"> CITATION Dep13 \l 3081 </w:instrText>
          </w:r>
          <w:r w:rsidRPr="00166DB1">
            <w:rPr>
              <w:rFonts w:ascii="Garamond" w:eastAsia="Garamond" w:hAnsi="Garamond"/>
              <w:color w:val="000000"/>
            </w:rPr>
            <w:fldChar w:fldCharType="separate"/>
          </w:r>
          <w:r w:rsidRPr="00166DB1">
            <w:rPr>
              <w:rFonts w:ascii="Garamond" w:eastAsia="Garamond" w:hAnsi="Garamond"/>
              <w:noProof/>
              <w:color w:val="000000"/>
            </w:rPr>
            <w:t xml:space="preserve"> [11]</w:t>
          </w:r>
          <w:r w:rsidRPr="00166DB1">
            <w:rPr>
              <w:rFonts w:ascii="Garamond" w:eastAsia="Garamond" w:hAnsi="Garamond"/>
              <w:color w:val="000000"/>
            </w:rPr>
            <w:fldChar w:fldCharType="end"/>
          </w:r>
        </w:sdtContent>
      </w:sdt>
    </w:p>
    <w:p w14:paraId="48201DE8" w14:textId="77777777" w:rsidR="00166DB1" w:rsidRPr="00166DB1" w:rsidRDefault="00166DB1" w:rsidP="00166DB1">
      <w:pPr>
        <w:spacing w:before="85" w:after="85"/>
        <w:rPr>
          <w:rFonts w:ascii="Garamond" w:eastAsia="Garamond" w:hAnsi="Garamond"/>
          <w:color w:val="000000"/>
        </w:rPr>
        <w:sectPr w:rsidR="00166DB1" w:rsidRPr="00166DB1" w:rsidSect="00720069">
          <w:pgSz w:w="16839" w:h="11907" w:orient="landscape" w:code="9"/>
          <w:pgMar w:top="2268" w:right="1304" w:bottom="850" w:left="737" w:header="567" w:footer="284" w:gutter="0"/>
          <w:cols w:num="2" w:space="709"/>
          <w:docGrid w:linePitch="360"/>
        </w:sectPr>
      </w:pPr>
    </w:p>
    <w:p w14:paraId="1328215B" w14:textId="6B6F8F0A" w:rsidR="00166DB1" w:rsidRPr="00166DB1" w:rsidRDefault="00166DB1" w:rsidP="009F66FB">
      <w:pPr>
        <w:pStyle w:val="HeadingAppendix2"/>
      </w:pPr>
      <w:bookmarkStart w:id="141" w:name="_Toc490574958"/>
      <w:bookmarkStart w:id="142" w:name="_Toc523322090"/>
      <w:r w:rsidRPr="00166DB1">
        <w:lastRenderedPageBreak/>
        <w:t>Additional pharmacists required in regional areas to achieve parity – magnitude estimation technique</w:t>
      </w:r>
      <w:bookmarkEnd w:id="141"/>
      <w:bookmarkEnd w:id="142"/>
    </w:p>
    <w:p w14:paraId="05945A48" w14:textId="77777777" w:rsidR="00166DB1" w:rsidRPr="00166DB1" w:rsidRDefault="00166DB1" w:rsidP="00483C21">
      <w:pPr>
        <w:pStyle w:val="Caption"/>
      </w:pPr>
      <w:bookmarkStart w:id="143" w:name="_Ref487723710"/>
      <w:r w:rsidRPr="00166DB1">
        <w:t xml:space="preserve">Table </w:t>
      </w:r>
      <w:r w:rsidRPr="00166DB1">
        <w:rPr>
          <w:noProof/>
        </w:rPr>
        <w:fldChar w:fldCharType="begin"/>
      </w:r>
      <w:r w:rsidRPr="00166DB1">
        <w:rPr>
          <w:noProof/>
        </w:rPr>
        <w:instrText xml:space="preserve"> STYLEREF 1 \s </w:instrText>
      </w:r>
      <w:r w:rsidRPr="00166DB1">
        <w:rPr>
          <w:noProof/>
        </w:rPr>
        <w:fldChar w:fldCharType="separate"/>
      </w:r>
      <w:r w:rsidRPr="00166DB1">
        <w:rPr>
          <w:noProof/>
        </w:rPr>
        <w:t>8</w:t>
      </w:r>
      <w:r w:rsidRPr="00166DB1">
        <w:rPr>
          <w:noProof/>
        </w:rPr>
        <w:fldChar w:fldCharType="end"/>
      </w:r>
      <w:r w:rsidRPr="00166DB1">
        <w:t>.</w:t>
      </w:r>
      <w:r w:rsidRPr="00166DB1">
        <w:rPr>
          <w:noProof/>
        </w:rPr>
        <w:fldChar w:fldCharType="begin"/>
      </w:r>
      <w:r w:rsidRPr="00166DB1">
        <w:rPr>
          <w:noProof/>
        </w:rPr>
        <w:instrText xml:space="preserve"> SEQ Table \* ARABIC \s 1 </w:instrText>
      </w:r>
      <w:r w:rsidRPr="00166DB1">
        <w:rPr>
          <w:noProof/>
        </w:rPr>
        <w:fldChar w:fldCharType="separate"/>
      </w:r>
      <w:r w:rsidRPr="00166DB1">
        <w:rPr>
          <w:noProof/>
        </w:rPr>
        <w:t>1</w:t>
      </w:r>
      <w:r w:rsidRPr="00166DB1">
        <w:rPr>
          <w:noProof/>
        </w:rPr>
        <w:fldChar w:fldCharType="end"/>
      </w:r>
      <w:bookmarkEnd w:id="143"/>
      <w:r w:rsidRPr="00166DB1">
        <w:t>: Average FTE rate (per 100,000 population) of total and community pharmacists by location type, 2013–15</w:t>
      </w:r>
    </w:p>
    <w:tbl>
      <w:tblPr>
        <w:tblStyle w:val="HMATable"/>
        <w:tblW w:w="5000" w:type="pct"/>
        <w:shd w:val="clear" w:color="auto" w:fill="F2F2F2" w:themeFill="background1" w:themeFillShade="F2"/>
        <w:tblLayout w:type="fixed"/>
        <w:tblLook w:val="04A0" w:firstRow="1" w:lastRow="0" w:firstColumn="1" w:lastColumn="0" w:noHBand="0" w:noVBand="1"/>
        <w:tblCaption w:val="Table 8.1: Average FTE rate (per 100,000 population) of total and community pharmacists by location type, 2013-15"/>
        <w:tblDescription w:val="Table 8.1: Average FTE rate (per 100,000 population) of total and community pharmacists by location type, 2013-15"/>
      </w:tblPr>
      <w:tblGrid>
        <w:gridCol w:w="1337"/>
        <w:gridCol w:w="1635"/>
        <w:gridCol w:w="1277"/>
        <w:gridCol w:w="1557"/>
        <w:gridCol w:w="1228"/>
      </w:tblGrid>
      <w:tr w:rsidR="00367717" w:rsidRPr="00166DB1" w14:paraId="3E3457E8" w14:textId="77777777" w:rsidTr="0036771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950" w:type="pct"/>
            <w:shd w:val="clear" w:color="auto" w:fill="F2F2F2" w:themeFill="background1" w:themeFillShade="F2"/>
            <w:noWrap/>
            <w:vAlign w:val="center"/>
          </w:tcPr>
          <w:p w14:paraId="275834CE" w14:textId="77777777" w:rsidR="00367717" w:rsidRPr="00166DB1" w:rsidRDefault="00367717" w:rsidP="00E45E42">
            <w:pPr>
              <w:pStyle w:val="TableColumnHeading"/>
            </w:pPr>
            <w:r w:rsidRPr="00166DB1">
              <w:t xml:space="preserve">Location type </w:t>
            </w:r>
          </w:p>
        </w:tc>
        <w:tc>
          <w:tcPr>
            <w:tcW w:w="1162" w:type="pct"/>
            <w:tcBorders>
              <w:right w:val="nil"/>
            </w:tcBorders>
            <w:shd w:val="clear" w:color="auto" w:fill="F2F2F2" w:themeFill="background1" w:themeFillShade="F2"/>
            <w:noWrap/>
            <w:vAlign w:val="center"/>
          </w:tcPr>
          <w:p w14:paraId="77C6C7A8" w14:textId="77777777" w:rsidR="00367717" w:rsidRPr="00166DB1" w:rsidRDefault="00367717" w:rsidP="00E45E42">
            <w:pPr>
              <w:pStyle w:val="TableColumnHeading"/>
              <w:cnfStyle w:val="100000000000" w:firstRow="1" w:lastRow="0" w:firstColumn="0" w:lastColumn="0" w:oddVBand="0" w:evenVBand="0" w:oddHBand="0" w:evenHBand="0" w:firstRowFirstColumn="0" w:firstRowLastColumn="0" w:lastRowFirstColumn="0" w:lastRowLastColumn="0"/>
            </w:pPr>
            <w:r w:rsidRPr="00166DB1">
              <w:t>Total Pharmacists</w:t>
            </w:r>
          </w:p>
        </w:tc>
        <w:tc>
          <w:tcPr>
            <w:tcW w:w="908" w:type="pct"/>
            <w:tcBorders>
              <w:left w:val="nil"/>
            </w:tcBorders>
            <w:shd w:val="clear" w:color="auto" w:fill="F2F2F2" w:themeFill="background1" w:themeFillShade="F2"/>
            <w:vAlign w:val="center"/>
          </w:tcPr>
          <w:p w14:paraId="7DEE8299" w14:textId="7DB73059" w:rsidR="00367717" w:rsidRPr="00166DB1" w:rsidRDefault="00367717" w:rsidP="00E45E42">
            <w:pPr>
              <w:pStyle w:val="TableColumnHeading"/>
              <w:cnfStyle w:val="100000000000" w:firstRow="1" w:lastRow="0" w:firstColumn="0" w:lastColumn="0" w:oddVBand="0" w:evenVBand="0" w:oddHBand="0" w:evenHBand="0" w:firstRowFirstColumn="0" w:firstRowLastColumn="0" w:lastRowFirstColumn="0" w:lastRowLastColumn="0"/>
            </w:pPr>
          </w:p>
        </w:tc>
        <w:tc>
          <w:tcPr>
            <w:tcW w:w="1107" w:type="pct"/>
            <w:tcBorders>
              <w:right w:val="nil"/>
            </w:tcBorders>
            <w:shd w:val="clear" w:color="auto" w:fill="F2F2F2" w:themeFill="background1" w:themeFillShade="F2"/>
            <w:vAlign w:val="center"/>
          </w:tcPr>
          <w:p w14:paraId="2264D14C" w14:textId="77777777" w:rsidR="00367717" w:rsidRPr="00166DB1" w:rsidRDefault="00367717" w:rsidP="00367717">
            <w:pPr>
              <w:pStyle w:val="TableColumnHeading"/>
              <w:jc w:val="right"/>
              <w:cnfStyle w:val="100000000000" w:firstRow="1" w:lastRow="0" w:firstColumn="0" w:lastColumn="0" w:oddVBand="0" w:evenVBand="0" w:oddHBand="0" w:evenHBand="0" w:firstRowFirstColumn="0" w:firstRowLastColumn="0" w:lastRowFirstColumn="0" w:lastRowLastColumn="0"/>
            </w:pPr>
            <w:r w:rsidRPr="00166DB1">
              <w:t>Community Pharmacists</w:t>
            </w:r>
          </w:p>
        </w:tc>
        <w:tc>
          <w:tcPr>
            <w:tcW w:w="872" w:type="pct"/>
            <w:tcBorders>
              <w:left w:val="nil"/>
            </w:tcBorders>
            <w:shd w:val="clear" w:color="auto" w:fill="F2F2F2" w:themeFill="background1" w:themeFillShade="F2"/>
            <w:vAlign w:val="center"/>
          </w:tcPr>
          <w:p w14:paraId="42151786" w14:textId="5279B6C0" w:rsidR="00367717" w:rsidRPr="00166DB1" w:rsidRDefault="00367717" w:rsidP="00E45E42">
            <w:pPr>
              <w:pStyle w:val="TableColumnHeading"/>
              <w:cnfStyle w:val="100000000000" w:firstRow="1" w:lastRow="0" w:firstColumn="0" w:lastColumn="0" w:oddVBand="0" w:evenVBand="0" w:oddHBand="0" w:evenHBand="0" w:firstRowFirstColumn="0" w:firstRowLastColumn="0" w:lastRowFirstColumn="0" w:lastRowLastColumn="0"/>
            </w:pPr>
          </w:p>
        </w:tc>
      </w:tr>
      <w:tr w:rsidR="00166DB1" w:rsidRPr="00166DB1" w14:paraId="29E61DFC" w14:textId="77777777" w:rsidTr="0036771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950" w:type="pct"/>
            <w:shd w:val="clear" w:color="auto" w:fill="F2F2F2" w:themeFill="background1" w:themeFillShade="F2"/>
            <w:noWrap/>
            <w:vAlign w:val="center"/>
          </w:tcPr>
          <w:p w14:paraId="791D2C28" w14:textId="77777777" w:rsidR="00166DB1" w:rsidRPr="00166DB1" w:rsidRDefault="00166DB1" w:rsidP="00E45E42">
            <w:pPr>
              <w:pStyle w:val="TableColumnHeading"/>
            </w:pPr>
          </w:p>
        </w:tc>
        <w:tc>
          <w:tcPr>
            <w:tcW w:w="1162" w:type="pct"/>
            <w:shd w:val="clear" w:color="auto" w:fill="F2F2F2" w:themeFill="background1" w:themeFillShade="F2"/>
            <w:noWrap/>
            <w:vAlign w:val="center"/>
          </w:tcPr>
          <w:p w14:paraId="6F33E24E" w14:textId="77777777" w:rsidR="00166DB1" w:rsidRPr="00166DB1" w:rsidRDefault="00166DB1" w:rsidP="00E45E42">
            <w:pPr>
              <w:pStyle w:val="TableColumnHeading"/>
              <w:cnfStyle w:val="100000000000" w:firstRow="1" w:lastRow="0" w:firstColumn="0" w:lastColumn="0" w:oddVBand="0" w:evenVBand="0" w:oddHBand="0" w:evenHBand="0" w:firstRowFirstColumn="0" w:firstRowLastColumn="0" w:lastRowFirstColumn="0" w:lastRowLastColumn="0"/>
            </w:pPr>
            <w:r w:rsidRPr="00166DB1">
              <w:t>Avg FTE rate (2013–15)</w:t>
            </w:r>
          </w:p>
        </w:tc>
        <w:tc>
          <w:tcPr>
            <w:tcW w:w="908" w:type="pct"/>
            <w:shd w:val="clear" w:color="auto" w:fill="F2F2F2" w:themeFill="background1" w:themeFillShade="F2"/>
            <w:noWrap/>
            <w:vAlign w:val="center"/>
          </w:tcPr>
          <w:p w14:paraId="347DBA34" w14:textId="77777777" w:rsidR="00166DB1" w:rsidRPr="00166DB1" w:rsidRDefault="00166DB1" w:rsidP="00E45E42">
            <w:pPr>
              <w:pStyle w:val="TableColumnHeading"/>
              <w:cnfStyle w:val="100000000000" w:firstRow="1" w:lastRow="0" w:firstColumn="0" w:lastColumn="0" w:oddVBand="0" w:evenVBand="0" w:oddHBand="0" w:evenHBand="0" w:firstRowFirstColumn="0" w:firstRowLastColumn="0" w:lastRowFirstColumn="0" w:lastRowLastColumn="0"/>
            </w:pPr>
            <w:r w:rsidRPr="00166DB1">
              <w:t>Ratio to major city</w:t>
            </w:r>
          </w:p>
        </w:tc>
        <w:tc>
          <w:tcPr>
            <w:tcW w:w="1107" w:type="pct"/>
            <w:shd w:val="clear" w:color="auto" w:fill="F2F2F2" w:themeFill="background1" w:themeFillShade="F2"/>
            <w:vAlign w:val="center"/>
          </w:tcPr>
          <w:p w14:paraId="565D3E12" w14:textId="77777777" w:rsidR="00166DB1" w:rsidRPr="00166DB1" w:rsidRDefault="00166DB1" w:rsidP="00E45E42">
            <w:pPr>
              <w:pStyle w:val="TableColumnHeading"/>
              <w:cnfStyle w:val="100000000000" w:firstRow="1" w:lastRow="0" w:firstColumn="0" w:lastColumn="0" w:oddVBand="0" w:evenVBand="0" w:oddHBand="0" w:evenHBand="0" w:firstRowFirstColumn="0" w:firstRowLastColumn="0" w:lastRowFirstColumn="0" w:lastRowLastColumn="0"/>
            </w:pPr>
            <w:r w:rsidRPr="00166DB1">
              <w:t>Avg FTE rate (2013–15)</w:t>
            </w:r>
          </w:p>
        </w:tc>
        <w:tc>
          <w:tcPr>
            <w:tcW w:w="873" w:type="pct"/>
            <w:shd w:val="clear" w:color="auto" w:fill="F2F2F2" w:themeFill="background1" w:themeFillShade="F2"/>
            <w:vAlign w:val="center"/>
          </w:tcPr>
          <w:p w14:paraId="522328EE" w14:textId="77777777" w:rsidR="00166DB1" w:rsidRPr="00166DB1" w:rsidRDefault="00166DB1" w:rsidP="00E45E42">
            <w:pPr>
              <w:pStyle w:val="TableColumnHeading"/>
              <w:cnfStyle w:val="100000000000" w:firstRow="1" w:lastRow="0" w:firstColumn="0" w:lastColumn="0" w:oddVBand="0" w:evenVBand="0" w:oddHBand="0" w:evenHBand="0" w:firstRowFirstColumn="0" w:firstRowLastColumn="0" w:lastRowFirstColumn="0" w:lastRowLastColumn="0"/>
            </w:pPr>
            <w:r w:rsidRPr="00166DB1">
              <w:t>Ratio to major city</w:t>
            </w:r>
          </w:p>
        </w:tc>
      </w:tr>
      <w:tr w:rsidR="00166DB1" w:rsidRPr="00166DB1" w14:paraId="67B7406B" w14:textId="77777777" w:rsidTr="00E45E42">
        <w:trPr>
          <w:trHeight w:val="420"/>
        </w:trPr>
        <w:tc>
          <w:tcPr>
            <w:cnfStyle w:val="001000000000" w:firstRow="0" w:lastRow="0" w:firstColumn="1" w:lastColumn="0" w:oddVBand="0" w:evenVBand="0" w:oddHBand="0" w:evenHBand="0" w:firstRowFirstColumn="0" w:firstRowLastColumn="0" w:lastRowFirstColumn="0" w:lastRowLastColumn="0"/>
            <w:tcW w:w="950" w:type="pct"/>
            <w:shd w:val="clear" w:color="auto" w:fill="F2F2F2" w:themeFill="background1" w:themeFillShade="F2"/>
            <w:vAlign w:val="center"/>
            <w:hideMark/>
          </w:tcPr>
          <w:p w14:paraId="7C19191F" w14:textId="77777777" w:rsidR="00166DB1" w:rsidRPr="00166DB1" w:rsidRDefault="00166DB1" w:rsidP="00E45E42">
            <w:pPr>
              <w:pStyle w:val="TableCopy"/>
            </w:pPr>
            <w:r w:rsidRPr="00166DB1">
              <w:t>Major cities</w:t>
            </w:r>
          </w:p>
        </w:tc>
        <w:tc>
          <w:tcPr>
            <w:tcW w:w="1162" w:type="pct"/>
            <w:shd w:val="clear" w:color="auto" w:fill="F2F2F2" w:themeFill="background1" w:themeFillShade="F2"/>
            <w:noWrap/>
            <w:hideMark/>
          </w:tcPr>
          <w:p w14:paraId="69E5AC86"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pPr>
            <w:r w:rsidRPr="00166DB1">
              <w:t>78.6</w:t>
            </w:r>
          </w:p>
        </w:tc>
        <w:tc>
          <w:tcPr>
            <w:tcW w:w="908" w:type="pct"/>
            <w:shd w:val="clear" w:color="auto" w:fill="F2F2F2" w:themeFill="background1" w:themeFillShade="F2"/>
            <w:noWrap/>
            <w:vAlign w:val="center"/>
            <w:hideMark/>
          </w:tcPr>
          <w:p w14:paraId="2B189109"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pPr>
            <w:r w:rsidRPr="00166DB1">
              <w:t>1.0</w:t>
            </w:r>
          </w:p>
        </w:tc>
        <w:tc>
          <w:tcPr>
            <w:tcW w:w="1107" w:type="pct"/>
            <w:shd w:val="clear" w:color="auto" w:fill="F2F2F2" w:themeFill="background1" w:themeFillShade="F2"/>
          </w:tcPr>
          <w:p w14:paraId="6880BF83"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pPr>
            <w:r w:rsidRPr="00166DB1">
              <w:t>54.1</w:t>
            </w:r>
          </w:p>
        </w:tc>
        <w:tc>
          <w:tcPr>
            <w:tcW w:w="873" w:type="pct"/>
            <w:shd w:val="clear" w:color="auto" w:fill="F2F2F2" w:themeFill="background1" w:themeFillShade="F2"/>
            <w:vAlign w:val="center"/>
          </w:tcPr>
          <w:p w14:paraId="2E3FFC1A"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pPr>
            <w:r w:rsidRPr="00166DB1">
              <w:t>1.0</w:t>
            </w:r>
          </w:p>
        </w:tc>
      </w:tr>
      <w:tr w:rsidR="00166DB1" w:rsidRPr="00166DB1" w14:paraId="4C10DBFA" w14:textId="77777777" w:rsidTr="00E45E42">
        <w:trPr>
          <w:trHeight w:val="420"/>
        </w:trPr>
        <w:tc>
          <w:tcPr>
            <w:cnfStyle w:val="001000000000" w:firstRow="0" w:lastRow="0" w:firstColumn="1" w:lastColumn="0" w:oddVBand="0" w:evenVBand="0" w:oddHBand="0" w:evenHBand="0" w:firstRowFirstColumn="0" w:firstRowLastColumn="0" w:lastRowFirstColumn="0" w:lastRowLastColumn="0"/>
            <w:tcW w:w="950" w:type="pct"/>
            <w:shd w:val="clear" w:color="auto" w:fill="F2F2F2" w:themeFill="background1" w:themeFillShade="F2"/>
            <w:vAlign w:val="center"/>
            <w:hideMark/>
          </w:tcPr>
          <w:p w14:paraId="7C2F33F1" w14:textId="77777777" w:rsidR="00166DB1" w:rsidRPr="00166DB1" w:rsidRDefault="00166DB1" w:rsidP="00E45E42">
            <w:pPr>
              <w:pStyle w:val="TableCopy"/>
            </w:pPr>
            <w:r w:rsidRPr="00166DB1">
              <w:t>Inner regional</w:t>
            </w:r>
          </w:p>
        </w:tc>
        <w:tc>
          <w:tcPr>
            <w:tcW w:w="1162" w:type="pct"/>
            <w:shd w:val="clear" w:color="auto" w:fill="F2F2F2" w:themeFill="background1" w:themeFillShade="F2"/>
            <w:noWrap/>
            <w:hideMark/>
          </w:tcPr>
          <w:p w14:paraId="39E8940B"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pPr>
            <w:r w:rsidRPr="00166DB1">
              <w:t>51.8</w:t>
            </w:r>
          </w:p>
        </w:tc>
        <w:tc>
          <w:tcPr>
            <w:tcW w:w="908" w:type="pct"/>
            <w:shd w:val="clear" w:color="auto" w:fill="F2F2F2" w:themeFill="background1" w:themeFillShade="F2"/>
            <w:noWrap/>
            <w:vAlign w:val="center"/>
            <w:hideMark/>
          </w:tcPr>
          <w:p w14:paraId="2A844EA0"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pPr>
            <w:r w:rsidRPr="00166DB1">
              <w:t>0.96</w:t>
            </w:r>
          </w:p>
        </w:tc>
        <w:tc>
          <w:tcPr>
            <w:tcW w:w="1107" w:type="pct"/>
            <w:shd w:val="clear" w:color="auto" w:fill="F2F2F2" w:themeFill="background1" w:themeFillShade="F2"/>
          </w:tcPr>
          <w:p w14:paraId="30C927CB"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pPr>
            <w:r w:rsidRPr="00166DB1">
              <w:t>51.8</w:t>
            </w:r>
          </w:p>
        </w:tc>
        <w:tc>
          <w:tcPr>
            <w:tcW w:w="873" w:type="pct"/>
            <w:shd w:val="clear" w:color="auto" w:fill="F2F2F2" w:themeFill="background1" w:themeFillShade="F2"/>
            <w:vAlign w:val="center"/>
          </w:tcPr>
          <w:p w14:paraId="30085E27"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pPr>
            <w:r w:rsidRPr="00166DB1">
              <w:t>0.96</w:t>
            </w:r>
          </w:p>
        </w:tc>
      </w:tr>
      <w:tr w:rsidR="00166DB1" w:rsidRPr="00166DB1" w14:paraId="154F88A1" w14:textId="77777777" w:rsidTr="00E45E42">
        <w:trPr>
          <w:trHeight w:val="420"/>
        </w:trPr>
        <w:tc>
          <w:tcPr>
            <w:cnfStyle w:val="001000000000" w:firstRow="0" w:lastRow="0" w:firstColumn="1" w:lastColumn="0" w:oddVBand="0" w:evenVBand="0" w:oddHBand="0" w:evenHBand="0" w:firstRowFirstColumn="0" w:firstRowLastColumn="0" w:lastRowFirstColumn="0" w:lastRowLastColumn="0"/>
            <w:tcW w:w="950" w:type="pct"/>
            <w:shd w:val="clear" w:color="auto" w:fill="F2F2F2" w:themeFill="background1" w:themeFillShade="F2"/>
            <w:vAlign w:val="center"/>
            <w:hideMark/>
          </w:tcPr>
          <w:p w14:paraId="3DD3EF8B" w14:textId="77777777" w:rsidR="00166DB1" w:rsidRPr="00166DB1" w:rsidRDefault="00166DB1" w:rsidP="00E45E42">
            <w:pPr>
              <w:pStyle w:val="TableCopy"/>
            </w:pPr>
            <w:r w:rsidRPr="00166DB1">
              <w:t>Outer regional</w:t>
            </w:r>
          </w:p>
        </w:tc>
        <w:tc>
          <w:tcPr>
            <w:tcW w:w="1162" w:type="pct"/>
            <w:shd w:val="clear" w:color="auto" w:fill="F2F2F2" w:themeFill="background1" w:themeFillShade="F2"/>
            <w:noWrap/>
            <w:hideMark/>
          </w:tcPr>
          <w:p w14:paraId="06998CA7"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pPr>
            <w:r w:rsidRPr="00166DB1">
              <w:t>50.6</w:t>
            </w:r>
          </w:p>
        </w:tc>
        <w:tc>
          <w:tcPr>
            <w:tcW w:w="908" w:type="pct"/>
            <w:shd w:val="clear" w:color="auto" w:fill="F2F2F2" w:themeFill="background1" w:themeFillShade="F2"/>
            <w:noWrap/>
            <w:vAlign w:val="center"/>
            <w:hideMark/>
          </w:tcPr>
          <w:p w14:paraId="4BB59E63"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pPr>
            <w:r w:rsidRPr="00166DB1">
              <w:t>0.94</w:t>
            </w:r>
          </w:p>
        </w:tc>
        <w:tc>
          <w:tcPr>
            <w:tcW w:w="1107" w:type="pct"/>
            <w:shd w:val="clear" w:color="auto" w:fill="F2F2F2" w:themeFill="background1" w:themeFillShade="F2"/>
          </w:tcPr>
          <w:p w14:paraId="118A0CE4"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pPr>
            <w:r w:rsidRPr="00166DB1">
              <w:t>50.6</w:t>
            </w:r>
          </w:p>
        </w:tc>
        <w:tc>
          <w:tcPr>
            <w:tcW w:w="873" w:type="pct"/>
            <w:shd w:val="clear" w:color="auto" w:fill="F2F2F2" w:themeFill="background1" w:themeFillShade="F2"/>
            <w:vAlign w:val="center"/>
          </w:tcPr>
          <w:p w14:paraId="781D40E5"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pPr>
            <w:r w:rsidRPr="00166DB1">
              <w:t>0.94</w:t>
            </w:r>
          </w:p>
        </w:tc>
      </w:tr>
      <w:tr w:rsidR="00166DB1" w:rsidRPr="00166DB1" w14:paraId="3C83FEDA" w14:textId="77777777" w:rsidTr="00E45E42">
        <w:trPr>
          <w:trHeight w:val="290"/>
        </w:trPr>
        <w:tc>
          <w:tcPr>
            <w:cnfStyle w:val="001000000000" w:firstRow="0" w:lastRow="0" w:firstColumn="1" w:lastColumn="0" w:oddVBand="0" w:evenVBand="0" w:oddHBand="0" w:evenHBand="0" w:firstRowFirstColumn="0" w:firstRowLastColumn="0" w:lastRowFirstColumn="0" w:lastRowLastColumn="0"/>
            <w:tcW w:w="950" w:type="pct"/>
            <w:shd w:val="clear" w:color="auto" w:fill="F2F2F2" w:themeFill="background1" w:themeFillShade="F2"/>
            <w:vAlign w:val="center"/>
            <w:hideMark/>
          </w:tcPr>
          <w:p w14:paraId="273950A5" w14:textId="77777777" w:rsidR="00166DB1" w:rsidRPr="00166DB1" w:rsidRDefault="00166DB1" w:rsidP="00E45E42">
            <w:pPr>
              <w:pStyle w:val="TableCopy"/>
            </w:pPr>
            <w:r w:rsidRPr="00166DB1">
              <w:t>Remote</w:t>
            </w:r>
          </w:p>
        </w:tc>
        <w:tc>
          <w:tcPr>
            <w:tcW w:w="1162" w:type="pct"/>
            <w:shd w:val="clear" w:color="auto" w:fill="F2F2F2" w:themeFill="background1" w:themeFillShade="F2"/>
            <w:noWrap/>
            <w:hideMark/>
          </w:tcPr>
          <w:p w14:paraId="5CD7A0B5"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pPr>
            <w:r w:rsidRPr="00166DB1">
              <w:t>41.6</w:t>
            </w:r>
          </w:p>
        </w:tc>
        <w:tc>
          <w:tcPr>
            <w:tcW w:w="908" w:type="pct"/>
            <w:shd w:val="clear" w:color="auto" w:fill="F2F2F2" w:themeFill="background1" w:themeFillShade="F2"/>
            <w:noWrap/>
            <w:vAlign w:val="center"/>
            <w:hideMark/>
          </w:tcPr>
          <w:p w14:paraId="573D26A1"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pPr>
            <w:r w:rsidRPr="00166DB1">
              <w:t>0.77</w:t>
            </w:r>
          </w:p>
        </w:tc>
        <w:tc>
          <w:tcPr>
            <w:tcW w:w="1107" w:type="pct"/>
            <w:shd w:val="clear" w:color="auto" w:fill="F2F2F2" w:themeFill="background1" w:themeFillShade="F2"/>
          </w:tcPr>
          <w:p w14:paraId="5FFFD763"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pPr>
            <w:r w:rsidRPr="00166DB1">
              <w:t>41.6</w:t>
            </w:r>
          </w:p>
        </w:tc>
        <w:tc>
          <w:tcPr>
            <w:tcW w:w="873" w:type="pct"/>
            <w:shd w:val="clear" w:color="auto" w:fill="F2F2F2" w:themeFill="background1" w:themeFillShade="F2"/>
            <w:vAlign w:val="center"/>
          </w:tcPr>
          <w:p w14:paraId="74F6D631"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pPr>
            <w:r w:rsidRPr="00166DB1">
              <w:t>0.77</w:t>
            </w:r>
          </w:p>
        </w:tc>
      </w:tr>
      <w:tr w:rsidR="00166DB1" w:rsidRPr="00166DB1" w14:paraId="21DF946E" w14:textId="77777777" w:rsidTr="00E45E42">
        <w:trPr>
          <w:trHeight w:val="420"/>
        </w:trPr>
        <w:tc>
          <w:tcPr>
            <w:cnfStyle w:val="001000000000" w:firstRow="0" w:lastRow="0" w:firstColumn="1" w:lastColumn="0" w:oddVBand="0" w:evenVBand="0" w:oddHBand="0" w:evenHBand="0" w:firstRowFirstColumn="0" w:firstRowLastColumn="0" w:lastRowFirstColumn="0" w:lastRowLastColumn="0"/>
            <w:tcW w:w="950" w:type="pct"/>
            <w:shd w:val="clear" w:color="auto" w:fill="F2F2F2" w:themeFill="background1" w:themeFillShade="F2"/>
            <w:vAlign w:val="center"/>
            <w:hideMark/>
          </w:tcPr>
          <w:p w14:paraId="2ED4BE26" w14:textId="77777777" w:rsidR="00166DB1" w:rsidRPr="00166DB1" w:rsidRDefault="00166DB1" w:rsidP="00E45E42">
            <w:pPr>
              <w:pStyle w:val="TableCopy"/>
            </w:pPr>
            <w:r w:rsidRPr="00166DB1">
              <w:t>Very remote</w:t>
            </w:r>
          </w:p>
        </w:tc>
        <w:tc>
          <w:tcPr>
            <w:tcW w:w="1162" w:type="pct"/>
            <w:shd w:val="clear" w:color="auto" w:fill="F2F2F2" w:themeFill="background1" w:themeFillShade="F2"/>
            <w:noWrap/>
            <w:hideMark/>
          </w:tcPr>
          <w:p w14:paraId="328F8030"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pPr>
            <w:r w:rsidRPr="00166DB1">
              <w:t>26.4</w:t>
            </w:r>
          </w:p>
        </w:tc>
        <w:tc>
          <w:tcPr>
            <w:tcW w:w="908" w:type="pct"/>
            <w:shd w:val="clear" w:color="auto" w:fill="F2F2F2" w:themeFill="background1" w:themeFillShade="F2"/>
            <w:noWrap/>
            <w:vAlign w:val="center"/>
            <w:hideMark/>
          </w:tcPr>
          <w:p w14:paraId="463576BF"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pPr>
            <w:r w:rsidRPr="00166DB1">
              <w:t>0.49</w:t>
            </w:r>
          </w:p>
        </w:tc>
        <w:tc>
          <w:tcPr>
            <w:tcW w:w="1107" w:type="pct"/>
            <w:shd w:val="clear" w:color="auto" w:fill="F2F2F2" w:themeFill="background1" w:themeFillShade="F2"/>
          </w:tcPr>
          <w:p w14:paraId="0C1957E7"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pPr>
            <w:r w:rsidRPr="00166DB1">
              <w:t>26.4</w:t>
            </w:r>
          </w:p>
        </w:tc>
        <w:tc>
          <w:tcPr>
            <w:tcW w:w="873" w:type="pct"/>
            <w:shd w:val="clear" w:color="auto" w:fill="F2F2F2" w:themeFill="background1" w:themeFillShade="F2"/>
            <w:vAlign w:val="center"/>
          </w:tcPr>
          <w:p w14:paraId="434DFC94"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pPr>
            <w:r w:rsidRPr="00166DB1">
              <w:t>0.49</w:t>
            </w:r>
          </w:p>
        </w:tc>
      </w:tr>
    </w:tbl>
    <w:p w14:paraId="194E118F" w14:textId="77777777" w:rsidR="00166DB1" w:rsidRPr="00166DB1" w:rsidRDefault="00166DB1" w:rsidP="00BF753C">
      <w:pPr>
        <w:pStyle w:val="TableNotes"/>
      </w:pPr>
      <w:r w:rsidRPr="00166DB1">
        <w:t>Source: National Health Workforce Dataset (NHWDS) 2013–2015, averaged over the three years</w:t>
      </w:r>
    </w:p>
    <w:p w14:paraId="63046D5E" w14:textId="77777777" w:rsidR="00166DB1" w:rsidRPr="00166DB1" w:rsidRDefault="00166DB1" w:rsidP="00483C21">
      <w:pPr>
        <w:pStyle w:val="Caption"/>
      </w:pPr>
      <w:bookmarkStart w:id="144" w:name="_Ref487722039"/>
      <w:r w:rsidRPr="00166DB1">
        <w:t xml:space="preserve">Table </w:t>
      </w:r>
      <w:r w:rsidRPr="00166DB1">
        <w:rPr>
          <w:noProof/>
        </w:rPr>
        <w:fldChar w:fldCharType="begin"/>
      </w:r>
      <w:r w:rsidRPr="00166DB1">
        <w:rPr>
          <w:noProof/>
        </w:rPr>
        <w:instrText xml:space="preserve"> STYLEREF 1 \s </w:instrText>
      </w:r>
      <w:r w:rsidRPr="00166DB1">
        <w:rPr>
          <w:noProof/>
        </w:rPr>
        <w:fldChar w:fldCharType="separate"/>
      </w:r>
      <w:r w:rsidRPr="00166DB1">
        <w:rPr>
          <w:noProof/>
        </w:rPr>
        <w:t>8</w:t>
      </w:r>
      <w:r w:rsidRPr="00166DB1">
        <w:rPr>
          <w:noProof/>
        </w:rPr>
        <w:fldChar w:fldCharType="end"/>
      </w:r>
      <w:r w:rsidRPr="00166DB1">
        <w:t>.</w:t>
      </w:r>
      <w:r w:rsidRPr="00166DB1">
        <w:rPr>
          <w:noProof/>
        </w:rPr>
        <w:fldChar w:fldCharType="begin"/>
      </w:r>
      <w:r w:rsidRPr="00166DB1">
        <w:rPr>
          <w:noProof/>
        </w:rPr>
        <w:instrText xml:space="preserve"> SEQ Table \* ARABIC \s 1 </w:instrText>
      </w:r>
      <w:r w:rsidRPr="00166DB1">
        <w:rPr>
          <w:noProof/>
        </w:rPr>
        <w:fldChar w:fldCharType="separate"/>
      </w:r>
      <w:r w:rsidRPr="00166DB1">
        <w:rPr>
          <w:noProof/>
        </w:rPr>
        <w:t>2</w:t>
      </w:r>
      <w:r w:rsidRPr="00166DB1">
        <w:rPr>
          <w:noProof/>
        </w:rPr>
        <w:fldChar w:fldCharType="end"/>
      </w:r>
      <w:bookmarkEnd w:id="144"/>
      <w:r w:rsidRPr="00166DB1">
        <w:t xml:space="preserve">: Average FTE rate (2013–15) and calculations to bring non-metropolitan areas to parity with major cities – total pharmacists  </w:t>
      </w:r>
    </w:p>
    <w:tbl>
      <w:tblPr>
        <w:tblStyle w:val="HMATable"/>
        <w:tblW w:w="5000" w:type="pct"/>
        <w:tblInd w:w="10" w:type="dxa"/>
        <w:shd w:val="clear" w:color="auto" w:fill="F2F2F2" w:themeFill="background1" w:themeFillShade="F2"/>
        <w:tblLayout w:type="fixed"/>
        <w:tblLook w:val="04E0" w:firstRow="1" w:lastRow="1" w:firstColumn="1" w:lastColumn="0" w:noHBand="0" w:noVBand="1"/>
        <w:tblCaption w:val="Table 8.2: Average FTE rate (2013-15) and calculations to bring non-metropolitan areas to parity with major cities - total pharmacists"/>
        <w:tblDescription w:val="Table 8.2: Average FTE rate (2013-15) and calculations to bring non-metropolitan areas to parity with major cities - total pharmacists"/>
      </w:tblPr>
      <w:tblGrid>
        <w:gridCol w:w="978"/>
        <w:gridCol w:w="1391"/>
        <w:gridCol w:w="1555"/>
        <w:gridCol w:w="1555"/>
        <w:gridCol w:w="1555"/>
      </w:tblGrid>
      <w:tr w:rsidR="00166DB1" w:rsidRPr="00166DB1" w14:paraId="021240AF" w14:textId="77777777" w:rsidTr="0036771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695" w:type="pct"/>
            <w:shd w:val="clear" w:color="auto" w:fill="F2F2F2" w:themeFill="background1" w:themeFillShade="F2"/>
            <w:noWrap/>
            <w:vAlign w:val="center"/>
            <w:hideMark/>
          </w:tcPr>
          <w:p w14:paraId="3BE4A7DC" w14:textId="77777777" w:rsidR="00166DB1" w:rsidRPr="00166DB1" w:rsidRDefault="00166DB1" w:rsidP="00E45E42">
            <w:pPr>
              <w:pStyle w:val="TableColumnHeading"/>
              <w:rPr>
                <w:lang w:eastAsia="en-AU"/>
              </w:rPr>
            </w:pPr>
            <w:r w:rsidRPr="00166DB1">
              <w:t>Location type</w:t>
            </w:r>
          </w:p>
        </w:tc>
        <w:tc>
          <w:tcPr>
            <w:tcW w:w="989" w:type="pct"/>
            <w:shd w:val="clear" w:color="auto" w:fill="F2F2F2" w:themeFill="background1" w:themeFillShade="F2"/>
            <w:noWrap/>
            <w:vAlign w:val="center"/>
            <w:hideMark/>
          </w:tcPr>
          <w:p w14:paraId="4E086E4D" w14:textId="77777777" w:rsidR="00166DB1" w:rsidRPr="00166DB1" w:rsidRDefault="00166DB1" w:rsidP="00E45E42">
            <w:pPr>
              <w:pStyle w:val="TableColumnHeading"/>
              <w:cnfStyle w:val="100000000000" w:firstRow="1" w:lastRow="0" w:firstColumn="0" w:lastColumn="0" w:oddVBand="0" w:evenVBand="0" w:oddHBand="0" w:evenHBand="0" w:firstRowFirstColumn="0" w:firstRowLastColumn="0" w:lastRowFirstColumn="0" w:lastRowLastColumn="0"/>
              <w:rPr>
                <w:lang w:eastAsia="en-AU"/>
              </w:rPr>
            </w:pPr>
            <w:r w:rsidRPr="00166DB1">
              <w:rPr>
                <w:lang w:eastAsia="en-AU"/>
              </w:rPr>
              <w:t>A: FTE rate per 100,000 population*</w:t>
            </w:r>
          </w:p>
        </w:tc>
        <w:tc>
          <w:tcPr>
            <w:tcW w:w="1105" w:type="pct"/>
            <w:shd w:val="clear" w:color="auto" w:fill="F2F2F2" w:themeFill="background1" w:themeFillShade="F2"/>
            <w:noWrap/>
            <w:vAlign w:val="center"/>
            <w:hideMark/>
          </w:tcPr>
          <w:p w14:paraId="347C4F79" w14:textId="77777777" w:rsidR="00166DB1" w:rsidRPr="00166DB1" w:rsidRDefault="00166DB1" w:rsidP="00E45E42">
            <w:pPr>
              <w:pStyle w:val="TableColumnHeading"/>
              <w:cnfStyle w:val="100000000000" w:firstRow="1" w:lastRow="0" w:firstColumn="0" w:lastColumn="0" w:oddVBand="0" w:evenVBand="0" w:oddHBand="0" w:evenHBand="0" w:firstRowFirstColumn="0" w:firstRowLastColumn="0" w:lastRowFirstColumn="0" w:lastRowLastColumn="0"/>
              <w:rPr>
                <w:lang w:eastAsia="en-AU"/>
              </w:rPr>
            </w:pPr>
            <w:r w:rsidRPr="00166DB1">
              <w:rPr>
                <w:lang w:eastAsia="en-AU"/>
              </w:rPr>
              <w:t>B: Calculated FTE rate required for parity</w:t>
            </w:r>
          </w:p>
        </w:tc>
        <w:tc>
          <w:tcPr>
            <w:tcW w:w="1105" w:type="pct"/>
            <w:shd w:val="clear" w:color="auto" w:fill="F2F2F2" w:themeFill="background1" w:themeFillShade="F2"/>
            <w:vAlign w:val="center"/>
          </w:tcPr>
          <w:p w14:paraId="2001A415" w14:textId="77777777" w:rsidR="00166DB1" w:rsidRPr="00166DB1" w:rsidRDefault="00166DB1" w:rsidP="00E45E42">
            <w:pPr>
              <w:pStyle w:val="TableColumnHeading"/>
              <w:cnfStyle w:val="100000000000" w:firstRow="1" w:lastRow="0" w:firstColumn="0" w:lastColumn="0" w:oddVBand="0" w:evenVBand="0" w:oddHBand="0" w:evenHBand="0" w:firstRowFirstColumn="0" w:firstRowLastColumn="0" w:lastRowFirstColumn="0" w:lastRowLastColumn="0"/>
            </w:pPr>
            <w:r w:rsidRPr="00166DB1">
              <w:t>C: Population^</w:t>
            </w:r>
          </w:p>
        </w:tc>
        <w:tc>
          <w:tcPr>
            <w:tcW w:w="1105" w:type="pct"/>
            <w:shd w:val="clear" w:color="auto" w:fill="F2F2F2" w:themeFill="background1" w:themeFillShade="F2"/>
            <w:noWrap/>
            <w:vAlign w:val="center"/>
            <w:hideMark/>
          </w:tcPr>
          <w:p w14:paraId="7A008C46" w14:textId="77777777" w:rsidR="00166DB1" w:rsidRPr="00166DB1" w:rsidRDefault="00166DB1" w:rsidP="00E45E42">
            <w:pPr>
              <w:pStyle w:val="TableColumnHeading"/>
              <w:cnfStyle w:val="100000000000" w:firstRow="1" w:lastRow="0" w:firstColumn="0" w:lastColumn="0" w:oddVBand="0" w:evenVBand="0" w:oddHBand="0" w:evenHBand="0" w:firstRowFirstColumn="0" w:firstRowLastColumn="0" w:lastRowFirstColumn="0" w:lastRowLastColumn="0"/>
              <w:rPr>
                <w:lang w:eastAsia="en-AU"/>
              </w:rPr>
            </w:pPr>
            <w:r w:rsidRPr="00166DB1">
              <w:t>D: Calculated FTE required for parity (total pharmacists)</w:t>
            </w:r>
          </w:p>
        </w:tc>
      </w:tr>
      <w:tr w:rsidR="00166DB1" w:rsidRPr="00166DB1" w14:paraId="5CEE29B1" w14:textId="77777777" w:rsidTr="00E45E42">
        <w:trPr>
          <w:trHeight w:val="290"/>
        </w:trPr>
        <w:tc>
          <w:tcPr>
            <w:cnfStyle w:val="001000000000" w:firstRow="0" w:lastRow="0" w:firstColumn="1" w:lastColumn="0" w:oddVBand="0" w:evenVBand="0" w:oddHBand="0" w:evenHBand="0" w:firstRowFirstColumn="0" w:firstRowLastColumn="0" w:lastRowFirstColumn="0" w:lastRowLastColumn="0"/>
            <w:tcW w:w="695" w:type="pct"/>
            <w:shd w:val="clear" w:color="auto" w:fill="F2F2F2" w:themeFill="background1" w:themeFillShade="F2"/>
            <w:noWrap/>
            <w:vAlign w:val="center"/>
          </w:tcPr>
          <w:p w14:paraId="114838BE" w14:textId="77777777" w:rsidR="00166DB1" w:rsidRPr="00166DB1" w:rsidRDefault="00166DB1" w:rsidP="00E45E42">
            <w:pPr>
              <w:pStyle w:val="TableColumnHeading"/>
              <w:rPr>
                <w:lang w:eastAsia="en-AU"/>
              </w:rPr>
            </w:pPr>
          </w:p>
        </w:tc>
        <w:tc>
          <w:tcPr>
            <w:tcW w:w="989" w:type="pct"/>
            <w:shd w:val="clear" w:color="auto" w:fill="F2F2F2" w:themeFill="background1" w:themeFillShade="F2"/>
            <w:noWrap/>
            <w:vAlign w:val="center"/>
          </w:tcPr>
          <w:p w14:paraId="1AB58939" w14:textId="77777777" w:rsidR="00166DB1" w:rsidRPr="00166DB1" w:rsidRDefault="00166DB1" w:rsidP="00E45E42">
            <w:pPr>
              <w:pStyle w:val="TableColumnHeading"/>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w:t>
            </w:r>
          </w:p>
        </w:tc>
        <w:tc>
          <w:tcPr>
            <w:tcW w:w="1105" w:type="pct"/>
            <w:shd w:val="clear" w:color="auto" w:fill="F2F2F2" w:themeFill="background1" w:themeFillShade="F2"/>
            <w:noWrap/>
            <w:vAlign w:val="center"/>
          </w:tcPr>
          <w:p w14:paraId="415E2307" w14:textId="77777777" w:rsidR="00166DB1" w:rsidRPr="00166DB1" w:rsidRDefault="00166DB1" w:rsidP="00E45E42">
            <w:pPr>
              <w:pStyle w:val="TableColumnHeading"/>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A1 - Ax</w:t>
            </w:r>
          </w:p>
        </w:tc>
        <w:tc>
          <w:tcPr>
            <w:tcW w:w="1105" w:type="pct"/>
            <w:shd w:val="clear" w:color="auto" w:fill="F2F2F2" w:themeFill="background1" w:themeFillShade="F2"/>
            <w:vAlign w:val="center"/>
          </w:tcPr>
          <w:p w14:paraId="53729CC8" w14:textId="77777777" w:rsidR="00166DB1" w:rsidRPr="00166DB1" w:rsidRDefault="00166DB1" w:rsidP="00E45E42">
            <w:pPr>
              <w:pStyle w:val="TableColumnHeading"/>
              <w:cnfStyle w:val="000000000000" w:firstRow="0" w:lastRow="0" w:firstColumn="0" w:lastColumn="0" w:oddVBand="0" w:evenVBand="0" w:oddHBand="0" w:evenHBand="0" w:firstRowFirstColumn="0" w:firstRowLastColumn="0" w:lastRowFirstColumn="0" w:lastRowLastColumn="0"/>
            </w:pPr>
            <w:r w:rsidRPr="00166DB1">
              <w:t>-</w:t>
            </w:r>
          </w:p>
        </w:tc>
        <w:tc>
          <w:tcPr>
            <w:tcW w:w="1105" w:type="pct"/>
            <w:shd w:val="clear" w:color="auto" w:fill="F2F2F2" w:themeFill="background1" w:themeFillShade="F2"/>
            <w:noWrap/>
            <w:vAlign w:val="center"/>
          </w:tcPr>
          <w:p w14:paraId="6EF58B4E" w14:textId="77777777" w:rsidR="00166DB1" w:rsidRPr="00166DB1" w:rsidRDefault="00166DB1" w:rsidP="00E45E42">
            <w:pPr>
              <w:pStyle w:val="TableColumnHeading"/>
              <w:cnfStyle w:val="000000000000" w:firstRow="0" w:lastRow="0" w:firstColumn="0" w:lastColumn="0" w:oddVBand="0" w:evenVBand="0" w:oddHBand="0" w:evenHBand="0" w:firstRowFirstColumn="0" w:firstRowLastColumn="0" w:lastRowFirstColumn="0" w:lastRowLastColumn="0"/>
              <w:rPr>
                <w:lang w:eastAsia="en-AU"/>
              </w:rPr>
            </w:pPr>
            <w:r w:rsidRPr="00166DB1">
              <w:t>B*C/100,000</w:t>
            </w:r>
            <w:r w:rsidRPr="00166DB1">
              <w:rPr>
                <w:vertAlign w:val="superscript"/>
              </w:rPr>
              <w:t>#</w:t>
            </w:r>
          </w:p>
        </w:tc>
      </w:tr>
      <w:tr w:rsidR="00166DB1" w:rsidRPr="00166DB1" w14:paraId="387B83A8" w14:textId="77777777" w:rsidTr="00E45E42">
        <w:trPr>
          <w:trHeight w:val="420"/>
        </w:trPr>
        <w:tc>
          <w:tcPr>
            <w:cnfStyle w:val="001000000000" w:firstRow="0" w:lastRow="0" w:firstColumn="1" w:lastColumn="0" w:oddVBand="0" w:evenVBand="0" w:oddHBand="0" w:evenHBand="0" w:firstRowFirstColumn="0" w:firstRowLastColumn="0" w:lastRowFirstColumn="0" w:lastRowLastColumn="0"/>
            <w:tcW w:w="695" w:type="pct"/>
            <w:shd w:val="clear" w:color="auto" w:fill="F2F2F2" w:themeFill="background1" w:themeFillShade="F2"/>
            <w:vAlign w:val="center"/>
            <w:hideMark/>
          </w:tcPr>
          <w:p w14:paraId="37C25CF8" w14:textId="77777777" w:rsidR="00166DB1" w:rsidRPr="00166DB1" w:rsidRDefault="00166DB1" w:rsidP="00E45E42">
            <w:pPr>
              <w:pStyle w:val="TableCopy"/>
            </w:pPr>
            <w:r w:rsidRPr="00166DB1">
              <w:t>Major cities</w:t>
            </w:r>
          </w:p>
        </w:tc>
        <w:tc>
          <w:tcPr>
            <w:tcW w:w="989" w:type="pct"/>
            <w:shd w:val="clear" w:color="auto" w:fill="F2F2F2" w:themeFill="background1" w:themeFillShade="F2"/>
            <w:noWrap/>
            <w:vAlign w:val="center"/>
            <w:hideMark/>
          </w:tcPr>
          <w:p w14:paraId="36755EA0"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rPr>
                <w:lang w:eastAsia="en-AU"/>
              </w:rPr>
            </w:pPr>
            <w:r w:rsidRPr="00166DB1">
              <w:t>78.6</w:t>
            </w:r>
          </w:p>
        </w:tc>
        <w:tc>
          <w:tcPr>
            <w:tcW w:w="1105" w:type="pct"/>
            <w:shd w:val="clear" w:color="auto" w:fill="F2F2F2" w:themeFill="background1" w:themeFillShade="F2"/>
            <w:noWrap/>
            <w:vAlign w:val="center"/>
            <w:hideMark/>
          </w:tcPr>
          <w:p w14:paraId="4FBBF35F"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rPr>
                <w:lang w:eastAsia="en-AU"/>
              </w:rPr>
            </w:pPr>
            <w:r w:rsidRPr="00166DB1">
              <w:t>0.0</w:t>
            </w:r>
          </w:p>
        </w:tc>
        <w:tc>
          <w:tcPr>
            <w:tcW w:w="1105" w:type="pct"/>
            <w:shd w:val="clear" w:color="auto" w:fill="F2F2F2" w:themeFill="background1" w:themeFillShade="F2"/>
            <w:vAlign w:val="center"/>
          </w:tcPr>
          <w:p w14:paraId="787455C8"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pPr>
            <w:r w:rsidRPr="00166DB1">
              <w:t>16,586,819</w:t>
            </w:r>
          </w:p>
        </w:tc>
        <w:tc>
          <w:tcPr>
            <w:tcW w:w="1105" w:type="pct"/>
            <w:shd w:val="clear" w:color="auto" w:fill="F2F2F2" w:themeFill="background1" w:themeFillShade="F2"/>
            <w:noWrap/>
            <w:vAlign w:val="center"/>
          </w:tcPr>
          <w:p w14:paraId="220BC46E"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rPr>
                <w:lang w:eastAsia="en-AU"/>
              </w:rPr>
            </w:pPr>
            <w:r w:rsidRPr="00166DB1">
              <w:t>0.0</w:t>
            </w:r>
          </w:p>
        </w:tc>
      </w:tr>
      <w:tr w:rsidR="00166DB1" w:rsidRPr="00166DB1" w14:paraId="1A01D0CE" w14:textId="77777777" w:rsidTr="00E45E42">
        <w:trPr>
          <w:trHeight w:val="420"/>
        </w:trPr>
        <w:tc>
          <w:tcPr>
            <w:cnfStyle w:val="001000000000" w:firstRow="0" w:lastRow="0" w:firstColumn="1" w:lastColumn="0" w:oddVBand="0" w:evenVBand="0" w:oddHBand="0" w:evenHBand="0" w:firstRowFirstColumn="0" w:firstRowLastColumn="0" w:lastRowFirstColumn="0" w:lastRowLastColumn="0"/>
            <w:tcW w:w="695" w:type="pct"/>
            <w:shd w:val="clear" w:color="auto" w:fill="F2F2F2" w:themeFill="background1" w:themeFillShade="F2"/>
            <w:vAlign w:val="center"/>
            <w:hideMark/>
          </w:tcPr>
          <w:p w14:paraId="757699BF" w14:textId="77777777" w:rsidR="00166DB1" w:rsidRPr="00166DB1" w:rsidRDefault="00166DB1" w:rsidP="00E45E42">
            <w:pPr>
              <w:pStyle w:val="TableCopy"/>
            </w:pPr>
            <w:r w:rsidRPr="00166DB1">
              <w:t>Inner regional</w:t>
            </w:r>
          </w:p>
        </w:tc>
        <w:tc>
          <w:tcPr>
            <w:tcW w:w="989" w:type="pct"/>
            <w:shd w:val="clear" w:color="auto" w:fill="F2F2F2" w:themeFill="background1" w:themeFillShade="F2"/>
            <w:noWrap/>
            <w:vAlign w:val="center"/>
            <w:hideMark/>
          </w:tcPr>
          <w:p w14:paraId="61F52CCB"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rPr>
                <w:lang w:eastAsia="en-AU"/>
              </w:rPr>
            </w:pPr>
            <w:r w:rsidRPr="00166DB1">
              <w:t>65.1</w:t>
            </w:r>
          </w:p>
        </w:tc>
        <w:tc>
          <w:tcPr>
            <w:tcW w:w="1105" w:type="pct"/>
            <w:shd w:val="clear" w:color="auto" w:fill="F2F2F2" w:themeFill="background1" w:themeFillShade="F2"/>
            <w:noWrap/>
            <w:vAlign w:val="center"/>
            <w:hideMark/>
          </w:tcPr>
          <w:p w14:paraId="15C4640E"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rPr>
                <w:lang w:eastAsia="en-AU"/>
              </w:rPr>
            </w:pPr>
            <w:r w:rsidRPr="00166DB1">
              <w:t>13.5</w:t>
            </w:r>
          </w:p>
        </w:tc>
        <w:tc>
          <w:tcPr>
            <w:tcW w:w="1105" w:type="pct"/>
            <w:shd w:val="clear" w:color="auto" w:fill="F2F2F2" w:themeFill="background1" w:themeFillShade="F2"/>
            <w:vAlign w:val="center"/>
          </w:tcPr>
          <w:p w14:paraId="2A3F2DAD"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pPr>
            <w:r w:rsidRPr="00166DB1">
              <w:t>4,259,400</w:t>
            </w:r>
          </w:p>
        </w:tc>
        <w:tc>
          <w:tcPr>
            <w:tcW w:w="1105" w:type="pct"/>
            <w:shd w:val="clear" w:color="auto" w:fill="F2F2F2" w:themeFill="background1" w:themeFillShade="F2"/>
            <w:noWrap/>
            <w:vAlign w:val="center"/>
          </w:tcPr>
          <w:p w14:paraId="54C80F5A"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rPr>
                <w:lang w:eastAsia="en-AU"/>
              </w:rPr>
            </w:pPr>
            <w:r w:rsidRPr="00166DB1">
              <w:t>13.5</w:t>
            </w:r>
          </w:p>
        </w:tc>
      </w:tr>
      <w:tr w:rsidR="00166DB1" w:rsidRPr="00166DB1" w14:paraId="2CC8D59C" w14:textId="77777777" w:rsidTr="00E45E42">
        <w:trPr>
          <w:trHeight w:val="420"/>
        </w:trPr>
        <w:tc>
          <w:tcPr>
            <w:cnfStyle w:val="001000000000" w:firstRow="0" w:lastRow="0" w:firstColumn="1" w:lastColumn="0" w:oddVBand="0" w:evenVBand="0" w:oddHBand="0" w:evenHBand="0" w:firstRowFirstColumn="0" w:firstRowLastColumn="0" w:lastRowFirstColumn="0" w:lastRowLastColumn="0"/>
            <w:tcW w:w="695" w:type="pct"/>
            <w:shd w:val="clear" w:color="auto" w:fill="F2F2F2" w:themeFill="background1" w:themeFillShade="F2"/>
            <w:vAlign w:val="center"/>
            <w:hideMark/>
          </w:tcPr>
          <w:p w14:paraId="52B431E5" w14:textId="77777777" w:rsidR="00166DB1" w:rsidRPr="00166DB1" w:rsidRDefault="00166DB1" w:rsidP="00E45E42">
            <w:pPr>
              <w:pStyle w:val="TableCopy"/>
            </w:pPr>
            <w:r w:rsidRPr="00166DB1">
              <w:t>Outer regional</w:t>
            </w:r>
          </w:p>
        </w:tc>
        <w:tc>
          <w:tcPr>
            <w:tcW w:w="989" w:type="pct"/>
            <w:shd w:val="clear" w:color="auto" w:fill="F2F2F2" w:themeFill="background1" w:themeFillShade="F2"/>
            <w:noWrap/>
            <w:vAlign w:val="center"/>
            <w:hideMark/>
          </w:tcPr>
          <w:p w14:paraId="65EB0DD5"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rPr>
                <w:lang w:eastAsia="en-AU"/>
              </w:rPr>
            </w:pPr>
            <w:r w:rsidRPr="00166DB1">
              <w:t>63.3</w:t>
            </w:r>
          </w:p>
        </w:tc>
        <w:tc>
          <w:tcPr>
            <w:tcW w:w="1105" w:type="pct"/>
            <w:shd w:val="clear" w:color="auto" w:fill="F2F2F2" w:themeFill="background1" w:themeFillShade="F2"/>
            <w:noWrap/>
            <w:vAlign w:val="center"/>
            <w:hideMark/>
          </w:tcPr>
          <w:p w14:paraId="057E96F3"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rPr>
                <w:lang w:eastAsia="en-AU"/>
              </w:rPr>
            </w:pPr>
            <w:r w:rsidRPr="00166DB1">
              <w:t>16.0</w:t>
            </w:r>
          </w:p>
        </w:tc>
        <w:tc>
          <w:tcPr>
            <w:tcW w:w="1105" w:type="pct"/>
            <w:shd w:val="clear" w:color="auto" w:fill="F2F2F2" w:themeFill="background1" w:themeFillShade="F2"/>
            <w:vAlign w:val="center"/>
          </w:tcPr>
          <w:p w14:paraId="64719156"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pPr>
            <w:r w:rsidRPr="00166DB1">
              <w:t>2,077,110</w:t>
            </w:r>
          </w:p>
        </w:tc>
        <w:tc>
          <w:tcPr>
            <w:tcW w:w="1105" w:type="pct"/>
            <w:shd w:val="clear" w:color="auto" w:fill="F2F2F2" w:themeFill="background1" w:themeFillShade="F2"/>
            <w:noWrap/>
            <w:vAlign w:val="center"/>
          </w:tcPr>
          <w:p w14:paraId="73E17EC2"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rPr>
                <w:lang w:eastAsia="en-AU"/>
              </w:rPr>
            </w:pPr>
            <w:r w:rsidRPr="00166DB1">
              <w:t>16.0</w:t>
            </w:r>
          </w:p>
        </w:tc>
      </w:tr>
      <w:tr w:rsidR="00166DB1" w:rsidRPr="00166DB1" w14:paraId="505D50B8" w14:textId="77777777" w:rsidTr="00E45E42">
        <w:trPr>
          <w:trHeight w:val="290"/>
        </w:trPr>
        <w:tc>
          <w:tcPr>
            <w:cnfStyle w:val="001000000000" w:firstRow="0" w:lastRow="0" w:firstColumn="1" w:lastColumn="0" w:oddVBand="0" w:evenVBand="0" w:oddHBand="0" w:evenHBand="0" w:firstRowFirstColumn="0" w:firstRowLastColumn="0" w:lastRowFirstColumn="0" w:lastRowLastColumn="0"/>
            <w:tcW w:w="695" w:type="pct"/>
            <w:shd w:val="clear" w:color="auto" w:fill="F2F2F2" w:themeFill="background1" w:themeFillShade="F2"/>
            <w:vAlign w:val="center"/>
            <w:hideMark/>
          </w:tcPr>
          <w:p w14:paraId="2FB78256" w14:textId="77777777" w:rsidR="00166DB1" w:rsidRPr="00166DB1" w:rsidRDefault="00166DB1" w:rsidP="00E45E42">
            <w:pPr>
              <w:pStyle w:val="TableCopy"/>
            </w:pPr>
            <w:r w:rsidRPr="00166DB1">
              <w:t>Remote</w:t>
            </w:r>
          </w:p>
        </w:tc>
        <w:tc>
          <w:tcPr>
            <w:tcW w:w="989" w:type="pct"/>
            <w:shd w:val="clear" w:color="auto" w:fill="F2F2F2" w:themeFill="background1" w:themeFillShade="F2"/>
            <w:noWrap/>
            <w:vAlign w:val="center"/>
            <w:hideMark/>
          </w:tcPr>
          <w:p w14:paraId="2E0FEDB7"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rPr>
                <w:lang w:eastAsia="en-AU"/>
              </w:rPr>
            </w:pPr>
            <w:r w:rsidRPr="00166DB1">
              <w:t>54.6</w:t>
            </w:r>
          </w:p>
        </w:tc>
        <w:tc>
          <w:tcPr>
            <w:tcW w:w="1105" w:type="pct"/>
            <w:shd w:val="clear" w:color="auto" w:fill="F2F2F2" w:themeFill="background1" w:themeFillShade="F2"/>
            <w:noWrap/>
            <w:vAlign w:val="center"/>
            <w:hideMark/>
          </w:tcPr>
          <w:p w14:paraId="341F6278"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rPr>
                <w:lang w:eastAsia="en-AU"/>
              </w:rPr>
            </w:pPr>
            <w:r w:rsidRPr="00166DB1">
              <w:t>24.0</w:t>
            </w:r>
          </w:p>
        </w:tc>
        <w:tc>
          <w:tcPr>
            <w:tcW w:w="1105" w:type="pct"/>
            <w:shd w:val="clear" w:color="auto" w:fill="F2F2F2" w:themeFill="background1" w:themeFillShade="F2"/>
            <w:vAlign w:val="center"/>
          </w:tcPr>
          <w:p w14:paraId="33115908"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pPr>
            <w:r w:rsidRPr="00166DB1">
              <w:t>321,789</w:t>
            </w:r>
          </w:p>
        </w:tc>
        <w:tc>
          <w:tcPr>
            <w:tcW w:w="1105" w:type="pct"/>
            <w:shd w:val="clear" w:color="auto" w:fill="F2F2F2" w:themeFill="background1" w:themeFillShade="F2"/>
            <w:noWrap/>
            <w:vAlign w:val="center"/>
          </w:tcPr>
          <w:p w14:paraId="3B914DAA"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rPr>
                <w:lang w:eastAsia="en-AU"/>
              </w:rPr>
            </w:pPr>
            <w:r w:rsidRPr="00166DB1">
              <w:t>24.0</w:t>
            </w:r>
          </w:p>
        </w:tc>
      </w:tr>
      <w:tr w:rsidR="00166DB1" w:rsidRPr="00166DB1" w14:paraId="7C1E1BAE" w14:textId="77777777" w:rsidTr="00E45E42">
        <w:trPr>
          <w:trHeight w:val="420"/>
        </w:trPr>
        <w:tc>
          <w:tcPr>
            <w:cnfStyle w:val="001000000000" w:firstRow="0" w:lastRow="0" w:firstColumn="1" w:lastColumn="0" w:oddVBand="0" w:evenVBand="0" w:oddHBand="0" w:evenHBand="0" w:firstRowFirstColumn="0" w:firstRowLastColumn="0" w:lastRowFirstColumn="0" w:lastRowLastColumn="0"/>
            <w:tcW w:w="695" w:type="pct"/>
            <w:shd w:val="clear" w:color="auto" w:fill="F2F2F2" w:themeFill="background1" w:themeFillShade="F2"/>
            <w:vAlign w:val="center"/>
            <w:hideMark/>
          </w:tcPr>
          <w:p w14:paraId="26EE7425" w14:textId="77777777" w:rsidR="00166DB1" w:rsidRPr="00166DB1" w:rsidRDefault="00166DB1" w:rsidP="00E45E42">
            <w:pPr>
              <w:pStyle w:val="TableCopy"/>
            </w:pPr>
            <w:r w:rsidRPr="00166DB1">
              <w:t>Very remote</w:t>
            </w:r>
          </w:p>
        </w:tc>
        <w:tc>
          <w:tcPr>
            <w:tcW w:w="989" w:type="pct"/>
            <w:shd w:val="clear" w:color="auto" w:fill="F2F2F2" w:themeFill="background1" w:themeFillShade="F2"/>
            <w:noWrap/>
            <w:vAlign w:val="center"/>
            <w:hideMark/>
          </w:tcPr>
          <w:p w14:paraId="24EA65FE"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rPr>
                <w:lang w:eastAsia="en-AU"/>
              </w:rPr>
            </w:pPr>
            <w:r w:rsidRPr="00166DB1">
              <w:t>34.1</w:t>
            </w:r>
          </w:p>
        </w:tc>
        <w:tc>
          <w:tcPr>
            <w:tcW w:w="1105" w:type="pct"/>
            <w:shd w:val="clear" w:color="auto" w:fill="F2F2F2" w:themeFill="background1" w:themeFillShade="F2"/>
            <w:noWrap/>
            <w:vAlign w:val="center"/>
            <w:hideMark/>
          </w:tcPr>
          <w:p w14:paraId="4F577DBD"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rPr>
                <w:lang w:eastAsia="en-AU"/>
              </w:rPr>
            </w:pPr>
            <w:r w:rsidRPr="00166DB1">
              <w:t>45.0</w:t>
            </w:r>
          </w:p>
        </w:tc>
        <w:tc>
          <w:tcPr>
            <w:tcW w:w="1105" w:type="pct"/>
            <w:shd w:val="clear" w:color="auto" w:fill="F2F2F2" w:themeFill="background1" w:themeFillShade="F2"/>
            <w:vAlign w:val="center"/>
          </w:tcPr>
          <w:p w14:paraId="6A7FABE7"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pPr>
            <w:r w:rsidRPr="00166DB1">
              <w:t>206,823</w:t>
            </w:r>
          </w:p>
        </w:tc>
        <w:tc>
          <w:tcPr>
            <w:tcW w:w="1105" w:type="pct"/>
            <w:shd w:val="clear" w:color="auto" w:fill="F2F2F2" w:themeFill="background1" w:themeFillShade="F2"/>
            <w:noWrap/>
            <w:vAlign w:val="center"/>
          </w:tcPr>
          <w:p w14:paraId="3EF29A81"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rPr>
                <w:lang w:eastAsia="en-AU"/>
              </w:rPr>
            </w:pPr>
            <w:r w:rsidRPr="00166DB1">
              <w:t>45.0</w:t>
            </w:r>
          </w:p>
        </w:tc>
      </w:tr>
      <w:tr w:rsidR="00166DB1" w:rsidRPr="00166DB1" w14:paraId="030D06D9" w14:textId="77777777" w:rsidTr="00E45E42">
        <w:trPr>
          <w:cnfStyle w:val="010000000000" w:firstRow="0" w:lastRow="1"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695" w:type="pct"/>
            <w:shd w:val="clear" w:color="auto" w:fill="F2F2F2" w:themeFill="background1" w:themeFillShade="F2"/>
            <w:vAlign w:val="center"/>
          </w:tcPr>
          <w:p w14:paraId="2A18D3BB" w14:textId="77777777" w:rsidR="00166DB1" w:rsidRPr="00166DB1" w:rsidRDefault="00166DB1" w:rsidP="00E45E42">
            <w:pPr>
              <w:pStyle w:val="TableCopy"/>
            </w:pPr>
            <w:r w:rsidRPr="00166DB1">
              <w:t xml:space="preserve">Total </w:t>
            </w:r>
          </w:p>
        </w:tc>
        <w:tc>
          <w:tcPr>
            <w:tcW w:w="989" w:type="pct"/>
            <w:shd w:val="clear" w:color="auto" w:fill="F2F2F2" w:themeFill="background1" w:themeFillShade="F2"/>
            <w:noWrap/>
            <w:vAlign w:val="center"/>
          </w:tcPr>
          <w:p w14:paraId="157F679B" w14:textId="77777777" w:rsidR="00166DB1" w:rsidRPr="00166DB1" w:rsidRDefault="00166DB1" w:rsidP="00E45E42">
            <w:pPr>
              <w:pStyle w:val="TableCopy"/>
              <w:jc w:val="center"/>
              <w:cnfStyle w:val="010000000000" w:firstRow="0" w:lastRow="1" w:firstColumn="0" w:lastColumn="0" w:oddVBand="0" w:evenVBand="0" w:oddHBand="0" w:evenHBand="0" w:firstRowFirstColumn="0" w:firstRowLastColumn="0" w:lastRowFirstColumn="0" w:lastRowLastColumn="0"/>
              <w:rPr>
                <w:lang w:eastAsia="en-AU"/>
              </w:rPr>
            </w:pPr>
          </w:p>
        </w:tc>
        <w:tc>
          <w:tcPr>
            <w:tcW w:w="1105" w:type="pct"/>
            <w:shd w:val="clear" w:color="auto" w:fill="F2F2F2" w:themeFill="background1" w:themeFillShade="F2"/>
            <w:noWrap/>
            <w:vAlign w:val="center"/>
          </w:tcPr>
          <w:p w14:paraId="53B66166" w14:textId="77777777" w:rsidR="00166DB1" w:rsidRPr="00166DB1" w:rsidRDefault="00166DB1" w:rsidP="00E45E42">
            <w:pPr>
              <w:pStyle w:val="TableCopy"/>
              <w:jc w:val="center"/>
              <w:cnfStyle w:val="010000000000" w:firstRow="0" w:lastRow="1" w:firstColumn="0" w:lastColumn="0" w:oddVBand="0" w:evenVBand="0" w:oddHBand="0" w:evenHBand="0" w:firstRowFirstColumn="0" w:firstRowLastColumn="0" w:lastRowFirstColumn="0" w:lastRowLastColumn="0"/>
              <w:rPr>
                <w:lang w:eastAsia="en-AU"/>
              </w:rPr>
            </w:pPr>
          </w:p>
        </w:tc>
        <w:tc>
          <w:tcPr>
            <w:tcW w:w="1105" w:type="pct"/>
            <w:shd w:val="clear" w:color="auto" w:fill="F2F2F2" w:themeFill="background1" w:themeFillShade="F2"/>
            <w:vAlign w:val="center"/>
          </w:tcPr>
          <w:p w14:paraId="16C379D2" w14:textId="77777777" w:rsidR="00166DB1" w:rsidRPr="00166DB1" w:rsidRDefault="00166DB1" w:rsidP="00E45E42">
            <w:pPr>
              <w:pStyle w:val="TableCopy"/>
              <w:jc w:val="center"/>
              <w:cnfStyle w:val="010000000000" w:firstRow="0" w:lastRow="1" w:firstColumn="0" w:lastColumn="0" w:oddVBand="0" w:evenVBand="0" w:oddHBand="0" w:evenHBand="0" w:firstRowFirstColumn="0" w:firstRowLastColumn="0" w:lastRowFirstColumn="0" w:lastRowLastColumn="0"/>
            </w:pPr>
          </w:p>
        </w:tc>
        <w:tc>
          <w:tcPr>
            <w:tcW w:w="1105" w:type="pct"/>
            <w:shd w:val="clear" w:color="auto" w:fill="F2F2F2" w:themeFill="background1" w:themeFillShade="F2"/>
            <w:noWrap/>
            <w:vAlign w:val="center"/>
          </w:tcPr>
          <w:p w14:paraId="6425391D" w14:textId="77777777" w:rsidR="00166DB1" w:rsidRPr="00166DB1" w:rsidRDefault="00166DB1" w:rsidP="00E45E42">
            <w:pPr>
              <w:pStyle w:val="TableCopy"/>
              <w:jc w:val="center"/>
              <w:cnfStyle w:val="010000000000" w:firstRow="0" w:lastRow="1" w:firstColumn="0" w:lastColumn="0" w:oddVBand="0" w:evenVBand="0" w:oddHBand="0" w:evenHBand="0" w:firstRowFirstColumn="0" w:firstRowLastColumn="0" w:lastRowFirstColumn="0" w:lastRowLastColumn="0"/>
              <w:rPr>
                <w:lang w:eastAsia="en-AU"/>
              </w:rPr>
            </w:pPr>
            <w:r w:rsidRPr="00166DB1">
              <w:rPr>
                <w:lang w:eastAsia="en-AU"/>
              </w:rPr>
              <w:t>1,078</w:t>
            </w:r>
          </w:p>
        </w:tc>
      </w:tr>
    </w:tbl>
    <w:p w14:paraId="25CC693B" w14:textId="77777777" w:rsidR="00166DB1" w:rsidRPr="00166DB1" w:rsidRDefault="00166DB1" w:rsidP="00BF753C">
      <w:pPr>
        <w:pStyle w:val="TableNotes"/>
      </w:pPr>
      <w:r w:rsidRPr="00166DB1">
        <w:t>*Source: National Health Workforce Dataset (NHWDS) 2013–2015, averaged over the three years</w:t>
      </w:r>
    </w:p>
    <w:p w14:paraId="2DEDD155" w14:textId="77777777" w:rsidR="00166DB1" w:rsidRPr="00166DB1" w:rsidRDefault="00166DB1" w:rsidP="00BF753C">
      <w:pPr>
        <w:pStyle w:val="TableNotes"/>
      </w:pPr>
      <w:r w:rsidRPr="00166DB1">
        <w:t>^Source: ABS - 3218.0 - Regional Population Growth (2013–2015), averaged over the three years</w:t>
      </w:r>
    </w:p>
    <w:p w14:paraId="17846CA5" w14:textId="77777777" w:rsidR="00166DB1" w:rsidRPr="00166DB1" w:rsidRDefault="00166DB1" w:rsidP="00BF753C">
      <w:pPr>
        <w:pStyle w:val="TableNotes"/>
      </w:pPr>
      <w:r w:rsidRPr="00166DB1">
        <w:t>#Rounding error: Rounding of numbers in columns A and B may cause calculations in Column D to appear over or under estimated, as calculations have been executed in excel to numerous decimal points.</w:t>
      </w:r>
    </w:p>
    <w:p w14:paraId="4E48A359" w14:textId="77777777" w:rsidR="00166DB1" w:rsidRPr="00166DB1" w:rsidRDefault="00166DB1" w:rsidP="00483C21">
      <w:pPr>
        <w:pStyle w:val="Caption"/>
      </w:pPr>
      <w:r w:rsidRPr="00166DB1">
        <w:t xml:space="preserve">Table </w:t>
      </w:r>
      <w:r w:rsidRPr="00166DB1">
        <w:rPr>
          <w:noProof/>
        </w:rPr>
        <w:fldChar w:fldCharType="begin"/>
      </w:r>
      <w:r w:rsidRPr="00166DB1">
        <w:rPr>
          <w:noProof/>
        </w:rPr>
        <w:instrText xml:space="preserve"> STYLEREF 1 \s </w:instrText>
      </w:r>
      <w:r w:rsidRPr="00166DB1">
        <w:rPr>
          <w:noProof/>
        </w:rPr>
        <w:fldChar w:fldCharType="separate"/>
      </w:r>
      <w:r w:rsidRPr="00166DB1">
        <w:rPr>
          <w:noProof/>
        </w:rPr>
        <w:t>8</w:t>
      </w:r>
      <w:r w:rsidRPr="00166DB1">
        <w:rPr>
          <w:noProof/>
        </w:rPr>
        <w:fldChar w:fldCharType="end"/>
      </w:r>
      <w:r w:rsidRPr="00166DB1">
        <w:t>.</w:t>
      </w:r>
      <w:r w:rsidRPr="00166DB1">
        <w:rPr>
          <w:noProof/>
        </w:rPr>
        <w:fldChar w:fldCharType="begin"/>
      </w:r>
      <w:r w:rsidRPr="00166DB1">
        <w:rPr>
          <w:noProof/>
        </w:rPr>
        <w:instrText xml:space="preserve"> SEQ Table \* ARABIC \s 1 </w:instrText>
      </w:r>
      <w:r w:rsidRPr="00166DB1">
        <w:rPr>
          <w:noProof/>
        </w:rPr>
        <w:fldChar w:fldCharType="separate"/>
      </w:r>
      <w:r w:rsidRPr="00166DB1">
        <w:rPr>
          <w:noProof/>
        </w:rPr>
        <w:t>3</w:t>
      </w:r>
      <w:r w:rsidRPr="00166DB1">
        <w:rPr>
          <w:noProof/>
        </w:rPr>
        <w:fldChar w:fldCharType="end"/>
      </w:r>
      <w:r w:rsidRPr="00166DB1">
        <w:t xml:space="preserve">: Average FTE rate (2013–15) and calculations to bring non-metropolitan areas to parity with major cities – community pharmacists </w:t>
      </w:r>
    </w:p>
    <w:tbl>
      <w:tblPr>
        <w:tblStyle w:val="HMATable"/>
        <w:tblW w:w="5000" w:type="pct"/>
        <w:tblInd w:w="10" w:type="dxa"/>
        <w:shd w:val="clear" w:color="auto" w:fill="F2F2F2" w:themeFill="background1" w:themeFillShade="F2"/>
        <w:tblLayout w:type="fixed"/>
        <w:tblLook w:val="04E0" w:firstRow="1" w:lastRow="1" w:firstColumn="1" w:lastColumn="0" w:noHBand="0" w:noVBand="1"/>
        <w:tblCaption w:val="Table 8.3: Average FTE rate (2013-15) and calculations to bring non-metropolitan areas to parity with major cities - community pharmacists"/>
        <w:tblDescription w:val="Table 8.3: Average FTE rate (2013-15) and calculations to bring non-metropolitan areas to parity with major cities - community pharmacists"/>
      </w:tblPr>
      <w:tblGrid>
        <w:gridCol w:w="978"/>
        <w:gridCol w:w="1391"/>
        <w:gridCol w:w="1555"/>
        <w:gridCol w:w="1555"/>
        <w:gridCol w:w="1555"/>
      </w:tblGrid>
      <w:tr w:rsidR="00166DB1" w:rsidRPr="00166DB1" w14:paraId="3198B72F" w14:textId="77777777" w:rsidTr="00367717">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100" w:firstRow="0" w:lastRow="0" w:firstColumn="1" w:lastColumn="0" w:oddVBand="0" w:evenVBand="0" w:oddHBand="0" w:evenHBand="0" w:firstRowFirstColumn="1" w:firstRowLastColumn="0" w:lastRowFirstColumn="0" w:lastRowLastColumn="0"/>
            <w:tcW w:w="695" w:type="pct"/>
            <w:shd w:val="clear" w:color="auto" w:fill="F2F2F2" w:themeFill="background1" w:themeFillShade="F2"/>
            <w:noWrap/>
            <w:vAlign w:val="center"/>
            <w:hideMark/>
          </w:tcPr>
          <w:p w14:paraId="53AF6A04" w14:textId="77777777" w:rsidR="00166DB1" w:rsidRPr="00166DB1" w:rsidRDefault="00166DB1" w:rsidP="00E45E42">
            <w:pPr>
              <w:pStyle w:val="TableColumnHeading"/>
              <w:rPr>
                <w:lang w:eastAsia="en-AU"/>
              </w:rPr>
            </w:pPr>
            <w:r w:rsidRPr="00166DB1">
              <w:t>Location type</w:t>
            </w:r>
          </w:p>
        </w:tc>
        <w:tc>
          <w:tcPr>
            <w:tcW w:w="989" w:type="pct"/>
            <w:shd w:val="clear" w:color="auto" w:fill="F2F2F2" w:themeFill="background1" w:themeFillShade="F2"/>
            <w:noWrap/>
            <w:vAlign w:val="center"/>
            <w:hideMark/>
          </w:tcPr>
          <w:p w14:paraId="0B830FBF" w14:textId="77777777" w:rsidR="00166DB1" w:rsidRPr="00166DB1" w:rsidRDefault="00166DB1" w:rsidP="00E45E42">
            <w:pPr>
              <w:pStyle w:val="TableColumnHeading"/>
              <w:cnfStyle w:val="100000000000" w:firstRow="1" w:lastRow="0" w:firstColumn="0" w:lastColumn="0" w:oddVBand="0" w:evenVBand="0" w:oddHBand="0" w:evenHBand="0" w:firstRowFirstColumn="0" w:firstRowLastColumn="0" w:lastRowFirstColumn="0" w:lastRowLastColumn="0"/>
              <w:rPr>
                <w:lang w:eastAsia="en-AU"/>
              </w:rPr>
            </w:pPr>
            <w:r w:rsidRPr="00166DB1">
              <w:rPr>
                <w:lang w:eastAsia="en-AU"/>
              </w:rPr>
              <w:t>A: Community pharmacist FTE rate per 100,000 population*</w:t>
            </w:r>
          </w:p>
        </w:tc>
        <w:tc>
          <w:tcPr>
            <w:tcW w:w="1105" w:type="pct"/>
            <w:shd w:val="clear" w:color="auto" w:fill="F2F2F2" w:themeFill="background1" w:themeFillShade="F2"/>
            <w:noWrap/>
            <w:vAlign w:val="center"/>
            <w:hideMark/>
          </w:tcPr>
          <w:p w14:paraId="3DFFC244" w14:textId="77777777" w:rsidR="00166DB1" w:rsidRPr="00166DB1" w:rsidRDefault="00166DB1" w:rsidP="00E45E42">
            <w:pPr>
              <w:pStyle w:val="TableColumnHeading"/>
              <w:cnfStyle w:val="100000000000" w:firstRow="1" w:lastRow="0" w:firstColumn="0" w:lastColumn="0" w:oddVBand="0" w:evenVBand="0" w:oddHBand="0" w:evenHBand="0" w:firstRowFirstColumn="0" w:firstRowLastColumn="0" w:lastRowFirstColumn="0" w:lastRowLastColumn="0"/>
              <w:rPr>
                <w:lang w:eastAsia="en-AU"/>
              </w:rPr>
            </w:pPr>
            <w:r w:rsidRPr="00166DB1">
              <w:rPr>
                <w:lang w:eastAsia="en-AU"/>
              </w:rPr>
              <w:t>B: Calculated community pharmacist FTE rate required for parity</w:t>
            </w:r>
          </w:p>
        </w:tc>
        <w:tc>
          <w:tcPr>
            <w:tcW w:w="1105" w:type="pct"/>
            <w:shd w:val="clear" w:color="auto" w:fill="F2F2F2" w:themeFill="background1" w:themeFillShade="F2"/>
            <w:vAlign w:val="center"/>
          </w:tcPr>
          <w:p w14:paraId="17CC872B" w14:textId="77777777" w:rsidR="00166DB1" w:rsidRPr="00166DB1" w:rsidRDefault="00166DB1" w:rsidP="00E45E42">
            <w:pPr>
              <w:pStyle w:val="TableColumnHeading"/>
              <w:cnfStyle w:val="100000000000" w:firstRow="1" w:lastRow="0" w:firstColumn="0" w:lastColumn="0" w:oddVBand="0" w:evenVBand="0" w:oddHBand="0" w:evenHBand="0" w:firstRowFirstColumn="0" w:firstRowLastColumn="0" w:lastRowFirstColumn="0" w:lastRowLastColumn="0"/>
            </w:pPr>
            <w:r w:rsidRPr="00166DB1">
              <w:t>C: Population^</w:t>
            </w:r>
          </w:p>
        </w:tc>
        <w:tc>
          <w:tcPr>
            <w:tcW w:w="1105" w:type="pct"/>
            <w:shd w:val="clear" w:color="auto" w:fill="F2F2F2" w:themeFill="background1" w:themeFillShade="F2"/>
            <w:noWrap/>
            <w:vAlign w:val="center"/>
            <w:hideMark/>
          </w:tcPr>
          <w:p w14:paraId="1C6A35A5" w14:textId="77777777" w:rsidR="00166DB1" w:rsidRPr="00166DB1" w:rsidRDefault="00166DB1" w:rsidP="00E45E42">
            <w:pPr>
              <w:pStyle w:val="TableColumnHeading"/>
              <w:cnfStyle w:val="100000000000" w:firstRow="1" w:lastRow="0" w:firstColumn="0" w:lastColumn="0" w:oddVBand="0" w:evenVBand="0" w:oddHBand="0" w:evenHBand="0" w:firstRowFirstColumn="0" w:firstRowLastColumn="0" w:lastRowFirstColumn="0" w:lastRowLastColumn="0"/>
              <w:rPr>
                <w:lang w:eastAsia="en-AU"/>
              </w:rPr>
            </w:pPr>
            <w:r w:rsidRPr="00166DB1">
              <w:t xml:space="preserve">D: Calculated community pharmacist FTE required for parity </w:t>
            </w:r>
          </w:p>
        </w:tc>
      </w:tr>
      <w:tr w:rsidR="00166DB1" w:rsidRPr="00166DB1" w14:paraId="3385D2C4" w14:textId="77777777" w:rsidTr="00E45E42">
        <w:trPr>
          <w:trHeight w:val="290"/>
        </w:trPr>
        <w:tc>
          <w:tcPr>
            <w:cnfStyle w:val="001000000000" w:firstRow="0" w:lastRow="0" w:firstColumn="1" w:lastColumn="0" w:oddVBand="0" w:evenVBand="0" w:oddHBand="0" w:evenHBand="0" w:firstRowFirstColumn="0" w:firstRowLastColumn="0" w:lastRowFirstColumn="0" w:lastRowLastColumn="0"/>
            <w:tcW w:w="695" w:type="pct"/>
            <w:shd w:val="clear" w:color="auto" w:fill="F2F2F2" w:themeFill="background1" w:themeFillShade="F2"/>
            <w:noWrap/>
            <w:vAlign w:val="center"/>
          </w:tcPr>
          <w:p w14:paraId="4AB86169" w14:textId="77777777" w:rsidR="00166DB1" w:rsidRPr="00166DB1" w:rsidRDefault="00166DB1" w:rsidP="00E45E42">
            <w:pPr>
              <w:pStyle w:val="TableColumnHeading"/>
              <w:rPr>
                <w:lang w:eastAsia="en-AU"/>
              </w:rPr>
            </w:pPr>
          </w:p>
        </w:tc>
        <w:tc>
          <w:tcPr>
            <w:tcW w:w="989" w:type="pct"/>
            <w:shd w:val="clear" w:color="auto" w:fill="F2F2F2" w:themeFill="background1" w:themeFillShade="F2"/>
            <w:noWrap/>
            <w:vAlign w:val="center"/>
          </w:tcPr>
          <w:p w14:paraId="1E7DE318" w14:textId="77777777" w:rsidR="00166DB1" w:rsidRPr="00166DB1" w:rsidRDefault="00166DB1" w:rsidP="00E45E42">
            <w:pPr>
              <w:pStyle w:val="TableColumnHeading"/>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w:t>
            </w:r>
          </w:p>
        </w:tc>
        <w:tc>
          <w:tcPr>
            <w:tcW w:w="1105" w:type="pct"/>
            <w:shd w:val="clear" w:color="auto" w:fill="F2F2F2" w:themeFill="background1" w:themeFillShade="F2"/>
            <w:noWrap/>
            <w:vAlign w:val="center"/>
          </w:tcPr>
          <w:p w14:paraId="5E7DE36A" w14:textId="77777777" w:rsidR="00166DB1" w:rsidRPr="00166DB1" w:rsidRDefault="00166DB1" w:rsidP="00E45E42">
            <w:pPr>
              <w:pStyle w:val="TableColumnHeading"/>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A1 - Ax</w:t>
            </w:r>
          </w:p>
        </w:tc>
        <w:tc>
          <w:tcPr>
            <w:tcW w:w="1105" w:type="pct"/>
            <w:shd w:val="clear" w:color="auto" w:fill="F2F2F2" w:themeFill="background1" w:themeFillShade="F2"/>
            <w:vAlign w:val="center"/>
          </w:tcPr>
          <w:p w14:paraId="1E8A2F3A" w14:textId="77777777" w:rsidR="00166DB1" w:rsidRPr="00166DB1" w:rsidRDefault="00166DB1" w:rsidP="00E45E42">
            <w:pPr>
              <w:pStyle w:val="TableColumnHeading"/>
              <w:cnfStyle w:val="000000000000" w:firstRow="0" w:lastRow="0" w:firstColumn="0" w:lastColumn="0" w:oddVBand="0" w:evenVBand="0" w:oddHBand="0" w:evenHBand="0" w:firstRowFirstColumn="0" w:firstRowLastColumn="0" w:lastRowFirstColumn="0" w:lastRowLastColumn="0"/>
            </w:pPr>
            <w:r w:rsidRPr="00166DB1">
              <w:t>-</w:t>
            </w:r>
          </w:p>
        </w:tc>
        <w:tc>
          <w:tcPr>
            <w:tcW w:w="1105" w:type="pct"/>
            <w:shd w:val="clear" w:color="auto" w:fill="F2F2F2" w:themeFill="background1" w:themeFillShade="F2"/>
            <w:noWrap/>
            <w:vAlign w:val="center"/>
          </w:tcPr>
          <w:p w14:paraId="3642961E" w14:textId="77777777" w:rsidR="00166DB1" w:rsidRPr="00166DB1" w:rsidRDefault="00166DB1" w:rsidP="00E45E42">
            <w:pPr>
              <w:pStyle w:val="TableColumnHeading"/>
              <w:cnfStyle w:val="000000000000" w:firstRow="0" w:lastRow="0" w:firstColumn="0" w:lastColumn="0" w:oddVBand="0" w:evenVBand="0" w:oddHBand="0" w:evenHBand="0" w:firstRowFirstColumn="0" w:firstRowLastColumn="0" w:lastRowFirstColumn="0" w:lastRowLastColumn="0"/>
              <w:rPr>
                <w:lang w:eastAsia="en-AU"/>
              </w:rPr>
            </w:pPr>
            <w:r w:rsidRPr="00166DB1">
              <w:t>B*C/100,000</w:t>
            </w:r>
            <w:r w:rsidRPr="00166DB1">
              <w:rPr>
                <w:vertAlign w:val="superscript"/>
              </w:rPr>
              <w:t>#</w:t>
            </w:r>
          </w:p>
        </w:tc>
      </w:tr>
      <w:tr w:rsidR="00166DB1" w:rsidRPr="00166DB1" w14:paraId="2343C885" w14:textId="77777777" w:rsidTr="00E45E42">
        <w:trPr>
          <w:trHeight w:val="420"/>
        </w:trPr>
        <w:tc>
          <w:tcPr>
            <w:cnfStyle w:val="001000000000" w:firstRow="0" w:lastRow="0" w:firstColumn="1" w:lastColumn="0" w:oddVBand="0" w:evenVBand="0" w:oddHBand="0" w:evenHBand="0" w:firstRowFirstColumn="0" w:firstRowLastColumn="0" w:lastRowFirstColumn="0" w:lastRowLastColumn="0"/>
            <w:tcW w:w="695" w:type="pct"/>
            <w:shd w:val="clear" w:color="auto" w:fill="F2F2F2" w:themeFill="background1" w:themeFillShade="F2"/>
            <w:vAlign w:val="center"/>
            <w:hideMark/>
          </w:tcPr>
          <w:p w14:paraId="2FF38930" w14:textId="77777777" w:rsidR="00166DB1" w:rsidRPr="00166DB1" w:rsidRDefault="00166DB1" w:rsidP="00E45E42">
            <w:pPr>
              <w:pStyle w:val="TableCopy"/>
            </w:pPr>
            <w:r w:rsidRPr="00166DB1">
              <w:t>Major cities</w:t>
            </w:r>
          </w:p>
        </w:tc>
        <w:tc>
          <w:tcPr>
            <w:tcW w:w="989" w:type="pct"/>
            <w:shd w:val="clear" w:color="auto" w:fill="F2F2F2" w:themeFill="background1" w:themeFillShade="F2"/>
            <w:noWrap/>
            <w:vAlign w:val="center"/>
            <w:hideMark/>
          </w:tcPr>
          <w:p w14:paraId="2CE2C411"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rPr>
                <w:lang w:eastAsia="en-AU"/>
              </w:rPr>
            </w:pPr>
            <w:r w:rsidRPr="00166DB1">
              <w:t>54.1</w:t>
            </w:r>
          </w:p>
        </w:tc>
        <w:tc>
          <w:tcPr>
            <w:tcW w:w="1105" w:type="pct"/>
            <w:shd w:val="clear" w:color="auto" w:fill="F2F2F2" w:themeFill="background1" w:themeFillShade="F2"/>
            <w:noWrap/>
            <w:vAlign w:val="center"/>
            <w:hideMark/>
          </w:tcPr>
          <w:p w14:paraId="12887A8C"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rPr>
                <w:lang w:eastAsia="en-AU"/>
              </w:rPr>
            </w:pPr>
            <w:r w:rsidRPr="00166DB1">
              <w:t>0.0</w:t>
            </w:r>
          </w:p>
        </w:tc>
        <w:tc>
          <w:tcPr>
            <w:tcW w:w="1105" w:type="pct"/>
            <w:shd w:val="clear" w:color="auto" w:fill="F2F2F2" w:themeFill="background1" w:themeFillShade="F2"/>
            <w:vAlign w:val="center"/>
          </w:tcPr>
          <w:p w14:paraId="18D21372"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pPr>
            <w:r w:rsidRPr="00166DB1">
              <w:t>16,586,819</w:t>
            </w:r>
          </w:p>
        </w:tc>
        <w:tc>
          <w:tcPr>
            <w:tcW w:w="1105" w:type="pct"/>
            <w:shd w:val="clear" w:color="auto" w:fill="F2F2F2" w:themeFill="background1" w:themeFillShade="F2"/>
            <w:noWrap/>
            <w:vAlign w:val="center"/>
          </w:tcPr>
          <w:p w14:paraId="4E40B3EF"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rPr>
                <w:lang w:eastAsia="en-AU"/>
              </w:rPr>
            </w:pPr>
            <w:r w:rsidRPr="00166DB1">
              <w:t>0.0</w:t>
            </w:r>
          </w:p>
        </w:tc>
      </w:tr>
      <w:tr w:rsidR="00166DB1" w:rsidRPr="00166DB1" w14:paraId="0D6D115E" w14:textId="77777777" w:rsidTr="00E45E42">
        <w:trPr>
          <w:trHeight w:val="420"/>
        </w:trPr>
        <w:tc>
          <w:tcPr>
            <w:cnfStyle w:val="001000000000" w:firstRow="0" w:lastRow="0" w:firstColumn="1" w:lastColumn="0" w:oddVBand="0" w:evenVBand="0" w:oddHBand="0" w:evenHBand="0" w:firstRowFirstColumn="0" w:firstRowLastColumn="0" w:lastRowFirstColumn="0" w:lastRowLastColumn="0"/>
            <w:tcW w:w="695" w:type="pct"/>
            <w:shd w:val="clear" w:color="auto" w:fill="F2F2F2" w:themeFill="background1" w:themeFillShade="F2"/>
            <w:vAlign w:val="center"/>
            <w:hideMark/>
          </w:tcPr>
          <w:p w14:paraId="7A7050FB" w14:textId="77777777" w:rsidR="00166DB1" w:rsidRPr="00166DB1" w:rsidRDefault="00166DB1" w:rsidP="00E45E42">
            <w:pPr>
              <w:pStyle w:val="TableCopy"/>
            </w:pPr>
            <w:r w:rsidRPr="00166DB1">
              <w:t>Inner regional</w:t>
            </w:r>
          </w:p>
        </w:tc>
        <w:tc>
          <w:tcPr>
            <w:tcW w:w="989" w:type="pct"/>
            <w:shd w:val="clear" w:color="auto" w:fill="F2F2F2" w:themeFill="background1" w:themeFillShade="F2"/>
            <w:noWrap/>
            <w:vAlign w:val="center"/>
            <w:hideMark/>
          </w:tcPr>
          <w:p w14:paraId="41DFB601"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rPr>
                <w:lang w:eastAsia="en-AU"/>
              </w:rPr>
            </w:pPr>
            <w:r w:rsidRPr="00166DB1">
              <w:t>51.8</w:t>
            </w:r>
          </w:p>
        </w:tc>
        <w:tc>
          <w:tcPr>
            <w:tcW w:w="1105" w:type="pct"/>
            <w:shd w:val="clear" w:color="auto" w:fill="F2F2F2" w:themeFill="background1" w:themeFillShade="F2"/>
            <w:noWrap/>
            <w:vAlign w:val="center"/>
            <w:hideMark/>
          </w:tcPr>
          <w:p w14:paraId="3E5611EA"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rPr>
                <w:lang w:eastAsia="en-AU"/>
              </w:rPr>
            </w:pPr>
            <w:r w:rsidRPr="00166DB1">
              <w:t>2.3</w:t>
            </w:r>
          </w:p>
        </w:tc>
        <w:tc>
          <w:tcPr>
            <w:tcW w:w="1105" w:type="pct"/>
            <w:shd w:val="clear" w:color="auto" w:fill="F2F2F2" w:themeFill="background1" w:themeFillShade="F2"/>
            <w:vAlign w:val="center"/>
          </w:tcPr>
          <w:p w14:paraId="06FA17C7"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pPr>
            <w:r w:rsidRPr="00166DB1">
              <w:t>4,259,400</w:t>
            </w:r>
          </w:p>
        </w:tc>
        <w:tc>
          <w:tcPr>
            <w:tcW w:w="1105" w:type="pct"/>
            <w:shd w:val="clear" w:color="auto" w:fill="F2F2F2" w:themeFill="background1" w:themeFillShade="F2"/>
            <w:noWrap/>
            <w:vAlign w:val="center"/>
          </w:tcPr>
          <w:p w14:paraId="436ED1A2"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rPr>
                <w:lang w:eastAsia="en-AU"/>
              </w:rPr>
            </w:pPr>
            <w:r w:rsidRPr="00166DB1">
              <w:t>96.5</w:t>
            </w:r>
          </w:p>
        </w:tc>
      </w:tr>
      <w:tr w:rsidR="00166DB1" w:rsidRPr="00166DB1" w14:paraId="4E870D1A" w14:textId="77777777" w:rsidTr="00E45E42">
        <w:trPr>
          <w:trHeight w:val="420"/>
        </w:trPr>
        <w:tc>
          <w:tcPr>
            <w:cnfStyle w:val="001000000000" w:firstRow="0" w:lastRow="0" w:firstColumn="1" w:lastColumn="0" w:oddVBand="0" w:evenVBand="0" w:oddHBand="0" w:evenHBand="0" w:firstRowFirstColumn="0" w:firstRowLastColumn="0" w:lastRowFirstColumn="0" w:lastRowLastColumn="0"/>
            <w:tcW w:w="695" w:type="pct"/>
            <w:shd w:val="clear" w:color="auto" w:fill="F2F2F2" w:themeFill="background1" w:themeFillShade="F2"/>
            <w:vAlign w:val="center"/>
            <w:hideMark/>
          </w:tcPr>
          <w:p w14:paraId="2C3FEAA3" w14:textId="77777777" w:rsidR="00166DB1" w:rsidRPr="00166DB1" w:rsidRDefault="00166DB1" w:rsidP="00E45E42">
            <w:pPr>
              <w:pStyle w:val="TableCopy"/>
            </w:pPr>
            <w:r w:rsidRPr="00166DB1">
              <w:t>Outer regional</w:t>
            </w:r>
          </w:p>
        </w:tc>
        <w:tc>
          <w:tcPr>
            <w:tcW w:w="989" w:type="pct"/>
            <w:shd w:val="clear" w:color="auto" w:fill="F2F2F2" w:themeFill="background1" w:themeFillShade="F2"/>
            <w:noWrap/>
            <w:vAlign w:val="center"/>
            <w:hideMark/>
          </w:tcPr>
          <w:p w14:paraId="2B193E7E"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rPr>
                <w:lang w:eastAsia="en-AU"/>
              </w:rPr>
            </w:pPr>
            <w:r w:rsidRPr="00166DB1">
              <w:t>50.6</w:t>
            </w:r>
          </w:p>
        </w:tc>
        <w:tc>
          <w:tcPr>
            <w:tcW w:w="1105" w:type="pct"/>
            <w:shd w:val="clear" w:color="auto" w:fill="F2F2F2" w:themeFill="background1" w:themeFillShade="F2"/>
            <w:noWrap/>
            <w:vAlign w:val="center"/>
            <w:hideMark/>
          </w:tcPr>
          <w:p w14:paraId="027F21FF"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rPr>
                <w:lang w:eastAsia="en-AU"/>
              </w:rPr>
            </w:pPr>
            <w:r w:rsidRPr="00166DB1">
              <w:t>3.5</w:t>
            </w:r>
          </w:p>
        </w:tc>
        <w:tc>
          <w:tcPr>
            <w:tcW w:w="1105" w:type="pct"/>
            <w:shd w:val="clear" w:color="auto" w:fill="F2F2F2" w:themeFill="background1" w:themeFillShade="F2"/>
            <w:vAlign w:val="center"/>
          </w:tcPr>
          <w:p w14:paraId="6247EC48"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pPr>
            <w:r w:rsidRPr="00166DB1">
              <w:t>2,077,110</w:t>
            </w:r>
          </w:p>
        </w:tc>
        <w:tc>
          <w:tcPr>
            <w:tcW w:w="1105" w:type="pct"/>
            <w:shd w:val="clear" w:color="auto" w:fill="F2F2F2" w:themeFill="background1" w:themeFillShade="F2"/>
            <w:noWrap/>
            <w:vAlign w:val="center"/>
          </w:tcPr>
          <w:p w14:paraId="7C406C48"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rPr>
                <w:lang w:eastAsia="en-AU"/>
              </w:rPr>
            </w:pPr>
            <w:r w:rsidRPr="00166DB1">
              <w:t>72.7</w:t>
            </w:r>
          </w:p>
        </w:tc>
      </w:tr>
      <w:tr w:rsidR="00166DB1" w:rsidRPr="00166DB1" w14:paraId="25F1AD6E" w14:textId="77777777" w:rsidTr="00E45E42">
        <w:trPr>
          <w:trHeight w:val="290"/>
        </w:trPr>
        <w:tc>
          <w:tcPr>
            <w:cnfStyle w:val="001000000000" w:firstRow="0" w:lastRow="0" w:firstColumn="1" w:lastColumn="0" w:oddVBand="0" w:evenVBand="0" w:oddHBand="0" w:evenHBand="0" w:firstRowFirstColumn="0" w:firstRowLastColumn="0" w:lastRowFirstColumn="0" w:lastRowLastColumn="0"/>
            <w:tcW w:w="695" w:type="pct"/>
            <w:shd w:val="clear" w:color="auto" w:fill="F2F2F2" w:themeFill="background1" w:themeFillShade="F2"/>
            <w:vAlign w:val="center"/>
            <w:hideMark/>
          </w:tcPr>
          <w:p w14:paraId="2E0E7D88" w14:textId="77777777" w:rsidR="00166DB1" w:rsidRPr="00166DB1" w:rsidRDefault="00166DB1" w:rsidP="00E45E42">
            <w:pPr>
              <w:pStyle w:val="TableCopy"/>
            </w:pPr>
            <w:r w:rsidRPr="00166DB1">
              <w:t>Remote</w:t>
            </w:r>
          </w:p>
        </w:tc>
        <w:tc>
          <w:tcPr>
            <w:tcW w:w="989" w:type="pct"/>
            <w:shd w:val="clear" w:color="auto" w:fill="F2F2F2" w:themeFill="background1" w:themeFillShade="F2"/>
            <w:noWrap/>
            <w:vAlign w:val="center"/>
            <w:hideMark/>
          </w:tcPr>
          <w:p w14:paraId="7CF29123"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rPr>
                <w:lang w:eastAsia="en-AU"/>
              </w:rPr>
            </w:pPr>
            <w:r w:rsidRPr="00166DB1">
              <w:t>41.6</w:t>
            </w:r>
          </w:p>
        </w:tc>
        <w:tc>
          <w:tcPr>
            <w:tcW w:w="1105" w:type="pct"/>
            <w:shd w:val="clear" w:color="auto" w:fill="F2F2F2" w:themeFill="background1" w:themeFillShade="F2"/>
            <w:noWrap/>
            <w:vAlign w:val="center"/>
            <w:hideMark/>
          </w:tcPr>
          <w:p w14:paraId="00B6D78A"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rPr>
                <w:lang w:eastAsia="en-AU"/>
              </w:rPr>
            </w:pPr>
            <w:r w:rsidRPr="00166DB1">
              <w:t>12.5</w:t>
            </w:r>
          </w:p>
        </w:tc>
        <w:tc>
          <w:tcPr>
            <w:tcW w:w="1105" w:type="pct"/>
            <w:shd w:val="clear" w:color="auto" w:fill="F2F2F2" w:themeFill="background1" w:themeFillShade="F2"/>
            <w:vAlign w:val="center"/>
          </w:tcPr>
          <w:p w14:paraId="01778B4C"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pPr>
            <w:r w:rsidRPr="00166DB1">
              <w:t>321,789</w:t>
            </w:r>
          </w:p>
        </w:tc>
        <w:tc>
          <w:tcPr>
            <w:tcW w:w="1105" w:type="pct"/>
            <w:shd w:val="clear" w:color="auto" w:fill="F2F2F2" w:themeFill="background1" w:themeFillShade="F2"/>
            <w:noWrap/>
            <w:vAlign w:val="center"/>
          </w:tcPr>
          <w:p w14:paraId="6227A4FF"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rPr>
                <w:lang w:eastAsia="en-AU"/>
              </w:rPr>
            </w:pPr>
            <w:r w:rsidRPr="00166DB1">
              <w:t>40.1</w:t>
            </w:r>
          </w:p>
        </w:tc>
      </w:tr>
      <w:tr w:rsidR="00166DB1" w:rsidRPr="00166DB1" w14:paraId="2731CFDF" w14:textId="77777777" w:rsidTr="00E45E42">
        <w:trPr>
          <w:trHeight w:val="420"/>
        </w:trPr>
        <w:tc>
          <w:tcPr>
            <w:cnfStyle w:val="001000000000" w:firstRow="0" w:lastRow="0" w:firstColumn="1" w:lastColumn="0" w:oddVBand="0" w:evenVBand="0" w:oddHBand="0" w:evenHBand="0" w:firstRowFirstColumn="0" w:firstRowLastColumn="0" w:lastRowFirstColumn="0" w:lastRowLastColumn="0"/>
            <w:tcW w:w="695" w:type="pct"/>
            <w:shd w:val="clear" w:color="auto" w:fill="F2F2F2" w:themeFill="background1" w:themeFillShade="F2"/>
            <w:vAlign w:val="center"/>
            <w:hideMark/>
          </w:tcPr>
          <w:p w14:paraId="43971793" w14:textId="77777777" w:rsidR="00166DB1" w:rsidRPr="00166DB1" w:rsidRDefault="00166DB1" w:rsidP="00E45E42">
            <w:pPr>
              <w:pStyle w:val="TableCopy"/>
            </w:pPr>
            <w:r w:rsidRPr="00166DB1">
              <w:t>Very remote</w:t>
            </w:r>
          </w:p>
        </w:tc>
        <w:tc>
          <w:tcPr>
            <w:tcW w:w="989" w:type="pct"/>
            <w:shd w:val="clear" w:color="auto" w:fill="F2F2F2" w:themeFill="background1" w:themeFillShade="F2"/>
            <w:noWrap/>
            <w:vAlign w:val="center"/>
            <w:hideMark/>
          </w:tcPr>
          <w:p w14:paraId="1670283D"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rPr>
                <w:lang w:eastAsia="en-AU"/>
              </w:rPr>
            </w:pPr>
            <w:r w:rsidRPr="00166DB1">
              <w:t>26.4</w:t>
            </w:r>
          </w:p>
        </w:tc>
        <w:tc>
          <w:tcPr>
            <w:tcW w:w="1105" w:type="pct"/>
            <w:shd w:val="clear" w:color="auto" w:fill="F2F2F2" w:themeFill="background1" w:themeFillShade="F2"/>
            <w:noWrap/>
            <w:vAlign w:val="center"/>
            <w:hideMark/>
          </w:tcPr>
          <w:p w14:paraId="67C46AB9"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rPr>
                <w:lang w:eastAsia="en-AU"/>
              </w:rPr>
            </w:pPr>
            <w:r w:rsidRPr="00166DB1">
              <w:t>27.7</w:t>
            </w:r>
          </w:p>
        </w:tc>
        <w:tc>
          <w:tcPr>
            <w:tcW w:w="1105" w:type="pct"/>
            <w:shd w:val="clear" w:color="auto" w:fill="F2F2F2" w:themeFill="background1" w:themeFillShade="F2"/>
            <w:vAlign w:val="center"/>
          </w:tcPr>
          <w:p w14:paraId="753F2EBE"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pPr>
            <w:r w:rsidRPr="00166DB1">
              <w:t>206,823</w:t>
            </w:r>
          </w:p>
        </w:tc>
        <w:tc>
          <w:tcPr>
            <w:tcW w:w="1105" w:type="pct"/>
            <w:shd w:val="clear" w:color="auto" w:fill="F2F2F2" w:themeFill="background1" w:themeFillShade="F2"/>
            <w:noWrap/>
            <w:vAlign w:val="center"/>
          </w:tcPr>
          <w:p w14:paraId="13F132AD" w14:textId="77777777" w:rsidR="00166DB1" w:rsidRPr="00166DB1" w:rsidRDefault="00166DB1" w:rsidP="00E45E42">
            <w:pPr>
              <w:pStyle w:val="TableCopy"/>
              <w:jc w:val="center"/>
              <w:cnfStyle w:val="000000000000" w:firstRow="0" w:lastRow="0" w:firstColumn="0" w:lastColumn="0" w:oddVBand="0" w:evenVBand="0" w:oddHBand="0" w:evenHBand="0" w:firstRowFirstColumn="0" w:firstRowLastColumn="0" w:lastRowFirstColumn="0" w:lastRowLastColumn="0"/>
              <w:rPr>
                <w:lang w:eastAsia="en-AU"/>
              </w:rPr>
            </w:pPr>
            <w:r w:rsidRPr="00166DB1">
              <w:t>57.4</w:t>
            </w:r>
          </w:p>
        </w:tc>
      </w:tr>
      <w:tr w:rsidR="00166DB1" w:rsidRPr="00166DB1" w14:paraId="4931C5C8" w14:textId="77777777" w:rsidTr="00E45E42">
        <w:trPr>
          <w:cnfStyle w:val="010000000000" w:firstRow="0" w:lastRow="1"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695" w:type="pct"/>
            <w:shd w:val="clear" w:color="auto" w:fill="F2F2F2" w:themeFill="background1" w:themeFillShade="F2"/>
            <w:vAlign w:val="center"/>
          </w:tcPr>
          <w:p w14:paraId="3D005A41" w14:textId="77777777" w:rsidR="00166DB1" w:rsidRPr="00166DB1" w:rsidRDefault="00166DB1" w:rsidP="00E45E42">
            <w:pPr>
              <w:pStyle w:val="TableCopy"/>
            </w:pPr>
            <w:r w:rsidRPr="00166DB1">
              <w:t xml:space="preserve">Total </w:t>
            </w:r>
          </w:p>
        </w:tc>
        <w:tc>
          <w:tcPr>
            <w:tcW w:w="989" w:type="pct"/>
            <w:shd w:val="clear" w:color="auto" w:fill="F2F2F2" w:themeFill="background1" w:themeFillShade="F2"/>
            <w:noWrap/>
            <w:vAlign w:val="center"/>
          </w:tcPr>
          <w:p w14:paraId="51934AF3" w14:textId="77777777" w:rsidR="00166DB1" w:rsidRPr="00166DB1" w:rsidRDefault="00166DB1" w:rsidP="00E45E42">
            <w:pPr>
              <w:pStyle w:val="TableCopy"/>
              <w:jc w:val="center"/>
              <w:cnfStyle w:val="010000000000" w:firstRow="0" w:lastRow="1" w:firstColumn="0" w:lastColumn="0" w:oddVBand="0" w:evenVBand="0" w:oddHBand="0" w:evenHBand="0" w:firstRowFirstColumn="0" w:firstRowLastColumn="0" w:lastRowFirstColumn="0" w:lastRowLastColumn="0"/>
              <w:rPr>
                <w:lang w:eastAsia="en-AU"/>
              </w:rPr>
            </w:pPr>
          </w:p>
        </w:tc>
        <w:tc>
          <w:tcPr>
            <w:tcW w:w="1105" w:type="pct"/>
            <w:shd w:val="clear" w:color="auto" w:fill="F2F2F2" w:themeFill="background1" w:themeFillShade="F2"/>
            <w:noWrap/>
            <w:vAlign w:val="center"/>
          </w:tcPr>
          <w:p w14:paraId="1AAF363B" w14:textId="77777777" w:rsidR="00166DB1" w:rsidRPr="00166DB1" w:rsidRDefault="00166DB1" w:rsidP="00E45E42">
            <w:pPr>
              <w:pStyle w:val="TableCopy"/>
              <w:jc w:val="center"/>
              <w:cnfStyle w:val="010000000000" w:firstRow="0" w:lastRow="1" w:firstColumn="0" w:lastColumn="0" w:oddVBand="0" w:evenVBand="0" w:oddHBand="0" w:evenHBand="0" w:firstRowFirstColumn="0" w:firstRowLastColumn="0" w:lastRowFirstColumn="0" w:lastRowLastColumn="0"/>
              <w:rPr>
                <w:lang w:eastAsia="en-AU"/>
              </w:rPr>
            </w:pPr>
          </w:p>
        </w:tc>
        <w:tc>
          <w:tcPr>
            <w:tcW w:w="1105" w:type="pct"/>
            <w:shd w:val="clear" w:color="auto" w:fill="F2F2F2" w:themeFill="background1" w:themeFillShade="F2"/>
            <w:vAlign w:val="center"/>
          </w:tcPr>
          <w:p w14:paraId="4EC022C4" w14:textId="77777777" w:rsidR="00166DB1" w:rsidRPr="00166DB1" w:rsidRDefault="00166DB1" w:rsidP="00E45E42">
            <w:pPr>
              <w:pStyle w:val="TableCopy"/>
              <w:jc w:val="center"/>
              <w:cnfStyle w:val="010000000000" w:firstRow="0" w:lastRow="1" w:firstColumn="0" w:lastColumn="0" w:oddVBand="0" w:evenVBand="0" w:oddHBand="0" w:evenHBand="0" w:firstRowFirstColumn="0" w:firstRowLastColumn="0" w:lastRowFirstColumn="0" w:lastRowLastColumn="0"/>
            </w:pPr>
          </w:p>
        </w:tc>
        <w:tc>
          <w:tcPr>
            <w:tcW w:w="1105" w:type="pct"/>
            <w:shd w:val="clear" w:color="auto" w:fill="F2F2F2" w:themeFill="background1" w:themeFillShade="F2"/>
            <w:noWrap/>
            <w:vAlign w:val="center"/>
          </w:tcPr>
          <w:p w14:paraId="3C028EEC" w14:textId="77777777" w:rsidR="00166DB1" w:rsidRPr="00166DB1" w:rsidRDefault="00166DB1" w:rsidP="00E45E42">
            <w:pPr>
              <w:pStyle w:val="TableCopy"/>
              <w:jc w:val="center"/>
              <w:cnfStyle w:val="010000000000" w:firstRow="0" w:lastRow="1" w:firstColumn="0" w:lastColumn="0" w:oddVBand="0" w:evenVBand="0" w:oddHBand="0" w:evenHBand="0" w:firstRowFirstColumn="0" w:firstRowLastColumn="0" w:lastRowFirstColumn="0" w:lastRowLastColumn="0"/>
              <w:rPr>
                <w:lang w:eastAsia="en-AU"/>
              </w:rPr>
            </w:pPr>
            <w:r w:rsidRPr="00166DB1">
              <w:t>266.7</w:t>
            </w:r>
          </w:p>
        </w:tc>
      </w:tr>
    </w:tbl>
    <w:p w14:paraId="157D5F87" w14:textId="77777777" w:rsidR="00166DB1" w:rsidRPr="00166DB1" w:rsidRDefault="00166DB1" w:rsidP="00BF753C">
      <w:pPr>
        <w:pStyle w:val="TableNotes"/>
      </w:pPr>
      <w:r w:rsidRPr="00166DB1">
        <w:t>*Source: National Health Workforce Dataset (NHWDS) 2013–2015, averaged over the three years</w:t>
      </w:r>
    </w:p>
    <w:p w14:paraId="05C677AB" w14:textId="77777777" w:rsidR="00166DB1" w:rsidRPr="00166DB1" w:rsidRDefault="00166DB1" w:rsidP="00BF753C">
      <w:pPr>
        <w:pStyle w:val="TableNotes"/>
      </w:pPr>
      <w:r w:rsidRPr="00166DB1">
        <w:lastRenderedPageBreak/>
        <w:t>^Source: ABS - 3218.0 - Regional Population Growth (2013–2015), averaged over the three years</w:t>
      </w:r>
    </w:p>
    <w:p w14:paraId="29E98263" w14:textId="77777777" w:rsidR="00166DB1" w:rsidRPr="00166DB1" w:rsidRDefault="00166DB1" w:rsidP="00BF753C">
      <w:pPr>
        <w:pStyle w:val="TableNotes"/>
      </w:pPr>
      <w:r w:rsidRPr="00166DB1">
        <w:t xml:space="preserve">#Rounding error: Rounding of numbers in columns A and B may cause calculations in Column D to appear over or under estimated, as calculations have been executed in excel to numerous decimal points. </w:t>
      </w:r>
    </w:p>
    <w:p w14:paraId="7E3BCA55" w14:textId="77777777" w:rsidR="00166DB1" w:rsidRPr="00166DB1" w:rsidRDefault="00166DB1" w:rsidP="00166DB1">
      <w:pPr>
        <w:spacing w:before="85" w:after="85"/>
        <w:rPr>
          <w:rFonts w:ascii="Garamond" w:eastAsia="Garamond" w:hAnsi="Garamond"/>
          <w:color w:val="000000"/>
        </w:rPr>
        <w:sectPr w:rsidR="00166DB1" w:rsidRPr="00166DB1" w:rsidSect="00720069">
          <w:pgSz w:w="16839" w:h="11907" w:orient="landscape" w:code="9"/>
          <w:pgMar w:top="2268" w:right="1304" w:bottom="850" w:left="737" w:header="567" w:footer="284" w:gutter="0"/>
          <w:cols w:num="2" w:space="709"/>
          <w:docGrid w:linePitch="360"/>
        </w:sectPr>
      </w:pPr>
    </w:p>
    <w:p w14:paraId="56CE0BD3" w14:textId="193CBED9" w:rsidR="00166DB1" w:rsidRPr="00166DB1" w:rsidRDefault="00166DB1" w:rsidP="004F0F6F">
      <w:pPr>
        <w:pStyle w:val="HeadingAppendix2"/>
      </w:pPr>
      <w:bookmarkStart w:id="145" w:name="_Ref488151626"/>
      <w:bookmarkStart w:id="146" w:name="_Toc490574959"/>
      <w:bookmarkStart w:id="147" w:name="_Toc523322091"/>
      <w:r w:rsidRPr="00166DB1">
        <w:lastRenderedPageBreak/>
        <w:t>Comparator Workforce Programs</w:t>
      </w:r>
      <w:bookmarkEnd w:id="145"/>
      <w:bookmarkEnd w:id="146"/>
      <w:bookmarkEnd w:id="147"/>
      <w:r w:rsidRPr="00166DB1">
        <w:t xml:space="preserve"> </w:t>
      </w:r>
    </w:p>
    <w:p w14:paraId="39A87BB0" w14:textId="77777777" w:rsidR="00166DB1" w:rsidRPr="00166DB1" w:rsidRDefault="00166DB1" w:rsidP="004F0F6F">
      <w:pPr>
        <w:pStyle w:val="ESHeading3"/>
      </w:pPr>
      <w:r w:rsidRPr="00166DB1">
        <w:t xml:space="preserve">GP Rural Workforce Program </w:t>
      </w:r>
    </w:p>
    <w:p w14:paraId="0F9DE735"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The GP workforce is well supported by several rural incentive schemes, which appear to have succeeded in increasing regional, rural and remote FTE rates. Rural GP incentives include:</w:t>
      </w:r>
    </w:p>
    <w:p w14:paraId="37BB8EAE" w14:textId="77777777" w:rsidR="00166DB1" w:rsidRPr="00E45E42" w:rsidRDefault="00166DB1" w:rsidP="009F66FB">
      <w:pPr>
        <w:pStyle w:val="ListParagraph"/>
        <w:numPr>
          <w:ilvl w:val="0"/>
          <w:numId w:val="26"/>
        </w:numPr>
        <w:tabs>
          <w:tab w:val="num" w:pos="426"/>
        </w:tabs>
        <w:spacing w:before="20" w:after="20"/>
        <w:rPr>
          <w:rFonts w:ascii="Garamond" w:eastAsia="Times New Roman" w:hAnsi="Garamond"/>
          <w:color w:val="000000"/>
        </w:rPr>
      </w:pPr>
      <w:r w:rsidRPr="00E45E42">
        <w:rPr>
          <w:rFonts w:ascii="Garamond" w:eastAsia="Times New Roman" w:hAnsi="Garamond"/>
          <w:b/>
          <w:color w:val="000000"/>
        </w:rPr>
        <w:t>GP Rural Incentive Program</w:t>
      </w:r>
      <w:r w:rsidRPr="00E45E42">
        <w:rPr>
          <w:rFonts w:ascii="Garamond" w:eastAsia="Times New Roman" w:hAnsi="Garamond"/>
          <w:color w:val="000000"/>
        </w:rPr>
        <w:t xml:space="preserve"> provides automatic top-ups to MBS billed items for GPs working in rural and remote areas. Top-ups are calculated on the remoteness of the area and the number of years spent working in the area. GPs who have worked in a rural and remote location for five or more years could receive maximum top-ups of </w:t>
      </w:r>
      <w:r w:rsidRPr="00E45E42">
        <w:rPr>
          <w:rFonts w:ascii="Times New Roman" w:eastAsia="Times New Roman" w:hAnsi="Times New Roman"/>
          <w:color w:val="000000"/>
        </w:rPr>
        <w:t>$</w:t>
      </w:r>
      <w:r w:rsidRPr="00E45E42">
        <w:rPr>
          <w:rFonts w:ascii="Garamond" w:eastAsia="Times New Roman" w:hAnsi="Garamond"/>
          <w:color w:val="000000"/>
        </w:rPr>
        <w:t xml:space="preserve">12,000 to </w:t>
      </w:r>
      <w:r w:rsidRPr="00E45E42">
        <w:rPr>
          <w:rFonts w:ascii="Times New Roman" w:eastAsia="Times New Roman" w:hAnsi="Times New Roman"/>
          <w:color w:val="000000"/>
        </w:rPr>
        <w:t>$</w:t>
      </w:r>
      <w:r w:rsidRPr="00E45E42">
        <w:rPr>
          <w:rFonts w:ascii="Garamond" w:eastAsia="Times New Roman" w:hAnsi="Garamond"/>
          <w:color w:val="000000"/>
        </w:rPr>
        <w:t>60,000 per annum, depending on remoteness.</w:t>
      </w:r>
      <w:sdt>
        <w:sdtPr>
          <w:id w:val="-1519691709"/>
          <w:citation/>
        </w:sdtPr>
        <w:sdtEndPr/>
        <w:sdtContent>
          <w:r w:rsidRPr="00E45E42">
            <w:rPr>
              <w:rFonts w:ascii="Garamond" w:eastAsia="Times New Roman" w:hAnsi="Garamond"/>
              <w:color w:val="000000"/>
            </w:rPr>
            <w:fldChar w:fldCharType="begin"/>
          </w:r>
          <w:r w:rsidRPr="00E45E42">
            <w:rPr>
              <w:rFonts w:ascii="Garamond" w:eastAsia="Times New Roman" w:hAnsi="Garamond"/>
              <w:color w:val="000000"/>
            </w:rPr>
            <w:instrText xml:space="preserve"> CITATION Dep17 \l 3081 </w:instrText>
          </w:r>
          <w:r w:rsidRPr="00E45E42">
            <w:rPr>
              <w:rFonts w:ascii="Garamond" w:eastAsia="Times New Roman" w:hAnsi="Garamond"/>
              <w:color w:val="000000"/>
            </w:rPr>
            <w:fldChar w:fldCharType="separate"/>
          </w:r>
          <w:r w:rsidRPr="00E45E42">
            <w:rPr>
              <w:rFonts w:ascii="Garamond" w:eastAsia="Times New Roman" w:hAnsi="Garamond"/>
              <w:noProof/>
              <w:color w:val="000000"/>
            </w:rPr>
            <w:t xml:space="preserve"> [12]</w:t>
          </w:r>
          <w:r w:rsidRPr="00E45E42">
            <w:rPr>
              <w:rFonts w:ascii="Garamond" w:eastAsia="Times New Roman" w:hAnsi="Garamond"/>
              <w:color w:val="000000"/>
            </w:rPr>
            <w:fldChar w:fldCharType="end"/>
          </w:r>
        </w:sdtContent>
      </w:sdt>
      <w:r w:rsidRPr="00E45E42">
        <w:rPr>
          <w:rFonts w:ascii="Garamond" w:eastAsia="Times New Roman" w:hAnsi="Garamond"/>
          <w:color w:val="000000"/>
        </w:rPr>
        <w:t xml:space="preserve"> </w:t>
      </w:r>
    </w:p>
    <w:p w14:paraId="315D8C6B" w14:textId="77777777" w:rsidR="00166DB1" w:rsidRPr="00E45E42" w:rsidRDefault="00166DB1" w:rsidP="009F66FB">
      <w:pPr>
        <w:pStyle w:val="ListParagraph"/>
        <w:numPr>
          <w:ilvl w:val="0"/>
          <w:numId w:val="26"/>
        </w:numPr>
        <w:tabs>
          <w:tab w:val="num" w:pos="426"/>
        </w:tabs>
        <w:spacing w:before="20" w:after="20"/>
        <w:rPr>
          <w:rFonts w:ascii="Garamond" w:eastAsia="Times New Roman" w:hAnsi="Garamond"/>
          <w:color w:val="000000"/>
        </w:rPr>
      </w:pPr>
      <w:r w:rsidRPr="00E45E42">
        <w:rPr>
          <w:rFonts w:ascii="Garamond" w:eastAsia="Times New Roman" w:hAnsi="Garamond"/>
          <w:b/>
          <w:color w:val="000000"/>
        </w:rPr>
        <w:t>Rural Relocation Incentive Grant</w:t>
      </w:r>
      <w:r w:rsidRPr="00E45E42">
        <w:rPr>
          <w:rFonts w:ascii="Garamond" w:eastAsia="Times New Roman" w:hAnsi="Garamond"/>
          <w:color w:val="000000"/>
        </w:rPr>
        <w:t xml:space="preserve"> (ceased in July 2015) provided </w:t>
      </w:r>
      <w:r w:rsidRPr="00E45E42">
        <w:rPr>
          <w:rFonts w:ascii="Times New Roman" w:eastAsia="Times New Roman" w:hAnsi="Times New Roman"/>
          <w:color w:val="000000"/>
        </w:rPr>
        <w:t>$</w:t>
      </w:r>
      <w:r w:rsidRPr="00E45E42">
        <w:rPr>
          <w:rFonts w:ascii="Garamond" w:eastAsia="Times New Roman" w:hAnsi="Garamond"/>
          <w:color w:val="000000"/>
        </w:rPr>
        <w:t xml:space="preserve">7,500 to </w:t>
      </w:r>
      <w:r w:rsidRPr="00E45E42">
        <w:rPr>
          <w:rFonts w:ascii="Times New Roman" w:eastAsia="Times New Roman" w:hAnsi="Times New Roman"/>
          <w:color w:val="000000"/>
        </w:rPr>
        <w:t>$</w:t>
      </w:r>
      <w:r w:rsidRPr="00E45E42">
        <w:rPr>
          <w:rFonts w:ascii="Garamond" w:eastAsia="Times New Roman" w:hAnsi="Garamond"/>
          <w:color w:val="000000"/>
        </w:rPr>
        <w:t>60,000 per annum for two years (depending on relocation distance).</w:t>
      </w:r>
      <w:sdt>
        <w:sdtPr>
          <w:id w:val="1601603283"/>
          <w:citation/>
        </w:sdtPr>
        <w:sdtEndPr/>
        <w:sdtContent>
          <w:r w:rsidRPr="00E45E42">
            <w:rPr>
              <w:rFonts w:ascii="Garamond" w:eastAsia="Times New Roman" w:hAnsi="Garamond"/>
              <w:color w:val="000000"/>
            </w:rPr>
            <w:fldChar w:fldCharType="begin"/>
          </w:r>
          <w:r w:rsidRPr="00E45E42">
            <w:rPr>
              <w:rFonts w:ascii="Garamond" w:eastAsia="Times New Roman" w:hAnsi="Garamond"/>
              <w:color w:val="000000"/>
            </w:rPr>
            <w:instrText xml:space="preserve"> CITATION ESS13 \l 3081 </w:instrText>
          </w:r>
          <w:r w:rsidRPr="00E45E42">
            <w:rPr>
              <w:rFonts w:ascii="Garamond" w:eastAsia="Times New Roman" w:hAnsi="Garamond"/>
              <w:color w:val="000000"/>
            </w:rPr>
            <w:fldChar w:fldCharType="separate"/>
          </w:r>
          <w:r w:rsidRPr="00E45E42">
            <w:rPr>
              <w:rFonts w:ascii="Garamond" w:eastAsia="Times New Roman" w:hAnsi="Garamond"/>
              <w:noProof/>
              <w:color w:val="000000"/>
            </w:rPr>
            <w:t xml:space="preserve"> [13]</w:t>
          </w:r>
          <w:r w:rsidRPr="00E45E42">
            <w:rPr>
              <w:rFonts w:ascii="Garamond" w:eastAsia="Times New Roman" w:hAnsi="Garamond"/>
              <w:color w:val="000000"/>
            </w:rPr>
            <w:fldChar w:fldCharType="end"/>
          </w:r>
        </w:sdtContent>
      </w:sdt>
      <w:r w:rsidRPr="00E45E42">
        <w:rPr>
          <w:rFonts w:ascii="Garamond" w:eastAsia="Times New Roman" w:hAnsi="Garamond"/>
          <w:color w:val="000000"/>
        </w:rPr>
        <w:t xml:space="preserve"> </w:t>
      </w:r>
    </w:p>
    <w:p w14:paraId="6CE0AB3A" w14:textId="77777777" w:rsidR="00166DB1" w:rsidRPr="00E45E42" w:rsidRDefault="00166DB1" w:rsidP="009F66FB">
      <w:pPr>
        <w:pStyle w:val="ListParagraph"/>
        <w:numPr>
          <w:ilvl w:val="0"/>
          <w:numId w:val="26"/>
        </w:numPr>
        <w:tabs>
          <w:tab w:val="num" w:pos="426"/>
        </w:tabs>
        <w:spacing w:before="20" w:after="20"/>
        <w:rPr>
          <w:rFonts w:ascii="Garamond" w:eastAsia="Times New Roman" w:hAnsi="Garamond"/>
          <w:color w:val="000000"/>
        </w:rPr>
      </w:pPr>
      <w:r w:rsidRPr="00E45E42">
        <w:rPr>
          <w:rFonts w:ascii="Garamond" w:eastAsia="Times New Roman" w:hAnsi="Garamond"/>
          <w:b/>
          <w:color w:val="000000"/>
        </w:rPr>
        <w:t>Bonded Medical Places Scheme</w:t>
      </w:r>
      <w:r w:rsidRPr="00E45E42">
        <w:rPr>
          <w:rFonts w:ascii="Garamond" w:eastAsia="Times New Roman" w:hAnsi="Garamond"/>
          <w:color w:val="000000"/>
        </w:rPr>
        <w:t xml:space="preserve"> provides subsidised medical undergraduate places for a ‘return of service’ period in rural and remote areas (valued at over </w:t>
      </w:r>
      <w:r w:rsidRPr="00E45E42">
        <w:rPr>
          <w:rFonts w:ascii="Times New Roman" w:eastAsia="Times New Roman" w:hAnsi="Times New Roman"/>
          <w:color w:val="000000"/>
        </w:rPr>
        <w:t>$</w:t>
      </w:r>
      <w:r w:rsidRPr="00E45E42">
        <w:rPr>
          <w:rFonts w:ascii="Garamond" w:eastAsia="Times New Roman" w:hAnsi="Garamond"/>
          <w:color w:val="000000"/>
        </w:rPr>
        <w:t>26,000 per annum</w:t>
      </w:r>
      <w:sdt>
        <w:sdtPr>
          <w:id w:val="-1219439738"/>
          <w:citation/>
        </w:sdtPr>
        <w:sdtEndPr/>
        <w:sdtContent>
          <w:r w:rsidRPr="00E45E42">
            <w:rPr>
              <w:rFonts w:ascii="Garamond" w:eastAsia="Times New Roman" w:hAnsi="Garamond"/>
              <w:color w:val="000000"/>
            </w:rPr>
            <w:fldChar w:fldCharType="begin"/>
          </w:r>
          <w:r w:rsidRPr="00E45E42">
            <w:rPr>
              <w:rFonts w:ascii="Garamond" w:eastAsia="Times New Roman" w:hAnsi="Garamond"/>
              <w:color w:val="000000"/>
            </w:rPr>
            <w:instrText xml:space="preserve"> CITATION Dep172 \l 3081 </w:instrText>
          </w:r>
          <w:r w:rsidRPr="00E45E42">
            <w:rPr>
              <w:rFonts w:ascii="Garamond" w:eastAsia="Times New Roman" w:hAnsi="Garamond"/>
              <w:color w:val="000000"/>
            </w:rPr>
            <w:fldChar w:fldCharType="separate"/>
          </w:r>
          <w:r w:rsidRPr="00E45E42">
            <w:rPr>
              <w:rFonts w:ascii="Garamond" w:eastAsia="Times New Roman" w:hAnsi="Garamond"/>
              <w:noProof/>
              <w:color w:val="000000"/>
            </w:rPr>
            <w:t xml:space="preserve"> [14]</w:t>
          </w:r>
          <w:r w:rsidRPr="00E45E42">
            <w:rPr>
              <w:rFonts w:ascii="Garamond" w:eastAsia="Times New Roman" w:hAnsi="Garamond"/>
              <w:color w:val="000000"/>
            </w:rPr>
            <w:fldChar w:fldCharType="end"/>
          </w:r>
        </w:sdtContent>
      </w:sdt>
      <w:r w:rsidRPr="00E45E42">
        <w:rPr>
          <w:rFonts w:ascii="Garamond" w:eastAsia="Times New Roman" w:hAnsi="Garamond"/>
          <w:color w:val="000000"/>
        </w:rPr>
        <w:t xml:space="preserve">). </w:t>
      </w:r>
    </w:p>
    <w:p w14:paraId="0215BF6B" w14:textId="77777777" w:rsidR="00166DB1" w:rsidRPr="00E45E42" w:rsidRDefault="00166DB1" w:rsidP="009F66FB">
      <w:pPr>
        <w:pStyle w:val="ListParagraph"/>
        <w:numPr>
          <w:ilvl w:val="0"/>
          <w:numId w:val="26"/>
        </w:numPr>
        <w:tabs>
          <w:tab w:val="num" w:pos="426"/>
        </w:tabs>
        <w:spacing w:before="20" w:after="20"/>
        <w:rPr>
          <w:rFonts w:ascii="Garamond" w:eastAsia="Times New Roman" w:hAnsi="Garamond"/>
          <w:color w:val="000000"/>
        </w:rPr>
      </w:pPr>
      <w:r w:rsidRPr="00E45E42">
        <w:rPr>
          <w:rFonts w:ascii="Garamond" w:eastAsia="Times New Roman" w:hAnsi="Garamond"/>
          <w:b/>
          <w:color w:val="000000"/>
        </w:rPr>
        <w:t>Five-Year Overseas Trained Doctor Scheme</w:t>
      </w:r>
      <w:r w:rsidRPr="00E45E42">
        <w:rPr>
          <w:rFonts w:ascii="Garamond" w:eastAsia="Times New Roman" w:hAnsi="Garamond"/>
          <w:color w:val="000000"/>
        </w:rPr>
        <w:t xml:space="preserve"> allows a reduction in the 10-year moratorium (to five years) for overseas trained doctors if they work in remote or difficult-to-recruit locations.</w:t>
      </w:r>
      <w:sdt>
        <w:sdtPr>
          <w:id w:val="583811805"/>
          <w:citation/>
        </w:sdtPr>
        <w:sdtEndPr/>
        <w:sdtContent>
          <w:r w:rsidRPr="00E45E42">
            <w:rPr>
              <w:rFonts w:ascii="Garamond" w:eastAsia="Times New Roman" w:hAnsi="Garamond"/>
              <w:color w:val="000000"/>
            </w:rPr>
            <w:fldChar w:fldCharType="begin"/>
          </w:r>
          <w:r w:rsidRPr="00E45E42">
            <w:rPr>
              <w:rFonts w:ascii="Garamond" w:eastAsia="Times New Roman" w:hAnsi="Garamond"/>
              <w:color w:val="000000"/>
            </w:rPr>
            <w:instrText xml:space="preserve"> CITATION Rur17 \l 3081 </w:instrText>
          </w:r>
          <w:r w:rsidRPr="00E45E42">
            <w:rPr>
              <w:rFonts w:ascii="Garamond" w:eastAsia="Times New Roman" w:hAnsi="Garamond"/>
              <w:color w:val="000000"/>
            </w:rPr>
            <w:fldChar w:fldCharType="separate"/>
          </w:r>
          <w:r w:rsidRPr="00E45E42">
            <w:rPr>
              <w:rFonts w:ascii="Garamond" w:eastAsia="Times New Roman" w:hAnsi="Garamond"/>
              <w:noProof/>
              <w:color w:val="000000"/>
            </w:rPr>
            <w:t xml:space="preserve"> [15]</w:t>
          </w:r>
          <w:r w:rsidRPr="00E45E42">
            <w:rPr>
              <w:rFonts w:ascii="Garamond" w:eastAsia="Times New Roman" w:hAnsi="Garamond"/>
              <w:color w:val="000000"/>
            </w:rPr>
            <w:fldChar w:fldCharType="end"/>
          </w:r>
        </w:sdtContent>
      </w:sdt>
    </w:p>
    <w:p w14:paraId="175D1C5A" w14:textId="77777777" w:rsidR="00166DB1" w:rsidRPr="00E45E42" w:rsidRDefault="00166DB1" w:rsidP="009F66FB">
      <w:pPr>
        <w:pStyle w:val="ListParagraph"/>
        <w:numPr>
          <w:ilvl w:val="0"/>
          <w:numId w:val="26"/>
        </w:numPr>
        <w:tabs>
          <w:tab w:val="num" w:pos="426"/>
        </w:tabs>
        <w:spacing w:before="20" w:after="20"/>
        <w:rPr>
          <w:rFonts w:ascii="Garamond" w:eastAsia="Times New Roman" w:hAnsi="Garamond"/>
          <w:color w:val="000000"/>
        </w:rPr>
      </w:pPr>
      <w:r w:rsidRPr="00E45E42">
        <w:rPr>
          <w:rFonts w:ascii="Garamond" w:eastAsia="Times New Roman" w:hAnsi="Garamond"/>
          <w:b/>
          <w:color w:val="000000"/>
        </w:rPr>
        <w:t>Rural and Remote General Practice Program</w:t>
      </w:r>
      <w:r w:rsidRPr="00E45E42">
        <w:rPr>
          <w:rFonts w:ascii="Garamond" w:eastAsia="Times New Roman" w:hAnsi="Garamond"/>
          <w:color w:val="000000"/>
        </w:rPr>
        <w:t xml:space="preserve"> provides funding to Rural Workforce Agencies in each state and the Northern Territory to provide a range of activities and support to improve the recruitment and retention of GPs to rural and remote areas.</w:t>
      </w:r>
      <w:sdt>
        <w:sdtPr>
          <w:id w:val="1615941517"/>
          <w:citation/>
        </w:sdtPr>
        <w:sdtEndPr/>
        <w:sdtContent>
          <w:r w:rsidRPr="00E45E42">
            <w:rPr>
              <w:rFonts w:ascii="Garamond" w:eastAsia="Times New Roman" w:hAnsi="Garamond"/>
              <w:color w:val="000000"/>
            </w:rPr>
            <w:fldChar w:fldCharType="begin"/>
          </w:r>
          <w:r w:rsidRPr="00E45E42">
            <w:rPr>
              <w:rFonts w:ascii="Garamond" w:eastAsia="Times New Roman" w:hAnsi="Garamond"/>
              <w:color w:val="000000"/>
            </w:rPr>
            <w:instrText xml:space="preserve"> CITATION Dep12 \l 3081 </w:instrText>
          </w:r>
          <w:r w:rsidRPr="00E45E42">
            <w:rPr>
              <w:rFonts w:ascii="Garamond" w:eastAsia="Times New Roman" w:hAnsi="Garamond"/>
              <w:color w:val="000000"/>
            </w:rPr>
            <w:fldChar w:fldCharType="separate"/>
          </w:r>
          <w:r w:rsidRPr="00E45E42">
            <w:rPr>
              <w:rFonts w:ascii="Garamond" w:eastAsia="Times New Roman" w:hAnsi="Garamond"/>
              <w:noProof/>
              <w:color w:val="000000"/>
            </w:rPr>
            <w:t xml:space="preserve"> [16]</w:t>
          </w:r>
          <w:r w:rsidRPr="00E45E42">
            <w:rPr>
              <w:rFonts w:ascii="Garamond" w:eastAsia="Times New Roman" w:hAnsi="Garamond"/>
              <w:color w:val="000000"/>
            </w:rPr>
            <w:fldChar w:fldCharType="end"/>
          </w:r>
        </w:sdtContent>
      </w:sdt>
    </w:p>
    <w:p w14:paraId="6A15702D" w14:textId="77777777" w:rsidR="00166DB1" w:rsidRPr="00E45E42" w:rsidRDefault="00166DB1" w:rsidP="00AB00DC">
      <w:pPr>
        <w:pStyle w:val="ListParagraph"/>
        <w:keepNext/>
        <w:numPr>
          <w:ilvl w:val="0"/>
          <w:numId w:val="26"/>
        </w:numPr>
        <w:tabs>
          <w:tab w:val="num" w:pos="426"/>
        </w:tabs>
        <w:spacing w:before="20" w:after="20"/>
        <w:ind w:left="357" w:hanging="357"/>
        <w:rPr>
          <w:rFonts w:ascii="Garamond" w:eastAsia="Times New Roman" w:hAnsi="Garamond"/>
          <w:color w:val="000000"/>
        </w:rPr>
      </w:pPr>
      <w:r w:rsidRPr="00E45E42">
        <w:rPr>
          <w:rFonts w:ascii="Garamond" w:eastAsia="Times New Roman" w:hAnsi="Garamond"/>
          <w:color w:val="000000"/>
        </w:rPr>
        <w:t>Grants to support training and education such as the Support for Rural Specialists in Australia and the Rural Locum Assistance Program.</w:t>
      </w:r>
      <w:r w:rsidRPr="00E45E42">
        <w:rPr>
          <w:rFonts w:ascii="Garamond" w:eastAsia="Times New Roman" w:hAnsi="Garamond"/>
          <w:color w:val="000000"/>
        </w:rPr>
        <w:fldChar w:fldCharType="begin"/>
      </w:r>
      <w:r w:rsidRPr="00E45E42">
        <w:rPr>
          <w:rFonts w:ascii="Garamond" w:eastAsia="Times New Roman" w:hAnsi="Garamond"/>
          <w:color w:val="000000"/>
        </w:rPr>
        <w:instrText xml:space="preserve"> CITATION Rur17 \l 3081 </w:instrText>
      </w:r>
      <w:r w:rsidRPr="00E45E42">
        <w:rPr>
          <w:rFonts w:ascii="Garamond" w:eastAsia="Times New Roman" w:hAnsi="Garamond"/>
          <w:color w:val="000000"/>
        </w:rPr>
        <w:fldChar w:fldCharType="separate"/>
      </w:r>
      <w:r w:rsidRPr="00E45E42">
        <w:rPr>
          <w:rFonts w:ascii="Garamond" w:eastAsia="Times New Roman" w:hAnsi="Garamond"/>
          <w:noProof/>
          <w:color w:val="000000"/>
        </w:rPr>
        <w:t xml:space="preserve"> [15]</w:t>
      </w:r>
      <w:r w:rsidRPr="00E45E42">
        <w:rPr>
          <w:rFonts w:ascii="Garamond" w:eastAsia="Times New Roman" w:hAnsi="Garamond"/>
          <w:color w:val="000000"/>
        </w:rPr>
        <w:fldChar w:fldCharType="end"/>
      </w:r>
      <w:r w:rsidRPr="00E45E42">
        <w:rPr>
          <w:rFonts w:ascii="Garamond" w:eastAsia="Times New Roman" w:hAnsi="Garamond"/>
          <w:color w:val="000000"/>
        </w:rPr>
        <w:t xml:space="preserve"> </w:t>
      </w:r>
    </w:p>
    <w:p w14:paraId="537D6A21" w14:textId="77777777" w:rsidR="00166DB1" w:rsidRPr="00E45E42" w:rsidRDefault="00166DB1" w:rsidP="009F66FB">
      <w:pPr>
        <w:pStyle w:val="ListParagraph"/>
        <w:numPr>
          <w:ilvl w:val="0"/>
          <w:numId w:val="26"/>
        </w:numPr>
        <w:tabs>
          <w:tab w:val="num" w:pos="426"/>
        </w:tabs>
        <w:spacing w:before="20" w:after="20"/>
        <w:rPr>
          <w:rFonts w:ascii="Garamond" w:eastAsia="Times New Roman" w:hAnsi="Garamond"/>
          <w:color w:val="000000"/>
        </w:rPr>
      </w:pPr>
      <w:r w:rsidRPr="00E45E42">
        <w:rPr>
          <w:rFonts w:ascii="Garamond" w:eastAsia="Times New Roman" w:hAnsi="Garamond"/>
          <w:color w:val="000000"/>
        </w:rPr>
        <w:t xml:space="preserve">Numerous scholarship or placement programs, such as the Rural Australia Medical Undergraduate Scholarship and the John Flynn Placement Program </w:t>
      </w:r>
      <w:sdt>
        <w:sdtPr>
          <w:id w:val="762957098"/>
          <w:citation/>
        </w:sdtPr>
        <w:sdtEndPr/>
        <w:sdtContent>
          <w:r w:rsidRPr="00E45E42">
            <w:rPr>
              <w:rFonts w:ascii="Garamond" w:eastAsia="Times New Roman" w:hAnsi="Garamond"/>
              <w:color w:val="000000"/>
            </w:rPr>
            <w:fldChar w:fldCharType="begin"/>
          </w:r>
          <w:r w:rsidRPr="00E45E42">
            <w:rPr>
              <w:rFonts w:ascii="Garamond" w:eastAsia="Times New Roman" w:hAnsi="Garamond"/>
              <w:color w:val="000000"/>
            </w:rPr>
            <w:instrText xml:space="preserve"> CITATION Joh17 \l 3081 </w:instrText>
          </w:r>
          <w:r w:rsidRPr="00E45E42">
            <w:rPr>
              <w:rFonts w:ascii="Garamond" w:eastAsia="Times New Roman" w:hAnsi="Garamond"/>
              <w:color w:val="000000"/>
            </w:rPr>
            <w:fldChar w:fldCharType="separate"/>
          </w:r>
          <w:r w:rsidRPr="00E45E42">
            <w:rPr>
              <w:rFonts w:ascii="Garamond" w:eastAsia="Times New Roman" w:hAnsi="Garamond"/>
              <w:noProof/>
              <w:color w:val="000000"/>
            </w:rPr>
            <w:t>[17]</w:t>
          </w:r>
          <w:r w:rsidRPr="00E45E42">
            <w:rPr>
              <w:rFonts w:ascii="Garamond" w:eastAsia="Times New Roman" w:hAnsi="Garamond"/>
              <w:color w:val="000000"/>
            </w:rPr>
            <w:fldChar w:fldCharType="end"/>
          </w:r>
        </w:sdtContent>
      </w:sdt>
      <w:r w:rsidRPr="00E45E42">
        <w:rPr>
          <w:rFonts w:ascii="Garamond" w:eastAsia="Times New Roman" w:hAnsi="Garamond"/>
          <w:color w:val="000000"/>
        </w:rPr>
        <w:t>.</w:t>
      </w:r>
    </w:p>
    <w:p w14:paraId="0D5D5087" w14:textId="77777777" w:rsidR="00166DB1" w:rsidRPr="00166DB1" w:rsidRDefault="00166DB1" w:rsidP="00E45E42">
      <w:pPr>
        <w:pStyle w:val="ESHeading3"/>
      </w:pPr>
      <w:r w:rsidRPr="00166DB1">
        <w:t xml:space="preserve">Dental Relocation and Incentive Support Scheme </w:t>
      </w:r>
    </w:p>
    <w:p w14:paraId="4FE70B08" w14:textId="77777777" w:rsidR="00166DB1" w:rsidRPr="00166DB1" w:rsidRDefault="00166DB1" w:rsidP="00166DB1">
      <w:pPr>
        <w:spacing w:before="85" w:after="85"/>
        <w:rPr>
          <w:rFonts w:ascii="Garamond" w:eastAsia="Garamond" w:hAnsi="Garamond"/>
          <w:color w:val="000000"/>
        </w:rPr>
      </w:pPr>
      <w:r w:rsidRPr="00166DB1">
        <w:rPr>
          <w:rFonts w:ascii="Garamond" w:eastAsia="Garamond" w:hAnsi="Garamond"/>
          <w:color w:val="000000"/>
        </w:rPr>
        <w:t xml:space="preserve">The National Dental Relocation Incentive and Support Scheme commenced in July 2013. The scheme offers relocation grants of up to </w:t>
      </w:r>
      <w:r w:rsidRPr="00166DB1">
        <w:rPr>
          <w:rFonts w:ascii="Times New Roman" w:eastAsia="Garamond" w:hAnsi="Times New Roman"/>
          <w:color w:val="000000"/>
        </w:rPr>
        <w:t>$</w:t>
      </w:r>
      <w:r w:rsidRPr="00166DB1">
        <w:rPr>
          <w:rFonts w:ascii="Garamond" w:eastAsia="Garamond" w:hAnsi="Garamond"/>
          <w:color w:val="000000"/>
        </w:rPr>
        <w:t xml:space="preserve">120,000 (based on distance relocated) and infrastructure grants of up to </w:t>
      </w:r>
      <w:r w:rsidRPr="00166DB1">
        <w:rPr>
          <w:rFonts w:ascii="Times New Roman" w:eastAsia="Garamond" w:hAnsi="Times New Roman"/>
          <w:color w:val="000000"/>
        </w:rPr>
        <w:t>$</w:t>
      </w:r>
      <w:r w:rsidRPr="00166DB1">
        <w:rPr>
          <w:rFonts w:ascii="Garamond" w:eastAsia="Garamond" w:hAnsi="Garamond"/>
          <w:color w:val="000000"/>
        </w:rPr>
        <w:t xml:space="preserve">250,000 to assist in the purchase and fit-out of dental facilities and equipment. The Department of Health has committed </w:t>
      </w:r>
      <w:r w:rsidRPr="00166DB1">
        <w:rPr>
          <w:rFonts w:ascii="Times New Roman" w:eastAsia="Garamond" w:hAnsi="Times New Roman"/>
          <w:color w:val="000000"/>
        </w:rPr>
        <w:t>$</w:t>
      </w:r>
      <w:r w:rsidRPr="00166DB1">
        <w:rPr>
          <w:rFonts w:ascii="Garamond" w:eastAsia="Garamond" w:hAnsi="Garamond"/>
          <w:color w:val="000000"/>
        </w:rPr>
        <w:t>57.5m over three financial years (2016–2019) for the scheme.</w:t>
      </w:r>
      <w:sdt>
        <w:sdtPr>
          <w:rPr>
            <w:rFonts w:ascii="Garamond" w:eastAsia="Garamond" w:hAnsi="Garamond"/>
            <w:color w:val="000000"/>
          </w:rPr>
          <w:id w:val="520207819"/>
          <w:citation/>
        </w:sdtPr>
        <w:sdtEndPr/>
        <w:sdtContent>
          <w:r w:rsidRPr="00166DB1">
            <w:rPr>
              <w:rFonts w:ascii="Garamond" w:eastAsia="Garamond" w:hAnsi="Garamond"/>
              <w:color w:val="000000"/>
            </w:rPr>
            <w:fldChar w:fldCharType="begin"/>
          </w:r>
          <w:r w:rsidRPr="00166DB1">
            <w:rPr>
              <w:rFonts w:ascii="Garamond" w:eastAsia="Garamond" w:hAnsi="Garamond"/>
              <w:color w:val="000000"/>
            </w:rPr>
            <w:instrText xml:space="preserve"> CITATION Dep161 \l 3081 </w:instrText>
          </w:r>
          <w:r w:rsidRPr="00166DB1">
            <w:rPr>
              <w:rFonts w:ascii="Garamond" w:eastAsia="Garamond" w:hAnsi="Garamond"/>
              <w:color w:val="000000"/>
            </w:rPr>
            <w:fldChar w:fldCharType="separate"/>
          </w:r>
          <w:r w:rsidRPr="00166DB1">
            <w:rPr>
              <w:rFonts w:ascii="Garamond" w:eastAsia="Garamond" w:hAnsi="Garamond"/>
              <w:noProof/>
              <w:color w:val="000000"/>
            </w:rPr>
            <w:t xml:space="preserve"> [18]</w:t>
          </w:r>
          <w:r w:rsidRPr="00166DB1">
            <w:rPr>
              <w:rFonts w:ascii="Garamond" w:eastAsia="Garamond" w:hAnsi="Garamond"/>
              <w:color w:val="000000"/>
            </w:rPr>
            <w:fldChar w:fldCharType="end"/>
          </w:r>
        </w:sdtContent>
      </w:sdt>
    </w:p>
    <w:p w14:paraId="6D9F1063" w14:textId="77777777" w:rsidR="00166DB1" w:rsidRPr="00166DB1" w:rsidRDefault="00166DB1" w:rsidP="00166DB1">
      <w:pPr>
        <w:spacing w:before="85" w:after="85"/>
        <w:rPr>
          <w:rFonts w:ascii="Garamond" w:eastAsia="Garamond" w:hAnsi="Garamond"/>
          <w:color w:val="000000"/>
        </w:rPr>
        <w:sectPr w:rsidR="00166DB1" w:rsidRPr="00166DB1" w:rsidSect="00720069">
          <w:pgSz w:w="16839" w:h="11907" w:orient="landscape" w:code="9"/>
          <w:pgMar w:top="2268" w:right="1304" w:bottom="850" w:left="737" w:header="567" w:footer="284" w:gutter="0"/>
          <w:cols w:num="2" w:space="709"/>
          <w:docGrid w:linePitch="360"/>
        </w:sectPr>
      </w:pPr>
    </w:p>
    <w:p w14:paraId="0A44A80B" w14:textId="098A1CE2" w:rsidR="00166DB1" w:rsidRPr="00166DB1" w:rsidRDefault="00166DB1" w:rsidP="004F0F6F">
      <w:pPr>
        <w:pStyle w:val="HeadingAppendix2"/>
      </w:pPr>
      <w:bookmarkStart w:id="148" w:name="_Ref488233640"/>
      <w:bookmarkStart w:id="149" w:name="_Toc490574960"/>
      <w:bookmarkStart w:id="150" w:name="_Toc523322092"/>
      <w:r w:rsidRPr="00166DB1">
        <w:lastRenderedPageBreak/>
        <w:t>Unit cost of Pharmacy workforce programs</w:t>
      </w:r>
      <w:bookmarkEnd w:id="148"/>
      <w:bookmarkEnd w:id="149"/>
      <w:bookmarkEnd w:id="150"/>
    </w:p>
    <w:p w14:paraId="06EF6E10" w14:textId="6BB5C6BA" w:rsidR="00166DB1" w:rsidRPr="00BF753C" w:rsidRDefault="00BF753C" w:rsidP="00BF753C">
      <w:pPr>
        <w:pStyle w:val="Tableheading"/>
      </w:pPr>
      <w:r w:rsidRPr="00BF753C">
        <w:t>Unit cost of workforce programs (averaged for 2013–14 and 2014–</w:t>
      </w:r>
      <w:r w:rsidR="00580133">
        <w:t>1</w:t>
      </w:r>
      <w:r w:rsidRPr="00BF753C">
        <w:t>5 financial years)</w:t>
      </w:r>
    </w:p>
    <w:tbl>
      <w:tblPr>
        <w:tblStyle w:val="HMATable"/>
        <w:tblW w:w="5000" w:type="pct"/>
        <w:shd w:val="clear" w:color="auto" w:fill="F2F2F2" w:themeFill="background1" w:themeFillShade="F2"/>
        <w:tblLook w:val="04A0" w:firstRow="1" w:lastRow="0" w:firstColumn="1" w:lastColumn="0" w:noHBand="0" w:noVBand="1"/>
        <w:tblCaption w:val="Unit cost of workforce programs (averaged for 2013-14 and 2014-15 financial years)"/>
        <w:tblDescription w:val="Table: Unit cost of workforce programs (averaged for 2013-14 and 2014-15 financial years). Table consists of Programs, Volumes, Direct unit cost (annual), Overhead contribution, Total unit cost (annual), Total cost per program, and Total program cost as proportion of total investment."/>
      </w:tblPr>
      <w:tblGrid>
        <w:gridCol w:w="3755"/>
        <w:gridCol w:w="1210"/>
        <w:gridCol w:w="2127"/>
        <w:gridCol w:w="2159"/>
        <w:gridCol w:w="2029"/>
        <w:gridCol w:w="2106"/>
        <w:gridCol w:w="1402"/>
      </w:tblGrid>
      <w:tr w:rsidR="00166DB1" w:rsidRPr="00166DB1" w14:paraId="4BDCF78F" w14:textId="77777777" w:rsidTr="00E45E42">
        <w:trPr>
          <w:cnfStyle w:val="100000000000" w:firstRow="1" w:lastRow="0" w:firstColumn="0" w:lastColumn="0" w:oddVBand="0" w:evenVBand="0" w:oddHBand="0" w:evenHBand="0" w:firstRowFirstColumn="0" w:firstRowLastColumn="0" w:lastRowFirstColumn="0" w:lastRowLastColumn="0"/>
          <w:trHeight w:val="1500"/>
          <w:tblHeader/>
        </w:trPr>
        <w:tc>
          <w:tcPr>
            <w:cnfStyle w:val="001000000100" w:firstRow="0" w:lastRow="0" w:firstColumn="1" w:lastColumn="0" w:oddVBand="0" w:evenVBand="0" w:oddHBand="0" w:evenHBand="0" w:firstRowFirstColumn="1" w:firstRowLastColumn="0" w:lastRowFirstColumn="0" w:lastRowLastColumn="0"/>
            <w:tcW w:w="1270" w:type="pct"/>
            <w:shd w:val="clear" w:color="auto" w:fill="F2F2F2" w:themeFill="background1" w:themeFillShade="F2"/>
            <w:noWrap/>
            <w:hideMark/>
          </w:tcPr>
          <w:p w14:paraId="2A5E1AE7" w14:textId="77777777" w:rsidR="00166DB1" w:rsidRPr="00166DB1" w:rsidRDefault="00166DB1" w:rsidP="00E45E42">
            <w:pPr>
              <w:pStyle w:val="TableColumnHeading"/>
              <w:rPr>
                <w:lang w:eastAsia="en-AU"/>
              </w:rPr>
            </w:pPr>
            <w:r w:rsidRPr="00166DB1">
              <w:rPr>
                <w:lang w:eastAsia="en-AU"/>
              </w:rPr>
              <w:t>Program</w:t>
            </w:r>
          </w:p>
        </w:tc>
        <w:tc>
          <w:tcPr>
            <w:tcW w:w="409" w:type="pct"/>
            <w:shd w:val="clear" w:color="auto" w:fill="F2F2F2" w:themeFill="background1" w:themeFillShade="F2"/>
            <w:noWrap/>
            <w:hideMark/>
          </w:tcPr>
          <w:p w14:paraId="773AE782" w14:textId="77777777" w:rsidR="00166DB1" w:rsidRPr="00166DB1" w:rsidRDefault="00166DB1" w:rsidP="00E45E42">
            <w:pPr>
              <w:pStyle w:val="TableColumnHeading"/>
              <w:cnfStyle w:val="100000000000" w:firstRow="1" w:lastRow="0" w:firstColumn="0" w:lastColumn="0" w:oddVBand="0" w:evenVBand="0" w:oddHBand="0" w:evenHBand="0" w:firstRowFirstColumn="0" w:firstRowLastColumn="0" w:lastRowFirstColumn="0" w:lastRowLastColumn="0"/>
              <w:rPr>
                <w:lang w:eastAsia="en-AU"/>
              </w:rPr>
            </w:pPr>
            <w:r w:rsidRPr="00166DB1">
              <w:rPr>
                <w:lang w:eastAsia="en-AU"/>
              </w:rPr>
              <w:t>Volume</w:t>
            </w:r>
          </w:p>
        </w:tc>
        <w:tc>
          <w:tcPr>
            <w:tcW w:w="719" w:type="pct"/>
            <w:shd w:val="clear" w:color="auto" w:fill="F2F2F2" w:themeFill="background1" w:themeFillShade="F2"/>
            <w:hideMark/>
          </w:tcPr>
          <w:p w14:paraId="29D04D08" w14:textId="77777777" w:rsidR="00166DB1" w:rsidRPr="00166DB1" w:rsidRDefault="00166DB1" w:rsidP="00E45E42">
            <w:pPr>
              <w:pStyle w:val="TableColumnHeading"/>
              <w:cnfStyle w:val="100000000000" w:firstRow="1" w:lastRow="0" w:firstColumn="0" w:lastColumn="0" w:oddVBand="0" w:evenVBand="0" w:oddHBand="0" w:evenHBand="0" w:firstRowFirstColumn="0" w:firstRowLastColumn="0" w:lastRowFirstColumn="0" w:lastRowLastColumn="0"/>
              <w:rPr>
                <w:lang w:eastAsia="en-AU"/>
              </w:rPr>
            </w:pPr>
            <w:r w:rsidRPr="00166DB1">
              <w:rPr>
                <w:lang w:eastAsia="en-AU"/>
              </w:rPr>
              <w:t>Direct unit cost (annual)</w:t>
            </w:r>
          </w:p>
        </w:tc>
        <w:tc>
          <w:tcPr>
            <w:tcW w:w="730" w:type="pct"/>
            <w:shd w:val="clear" w:color="auto" w:fill="F2F2F2" w:themeFill="background1" w:themeFillShade="F2"/>
            <w:hideMark/>
          </w:tcPr>
          <w:p w14:paraId="3727E77A" w14:textId="77777777" w:rsidR="00166DB1" w:rsidRPr="00166DB1" w:rsidRDefault="00166DB1" w:rsidP="00E45E42">
            <w:pPr>
              <w:pStyle w:val="TableColumnHeading"/>
              <w:cnfStyle w:val="100000000000" w:firstRow="1" w:lastRow="0" w:firstColumn="0" w:lastColumn="0" w:oddVBand="0" w:evenVBand="0" w:oddHBand="0" w:evenHBand="0" w:firstRowFirstColumn="0" w:firstRowLastColumn="0" w:lastRowFirstColumn="0" w:lastRowLastColumn="0"/>
              <w:rPr>
                <w:lang w:eastAsia="en-AU"/>
              </w:rPr>
            </w:pPr>
            <w:r w:rsidRPr="00166DB1">
              <w:rPr>
                <w:lang w:eastAsia="en-AU"/>
              </w:rPr>
              <w:t xml:space="preserve">Overhead contribution </w:t>
            </w:r>
          </w:p>
        </w:tc>
        <w:tc>
          <w:tcPr>
            <w:tcW w:w="686" w:type="pct"/>
            <w:shd w:val="clear" w:color="auto" w:fill="F2F2F2" w:themeFill="background1" w:themeFillShade="F2"/>
            <w:hideMark/>
          </w:tcPr>
          <w:p w14:paraId="10E7F64F" w14:textId="77777777" w:rsidR="00166DB1" w:rsidRPr="00166DB1" w:rsidRDefault="00166DB1" w:rsidP="00E45E42">
            <w:pPr>
              <w:pStyle w:val="TableColumnHeading"/>
              <w:cnfStyle w:val="100000000000" w:firstRow="1" w:lastRow="0" w:firstColumn="0" w:lastColumn="0" w:oddVBand="0" w:evenVBand="0" w:oddHBand="0" w:evenHBand="0" w:firstRowFirstColumn="0" w:firstRowLastColumn="0" w:lastRowFirstColumn="0" w:lastRowLastColumn="0"/>
              <w:rPr>
                <w:lang w:eastAsia="en-AU"/>
              </w:rPr>
            </w:pPr>
            <w:r w:rsidRPr="00166DB1">
              <w:rPr>
                <w:lang w:eastAsia="en-AU"/>
              </w:rPr>
              <w:t>Total unit cost (annual)</w:t>
            </w:r>
          </w:p>
        </w:tc>
        <w:tc>
          <w:tcPr>
            <w:tcW w:w="712" w:type="pct"/>
            <w:shd w:val="clear" w:color="auto" w:fill="F2F2F2" w:themeFill="background1" w:themeFillShade="F2"/>
            <w:hideMark/>
          </w:tcPr>
          <w:p w14:paraId="2DE0F703" w14:textId="77777777" w:rsidR="00166DB1" w:rsidRPr="00166DB1" w:rsidRDefault="00166DB1" w:rsidP="00E45E42">
            <w:pPr>
              <w:pStyle w:val="TableColumnHeading"/>
              <w:cnfStyle w:val="100000000000" w:firstRow="1" w:lastRow="0" w:firstColumn="0" w:lastColumn="0" w:oddVBand="0" w:evenVBand="0" w:oddHBand="0" w:evenHBand="0" w:firstRowFirstColumn="0" w:firstRowLastColumn="0" w:lastRowFirstColumn="0" w:lastRowLastColumn="0"/>
              <w:rPr>
                <w:lang w:eastAsia="en-AU"/>
              </w:rPr>
            </w:pPr>
            <w:r w:rsidRPr="00166DB1">
              <w:rPr>
                <w:lang w:eastAsia="en-AU"/>
              </w:rPr>
              <w:t>Total cost per program</w:t>
            </w:r>
          </w:p>
        </w:tc>
        <w:tc>
          <w:tcPr>
            <w:tcW w:w="474" w:type="pct"/>
            <w:shd w:val="clear" w:color="auto" w:fill="F2F2F2" w:themeFill="background1" w:themeFillShade="F2"/>
            <w:hideMark/>
          </w:tcPr>
          <w:p w14:paraId="2A70FE6A" w14:textId="77777777" w:rsidR="00166DB1" w:rsidRPr="00166DB1" w:rsidRDefault="00166DB1" w:rsidP="00E45E42">
            <w:pPr>
              <w:pStyle w:val="TableColumnHeading"/>
              <w:cnfStyle w:val="100000000000" w:firstRow="1" w:lastRow="0" w:firstColumn="0" w:lastColumn="0" w:oddVBand="0" w:evenVBand="0" w:oddHBand="0" w:evenHBand="0" w:firstRowFirstColumn="0" w:firstRowLastColumn="0" w:lastRowFirstColumn="0" w:lastRowLastColumn="0"/>
              <w:rPr>
                <w:lang w:eastAsia="en-AU"/>
              </w:rPr>
            </w:pPr>
            <w:r w:rsidRPr="00166DB1">
              <w:rPr>
                <w:lang w:eastAsia="en-AU"/>
              </w:rPr>
              <w:t xml:space="preserve">Total program cost as proportion of total investment </w:t>
            </w:r>
          </w:p>
        </w:tc>
      </w:tr>
      <w:tr w:rsidR="003E51C4" w:rsidRPr="003E51C4" w14:paraId="06E28980" w14:textId="77777777" w:rsidTr="00E45E42">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7"/>
            <w:shd w:val="clear" w:color="auto" w:fill="BFBFBF" w:themeFill="background1" w:themeFillShade="BF"/>
            <w:noWrap/>
            <w:hideMark/>
          </w:tcPr>
          <w:p w14:paraId="7711F4A0" w14:textId="77777777" w:rsidR="00166DB1" w:rsidRPr="003E51C4" w:rsidRDefault="00166DB1" w:rsidP="00E45E42">
            <w:pPr>
              <w:pStyle w:val="Tablesubheading1"/>
              <w:rPr>
                <w:rFonts w:ascii="Times New Roman" w:hAnsi="Times New Roman"/>
                <w:color w:val="000000" w:themeColor="text1"/>
                <w:lang w:eastAsia="en-AU"/>
              </w:rPr>
            </w:pPr>
            <w:r w:rsidRPr="003E51C4">
              <w:rPr>
                <w:color w:val="000000" w:themeColor="text1"/>
                <w:lang w:eastAsia="en-AU"/>
              </w:rPr>
              <w:t xml:space="preserve">Recruitment Programs </w:t>
            </w:r>
          </w:p>
        </w:tc>
      </w:tr>
      <w:tr w:rsidR="00166DB1" w:rsidRPr="00166DB1" w14:paraId="05896F63" w14:textId="77777777" w:rsidTr="00E45E42">
        <w:trPr>
          <w:trHeight w:val="300"/>
        </w:trPr>
        <w:tc>
          <w:tcPr>
            <w:cnfStyle w:val="001000000000" w:firstRow="0" w:lastRow="0" w:firstColumn="1" w:lastColumn="0" w:oddVBand="0" w:evenVBand="0" w:oddHBand="0" w:evenHBand="0" w:firstRowFirstColumn="0" w:firstRowLastColumn="0" w:lastRowFirstColumn="0" w:lastRowLastColumn="0"/>
            <w:tcW w:w="1270" w:type="pct"/>
            <w:shd w:val="clear" w:color="auto" w:fill="F2F2F2" w:themeFill="background1" w:themeFillShade="F2"/>
            <w:hideMark/>
          </w:tcPr>
          <w:p w14:paraId="3BC1B237" w14:textId="77777777" w:rsidR="00166DB1" w:rsidRPr="00166DB1" w:rsidRDefault="00166DB1" w:rsidP="00E45E42">
            <w:pPr>
              <w:pStyle w:val="TableCopy"/>
              <w:rPr>
                <w:lang w:eastAsia="en-AU"/>
              </w:rPr>
            </w:pPr>
            <w:r w:rsidRPr="00166DB1">
              <w:rPr>
                <w:lang w:eastAsia="en-AU"/>
              </w:rPr>
              <w:t>Rural Pharmacy Scholarship Scheme*</w:t>
            </w:r>
          </w:p>
        </w:tc>
        <w:tc>
          <w:tcPr>
            <w:tcW w:w="409" w:type="pct"/>
            <w:shd w:val="clear" w:color="auto" w:fill="F2F2F2" w:themeFill="background1" w:themeFillShade="F2"/>
            <w:noWrap/>
            <w:hideMark/>
          </w:tcPr>
          <w:p w14:paraId="10DEC319"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98.75</w:t>
            </w:r>
          </w:p>
        </w:tc>
        <w:tc>
          <w:tcPr>
            <w:tcW w:w="719" w:type="pct"/>
            <w:shd w:val="clear" w:color="auto" w:fill="F2F2F2" w:themeFill="background1" w:themeFillShade="F2"/>
            <w:noWrap/>
            <w:hideMark/>
          </w:tcPr>
          <w:p w14:paraId="4CEF44C3"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w:t>
            </w:r>
            <w:r w:rsidRPr="00166DB1">
              <w:rPr>
                <w:lang w:eastAsia="en-AU"/>
              </w:rPr>
              <w:t xml:space="preserve">10,000.00 </w:t>
            </w:r>
          </w:p>
        </w:tc>
        <w:tc>
          <w:tcPr>
            <w:tcW w:w="730" w:type="pct"/>
            <w:shd w:val="clear" w:color="auto" w:fill="F2F2F2" w:themeFill="background1" w:themeFillShade="F2"/>
            <w:noWrap/>
            <w:hideMark/>
          </w:tcPr>
          <w:p w14:paraId="122DCCE7"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w:t>
            </w:r>
            <w:r w:rsidRPr="00166DB1">
              <w:rPr>
                <w:lang w:eastAsia="en-AU"/>
              </w:rPr>
              <w:t xml:space="preserve">618.14 </w:t>
            </w:r>
          </w:p>
        </w:tc>
        <w:tc>
          <w:tcPr>
            <w:tcW w:w="686" w:type="pct"/>
            <w:shd w:val="clear" w:color="auto" w:fill="F2F2F2" w:themeFill="background1" w:themeFillShade="F2"/>
            <w:noWrap/>
            <w:hideMark/>
          </w:tcPr>
          <w:p w14:paraId="021A6827"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w:t>
            </w:r>
            <w:r w:rsidRPr="00166DB1">
              <w:rPr>
                <w:lang w:eastAsia="en-AU"/>
              </w:rPr>
              <w:t xml:space="preserve">10,618.14 </w:t>
            </w:r>
          </w:p>
        </w:tc>
        <w:tc>
          <w:tcPr>
            <w:tcW w:w="712" w:type="pct"/>
            <w:shd w:val="clear" w:color="auto" w:fill="F2F2F2" w:themeFill="background1" w:themeFillShade="F2"/>
            <w:noWrap/>
            <w:hideMark/>
          </w:tcPr>
          <w:p w14:paraId="4A1A566A"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w:t>
            </w:r>
            <w:r w:rsidRPr="00166DB1">
              <w:rPr>
                <w:lang w:eastAsia="en-AU"/>
              </w:rPr>
              <w:t xml:space="preserve">1,048,537.41 </w:t>
            </w:r>
          </w:p>
        </w:tc>
        <w:tc>
          <w:tcPr>
            <w:tcW w:w="474" w:type="pct"/>
            <w:shd w:val="clear" w:color="auto" w:fill="F2F2F2" w:themeFill="background1" w:themeFillShade="F2"/>
            <w:noWrap/>
            <w:hideMark/>
          </w:tcPr>
          <w:p w14:paraId="6F720DD4"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18.7%</w:t>
            </w:r>
          </w:p>
        </w:tc>
      </w:tr>
      <w:tr w:rsidR="00166DB1" w:rsidRPr="00166DB1" w14:paraId="76F9A05B" w14:textId="77777777" w:rsidTr="00E45E42">
        <w:trPr>
          <w:trHeight w:val="600"/>
        </w:trPr>
        <w:tc>
          <w:tcPr>
            <w:cnfStyle w:val="001000000000" w:firstRow="0" w:lastRow="0" w:firstColumn="1" w:lastColumn="0" w:oddVBand="0" w:evenVBand="0" w:oddHBand="0" w:evenHBand="0" w:firstRowFirstColumn="0" w:firstRowLastColumn="0" w:lastRowFirstColumn="0" w:lastRowLastColumn="0"/>
            <w:tcW w:w="1270" w:type="pct"/>
            <w:shd w:val="clear" w:color="auto" w:fill="F2F2F2" w:themeFill="background1" w:themeFillShade="F2"/>
            <w:hideMark/>
          </w:tcPr>
          <w:p w14:paraId="0482D5B3" w14:textId="77777777" w:rsidR="00166DB1" w:rsidRPr="00166DB1" w:rsidRDefault="00166DB1" w:rsidP="00E45E42">
            <w:pPr>
              <w:pStyle w:val="TableCopy"/>
              <w:rPr>
                <w:lang w:eastAsia="en-AU"/>
              </w:rPr>
            </w:pPr>
            <w:r w:rsidRPr="00166DB1">
              <w:rPr>
                <w:lang w:eastAsia="en-AU"/>
              </w:rPr>
              <w:t>Rural Pharmacy Scholarship Mentor Scheme*</w:t>
            </w:r>
          </w:p>
        </w:tc>
        <w:tc>
          <w:tcPr>
            <w:tcW w:w="409" w:type="pct"/>
            <w:shd w:val="clear" w:color="auto" w:fill="F2F2F2" w:themeFill="background1" w:themeFillShade="F2"/>
            <w:noWrap/>
            <w:hideMark/>
          </w:tcPr>
          <w:p w14:paraId="2A4CF85D"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105.5</w:t>
            </w:r>
          </w:p>
        </w:tc>
        <w:tc>
          <w:tcPr>
            <w:tcW w:w="719" w:type="pct"/>
            <w:shd w:val="clear" w:color="auto" w:fill="F2F2F2" w:themeFill="background1" w:themeFillShade="F2"/>
            <w:noWrap/>
            <w:hideMark/>
          </w:tcPr>
          <w:p w14:paraId="65E0D46F"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w:t>
            </w:r>
            <w:r w:rsidRPr="00166DB1">
              <w:rPr>
                <w:lang w:eastAsia="en-AU"/>
              </w:rPr>
              <w:t xml:space="preserve">375.00 </w:t>
            </w:r>
          </w:p>
        </w:tc>
        <w:tc>
          <w:tcPr>
            <w:tcW w:w="730" w:type="pct"/>
            <w:shd w:val="clear" w:color="auto" w:fill="F2F2F2" w:themeFill="background1" w:themeFillShade="F2"/>
            <w:noWrap/>
            <w:hideMark/>
          </w:tcPr>
          <w:p w14:paraId="7D429F8E"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w:t>
            </w:r>
            <w:r w:rsidRPr="00166DB1">
              <w:rPr>
                <w:lang w:eastAsia="en-AU"/>
              </w:rPr>
              <w:t xml:space="preserve">612.03 </w:t>
            </w:r>
          </w:p>
        </w:tc>
        <w:tc>
          <w:tcPr>
            <w:tcW w:w="686" w:type="pct"/>
            <w:shd w:val="clear" w:color="auto" w:fill="F2F2F2" w:themeFill="background1" w:themeFillShade="F2"/>
            <w:noWrap/>
            <w:hideMark/>
          </w:tcPr>
          <w:p w14:paraId="7FF006BD"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w:t>
            </w:r>
            <w:r w:rsidRPr="00166DB1">
              <w:rPr>
                <w:lang w:eastAsia="en-AU"/>
              </w:rPr>
              <w:t xml:space="preserve">987.03 </w:t>
            </w:r>
          </w:p>
        </w:tc>
        <w:tc>
          <w:tcPr>
            <w:tcW w:w="712" w:type="pct"/>
            <w:shd w:val="clear" w:color="auto" w:fill="F2F2F2" w:themeFill="background1" w:themeFillShade="F2"/>
            <w:noWrap/>
            <w:hideMark/>
          </w:tcPr>
          <w:p w14:paraId="363F801D"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w:t>
            </w:r>
            <w:r w:rsidRPr="00166DB1">
              <w:rPr>
                <w:lang w:eastAsia="en-AU"/>
              </w:rPr>
              <w:t xml:space="preserve">104,132.17 </w:t>
            </w:r>
          </w:p>
        </w:tc>
        <w:tc>
          <w:tcPr>
            <w:tcW w:w="474" w:type="pct"/>
            <w:shd w:val="clear" w:color="auto" w:fill="F2F2F2" w:themeFill="background1" w:themeFillShade="F2"/>
            <w:noWrap/>
            <w:hideMark/>
          </w:tcPr>
          <w:p w14:paraId="3D22B153"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1.9%</w:t>
            </w:r>
          </w:p>
        </w:tc>
      </w:tr>
      <w:tr w:rsidR="00166DB1" w:rsidRPr="00166DB1" w14:paraId="0669ADCB" w14:textId="77777777" w:rsidTr="00E45E42">
        <w:trPr>
          <w:trHeight w:val="300"/>
        </w:trPr>
        <w:tc>
          <w:tcPr>
            <w:cnfStyle w:val="001000000000" w:firstRow="0" w:lastRow="0" w:firstColumn="1" w:lastColumn="0" w:oddVBand="0" w:evenVBand="0" w:oddHBand="0" w:evenHBand="0" w:firstRowFirstColumn="0" w:firstRowLastColumn="0" w:lastRowFirstColumn="0" w:lastRowLastColumn="0"/>
            <w:tcW w:w="1270" w:type="pct"/>
            <w:shd w:val="clear" w:color="auto" w:fill="F2F2F2" w:themeFill="background1" w:themeFillShade="F2"/>
            <w:hideMark/>
          </w:tcPr>
          <w:p w14:paraId="6189AFC7" w14:textId="77777777" w:rsidR="00166DB1" w:rsidRPr="00166DB1" w:rsidRDefault="00166DB1" w:rsidP="00E45E42">
            <w:pPr>
              <w:pStyle w:val="TableCopy"/>
              <w:rPr>
                <w:lang w:eastAsia="en-AU"/>
              </w:rPr>
            </w:pPr>
            <w:r w:rsidRPr="00166DB1">
              <w:rPr>
                <w:lang w:eastAsia="en-AU"/>
              </w:rPr>
              <w:t>Rural Intern Training Allowance</w:t>
            </w:r>
          </w:p>
        </w:tc>
        <w:tc>
          <w:tcPr>
            <w:tcW w:w="409" w:type="pct"/>
            <w:shd w:val="clear" w:color="auto" w:fill="F2F2F2" w:themeFill="background1" w:themeFillShade="F2"/>
            <w:noWrap/>
            <w:hideMark/>
          </w:tcPr>
          <w:p w14:paraId="7A2954B5"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184.5</w:t>
            </w:r>
          </w:p>
        </w:tc>
        <w:tc>
          <w:tcPr>
            <w:tcW w:w="719" w:type="pct"/>
            <w:shd w:val="clear" w:color="auto" w:fill="F2F2F2" w:themeFill="background1" w:themeFillShade="F2"/>
            <w:noWrap/>
            <w:hideMark/>
          </w:tcPr>
          <w:p w14:paraId="1EA3A7C8"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w:t>
            </w:r>
            <w:r w:rsidRPr="00166DB1">
              <w:rPr>
                <w:lang w:eastAsia="en-AU"/>
              </w:rPr>
              <w:t xml:space="preserve">458.07 </w:t>
            </w:r>
          </w:p>
        </w:tc>
        <w:tc>
          <w:tcPr>
            <w:tcW w:w="730" w:type="pct"/>
            <w:shd w:val="clear" w:color="auto" w:fill="F2F2F2" w:themeFill="background1" w:themeFillShade="F2"/>
            <w:noWrap/>
            <w:hideMark/>
          </w:tcPr>
          <w:p w14:paraId="0768593C"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w:t>
            </w:r>
            <w:r w:rsidRPr="00166DB1">
              <w:rPr>
                <w:lang w:eastAsia="en-AU"/>
              </w:rPr>
              <w:t xml:space="preserve">711.52 </w:t>
            </w:r>
          </w:p>
        </w:tc>
        <w:tc>
          <w:tcPr>
            <w:tcW w:w="686" w:type="pct"/>
            <w:shd w:val="clear" w:color="auto" w:fill="F2F2F2" w:themeFill="background1" w:themeFillShade="F2"/>
            <w:noWrap/>
            <w:hideMark/>
          </w:tcPr>
          <w:p w14:paraId="49340167"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w:t>
            </w:r>
            <w:r w:rsidRPr="00166DB1">
              <w:rPr>
                <w:lang w:eastAsia="en-AU"/>
              </w:rPr>
              <w:t xml:space="preserve">1,169.60 </w:t>
            </w:r>
          </w:p>
        </w:tc>
        <w:tc>
          <w:tcPr>
            <w:tcW w:w="712" w:type="pct"/>
            <w:shd w:val="clear" w:color="auto" w:fill="F2F2F2" w:themeFill="background1" w:themeFillShade="F2"/>
            <w:noWrap/>
            <w:hideMark/>
          </w:tcPr>
          <w:p w14:paraId="6B26A581"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w:t>
            </w:r>
            <w:r w:rsidRPr="00166DB1">
              <w:rPr>
                <w:lang w:eastAsia="en-AU"/>
              </w:rPr>
              <w:t xml:space="preserve">215,685.94 </w:t>
            </w:r>
          </w:p>
        </w:tc>
        <w:tc>
          <w:tcPr>
            <w:tcW w:w="474" w:type="pct"/>
            <w:shd w:val="clear" w:color="auto" w:fill="F2F2F2" w:themeFill="background1" w:themeFillShade="F2"/>
            <w:noWrap/>
            <w:hideMark/>
          </w:tcPr>
          <w:p w14:paraId="44A844F1"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3.9%</w:t>
            </w:r>
          </w:p>
        </w:tc>
      </w:tr>
      <w:tr w:rsidR="00166DB1" w:rsidRPr="00166DB1" w14:paraId="7175A30C" w14:textId="77777777" w:rsidTr="00E45E42">
        <w:trPr>
          <w:trHeight w:val="600"/>
        </w:trPr>
        <w:tc>
          <w:tcPr>
            <w:cnfStyle w:val="001000000000" w:firstRow="0" w:lastRow="0" w:firstColumn="1" w:lastColumn="0" w:oddVBand="0" w:evenVBand="0" w:oddHBand="0" w:evenHBand="0" w:firstRowFirstColumn="0" w:firstRowLastColumn="0" w:lastRowFirstColumn="0" w:lastRowLastColumn="0"/>
            <w:tcW w:w="1270" w:type="pct"/>
            <w:shd w:val="clear" w:color="auto" w:fill="F2F2F2" w:themeFill="background1" w:themeFillShade="F2"/>
            <w:hideMark/>
          </w:tcPr>
          <w:p w14:paraId="1F3CE8DD" w14:textId="77777777" w:rsidR="00166DB1" w:rsidRPr="00166DB1" w:rsidRDefault="00166DB1" w:rsidP="00E45E42">
            <w:pPr>
              <w:pStyle w:val="TableCopy"/>
              <w:rPr>
                <w:lang w:eastAsia="en-AU"/>
              </w:rPr>
            </w:pPr>
            <w:r w:rsidRPr="00166DB1">
              <w:rPr>
                <w:lang w:eastAsia="en-AU"/>
              </w:rPr>
              <w:t>Rural Pharmacy Student Placement Allowance#</w:t>
            </w:r>
          </w:p>
        </w:tc>
        <w:tc>
          <w:tcPr>
            <w:tcW w:w="409" w:type="pct"/>
            <w:shd w:val="clear" w:color="auto" w:fill="F2F2F2" w:themeFill="background1" w:themeFillShade="F2"/>
            <w:noWrap/>
            <w:hideMark/>
          </w:tcPr>
          <w:p w14:paraId="7EBE2EE3"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381</w:t>
            </w:r>
          </w:p>
          <w:p w14:paraId="6119BB0A"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 xml:space="preserve">(or 16) </w:t>
            </w:r>
          </w:p>
        </w:tc>
        <w:tc>
          <w:tcPr>
            <w:tcW w:w="719" w:type="pct"/>
            <w:shd w:val="clear" w:color="auto" w:fill="F2F2F2" w:themeFill="background1" w:themeFillShade="F2"/>
            <w:noWrap/>
            <w:hideMark/>
          </w:tcPr>
          <w:p w14:paraId="33296326"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w:t>
            </w:r>
            <w:r w:rsidRPr="00166DB1">
              <w:rPr>
                <w:lang w:eastAsia="en-AU"/>
              </w:rPr>
              <w:t xml:space="preserve">39,761.72 </w:t>
            </w:r>
          </w:p>
        </w:tc>
        <w:tc>
          <w:tcPr>
            <w:tcW w:w="730" w:type="pct"/>
            <w:shd w:val="clear" w:color="auto" w:fill="F2F2F2" w:themeFill="background1" w:themeFillShade="F2"/>
            <w:noWrap/>
            <w:hideMark/>
          </w:tcPr>
          <w:p w14:paraId="55CD6D96"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w:t>
            </w:r>
            <w:r w:rsidRPr="00166DB1">
              <w:rPr>
                <w:lang w:eastAsia="en-AU"/>
              </w:rPr>
              <w:t xml:space="preserve">627.96 </w:t>
            </w:r>
          </w:p>
        </w:tc>
        <w:tc>
          <w:tcPr>
            <w:tcW w:w="686" w:type="pct"/>
            <w:shd w:val="clear" w:color="auto" w:fill="F2F2F2" w:themeFill="background1" w:themeFillShade="F2"/>
            <w:noWrap/>
            <w:hideMark/>
          </w:tcPr>
          <w:p w14:paraId="44F209F4"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$1,696.15</w:t>
            </w:r>
          </w:p>
          <w:p w14:paraId="1474B627" w14:textId="01CFDD73"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(or</w:t>
            </w:r>
            <w:r w:rsidR="00E45E42">
              <w:rPr>
                <w:lang w:eastAsia="en-AU"/>
              </w:rPr>
              <w:t xml:space="preserve"> </w:t>
            </w:r>
            <w:r w:rsidRPr="00166DB1">
              <w:rPr>
                <w:rFonts w:ascii="Times New Roman" w:hAnsi="Times New Roman"/>
                <w:lang w:eastAsia="en-AU"/>
              </w:rPr>
              <w:t>$</w:t>
            </w:r>
            <w:r w:rsidRPr="00166DB1">
              <w:t>40,389.68</w:t>
            </w:r>
            <w:r w:rsidRPr="00166DB1">
              <w:rPr>
                <w:rFonts w:ascii="Times New Roman" w:hAnsi="Times New Roman"/>
                <w:lang w:eastAsia="en-AU"/>
              </w:rPr>
              <w:t xml:space="preserve">) </w:t>
            </w:r>
          </w:p>
        </w:tc>
        <w:tc>
          <w:tcPr>
            <w:tcW w:w="712" w:type="pct"/>
            <w:shd w:val="clear" w:color="auto" w:fill="F2F2F2" w:themeFill="background1" w:themeFillShade="F2"/>
            <w:noWrap/>
            <w:hideMark/>
          </w:tcPr>
          <w:p w14:paraId="5C7CA7D8"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w:t>
            </w:r>
            <w:r w:rsidRPr="00166DB1">
              <w:rPr>
                <w:lang w:eastAsia="en-AU"/>
              </w:rPr>
              <w:t xml:space="preserve">646,234.87 </w:t>
            </w:r>
          </w:p>
        </w:tc>
        <w:tc>
          <w:tcPr>
            <w:tcW w:w="474" w:type="pct"/>
            <w:shd w:val="clear" w:color="auto" w:fill="F2F2F2" w:themeFill="background1" w:themeFillShade="F2"/>
            <w:noWrap/>
            <w:hideMark/>
          </w:tcPr>
          <w:p w14:paraId="353FF3B8"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11.5%</w:t>
            </w:r>
          </w:p>
        </w:tc>
      </w:tr>
      <w:tr w:rsidR="003E51C4" w:rsidRPr="003E51C4" w14:paraId="2A68008D" w14:textId="77777777" w:rsidTr="00E45E42">
        <w:trPr>
          <w:trHeight w:val="338"/>
        </w:trPr>
        <w:tc>
          <w:tcPr>
            <w:cnfStyle w:val="001000000000" w:firstRow="0" w:lastRow="0" w:firstColumn="1" w:lastColumn="0" w:oddVBand="0" w:evenVBand="0" w:oddHBand="0" w:evenHBand="0" w:firstRowFirstColumn="0" w:firstRowLastColumn="0" w:lastRowFirstColumn="0" w:lastRowLastColumn="0"/>
            <w:tcW w:w="5000" w:type="pct"/>
            <w:gridSpan w:val="7"/>
            <w:shd w:val="clear" w:color="auto" w:fill="BFBFBF" w:themeFill="background1" w:themeFillShade="BF"/>
          </w:tcPr>
          <w:p w14:paraId="48FCEEF5" w14:textId="77777777" w:rsidR="00166DB1" w:rsidRPr="003E51C4" w:rsidRDefault="00166DB1" w:rsidP="00E45E42">
            <w:pPr>
              <w:pStyle w:val="Tablesubheading1"/>
              <w:rPr>
                <w:color w:val="000000" w:themeColor="text1"/>
                <w:lang w:eastAsia="en-AU"/>
              </w:rPr>
            </w:pPr>
            <w:r w:rsidRPr="003E51C4">
              <w:rPr>
                <w:color w:val="000000" w:themeColor="text1"/>
                <w:lang w:eastAsia="en-AU"/>
              </w:rPr>
              <w:t xml:space="preserve">Other Support Programs </w:t>
            </w:r>
          </w:p>
        </w:tc>
      </w:tr>
      <w:tr w:rsidR="00166DB1" w:rsidRPr="00166DB1" w14:paraId="6CE47134" w14:textId="77777777" w:rsidTr="00E45E42">
        <w:trPr>
          <w:trHeight w:val="600"/>
        </w:trPr>
        <w:tc>
          <w:tcPr>
            <w:cnfStyle w:val="001000000000" w:firstRow="0" w:lastRow="0" w:firstColumn="1" w:lastColumn="0" w:oddVBand="0" w:evenVBand="0" w:oddHBand="0" w:evenHBand="0" w:firstRowFirstColumn="0" w:firstRowLastColumn="0" w:lastRowFirstColumn="0" w:lastRowLastColumn="0"/>
            <w:tcW w:w="1270" w:type="pct"/>
            <w:shd w:val="clear" w:color="auto" w:fill="F2F2F2" w:themeFill="background1" w:themeFillShade="F2"/>
            <w:hideMark/>
          </w:tcPr>
          <w:p w14:paraId="72E9E900" w14:textId="77777777" w:rsidR="00166DB1" w:rsidRPr="00166DB1" w:rsidRDefault="00166DB1" w:rsidP="00E45E42">
            <w:pPr>
              <w:pStyle w:val="TableCopy"/>
              <w:rPr>
                <w:lang w:eastAsia="en-AU"/>
              </w:rPr>
            </w:pPr>
            <w:r w:rsidRPr="00166DB1">
              <w:rPr>
                <w:lang w:eastAsia="en-AU"/>
              </w:rPr>
              <w:t>Administrative Support to Pharmacy Schools#</w:t>
            </w:r>
          </w:p>
        </w:tc>
        <w:tc>
          <w:tcPr>
            <w:tcW w:w="409" w:type="pct"/>
            <w:shd w:val="clear" w:color="auto" w:fill="F2F2F2" w:themeFill="background1" w:themeFillShade="F2"/>
            <w:noWrap/>
            <w:hideMark/>
          </w:tcPr>
          <w:p w14:paraId="129CA5A8"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 xml:space="preserve">381 </w:t>
            </w:r>
          </w:p>
          <w:p w14:paraId="1E8BCCDD"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(or 16)</w:t>
            </w:r>
          </w:p>
        </w:tc>
        <w:tc>
          <w:tcPr>
            <w:tcW w:w="719" w:type="pct"/>
            <w:shd w:val="clear" w:color="auto" w:fill="F2F2F2" w:themeFill="background1" w:themeFillShade="F2"/>
            <w:noWrap/>
            <w:hideMark/>
          </w:tcPr>
          <w:p w14:paraId="743F01EA"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w:t>
            </w:r>
            <w:r w:rsidRPr="00166DB1">
              <w:rPr>
                <w:lang w:eastAsia="en-AU"/>
              </w:rPr>
              <w:t xml:space="preserve">33,331.38 </w:t>
            </w:r>
          </w:p>
        </w:tc>
        <w:tc>
          <w:tcPr>
            <w:tcW w:w="730" w:type="pct"/>
            <w:shd w:val="clear" w:color="auto" w:fill="F2F2F2" w:themeFill="background1" w:themeFillShade="F2"/>
            <w:noWrap/>
            <w:hideMark/>
          </w:tcPr>
          <w:p w14:paraId="303960B9"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w:t>
            </w:r>
            <w:r w:rsidRPr="00166DB1">
              <w:rPr>
                <w:lang w:eastAsia="en-AU"/>
              </w:rPr>
              <w:t xml:space="preserve">627.96 </w:t>
            </w:r>
          </w:p>
        </w:tc>
        <w:tc>
          <w:tcPr>
            <w:tcW w:w="686" w:type="pct"/>
            <w:shd w:val="clear" w:color="auto" w:fill="F2F2F2" w:themeFill="background1" w:themeFillShade="F2"/>
            <w:noWrap/>
            <w:hideMark/>
          </w:tcPr>
          <w:p w14:paraId="244076A5"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w:t>
            </w:r>
            <w:r w:rsidRPr="00166DB1">
              <w:t>1,426.11</w:t>
            </w:r>
          </w:p>
          <w:p w14:paraId="58145ED3"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 xml:space="preserve">(or </w:t>
            </w:r>
            <w:r w:rsidRPr="00166DB1">
              <w:rPr>
                <w:rFonts w:ascii="Times New Roman" w:hAnsi="Times New Roman"/>
                <w:lang w:eastAsia="en-AU"/>
              </w:rPr>
              <w:t>$</w:t>
            </w:r>
            <w:r w:rsidRPr="00166DB1">
              <w:rPr>
                <w:lang w:eastAsia="en-AU"/>
              </w:rPr>
              <w:t>33,959.33</w:t>
            </w:r>
            <w:r w:rsidRPr="00166DB1">
              <w:t>)</w:t>
            </w:r>
          </w:p>
        </w:tc>
        <w:tc>
          <w:tcPr>
            <w:tcW w:w="712" w:type="pct"/>
            <w:shd w:val="clear" w:color="auto" w:fill="F2F2F2" w:themeFill="background1" w:themeFillShade="F2"/>
            <w:noWrap/>
            <w:hideMark/>
          </w:tcPr>
          <w:p w14:paraId="2086980D"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w:t>
            </w:r>
            <w:r w:rsidRPr="00166DB1">
              <w:rPr>
                <w:lang w:eastAsia="en-AU"/>
              </w:rPr>
              <w:t xml:space="preserve">543,349.31 </w:t>
            </w:r>
          </w:p>
        </w:tc>
        <w:tc>
          <w:tcPr>
            <w:tcW w:w="474" w:type="pct"/>
            <w:shd w:val="clear" w:color="auto" w:fill="F2F2F2" w:themeFill="background1" w:themeFillShade="F2"/>
            <w:noWrap/>
            <w:hideMark/>
          </w:tcPr>
          <w:p w14:paraId="6683E491"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9.7%</w:t>
            </w:r>
          </w:p>
        </w:tc>
      </w:tr>
      <w:tr w:rsidR="00166DB1" w:rsidRPr="00166DB1" w14:paraId="3750C455" w14:textId="77777777" w:rsidTr="00E45E42">
        <w:trPr>
          <w:trHeight w:val="300"/>
        </w:trPr>
        <w:tc>
          <w:tcPr>
            <w:cnfStyle w:val="001000000000" w:firstRow="0" w:lastRow="0" w:firstColumn="1" w:lastColumn="0" w:oddVBand="0" w:evenVBand="0" w:oddHBand="0" w:evenHBand="0" w:firstRowFirstColumn="0" w:firstRowLastColumn="0" w:lastRowFirstColumn="0" w:lastRowLastColumn="0"/>
            <w:tcW w:w="1270" w:type="pct"/>
            <w:shd w:val="clear" w:color="auto" w:fill="F2F2F2" w:themeFill="background1" w:themeFillShade="F2"/>
            <w:hideMark/>
          </w:tcPr>
          <w:p w14:paraId="12D7D2A0" w14:textId="77777777" w:rsidR="00166DB1" w:rsidRPr="00166DB1" w:rsidRDefault="00166DB1" w:rsidP="00E45E42">
            <w:pPr>
              <w:pStyle w:val="TableCopy"/>
              <w:rPr>
                <w:lang w:eastAsia="en-AU"/>
              </w:rPr>
            </w:pPr>
            <w:r w:rsidRPr="00166DB1">
              <w:rPr>
                <w:lang w:eastAsia="en-AU"/>
              </w:rPr>
              <w:t>Rural Pharmacy Liaison Officer Program^</w:t>
            </w:r>
          </w:p>
        </w:tc>
        <w:tc>
          <w:tcPr>
            <w:tcW w:w="409" w:type="pct"/>
            <w:shd w:val="clear" w:color="auto" w:fill="F2F2F2" w:themeFill="background1" w:themeFillShade="F2"/>
            <w:noWrap/>
            <w:hideMark/>
          </w:tcPr>
          <w:p w14:paraId="7CB80BFA"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381</w:t>
            </w:r>
          </w:p>
          <w:p w14:paraId="3BB07D71"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(or 10)</w:t>
            </w:r>
          </w:p>
        </w:tc>
        <w:tc>
          <w:tcPr>
            <w:tcW w:w="719" w:type="pct"/>
            <w:shd w:val="clear" w:color="auto" w:fill="F2F2F2" w:themeFill="background1" w:themeFillShade="F2"/>
            <w:noWrap/>
            <w:hideMark/>
          </w:tcPr>
          <w:p w14:paraId="7CC92932"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w:t>
            </w:r>
            <w:r w:rsidRPr="00166DB1">
              <w:rPr>
                <w:lang w:eastAsia="en-AU"/>
              </w:rPr>
              <w:t xml:space="preserve">82,906.90 </w:t>
            </w:r>
          </w:p>
        </w:tc>
        <w:tc>
          <w:tcPr>
            <w:tcW w:w="730" w:type="pct"/>
            <w:shd w:val="clear" w:color="auto" w:fill="F2F2F2" w:themeFill="background1" w:themeFillShade="F2"/>
            <w:noWrap/>
            <w:hideMark/>
          </w:tcPr>
          <w:p w14:paraId="4C3E5880"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w:t>
            </w:r>
            <w:r w:rsidRPr="00166DB1">
              <w:rPr>
                <w:lang w:eastAsia="en-AU"/>
              </w:rPr>
              <w:t xml:space="preserve">706.45 </w:t>
            </w:r>
          </w:p>
        </w:tc>
        <w:tc>
          <w:tcPr>
            <w:tcW w:w="686" w:type="pct"/>
            <w:shd w:val="clear" w:color="auto" w:fill="F2F2F2" w:themeFill="background1" w:themeFillShade="F2"/>
            <w:noWrap/>
            <w:hideMark/>
          </w:tcPr>
          <w:p w14:paraId="0ED611BA"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w:t>
            </w:r>
            <w:r w:rsidRPr="00166DB1">
              <w:t>2,194.58</w:t>
            </w:r>
          </w:p>
          <w:p w14:paraId="4572BD46" w14:textId="1E6F4166"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(or</w:t>
            </w:r>
            <w:r w:rsidR="00E45E42">
              <w:rPr>
                <w:lang w:eastAsia="en-AU"/>
              </w:rPr>
              <w:t xml:space="preserve"> </w:t>
            </w:r>
            <w:r w:rsidRPr="00166DB1">
              <w:rPr>
                <w:rFonts w:ascii="Times New Roman" w:hAnsi="Times New Roman"/>
                <w:lang w:eastAsia="en-AU"/>
              </w:rPr>
              <w:t>$</w:t>
            </w:r>
            <w:r w:rsidRPr="00166DB1">
              <w:rPr>
                <w:lang w:eastAsia="en-AU"/>
              </w:rPr>
              <w:t>83,613.35)</w:t>
            </w:r>
          </w:p>
        </w:tc>
        <w:tc>
          <w:tcPr>
            <w:tcW w:w="712" w:type="pct"/>
            <w:shd w:val="clear" w:color="auto" w:fill="F2F2F2" w:themeFill="background1" w:themeFillShade="F2"/>
            <w:noWrap/>
            <w:hideMark/>
          </w:tcPr>
          <w:p w14:paraId="5DD402D1"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w:t>
            </w:r>
            <w:r w:rsidRPr="00166DB1">
              <w:rPr>
                <w:lang w:eastAsia="en-AU"/>
              </w:rPr>
              <w:t xml:space="preserve">836,133.52 </w:t>
            </w:r>
          </w:p>
        </w:tc>
        <w:tc>
          <w:tcPr>
            <w:tcW w:w="474" w:type="pct"/>
            <w:shd w:val="clear" w:color="auto" w:fill="F2F2F2" w:themeFill="background1" w:themeFillShade="F2"/>
            <w:noWrap/>
            <w:hideMark/>
          </w:tcPr>
          <w:p w14:paraId="297CE458"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14.9%</w:t>
            </w:r>
          </w:p>
        </w:tc>
      </w:tr>
      <w:tr w:rsidR="003E51C4" w:rsidRPr="003E51C4" w14:paraId="0B00E494" w14:textId="77777777" w:rsidTr="00E45E42">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7"/>
            <w:shd w:val="clear" w:color="auto" w:fill="BFBFBF" w:themeFill="background1" w:themeFillShade="BF"/>
          </w:tcPr>
          <w:p w14:paraId="3088CBD8" w14:textId="77777777" w:rsidR="00166DB1" w:rsidRPr="003E51C4" w:rsidRDefault="00166DB1" w:rsidP="00E45E42">
            <w:pPr>
              <w:pStyle w:val="Tablesubheading1"/>
              <w:rPr>
                <w:color w:val="000000" w:themeColor="text1"/>
                <w:lang w:eastAsia="en-AU"/>
              </w:rPr>
            </w:pPr>
            <w:r w:rsidRPr="003E51C4">
              <w:rPr>
                <w:color w:val="000000" w:themeColor="text1"/>
                <w:lang w:eastAsia="en-AU"/>
              </w:rPr>
              <w:t xml:space="preserve">Retention Programs </w:t>
            </w:r>
          </w:p>
        </w:tc>
      </w:tr>
      <w:tr w:rsidR="00166DB1" w:rsidRPr="00166DB1" w14:paraId="6B0F8BA6" w14:textId="77777777" w:rsidTr="00E45E42">
        <w:trPr>
          <w:trHeight w:val="600"/>
        </w:trPr>
        <w:tc>
          <w:tcPr>
            <w:cnfStyle w:val="001000000000" w:firstRow="0" w:lastRow="0" w:firstColumn="1" w:lastColumn="0" w:oddVBand="0" w:evenVBand="0" w:oddHBand="0" w:evenHBand="0" w:firstRowFirstColumn="0" w:firstRowLastColumn="0" w:lastRowFirstColumn="0" w:lastRowLastColumn="0"/>
            <w:tcW w:w="1270" w:type="pct"/>
            <w:shd w:val="clear" w:color="auto" w:fill="F2F2F2" w:themeFill="background1" w:themeFillShade="F2"/>
            <w:hideMark/>
          </w:tcPr>
          <w:p w14:paraId="3C4DC3B4" w14:textId="77777777" w:rsidR="00166DB1" w:rsidRPr="00166DB1" w:rsidRDefault="00166DB1" w:rsidP="00E45E42">
            <w:pPr>
              <w:pStyle w:val="TableCopy"/>
              <w:rPr>
                <w:lang w:eastAsia="en-AU"/>
              </w:rPr>
            </w:pPr>
            <w:r w:rsidRPr="00166DB1">
              <w:rPr>
                <w:lang w:eastAsia="en-AU"/>
              </w:rPr>
              <w:t>Intern Incentive Allowance for Rural Pharmacies</w:t>
            </w:r>
          </w:p>
        </w:tc>
        <w:tc>
          <w:tcPr>
            <w:tcW w:w="409" w:type="pct"/>
            <w:shd w:val="clear" w:color="auto" w:fill="F2F2F2" w:themeFill="background1" w:themeFillShade="F2"/>
            <w:noWrap/>
            <w:hideMark/>
          </w:tcPr>
          <w:p w14:paraId="0E59A43D"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75</w:t>
            </w:r>
          </w:p>
        </w:tc>
        <w:tc>
          <w:tcPr>
            <w:tcW w:w="719" w:type="pct"/>
            <w:shd w:val="clear" w:color="auto" w:fill="F2F2F2" w:themeFill="background1" w:themeFillShade="F2"/>
            <w:noWrap/>
            <w:hideMark/>
          </w:tcPr>
          <w:p w14:paraId="1FFE7574"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w:t>
            </w:r>
            <w:r w:rsidRPr="00166DB1">
              <w:rPr>
                <w:lang w:eastAsia="en-AU"/>
              </w:rPr>
              <w:t xml:space="preserve">10,000.00 </w:t>
            </w:r>
          </w:p>
        </w:tc>
        <w:tc>
          <w:tcPr>
            <w:tcW w:w="730" w:type="pct"/>
            <w:shd w:val="clear" w:color="auto" w:fill="F2F2F2" w:themeFill="background1" w:themeFillShade="F2"/>
            <w:noWrap/>
            <w:hideMark/>
          </w:tcPr>
          <w:p w14:paraId="7FECACF1"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w:t>
            </w:r>
            <w:r w:rsidRPr="00166DB1">
              <w:rPr>
                <w:lang w:eastAsia="en-AU"/>
              </w:rPr>
              <w:t xml:space="preserve">592.77 </w:t>
            </w:r>
          </w:p>
        </w:tc>
        <w:tc>
          <w:tcPr>
            <w:tcW w:w="686" w:type="pct"/>
            <w:shd w:val="clear" w:color="auto" w:fill="F2F2F2" w:themeFill="background1" w:themeFillShade="F2"/>
            <w:noWrap/>
            <w:hideMark/>
          </w:tcPr>
          <w:p w14:paraId="35B39688"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w:t>
            </w:r>
            <w:r w:rsidRPr="00166DB1">
              <w:rPr>
                <w:lang w:eastAsia="en-AU"/>
              </w:rPr>
              <w:t xml:space="preserve">10,592.77 </w:t>
            </w:r>
          </w:p>
        </w:tc>
        <w:tc>
          <w:tcPr>
            <w:tcW w:w="712" w:type="pct"/>
            <w:shd w:val="clear" w:color="auto" w:fill="F2F2F2" w:themeFill="background1" w:themeFillShade="F2"/>
            <w:noWrap/>
            <w:hideMark/>
          </w:tcPr>
          <w:p w14:paraId="45A2B859"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w:t>
            </w:r>
            <w:r w:rsidRPr="00166DB1">
              <w:rPr>
                <w:lang w:eastAsia="en-AU"/>
              </w:rPr>
              <w:t xml:space="preserve">794,471.82 </w:t>
            </w:r>
          </w:p>
        </w:tc>
        <w:tc>
          <w:tcPr>
            <w:tcW w:w="474" w:type="pct"/>
            <w:shd w:val="clear" w:color="auto" w:fill="F2F2F2" w:themeFill="background1" w:themeFillShade="F2"/>
            <w:noWrap/>
            <w:hideMark/>
          </w:tcPr>
          <w:p w14:paraId="0E86F91D"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14.2%</w:t>
            </w:r>
          </w:p>
        </w:tc>
      </w:tr>
      <w:tr w:rsidR="00166DB1" w:rsidRPr="00166DB1" w14:paraId="123AC67A" w14:textId="77777777" w:rsidTr="00E45E42">
        <w:trPr>
          <w:trHeight w:val="600"/>
        </w:trPr>
        <w:tc>
          <w:tcPr>
            <w:cnfStyle w:val="001000000000" w:firstRow="0" w:lastRow="0" w:firstColumn="1" w:lastColumn="0" w:oddVBand="0" w:evenVBand="0" w:oddHBand="0" w:evenHBand="0" w:firstRowFirstColumn="0" w:firstRowLastColumn="0" w:lastRowFirstColumn="0" w:lastRowLastColumn="0"/>
            <w:tcW w:w="1270" w:type="pct"/>
            <w:shd w:val="clear" w:color="auto" w:fill="F2F2F2" w:themeFill="background1" w:themeFillShade="F2"/>
            <w:hideMark/>
          </w:tcPr>
          <w:p w14:paraId="4E6D4F66" w14:textId="77777777" w:rsidR="00166DB1" w:rsidRPr="00166DB1" w:rsidRDefault="00166DB1" w:rsidP="00E45E42">
            <w:pPr>
              <w:pStyle w:val="TableCopy"/>
              <w:rPr>
                <w:lang w:eastAsia="en-AU"/>
              </w:rPr>
            </w:pPr>
            <w:r w:rsidRPr="00166DB1">
              <w:rPr>
                <w:lang w:eastAsia="en-AU"/>
              </w:rPr>
              <w:t>Intern Incentive Allowance for Rural Pharmacies - Extension Program</w:t>
            </w:r>
          </w:p>
        </w:tc>
        <w:tc>
          <w:tcPr>
            <w:tcW w:w="409" w:type="pct"/>
            <w:shd w:val="clear" w:color="auto" w:fill="F2F2F2" w:themeFill="background1" w:themeFillShade="F2"/>
            <w:noWrap/>
            <w:hideMark/>
          </w:tcPr>
          <w:p w14:paraId="528BCBB4"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9</w:t>
            </w:r>
          </w:p>
        </w:tc>
        <w:tc>
          <w:tcPr>
            <w:tcW w:w="719" w:type="pct"/>
            <w:shd w:val="clear" w:color="auto" w:fill="F2F2F2" w:themeFill="background1" w:themeFillShade="F2"/>
            <w:noWrap/>
            <w:hideMark/>
          </w:tcPr>
          <w:p w14:paraId="58129573"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w:t>
            </w:r>
            <w:r w:rsidRPr="00166DB1">
              <w:rPr>
                <w:lang w:eastAsia="en-AU"/>
              </w:rPr>
              <w:t xml:space="preserve">20,000.00 </w:t>
            </w:r>
          </w:p>
        </w:tc>
        <w:tc>
          <w:tcPr>
            <w:tcW w:w="730" w:type="pct"/>
            <w:shd w:val="clear" w:color="auto" w:fill="F2F2F2" w:themeFill="background1" w:themeFillShade="F2"/>
            <w:noWrap/>
            <w:hideMark/>
          </w:tcPr>
          <w:p w14:paraId="5BFC4D8B"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w:t>
            </w:r>
            <w:r w:rsidRPr="00166DB1">
              <w:rPr>
                <w:lang w:eastAsia="en-AU"/>
              </w:rPr>
              <w:t xml:space="preserve">643.66 </w:t>
            </w:r>
          </w:p>
        </w:tc>
        <w:tc>
          <w:tcPr>
            <w:tcW w:w="686" w:type="pct"/>
            <w:shd w:val="clear" w:color="auto" w:fill="F2F2F2" w:themeFill="background1" w:themeFillShade="F2"/>
            <w:noWrap/>
            <w:hideMark/>
          </w:tcPr>
          <w:p w14:paraId="7937B57E"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w:t>
            </w:r>
            <w:r w:rsidRPr="00166DB1">
              <w:rPr>
                <w:lang w:eastAsia="en-AU"/>
              </w:rPr>
              <w:t xml:space="preserve">20,643.66 </w:t>
            </w:r>
          </w:p>
        </w:tc>
        <w:tc>
          <w:tcPr>
            <w:tcW w:w="712" w:type="pct"/>
            <w:shd w:val="clear" w:color="auto" w:fill="F2F2F2" w:themeFill="background1" w:themeFillShade="F2"/>
            <w:noWrap/>
            <w:hideMark/>
          </w:tcPr>
          <w:p w14:paraId="693AA778"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w:t>
            </w:r>
            <w:r w:rsidRPr="00166DB1">
              <w:rPr>
                <w:lang w:eastAsia="en-AU"/>
              </w:rPr>
              <w:t xml:space="preserve">185,792.90 </w:t>
            </w:r>
          </w:p>
        </w:tc>
        <w:tc>
          <w:tcPr>
            <w:tcW w:w="474" w:type="pct"/>
            <w:shd w:val="clear" w:color="auto" w:fill="F2F2F2" w:themeFill="background1" w:themeFillShade="F2"/>
            <w:noWrap/>
            <w:hideMark/>
          </w:tcPr>
          <w:p w14:paraId="0A379AD0"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3.3%</w:t>
            </w:r>
          </w:p>
        </w:tc>
      </w:tr>
      <w:tr w:rsidR="00166DB1" w:rsidRPr="00166DB1" w14:paraId="0358F198" w14:textId="77777777" w:rsidTr="00E45E42">
        <w:trPr>
          <w:trHeight w:val="600"/>
        </w:trPr>
        <w:tc>
          <w:tcPr>
            <w:cnfStyle w:val="001000000000" w:firstRow="0" w:lastRow="0" w:firstColumn="1" w:lastColumn="0" w:oddVBand="0" w:evenVBand="0" w:oddHBand="0" w:evenHBand="0" w:firstRowFirstColumn="0" w:firstRowLastColumn="0" w:lastRowFirstColumn="0" w:lastRowLastColumn="0"/>
            <w:tcW w:w="1270" w:type="pct"/>
            <w:shd w:val="clear" w:color="auto" w:fill="F2F2F2" w:themeFill="background1" w:themeFillShade="F2"/>
            <w:hideMark/>
          </w:tcPr>
          <w:p w14:paraId="73DCF089" w14:textId="77777777" w:rsidR="00166DB1" w:rsidRPr="00166DB1" w:rsidRDefault="00166DB1" w:rsidP="00E45E42">
            <w:pPr>
              <w:pStyle w:val="TableCopy"/>
              <w:rPr>
                <w:lang w:eastAsia="en-AU"/>
              </w:rPr>
            </w:pPr>
            <w:r w:rsidRPr="00166DB1">
              <w:rPr>
                <w:lang w:eastAsia="en-AU"/>
              </w:rPr>
              <w:t>Continuing Professional Education Allowance</w:t>
            </w:r>
          </w:p>
        </w:tc>
        <w:tc>
          <w:tcPr>
            <w:tcW w:w="409" w:type="pct"/>
            <w:shd w:val="clear" w:color="auto" w:fill="F2F2F2" w:themeFill="background1" w:themeFillShade="F2"/>
            <w:noWrap/>
            <w:hideMark/>
          </w:tcPr>
          <w:p w14:paraId="7E04BD23"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388</w:t>
            </w:r>
          </w:p>
        </w:tc>
        <w:tc>
          <w:tcPr>
            <w:tcW w:w="719" w:type="pct"/>
            <w:shd w:val="clear" w:color="auto" w:fill="F2F2F2" w:themeFill="background1" w:themeFillShade="F2"/>
            <w:noWrap/>
            <w:hideMark/>
          </w:tcPr>
          <w:p w14:paraId="16D8F435"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w:t>
            </w:r>
            <w:r w:rsidRPr="00166DB1">
              <w:rPr>
                <w:lang w:eastAsia="en-AU"/>
              </w:rPr>
              <w:t xml:space="preserve">842.46 </w:t>
            </w:r>
          </w:p>
        </w:tc>
        <w:tc>
          <w:tcPr>
            <w:tcW w:w="730" w:type="pct"/>
            <w:shd w:val="clear" w:color="auto" w:fill="F2F2F2" w:themeFill="background1" w:themeFillShade="F2"/>
            <w:noWrap/>
            <w:hideMark/>
          </w:tcPr>
          <w:p w14:paraId="1C1D5EE9"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w:t>
            </w:r>
            <w:r w:rsidRPr="00166DB1">
              <w:rPr>
                <w:lang w:eastAsia="en-AU"/>
              </w:rPr>
              <w:t xml:space="preserve">1,089.04 </w:t>
            </w:r>
          </w:p>
        </w:tc>
        <w:tc>
          <w:tcPr>
            <w:tcW w:w="686" w:type="pct"/>
            <w:shd w:val="clear" w:color="auto" w:fill="F2F2F2" w:themeFill="background1" w:themeFillShade="F2"/>
            <w:noWrap/>
            <w:hideMark/>
          </w:tcPr>
          <w:p w14:paraId="2DCED954"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w:t>
            </w:r>
            <w:r w:rsidRPr="00166DB1">
              <w:rPr>
                <w:lang w:eastAsia="en-AU"/>
              </w:rPr>
              <w:t xml:space="preserve">1,931.50 </w:t>
            </w:r>
          </w:p>
        </w:tc>
        <w:tc>
          <w:tcPr>
            <w:tcW w:w="712" w:type="pct"/>
            <w:shd w:val="clear" w:color="auto" w:fill="F2F2F2" w:themeFill="background1" w:themeFillShade="F2"/>
            <w:noWrap/>
            <w:hideMark/>
          </w:tcPr>
          <w:p w14:paraId="73742655"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w:t>
            </w:r>
            <w:r w:rsidRPr="00166DB1">
              <w:rPr>
                <w:lang w:eastAsia="en-AU"/>
              </w:rPr>
              <w:t xml:space="preserve">749,264.00 </w:t>
            </w:r>
          </w:p>
        </w:tc>
        <w:tc>
          <w:tcPr>
            <w:tcW w:w="474" w:type="pct"/>
            <w:shd w:val="clear" w:color="auto" w:fill="F2F2F2" w:themeFill="background1" w:themeFillShade="F2"/>
            <w:noWrap/>
            <w:hideMark/>
          </w:tcPr>
          <w:p w14:paraId="49EF7B45"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13.4%</w:t>
            </w:r>
          </w:p>
        </w:tc>
      </w:tr>
      <w:tr w:rsidR="00166DB1" w:rsidRPr="00166DB1" w14:paraId="47B40166" w14:textId="77777777" w:rsidTr="00E45E42">
        <w:trPr>
          <w:trHeight w:val="315"/>
        </w:trPr>
        <w:tc>
          <w:tcPr>
            <w:cnfStyle w:val="001000000000" w:firstRow="0" w:lastRow="0" w:firstColumn="1" w:lastColumn="0" w:oddVBand="0" w:evenVBand="0" w:oddHBand="0" w:evenHBand="0" w:firstRowFirstColumn="0" w:firstRowLastColumn="0" w:lastRowFirstColumn="0" w:lastRowLastColumn="0"/>
            <w:tcW w:w="1270" w:type="pct"/>
            <w:shd w:val="clear" w:color="auto" w:fill="F2F2F2" w:themeFill="background1" w:themeFillShade="F2"/>
            <w:hideMark/>
          </w:tcPr>
          <w:p w14:paraId="0638FA70" w14:textId="77777777" w:rsidR="00166DB1" w:rsidRPr="00166DB1" w:rsidRDefault="00166DB1" w:rsidP="00E45E42">
            <w:pPr>
              <w:pStyle w:val="TableCopy"/>
              <w:rPr>
                <w:lang w:eastAsia="en-AU"/>
              </w:rPr>
            </w:pPr>
            <w:r w:rsidRPr="00166DB1">
              <w:rPr>
                <w:lang w:eastAsia="en-AU"/>
              </w:rPr>
              <w:t>Emergency Locum Service</w:t>
            </w:r>
          </w:p>
        </w:tc>
        <w:tc>
          <w:tcPr>
            <w:tcW w:w="409" w:type="pct"/>
            <w:shd w:val="clear" w:color="auto" w:fill="F2F2F2" w:themeFill="background1" w:themeFillShade="F2"/>
            <w:noWrap/>
            <w:hideMark/>
          </w:tcPr>
          <w:p w14:paraId="52EC403A"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50</w:t>
            </w:r>
          </w:p>
        </w:tc>
        <w:tc>
          <w:tcPr>
            <w:tcW w:w="719" w:type="pct"/>
            <w:shd w:val="clear" w:color="auto" w:fill="F2F2F2" w:themeFill="background1" w:themeFillShade="F2"/>
            <w:noWrap/>
            <w:hideMark/>
          </w:tcPr>
          <w:p w14:paraId="4C68CAFC"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w:t>
            </w:r>
            <w:r w:rsidRPr="00166DB1">
              <w:rPr>
                <w:lang w:eastAsia="en-AU"/>
              </w:rPr>
              <w:t xml:space="preserve">2,661.98 </w:t>
            </w:r>
          </w:p>
        </w:tc>
        <w:tc>
          <w:tcPr>
            <w:tcW w:w="730" w:type="pct"/>
            <w:shd w:val="clear" w:color="auto" w:fill="F2F2F2" w:themeFill="background1" w:themeFillShade="F2"/>
            <w:noWrap/>
            <w:hideMark/>
          </w:tcPr>
          <w:p w14:paraId="6B3FFE2F"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w:t>
            </w:r>
            <w:r w:rsidRPr="00166DB1">
              <w:rPr>
                <w:lang w:eastAsia="en-AU"/>
              </w:rPr>
              <w:t xml:space="preserve">683.61 </w:t>
            </w:r>
          </w:p>
        </w:tc>
        <w:tc>
          <w:tcPr>
            <w:tcW w:w="686" w:type="pct"/>
            <w:shd w:val="clear" w:color="auto" w:fill="F2F2F2" w:themeFill="background1" w:themeFillShade="F2"/>
            <w:noWrap/>
            <w:hideMark/>
          </w:tcPr>
          <w:p w14:paraId="11074CB6"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w:t>
            </w:r>
            <w:r w:rsidRPr="00166DB1">
              <w:rPr>
                <w:lang w:eastAsia="en-AU"/>
              </w:rPr>
              <w:t xml:space="preserve">3,345.59 </w:t>
            </w:r>
          </w:p>
        </w:tc>
        <w:tc>
          <w:tcPr>
            <w:tcW w:w="712" w:type="pct"/>
            <w:shd w:val="clear" w:color="auto" w:fill="F2F2F2" w:themeFill="background1" w:themeFillShade="F2"/>
            <w:noWrap/>
            <w:hideMark/>
          </w:tcPr>
          <w:p w14:paraId="60168A80"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w:t>
            </w:r>
            <w:r w:rsidRPr="00166DB1">
              <w:rPr>
                <w:lang w:eastAsia="en-AU"/>
              </w:rPr>
              <w:t xml:space="preserve">165,814.38 </w:t>
            </w:r>
          </w:p>
        </w:tc>
        <w:tc>
          <w:tcPr>
            <w:tcW w:w="474" w:type="pct"/>
            <w:shd w:val="clear" w:color="auto" w:fill="F2F2F2" w:themeFill="background1" w:themeFillShade="F2"/>
            <w:noWrap/>
            <w:hideMark/>
          </w:tcPr>
          <w:p w14:paraId="5BCC4D08"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3.0%</w:t>
            </w:r>
          </w:p>
        </w:tc>
      </w:tr>
      <w:tr w:rsidR="003E51C4" w:rsidRPr="003E51C4" w14:paraId="12F8152F" w14:textId="77777777" w:rsidTr="00E45E42">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7"/>
            <w:shd w:val="clear" w:color="auto" w:fill="BFBFBF" w:themeFill="background1" w:themeFillShade="BF"/>
            <w:noWrap/>
            <w:hideMark/>
          </w:tcPr>
          <w:p w14:paraId="5FA6898F" w14:textId="77777777" w:rsidR="00166DB1" w:rsidRPr="003E51C4" w:rsidRDefault="00166DB1" w:rsidP="00E45E42">
            <w:pPr>
              <w:pStyle w:val="Tablesubheading1"/>
              <w:rPr>
                <w:color w:val="000000" w:themeColor="text1"/>
                <w:lang w:eastAsia="en-AU"/>
              </w:rPr>
            </w:pPr>
            <w:r w:rsidRPr="003E51C4">
              <w:rPr>
                <w:color w:val="000000" w:themeColor="text1"/>
                <w:lang w:eastAsia="en-AU"/>
              </w:rPr>
              <w:lastRenderedPageBreak/>
              <w:t xml:space="preserve">Programs to enhance access to culturally appropriate services </w:t>
            </w:r>
          </w:p>
        </w:tc>
      </w:tr>
      <w:tr w:rsidR="00166DB1" w:rsidRPr="00166DB1" w14:paraId="3B001906" w14:textId="77777777" w:rsidTr="00E45E42">
        <w:trPr>
          <w:trHeight w:val="600"/>
        </w:trPr>
        <w:tc>
          <w:tcPr>
            <w:cnfStyle w:val="001000000000" w:firstRow="0" w:lastRow="0" w:firstColumn="1" w:lastColumn="0" w:oddVBand="0" w:evenVBand="0" w:oddHBand="0" w:evenHBand="0" w:firstRowFirstColumn="0" w:firstRowLastColumn="0" w:lastRowFirstColumn="0" w:lastRowLastColumn="0"/>
            <w:tcW w:w="1270" w:type="pct"/>
            <w:shd w:val="clear" w:color="auto" w:fill="F2F2F2" w:themeFill="background1" w:themeFillShade="F2"/>
            <w:hideMark/>
          </w:tcPr>
          <w:p w14:paraId="52516492" w14:textId="77777777" w:rsidR="00166DB1" w:rsidRPr="00166DB1" w:rsidRDefault="00166DB1" w:rsidP="00E45E42">
            <w:pPr>
              <w:pStyle w:val="TableCopy"/>
              <w:rPr>
                <w:lang w:eastAsia="en-AU"/>
              </w:rPr>
            </w:pPr>
            <w:r w:rsidRPr="00166DB1">
              <w:rPr>
                <w:lang w:eastAsia="en-AU"/>
              </w:rPr>
              <w:t>Aboriginal and Torres Strait Islander Pharmacy Scholarship Scheme</w:t>
            </w:r>
          </w:p>
        </w:tc>
        <w:tc>
          <w:tcPr>
            <w:tcW w:w="409" w:type="pct"/>
            <w:shd w:val="clear" w:color="auto" w:fill="F2F2F2" w:themeFill="background1" w:themeFillShade="F2"/>
            <w:noWrap/>
            <w:hideMark/>
          </w:tcPr>
          <w:p w14:paraId="178C0D3C"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6.75</w:t>
            </w:r>
          </w:p>
        </w:tc>
        <w:tc>
          <w:tcPr>
            <w:tcW w:w="719" w:type="pct"/>
            <w:shd w:val="clear" w:color="auto" w:fill="F2F2F2" w:themeFill="background1" w:themeFillShade="F2"/>
            <w:noWrap/>
            <w:hideMark/>
          </w:tcPr>
          <w:p w14:paraId="72E46241"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w:t>
            </w:r>
            <w:r w:rsidRPr="00166DB1">
              <w:rPr>
                <w:lang w:eastAsia="en-AU"/>
              </w:rPr>
              <w:t xml:space="preserve">15,000.00 </w:t>
            </w:r>
          </w:p>
        </w:tc>
        <w:tc>
          <w:tcPr>
            <w:tcW w:w="730" w:type="pct"/>
            <w:shd w:val="clear" w:color="auto" w:fill="F2F2F2" w:themeFill="background1" w:themeFillShade="F2"/>
            <w:noWrap/>
            <w:hideMark/>
          </w:tcPr>
          <w:p w14:paraId="3E9A3EF1"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w:t>
            </w:r>
            <w:r w:rsidRPr="00166DB1">
              <w:rPr>
                <w:lang w:eastAsia="en-AU"/>
              </w:rPr>
              <w:t xml:space="preserve">4,098.36 </w:t>
            </w:r>
          </w:p>
        </w:tc>
        <w:tc>
          <w:tcPr>
            <w:tcW w:w="686" w:type="pct"/>
            <w:shd w:val="clear" w:color="auto" w:fill="F2F2F2" w:themeFill="background1" w:themeFillShade="F2"/>
            <w:noWrap/>
            <w:hideMark/>
          </w:tcPr>
          <w:p w14:paraId="3E6D699C"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w:t>
            </w:r>
            <w:r w:rsidRPr="00166DB1">
              <w:rPr>
                <w:lang w:eastAsia="en-AU"/>
              </w:rPr>
              <w:t xml:space="preserve">19,098.36 </w:t>
            </w:r>
          </w:p>
        </w:tc>
        <w:tc>
          <w:tcPr>
            <w:tcW w:w="712" w:type="pct"/>
            <w:shd w:val="clear" w:color="auto" w:fill="F2F2F2" w:themeFill="background1" w:themeFillShade="F2"/>
            <w:noWrap/>
            <w:hideMark/>
          </w:tcPr>
          <w:p w14:paraId="06795925"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w:t>
            </w:r>
            <w:r w:rsidRPr="00166DB1">
              <w:rPr>
                <w:lang w:eastAsia="en-AU"/>
              </w:rPr>
              <w:t xml:space="preserve">129,179.21 </w:t>
            </w:r>
          </w:p>
        </w:tc>
        <w:tc>
          <w:tcPr>
            <w:tcW w:w="474" w:type="pct"/>
            <w:shd w:val="clear" w:color="auto" w:fill="F2F2F2" w:themeFill="background1" w:themeFillShade="F2"/>
            <w:noWrap/>
            <w:hideMark/>
          </w:tcPr>
          <w:p w14:paraId="785DA140"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2.3%</w:t>
            </w:r>
          </w:p>
        </w:tc>
      </w:tr>
      <w:tr w:rsidR="00166DB1" w:rsidRPr="00166DB1" w14:paraId="10D0430C" w14:textId="77777777" w:rsidTr="00E45E42">
        <w:trPr>
          <w:trHeight w:val="615"/>
        </w:trPr>
        <w:tc>
          <w:tcPr>
            <w:cnfStyle w:val="001000000000" w:firstRow="0" w:lastRow="0" w:firstColumn="1" w:lastColumn="0" w:oddVBand="0" w:evenVBand="0" w:oddHBand="0" w:evenHBand="0" w:firstRowFirstColumn="0" w:firstRowLastColumn="0" w:lastRowFirstColumn="0" w:lastRowLastColumn="0"/>
            <w:tcW w:w="1270" w:type="pct"/>
            <w:shd w:val="clear" w:color="auto" w:fill="F2F2F2" w:themeFill="background1" w:themeFillShade="F2"/>
            <w:hideMark/>
          </w:tcPr>
          <w:p w14:paraId="0DCCCFED" w14:textId="77777777" w:rsidR="00166DB1" w:rsidRPr="00166DB1" w:rsidRDefault="00166DB1" w:rsidP="00E45E42">
            <w:pPr>
              <w:pStyle w:val="TableCopy"/>
              <w:rPr>
                <w:lang w:eastAsia="en-AU"/>
              </w:rPr>
            </w:pPr>
            <w:r w:rsidRPr="00166DB1">
              <w:rPr>
                <w:lang w:eastAsia="en-AU"/>
              </w:rPr>
              <w:t>Aboriginal and Torres Strait Islander Pharmacy Assistant Traineeship Scheme</w:t>
            </w:r>
          </w:p>
        </w:tc>
        <w:tc>
          <w:tcPr>
            <w:tcW w:w="409" w:type="pct"/>
            <w:shd w:val="clear" w:color="auto" w:fill="F2F2F2" w:themeFill="background1" w:themeFillShade="F2"/>
            <w:noWrap/>
            <w:hideMark/>
          </w:tcPr>
          <w:p w14:paraId="05517B49"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13</w:t>
            </w:r>
          </w:p>
        </w:tc>
        <w:tc>
          <w:tcPr>
            <w:tcW w:w="719" w:type="pct"/>
            <w:shd w:val="clear" w:color="auto" w:fill="F2F2F2" w:themeFill="background1" w:themeFillShade="F2"/>
            <w:noWrap/>
            <w:hideMark/>
          </w:tcPr>
          <w:p w14:paraId="21F35E3D"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w:t>
            </w:r>
            <w:r w:rsidRPr="00166DB1">
              <w:rPr>
                <w:lang w:eastAsia="en-AU"/>
              </w:rPr>
              <w:t xml:space="preserve">10,000.00 </w:t>
            </w:r>
          </w:p>
        </w:tc>
        <w:tc>
          <w:tcPr>
            <w:tcW w:w="730" w:type="pct"/>
            <w:shd w:val="clear" w:color="auto" w:fill="F2F2F2" w:themeFill="background1" w:themeFillShade="F2"/>
            <w:noWrap/>
            <w:hideMark/>
          </w:tcPr>
          <w:p w14:paraId="1072FEEA"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w:t>
            </w:r>
            <w:r w:rsidRPr="00166DB1">
              <w:rPr>
                <w:lang w:eastAsia="en-AU"/>
              </w:rPr>
              <w:t xml:space="preserve">4,098.36 </w:t>
            </w:r>
          </w:p>
        </w:tc>
        <w:tc>
          <w:tcPr>
            <w:tcW w:w="686" w:type="pct"/>
            <w:shd w:val="clear" w:color="auto" w:fill="F2F2F2" w:themeFill="background1" w:themeFillShade="F2"/>
            <w:noWrap/>
            <w:hideMark/>
          </w:tcPr>
          <w:p w14:paraId="26AA05B1"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w:t>
            </w:r>
            <w:r w:rsidRPr="00166DB1">
              <w:rPr>
                <w:lang w:eastAsia="en-AU"/>
              </w:rPr>
              <w:t xml:space="preserve">14,098.36 </w:t>
            </w:r>
          </w:p>
        </w:tc>
        <w:tc>
          <w:tcPr>
            <w:tcW w:w="712" w:type="pct"/>
            <w:shd w:val="clear" w:color="auto" w:fill="F2F2F2" w:themeFill="background1" w:themeFillShade="F2"/>
            <w:noWrap/>
            <w:hideMark/>
          </w:tcPr>
          <w:p w14:paraId="63A910FE"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rFonts w:ascii="Times New Roman" w:hAnsi="Times New Roman"/>
                <w:lang w:eastAsia="en-AU"/>
              </w:rPr>
              <w:t>$</w:t>
            </w:r>
            <w:r w:rsidRPr="00166DB1">
              <w:rPr>
                <w:lang w:eastAsia="en-AU"/>
              </w:rPr>
              <w:t xml:space="preserve">177,972.79 </w:t>
            </w:r>
          </w:p>
        </w:tc>
        <w:tc>
          <w:tcPr>
            <w:tcW w:w="474" w:type="pct"/>
            <w:shd w:val="clear" w:color="auto" w:fill="F2F2F2" w:themeFill="background1" w:themeFillShade="F2"/>
            <w:noWrap/>
            <w:hideMark/>
          </w:tcPr>
          <w:p w14:paraId="67FDDB3B" w14:textId="77777777" w:rsidR="00166DB1" w:rsidRPr="00166DB1" w:rsidRDefault="00166DB1" w:rsidP="00E45E42">
            <w:pPr>
              <w:pStyle w:val="TableCopy"/>
              <w:jc w:val="right"/>
              <w:cnfStyle w:val="000000000000" w:firstRow="0" w:lastRow="0" w:firstColumn="0" w:lastColumn="0" w:oddVBand="0" w:evenVBand="0" w:oddHBand="0" w:evenHBand="0" w:firstRowFirstColumn="0" w:firstRowLastColumn="0" w:lastRowFirstColumn="0" w:lastRowLastColumn="0"/>
              <w:rPr>
                <w:lang w:eastAsia="en-AU"/>
              </w:rPr>
            </w:pPr>
            <w:r w:rsidRPr="00166DB1">
              <w:rPr>
                <w:lang w:eastAsia="en-AU"/>
              </w:rPr>
              <w:t>3.2%</w:t>
            </w:r>
          </w:p>
        </w:tc>
      </w:tr>
      <w:tr w:rsidR="00E45E42" w:rsidRPr="00E45E42" w14:paraId="55341280" w14:textId="77777777" w:rsidTr="00E45E42">
        <w:trPr>
          <w:trHeight w:val="300"/>
        </w:trPr>
        <w:tc>
          <w:tcPr>
            <w:cnfStyle w:val="001000000000" w:firstRow="0" w:lastRow="0" w:firstColumn="1" w:lastColumn="0" w:oddVBand="0" w:evenVBand="0" w:oddHBand="0" w:evenHBand="0" w:firstRowFirstColumn="0" w:firstRowLastColumn="0" w:lastRowFirstColumn="0" w:lastRowLastColumn="0"/>
            <w:tcW w:w="3814" w:type="pct"/>
            <w:gridSpan w:val="5"/>
            <w:shd w:val="clear" w:color="auto" w:fill="F2F2F2" w:themeFill="background1" w:themeFillShade="F2"/>
            <w:hideMark/>
          </w:tcPr>
          <w:p w14:paraId="20A8EA52" w14:textId="77777777" w:rsidR="00166DB1" w:rsidRPr="00E45E42" w:rsidRDefault="00166DB1" w:rsidP="00E45E42">
            <w:pPr>
              <w:pStyle w:val="TableCopy"/>
              <w:rPr>
                <w:lang w:eastAsia="en-AU"/>
              </w:rPr>
            </w:pPr>
            <w:r w:rsidRPr="00E45E42">
              <w:rPr>
                <w:lang w:eastAsia="en-AU"/>
              </w:rPr>
              <w:t xml:space="preserve">Total Program investment </w:t>
            </w:r>
          </w:p>
        </w:tc>
        <w:tc>
          <w:tcPr>
            <w:tcW w:w="712" w:type="pct"/>
            <w:shd w:val="clear" w:color="auto" w:fill="F2F2F2" w:themeFill="background1" w:themeFillShade="F2"/>
            <w:noWrap/>
            <w:hideMark/>
          </w:tcPr>
          <w:p w14:paraId="0B31FFCB"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E45E42">
              <w:rPr>
                <w:lang w:eastAsia="en-AU"/>
              </w:rPr>
              <w:t xml:space="preserve">$5,596,568.32 </w:t>
            </w:r>
          </w:p>
        </w:tc>
        <w:tc>
          <w:tcPr>
            <w:tcW w:w="474" w:type="pct"/>
            <w:shd w:val="clear" w:color="auto" w:fill="F2F2F2" w:themeFill="background1" w:themeFillShade="F2"/>
            <w:noWrap/>
            <w:hideMark/>
          </w:tcPr>
          <w:p w14:paraId="182EC479"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lang w:eastAsia="en-AU"/>
              </w:rPr>
            </w:pPr>
            <w:r w:rsidRPr="00E45E42">
              <w:rPr>
                <w:lang w:eastAsia="en-AU"/>
              </w:rPr>
              <w:t>100.0%</w:t>
            </w:r>
          </w:p>
        </w:tc>
      </w:tr>
    </w:tbl>
    <w:p w14:paraId="49B68959" w14:textId="77777777" w:rsidR="00166DB1" w:rsidRPr="00166DB1" w:rsidRDefault="00166DB1" w:rsidP="00BF753C">
      <w:pPr>
        <w:pStyle w:val="TableNotes"/>
        <w:rPr>
          <w:lang w:eastAsia="en-AU"/>
        </w:rPr>
      </w:pPr>
      <w:r w:rsidRPr="00166DB1">
        <w:rPr>
          <w:lang w:eastAsia="en-AU"/>
        </w:rPr>
        <w:t>*Volume for scholarships and mentorship is based on the number of active scholarships per year (not the annual intake)</w:t>
      </w:r>
    </w:p>
    <w:p w14:paraId="7ABFF4CB" w14:textId="77777777" w:rsidR="00166DB1" w:rsidRPr="00166DB1" w:rsidRDefault="00166DB1" w:rsidP="00BF753C">
      <w:pPr>
        <w:pStyle w:val="TableNotes"/>
        <w:rPr>
          <w:lang w:eastAsia="en-AU"/>
        </w:rPr>
      </w:pPr>
      <w:r w:rsidRPr="00166DB1">
        <w:rPr>
          <w:lang w:eastAsia="en-AU"/>
        </w:rPr>
        <w:t xml:space="preserve">^Volume for RPLO is the number of student placements (in brackets is the number of officers) </w:t>
      </w:r>
    </w:p>
    <w:p w14:paraId="311F0B4E" w14:textId="77777777" w:rsidR="00166DB1" w:rsidRPr="00166DB1" w:rsidRDefault="00166DB1" w:rsidP="00BF753C">
      <w:pPr>
        <w:pStyle w:val="TableNotes"/>
        <w:rPr>
          <w:lang w:eastAsia="en-AU"/>
        </w:rPr>
      </w:pPr>
      <w:r w:rsidRPr="00166DB1">
        <w:rPr>
          <w:lang w:eastAsia="en-AU"/>
        </w:rPr>
        <w:t>#Volume is the number of student placements (in brackets is the number of Universities)</w:t>
      </w:r>
    </w:p>
    <w:p w14:paraId="0F01770C" w14:textId="77777777" w:rsidR="00166DB1" w:rsidRPr="00166DB1" w:rsidRDefault="00166DB1" w:rsidP="00166DB1">
      <w:pPr>
        <w:spacing w:before="85" w:after="85"/>
        <w:rPr>
          <w:rFonts w:ascii="Garamond" w:eastAsia="Garamond" w:hAnsi="Garamond"/>
          <w:color w:val="000000"/>
        </w:rPr>
      </w:pPr>
    </w:p>
    <w:p w14:paraId="4640B451" w14:textId="77777777" w:rsidR="00166DB1" w:rsidRPr="00166DB1" w:rsidRDefault="00166DB1" w:rsidP="00166DB1">
      <w:pPr>
        <w:spacing w:before="85" w:after="85"/>
        <w:rPr>
          <w:rFonts w:ascii="Garamond" w:eastAsia="Garamond" w:hAnsi="Garamond"/>
          <w:color w:val="000000"/>
        </w:rPr>
        <w:sectPr w:rsidR="00166DB1" w:rsidRPr="00166DB1" w:rsidSect="00720069">
          <w:pgSz w:w="16839" w:h="11907" w:orient="landscape" w:code="9"/>
          <w:pgMar w:top="2268" w:right="1304" w:bottom="850" w:left="737" w:header="567" w:footer="284" w:gutter="0"/>
          <w:cols w:space="709"/>
          <w:docGrid w:linePitch="360"/>
        </w:sectPr>
      </w:pPr>
    </w:p>
    <w:p w14:paraId="3B5260AA" w14:textId="6A8721E0" w:rsidR="00166DB1" w:rsidRPr="00166DB1" w:rsidRDefault="00166DB1" w:rsidP="004F0F6F">
      <w:pPr>
        <w:pStyle w:val="HeadingAppendix2"/>
      </w:pPr>
      <w:bookmarkStart w:id="151" w:name="_Ref488303652"/>
      <w:bookmarkStart w:id="152" w:name="_Toc490574961"/>
      <w:bookmarkStart w:id="153" w:name="_Toc523322093"/>
      <w:r w:rsidRPr="00166DB1">
        <w:lastRenderedPageBreak/>
        <w:t>Rank correlation analysis scores</w:t>
      </w:r>
      <w:bookmarkEnd w:id="151"/>
      <w:bookmarkEnd w:id="152"/>
      <w:bookmarkEnd w:id="153"/>
    </w:p>
    <w:p w14:paraId="62534068" w14:textId="77777777" w:rsidR="00166DB1" w:rsidRPr="00166DB1" w:rsidRDefault="00166DB1" w:rsidP="00166DB1">
      <w:pPr>
        <w:rPr>
          <w:rFonts w:ascii="Garamond" w:eastAsia="Garamond" w:hAnsi="Garamond"/>
          <w:color w:val="000000"/>
        </w:rPr>
      </w:pPr>
      <w:r w:rsidRPr="00166DB1">
        <w:rPr>
          <w:rFonts w:ascii="Garamond" w:eastAsia="Garamond" w:hAnsi="Garamond"/>
          <w:color w:val="000000"/>
        </w:rPr>
        <w:t xml:space="preserve">Rank correlation is an evaluation technique used to compare the value for money of activities with different objectives. Pharmacists consulted as part of the evaluation process during case study visits were asked to rank the Pharmacy Workforce Programs according to their personal assessment of effectiveness. </w:t>
      </w:r>
    </w:p>
    <w:p w14:paraId="2EDAD024" w14:textId="77777777" w:rsidR="00166DB1" w:rsidRPr="00166DB1" w:rsidRDefault="00166DB1" w:rsidP="00166DB1">
      <w:pPr>
        <w:rPr>
          <w:rFonts w:ascii="Garamond" w:eastAsia="Garamond" w:hAnsi="Garamond"/>
          <w:color w:val="000000"/>
        </w:rPr>
      </w:pPr>
      <w:r w:rsidRPr="00166DB1">
        <w:rPr>
          <w:rFonts w:ascii="Garamond" w:eastAsia="Garamond" w:hAnsi="Garamond"/>
          <w:color w:val="000000"/>
        </w:rPr>
        <w:t xml:space="preserve">The scores the community pharmacists were asked to apply a score to perceived value of the unit cost of each of the 12 programs on a Likert scale with a range of 1 to 5, where a score of 1 = </w:t>
      </w:r>
      <w:r w:rsidRPr="00166DB1">
        <w:rPr>
          <w:rFonts w:ascii="Garamond" w:eastAsia="Garamond" w:hAnsi="Garamond"/>
          <w:i/>
          <w:color w:val="000000"/>
        </w:rPr>
        <w:t>not effective</w:t>
      </w:r>
      <w:r w:rsidRPr="00166DB1">
        <w:rPr>
          <w:rFonts w:ascii="Garamond" w:eastAsia="Garamond" w:hAnsi="Garamond"/>
          <w:color w:val="000000"/>
        </w:rPr>
        <w:t xml:space="preserve"> and 5 = </w:t>
      </w:r>
      <w:r w:rsidRPr="00166DB1">
        <w:rPr>
          <w:rFonts w:ascii="Garamond" w:eastAsia="Garamond" w:hAnsi="Garamond"/>
          <w:i/>
          <w:color w:val="000000"/>
        </w:rPr>
        <w:t>extremely effective</w:t>
      </w:r>
      <w:r w:rsidRPr="00166DB1">
        <w:rPr>
          <w:rFonts w:ascii="Garamond" w:eastAsia="Garamond" w:hAnsi="Garamond"/>
          <w:color w:val="000000"/>
        </w:rPr>
        <w:t xml:space="preserve">. </w:t>
      </w:r>
    </w:p>
    <w:p w14:paraId="1B6FC04F" w14:textId="77777777" w:rsidR="00166DB1" w:rsidRPr="00166DB1" w:rsidRDefault="00166DB1" w:rsidP="00166DB1">
      <w:pPr>
        <w:rPr>
          <w:rFonts w:ascii="Garamond" w:eastAsia="Garamond" w:hAnsi="Garamond"/>
          <w:color w:val="000000"/>
        </w:rPr>
      </w:pPr>
      <w:r w:rsidRPr="00166DB1">
        <w:rPr>
          <w:rFonts w:ascii="Garamond" w:eastAsia="Garamond" w:hAnsi="Garamond"/>
          <w:color w:val="000000"/>
        </w:rPr>
        <w:t>There was a total of 28 respondents. The following table presents individual pharmacists’ score of the perceived value, and the combined total scores. This shows that pharmacists considered the Intern Incentive Allowance for Rural Pharmacies, the Continuing Professional Education Allowance and the Rural Pharmacy Liaison Officer Program to be the highest value for money programs.</w:t>
      </w:r>
    </w:p>
    <w:p w14:paraId="29315843" w14:textId="76E02F76" w:rsidR="00166DB1" w:rsidRPr="00166DB1" w:rsidRDefault="00BF753C" w:rsidP="00BF753C">
      <w:pPr>
        <w:pStyle w:val="Tableheading"/>
      </w:pPr>
      <w:r>
        <w:t>S</w:t>
      </w:r>
      <w:r w:rsidRPr="00166DB1">
        <w:t>cores for rank correlation analysis</w:t>
      </w:r>
    </w:p>
    <w:tbl>
      <w:tblPr>
        <w:tblStyle w:val="HMATable"/>
        <w:tblW w:w="4979" w:type="pct"/>
        <w:tblInd w:w="10" w:type="dxa"/>
        <w:shd w:val="clear" w:color="auto" w:fill="F2F2F2" w:themeFill="background1" w:themeFillShade="F2"/>
        <w:tblLayout w:type="fixed"/>
        <w:tblLook w:val="04A0" w:firstRow="1" w:lastRow="0" w:firstColumn="1" w:lastColumn="0" w:noHBand="0" w:noVBand="1"/>
        <w:tblCaption w:val="Scores for rank correlation analysis"/>
        <w:tblDescription w:val="Table: Scores for rank correlation analysis comparing programs with respondent scores."/>
      </w:tblPr>
      <w:tblGrid>
        <w:gridCol w:w="1925"/>
        <w:gridCol w:w="435"/>
        <w:gridCol w:w="435"/>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68"/>
        <w:gridCol w:w="563"/>
      </w:tblGrid>
      <w:tr w:rsidR="00166DB1" w:rsidRPr="00166DB1" w14:paraId="08A821D0" w14:textId="77777777" w:rsidTr="0054671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54" w:type="pct"/>
            <w:shd w:val="clear" w:color="auto" w:fill="F2F2F2" w:themeFill="background1" w:themeFillShade="F2"/>
          </w:tcPr>
          <w:p w14:paraId="6513D9B4" w14:textId="77777777" w:rsidR="00166DB1" w:rsidRPr="00166DB1" w:rsidRDefault="00166DB1" w:rsidP="00E45E42">
            <w:pPr>
              <w:pStyle w:val="TableColumnHeading"/>
            </w:pPr>
            <w:r w:rsidRPr="00166DB1">
              <w:t>Program</w:t>
            </w:r>
          </w:p>
        </w:tc>
        <w:tc>
          <w:tcPr>
            <w:tcW w:w="4155" w:type="pct"/>
            <w:gridSpan w:val="28"/>
            <w:shd w:val="clear" w:color="auto" w:fill="F2F2F2" w:themeFill="background1" w:themeFillShade="F2"/>
          </w:tcPr>
          <w:p w14:paraId="4593C6A7" w14:textId="77777777" w:rsidR="00166DB1" w:rsidRPr="00166DB1" w:rsidRDefault="00166DB1" w:rsidP="00E45E42">
            <w:pPr>
              <w:pStyle w:val="TableColumnHeading"/>
              <w:cnfStyle w:val="100000000000" w:firstRow="1" w:lastRow="0" w:firstColumn="0" w:lastColumn="0" w:oddVBand="0" w:evenVBand="0" w:oddHBand="0" w:evenHBand="0" w:firstRowFirstColumn="0" w:firstRowLastColumn="0" w:lastRowFirstColumn="0" w:lastRowLastColumn="0"/>
              <w:rPr>
                <w:rFonts w:eastAsia="Garamond"/>
                <w:sz w:val="18"/>
              </w:rPr>
            </w:pPr>
            <w:r w:rsidRPr="00166DB1">
              <w:rPr>
                <w:rFonts w:eastAsia="Garamond"/>
                <w:sz w:val="18"/>
              </w:rPr>
              <w:t>Respondent scores</w:t>
            </w:r>
          </w:p>
        </w:tc>
        <w:tc>
          <w:tcPr>
            <w:tcW w:w="192" w:type="pct"/>
            <w:shd w:val="clear" w:color="auto" w:fill="F2F2F2" w:themeFill="background1" w:themeFillShade="F2"/>
          </w:tcPr>
          <w:p w14:paraId="5138BC99" w14:textId="77777777" w:rsidR="00166DB1" w:rsidRPr="00166DB1" w:rsidRDefault="00166DB1" w:rsidP="00E45E42">
            <w:pPr>
              <w:pStyle w:val="TableColumnHeading"/>
              <w:cnfStyle w:val="100000000000" w:firstRow="1" w:lastRow="0" w:firstColumn="0" w:lastColumn="0" w:oddVBand="0" w:evenVBand="0" w:oddHBand="0" w:evenHBand="0" w:firstRowFirstColumn="0" w:firstRowLastColumn="0" w:lastRowFirstColumn="0" w:lastRowLastColumn="0"/>
              <w:rPr>
                <w:b/>
              </w:rPr>
            </w:pPr>
            <w:r w:rsidRPr="00166DB1">
              <w:rPr>
                <w:b/>
              </w:rPr>
              <w:t>Total</w:t>
            </w:r>
          </w:p>
        </w:tc>
      </w:tr>
      <w:tr w:rsidR="00C72515" w:rsidRPr="00E45E42" w14:paraId="504BCA9F" w14:textId="77777777" w:rsidTr="00546711">
        <w:tc>
          <w:tcPr>
            <w:cnfStyle w:val="001000000000" w:firstRow="0" w:lastRow="0" w:firstColumn="1" w:lastColumn="0" w:oddVBand="0" w:evenVBand="0" w:oddHBand="0" w:evenHBand="0" w:firstRowFirstColumn="0" w:firstRowLastColumn="0" w:lastRowFirstColumn="0" w:lastRowLastColumn="0"/>
            <w:tcW w:w="654" w:type="pct"/>
            <w:shd w:val="clear" w:color="auto" w:fill="F2F2F2" w:themeFill="background1" w:themeFillShade="F2"/>
          </w:tcPr>
          <w:p w14:paraId="3525CF14" w14:textId="77777777" w:rsidR="00166DB1" w:rsidRPr="00E45E42" w:rsidRDefault="00166DB1" w:rsidP="00E45E42">
            <w:pPr>
              <w:pStyle w:val="TableCopy"/>
              <w:rPr>
                <w:sz w:val="14"/>
              </w:rPr>
            </w:pPr>
            <w:r w:rsidRPr="00E45E42">
              <w:rPr>
                <w:sz w:val="14"/>
              </w:rPr>
              <w:t>Intern Incentive Allowance for Rural Pharmacies</w:t>
            </w:r>
          </w:p>
        </w:tc>
        <w:tc>
          <w:tcPr>
            <w:tcW w:w="148" w:type="pct"/>
            <w:shd w:val="clear" w:color="auto" w:fill="F2F2F2" w:themeFill="background1" w:themeFillShade="F2"/>
          </w:tcPr>
          <w:p w14:paraId="0685F3AF"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5BE223A4"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0D7E24B8"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3B536E07"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3</w:t>
            </w:r>
          </w:p>
        </w:tc>
        <w:tc>
          <w:tcPr>
            <w:tcW w:w="148" w:type="pct"/>
            <w:shd w:val="clear" w:color="auto" w:fill="F2F2F2" w:themeFill="background1" w:themeFillShade="F2"/>
          </w:tcPr>
          <w:p w14:paraId="0AB0CB74"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3B79CA80"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48" w:type="pct"/>
            <w:shd w:val="clear" w:color="auto" w:fill="F2F2F2" w:themeFill="background1" w:themeFillShade="F2"/>
          </w:tcPr>
          <w:p w14:paraId="4A5A7487"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3</w:t>
            </w:r>
          </w:p>
        </w:tc>
        <w:tc>
          <w:tcPr>
            <w:tcW w:w="148" w:type="pct"/>
            <w:shd w:val="clear" w:color="auto" w:fill="F2F2F2" w:themeFill="background1" w:themeFillShade="F2"/>
          </w:tcPr>
          <w:p w14:paraId="0B354BB1"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48" w:type="pct"/>
            <w:shd w:val="clear" w:color="auto" w:fill="F2F2F2" w:themeFill="background1" w:themeFillShade="F2"/>
          </w:tcPr>
          <w:p w14:paraId="16A58751"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48" w:type="pct"/>
            <w:shd w:val="clear" w:color="auto" w:fill="F2F2F2" w:themeFill="background1" w:themeFillShade="F2"/>
          </w:tcPr>
          <w:p w14:paraId="6744E2E0"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58C08AE8"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6D9DD6D2"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5B472FBF"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3</w:t>
            </w:r>
          </w:p>
        </w:tc>
        <w:tc>
          <w:tcPr>
            <w:tcW w:w="148" w:type="pct"/>
            <w:shd w:val="clear" w:color="auto" w:fill="F2F2F2" w:themeFill="background1" w:themeFillShade="F2"/>
          </w:tcPr>
          <w:p w14:paraId="54FF9D29"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2</w:t>
            </w:r>
          </w:p>
        </w:tc>
        <w:tc>
          <w:tcPr>
            <w:tcW w:w="148" w:type="pct"/>
            <w:shd w:val="clear" w:color="auto" w:fill="F2F2F2" w:themeFill="background1" w:themeFillShade="F2"/>
          </w:tcPr>
          <w:p w14:paraId="6D3D0183"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586FF3B4"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48" w:type="pct"/>
            <w:shd w:val="clear" w:color="auto" w:fill="F2F2F2" w:themeFill="background1" w:themeFillShade="F2"/>
          </w:tcPr>
          <w:p w14:paraId="59E516A2"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44A22150"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3</w:t>
            </w:r>
          </w:p>
        </w:tc>
        <w:tc>
          <w:tcPr>
            <w:tcW w:w="148" w:type="pct"/>
            <w:shd w:val="clear" w:color="auto" w:fill="F2F2F2" w:themeFill="background1" w:themeFillShade="F2"/>
          </w:tcPr>
          <w:p w14:paraId="1AE4D973"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5876CD05"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60A41427"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2</w:t>
            </w:r>
          </w:p>
        </w:tc>
        <w:tc>
          <w:tcPr>
            <w:tcW w:w="148" w:type="pct"/>
            <w:shd w:val="clear" w:color="auto" w:fill="F2F2F2" w:themeFill="background1" w:themeFillShade="F2"/>
          </w:tcPr>
          <w:p w14:paraId="11A6061F"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48" w:type="pct"/>
            <w:shd w:val="clear" w:color="auto" w:fill="F2F2F2" w:themeFill="background1" w:themeFillShade="F2"/>
          </w:tcPr>
          <w:p w14:paraId="29458098"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48" w:type="pct"/>
            <w:shd w:val="clear" w:color="auto" w:fill="F2F2F2" w:themeFill="background1" w:themeFillShade="F2"/>
          </w:tcPr>
          <w:p w14:paraId="6A631CEF"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48" w:type="pct"/>
            <w:shd w:val="clear" w:color="auto" w:fill="F2F2F2" w:themeFill="background1" w:themeFillShade="F2"/>
          </w:tcPr>
          <w:p w14:paraId="7759F53B"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48" w:type="pct"/>
            <w:shd w:val="clear" w:color="auto" w:fill="F2F2F2" w:themeFill="background1" w:themeFillShade="F2"/>
          </w:tcPr>
          <w:p w14:paraId="5121D4AA"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3</w:t>
            </w:r>
          </w:p>
        </w:tc>
        <w:tc>
          <w:tcPr>
            <w:tcW w:w="148" w:type="pct"/>
            <w:shd w:val="clear" w:color="auto" w:fill="F2F2F2" w:themeFill="background1" w:themeFillShade="F2"/>
          </w:tcPr>
          <w:p w14:paraId="19E85DE5"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0266CF65"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3</w:t>
            </w:r>
          </w:p>
        </w:tc>
        <w:tc>
          <w:tcPr>
            <w:tcW w:w="192" w:type="pct"/>
            <w:shd w:val="clear" w:color="auto" w:fill="F2F2F2" w:themeFill="background1" w:themeFillShade="F2"/>
          </w:tcPr>
          <w:p w14:paraId="3D2F07D2"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109</w:t>
            </w:r>
          </w:p>
        </w:tc>
      </w:tr>
      <w:tr w:rsidR="00C72515" w:rsidRPr="00E45E42" w14:paraId="1C679DE5" w14:textId="77777777" w:rsidTr="00546711">
        <w:tc>
          <w:tcPr>
            <w:cnfStyle w:val="001000000000" w:firstRow="0" w:lastRow="0" w:firstColumn="1" w:lastColumn="0" w:oddVBand="0" w:evenVBand="0" w:oddHBand="0" w:evenHBand="0" w:firstRowFirstColumn="0" w:firstRowLastColumn="0" w:lastRowFirstColumn="0" w:lastRowLastColumn="0"/>
            <w:tcW w:w="654" w:type="pct"/>
            <w:shd w:val="clear" w:color="auto" w:fill="F2F2F2" w:themeFill="background1" w:themeFillShade="F2"/>
          </w:tcPr>
          <w:p w14:paraId="06A9239C" w14:textId="77777777" w:rsidR="00166DB1" w:rsidRPr="00E45E42" w:rsidRDefault="00166DB1" w:rsidP="00E45E42">
            <w:pPr>
              <w:pStyle w:val="TableCopy"/>
              <w:rPr>
                <w:sz w:val="14"/>
              </w:rPr>
            </w:pPr>
            <w:r w:rsidRPr="00E45E42">
              <w:rPr>
                <w:sz w:val="14"/>
              </w:rPr>
              <w:t>Continuing Professional Education Allowance</w:t>
            </w:r>
          </w:p>
        </w:tc>
        <w:tc>
          <w:tcPr>
            <w:tcW w:w="148" w:type="pct"/>
            <w:shd w:val="clear" w:color="auto" w:fill="F2F2F2" w:themeFill="background1" w:themeFillShade="F2"/>
          </w:tcPr>
          <w:p w14:paraId="21C7D617"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0A6CEF99"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10307FC0"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48" w:type="pct"/>
            <w:shd w:val="clear" w:color="auto" w:fill="F2F2F2" w:themeFill="background1" w:themeFillShade="F2"/>
          </w:tcPr>
          <w:p w14:paraId="2FA1A0F3"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48" w:type="pct"/>
            <w:shd w:val="clear" w:color="auto" w:fill="F2F2F2" w:themeFill="background1" w:themeFillShade="F2"/>
          </w:tcPr>
          <w:p w14:paraId="66A84698"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60A91786"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51F85582"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3EF5304C"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48" w:type="pct"/>
            <w:shd w:val="clear" w:color="auto" w:fill="F2F2F2" w:themeFill="background1" w:themeFillShade="F2"/>
          </w:tcPr>
          <w:p w14:paraId="5F4AA5CE"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4DC7B3A4"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01437253"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2</w:t>
            </w:r>
          </w:p>
        </w:tc>
        <w:tc>
          <w:tcPr>
            <w:tcW w:w="148" w:type="pct"/>
            <w:shd w:val="clear" w:color="auto" w:fill="F2F2F2" w:themeFill="background1" w:themeFillShade="F2"/>
          </w:tcPr>
          <w:p w14:paraId="1385822B"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03DF5EF4"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3</w:t>
            </w:r>
          </w:p>
        </w:tc>
        <w:tc>
          <w:tcPr>
            <w:tcW w:w="148" w:type="pct"/>
            <w:shd w:val="clear" w:color="auto" w:fill="F2F2F2" w:themeFill="background1" w:themeFillShade="F2"/>
          </w:tcPr>
          <w:p w14:paraId="2B4A5F84"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2</w:t>
            </w:r>
          </w:p>
        </w:tc>
        <w:tc>
          <w:tcPr>
            <w:tcW w:w="148" w:type="pct"/>
            <w:shd w:val="clear" w:color="auto" w:fill="F2F2F2" w:themeFill="background1" w:themeFillShade="F2"/>
          </w:tcPr>
          <w:p w14:paraId="5F3F14DE"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2</w:t>
            </w:r>
          </w:p>
        </w:tc>
        <w:tc>
          <w:tcPr>
            <w:tcW w:w="148" w:type="pct"/>
            <w:shd w:val="clear" w:color="auto" w:fill="F2F2F2" w:themeFill="background1" w:themeFillShade="F2"/>
          </w:tcPr>
          <w:p w14:paraId="12107CE7"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1D946976"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619E888A"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2</w:t>
            </w:r>
          </w:p>
        </w:tc>
        <w:tc>
          <w:tcPr>
            <w:tcW w:w="148" w:type="pct"/>
            <w:shd w:val="clear" w:color="auto" w:fill="F2F2F2" w:themeFill="background1" w:themeFillShade="F2"/>
          </w:tcPr>
          <w:p w14:paraId="19E90A93"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1C476738"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7A4FA38F"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3</w:t>
            </w:r>
          </w:p>
        </w:tc>
        <w:tc>
          <w:tcPr>
            <w:tcW w:w="148" w:type="pct"/>
            <w:shd w:val="clear" w:color="auto" w:fill="F2F2F2" w:themeFill="background1" w:themeFillShade="F2"/>
          </w:tcPr>
          <w:p w14:paraId="5C42AB72"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48" w:type="pct"/>
            <w:shd w:val="clear" w:color="auto" w:fill="F2F2F2" w:themeFill="background1" w:themeFillShade="F2"/>
          </w:tcPr>
          <w:p w14:paraId="04B8100E"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244CA22F"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3</w:t>
            </w:r>
          </w:p>
        </w:tc>
        <w:tc>
          <w:tcPr>
            <w:tcW w:w="148" w:type="pct"/>
            <w:shd w:val="clear" w:color="auto" w:fill="F2F2F2" w:themeFill="background1" w:themeFillShade="F2"/>
          </w:tcPr>
          <w:p w14:paraId="2AF6A849"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3</w:t>
            </w:r>
          </w:p>
        </w:tc>
        <w:tc>
          <w:tcPr>
            <w:tcW w:w="148" w:type="pct"/>
            <w:shd w:val="clear" w:color="auto" w:fill="F2F2F2" w:themeFill="background1" w:themeFillShade="F2"/>
          </w:tcPr>
          <w:p w14:paraId="53A2CFBC"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48" w:type="pct"/>
            <w:shd w:val="clear" w:color="auto" w:fill="F2F2F2" w:themeFill="background1" w:themeFillShade="F2"/>
          </w:tcPr>
          <w:p w14:paraId="2808499F"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60FD28EF"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92" w:type="pct"/>
            <w:shd w:val="clear" w:color="auto" w:fill="F2F2F2" w:themeFill="background1" w:themeFillShade="F2"/>
          </w:tcPr>
          <w:p w14:paraId="6B18404C"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109</w:t>
            </w:r>
          </w:p>
        </w:tc>
      </w:tr>
      <w:tr w:rsidR="00C72515" w:rsidRPr="00E45E42" w14:paraId="0AEF843C" w14:textId="77777777" w:rsidTr="00546711">
        <w:tc>
          <w:tcPr>
            <w:cnfStyle w:val="001000000000" w:firstRow="0" w:lastRow="0" w:firstColumn="1" w:lastColumn="0" w:oddVBand="0" w:evenVBand="0" w:oddHBand="0" w:evenHBand="0" w:firstRowFirstColumn="0" w:firstRowLastColumn="0" w:lastRowFirstColumn="0" w:lastRowLastColumn="0"/>
            <w:tcW w:w="654" w:type="pct"/>
            <w:shd w:val="clear" w:color="auto" w:fill="F2F2F2" w:themeFill="background1" w:themeFillShade="F2"/>
          </w:tcPr>
          <w:p w14:paraId="4E211E73" w14:textId="77777777" w:rsidR="00166DB1" w:rsidRPr="00E45E42" w:rsidRDefault="00166DB1" w:rsidP="00E45E42">
            <w:pPr>
              <w:pStyle w:val="TableCopy"/>
              <w:rPr>
                <w:sz w:val="14"/>
              </w:rPr>
            </w:pPr>
            <w:r w:rsidRPr="00E45E42">
              <w:rPr>
                <w:sz w:val="14"/>
              </w:rPr>
              <w:t>Rural Pharmacy Liaison Officer Program</w:t>
            </w:r>
          </w:p>
        </w:tc>
        <w:tc>
          <w:tcPr>
            <w:tcW w:w="148" w:type="pct"/>
            <w:shd w:val="clear" w:color="auto" w:fill="F2F2F2" w:themeFill="background1" w:themeFillShade="F2"/>
          </w:tcPr>
          <w:p w14:paraId="679A0DD2"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1C112EA6"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5A37455C"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48" w:type="pct"/>
            <w:shd w:val="clear" w:color="auto" w:fill="F2F2F2" w:themeFill="background1" w:themeFillShade="F2"/>
          </w:tcPr>
          <w:p w14:paraId="156CB6F6"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48" w:type="pct"/>
            <w:shd w:val="clear" w:color="auto" w:fill="F2F2F2" w:themeFill="background1" w:themeFillShade="F2"/>
          </w:tcPr>
          <w:p w14:paraId="06B3BB5C"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3827708B"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5C156035"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3B18B7AE"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3E4B73AA"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48" w:type="pct"/>
            <w:shd w:val="clear" w:color="auto" w:fill="F2F2F2" w:themeFill="background1" w:themeFillShade="F2"/>
          </w:tcPr>
          <w:p w14:paraId="6FA11859"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48" w:type="pct"/>
            <w:shd w:val="clear" w:color="auto" w:fill="F2F2F2" w:themeFill="background1" w:themeFillShade="F2"/>
          </w:tcPr>
          <w:p w14:paraId="122FF523"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54DBFB48"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1643E282"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2</w:t>
            </w:r>
          </w:p>
        </w:tc>
        <w:tc>
          <w:tcPr>
            <w:tcW w:w="148" w:type="pct"/>
            <w:shd w:val="clear" w:color="auto" w:fill="F2F2F2" w:themeFill="background1" w:themeFillShade="F2"/>
          </w:tcPr>
          <w:p w14:paraId="4555578A"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2</w:t>
            </w:r>
          </w:p>
        </w:tc>
        <w:tc>
          <w:tcPr>
            <w:tcW w:w="148" w:type="pct"/>
            <w:shd w:val="clear" w:color="auto" w:fill="F2F2F2" w:themeFill="background1" w:themeFillShade="F2"/>
          </w:tcPr>
          <w:p w14:paraId="760C1974"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48" w:type="pct"/>
            <w:shd w:val="clear" w:color="auto" w:fill="F2F2F2" w:themeFill="background1" w:themeFillShade="F2"/>
          </w:tcPr>
          <w:p w14:paraId="49396C8E"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3B064F57"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7C1E8894"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3</w:t>
            </w:r>
          </w:p>
        </w:tc>
        <w:tc>
          <w:tcPr>
            <w:tcW w:w="148" w:type="pct"/>
            <w:shd w:val="clear" w:color="auto" w:fill="F2F2F2" w:themeFill="background1" w:themeFillShade="F2"/>
          </w:tcPr>
          <w:p w14:paraId="3A6A9D03"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271650B0"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1E222630"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48" w:type="pct"/>
            <w:shd w:val="clear" w:color="auto" w:fill="F2F2F2" w:themeFill="background1" w:themeFillShade="F2"/>
          </w:tcPr>
          <w:p w14:paraId="1F1FC666"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210AEB0F"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3AE8542C"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7DF1FEE3"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47CC41AD"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48" w:type="pct"/>
            <w:shd w:val="clear" w:color="auto" w:fill="F2F2F2" w:themeFill="background1" w:themeFillShade="F2"/>
          </w:tcPr>
          <w:p w14:paraId="02006364"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63F1A920"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92" w:type="pct"/>
            <w:shd w:val="clear" w:color="auto" w:fill="F2F2F2" w:themeFill="background1" w:themeFillShade="F2"/>
          </w:tcPr>
          <w:p w14:paraId="48F21A80"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109</w:t>
            </w:r>
          </w:p>
        </w:tc>
      </w:tr>
      <w:tr w:rsidR="00C72515" w:rsidRPr="00E45E42" w14:paraId="3F9B7248" w14:textId="77777777" w:rsidTr="00546711">
        <w:tc>
          <w:tcPr>
            <w:cnfStyle w:val="001000000000" w:firstRow="0" w:lastRow="0" w:firstColumn="1" w:lastColumn="0" w:oddVBand="0" w:evenVBand="0" w:oddHBand="0" w:evenHBand="0" w:firstRowFirstColumn="0" w:firstRowLastColumn="0" w:lastRowFirstColumn="0" w:lastRowLastColumn="0"/>
            <w:tcW w:w="654" w:type="pct"/>
            <w:shd w:val="clear" w:color="auto" w:fill="F2F2F2" w:themeFill="background1" w:themeFillShade="F2"/>
          </w:tcPr>
          <w:p w14:paraId="21B09C35" w14:textId="77777777" w:rsidR="00166DB1" w:rsidRPr="00E45E42" w:rsidRDefault="00166DB1" w:rsidP="00E45E42">
            <w:pPr>
              <w:pStyle w:val="TableCopy"/>
              <w:rPr>
                <w:sz w:val="14"/>
              </w:rPr>
            </w:pPr>
            <w:r w:rsidRPr="00E45E42">
              <w:rPr>
                <w:sz w:val="14"/>
              </w:rPr>
              <w:t>Extension Program</w:t>
            </w:r>
          </w:p>
        </w:tc>
        <w:tc>
          <w:tcPr>
            <w:tcW w:w="148" w:type="pct"/>
            <w:shd w:val="clear" w:color="auto" w:fill="F2F2F2" w:themeFill="background1" w:themeFillShade="F2"/>
          </w:tcPr>
          <w:p w14:paraId="0F656FC1"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417CF211"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715F3D6E"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6DC49B32"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2A82BF48"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74F0F935"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48" w:type="pct"/>
            <w:shd w:val="clear" w:color="auto" w:fill="F2F2F2" w:themeFill="background1" w:themeFillShade="F2"/>
          </w:tcPr>
          <w:p w14:paraId="5B954E1A"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3</w:t>
            </w:r>
          </w:p>
        </w:tc>
        <w:tc>
          <w:tcPr>
            <w:tcW w:w="148" w:type="pct"/>
            <w:shd w:val="clear" w:color="auto" w:fill="F2F2F2" w:themeFill="background1" w:themeFillShade="F2"/>
          </w:tcPr>
          <w:p w14:paraId="09E2325C"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45B2B103"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733DA5C4"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1F0D3CB4"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59DE7977"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48" w:type="pct"/>
            <w:shd w:val="clear" w:color="auto" w:fill="F2F2F2" w:themeFill="background1" w:themeFillShade="F2"/>
          </w:tcPr>
          <w:p w14:paraId="46E6AD49"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2</w:t>
            </w:r>
          </w:p>
        </w:tc>
        <w:tc>
          <w:tcPr>
            <w:tcW w:w="148" w:type="pct"/>
            <w:shd w:val="clear" w:color="auto" w:fill="F2F2F2" w:themeFill="background1" w:themeFillShade="F2"/>
          </w:tcPr>
          <w:p w14:paraId="1A92A84E"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074F8990"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115D08E5"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48" w:type="pct"/>
            <w:shd w:val="clear" w:color="auto" w:fill="F2F2F2" w:themeFill="background1" w:themeFillShade="F2"/>
          </w:tcPr>
          <w:p w14:paraId="392AF9C8"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40BD3729"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3</w:t>
            </w:r>
          </w:p>
        </w:tc>
        <w:tc>
          <w:tcPr>
            <w:tcW w:w="148" w:type="pct"/>
            <w:shd w:val="clear" w:color="auto" w:fill="F2F2F2" w:themeFill="background1" w:themeFillShade="F2"/>
          </w:tcPr>
          <w:p w14:paraId="35FA0101"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5305466C"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0C6B8CE2"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3</w:t>
            </w:r>
          </w:p>
        </w:tc>
        <w:tc>
          <w:tcPr>
            <w:tcW w:w="148" w:type="pct"/>
            <w:shd w:val="clear" w:color="auto" w:fill="F2F2F2" w:themeFill="background1" w:themeFillShade="F2"/>
          </w:tcPr>
          <w:p w14:paraId="15085FF1"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48" w:type="pct"/>
            <w:shd w:val="clear" w:color="auto" w:fill="F2F2F2" w:themeFill="background1" w:themeFillShade="F2"/>
          </w:tcPr>
          <w:p w14:paraId="7D556FF9"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48" w:type="pct"/>
            <w:shd w:val="clear" w:color="auto" w:fill="F2F2F2" w:themeFill="background1" w:themeFillShade="F2"/>
          </w:tcPr>
          <w:p w14:paraId="51B591FA"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48" w:type="pct"/>
            <w:shd w:val="clear" w:color="auto" w:fill="F2F2F2" w:themeFill="background1" w:themeFillShade="F2"/>
          </w:tcPr>
          <w:p w14:paraId="3DADFAAA"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48" w:type="pct"/>
            <w:shd w:val="clear" w:color="auto" w:fill="F2F2F2" w:themeFill="background1" w:themeFillShade="F2"/>
          </w:tcPr>
          <w:p w14:paraId="5676133D"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3</w:t>
            </w:r>
          </w:p>
        </w:tc>
        <w:tc>
          <w:tcPr>
            <w:tcW w:w="148" w:type="pct"/>
            <w:shd w:val="clear" w:color="auto" w:fill="F2F2F2" w:themeFill="background1" w:themeFillShade="F2"/>
          </w:tcPr>
          <w:p w14:paraId="0ACCEFF1"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731DAFCA"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3</w:t>
            </w:r>
          </w:p>
        </w:tc>
        <w:tc>
          <w:tcPr>
            <w:tcW w:w="192" w:type="pct"/>
            <w:shd w:val="clear" w:color="auto" w:fill="F2F2F2" w:themeFill="background1" w:themeFillShade="F2"/>
          </w:tcPr>
          <w:p w14:paraId="54EDBDE9"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100</w:t>
            </w:r>
          </w:p>
        </w:tc>
      </w:tr>
      <w:tr w:rsidR="00C72515" w:rsidRPr="00E45E42" w14:paraId="4B413241" w14:textId="77777777" w:rsidTr="00546711">
        <w:tc>
          <w:tcPr>
            <w:cnfStyle w:val="001000000000" w:firstRow="0" w:lastRow="0" w:firstColumn="1" w:lastColumn="0" w:oddVBand="0" w:evenVBand="0" w:oddHBand="0" w:evenHBand="0" w:firstRowFirstColumn="0" w:firstRowLastColumn="0" w:lastRowFirstColumn="0" w:lastRowLastColumn="0"/>
            <w:tcW w:w="654" w:type="pct"/>
            <w:shd w:val="clear" w:color="auto" w:fill="F2F2F2" w:themeFill="background1" w:themeFillShade="F2"/>
          </w:tcPr>
          <w:p w14:paraId="497BF771" w14:textId="77777777" w:rsidR="00166DB1" w:rsidRPr="00E45E42" w:rsidRDefault="00166DB1" w:rsidP="00E45E42">
            <w:pPr>
              <w:pStyle w:val="TableCopy"/>
              <w:rPr>
                <w:sz w:val="14"/>
              </w:rPr>
            </w:pPr>
            <w:r w:rsidRPr="00E45E42">
              <w:rPr>
                <w:sz w:val="14"/>
              </w:rPr>
              <w:t>Rural Pharmacy Scholarship Scheme</w:t>
            </w:r>
          </w:p>
        </w:tc>
        <w:tc>
          <w:tcPr>
            <w:tcW w:w="148" w:type="pct"/>
            <w:shd w:val="clear" w:color="auto" w:fill="F2F2F2" w:themeFill="background1" w:themeFillShade="F2"/>
          </w:tcPr>
          <w:p w14:paraId="33D0883D"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62074BFF"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3</w:t>
            </w:r>
          </w:p>
        </w:tc>
        <w:tc>
          <w:tcPr>
            <w:tcW w:w="148" w:type="pct"/>
            <w:shd w:val="clear" w:color="auto" w:fill="F2F2F2" w:themeFill="background1" w:themeFillShade="F2"/>
          </w:tcPr>
          <w:p w14:paraId="4CFB6C8C"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64801AD0"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2191833E"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6664A7A8"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3E80B278"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6A4B88A6"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6EC62716"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48" w:type="pct"/>
            <w:shd w:val="clear" w:color="auto" w:fill="F2F2F2" w:themeFill="background1" w:themeFillShade="F2"/>
          </w:tcPr>
          <w:p w14:paraId="42D66E94"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375CF9B6"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04E47BB6"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48" w:type="pct"/>
            <w:shd w:val="clear" w:color="auto" w:fill="F2F2F2" w:themeFill="background1" w:themeFillShade="F2"/>
          </w:tcPr>
          <w:p w14:paraId="4C6A9842"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3</w:t>
            </w:r>
          </w:p>
        </w:tc>
        <w:tc>
          <w:tcPr>
            <w:tcW w:w="148" w:type="pct"/>
            <w:shd w:val="clear" w:color="auto" w:fill="F2F2F2" w:themeFill="background1" w:themeFillShade="F2"/>
          </w:tcPr>
          <w:p w14:paraId="305FFD16"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2</w:t>
            </w:r>
          </w:p>
        </w:tc>
        <w:tc>
          <w:tcPr>
            <w:tcW w:w="148" w:type="pct"/>
            <w:shd w:val="clear" w:color="auto" w:fill="F2F2F2" w:themeFill="background1" w:themeFillShade="F2"/>
          </w:tcPr>
          <w:p w14:paraId="6D7CF80D"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6E44FA5D"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6745B480"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782A6FEF"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3</w:t>
            </w:r>
          </w:p>
        </w:tc>
        <w:tc>
          <w:tcPr>
            <w:tcW w:w="148" w:type="pct"/>
            <w:shd w:val="clear" w:color="auto" w:fill="F2F2F2" w:themeFill="background1" w:themeFillShade="F2"/>
          </w:tcPr>
          <w:p w14:paraId="0F151113"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48" w:type="pct"/>
            <w:shd w:val="clear" w:color="auto" w:fill="F2F2F2" w:themeFill="background1" w:themeFillShade="F2"/>
          </w:tcPr>
          <w:p w14:paraId="363CB316"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51AF1AC6"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45A2F838"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48" w:type="pct"/>
            <w:shd w:val="clear" w:color="auto" w:fill="F2F2F2" w:themeFill="background1" w:themeFillShade="F2"/>
          </w:tcPr>
          <w:p w14:paraId="18195177"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3</w:t>
            </w:r>
          </w:p>
        </w:tc>
        <w:tc>
          <w:tcPr>
            <w:tcW w:w="148" w:type="pct"/>
            <w:shd w:val="clear" w:color="auto" w:fill="F2F2F2" w:themeFill="background1" w:themeFillShade="F2"/>
          </w:tcPr>
          <w:p w14:paraId="1E5702E5"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0B16DBAB"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06F5E5BF"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48" w:type="pct"/>
            <w:shd w:val="clear" w:color="auto" w:fill="F2F2F2" w:themeFill="background1" w:themeFillShade="F2"/>
          </w:tcPr>
          <w:p w14:paraId="227B93D3"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48" w:type="pct"/>
            <w:shd w:val="clear" w:color="auto" w:fill="F2F2F2" w:themeFill="background1" w:themeFillShade="F2"/>
          </w:tcPr>
          <w:p w14:paraId="79E2CB68"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3</w:t>
            </w:r>
          </w:p>
        </w:tc>
        <w:tc>
          <w:tcPr>
            <w:tcW w:w="192" w:type="pct"/>
            <w:shd w:val="clear" w:color="auto" w:fill="F2F2F2" w:themeFill="background1" w:themeFillShade="F2"/>
          </w:tcPr>
          <w:p w14:paraId="0CA2591C"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96</w:t>
            </w:r>
          </w:p>
        </w:tc>
      </w:tr>
      <w:tr w:rsidR="00C72515" w:rsidRPr="00E45E42" w14:paraId="69BDC37C" w14:textId="77777777" w:rsidTr="00546711">
        <w:tc>
          <w:tcPr>
            <w:cnfStyle w:val="001000000000" w:firstRow="0" w:lastRow="0" w:firstColumn="1" w:lastColumn="0" w:oddVBand="0" w:evenVBand="0" w:oddHBand="0" w:evenHBand="0" w:firstRowFirstColumn="0" w:firstRowLastColumn="0" w:lastRowFirstColumn="0" w:lastRowLastColumn="0"/>
            <w:tcW w:w="654" w:type="pct"/>
            <w:shd w:val="clear" w:color="auto" w:fill="F2F2F2" w:themeFill="background1" w:themeFillShade="F2"/>
          </w:tcPr>
          <w:p w14:paraId="1F31D277" w14:textId="77777777" w:rsidR="00166DB1" w:rsidRPr="00E45E42" w:rsidRDefault="00166DB1" w:rsidP="00E45E42">
            <w:pPr>
              <w:pStyle w:val="TableCopy"/>
              <w:rPr>
                <w:sz w:val="14"/>
              </w:rPr>
            </w:pPr>
            <w:r w:rsidRPr="00E45E42">
              <w:rPr>
                <w:sz w:val="14"/>
              </w:rPr>
              <w:t>Rural Pharmacy Student Placement Allowance</w:t>
            </w:r>
          </w:p>
        </w:tc>
        <w:tc>
          <w:tcPr>
            <w:tcW w:w="148" w:type="pct"/>
            <w:shd w:val="clear" w:color="auto" w:fill="F2F2F2" w:themeFill="background1" w:themeFillShade="F2"/>
          </w:tcPr>
          <w:p w14:paraId="5563D374"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71B3FA21"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208FC0E5"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45E7E33D"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48" w:type="pct"/>
            <w:shd w:val="clear" w:color="auto" w:fill="F2F2F2" w:themeFill="background1" w:themeFillShade="F2"/>
          </w:tcPr>
          <w:p w14:paraId="6C057107"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27CDF987"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23EA7DBF"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75E6C9B9"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31D5A708"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6C75BC3D"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7BC3644C"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11EBA66E"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185C9651"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2</w:t>
            </w:r>
          </w:p>
        </w:tc>
        <w:tc>
          <w:tcPr>
            <w:tcW w:w="148" w:type="pct"/>
            <w:shd w:val="clear" w:color="auto" w:fill="F2F2F2" w:themeFill="background1" w:themeFillShade="F2"/>
          </w:tcPr>
          <w:p w14:paraId="32FF586D"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2</w:t>
            </w:r>
          </w:p>
        </w:tc>
        <w:tc>
          <w:tcPr>
            <w:tcW w:w="148" w:type="pct"/>
            <w:shd w:val="clear" w:color="auto" w:fill="F2F2F2" w:themeFill="background1" w:themeFillShade="F2"/>
          </w:tcPr>
          <w:p w14:paraId="08F00D84"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7C43321A"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48" w:type="pct"/>
            <w:shd w:val="clear" w:color="auto" w:fill="F2F2F2" w:themeFill="background1" w:themeFillShade="F2"/>
          </w:tcPr>
          <w:p w14:paraId="38E615A5"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6DD91AB4"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3</w:t>
            </w:r>
          </w:p>
        </w:tc>
        <w:tc>
          <w:tcPr>
            <w:tcW w:w="148" w:type="pct"/>
            <w:shd w:val="clear" w:color="auto" w:fill="F2F2F2" w:themeFill="background1" w:themeFillShade="F2"/>
          </w:tcPr>
          <w:p w14:paraId="3CE25B56"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52D6B41A"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11C83CB0"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48" w:type="pct"/>
            <w:shd w:val="clear" w:color="auto" w:fill="F2F2F2" w:themeFill="background1" w:themeFillShade="F2"/>
          </w:tcPr>
          <w:p w14:paraId="49CCED5A"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2</w:t>
            </w:r>
          </w:p>
        </w:tc>
        <w:tc>
          <w:tcPr>
            <w:tcW w:w="148" w:type="pct"/>
            <w:shd w:val="clear" w:color="auto" w:fill="F2F2F2" w:themeFill="background1" w:themeFillShade="F2"/>
          </w:tcPr>
          <w:p w14:paraId="55BA5F20"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3</w:t>
            </w:r>
          </w:p>
        </w:tc>
        <w:tc>
          <w:tcPr>
            <w:tcW w:w="148" w:type="pct"/>
            <w:shd w:val="clear" w:color="auto" w:fill="F2F2F2" w:themeFill="background1" w:themeFillShade="F2"/>
          </w:tcPr>
          <w:p w14:paraId="69E028C3"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48" w:type="pct"/>
            <w:shd w:val="clear" w:color="auto" w:fill="F2F2F2" w:themeFill="background1" w:themeFillShade="F2"/>
          </w:tcPr>
          <w:p w14:paraId="5788AE62"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48" w:type="pct"/>
            <w:shd w:val="clear" w:color="auto" w:fill="F2F2F2" w:themeFill="background1" w:themeFillShade="F2"/>
          </w:tcPr>
          <w:p w14:paraId="3196D4DF"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02713EBD"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2</w:t>
            </w:r>
          </w:p>
        </w:tc>
        <w:tc>
          <w:tcPr>
            <w:tcW w:w="148" w:type="pct"/>
            <w:shd w:val="clear" w:color="auto" w:fill="F2F2F2" w:themeFill="background1" w:themeFillShade="F2"/>
          </w:tcPr>
          <w:p w14:paraId="4D809653"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92" w:type="pct"/>
            <w:shd w:val="clear" w:color="auto" w:fill="F2F2F2" w:themeFill="background1" w:themeFillShade="F2"/>
          </w:tcPr>
          <w:p w14:paraId="5913DACD"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93</w:t>
            </w:r>
          </w:p>
        </w:tc>
      </w:tr>
      <w:tr w:rsidR="00C72515" w:rsidRPr="00E45E42" w14:paraId="330A84A5" w14:textId="77777777" w:rsidTr="00546711">
        <w:tc>
          <w:tcPr>
            <w:cnfStyle w:val="001000000000" w:firstRow="0" w:lastRow="0" w:firstColumn="1" w:lastColumn="0" w:oddVBand="0" w:evenVBand="0" w:oddHBand="0" w:evenHBand="0" w:firstRowFirstColumn="0" w:firstRowLastColumn="0" w:lastRowFirstColumn="0" w:lastRowLastColumn="0"/>
            <w:tcW w:w="654" w:type="pct"/>
            <w:shd w:val="clear" w:color="auto" w:fill="F2F2F2" w:themeFill="background1" w:themeFillShade="F2"/>
          </w:tcPr>
          <w:p w14:paraId="30016429" w14:textId="77777777" w:rsidR="00166DB1" w:rsidRPr="00E45E42" w:rsidRDefault="00166DB1" w:rsidP="00E45E42">
            <w:pPr>
              <w:pStyle w:val="TableCopy"/>
              <w:rPr>
                <w:sz w:val="14"/>
              </w:rPr>
            </w:pPr>
            <w:r w:rsidRPr="00E45E42">
              <w:rPr>
                <w:sz w:val="14"/>
              </w:rPr>
              <w:t>Rural Intern Training Allowance</w:t>
            </w:r>
          </w:p>
        </w:tc>
        <w:tc>
          <w:tcPr>
            <w:tcW w:w="148" w:type="pct"/>
            <w:shd w:val="clear" w:color="auto" w:fill="F2F2F2" w:themeFill="background1" w:themeFillShade="F2"/>
          </w:tcPr>
          <w:p w14:paraId="406C32E4"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11E91EEF"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48" w:type="pct"/>
            <w:shd w:val="clear" w:color="auto" w:fill="F2F2F2" w:themeFill="background1" w:themeFillShade="F2"/>
          </w:tcPr>
          <w:p w14:paraId="375482F4"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40309319"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3</w:t>
            </w:r>
          </w:p>
        </w:tc>
        <w:tc>
          <w:tcPr>
            <w:tcW w:w="148" w:type="pct"/>
            <w:shd w:val="clear" w:color="auto" w:fill="F2F2F2" w:themeFill="background1" w:themeFillShade="F2"/>
          </w:tcPr>
          <w:p w14:paraId="2287F25C"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546989D0"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6FD8DAF5"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6D54E682"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6D1BECA7"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6352C45E"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48" w:type="pct"/>
            <w:shd w:val="clear" w:color="auto" w:fill="F2F2F2" w:themeFill="background1" w:themeFillShade="F2"/>
          </w:tcPr>
          <w:p w14:paraId="7944342B"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489256A6"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48" w:type="pct"/>
            <w:shd w:val="clear" w:color="auto" w:fill="F2F2F2" w:themeFill="background1" w:themeFillShade="F2"/>
          </w:tcPr>
          <w:p w14:paraId="3112F00D"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3</w:t>
            </w:r>
          </w:p>
        </w:tc>
        <w:tc>
          <w:tcPr>
            <w:tcW w:w="148" w:type="pct"/>
            <w:shd w:val="clear" w:color="auto" w:fill="F2F2F2" w:themeFill="background1" w:themeFillShade="F2"/>
          </w:tcPr>
          <w:p w14:paraId="3E900315"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1</w:t>
            </w:r>
          </w:p>
        </w:tc>
        <w:tc>
          <w:tcPr>
            <w:tcW w:w="148" w:type="pct"/>
            <w:shd w:val="clear" w:color="auto" w:fill="F2F2F2" w:themeFill="background1" w:themeFillShade="F2"/>
          </w:tcPr>
          <w:p w14:paraId="35D306BC"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7BB6266C"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15ECEC0E"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3D28A170"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3</w:t>
            </w:r>
          </w:p>
        </w:tc>
        <w:tc>
          <w:tcPr>
            <w:tcW w:w="148" w:type="pct"/>
            <w:shd w:val="clear" w:color="auto" w:fill="F2F2F2" w:themeFill="background1" w:themeFillShade="F2"/>
          </w:tcPr>
          <w:p w14:paraId="5AC6230C"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7E3B69A2"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485069BB"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2</w:t>
            </w:r>
          </w:p>
        </w:tc>
        <w:tc>
          <w:tcPr>
            <w:tcW w:w="148" w:type="pct"/>
            <w:shd w:val="clear" w:color="auto" w:fill="F2F2F2" w:themeFill="background1" w:themeFillShade="F2"/>
          </w:tcPr>
          <w:p w14:paraId="4FF50AC4"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48" w:type="pct"/>
            <w:shd w:val="clear" w:color="auto" w:fill="F2F2F2" w:themeFill="background1" w:themeFillShade="F2"/>
          </w:tcPr>
          <w:p w14:paraId="06AAE742"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2</w:t>
            </w:r>
          </w:p>
        </w:tc>
        <w:tc>
          <w:tcPr>
            <w:tcW w:w="148" w:type="pct"/>
            <w:shd w:val="clear" w:color="auto" w:fill="F2F2F2" w:themeFill="background1" w:themeFillShade="F2"/>
          </w:tcPr>
          <w:p w14:paraId="65769196"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2</w:t>
            </w:r>
          </w:p>
        </w:tc>
        <w:tc>
          <w:tcPr>
            <w:tcW w:w="148" w:type="pct"/>
            <w:shd w:val="clear" w:color="auto" w:fill="F2F2F2" w:themeFill="background1" w:themeFillShade="F2"/>
          </w:tcPr>
          <w:p w14:paraId="10BC13B1"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1</w:t>
            </w:r>
          </w:p>
        </w:tc>
        <w:tc>
          <w:tcPr>
            <w:tcW w:w="148" w:type="pct"/>
            <w:shd w:val="clear" w:color="auto" w:fill="F2F2F2" w:themeFill="background1" w:themeFillShade="F2"/>
          </w:tcPr>
          <w:p w14:paraId="1A4C2BDE"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773BB0D2"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48" w:type="pct"/>
            <w:shd w:val="clear" w:color="auto" w:fill="F2F2F2" w:themeFill="background1" w:themeFillShade="F2"/>
          </w:tcPr>
          <w:p w14:paraId="47FB6BF0"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2</w:t>
            </w:r>
          </w:p>
        </w:tc>
        <w:tc>
          <w:tcPr>
            <w:tcW w:w="192" w:type="pct"/>
            <w:shd w:val="clear" w:color="auto" w:fill="F2F2F2" w:themeFill="background1" w:themeFillShade="F2"/>
          </w:tcPr>
          <w:p w14:paraId="1368B593"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79</w:t>
            </w:r>
          </w:p>
        </w:tc>
      </w:tr>
      <w:tr w:rsidR="00C72515" w:rsidRPr="00E45E42" w14:paraId="2D2B6920" w14:textId="77777777" w:rsidTr="00546711">
        <w:tc>
          <w:tcPr>
            <w:cnfStyle w:val="001000000000" w:firstRow="0" w:lastRow="0" w:firstColumn="1" w:lastColumn="0" w:oddVBand="0" w:evenVBand="0" w:oddHBand="0" w:evenHBand="0" w:firstRowFirstColumn="0" w:firstRowLastColumn="0" w:lastRowFirstColumn="0" w:lastRowLastColumn="0"/>
            <w:tcW w:w="654" w:type="pct"/>
            <w:shd w:val="clear" w:color="auto" w:fill="F2F2F2" w:themeFill="background1" w:themeFillShade="F2"/>
          </w:tcPr>
          <w:p w14:paraId="358F8948" w14:textId="77777777" w:rsidR="00166DB1" w:rsidRPr="00E45E42" w:rsidRDefault="00166DB1" w:rsidP="00E45E42">
            <w:pPr>
              <w:pStyle w:val="TableCopy"/>
              <w:rPr>
                <w:sz w:val="14"/>
              </w:rPr>
            </w:pPr>
            <w:r w:rsidRPr="00E45E42">
              <w:rPr>
                <w:sz w:val="14"/>
              </w:rPr>
              <w:t xml:space="preserve">Aboriginal and Torres Strait Islander Pharmacy Assistant Traineeship Scheme </w:t>
            </w:r>
          </w:p>
        </w:tc>
        <w:tc>
          <w:tcPr>
            <w:tcW w:w="148" w:type="pct"/>
            <w:shd w:val="clear" w:color="auto" w:fill="F2F2F2" w:themeFill="background1" w:themeFillShade="F2"/>
          </w:tcPr>
          <w:p w14:paraId="5E9252BD"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2E7D16B8"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2</w:t>
            </w:r>
          </w:p>
        </w:tc>
        <w:tc>
          <w:tcPr>
            <w:tcW w:w="148" w:type="pct"/>
            <w:shd w:val="clear" w:color="auto" w:fill="F2F2F2" w:themeFill="background1" w:themeFillShade="F2"/>
          </w:tcPr>
          <w:p w14:paraId="0FDD6691"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3</w:t>
            </w:r>
          </w:p>
        </w:tc>
        <w:tc>
          <w:tcPr>
            <w:tcW w:w="148" w:type="pct"/>
            <w:shd w:val="clear" w:color="auto" w:fill="F2F2F2" w:themeFill="background1" w:themeFillShade="F2"/>
          </w:tcPr>
          <w:p w14:paraId="3BB4745C"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14E0C34B"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0DB0CDDF"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48" w:type="pct"/>
            <w:shd w:val="clear" w:color="auto" w:fill="F2F2F2" w:themeFill="background1" w:themeFillShade="F2"/>
          </w:tcPr>
          <w:p w14:paraId="52D68B46"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2</w:t>
            </w:r>
          </w:p>
        </w:tc>
        <w:tc>
          <w:tcPr>
            <w:tcW w:w="148" w:type="pct"/>
            <w:shd w:val="clear" w:color="auto" w:fill="F2F2F2" w:themeFill="background1" w:themeFillShade="F2"/>
          </w:tcPr>
          <w:p w14:paraId="0BA9DD2A"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0E965AD8"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3927C7FE"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4630259A"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401F65FA"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2</w:t>
            </w:r>
          </w:p>
        </w:tc>
        <w:tc>
          <w:tcPr>
            <w:tcW w:w="148" w:type="pct"/>
            <w:shd w:val="clear" w:color="auto" w:fill="F2F2F2" w:themeFill="background1" w:themeFillShade="F2"/>
          </w:tcPr>
          <w:p w14:paraId="0F980A48"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56CF1331"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612030FD"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2B045338"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5FF9681A"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7E1BA8B3"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0623D384"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2776256E"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48" w:type="pct"/>
            <w:shd w:val="clear" w:color="auto" w:fill="F2F2F2" w:themeFill="background1" w:themeFillShade="F2"/>
          </w:tcPr>
          <w:p w14:paraId="7A86A275"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1A1356DF"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1</w:t>
            </w:r>
          </w:p>
        </w:tc>
        <w:tc>
          <w:tcPr>
            <w:tcW w:w="148" w:type="pct"/>
            <w:shd w:val="clear" w:color="auto" w:fill="F2F2F2" w:themeFill="background1" w:themeFillShade="F2"/>
          </w:tcPr>
          <w:p w14:paraId="72F85FEE"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2</w:t>
            </w:r>
          </w:p>
        </w:tc>
        <w:tc>
          <w:tcPr>
            <w:tcW w:w="148" w:type="pct"/>
            <w:shd w:val="clear" w:color="auto" w:fill="F2F2F2" w:themeFill="background1" w:themeFillShade="F2"/>
          </w:tcPr>
          <w:p w14:paraId="3D853322"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48" w:type="pct"/>
            <w:shd w:val="clear" w:color="auto" w:fill="F2F2F2" w:themeFill="background1" w:themeFillShade="F2"/>
          </w:tcPr>
          <w:p w14:paraId="3A077AFD"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3</w:t>
            </w:r>
          </w:p>
        </w:tc>
        <w:tc>
          <w:tcPr>
            <w:tcW w:w="148" w:type="pct"/>
            <w:shd w:val="clear" w:color="auto" w:fill="F2F2F2" w:themeFill="background1" w:themeFillShade="F2"/>
          </w:tcPr>
          <w:p w14:paraId="4C061B5E"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3</w:t>
            </w:r>
          </w:p>
        </w:tc>
        <w:tc>
          <w:tcPr>
            <w:tcW w:w="148" w:type="pct"/>
            <w:shd w:val="clear" w:color="auto" w:fill="F2F2F2" w:themeFill="background1" w:themeFillShade="F2"/>
          </w:tcPr>
          <w:p w14:paraId="2154CEB9"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4D8B666C"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92" w:type="pct"/>
            <w:shd w:val="clear" w:color="auto" w:fill="F2F2F2" w:themeFill="background1" w:themeFillShade="F2"/>
          </w:tcPr>
          <w:p w14:paraId="77E5278E"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55</w:t>
            </w:r>
          </w:p>
        </w:tc>
      </w:tr>
      <w:tr w:rsidR="00C72515" w:rsidRPr="00E45E42" w14:paraId="4626FAEB" w14:textId="77777777" w:rsidTr="00546711">
        <w:tc>
          <w:tcPr>
            <w:cnfStyle w:val="001000000000" w:firstRow="0" w:lastRow="0" w:firstColumn="1" w:lastColumn="0" w:oddVBand="0" w:evenVBand="0" w:oddHBand="0" w:evenHBand="0" w:firstRowFirstColumn="0" w:firstRowLastColumn="0" w:lastRowFirstColumn="0" w:lastRowLastColumn="0"/>
            <w:tcW w:w="654" w:type="pct"/>
            <w:shd w:val="clear" w:color="auto" w:fill="F2F2F2" w:themeFill="background1" w:themeFillShade="F2"/>
          </w:tcPr>
          <w:p w14:paraId="756CB1E2" w14:textId="77777777" w:rsidR="00166DB1" w:rsidRPr="00E45E42" w:rsidRDefault="00166DB1" w:rsidP="00E45E42">
            <w:pPr>
              <w:pStyle w:val="TableCopy"/>
              <w:rPr>
                <w:sz w:val="14"/>
              </w:rPr>
            </w:pPr>
            <w:r w:rsidRPr="00E45E42">
              <w:rPr>
                <w:sz w:val="14"/>
              </w:rPr>
              <w:t>Administrative Support to Pharmacy Schools</w:t>
            </w:r>
          </w:p>
        </w:tc>
        <w:tc>
          <w:tcPr>
            <w:tcW w:w="148" w:type="pct"/>
            <w:shd w:val="clear" w:color="auto" w:fill="F2F2F2" w:themeFill="background1" w:themeFillShade="F2"/>
          </w:tcPr>
          <w:p w14:paraId="65F13352"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714AB351"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1</w:t>
            </w:r>
          </w:p>
        </w:tc>
        <w:tc>
          <w:tcPr>
            <w:tcW w:w="148" w:type="pct"/>
            <w:shd w:val="clear" w:color="auto" w:fill="F2F2F2" w:themeFill="background1" w:themeFillShade="F2"/>
          </w:tcPr>
          <w:p w14:paraId="59CE2528"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54745DC0"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0F3D7003"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3</w:t>
            </w:r>
          </w:p>
        </w:tc>
        <w:tc>
          <w:tcPr>
            <w:tcW w:w="148" w:type="pct"/>
            <w:shd w:val="clear" w:color="auto" w:fill="F2F2F2" w:themeFill="background1" w:themeFillShade="F2"/>
          </w:tcPr>
          <w:p w14:paraId="42FECDB9"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2</w:t>
            </w:r>
          </w:p>
        </w:tc>
        <w:tc>
          <w:tcPr>
            <w:tcW w:w="148" w:type="pct"/>
            <w:shd w:val="clear" w:color="auto" w:fill="F2F2F2" w:themeFill="background1" w:themeFillShade="F2"/>
          </w:tcPr>
          <w:p w14:paraId="4427199C"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3</w:t>
            </w:r>
          </w:p>
        </w:tc>
        <w:tc>
          <w:tcPr>
            <w:tcW w:w="148" w:type="pct"/>
            <w:shd w:val="clear" w:color="auto" w:fill="F2F2F2" w:themeFill="background1" w:themeFillShade="F2"/>
          </w:tcPr>
          <w:p w14:paraId="2B0E42A0"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5D1EBC81"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7F328C88"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51463E48"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0ED03A2F"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2</w:t>
            </w:r>
          </w:p>
        </w:tc>
        <w:tc>
          <w:tcPr>
            <w:tcW w:w="148" w:type="pct"/>
            <w:shd w:val="clear" w:color="auto" w:fill="F2F2F2" w:themeFill="background1" w:themeFillShade="F2"/>
          </w:tcPr>
          <w:p w14:paraId="6554D15F"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48" w:type="pct"/>
            <w:shd w:val="clear" w:color="auto" w:fill="F2F2F2" w:themeFill="background1" w:themeFillShade="F2"/>
          </w:tcPr>
          <w:p w14:paraId="01F1217A"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1A9DF161"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3841E896"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3</w:t>
            </w:r>
          </w:p>
        </w:tc>
        <w:tc>
          <w:tcPr>
            <w:tcW w:w="148" w:type="pct"/>
            <w:shd w:val="clear" w:color="auto" w:fill="F2F2F2" w:themeFill="background1" w:themeFillShade="F2"/>
          </w:tcPr>
          <w:p w14:paraId="5384A4DF"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22B5EBCF"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2</w:t>
            </w:r>
          </w:p>
        </w:tc>
        <w:tc>
          <w:tcPr>
            <w:tcW w:w="148" w:type="pct"/>
            <w:shd w:val="clear" w:color="auto" w:fill="F2F2F2" w:themeFill="background1" w:themeFillShade="F2"/>
          </w:tcPr>
          <w:p w14:paraId="38243426"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48" w:type="pct"/>
            <w:shd w:val="clear" w:color="auto" w:fill="F2F2F2" w:themeFill="background1" w:themeFillShade="F2"/>
          </w:tcPr>
          <w:p w14:paraId="5FF16860"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2</w:t>
            </w:r>
          </w:p>
        </w:tc>
        <w:tc>
          <w:tcPr>
            <w:tcW w:w="148" w:type="pct"/>
            <w:shd w:val="clear" w:color="auto" w:fill="F2F2F2" w:themeFill="background1" w:themeFillShade="F2"/>
          </w:tcPr>
          <w:p w14:paraId="4B3E0B28"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263EE708"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5631EE27"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548A3C9D"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2</w:t>
            </w:r>
          </w:p>
        </w:tc>
        <w:tc>
          <w:tcPr>
            <w:tcW w:w="148" w:type="pct"/>
            <w:shd w:val="clear" w:color="auto" w:fill="F2F2F2" w:themeFill="background1" w:themeFillShade="F2"/>
          </w:tcPr>
          <w:p w14:paraId="564422D5"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48" w:type="pct"/>
            <w:shd w:val="clear" w:color="auto" w:fill="F2F2F2" w:themeFill="background1" w:themeFillShade="F2"/>
          </w:tcPr>
          <w:p w14:paraId="0EF93061"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08C1BB67"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0B3F20CF"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92" w:type="pct"/>
            <w:shd w:val="clear" w:color="auto" w:fill="F2F2F2" w:themeFill="background1" w:themeFillShade="F2"/>
          </w:tcPr>
          <w:p w14:paraId="0FDA5621"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42</w:t>
            </w:r>
          </w:p>
        </w:tc>
      </w:tr>
      <w:tr w:rsidR="00C72515" w:rsidRPr="00E45E42" w14:paraId="6843225C" w14:textId="77777777" w:rsidTr="00546711">
        <w:tc>
          <w:tcPr>
            <w:cnfStyle w:val="001000000000" w:firstRow="0" w:lastRow="0" w:firstColumn="1" w:lastColumn="0" w:oddVBand="0" w:evenVBand="0" w:oddHBand="0" w:evenHBand="0" w:firstRowFirstColumn="0" w:firstRowLastColumn="0" w:lastRowFirstColumn="0" w:lastRowLastColumn="0"/>
            <w:tcW w:w="654" w:type="pct"/>
            <w:shd w:val="clear" w:color="auto" w:fill="F2F2F2" w:themeFill="background1" w:themeFillShade="F2"/>
          </w:tcPr>
          <w:p w14:paraId="6074D56C" w14:textId="77777777" w:rsidR="00166DB1" w:rsidRPr="00E45E42" w:rsidRDefault="00166DB1" w:rsidP="00E45E42">
            <w:pPr>
              <w:pStyle w:val="TableCopy"/>
              <w:rPr>
                <w:sz w:val="14"/>
              </w:rPr>
            </w:pPr>
            <w:r w:rsidRPr="00E45E42">
              <w:rPr>
                <w:sz w:val="14"/>
              </w:rPr>
              <w:t>Aboriginal and Torres Strait Islander Scholarship Scheme</w:t>
            </w:r>
          </w:p>
        </w:tc>
        <w:tc>
          <w:tcPr>
            <w:tcW w:w="148" w:type="pct"/>
            <w:shd w:val="clear" w:color="auto" w:fill="F2F2F2" w:themeFill="background1" w:themeFillShade="F2"/>
          </w:tcPr>
          <w:p w14:paraId="7D2C7815"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2E07B464"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2</w:t>
            </w:r>
          </w:p>
        </w:tc>
        <w:tc>
          <w:tcPr>
            <w:tcW w:w="148" w:type="pct"/>
            <w:shd w:val="clear" w:color="auto" w:fill="F2F2F2" w:themeFill="background1" w:themeFillShade="F2"/>
          </w:tcPr>
          <w:p w14:paraId="78A0366B"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48" w:type="pct"/>
            <w:shd w:val="clear" w:color="auto" w:fill="F2F2F2" w:themeFill="background1" w:themeFillShade="F2"/>
          </w:tcPr>
          <w:p w14:paraId="35549BC3"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09E8491B"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2F494C4E"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48" w:type="pct"/>
            <w:shd w:val="clear" w:color="auto" w:fill="F2F2F2" w:themeFill="background1" w:themeFillShade="F2"/>
          </w:tcPr>
          <w:p w14:paraId="2A01085B"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2</w:t>
            </w:r>
          </w:p>
        </w:tc>
        <w:tc>
          <w:tcPr>
            <w:tcW w:w="148" w:type="pct"/>
            <w:shd w:val="clear" w:color="auto" w:fill="F2F2F2" w:themeFill="background1" w:themeFillShade="F2"/>
          </w:tcPr>
          <w:p w14:paraId="04AA517F"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15051EBA"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007871C8"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27B1BF94"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690F53E6"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2</w:t>
            </w:r>
          </w:p>
        </w:tc>
        <w:tc>
          <w:tcPr>
            <w:tcW w:w="148" w:type="pct"/>
            <w:shd w:val="clear" w:color="auto" w:fill="F2F2F2" w:themeFill="background1" w:themeFillShade="F2"/>
          </w:tcPr>
          <w:p w14:paraId="0C12A0AC"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41AA96E3"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486B6957"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5BB51781"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4D539517"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1A8B7C68"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74306E94"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010F2AF1"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3</w:t>
            </w:r>
          </w:p>
        </w:tc>
        <w:tc>
          <w:tcPr>
            <w:tcW w:w="148" w:type="pct"/>
            <w:shd w:val="clear" w:color="auto" w:fill="F2F2F2" w:themeFill="background1" w:themeFillShade="F2"/>
          </w:tcPr>
          <w:p w14:paraId="3DEF06BD"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15E25A6E"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1</w:t>
            </w:r>
          </w:p>
        </w:tc>
        <w:tc>
          <w:tcPr>
            <w:tcW w:w="148" w:type="pct"/>
            <w:shd w:val="clear" w:color="auto" w:fill="F2F2F2" w:themeFill="background1" w:themeFillShade="F2"/>
          </w:tcPr>
          <w:p w14:paraId="27B3DDC4"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2</w:t>
            </w:r>
          </w:p>
        </w:tc>
        <w:tc>
          <w:tcPr>
            <w:tcW w:w="148" w:type="pct"/>
            <w:shd w:val="clear" w:color="auto" w:fill="F2F2F2" w:themeFill="background1" w:themeFillShade="F2"/>
          </w:tcPr>
          <w:p w14:paraId="3A4F7DB2"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3</w:t>
            </w:r>
          </w:p>
        </w:tc>
        <w:tc>
          <w:tcPr>
            <w:tcW w:w="148" w:type="pct"/>
            <w:shd w:val="clear" w:color="auto" w:fill="F2F2F2" w:themeFill="background1" w:themeFillShade="F2"/>
          </w:tcPr>
          <w:p w14:paraId="1695F92C"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3</w:t>
            </w:r>
          </w:p>
        </w:tc>
        <w:tc>
          <w:tcPr>
            <w:tcW w:w="148" w:type="pct"/>
            <w:shd w:val="clear" w:color="auto" w:fill="F2F2F2" w:themeFill="background1" w:themeFillShade="F2"/>
          </w:tcPr>
          <w:p w14:paraId="1284C8DB"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0B1A320F"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06FF1B48"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92" w:type="pct"/>
            <w:shd w:val="clear" w:color="auto" w:fill="F2F2F2" w:themeFill="background1" w:themeFillShade="F2"/>
          </w:tcPr>
          <w:p w14:paraId="03C6449E"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41</w:t>
            </w:r>
          </w:p>
        </w:tc>
      </w:tr>
      <w:tr w:rsidR="00C72515" w:rsidRPr="00E45E42" w14:paraId="01E8BCF8" w14:textId="77777777" w:rsidTr="00546711">
        <w:tc>
          <w:tcPr>
            <w:cnfStyle w:val="001000000000" w:firstRow="0" w:lastRow="0" w:firstColumn="1" w:lastColumn="0" w:oddVBand="0" w:evenVBand="0" w:oddHBand="0" w:evenHBand="0" w:firstRowFirstColumn="0" w:firstRowLastColumn="0" w:lastRowFirstColumn="0" w:lastRowLastColumn="0"/>
            <w:tcW w:w="654" w:type="pct"/>
            <w:shd w:val="clear" w:color="auto" w:fill="F2F2F2" w:themeFill="background1" w:themeFillShade="F2"/>
          </w:tcPr>
          <w:p w14:paraId="728A0FC4" w14:textId="77777777" w:rsidR="00166DB1" w:rsidRPr="00E45E42" w:rsidRDefault="00166DB1" w:rsidP="00E45E42">
            <w:pPr>
              <w:pStyle w:val="TableCopy"/>
              <w:rPr>
                <w:sz w:val="14"/>
              </w:rPr>
            </w:pPr>
            <w:r w:rsidRPr="00E45E42">
              <w:rPr>
                <w:sz w:val="14"/>
              </w:rPr>
              <w:t>Emergency Locum Service</w:t>
            </w:r>
          </w:p>
        </w:tc>
        <w:tc>
          <w:tcPr>
            <w:tcW w:w="148" w:type="pct"/>
            <w:shd w:val="clear" w:color="auto" w:fill="F2F2F2" w:themeFill="background1" w:themeFillShade="F2"/>
          </w:tcPr>
          <w:p w14:paraId="358BC512"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48" w:type="pct"/>
            <w:shd w:val="clear" w:color="auto" w:fill="F2F2F2" w:themeFill="background1" w:themeFillShade="F2"/>
          </w:tcPr>
          <w:p w14:paraId="4E14088C"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1</w:t>
            </w:r>
          </w:p>
        </w:tc>
        <w:tc>
          <w:tcPr>
            <w:tcW w:w="148" w:type="pct"/>
            <w:shd w:val="clear" w:color="auto" w:fill="F2F2F2" w:themeFill="background1" w:themeFillShade="F2"/>
          </w:tcPr>
          <w:p w14:paraId="7198C7DC"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0D383D6F"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41997E33"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388B512E"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53B625B4"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2</w:t>
            </w:r>
          </w:p>
        </w:tc>
        <w:tc>
          <w:tcPr>
            <w:tcW w:w="148" w:type="pct"/>
            <w:shd w:val="clear" w:color="auto" w:fill="F2F2F2" w:themeFill="background1" w:themeFillShade="F2"/>
          </w:tcPr>
          <w:p w14:paraId="0DD15BFC"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33C2941C"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4AB8CD8A"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48" w:type="pct"/>
            <w:shd w:val="clear" w:color="auto" w:fill="F2F2F2" w:themeFill="background1" w:themeFillShade="F2"/>
          </w:tcPr>
          <w:p w14:paraId="2EB1F908"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7CAB6FD6"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57EE4CF7"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3</w:t>
            </w:r>
          </w:p>
        </w:tc>
        <w:tc>
          <w:tcPr>
            <w:tcW w:w="148" w:type="pct"/>
            <w:shd w:val="clear" w:color="auto" w:fill="F2F2F2" w:themeFill="background1" w:themeFillShade="F2"/>
          </w:tcPr>
          <w:p w14:paraId="6C0B930B"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1314FBBE"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2</w:t>
            </w:r>
          </w:p>
        </w:tc>
        <w:tc>
          <w:tcPr>
            <w:tcW w:w="148" w:type="pct"/>
            <w:shd w:val="clear" w:color="auto" w:fill="F2F2F2" w:themeFill="background1" w:themeFillShade="F2"/>
          </w:tcPr>
          <w:p w14:paraId="270A6D7C"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5616F022"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2</w:t>
            </w:r>
          </w:p>
        </w:tc>
        <w:tc>
          <w:tcPr>
            <w:tcW w:w="148" w:type="pct"/>
            <w:shd w:val="clear" w:color="auto" w:fill="F2F2F2" w:themeFill="background1" w:themeFillShade="F2"/>
          </w:tcPr>
          <w:p w14:paraId="49072A22"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3</w:t>
            </w:r>
          </w:p>
        </w:tc>
        <w:tc>
          <w:tcPr>
            <w:tcW w:w="148" w:type="pct"/>
            <w:shd w:val="clear" w:color="auto" w:fill="F2F2F2" w:themeFill="background1" w:themeFillShade="F2"/>
          </w:tcPr>
          <w:p w14:paraId="32E835C4"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48" w:type="pct"/>
            <w:shd w:val="clear" w:color="auto" w:fill="F2F2F2" w:themeFill="background1" w:themeFillShade="F2"/>
          </w:tcPr>
          <w:p w14:paraId="11636AC3"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2E03640D"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53221CD0"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1</w:t>
            </w:r>
          </w:p>
        </w:tc>
        <w:tc>
          <w:tcPr>
            <w:tcW w:w="148" w:type="pct"/>
            <w:shd w:val="clear" w:color="auto" w:fill="F2F2F2" w:themeFill="background1" w:themeFillShade="F2"/>
          </w:tcPr>
          <w:p w14:paraId="5EB84C73"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2</w:t>
            </w:r>
          </w:p>
        </w:tc>
        <w:tc>
          <w:tcPr>
            <w:tcW w:w="148" w:type="pct"/>
            <w:shd w:val="clear" w:color="auto" w:fill="F2F2F2" w:themeFill="background1" w:themeFillShade="F2"/>
          </w:tcPr>
          <w:p w14:paraId="5F59BF67"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1</w:t>
            </w:r>
          </w:p>
        </w:tc>
        <w:tc>
          <w:tcPr>
            <w:tcW w:w="148" w:type="pct"/>
            <w:shd w:val="clear" w:color="auto" w:fill="F2F2F2" w:themeFill="background1" w:themeFillShade="F2"/>
          </w:tcPr>
          <w:p w14:paraId="1110B447"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1</w:t>
            </w:r>
          </w:p>
        </w:tc>
        <w:tc>
          <w:tcPr>
            <w:tcW w:w="148" w:type="pct"/>
            <w:shd w:val="clear" w:color="auto" w:fill="F2F2F2" w:themeFill="background1" w:themeFillShade="F2"/>
          </w:tcPr>
          <w:p w14:paraId="48E0C3CF"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71C4C8FE"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255FAE96"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1</w:t>
            </w:r>
          </w:p>
        </w:tc>
        <w:tc>
          <w:tcPr>
            <w:tcW w:w="192" w:type="pct"/>
            <w:shd w:val="clear" w:color="auto" w:fill="F2F2F2" w:themeFill="background1" w:themeFillShade="F2"/>
          </w:tcPr>
          <w:p w14:paraId="62B98323"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41</w:t>
            </w:r>
          </w:p>
        </w:tc>
      </w:tr>
      <w:tr w:rsidR="00C72515" w:rsidRPr="00E45E42" w14:paraId="1A01BE62" w14:textId="77777777" w:rsidTr="00546711">
        <w:tc>
          <w:tcPr>
            <w:cnfStyle w:val="001000000000" w:firstRow="0" w:lastRow="0" w:firstColumn="1" w:lastColumn="0" w:oddVBand="0" w:evenVBand="0" w:oddHBand="0" w:evenHBand="0" w:firstRowFirstColumn="0" w:firstRowLastColumn="0" w:lastRowFirstColumn="0" w:lastRowLastColumn="0"/>
            <w:tcW w:w="654" w:type="pct"/>
            <w:shd w:val="clear" w:color="auto" w:fill="F2F2F2" w:themeFill="background1" w:themeFillShade="F2"/>
          </w:tcPr>
          <w:p w14:paraId="58A6351B" w14:textId="77777777" w:rsidR="00166DB1" w:rsidRPr="00E45E42" w:rsidRDefault="00166DB1" w:rsidP="00E45E42">
            <w:pPr>
              <w:pStyle w:val="TableCopy"/>
              <w:rPr>
                <w:sz w:val="14"/>
              </w:rPr>
            </w:pPr>
            <w:r w:rsidRPr="00E45E42">
              <w:rPr>
                <w:sz w:val="14"/>
              </w:rPr>
              <w:t>Rural Pharmacy Scholarship Mentor Scheme</w:t>
            </w:r>
          </w:p>
        </w:tc>
        <w:tc>
          <w:tcPr>
            <w:tcW w:w="148" w:type="pct"/>
            <w:shd w:val="clear" w:color="auto" w:fill="F2F2F2" w:themeFill="background1" w:themeFillShade="F2"/>
          </w:tcPr>
          <w:p w14:paraId="7B5043CB"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2</w:t>
            </w:r>
          </w:p>
        </w:tc>
        <w:tc>
          <w:tcPr>
            <w:tcW w:w="148" w:type="pct"/>
            <w:shd w:val="clear" w:color="auto" w:fill="F2F2F2" w:themeFill="background1" w:themeFillShade="F2"/>
          </w:tcPr>
          <w:p w14:paraId="5145C4AC"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7C96D31F"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3</w:t>
            </w:r>
          </w:p>
        </w:tc>
        <w:tc>
          <w:tcPr>
            <w:tcW w:w="148" w:type="pct"/>
            <w:shd w:val="clear" w:color="auto" w:fill="F2F2F2" w:themeFill="background1" w:themeFillShade="F2"/>
          </w:tcPr>
          <w:p w14:paraId="412E47E5"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2788EAF1"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4AA9F5B8"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48" w:type="pct"/>
            <w:shd w:val="clear" w:color="auto" w:fill="F2F2F2" w:themeFill="background1" w:themeFillShade="F2"/>
          </w:tcPr>
          <w:p w14:paraId="75446956"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5C89EBBF"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3225E09E"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7226EC41"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1</w:t>
            </w:r>
          </w:p>
        </w:tc>
        <w:tc>
          <w:tcPr>
            <w:tcW w:w="148" w:type="pct"/>
            <w:shd w:val="clear" w:color="auto" w:fill="F2F2F2" w:themeFill="background1" w:themeFillShade="F2"/>
          </w:tcPr>
          <w:p w14:paraId="5A42782A"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4308DB85"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45DA453F"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2</w:t>
            </w:r>
          </w:p>
        </w:tc>
        <w:tc>
          <w:tcPr>
            <w:tcW w:w="148" w:type="pct"/>
            <w:shd w:val="clear" w:color="auto" w:fill="F2F2F2" w:themeFill="background1" w:themeFillShade="F2"/>
          </w:tcPr>
          <w:p w14:paraId="619F6A1C"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3BB6A76A"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5</w:t>
            </w:r>
          </w:p>
        </w:tc>
        <w:tc>
          <w:tcPr>
            <w:tcW w:w="148" w:type="pct"/>
            <w:shd w:val="clear" w:color="auto" w:fill="F2F2F2" w:themeFill="background1" w:themeFillShade="F2"/>
          </w:tcPr>
          <w:p w14:paraId="69414EEB"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097D7D2B"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2E378E66"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3</w:t>
            </w:r>
          </w:p>
        </w:tc>
        <w:tc>
          <w:tcPr>
            <w:tcW w:w="148" w:type="pct"/>
            <w:shd w:val="clear" w:color="auto" w:fill="F2F2F2" w:themeFill="background1" w:themeFillShade="F2"/>
          </w:tcPr>
          <w:p w14:paraId="245EA63D"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5E1C3B10"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4</w:t>
            </w:r>
          </w:p>
        </w:tc>
        <w:tc>
          <w:tcPr>
            <w:tcW w:w="148" w:type="pct"/>
            <w:shd w:val="clear" w:color="auto" w:fill="F2F2F2" w:themeFill="background1" w:themeFillShade="F2"/>
          </w:tcPr>
          <w:p w14:paraId="7C12CAE5"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77FEBD95"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2</w:t>
            </w:r>
          </w:p>
        </w:tc>
        <w:tc>
          <w:tcPr>
            <w:tcW w:w="148" w:type="pct"/>
            <w:shd w:val="clear" w:color="auto" w:fill="F2F2F2" w:themeFill="background1" w:themeFillShade="F2"/>
          </w:tcPr>
          <w:p w14:paraId="02BBE9DB"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3</w:t>
            </w:r>
          </w:p>
        </w:tc>
        <w:tc>
          <w:tcPr>
            <w:tcW w:w="148" w:type="pct"/>
            <w:shd w:val="clear" w:color="auto" w:fill="F2F2F2" w:themeFill="background1" w:themeFillShade="F2"/>
          </w:tcPr>
          <w:p w14:paraId="7E07193F"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1</w:t>
            </w:r>
          </w:p>
        </w:tc>
        <w:tc>
          <w:tcPr>
            <w:tcW w:w="148" w:type="pct"/>
            <w:shd w:val="clear" w:color="auto" w:fill="F2F2F2" w:themeFill="background1" w:themeFillShade="F2"/>
          </w:tcPr>
          <w:p w14:paraId="716089E9"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1</w:t>
            </w:r>
          </w:p>
        </w:tc>
        <w:tc>
          <w:tcPr>
            <w:tcW w:w="148" w:type="pct"/>
            <w:shd w:val="clear" w:color="auto" w:fill="F2F2F2" w:themeFill="background1" w:themeFillShade="F2"/>
          </w:tcPr>
          <w:p w14:paraId="1F97A283"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2</w:t>
            </w:r>
          </w:p>
        </w:tc>
        <w:tc>
          <w:tcPr>
            <w:tcW w:w="148" w:type="pct"/>
            <w:shd w:val="clear" w:color="auto" w:fill="F2F2F2" w:themeFill="background1" w:themeFillShade="F2"/>
          </w:tcPr>
          <w:p w14:paraId="1742409A"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0</w:t>
            </w:r>
          </w:p>
        </w:tc>
        <w:tc>
          <w:tcPr>
            <w:tcW w:w="148" w:type="pct"/>
            <w:shd w:val="clear" w:color="auto" w:fill="F2F2F2" w:themeFill="background1" w:themeFillShade="F2"/>
          </w:tcPr>
          <w:p w14:paraId="63B51295"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1</w:t>
            </w:r>
          </w:p>
        </w:tc>
        <w:tc>
          <w:tcPr>
            <w:tcW w:w="192" w:type="pct"/>
            <w:shd w:val="clear" w:color="auto" w:fill="F2F2F2" w:themeFill="background1" w:themeFillShade="F2"/>
          </w:tcPr>
          <w:p w14:paraId="3496D8A3" w14:textId="77777777" w:rsidR="00166DB1" w:rsidRPr="00E45E42" w:rsidRDefault="00166DB1" w:rsidP="00E45E42">
            <w:pPr>
              <w:pStyle w:val="TableCopy"/>
              <w:cnfStyle w:val="000000000000" w:firstRow="0" w:lastRow="0" w:firstColumn="0" w:lastColumn="0" w:oddVBand="0" w:evenVBand="0" w:oddHBand="0" w:evenHBand="0" w:firstRowFirstColumn="0" w:firstRowLastColumn="0" w:lastRowFirstColumn="0" w:lastRowLastColumn="0"/>
              <w:rPr>
                <w:sz w:val="14"/>
              </w:rPr>
            </w:pPr>
            <w:r w:rsidRPr="00E45E42">
              <w:rPr>
                <w:sz w:val="14"/>
              </w:rPr>
              <w:t>34</w:t>
            </w:r>
          </w:p>
        </w:tc>
      </w:tr>
    </w:tbl>
    <w:p w14:paraId="4FF16EEC" w14:textId="77777777" w:rsidR="00166DB1" w:rsidRPr="00166DB1" w:rsidRDefault="00166DB1" w:rsidP="00166DB1">
      <w:pPr>
        <w:spacing w:before="85" w:after="85"/>
        <w:rPr>
          <w:rFonts w:ascii="Garamond" w:eastAsia="Garamond" w:hAnsi="Garamond"/>
          <w:color w:val="000000"/>
        </w:rPr>
        <w:sectPr w:rsidR="00166DB1" w:rsidRPr="00166DB1" w:rsidSect="00AB00DC">
          <w:pgSz w:w="16839" w:h="11907" w:orient="landscape" w:code="9"/>
          <w:pgMar w:top="1985" w:right="1304" w:bottom="850" w:left="737" w:header="567" w:footer="284" w:gutter="0"/>
          <w:cols w:space="709"/>
          <w:docGrid w:linePitch="360"/>
        </w:sectPr>
      </w:pPr>
    </w:p>
    <w:p w14:paraId="7C392BD9" w14:textId="48B0BD9C" w:rsidR="00166DB1" w:rsidRDefault="00166DB1" w:rsidP="004F0F6F">
      <w:pPr>
        <w:pStyle w:val="HeadingAppendix2"/>
      </w:pPr>
      <w:bookmarkStart w:id="154" w:name="_Toc523322094"/>
      <w:r w:rsidRPr="00166DB1">
        <w:lastRenderedPageBreak/>
        <w:t>References</w:t>
      </w:r>
      <w:bookmarkEnd w:id="154"/>
      <w:r w:rsidRPr="00166DB1">
        <w:t xml:space="preserve"> </w:t>
      </w:r>
    </w:p>
    <w:tbl>
      <w:tblPr>
        <w:tblStyle w:val="TableGridLight"/>
        <w:tblW w:w="5000" w:type="pct"/>
        <w:tblLook w:val="04A0" w:firstRow="1" w:lastRow="0" w:firstColumn="1" w:lastColumn="0" w:noHBand="0" w:noVBand="1"/>
        <w:tblDescription w:val="Appendix G References. Table of References used in the document."/>
      </w:tblPr>
      <w:tblGrid>
        <w:gridCol w:w="540"/>
        <w:gridCol w:w="14248"/>
      </w:tblGrid>
      <w:tr w:rsidR="00133610" w:rsidRPr="00166DB1" w14:paraId="7D7E7974" w14:textId="77777777" w:rsidTr="00133610">
        <w:trPr>
          <w:tblHeader/>
        </w:trPr>
        <w:tc>
          <w:tcPr>
            <w:tcW w:w="50" w:type="pct"/>
          </w:tcPr>
          <w:p w14:paraId="4CD2E2B3" w14:textId="61F59178" w:rsidR="00133610" w:rsidRPr="00166DB1" w:rsidRDefault="00133610" w:rsidP="00FD2E06">
            <w:pPr>
              <w:rPr>
                <w:rFonts w:ascii="Garamond" w:eastAsia="Garamond" w:hAnsi="Garamond"/>
                <w:noProof/>
                <w:color w:val="000000"/>
              </w:rPr>
            </w:pPr>
            <w:r>
              <w:rPr>
                <w:rFonts w:ascii="Garamond" w:eastAsia="Garamond" w:hAnsi="Garamond"/>
                <w:noProof/>
                <w:color w:val="000000"/>
              </w:rPr>
              <w:t>No.</w:t>
            </w:r>
          </w:p>
        </w:tc>
        <w:tc>
          <w:tcPr>
            <w:tcW w:w="0" w:type="auto"/>
          </w:tcPr>
          <w:p w14:paraId="514FCD29" w14:textId="5253FE9C" w:rsidR="00133610" w:rsidRPr="00166DB1" w:rsidRDefault="00133610" w:rsidP="00FD2E06">
            <w:pPr>
              <w:rPr>
                <w:rFonts w:ascii="Garamond" w:eastAsia="Garamond" w:hAnsi="Garamond"/>
                <w:noProof/>
                <w:color w:val="000000"/>
              </w:rPr>
            </w:pPr>
            <w:r>
              <w:rPr>
                <w:rFonts w:ascii="Garamond" w:eastAsia="Garamond" w:hAnsi="Garamond"/>
                <w:noProof/>
                <w:color w:val="000000"/>
              </w:rPr>
              <w:t xml:space="preserve">Reference </w:t>
            </w:r>
          </w:p>
        </w:tc>
      </w:tr>
      <w:tr w:rsidR="00133610" w:rsidRPr="00166DB1" w14:paraId="688E900A" w14:textId="77777777" w:rsidTr="00FD2E06">
        <w:tc>
          <w:tcPr>
            <w:tcW w:w="50" w:type="pct"/>
            <w:hideMark/>
          </w:tcPr>
          <w:p w14:paraId="13358322" w14:textId="77777777" w:rsidR="00133610" w:rsidRPr="00166DB1" w:rsidRDefault="00133610" w:rsidP="00FD2E06">
            <w:pPr>
              <w:rPr>
                <w:rFonts w:ascii="Garamond" w:eastAsia="Garamond" w:hAnsi="Garamond"/>
                <w:noProof/>
                <w:color w:val="000000"/>
                <w:sz w:val="24"/>
                <w:szCs w:val="24"/>
              </w:rPr>
            </w:pPr>
            <w:r w:rsidRPr="00166DB1">
              <w:rPr>
                <w:rFonts w:ascii="Garamond" w:eastAsia="Garamond" w:hAnsi="Garamond"/>
                <w:noProof/>
                <w:color w:val="000000"/>
              </w:rPr>
              <w:t xml:space="preserve">[1] </w:t>
            </w:r>
          </w:p>
        </w:tc>
        <w:tc>
          <w:tcPr>
            <w:tcW w:w="0" w:type="auto"/>
            <w:hideMark/>
          </w:tcPr>
          <w:p w14:paraId="06F46335" w14:textId="77777777" w:rsidR="00133610" w:rsidRPr="00166DB1" w:rsidRDefault="00133610" w:rsidP="00FD2E06">
            <w:pPr>
              <w:rPr>
                <w:rFonts w:ascii="Garamond" w:eastAsia="Garamond" w:hAnsi="Garamond"/>
                <w:noProof/>
                <w:color w:val="000000"/>
              </w:rPr>
            </w:pPr>
            <w:r w:rsidRPr="00166DB1">
              <w:rPr>
                <w:rFonts w:ascii="Garamond" w:eastAsia="Garamond" w:hAnsi="Garamond"/>
                <w:noProof/>
                <w:color w:val="000000"/>
              </w:rPr>
              <w:t>D. Tune, “Evaluation: Renewed Strategic Emphasis,” Department of Finance and Deregulation, http://www.finance.gov.au/sites/default/files/speaking-notes-for-David-Tune-presentation-18-08-2010.pdf, 2010.</w:t>
            </w:r>
          </w:p>
        </w:tc>
      </w:tr>
      <w:tr w:rsidR="00133610" w:rsidRPr="00166DB1" w14:paraId="67407E9E" w14:textId="77777777" w:rsidTr="00FD2E06">
        <w:tc>
          <w:tcPr>
            <w:tcW w:w="50" w:type="pct"/>
            <w:hideMark/>
          </w:tcPr>
          <w:p w14:paraId="4038BAC8" w14:textId="77777777" w:rsidR="00133610" w:rsidRPr="00166DB1" w:rsidRDefault="00133610" w:rsidP="00FD2E06">
            <w:pPr>
              <w:rPr>
                <w:rFonts w:ascii="Garamond" w:eastAsia="Garamond" w:hAnsi="Garamond"/>
                <w:noProof/>
                <w:color w:val="000000"/>
              </w:rPr>
            </w:pPr>
            <w:r w:rsidRPr="00166DB1">
              <w:rPr>
                <w:rFonts w:ascii="Garamond" w:eastAsia="Garamond" w:hAnsi="Garamond"/>
                <w:noProof/>
                <w:color w:val="000000"/>
              </w:rPr>
              <w:t xml:space="preserve">[2] </w:t>
            </w:r>
          </w:p>
        </w:tc>
        <w:tc>
          <w:tcPr>
            <w:tcW w:w="0" w:type="auto"/>
            <w:hideMark/>
          </w:tcPr>
          <w:p w14:paraId="5B625AC1" w14:textId="77777777" w:rsidR="00133610" w:rsidRPr="00166DB1" w:rsidRDefault="00133610" w:rsidP="00FD2E06">
            <w:pPr>
              <w:rPr>
                <w:rFonts w:ascii="Garamond" w:eastAsia="Garamond" w:hAnsi="Garamond"/>
                <w:noProof/>
                <w:color w:val="000000"/>
              </w:rPr>
            </w:pPr>
            <w:r w:rsidRPr="00166DB1">
              <w:rPr>
                <w:rFonts w:ascii="Garamond" w:eastAsia="Garamond" w:hAnsi="Garamond"/>
                <w:noProof/>
                <w:color w:val="000000"/>
              </w:rPr>
              <w:t xml:space="preserve">Healthcare Management Advisors, </w:t>
            </w:r>
            <w:r w:rsidRPr="00166DB1">
              <w:rPr>
                <w:rFonts w:ascii="Garamond" w:eastAsia="Garamond" w:hAnsi="Garamond"/>
                <w:i/>
                <w:iCs/>
                <w:noProof/>
                <w:color w:val="000000"/>
              </w:rPr>
              <w:t>Addition.</w:t>
            </w:r>
            <w:r w:rsidRPr="00166DB1">
              <w:rPr>
                <w:rFonts w:ascii="Garamond" w:eastAsia="Garamond" w:hAnsi="Garamond"/>
                <w:noProof/>
                <w:color w:val="000000"/>
              </w:rPr>
              <w:t xml:space="preserve"> </w:t>
            </w:r>
          </w:p>
        </w:tc>
      </w:tr>
      <w:tr w:rsidR="00133610" w:rsidRPr="00166DB1" w14:paraId="2BCA156A" w14:textId="77777777" w:rsidTr="00FD2E06">
        <w:tc>
          <w:tcPr>
            <w:tcW w:w="50" w:type="pct"/>
            <w:hideMark/>
          </w:tcPr>
          <w:p w14:paraId="304671CE" w14:textId="77777777" w:rsidR="00133610" w:rsidRPr="00166DB1" w:rsidRDefault="00133610" w:rsidP="00FD2E06">
            <w:pPr>
              <w:rPr>
                <w:rFonts w:ascii="Garamond" w:eastAsia="Garamond" w:hAnsi="Garamond"/>
                <w:noProof/>
                <w:color w:val="000000"/>
              </w:rPr>
            </w:pPr>
            <w:r w:rsidRPr="00166DB1">
              <w:rPr>
                <w:rFonts w:ascii="Garamond" w:eastAsia="Garamond" w:hAnsi="Garamond"/>
                <w:noProof/>
                <w:color w:val="000000"/>
              </w:rPr>
              <w:t xml:space="preserve">[3] </w:t>
            </w:r>
          </w:p>
        </w:tc>
        <w:tc>
          <w:tcPr>
            <w:tcW w:w="0" w:type="auto"/>
            <w:hideMark/>
          </w:tcPr>
          <w:p w14:paraId="1988AFB9" w14:textId="77777777" w:rsidR="00133610" w:rsidRPr="00166DB1" w:rsidRDefault="00133610" w:rsidP="00FD2E06">
            <w:pPr>
              <w:rPr>
                <w:rFonts w:ascii="Garamond" w:eastAsia="Garamond" w:hAnsi="Garamond"/>
                <w:noProof/>
                <w:color w:val="000000"/>
              </w:rPr>
            </w:pPr>
            <w:r w:rsidRPr="00166DB1">
              <w:rPr>
                <w:rFonts w:ascii="Garamond" w:eastAsia="Garamond" w:hAnsi="Garamond"/>
                <w:noProof/>
                <w:color w:val="000000"/>
              </w:rPr>
              <w:t>Australian Institute of Health and Welfare, “Pharmacy workforce - detailed tables,” 2014. [Online]. Available: http://www.aihw.gov.au/workforce/pharmacy/.</w:t>
            </w:r>
          </w:p>
        </w:tc>
      </w:tr>
      <w:tr w:rsidR="00133610" w:rsidRPr="00166DB1" w14:paraId="2E8FCCD3" w14:textId="77777777" w:rsidTr="00FD2E06">
        <w:tc>
          <w:tcPr>
            <w:tcW w:w="50" w:type="pct"/>
            <w:hideMark/>
          </w:tcPr>
          <w:p w14:paraId="02A448BF" w14:textId="77777777" w:rsidR="00133610" w:rsidRPr="00166DB1" w:rsidRDefault="00133610" w:rsidP="00FD2E06">
            <w:pPr>
              <w:rPr>
                <w:rFonts w:ascii="Garamond" w:eastAsia="Garamond" w:hAnsi="Garamond"/>
                <w:noProof/>
                <w:color w:val="000000"/>
              </w:rPr>
            </w:pPr>
            <w:r w:rsidRPr="00166DB1">
              <w:rPr>
                <w:rFonts w:ascii="Garamond" w:eastAsia="Garamond" w:hAnsi="Garamond"/>
                <w:noProof/>
                <w:color w:val="000000"/>
              </w:rPr>
              <w:t xml:space="preserve">[4] </w:t>
            </w:r>
          </w:p>
        </w:tc>
        <w:tc>
          <w:tcPr>
            <w:tcW w:w="0" w:type="auto"/>
            <w:hideMark/>
          </w:tcPr>
          <w:p w14:paraId="73877491" w14:textId="77777777" w:rsidR="00133610" w:rsidRPr="00166DB1" w:rsidRDefault="00133610" w:rsidP="00FD2E06">
            <w:pPr>
              <w:rPr>
                <w:rFonts w:ascii="Garamond" w:eastAsia="Garamond" w:hAnsi="Garamond"/>
                <w:noProof/>
                <w:color w:val="000000"/>
              </w:rPr>
            </w:pPr>
            <w:r w:rsidRPr="00166DB1">
              <w:rPr>
                <w:rFonts w:ascii="Garamond" w:eastAsia="Garamond" w:hAnsi="Garamond"/>
                <w:noProof/>
                <w:color w:val="000000"/>
              </w:rPr>
              <w:t xml:space="preserve">Australian Health Practitioner Regulation Agency, </w:t>
            </w:r>
            <w:r w:rsidRPr="00166DB1">
              <w:rPr>
                <w:rFonts w:ascii="Garamond" w:eastAsia="Garamond" w:hAnsi="Garamond"/>
                <w:i/>
                <w:iCs/>
                <w:noProof/>
                <w:color w:val="000000"/>
              </w:rPr>
              <w:t xml:space="preserve">Pharmacy workforce data [unpublished], </w:t>
            </w:r>
            <w:r w:rsidRPr="00166DB1">
              <w:rPr>
                <w:rFonts w:ascii="Garamond" w:eastAsia="Garamond" w:hAnsi="Garamond"/>
                <w:noProof/>
                <w:color w:val="000000"/>
              </w:rPr>
              <w:t xml:space="preserve">Melbourne: AHPRA, 2015. </w:t>
            </w:r>
          </w:p>
        </w:tc>
      </w:tr>
      <w:tr w:rsidR="00133610" w:rsidRPr="00166DB1" w14:paraId="766F4373" w14:textId="77777777" w:rsidTr="00FD2E06">
        <w:tc>
          <w:tcPr>
            <w:tcW w:w="50" w:type="pct"/>
            <w:hideMark/>
          </w:tcPr>
          <w:p w14:paraId="5DB185A7" w14:textId="77777777" w:rsidR="00133610" w:rsidRPr="00166DB1" w:rsidRDefault="00133610" w:rsidP="00FD2E06">
            <w:pPr>
              <w:rPr>
                <w:rFonts w:ascii="Garamond" w:eastAsia="Garamond" w:hAnsi="Garamond"/>
                <w:noProof/>
                <w:color w:val="000000"/>
              </w:rPr>
            </w:pPr>
            <w:r w:rsidRPr="00166DB1">
              <w:rPr>
                <w:rFonts w:ascii="Garamond" w:eastAsia="Garamond" w:hAnsi="Garamond"/>
                <w:noProof/>
                <w:color w:val="000000"/>
              </w:rPr>
              <w:t xml:space="preserve">[5] </w:t>
            </w:r>
          </w:p>
        </w:tc>
        <w:tc>
          <w:tcPr>
            <w:tcW w:w="0" w:type="auto"/>
            <w:hideMark/>
          </w:tcPr>
          <w:p w14:paraId="7E61510C" w14:textId="77777777" w:rsidR="00133610" w:rsidRPr="00166DB1" w:rsidRDefault="00133610" w:rsidP="00FD2E06">
            <w:pPr>
              <w:rPr>
                <w:rFonts w:ascii="Garamond" w:eastAsia="Garamond" w:hAnsi="Garamond"/>
                <w:noProof/>
                <w:color w:val="000000"/>
              </w:rPr>
            </w:pPr>
            <w:r w:rsidRPr="00166DB1">
              <w:rPr>
                <w:rFonts w:ascii="Garamond" w:eastAsia="Garamond" w:hAnsi="Garamond"/>
                <w:noProof/>
                <w:color w:val="000000"/>
              </w:rPr>
              <w:t xml:space="preserve">Australian Bureau of Statistics, </w:t>
            </w:r>
            <w:r w:rsidRPr="00166DB1">
              <w:rPr>
                <w:rFonts w:ascii="Garamond" w:eastAsia="Garamond" w:hAnsi="Garamond"/>
                <w:i/>
                <w:iCs/>
                <w:noProof/>
                <w:color w:val="000000"/>
              </w:rPr>
              <w:t xml:space="preserve">Counts of Aboriginal and Torres Strait Islander Australians, Cat. No. 2075.0, </w:t>
            </w:r>
            <w:r w:rsidRPr="00166DB1">
              <w:rPr>
                <w:rFonts w:ascii="Garamond" w:eastAsia="Garamond" w:hAnsi="Garamond"/>
                <w:noProof/>
                <w:color w:val="000000"/>
              </w:rPr>
              <w:t xml:space="preserve">Canberra: ABS, 2011. </w:t>
            </w:r>
          </w:p>
        </w:tc>
      </w:tr>
      <w:tr w:rsidR="00133610" w:rsidRPr="00166DB1" w14:paraId="5EA47FF0" w14:textId="77777777" w:rsidTr="00FD2E06">
        <w:tc>
          <w:tcPr>
            <w:tcW w:w="50" w:type="pct"/>
            <w:hideMark/>
          </w:tcPr>
          <w:p w14:paraId="257B89FD" w14:textId="77777777" w:rsidR="00133610" w:rsidRPr="00166DB1" w:rsidRDefault="00133610" w:rsidP="00FD2E06">
            <w:pPr>
              <w:rPr>
                <w:rFonts w:ascii="Garamond" w:eastAsia="Garamond" w:hAnsi="Garamond"/>
                <w:noProof/>
                <w:color w:val="000000"/>
              </w:rPr>
            </w:pPr>
            <w:r w:rsidRPr="00166DB1">
              <w:rPr>
                <w:rFonts w:ascii="Garamond" w:eastAsia="Garamond" w:hAnsi="Garamond"/>
                <w:noProof/>
                <w:color w:val="000000"/>
              </w:rPr>
              <w:t xml:space="preserve">[6] </w:t>
            </w:r>
          </w:p>
        </w:tc>
        <w:tc>
          <w:tcPr>
            <w:tcW w:w="0" w:type="auto"/>
            <w:hideMark/>
          </w:tcPr>
          <w:p w14:paraId="0F698874" w14:textId="77777777" w:rsidR="00133610" w:rsidRPr="00166DB1" w:rsidRDefault="00133610" w:rsidP="00FD2E06">
            <w:pPr>
              <w:rPr>
                <w:rFonts w:ascii="Garamond" w:eastAsia="Garamond" w:hAnsi="Garamond"/>
                <w:noProof/>
                <w:color w:val="000000"/>
              </w:rPr>
            </w:pPr>
            <w:r w:rsidRPr="00166DB1">
              <w:rPr>
                <w:rFonts w:ascii="Garamond" w:eastAsia="Garamond" w:hAnsi="Garamond"/>
                <w:noProof/>
                <w:color w:val="000000"/>
              </w:rPr>
              <w:t>National Rural Health Alliance , “Access to medicines and pharmacy services in rural and remote Australia,” 2014.</w:t>
            </w:r>
          </w:p>
        </w:tc>
      </w:tr>
      <w:tr w:rsidR="00133610" w:rsidRPr="00166DB1" w14:paraId="08FED5FA" w14:textId="77777777" w:rsidTr="00FD2E06">
        <w:tc>
          <w:tcPr>
            <w:tcW w:w="50" w:type="pct"/>
            <w:hideMark/>
          </w:tcPr>
          <w:p w14:paraId="67CD040F" w14:textId="77777777" w:rsidR="00133610" w:rsidRPr="00166DB1" w:rsidRDefault="00133610" w:rsidP="00FD2E06">
            <w:pPr>
              <w:rPr>
                <w:rFonts w:ascii="Garamond" w:eastAsia="Garamond" w:hAnsi="Garamond"/>
                <w:noProof/>
                <w:color w:val="000000"/>
              </w:rPr>
            </w:pPr>
            <w:r w:rsidRPr="00166DB1">
              <w:rPr>
                <w:rFonts w:ascii="Garamond" w:eastAsia="Garamond" w:hAnsi="Garamond"/>
                <w:noProof/>
                <w:color w:val="000000"/>
              </w:rPr>
              <w:t xml:space="preserve">[7] </w:t>
            </w:r>
          </w:p>
        </w:tc>
        <w:tc>
          <w:tcPr>
            <w:tcW w:w="0" w:type="auto"/>
            <w:hideMark/>
          </w:tcPr>
          <w:p w14:paraId="3F21A68A" w14:textId="77777777" w:rsidR="00133610" w:rsidRPr="00166DB1" w:rsidRDefault="00133610" w:rsidP="00FD2E06">
            <w:pPr>
              <w:rPr>
                <w:rFonts w:ascii="Garamond" w:eastAsia="Garamond" w:hAnsi="Garamond"/>
                <w:noProof/>
                <w:color w:val="000000"/>
              </w:rPr>
            </w:pPr>
            <w:r w:rsidRPr="00166DB1">
              <w:rPr>
                <w:rFonts w:ascii="Garamond" w:eastAsia="Garamond" w:hAnsi="Garamond"/>
                <w:noProof/>
                <w:color w:val="000000"/>
              </w:rPr>
              <w:t>Pharmaceutical Society of Australia , “POSITION STATEMENT ON IMPROVING ACCESS TO PHARMACY SERVICES IN RURAL AND REMOTE AREAS,” 2010.</w:t>
            </w:r>
          </w:p>
        </w:tc>
      </w:tr>
      <w:tr w:rsidR="00133610" w:rsidRPr="00166DB1" w14:paraId="228CF177" w14:textId="77777777" w:rsidTr="00FD2E06">
        <w:tc>
          <w:tcPr>
            <w:tcW w:w="50" w:type="pct"/>
            <w:hideMark/>
          </w:tcPr>
          <w:p w14:paraId="33638321" w14:textId="77777777" w:rsidR="00133610" w:rsidRPr="00166DB1" w:rsidRDefault="00133610" w:rsidP="00FD2E06">
            <w:pPr>
              <w:rPr>
                <w:rFonts w:ascii="Garamond" w:eastAsia="Garamond" w:hAnsi="Garamond"/>
                <w:noProof/>
                <w:color w:val="000000"/>
              </w:rPr>
            </w:pPr>
            <w:r w:rsidRPr="00166DB1">
              <w:rPr>
                <w:rFonts w:ascii="Garamond" w:eastAsia="Garamond" w:hAnsi="Garamond"/>
                <w:noProof/>
                <w:color w:val="000000"/>
              </w:rPr>
              <w:t xml:space="preserve">[8] </w:t>
            </w:r>
          </w:p>
        </w:tc>
        <w:tc>
          <w:tcPr>
            <w:tcW w:w="0" w:type="auto"/>
            <w:hideMark/>
          </w:tcPr>
          <w:p w14:paraId="0BAA6262" w14:textId="77777777" w:rsidR="00133610" w:rsidRPr="00166DB1" w:rsidRDefault="00133610" w:rsidP="00FD2E06">
            <w:pPr>
              <w:rPr>
                <w:rFonts w:ascii="Garamond" w:eastAsia="Garamond" w:hAnsi="Garamond"/>
                <w:noProof/>
                <w:color w:val="000000"/>
              </w:rPr>
            </w:pPr>
            <w:r w:rsidRPr="00166DB1">
              <w:rPr>
                <w:rFonts w:ascii="Garamond" w:eastAsia="Garamond" w:hAnsi="Garamond"/>
                <w:noProof/>
                <w:color w:val="000000"/>
              </w:rPr>
              <w:t>University of Adelaide, “Pharmacy ARIA - PhARIA,” 3 July 2017. [Online]. Available: https://www.adelaide.edu.au/apmrc/research/projects/pharia/. [Accessed 1 August 2017].</w:t>
            </w:r>
          </w:p>
        </w:tc>
      </w:tr>
      <w:tr w:rsidR="00133610" w:rsidRPr="00166DB1" w14:paraId="30ED3D90" w14:textId="77777777" w:rsidTr="00FD2E06">
        <w:tc>
          <w:tcPr>
            <w:tcW w:w="50" w:type="pct"/>
            <w:hideMark/>
          </w:tcPr>
          <w:p w14:paraId="14182DFC" w14:textId="77777777" w:rsidR="00133610" w:rsidRPr="00166DB1" w:rsidRDefault="00133610" w:rsidP="00FD2E06">
            <w:pPr>
              <w:rPr>
                <w:rFonts w:ascii="Garamond" w:eastAsia="Garamond" w:hAnsi="Garamond"/>
                <w:noProof/>
                <w:color w:val="000000"/>
              </w:rPr>
            </w:pPr>
            <w:r w:rsidRPr="00166DB1">
              <w:rPr>
                <w:rFonts w:ascii="Garamond" w:eastAsia="Garamond" w:hAnsi="Garamond"/>
                <w:noProof/>
                <w:color w:val="000000"/>
              </w:rPr>
              <w:t xml:space="preserve">[9] </w:t>
            </w:r>
          </w:p>
        </w:tc>
        <w:tc>
          <w:tcPr>
            <w:tcW w:w="0" w:type="auto"/>
            <w:hideMark/>
          </w:tcPr>
          <w:p w14:paraId="7EA8E885" w14:textId="77777777" w:rsidR="00133610" w:rsidRPr="00166DB1" w:rsidRDefault="00133610" w:rsidP="00FD2E06">
            <w:pPr>
              <w:rPr>
                <w:rFonts w:ascii="Garamond" w:eastAsia="Garamond" w:hAnsi="Garamond"/>
                <w:noProof/>
                <w:color w:val="000000"/>
              </w:rPr>
            </w:pPr>
            <w:r w:rsidRPr="00166DB1">
              <w:rPr>
                <w:rFonts w:ascii="Garamond" w:eastAsia="Garamond" w:hAnsi="Garamond"/>
                <w:noProof/>
                <w:color w:val="000000"/>
              </w:rPr>
              <w:t>Department of Health, “Modified Monash Model,” 06 June 2016. [Online]. Available: http://www.health.gov.au/internet/main/publishing.nsf/content/modified-monash-model. [Accessed 1 August 2017].</w:t>
            </w:r>
          </w:p>
        </w:tc>
      </w:tr>
      <w:tr w:rsidR="00133610" w:rsidRPr="00166DB1" w14:paraId="6D521125" w14:textId="77777777" w:rsidTr="00FD2E06">
        <w:tc>
          <w:tcPr>
            <w:tcW w:w="50" w:type="pct"/>
            <w:hideMark/>
          </w:tcPr>
          <w:p w14:paraId="185F91E9" w14:textId="77777777" w:rsidR="00133610" w:rsidRPr="00166DB1" w:rsidRDefault="00133610" w:rsidP="00FD2E06">
            <w:pPr>
              <w:rPr>
                <w:rFonts w:ascii="Garamond" w:eastAsia="Garamond" w:hAnsi="Garamond"/>
                <w:noProof/>
                <w:color w:val="000000"/>
              </w:rPr>
            </w:pPr>
            <w:r w:rsidRPr="00166DB1">
              <w:rPr>
                <w:rFonts w:ascii="Garamond" w:eastAsia="Garamond" w:hAnsi="Garamond"/>
                <w:noProof/>
                <w:color w:val="000000"/>
              </w:rPr>
              <w:t xml:space="preserve">[10] </w:t>
            </w:r>
          </w:p>
        </w:tc>
        <w:tc>
          <w:tcPr>
            <w:tcW w:w="0" w:type="auto"/>
            <w:hideMark/>
          </w:tcPr>
          <w:p w14:paraId="256D4DE5" w14:textId="77777777" w:rsidR="00133610" w:rsidRPr="00166DB1" w:rsidRDefault="00133610" w:rsidP="00FD2E06">
            <w:pPr>
              <w:rPr>
                <w:rFonts w:ascii="Garamond" w:eastAsia="Garamond" w:hAnsi="Garamond"/>
                <w:noProof/>
                <w:color w:val="000000"/>
              </w:rPr>
            </w:pPr>
            <w:r w:rsidRPr="00166DB1">
              <w:rPr>
                <w:rFonts w:ascii="Garamond" w:eastAsia="Garamond" w:hAnsi="Garamond"/>
                <w:noProof/>
                <w:color w:val="000000"/>
              </w:rPr>
              <w:t>Department of Health, “Pharmacy information for consumers,” 18 Feb 2016. [Online]. Available: http://www.health.gov.au/internet/main/publishing.nsf/Content/consumer-pharmacy. [Accessed 2017].</w:t>
            </w:r>
          </w:p>
        </w:tc>
      </w:tr>
      <w:tr w:rsidR="00133610" w:rsidRPr="00166DB1" w14:paraId="786CFC66" w14:textId="77777777" w:rsidTr="00FD2E06">
        <w:tc>
          <w:tcPr>
            <w:tcW w:w="50" w:type="pct"/>
            <w:hideMark/>
          </w:tcPr>
          <w:p w14:paraId="0068B92C" w14:textId="77777777" w:rsidR="00133610" w:rsidRPr="00166DB1" w:rsidRDefault="00133610" w:rsidP="00FD2E06">
            <w:pPr>
              <w:rPr>
                <w:rFonts w:ascii="Garamond" w:eastAsia="Garamond" w:hAnsi="Garamond"/>
                <w:noProof/>
                <w:color w:val="000000"/>
              </w:rPr>
            </w:pPr>
            <w:r w:rsidRPr="00166DB1">
              <w:rPr>
                <w:rFonts w:ascii="Garamond" w:eastAsia="Garamond" w:hAnsi="Garamond"/>
                <w:noProof/>
                <w:color w:val="000000"/>
              </w:rPr>
              <w:t xml:space="preserve">[11] </w:t>
            </w:r>
          </w:p>
        </w:tc>
        <w:tc>
          <w:tcPr>
            <w:tcW w:w="0" w:type="auto"/>
            <w:hideMark/>
          </w:tcPr>
          <w:p w14:paraId="4C9482DB" w14:textId="77777777" w:rsidR="00133610" w:rsidRPr="00166DB1" w:rsidRDefault="00133610" w:rsidP="00FD2E06">
            <w:pPr>
              <w:rPr>
                <w:rFonts w:ascii="Garamond" w:eastAsia="Garamond" w:hAnsi="Garamond"/>
                <w:noProof/>
                <w:color w:val="000000"/>
              </w:rPr>
            </w:pPr>
            <w:r w:rsidRPr="00166DB1">
              <w:rPr>
                <w:rFonts w:ascii="Garamond" w:eastAsia="Garamond" w:hAnsi="Garamond"/>
                <w:noProof/>
                <w:color w:val="000000"/>
              </w:rPr>
              <w:t>Department of Health, for consumers, “Health System Effectiveness and Clinically Appropriate Care,” 5 July 2013. [Online]. Available: http://www.health.gov.au/internet/publications/publishing.nsf/Content/natsihp-companion-toc~invest-enablers~approp-care. [Accessed 2017].</w:t>
            </w:r>
          </w:p>
        </w:tc>
      </w:tr>
      <w:tr w:rsidR="00133610" w:rsidRPr="00166DB1" w14:paraId="47EDDFB8" w14:textId="77777777" w:rsidTr="00FD2E06">
        <w:tc>
          <w:tcPr>
            <w:tcW w:w="50" w:type="pct"/>
            <w:hideMark/>
          </w:tcPr>
          <w:p w14:paraId="081BD26A" w14:textId="77777777" w:rsidR="00133610" w:rsidRPr="00166DB1" w:rsidRDefault="00133610" w:rsidP="00FD2E06">
            <w:pPr>
              <w:rPr>
                <w:rFonts w:ascii="Garamond" w:eastAsia="Garamond" w:hAnsi="Garamond"/>
                <w:noProof/>
                <w:color w:val="000000"/>
              </w:rPr>
            </w:pPr>
            <w:r w:rsidRPr="00166DB1">
              <w:rPr>
                <w:rFonts w:ascii="Garamond" w:eastAsia="Garamond" w:hAnsi="Garamond"/>
                <w:noProof/>
                <w:color w:val="000000"/>
              </w:rPr>
              <w:t xml:space="preserve">[12] </w:t>
            </w:r>
          </w:p>
        </w:tc>
        <w:tc>
          <w:tcPr>
            <w:tcW w:w="0" w:type="auto"/>
            <w:hideMark/>
          </w:tcPr>
          <w:p w14:paraId="2E63DBA4" w14:textId="77777777" w:rsidR="00133610" w:rsidRPr="00166DB1" w:rsidRDefault="00133610" w:rsidP="00FD2E06">
            <w:pPr>
              <w:rPr>
                <w:rFonts w:ascii="Garamond" w:eastAsia="Garamond" w:hAnsi="Garamond"/>
                <w:noProof/>
                <w:color w:val="000000"/>
              </w:rPr>
            </w:pPr>
            <w:r w:rsidRPr="00166DB1">
              <w:rPr>
                <w:rFonts w:ascii="Garamond" w:eastAsia="Garamond" w:hAnsi="Garamond"/>
                <w:noProof/>
                <w:color w:val="000000"/>
              </w:rPr>
              <w:t>Department of Health , “General Practice Rural Incentive Program Guidlines,” 30 June 2017. [Online]. Available: http://www.health.gov.au/internet/main/publishing.nsf/content/general_practice_rural_incentives_programme-programme-guidelines. [Accessed 2017].</w:t>
            </w:r>
          </w:p>
        </w:tc>
      </w:tr>
      <w:tr w:rsidR="00133610" w:rsidRPr="00166DB1" w14:paraId="4C0BC408" w14:textId="77777777" w:rsidTr="00FD2E06">
        <w:tc>
          <w:tcPr>
            <w:tcW w:w="50" w:type="pct"/>
            <w:hideMark/>
          </w:tcPr>
          <w:p w14:paraId="0BAC7814" w14:textId="77777777" w:rsidR="00133610" w:rsidRPr="00166DB1" w:rsidRDefault="00133610" w:rsidP="00FD2E06">
            <w:pPr>
              <w:rPr>
                <w:rFonts w:ascii="Garamond" w:eastAsia="Garamond" w:hAnsi="Garamond"/>
                <w:noProof/>
                <w:color w:val="000000"/>
              </w:rPr>
            </w:pPr>
            <w:r w:rsidRPr="00166DB1">
              <w:rPr>
                <w:rFonts w:ascii="Garamond" w:eastAsia="Garamond" w:hAnsi="Garamond"/>
                <w:noProof/>
                <w:color w:val="000000"/>
              </w:rPr>
              <w:t xml:space="preserve">[13] </w:t>
            </w:r>
          </w:p>
        </w:tc>
        <w:tc>
          <w:tcPr>
            <w:tcW w:w="0" w:type="auto"/>
            <w:hideMark/>
          </w:tcPr>
          <w:p w14:paraId="72874FC2" w14:textId="77777777" w:rsidR="00133610" w:rsidRPr="00166DB1" w:rsidRDefault="00133610" w:rsidP="00FD2E06">
            <w:pPr>
              <w:rPr>
                <w:rFonts w:ascii="Garamond" w:eastAsia="Garamond" w:hAnsi="Garamond"/>
                <w:noProof/>
                <w:color w:val="000000"/>
              </w:rPr>
            </w:pPr>
            <w:r w:rsidRPr="00166DB1">
              <w:rPr>
                <w:rFonts w:ascii="Garamond" w:eastAsia="Garamond" w:hAnsi="Garamond"/>
                <w:noProof/>
                <w:color w:val="000000"/>
              </w:rPr>
              <w:t>ESS BIZTOOLS Pty Ltd, “AUSTRALIAN GOVERNMENT GRANTS AND ASSISTANCE - RURAL RELOCATION INCENTIVE GRANT FOR MEDICAL PRACTITIONERS, Paper 014-154,” 2013.</w:t>
            </w:r>
          </w:p>
        </w:tc>
      </w:tr>
      <w:tr w:rsidR="00133610" w:rsidRPr="00166DB1" w14:paraId="40F98D6E" w14:textId="77777777" w:rsidTr="00FD2E06">
        <w:tc>
          <w:tcPr>
            <w:tcW w:w="50" w:type="pct"/>
            <w:hideMark/>
          </w:tcPr>
          <w:p w14:paraId="7A6C38CD" w14:textId="77777777" w:rsidR="00133610" w:rsidRPr="00166DB1" w:rsidRDefault="00133610" w:rsidP="00FD2E06">
            <w:pPr>
              <w:rPr>
                <w:rFonts w:ascii="Garamond" w:eastAsia="Garamond" w:hAnsi="Garamond"/>
                <w:noProof/>
                <w:color w:val="000000"/>
              </w:rPr>
            </w:pPr>
            <w:r w:rsidRPr="00166DB1">
              <w:rPr>
                <w:rFonts w:ascii="Garamond" w:eastAsia="Garamond" w:hAnsi="Garamond"/>
                <w:noProof/>
                <w:color w:val="000000"/>
              </w:rPr>
              <w:t xml:space="preserve">[14] </w:t>
            </w:r>
          </w:p>
        </w:tc>
        <w:tc>
          <w:tcPr>
            <w:tcW w:w="0" w:type="auto"/>
            <w:hideMark/>
          </w:tcPr>
          <w:p w14:paraId="24CBFEC5" w14:textId="77777777" w:rsidR="00133610" w:rsidRPr="00166DB1" w:rsidRDefault="00133610" w:rsidP="00FD2E06">
            <w:pPr>
              <w:rPr>
                <w:rFonts w:ascii="Garamond" w:eastAsia="Garamond" w:hAnsi="Garamond"/>
                <w:noProof/>
                <w:color w:val="000000"/>
              </w:rPr>
            </w:pPr>
            <w:r w:rsidRPr="00166DB1">
              <w:rPr>
                <w:rFonts w:ascii="Garamond" w:eastAsia="Garamond" w:hAnsi="Garamond"/>
                <w:noProof/>
                <w:color w:val="000000"/>
              </w:rPr>
              <w:t>Department of Health , “Medical Rural Bonded Scholarship (MRBS) Scheme 2015,” 6 March 2017. [Online]. Available: http://www.health.gov.au/mrbscholarships. [Accessed 2017].</w:t>
            </w:r>
          </w:p>
        </w:tc>
      </w:tr>
      <w:tr w:rsidR="00133610" w:rsidRPr="00166DB1" w14:paraId="399A75BF" w14:textId="77777777" w:rsidTr="00FD2E06">
        <w:tc>
          <w:tcPr>
            <w:tcW w:w="50" w:type="pct"/>
            <w:hideMark/>
          </w:tcPr>
          <w:p w14:paraId="40B381D6" w14:textId="77777777" w:rsidR="00133610" w:rsidRPr="00166DB1" w:rsidRDefault="00133610" w:rsidP="00FD2E06">
            <w:pPr>
              <w:rPr>
                <w:rFonts w:ascii="Garamond" w:eastAsia="Garamond" w:hAnsi="Garamond"/>
                <w:noProof/>
                <w:color w:val="000000"/>
              </w:rPr>
            </w:pPr>
            <w:r w:rsidRPr="00166DB1">
              <w:rPr>
                <w:rFonts w:ascii="Garamond" w:eastAsia="Garamond" w:hAnsi="Garamond"/>
                <w:noProof/>
                <w:color w:val="000000"/>
              </w:rPr>
              <w:t xml:space="preserve">[15] </w:t>
            </w:r>
          </w:p>
        </w:tc>
        <w:tc>
          <w:tcPr>
            <w:tcW w:w="0" w:type="auto"/>
            <w:hideMark/>
          </w:tcPr>
          <w:p w14:paraId="4188D685" w14:textId="77777777" w:rsidR="00133610" w:rsidRPr="00166DB1" w:rsidRDefault="00133610" w:rsidP="00FD2E06">
            <w:pPr>
              <w:rPr>
                <w:rFonts w:ascii="Garamond" w:eastAsia="Garamond" w:hAnsi="Garamond"/>
                <w:noProof/>
                <w:color w:val="000000"/>
              </w:rPr>
            </w:pPr>
            <w:r w:rsidRPr="00166DB1">
              <w:rPr>
                <w:rFonts w:ascii="Garamond" w:eastAsia="Garamond" w:hAnsi="Garamond"/>
                <w:noProof/>
                <w:color w:val="000000"/>
              </w:rPr>
              <w:t>Rural Health Workforce Australia, “5 Year Overseas Trained Doctor Scheme,” [Online]. Available: http://www.rhwa.org.au/5-year-otd-scheme. [Accessed 2017].</w:t>
            </w:r>
          </w:p>
        </w:tc>
      </w:tr>
      <w:tr w:rsidR="00133610" w:rsidRPr="00166DB1" w14:paraId="4FB07E20" w14:textId="77777777" w:rsidTr="00FD2E06">
        <w:tc>
          <w:tcPr>
            <w:tcW w:w="50" w:type="pct"/>
            <w:hideMark/>
          </w:tcPr>
          <w:p w14:paraId="75A3FA86" w14:textId="77777777" w:rsidR="00133610" w:rsidRPr="00166DB1" w:rsidRDefault="00133610" w:rsidP="00FD2E06">
            <w:pPr>
              <w:rPr>
                <w:rFonts w:ascii="Garamond" w:eastAsia="Garamond" w:hAnsi="Garamond"/>
                <w:noProof/>
                <w:color w:val="000000"/>
              </w:rPr>
            </w:pPr>
            <w:r w:rsidRPr="00166DB1">
              <w:rPr>
                <w:rFonts w:ascii="Garamond" w:eastAsia="Garamond" w:hAnsi="Garamond"/>
                <w:noProof/>
                <w:color w:val="000000"/>
              </w:rPr>
              <w:t xml:space="preserve">[16] </w:t>
            </w:r>
          </w:p>
        </w:tc>
        <w:tc>
          <w:tcPr>
            <w:tcW w:w="0" w:type="auto"/>
            <w:hideMark/>
          </w:tcPr>
          <w:p w14:paraId="2ECED43A" w14:textId="77777777" w:rsidR="00133610" w:rsidRPr="00166DB1" w:rsidRDefault="00133610" w:rsidP="00FD2E06">
            <w:pPr>
              <w:rPr>
                <w:rFonts w:ascii="Garamond" w:eastAsia="Garamond" w:hAnsi="Garamond"/>
                <w:noProof/>
                <w:color w:val="000000"/>
              </w:rPr>
            </w:pPr>
            <w:r w:rsidRPr="00166DB1">
              <w:rPr>
                <w:rFonts w:ascii="Garamond" w:eastAsia="Garamond" w:hAnsi="Garamond"/>
                <w:noProof/>
                <w:color w:val="000000"/>
              </w:rPr>
              <w:t>Department of Health , “Rural and Remote General Practice Program,” 22 August 2012. [Online]. Available: http://www.health.gov.au/internet/main/publishing.nsf/content/work-pr-rrgpp. [Accessed 2017].</w:t>
            </w:r>
          </w:p>
        </w:tc>
      </w:tr>
      <w:tr w:rsidR="00133610" w:rsidRPr="00166DB1" w14:paraId="278AE0BC" w14:textId="77777777" w:rsidTr="00FD2E06">
        <w:tc>
          <w:tcPr>
            <w:tcW w:w="50" w:type="pct"/>
            <w:hideMark/>
          </w:tcPr>
          <w:p w14:paraId="40E36F49" w14:textId="77777777" w:rsidR="00133610" w:rsidRPr="00166DB1" w:rsidRDefault="00133610" w:rsidP="00FD2E06">
            <w:pPr>
              <w:rPr>
                <w:rFonts w:ascii="Garamond" w:eastAsia="Garamond" w:hAnsi="Garamond"/>
                <w:noProof/>
                <w:color w:val="000000"/>
              </w:rPr>
            </w:pPr>
            <w:r w:rsidRPr="00166DB1">
              <w:rPr>
                <w:rFonts w:ascii="Garamond" w:eastAsia="Garamond" w:hAnsi="Garamond"/>
                <w:noProof/>
                <w:color w:val="000000"/>
              </w:rPr>
              <w:t xml:space="preserve">[17] </w:t>
            </w:r>
          </w:p>
        </w:tc>
        <w:tc>
          <w:tcPr>
            <w:tcW w:w="0" w:type="auto"/>
            <w:hideMark/>
          </w:tcPr>
          <w:p w14:paraId="70311F4E" w14:textId="77777777" w:rsidR="00133610" w:rsidRPr="00166DB1" w:rsidRDefault="00133610" w:rsidP="00FD2E06">
            <w:pPr>
              <w:rPr>
                <w:rFonts w:ascii="Garamond" w:eastAsia="Garamond" w:hAnsi="Garamond"/>
                <w:noProof/>
                <w:color w:val="000000"/>
              </w:rPr>
            </w:pPr>
            <w:r w:rsidRPr="00166DB1">
              <w:rPr>
                <w:rFonts w:ascii="Garamond" w:eastAsia="Garamond" w:hAnsi="Garamond"/>
                <w:noProof/>
                <w:color w:val="000000"/>
              </w:rPr>
              <w:t>John Flynn Placement Program , [Online]. Available: https://www.jfpp.com.au/. [Accessed 2017].</w:t>
            </w:r>
          </w:p>
        </w:tc>
      </w:tr>
      <w:tr w:rsidR="00133610" w:rsidRPr="00166DB1" w14:paraId="21132A67" w14:textId="77777777" w:rsidTr="00FD2E06">
        <w:tc>
          <w:tcPr>
            <w:tcW w:w="50" w:type="pct"/>
            <w:hideMark/>
          </w:tcPr>
          <w:p w14:paraId="15DC4745" w14:textId="77777777" w:rsidR="00133610" w:rsidRPr="00166DB1" w:rsidRDefault="00133610" w:rsidP="00FD2E06">
            <w:pPr>
              <w:rPr>
                <w:rFonts w:ascii="Garamond" w:eastAsia="Garamond" w:hAnsi="Garamond"/>
                <w:noProof/>
                <w:color w:val="000000"/>
              </w:rPr>
            </w:pPr>
            <w:r w:rsidRPr="00166DB1">
              <w:rPr>
                <w:rFonts w:ascii="Garamond" w:eastAsia="Garamond" w:hAnsi="Garamond"/>
                <w:noProof/>
                <w:color w:val="000000"/>
              </w:rPr>
              <w:lastRenderedPageBreak/>
              <w:t xml:space="preserve">[18] </w:t>
            </w:r>
          </w:p>
        </w:tc>
        <w:tc>
          <w:tcPr>
            <w:tcW w:w="0" w:type="auto"/>
            <w:hideMark/>
          </w:tcPr>
          <w:p w14:paraId="3EA6D3AB" w14:textId="77777777" w:rsidR="00133610" w:rsidRPr="00166DB1" w:rsidRDefault="00133610" w:rsidP="00FD2E06">
            <w:pPr>
              <w:rPr>
                <w:rFonts w:ascii="Garamond" w:eastAsia="Garamond" w:hAnsi="Garamond"/>
                <w:noProof/>
                <w:color w:val="000000"/>
              </w:rPr>
            </w:pPr>
            <w:r w:rsidRPr="00166DB1">
              <w:rPr>
                <w:rFonts w:ascii="Garamond" w:eastAsia="Garamond" w:hAnsi="Garamond"/>
                <w:noProof/>
                <w:color w:val="000000"/>
              </w:rPr>
              <w:t>Department of Health , “Dental Relocation and Infrastructure Support Scheme,” 19 April 2016. [Online]. Available: http://www.health.gov.au/internet/main/publishing.nsf/Content/work-st-driss. [Accessed 2017].</w:t>
            </w:r>
          </w:p>
        </w:tc>
      </w:tr>
      <w:tr w:rsidR="00133610" w:rsidRPr="00166DB1" w14:paraId="3F9E8A07" w14:textId="77777777" w:rsidTr="00FD2E06">
        <w:tc>
          <w:tcPr>
            <w:tcW w:w="50" w:type="pct"/>
            <w:hideMark/>
          </w:tcPr>
          <w:p w14:paraId="774E7EBE" w14:textId="77777777" w:rsidR="00133610" w:rsidRPr="00166DB1" w:rsidRDefault="00133610" w:rsidP="00FD2E06">
            <w:pPr>
              <w:rPr>
                <w:rFonts w:ascii="Garamond" w:eastAsia="Garamond" w:hAnsi="Garamond"/>
                <w:noProof/>
                <w:color w:val="000000"/>
              </w:rPr>
            </w:pPr>
            <w:r w:rsidRPr="00166DB1">
              <w:rPr>
                <w:rFonts w:ascii="Garamond" w:eastAsia="Garamond" w:hAnsi="Garamond"/>
                <w:noProof/>
                <w:color w:val="000000"/>
              </w:rPr>
              <w:t xml:space="preserve">[19] </w:t>
            </w:r>
          </w:p>
        </w:tc>
        <w:tc>
          <w:tcPr>
            <w:tcW w:w="0" w:type="auto"/>
            <w:hideMark/>
          </w:tcPr>
          <w:p w14:paraId="19612A40" w14:textId="77777777" w:rsidR="00133610" w:rsidRPr="00166DB1" w:rsidRDefault="00133610" w:rsidP="00FD2E06">
            <w:pPr>
              <w:rPr>
                <w:rFonts w:ascii="Garamond" w:eastAsia="Garamond" w:hAnsi="Garamond"/>
                <w:noProof/>
                <w:color w:val="000000"/>
              </w:rPr>
            </w:pPr>
            <w:r w:rsidRPr="00166DB1">
              <w:rPr>
                <w:rFonts w:ascii="Garamond" w:eastAsia="Garamond" w:hAnsi="Garamond"/>
                <w:noProof/>
                <w:color w:val="000000"/>
              </w:rPr>
              <w:t>Department of Health , “National Health Workforce Dataset (NHWDS),” Canberra, 2013 - 2015.</w:t>
            </w:r>
          </w:p>
        </w:tc>
      </w:tr>
      <w:tr w:rsidR="00133610" w:rsidRPr="00166DB1" w14:paraId="30CA03EF" w14:textId="77777777" w:rsidTr="00FD2E06">
        <w:tc>
          <w:tcPr>
            <w:tcW w:w="50" w:type="pct"/>
            <w:hideMark/>
          </w:tcPr>
          <w:p w14:paraId="402211E6" w14:textId="77777777" w:rsidR="00133610" w:rsidRPr="00166DB1" w:rsidRDefault="00133610" w:rsidP="00FD2E06">
            <w:pPr>
              <w:rPr>
                <w:rFonts w:ascii="Garamond" w:eastAsia="Garamond" w:hAnsi="Garamond"/>
                <w:noProof/>
                <w:color w:val="000000"/>
              </w:rPr>
            </w:pPr>
            <w:r w:rsidRPr="00166DB1">
              <w:rPr>
                <w:rFonts w:ascii="Garamond" w:eastAsia="Garamond" w:hAnsi="Garamond"/>
                <w:noProof/>
                <w:color w:val="000000"/>
              </w:rPr>
              <w:t xml:space="preserve">[20] </w:t>
            </w:r>
          </w:p>
        </w:tc>
        <w:tc>
          <w:tcPr>
            <w:tcW w:w="0" w:type="auto"/>
            <w:hideMark/>
          </w:tcPr>
          <w:p w14:paraId="761578D9" w14:textId="77777777" w:rsidR="00133610" w:rsidRPr="00166DB1" w:rsidRDefault="00133610" w:rsidP="00FD2E06">
            <w:pPr>
              <w:rPr>
                <w:rFonts w:ascii="Garamond" w:eastAsia="Garamond" w:hAnsi="Garamond"/>
                <w:noProof/>
                <w:color w:val="000000"/>
              </w:rPr>
            </w:pPr>
            <w:r w:rsidRPr="00166DB1">
              <w:rPr>
                <w:rFonts w:ascii="Garamond" w:eastAsia="Garamond" w:hAnsi="Garamond"/>
                <w:noProof/>
                <w:color w:val="000000"/>
              </w:rPr>
              <w:t>Australian Beureau of Statistics, “ABS - 3218.0 - Regional Population Growth,” 2013 to 2015.</w:t>
            </w:r>
          </w:p>
        </w:tc>
      </w:tr>
      <w:tr w:rsidR="00133610" w:rsidRPr="00166DB1" w14:paraId="3A5CE0DA" w14:textId="77777777" w:rsidTr="00FD2E06">
        <w:tc>
          <w:tcPr>
            <w:tcW w:w="50" w:type="pct"/>
            <w:hideMark/>
          </w:tcPr>
          <w:p w14:paraId="5105BF44" w14:textId="77777777" w:rsidR="00133610" w:rsidRPr="00166DB1" w:rsidRDefault="00133610" w:rsidP="00FD2E06">
            <w:pPr>
              <w:rPr>
                <w:rFonts w:ascii="Garamond" w:eastAsia="Garamond" w:hAnsi="Garamond"/>
                <w:noProof/>
                <w:color w:val="000000"/>
              </w:rPr>
            </w:pPr>
            <w:r w:rsidRPr="00166DB1">
              <w:rPr>
                <w:rFonts w:ascii="Garamond" w:eastAsia="Garamond" w:hAnsi="Garamond"/>
                <w:noProof/>
                <w:color w:val="000000"/>
              </w:rPr>
              <w:t xml:space="preserve">[21] </w:t>
            </w:r>
          </w:p>
        </w:tc>
        <w:tc>
          <w:tcPr>
            <w:tcW w:w="0" w:type="auto"/>
            <w:hideMark/>
          </w:tcPr>
          <w:p w14:paraId="64876C91" w14:textId="77777777" w:rsidR="00133610" w:rsidRPr="00166DB1" w:rsidRDefault="00133610" w:rsidP="00FD2E06">
            <w:pPr>
              <w:rPr>
                <w:rFonts w:ascii="Garamond" w:eastAsia="Garamond" w:hAnsi="Garamond"/>
                <w:noProof/>
                <w:color w:val="000000"/>
              </w:rPr>
            </w:pPr>
            <w:r w:rsidRPr="00166DB1">
              <w:rPr>
                <w:rFonts w:ascii="Garamond" w:eastAsia="Garamond" w:hAnsi="Garamond"/>
                <w:noProof/>
                <w:color w:val="000000"/>
              </w:rPr>
              <w:t>Department of Health, “Bonded Medical Places Scheme,” 7 Feb 2017. [Online]. Available: http://www.health.gov.au/internet/main/publishing.nsf/Content/work-st-bmp. [Accessed 2017].</w:t>
            </w:r>
          </w:p>
        </w:tc>
      </w:tr>
      <w:tr w:rsidR="00133610" w:rsidRPr="00166DB1" w14:paraId="58ACBA61" w14:textId="77777777" w:rsidTr="00FD2E06">
        <w:tc>
          <w:tcPr>
            <w:tcW w:w="50" w:type="pct"/>
            <w:hideMark/>
          </w:tcPr>
          <w:p w14:paraId="182ACD6F" w14:textId="77777777" w:rsidR="00133610" w:rsidRPr="00166DB1" w:rsidRDefault="00133610" w:rsidP="00FD2E06">
            <w:pPr>
              <w:rPr>
                <w:rFonts w:ascii="Garamond" w:eastAsia="Garamond" w:hAnsi="Garamond"/>
                <w:noProof/>
                <w:color w:val="000000"/>
              </w:rPr>
            </w:pPr>
            <w:r w:rsidRPr="00166DB1">
              <w:rPr>
                <w:rFonts w:ascii="Garamond" w:eastAsia="Garamond" w:hAnsi="Garamond"/>
                <w:noProof/>
                <w:color w:val="000000"/>
              </w:rPr>
              <w:t xml:space="preserve">[22] </w:t>
            </w:r>
          </w:p>
        </w:tc>
        <w:tc>
          <w:tcPr>
            <w:tcW w:w="0" w:type="auto"/>
            <w:hideMark/>
          </w:tcPr>
          <w:p w14:paraId="3D17E4AE" w14:textId="77777777" w:rsidR="00133610" w:rsidRPr="00166DB1" w:rsidRDefault="00133610" w:rsidP="00FD2E06">
            <w:pPr>
              <w:rPr>
                <w:rFonts w:ascii="Garamond" w:eastAsia="Garamond" w:hAnsi="Garamond"/>
                <w:noProof/>
                <w:color w:val="000000"/>
              </w:rPr>
            </w:pPr>
            <w:r w:rsidRPr="00166DB1">
              <w:rPr>
                <w:rFonts w:ascii="Garamond" w:eastAsia="Garamond" w:hAnsi="Garamond"/>
                <w:noProof/>
                <w:color w:val="000000"/>
              </w:rPr>
              <w:t>Pharmacy Guild of Australia and Commonwealth of Australia, “5th Community Pharmcy Agreement,” Canberra, 2010.</w:t>
            </w:r>
          </w:p>
        </w:tc>
      </w:tr>
      <w:tr w:rsidR="00133610" w:rsidRPr="00166DB1" w14:paraId="1C8E46CF" w14:textId="77777777" w:rsidTr="00FD2E06">
        <w:tc>
          <w:tcPr>
            <w:tcW w:w="50" w:type="pct"/>
            <w:hideMark/>
          </w:tcPr>
          <w:p w14:paraId="75770CE7" w14:textId="77777777" w:rsidR="00133610" w:rsidRPr="00166DB1" w:rsidRDefault="00133610" w:rsidP="00FD2E06">
            <w:pPr>
              <w:rPr>
                <w:rFonts w:ascii="Garamond" w:eastAsia="Garamond" w:hAnsi="Garamond"/>
                <w:noProof/>
                <w:color w:val="000000"/>
              </w:rPr>
            </w:pPr>
            <w:r w:rsidRPr="00166DB1">
              <w:rPr>
                <w:rFonts w:ascii="Garamond" w:eastAsia="Garamond" w:hAnsi="Garamond"/>
                <w:noProof/>
                <w:color w:val="000000"/>
              </w:rPr>
              <w:t xml:space="preserve">[23] </w:t>
            </w:r>
          </w:p>
        </w:tc>
        <w:tc>
          <w:tcPr>
            <w:tcW w:w="0" w:type="auto"/>
            <w:hideMark/>
          </w:tcPr>
          <w:p w14:paraId="7336E8CF" w14:textId="77777777" w:rsidR="00133610" w:rsidRPr="00166DB1" w:rsidRDefault="00133610" w:rsidP="00FD2E06">
            <w:pPr>
              <w:rPr>
                <w:rFonts w:ascii="Garamond" w:eastAsia="Garamond" w:hAnsi="Garamond"/>
                <w:noProof/>
                <w:color w:val="000000"/>
              </w:rPr>
            </w:pPr>
            <w:r w:rsidRPr="00166DB1">
              <w:rPr>
                <w:rFonts w:ascii="Garamond" w:eastAsia="Garamond" w:hAnsi="Garamond"/>
                <w:noProof/>
                <w:color w:val="000000"/>
              </w:rPr>
              <w:t>Pharmacy Board of Australia, “Overseas practitioner registration,” 1 September 2016. [Online]. Available: http://www.pharmacyboard.gov.au/Registration/Overseas.aspx. [Accessed 1 August 2017].</w:t>
            </w:r>
          </w:p>
        </w:tc>
      </w:tr>
      <w:tr w:rsidR="00133610" w:rsidRPr="00166DB1" w14:paraId="7D5D0EA8" w14:textId="77777777" w:rsidTr="00FD2E06">
        <w:tc>
          <w:tcPr>
            <w:tcW w:w="50" w:type="pct"/>
            <w:hideMark/>
          </w:tcPr>
          <w:p w14:paraId="193F458C" w14:textId="77777777" w:rsidR="00133610" w:rsidRPr="00166DB1" w:rsidRDefault="00133610" w:rsidP="00FD2E06">
            <w:pPr>
              <w:rPr>
                <w:rFonts w:ascii="Garamond" w:eastAsia="Garamond" w:hAnsi="Garamond"/>
                <w:noProof/>
                <w:color w:val="000000"/>
              </w:rPr>
            </w:pPr>
            <w:r w:rsidRPr="00166DB1">
              <w:rPr>
                <w:rFonts w:ascii="Garamond" w:eastAsia="Garamond" w:hAnsi="Garamond"/>
                <w:noProof/>
                <w:color w:val="000000"/>
              </w:rPr>
              <w:t xml:space="preserve">[24] </w:t>
            </w:r>
          </w:p>
        </w:tc>
        <w:tc>
          <w:tcPr>
            <w:tcW w:w="0" w:type="auto"/>
            <w:hideMark/>
          </w:tcPr>
          <w:p w14:paraId="2B5BD73D" w14:textId="77777777" w:rsidR="00133610" w:rsidRPr="00166DB1" w:rsidRDefault="00133610" w:rsidP="00FD2E06">
            <w:pPr>
              <w:rPr>
                <w:rFonts w:ascii="Garamond" w:eastAsia="Garamond" w:hAnsi="Garamond"/>
                <w:noProof/>
                <w:color w:val="000000"/>
              </w:rPr>
            </w:pPr>
            <w:r w:rsidRPr="00166DB1">
              <w:rPr>
                <w:rFonts w:ascii="Garamond" w:eastAsia="Garamond" w:hAnsi="Garamond"/>
                <w:noProof/>
                <w:color w:val="000000"/>
              </w:rPr>
              <w:t>Australian Government Department of Prime Minister and Cabinet, “Aboriginal and Torres Strait Islander Health Performance Framework 2014 Report,” Commonwealth of Australia, Canberra, 2015.</w:t>
            </w:r>
          </w:p>
        </w:tc>
      </w:tr>
      <w:bookmarkEnd w:id="0"/>
      <w:bookmarkEnd w:id="2"/>
    </w:tbl>
    <w:p w14:paraId="1CB1CF11" w14:textId="5BC08A21" w:rsidR="00720069" w:rsidRPr="00D62D23" w:rsidRDefault="00720069" w:rsidP="00133610">
      <w:pPr>
        <w:rPr>
          <w:rFonts w:ascii="Garamond" w:eastAsia="Garamond" w:hAnsi="Garamond"/>
          <w:color w:val="000000"/>
        </w:rPr>
      </w:pPr>
    </w:p>
    <w:sectPr w:rsidR="00720069" w:rsidRPr="00D62D23" w:rsidSect="00720069">
      <w:pgSz w:w="16839" w:h="11907" w:orient="landscape" w:code="9"/>
      <w:pgMar w:top="2268" w:right="1304" w:bottom="850" w:left="737" w:header="567" w:footer="284"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EA350" w14:textId="77777777" w:rsidR="00FD2E06" w:rsidRDefault="00FD2E06" w:rsidP="00166DB1">
      <w:pPr>
        <w:spacing w:line="240" w:lineRule="auto"/>
      </w:pPr>
      <w:r>
        <w:separator/>
      </w:r>
    </w:p>
  </w:endnote>
  <w:endnote w:type="continuationSeparator" w:id="0">
    <w:p w14:paraId="16A39998" w14:textId="77777777" w:rsidR="00FD2E06" w:rsidRDefault="00FD2E06" w:rsidP="00166D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9D3F7" w14:textId="77777777" w:rsidR="00FD2E06" w:rsidRDefault="00FD2E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E6BA1" w14:textId="77777777" w:rsidR="00FD2E06" w:rsidRDefault="00FD2E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4722289"/>
      <w:docPartObj>
        <w:docPartGallery w:val="Page Numbers (Bottom of Page)"/>
        <w:docPartUnique/>
      </w:docPartObj>
    </w:sdtPr>
    <w:sdtEndPr>
      <w:rPr>
        <w:noProof/>
      </w:rPr>
    </w:sdtEndPr>
    <w:sdtContent>
      <w:p w14:paraId="32001128" w14:textId="1B00AD55" w:rsidR="00FD2E06" w:rsidRDefault="00FD2E06">
        <w:pPr>
          <w:pStyle w:val="Footer"/>
          <w:jc w:val="right"/>
        </w:pPr>
        <w:r>
          <w:fldChar w:fldCharType="begin"/>
        </w:r>
        <w:r>
          <w:instrText xml:space="preserve"> PAGE   \* MERGEFORMAT </w:instrText>
        </w:r>
        <w:r>
          <w:fldChar w:fldCharType="separate"/>
        </w:r>
        <w:r w:rsidR="000B3762">
          <w:rPr>
            <w:noProof/>
          </w:rPr>
          <w:t>ii</w:t>
        </w:r>
        <w:r>
          <w:rPr>
            <w:noProof/>
          </w:rPr>
          <w:fldChar w:fldCharType="end"/>
        </w:r>
      </w:p>
    </w:sdtContent>
  </w:sdt>
  <w:p w14:paraId="2A82C4A7" w14:textId="62EFF813" w:rsidR="00FD2E06" w:rsidRPr="00C16AA2" w:rsidRDefault="00FD2E06" w:rsidP="00B30A5C">
    <w:pPr>
      <w:pStyle w:val="Footer"/>
      <w:tabs>
        <w:tab w:val="clear" w:pos="9026"/>
        <w:tab w:val="right" w:pos="14175"/>
      </w:tabs>
      <w:rPr>
        <w:rFonts w:ascii="Franklin Gothic Book" w:hAnsi="Franklin Gothic Book"/>
        <w:sz w:val="18"/>
      </w:rPr>
    </w:pPr>
    <w:r w:rsidRPr="003647AE">
      <w:rPr>
        <w:rFonts w:ascii="Franklin Gothic Book" w:hAnsi="Franklin Gothic Book"/>
        <w:sz w:val="18"/>
      </w:rPr>
      <w:t>Australian Government Department of Health – Review of Ongoing Pharmacy Workforce Programs</w:t>
    </w:r>
    <w:r>
      <w:rPr>
        <w:rFonts w:ascii="Franklin Gothic Book" w:hAnsi="Franklin Gothic Book"/>
        <w:sz w:val="18"/>
      </w:rPr>
      <w:tab/>
      <w:t>FINAL REPORT</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0282200"/>
      <w:docPartObj>
        <w:docPartGallery w:val="Page Numbers (Bottom of Page)"/>
        <w:docPartUnique/>
      </w:docPartObj>
    </w:sdtPr>
    <w:sdtEndPr>
      <w:rPr>
        <w:noProof/>
      </w:rPr>
    </w:sdtEndPr>
    <w:sdtContent>
      <w:p w14:paraId="4C993059" w14:textId="15F14B6D" w:rsidR="00FD2E06" w:rsidRDefault="00FD2E06">
        <w:pPr>
          <w:pStyle w:val="Footer"/>
          <w:jc w:val="right"/>
        </w:pPr>
        <w:r>
          <w:fldChar w:fldCharType="begin"/>
        </w:r>
        <w:r>
          <w:instrText xml:space="preserve"> PAGE   \* MERGEFORMAT </w:instrText>
        </w:r>
        <w:r>
          <w:fldChar w:fldCharType="separate"/>
        </w:r>
        <w:r w:rsidR="000B3762">
          <w:rPr>
            <w:noProof/>
          </w:rPr>
          <w:t>i</w:t>
        </w:r>
        <w:r>
          <w:rPr>
            <w:noProof/>
          </w:rPr>
          <w:fldChar w:fldCharType="end"/>
        </w:r>
      </w:p>
    </w:sdtContent>
  </w:sdt>
  <w:p w14:paraId="201AFC17" w14:textId="26970F39" w:rsidR="00FD2E06" w:rsidRPr="003647AE" w:rsidRDefault="00FD2E06" w:rsidP="00B30A5C">
    <w:pPr>
      <w:pStyle w:val="Footer"/>
      <w:tabs>
        <w:tab w:val="clear" w:pos="9026"/>
        <w:tab w:val="left" w:pos="13041"/>
      </w:tabs>
      <w:rPr>
        <w:rFonts w:ascii="Franklin Gothic Book" w:hAnsi="Franklin Gothic Book"/>
        <w:sz w:val="18"/>
      </w:rPr>
    </w:pPr>
    <w:r w:rsidRPr="003647AE">
      <w:rPr>
        <w:rFonts w:ascii="Franklin Gothic Book" w:hAnsi="Franklin Gothic Book"/>
        <w:sz w:val="18"/>
      </w:rPr>
      <w:t>Australian Government Department of Health – Review of Ongoing Pharmacy Workforce Programs</w:t>
    </w:r>
    <w:r>
      <w:rPr>
        <w:rFonts w:ascii="Franklin Gothic Book" w:hAnsi="Franklin Gothic Book"/>
        <w:sz w:val="18"/>
      </w:rPr>
      <w:tab/>
      <w:t>FINAL REPORT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F98D3" w14:textId="77777777" w:rsidR="00FD2E06" w:rsidRPr="00B72016" w:rsidRDefault="00FD2E06">
    <w:pPr>
      <w:pStyle w:val="Footer1"/>
      <w:rPr>
        <w:sz w:val="16"/>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1830134"/>
      <w:docPartObj>
        <w:docPartGallery w:val="Page Numbers (Bottom of Page)"/>
        <w:docPartUnique/>
      </w:docPartObj>
    </w:sdtPr>
    <w:sdtEndPr>
      <w:rPr>
        <w:noProof/>
      </w:rPr>
    </w:sdtEndPr>
    <w:sdtContent>
      <w:p w14:paraId="474D7D6F" w14:textId="2FBCEBC7" w:rsidR="00FD2E06" w:rsidRDefault="00FD2E06">
        <w:pPr>
          <w:pStyle w:val="Footer"/>
          <w:jc w:val="right"/>
        </w:pPr>
        <w:r>
          <w:fldChar w:fldCharType="begin"/>
        </w:r>
        <w:r>
          <w:instrText xml:space="preserve"> PAGE   \* MERGEFORMAT </w:instrText>
        </w:r>
        <w:r>
          <w:fldChar w:fldCharType="separate"/>
        </w:r>
        <w:r w:rsidR="000B3762">
          <w:rPr>
            <w:noProof/>
          </w:rPr>
          <w:t>11</w:t>
        </w:r>
        <w:r>
          <w:rPr>
            <w:noProof/>
          </w:rPr>
          <w:fldChar w:fldCharType="end"/>
        </w:r>
      </w:p>
    </w:sdtContent>
  </w:sdt>
  <w:p w14:paraId="50D81228" w14:textId="78A6C427" w:rsidR="00FD2E06" w:rsidRPr="00BA72F1" w:rsidRDefault="00FD2E06" w:rsidP="00B30A5C">
    <w:pPr>
      <w:pStyle w:val="Footer"/>
      <w:tabs>
        <w:tab w:val="clear" w:pos="9026"/>
        <w:tab w:val="right" w:pos="14175"/>
      </w:tabs>
      <w:rPr>
        <w:rFonts w:ascii="Franklin Gothic Book" w:hAnsi="Franklin Gothic Book"/>
        <w:sz w:val="18"/>
      </w:rPr>
    </w:pPr>
    <w:r w:rsidRPr="003647AE">
      <w:rPr>
        <w:rFonts w:ascii="Franklin Gothic Book" w:hAnsi="Franklin Gothic Book"/>
        <w:sz w:val="18"/>
      </w:rPr>
      <w:t>Australian Government Department of Health – Review of Ongoing Pharmacy Workforce Programs</w:t>
    </w:r>
    <w:r>
      <w:rPr>
        <w:rFonts w:ascii="Franklin Gothic Book" w:hAnsi="Franklin Gothic Book"/>
        <w:sz w:val="18"/>
      </w:rPr>
      <w:tab/>
      <w:t>FINAL REPORT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D9E70" w14:textId="77777777" w:rsidR="00FD2E06" w:rsidRDefault="00FD2E06" w:rsidP="00166DB1">
      <w:pPr>
        <w:spacing w:line="240" w:lineRule="auto"/>
      </w:pPr>
      <w:r>
        <w:separator/>
      </w:r>
    </w:p>
  </w:footnote>
  <w:footnote w:type="continuationSeparator" w:id="0">
    <w:p w14:paraId="50B59534" w14:textId="77777777" w:rsidR="00FD2E06" w:rsidRDefault="00FD2E06" w:rsidP="00166DB1">
      <w:pPr>
        <w:spacing w:line="240" w:lineRule="auto"/>
      </w:pPr>
      <w:r>
        <w:continuationSeparator/>
      </w:r>
    </w:p>
  </w:footnote>
  <w:footnote w:id="1">
    <w:p w14:paraId="3285808A" w14:textId="77777777" w:rsidR="00FD2E06" w:rsidRPr="00CD1F75" w:rsidRDefault="00FD2E06" w:rsidP="00166DB1">
      <w:pPr>
        <w:pStyle w:val="FootnoteText1"/>
        <w:rPr>
          <w:color w:val="auto"/>
        </w:rPr>
      </w:pPr>
      <w:r w:rsidRPr="00CD1F75">
        <w:rPr>
          <w:rStyle w:val="FootnoteReference"/>
          <w:color w:val="auto"/>
        </w:rPr>
        <w:footnoteRef/>
      </w:r>
      <w:r w:rsidRPr="00CD1F75">
        <w:rPr>
          <w:color w:val="auto"/>
        </w:rPr>
        <w:t xml:space="preserve"> PhARIA is a composite index incorporating the geographic distance from major cities determined by the Accessibility / Remoteness Index for Australia (ARIA) and a professional isolation component represented by the road distance to the five closest pharmacies. </w:t>
      </w:r>
      <w:sdt>
        <w:sdtPr>
          <w:rPr>
            <w:color w:val="auto"/>
          </w:rPr>
          <w:id w:val="1045408277"/>
          <w:citation/>
        </w:sdtPr>
        <w:sdtEndPr/>
        <w:sdtContent>
          <w:r w:rsidRPr="00CD1F75">
            <w:rPr>
              <w:color w:val="auto"/>
            </w:rPr>
            <w:fldChar w:fldCharType="begin"/>
          </w:r>
          <w:r w:rsidRPr="00CD1F75">
            <w:rPr>
              <w:color w:val="auto"/>
            </w:rPr>
            <w:instrText xml:space="preserve"> CITATION Uni17 \l 3081 </w:instrText>
          </w:r>
          <w:r w:rsidRPr="00CD1F75">
            <w:rPr>
              <w:color w:val="auto"/>
            </w:rPr>
            <w:fldChar w:fldCharType="separate"/>
          </w:r>
          <w:r w:rsidRPr="00CD1F75">
            <w:rPr>
              <w:noProof/>
              <w:color w:val="auto"/>
            </w:rPr>
            <w:t>[8]</w:t>
          </w:r>
          <w:r w:rsidRPr="00CD1F75">
            <w:rPr>
              <w:color w:val="auto"/>
            </w:rPr>
            <w:fldChar w:fldCharType="end"/>
          </w:r>
        </w:sdtContent>
      </w:sdt>
    </w:p>
  </w:footnote>
  <w:footnote w:id="2">
    <w:p w14:paraId="46A0F28B" w14:textId="77777777" w:rsidR="00FD2E06" w:rsidRPr="00CD1F75" w:rsidRDefault="00FD2E06" w:rsidP="00166DB1">
      <w:pPr>
        <w:pStyle w:val="FootnoteText1"/>
        <w:rPr>
          <w:color w:val="auto"/>
        </w:rPr>
      </w:pPr>
      <w:r w:rsidRPr="00CD1F75">
        <w:rPr>
          <w:rStyle w:val="FootnoteReference"/>
          <w:color w:val="auto"/>
        </w:rPr>
        <w:footnoteRef/>
      </w:r>
      <w:r w:rsidRPr="00CD1F75">
        <w:rPr>
          <w:color w:val="auto"/>
        </w:rPr>
        <w:t xml:space="preserve"> </w:t>
      </w:r>
      <w:r w:rsidRPr="00CD1F75">
        <w:rPr>
          <w:rFonts w:ascii="Times New Roman" w:hAnsi="Times New Roman"/>
          <w:color w:val="auto"/>
        </w:rPr>
        <w:t>$</w:t>
      </w:r>
      <w:r w:rsidRPr="00CD1F75">
        <w:rPr>
          <w:color w:val="auto"/>
        </w:rPr>
        <w:t xml:space="preserve">8.1m per annum was the allocated budget in the 5CPA. In the 6CP, the allocated budget per annum for the Pharmacy Workforce Package was </w:t>
      </w:r>
      <w:r w:rsidRPr="00CD1F75">
        <w:rPr>
          <w:rFonts w:ascii="Times New Roman" w:hAnsi="Times New Roman"/>
          <w:color w:val="auto"/>
        </w:rPr>
        <w:t>$</w:t>
      </w:r>
      <w:r w:rsidRPr="00CD1F75">
        <w:rPr>
          <w:color w:val="auto"/>
        </w:rPr>
        <w:t>7.2m per annum.</w:t>
      </w:r>
    </w:p>
  </w:footnote>
  <w:footnote w:id="3">
    <w:p w14:paraId="2785921E" w14:textId="77777777" w:rsidR="00FD2E06" w:rsidRPr="00CD1F75" w:rsidRDefault="00FD2E06" w:rsidP="00166DB1">
      <w:pPr>
        <w:pStyle w:val="FootnoteText1"/>
        <w:rPr>
          <w:color w:val="auto"/>
        </w:rPr>
      </w:pPr>
      <w:r w:rsidRPr="00CD1F75">
        <w:rPr>
          <w:rStyle w:val="FootnoteReference"/>
          <w:color w:val="auto"/>
        </w:rPr>
        <w:footnoteRef/>
      </w:r>
      <w:r w:rsidRPr="00CD1F75">
        <w:rPr>
          <w:color w:val="auto"/>
        </w:rPr>
        <w:t xml:space="preserve"> Other pharmacists may include a pharmacist that works in an Aboriginal Health Service, community health service, correctional service, defence forces, educational facility, medical centre, pharmaceutical manufacturing, residential health care facility, wholesale pharmacy, other commercial/business service, other government department agency, or other private practice.</w:t>
      </w:r>
    </w:p>
  </w:footnote>
  <w:footnote w:id="4">
    <w:p w14:paraId="4A4357A6" w14:textId="77777777" w:rsidR="00FD2E06" w:rsidRPr="00CD1F75" w:rsidRDefault="00FD2E06" w:rsidP="00166DB1">
      <w:pPr>
        <w:pStyle w:val="FootnoteText1"/>
        <w:rPr>
          <w:color w:val="auto"/>
        </w:rPr>
      </w:pPr>
      <w:r w:rsidRPr="00CD1F75">
        <w:rPr>
          <w:rStyle w:val="FootnoteReference"/>
          <w:color w:val="auto"/>
        </w:rPr>
        <w:footnoteRef/>
      </w:r>
      <w:r w:rsidRPr="00CD1F75">
        <w:rPr>
          <w:color w:val="auto"/>
        </w:rPr>
        <w:t xml:space="preserve"> 750-800 pharmacists was calculated from the estimate of 260 new pharmacists (recruitment – see </w:t>
      </w:r>
      <w:r w:rsidRPr="00CD1F75">
        <w:rPr>
          <w:color w:val="auto"/>
        </w:rPr>
        <w:fldChar w:fldCharType="begin"/>
      </w:r>
      <w:r w:rsidRPr="00CD1F75">
        <w:rPr>
          <w:color w:val="auto"/>
        </w:rPr>
        <w:instrText xml:space="preserve"> REF _Ref493580608 \h </w:instrText>
      </w:r>
      <w:r w:rsidRPr="00CD1F75">
        <w:rPr>
          <w:color w:val="auto"/>
        </w:rPr>
      </w:r>
      <w:r w:rsidRPr="00CD1F75">
        <w:rPr>
          <w:color w:val="auto"/>
        </w:rPr>
        <w:fldChar w:fldCharType="separate"/>
      </w:r>
      <w:r w:rsidRPr="00CD1F75">
        <w:rPr>
          <w:color w:val="auto"/>
        </w:rPr>
        <w:t xml:space="preserve">Table </w:t>
      </w:r>
      <w:r w:rsidRPr="00CD1F75">
        <w:rPr>
          <w:noProof/>
          <w:color w:val="auto"/>
        </w:rPr>
        <w:t>5</w:t>
      </w:r>
      <w:r w:rsidRPr="00CD1F75">
        <w:rPr>
          <w:color w:val="auto"/>
        </w:rPr>
        <w:t>.</w:t>
      </w:r>
      <w:r w:rsidRPr="00CD1F75">
        <w:rPr>
          <w:noProof/>
          <w:color w:val="auto"/>
        </w:rPr>
        <w:t>1</w:t>
      </w:r>
      <w:r w:rsidRPr="00CD1F75">
        <w:rPr>
          <w:color w:val="auto"/>
        </w:rPr>
        <w:fldChar w:fldCharType="end"/>
      </w:r>
      <w:r w:rsidRPr="00CD1F75">
        <w:rPr>
          <w:color w:val="auto"/>
        </w:rPr>
        <w:t xml:space="preserve">) and 520 existing pharmacists (retention – see </w:t>
      </w:r>
      <w:r w:rsidRPr="00CD1F75">
        <w:rPr>
          <w:color w:val="auto"/>
        </w:rPr>
        <w:fldChar w:fldCharType="begin"/>
      </w:r>
      <w:r w:rsidRPr="00CD1F75">
        <w:rPr>
          <w:color w:val="auto"/>
        </w:rPr>
        <w:instrText xml:space="preserve"> REF _Ref493580619 \h </w:instrText>
      </w:r>
      <w:r w:rsidRPr="00CD1F75">
        <w:rPr>
          <w:color w:val="auto"/>
        </w:rPr>
      </w:r>
      <w:r w:rsidRPr="00CD1F75">
        <w:rPr>
          <w:color w:val="auto"/>
        </w:rPr>
        <w:fldChar w:fldCharType="separate"/>
      </w:r>
      <w:r w:rsidRPr="00CD1F75">
        <w:rPr>
          <w:color w:val="auto"/>
        </w:rPr>
        <w:t xml:space="preserve">Table </w:t>
      </w:r>
      <w:r w:rsidRPr="00CD1F75">
        <w:rPr>
          <w:noProof/>
          <w:color w:val="auto"/>
        </w:rPr>
        <w:t>5</w:t>
      </w:r>
      <w:r w:rsidRPr="00CD1F75">
        <w:rPr>
          <w:color w:val="auto"/>
        </w:rPr>
        <w:t>.</w:t>
      </w:r>
      <w:r w:rsidRPr="00CD1F75">
        <w:rPr>
          <w:noProof/>
          <w:color w:val="auto"/>
        </w:rPr>
        <w:t>2</w:t>
      </w:r>
      <w:r w:rsidRPr="00CD1F75">
        <w:rPr>
          <w:color w:val="auto"/>
        </w:rPr>
        <w:fldChar w:fldCharType="end"/>
      </w:r>
      <w:r w:rsidRPr="00CD1F75">
        <w:rPr>
          <w:color w:val="aut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F79D4" w14:textId="77777777" w:rsidR="00FD2E06" w:rsidRDefault="00FD2E0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EF78B" w14:textId="45B063AD" w:rsidR="00FD2E06" w:rsidRPr="003826FF" w:rsidRDefault="00FD2E06" w:rsidP="009F66FB">
    <w:pPr>
      <w:pStyle w:val="BodyCopy"/>
      <w:numPr>
        <w:ilvl w:val="0"/>
        <w:numId w:val="5"/>
      </w:numPr>
      <w:ind w:left="567" w:hanging="643"/>
      <w:rPr>
        <w:rFonts w:ascii="Franklin Gothic Book" w:hAnsi="Franklin Gothic Book"/>
        <w:sz w:val="44"/>
        <w:szCs w:val="52"/>
        <w:lang w:val="en-US"/>
      </w:rPr>
    </w:pPr>
    <w:r w:rsidRPr="003826FF">
      <w:rPr>
        <w:rFonts w:ascii="Franklin Gothic Book" w:eastAsia="Times New Roman" w:hAnsi="Franklin Gothic Book"/>
        <w:b/>
        <w:bCs/>
        <w:caps/>
        <w:sz w:val="44"/>
        <w:szCs w:val="52"/>
        <w:lang w:val="en-US"/>
      </w:rPr>
      <w:t>Introduction</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25429" w14:textId="7F565FE6" w:rsidR="00FD2E06" w:rsidRPr="00112926" w:rsidRDefault="00FD2E06" w:rsidP="009F66FB">
    <w:pPr>
      <w:pStyle w:val="BodyCopy"/>
      <w:numPr>
        <w:ilvl w:val="0"/>
        <w:numId w:val="5"/>
      </w:numPr>
      <w:ind w:left="567" w:hanging="567"/>
      <w:rPr>
        <w:rFonts w:ascii="Franklin Gothic Book" w:hAnsi="Franklin Gothic Book"/>
        <w:sz w:val="40"/>
        <w:szCs w:val="52"/>
        <w:lang w:val="en-US"/>
      </w:rPr>
    </w:pPr>
    <w:r w:rsidRPr="00112926">
      <w:rPr>
        <w:rFonts w:ascii="Franklin Gothic Book" w:eastAsia="Times New Roman" w:hAnsi="Franklin Gothic Book"/>
        <w:b/>
        <w:bCs/>
        <w:caps/>
        <w:sz w:val="40"/>
        <w:szCs w:val="52"/>
        <w:lang w:val="en-US"/>
      </w:rPr>
      <w:t>Overview of the Programs</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2F102" w14:textId="0ACC838E" w:rsidR="00FD2E06" w:rsidRPr="00D62D23" w:rsidRDefault="00FD2E06" w:rsidP="009F66FB">
    <w:pPr>
      <w:pStyle w:val="BodyCopy"/>
      <w:numPr>
        <w:ilvl w:val="0"/>
        <w:numId w:val="5"/>
      </w:numPr>
      <w:ind w:left="567" w:hanging="567"/>
      <w:rPr>
        <w:rFonts w:ascii="Franklin Gothic Book" w:hAnsi="Franklin Gothic Book"/>
        <w:sz w:val="40"/>
        <w:szCs w:val="52"/>
        <w:lang w:val="en-US"/>
      </w:rPr>
    </w:pPr>
    <w:r>
      <w:rPr>
        <w:rFonts w:ascii="Franklin Gothic Book" w:eastAsia="Times New Roman" w:hAnsi="Franklin Gothic Book"/>
        <w:b/>
        <w:bCs/>
        <w:caps/>
        <w:sz w:val="40"/>
        <w:szCs w:val="52"/>
        <w:lang w:val="en-US"/>
      </w:rPr>
      <w:t>methodology</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1EE0D" w14:textId="729C41FC" w:rsidR="00FD2E06" w:rsidRPr="002E1F1A" w:rsidRDefault="00FD2E06" w:rsidP="002E1F1A">
    <w:pPr>
      <w:pStyle w:val="Footer"/>
      <w:rPr>
        <w:rFonts w:ascii="Franklin Gothic Book" w:hAnsi="Franklin Gothic Book"/>
        <w:sz w:val="16"/>
      </w:rPr>
    </w:pPr>
    <w:r w:rsidRPr="00C16AA2">
      <w:rPr>
        <w:rFonts w:ascii="Franklin Gothic Book" w:hAnsi="Franklin Gothic Book"/>
        <w:sz w:val="16"/>
      </w:rPr>
      <w:t>HEALTHCARE MANAGEMENT ADVISORS – HELPING CREATE BETTER HEALTH SERVICES</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FD337" w14:textId="75C88B64" w:rsidR="00FD2E06" w:rsidRPr="00D62D23" w:rsidRDefault="00FD2E06" w:rsidP="009F66FB">
    <w:pPr>
      <w:pStyle w:val="BodyCopy"/>
      <w:numPr>
        <w:ilvl w:val="0"/>
        <w:numId w:val="5"/>
      </w:numPr>
      <w:ind w:left="567" w:hanging="567"/>
      <w:rPr>
        <w:rFonts w:ascii="Franklin Gothic Book" w:hAnsi="Franklin Gothic Book"/>
        <w:sz w:val="40"/>
        <w:szCs w:val="52"/>
        <w:lang w:val="en-US"/>
      </w:rPr>
    </w:pPr>
    <w:r>
      <w:rPr>
        <w:rFonts w:ascii="Franklin Gothic Book" w:eastAsia="Times New Roman" w:hAnsi="Franklin Gothic Book"/>
        <w:b/>
        <w:bCs/>
        <w:caps/>
        <w:sz w:val="40"/>
        <w:szCs w:val="52"/>
        <w:lang w:val="en-US"/>
      </w:rPr>
      <w:t>appropriateness</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CA382" w14:textId="31DBF5AD" w:rsidR="00FD2E06" w:rsidRPr="00D62D23" w:rsidRDefault="00FD2E06" w:rsidP="009F66FB">
    <w:pPr>
      <w:pStyle w:val="BodyCopy"/>
      <w:numPr>
        <w:ilvl w:val="0"/>
        <w:numId w:val="5"/>
      </w:numPr>
      <w:ind w:left="567" w:hanging="567"/>
      <w:rPr>
        <w:rFonts w:ascii="Franklin Gothic Book" w:hAnsi="Franklin Gothic Book"/>
        <w:sz w:val="40"/>
        <w:szCs w:val="52"/>
        <w:lang w:val="en-US"/>
      </w:rPr>
    </w:pPr>
    <w:r>
      <w:rPr>
        <w:rFonts w:ascii="Franklin Gothic Book" w:eastAsia="Times New Roman" w:hAnsi="Franklin Gothic Book"/>
        <w:b/>
        <w:bCs/>
        <w:caps/>
        <w:sz w:val="40"/>
        <w:szCs w:val="52"/>
        <w:lang w:val="en-US"/>
      </w:rPr>
      <w:t>EFFECTIVENESS</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98F1E" w14:textId="7B1B4E9E" w:rsidR="00FD2E06" w:rsidRPr="00072DFC" w:rsidRDefault="00FD2E06" w:rsidP="00072DFC">
    <w:pPr>
      <w:pStyle w:val="BodyCopy"/>
      <w:rPr>
        <w:rFonts w:ascii="Franklin Gothic Book" w:hAnsi="Franklin Gothic Book"/>
        <w:sz w:val="40"/>
        <w:szCs w:val="52"/>
        <w:lang w:val="en-US"/>
      </w:rPr>
    </w:pPr>
    <w:r>
      <w:rPr>
        <w:rFonts w:ascii="Franklin Gothic Book" w:eastAsia="Times New Roman" w:hAnsi="Franklin Gothic Book"/>
        <w:b/>
        <w:bCs/>
        <w:caps/>
        <w:sz w:val="40"/>
        <w:szCs w:val="52"/>
        <w:lang w:val="en-US"/>
      </w:rPr>
      <w:t>8</w:t>
    </w:r>
    <w:r>
      <w:rPr>
        <w:rFonts w:ascii="Franklin Gothic Book" w:eastAsia="Times New Roman" w:hAnsi="Franklin Gothic Book"/>
        <w:b/>
        <w:bCs/>
        <w:caps/>
        <w:sz w:val="40"/>
        <w:szCs w:val="52"/>
        <w:lang w:val="en-US"/>
      </w:rPr>
      <w:tab/>
      <w:t>appendices</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51E00" w14:textId="33C03E5D" w:rsidR="00FD2E06" w:rsidRPr="00D62D23" w:rsidRDefault="00FD2E06" w:rsidP="00072DFC">
    <w:pPr>
      <w:pStyle w:val="BodyCopy"/>
      <w:rPr>
        <w:rFonts w:ascii="Franklin Gothic Book" w:hAnsi="Franklin Gothic Book"/>
        <w:sz w:val="40"/>
        <w:szCs w:val="52"/>
        <w:lang w:val="en-US"/>
      </w:rPr>
    </w:pPr>
    <w:r>
      <w:rPr>
        <w:rFonts w:ascii="Franklin Gothic Book" w:eastAsia="Times New Roman" w:hAnsi="Franklin Gothic Book"/>
        <w:b/>
        <w:bCs/>
        <w:caps/>
        <w:sz w:val="40"/>
        <w:szCs w:val="52"/>
        <w:lang w:val="en-US"/>
      </w:rPr>
      <w:t>8</w:t>
    </w:r>
    <w:r>
      <w:rPr>
        <w:rFonts w:ascii="Franklin Gothic Book" w:eastAsia="Times New Roman" w:hAnsi="Franklin Gothic Book"/>
        <w:b/>
        <w:bCs/>
        <w:caps/>
        <w:sz w:val="40"/>
        <w:szCs w:val="52"/>
        <w:lang w:val="en-US"/>
      </w:rPr>
      <w:tab/>
      <w:t>appendices</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DC28D" w14:textId="60BC459B" w:rsidR="00FD2E06" w:rsidRPr="002E1F1A" w:rsidRDefault="00FD2E06" w:rsidP="002E1F1A">
    <w:pPr>
      <w:pStyle w:val="Footer"/>
      <w:rPr>
        <w:rFonts w:ascii="Franklin Gothic Book" w:hAnsi="Franklin Gothic Book"/>
        <w:sz w:val="16"/>
      </w:rPr>
    </w:pPr>
    <w:r w:rsidRPr="00C16AA2">
      <w:rPr>
        <w:rFonts w:ascii="Franklin Gothic Book" w:hAnsi="Franklin Gothic Book"/>
        <w:sz w:val="16"/>
      </w:rPr>
      <w:t>HEALTHCARE MANAGEMENT ADVISORS – HELPING CREATE BETTER HEALTH SERVICES</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41765" w14:textId="4B266D54" w:rsidR="00FD2E06" w:rsidRPr="00D62D23" w:rsidRDefault="00FD2E06" w:rsidP="00072DFC">
    <w:pPr>
      <w:pStyle w:val="BodyCopy"/>
      <w:rPr>
        <w:rFonts w:ascii="Franklin Gothic Book" w:hAnsi="Franklin Gothic Book"/>
        <w:sz w:val="40"/>
        <w:szCs w:val="52"/>
        <w:lang w:val="en-US"/>
      </w:rPr>
    </w:pPr>
    <w:r>
      <w:rPr>
        <w:rFonts w:ascii="Franklin Gothic Book" w:eastAsia="Times New Roman" w:hAnsi="Franklin Gothic Book"/>
        <w:b/>
        <w:bCs/>
        <w:caps/>
        <w:sz w:val="40"/>
        <w:szCs w:val="52"/>
        <w:lang w:val="en-US"/>
      </w:rPr>
      <w:t>6</w:t>
    </w:r>
    <w:r>
      <w:rPr>
        <w:rFonts w:ascii="Franklin Gothic Book" w:eastAsia="Times New Roman" w:hAnsi="Franklin Gothic Book"/>
        <w:b/>
        <w:bCs/>
        <w:caps/>
        <w:sz w:val="40"/>
        <w:szCs w:val="52"/>
        <w:lang w:val="en-US"/>
      </w:rPr>
      <w:tab/>
      <w:t>efficiency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D74E9" w14:textId="77777777" w:rsidR="00FD2E06" w:rsidRDefault="00FD2E06">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4D57C" w14:textId="0259EB8A" w:rsidR="00FD2E06" w:rsidRPr="00D62D23" w:rsidRDefault="00FD2E06" w:rsidP="00072DFC">
    <w:pPr>
      <w:pStyle w:val="BodyCopy"/>
      <w:rPr>
        <w:rFonts w:ascii="Franklin Gothic Book" w:hAnsi="Franklin Gothic Book"/>
        <w:sz w:val="40"/>
        <w:szCs w:val="52"/>
        <w:lang w:val="en-US"/>
      </w:rPr>
    </w:pPr>
    <w:r>
      <w:rPr>
        <w:rFonts w:ascii="Franklin Gothic Book" w:eastAsia="Times New Roman" w:hAnsi="Franklin Gothic Book"/>
        <w:b/>
        <w:bCs/>
        <w:caps/>
        <w:sz w:val="40"/>
        <w:szCs w:val="52"/>
        <w:lang w:val="en-US"/>
      </w:rPr>
      <w:t>7</w:t>
    </w:r>
    <w:r>
      <w:rPr>
        <w:rFonts w:ascii="Franklin Gothic Book" w:eastAsia="Times New Roman" w:hAnsi="Franklin Gothic Book"/>
        <w:b/>
        <w:bCs/>
        <w:caps/>
        <w:sz w:val="40"/>
        <w:szCs w:val="52"/>
        <w:lang w:val="en-US"/>
      </w:rPr>
      <w:tab/>
      <w:t>conclusion and options for future development</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11E37" w14:textId="2241B081" w:rsidR="00FD2E06" w:rsidRPr="00D62D23" w:rsidRDefault="00FD2E06" w:rsidP="00072DFC">
    <w:pPr>
      <w:pStyle w:val="BodyCopy"/>
      <w:rPr>
        <w:rFonts w:ascii="Franklin Gothic Book" w:hAnsi="Franklin Gothic Book"/>
        <w:sz w:val="40"/>
        <w:szCs w:val="52"/>
        <w:lang w:val="en-US"/>
      </w:rPr>
    </w:pPr>
    <w:r>
      <w:rPr>
        <w:rFonts w:ascii="Franklin Gothic Book" w:eastAsia="Times New Roman" w:hAnsi="Franklin Gothic Book"/>
        <w:b/>
        <w:bCs/>
        <w:caps/>
        <w:sz w:val="40"/>
        <w:szCs w:val="52"/>
        <w:lang w:val="en-US"/>
      </w:rPr>
      <w:t>8</w:t>
    </w:r>
    <w:r>
      <w:rPr>
        <w:rFonts w:ascii="Franklin Gothic Book" w:eastAsia="Times New Roman" w:hAnsi="Franklin Gothic Book"/>
        <w:b/>
        <w:bCs/>
        <w:caps/>
        <w:sz w:val="40"/>
        <w:szCs w:val="52"/>
        <w:lang w:val="en-US"/>
      </w:rPr>
      <w:tab/>
      <w:t>appendices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88593" w14:textId="0CAB272D" w:rsidR="00FD2E06" w:rsidRPr="002E1F1A" w:rsidRDefault="00FD2E06" w:rsidP="002E1F1A">
    <w:pPr>
      <w:pStyle w:val="Footer"/>
      <w:rPr>
        <w:rFonts w:ascii="Franklin Gothic Book" w:hAnsi="Franklin Gothic Book"/>
        <w:sz w:val="16"/>
      </w:rPr>
    </w:pPr>
    <w:r w:rsidRPr="00C16AA2">
      <w:rPr>
        <w:rFonts w:ascii="Franklin Gothic Book" w:hAnsi="Franklin Gothic Book"/>
        <w:sz w:val="16"/>
      </w:rPr>
      <w:t>HEALTHCARE MANAGEMENT ADVISORS – HELPING CREATE BETTER HEALTH SERVICES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37950" w14:textId="77777777" w:rsidR="00FD2E06" w:rsidRDefault="00FD2E06"/>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5C4F3" w14:textId="7D20C184" w:rsidR="00FD2E06" w:rsidRPr="003647AE" w:rsidRDefault="00FD2E06">
    <w:pPr>
      <w:rPr>
        <w:lang w:val="en-US"/>
      </w:rPr>
    </w:pPr>
    <w:r w:rsidRPr="00166DB1">
      <w:rPr>
        <w:rFonts w:ascii="Franklin Gothic Book" w:eastAsia="Times New Roman" w:hAnsi="Franklin Gothic Book"/>
        <w:b/>
        <w:bCs/>
        <w:caps/>
        <w:sz w:val="52"/>
        <w:szCs w:val="28"/>
      </w:rPr>
      <w:t>Table of contents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9CDB2" w14:textId="03F1A814" w:rsidR="00FD2E06" w:rsidRPr="00AD03B9" w:rsidRDefault="00FD2E06" w:rsidP="00720069">
    <w:pPr>
      <w:pStyle w:val="BodyCopy"/>
      <w:rPr>
        <w:lang w:val="en-US"/>
      </w:rPr>
    </w:pPr>
    <w:r>
      <w:rPr>
        <w:rFonts w:ascii="Franklin Gothic Book" w:eastAsia="Times New Roman" w:hAnsi="Franklin Gothic Book"/>
        <w:b/>
        <w:bCs/>
        <w:caps/>
        <w:sz w:val="52"/>
        <w:szCs w:val="28"/>
        <w:lang w:val="en-US"/>
      </w:rPr>
      <w:t>aBBREVIATIONS AND gLOSSARY OF tERMS</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AFB61" w14:textId="206F03BF" w:rsidR="00FD2E06" w:rsidRPr="00C16AA2" w:rsidRDefault="00FD2E06" w:rsidP="00C16AA2">
    <w:pPr>
      <w:pStyle w:val="Footer"/>
      <w:rPr>
        <w:rFonts w:ascii="Franklin Gothic Book" w:hAnsi="Franklin Gothic Book"/>
        <w:sz w:val="16"/>
      </w:rPr>
    </w:pPr>
    <w:bookmarkStart w:id="3" w:name="_Hlk523322095"/>
    <w:bookmarkStart w:id="4" w:name="_Hlk523322096"/>
    <w:r w:rsidRPr="00C16AA2">
      <w:rPr>
        <w:rFonts w:ascii="Franklin Gothic Book" w:hAnsi="Franklin Gothic Book"/>
        <w:sz w:val="16"/>
      </w:rPr>
      <w:t>HEALTHCARE MANAGEMENT ADVISORS – HELPING CREATE BETTER HEALTH SERVICES</w:t>
    </w:r>
    <w:bookmarkEnd w:id="3"/>
    <w:bookmarkEnd w:id="4"/>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189B6" w14:textId="2D351F2C" w:rsidR="00FD2E06" w:rsidRPr="00C61DC7" w:rsidRDefault="00FD2E06" w:rsidP="00720069">
    <w:pPr>
      <w:pStyle w:val="BodyCopy"/>
      <w:rPr>
        <w:lang w:val="en-US"/>
      </w:rPr>
    </w:pPr>
    <w:r>
      <w:rPr>
        <w:rFonts w:ascii="Franklin Gothic Book" w:eastAsia="Times New Roman" w:hAnsi="Franklin Gothic Book"/>
        <w:b/>
        <w:bCs/>
        <w:caps/>
        <w:noProof/>
        <w:sz w:val="52"/>
        <w:szCs w:val="28"/>
        <w:lang w:eastAsia="en-AU"/>
      </w:rPr>
      <mc:AlternateContent>
        <mc:Choice Requires="wps">
          <w:drawing>
            <wp:inline distT="0" distB="0" distL="0" distR="0" wp14:anchorId="69F99EF2" wp14:editId="65B021A5">
              <wp:extent cx="361937" cy="581025"/>
              <wp:effectExtent l="0" t="0" r="635" b="9525"/>
              <wp:docPr id="66" name="Freeform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37" cy="581025"/>
                      </a:xfrm>
                      <a:custGeom>
                        <a:avLst/>
                        <a:gdLst>
                          <a:gd name="T0" fmla="*/ 363 w 454"/>
                          <a:gd name="T1" fmla="*/ 733 h 733"/>
                          <a:gd name="T2" fmla="*/ 454 w 454"/>
                          <a:gd name="T3" fmla="*/ 643 h 733"/>
                          <a:gd name="T4" fmla="*/ 454 w 454"/>
                          <a:gd name="T5" fmla="*/ 91 h 733"/>
                          <a:gd name="T6" fmla="*/ 363 w 454"/>
                          <a:gd name="T7" fmla="*/ 0 h 733"/>
                          <a:gd name="T8" fmla="*/ 91 w 454"/>
                          <a:gd name="T9" fmla="*/ 0 h 733"/>
                          <a:gd name="T10" fmla="*/ 0 w 454"/>
                          <a:gd name="T11" fmla="*/ 91 h 733"/>
                          <a:gd name="T12" fmla="*/ 0 w 454"/>
                          <a:gd name="T13" fmla="*/ 643 h 733"/>
                          <a:gd name="T14" fmla="*/ 91 w 454"/>
                          <a:gd name="T15" fmla="*/ 733 h 733"/>
                          <a:gd name="T16" fmla="*/ 363 w 454"/>
                          <a:gd name="T17" fmla="*/ 733 h 7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4" h="733">
                            <a:moveTo>
                              <a:pt x="363" y="733"/>
                            </a:moveTo>
                            <a:cubicBezTo>
                              <a:pt x="363" y="733"/>
                              <a:pt x="454" y="733"/>
                              <a:pt x="454" y="643"/>
                            </a:cubicBezTo>
                            <a:lnTo>
                              <a:pt x="454" y="91"/>
                            </a:lnTo>
                            <a:cubicBezTo>
                              <a:pt x="454" y="91"/>
                              <a:pt x="454" y="0"/>
                              <a:pt x="363" y="0"/>
                            </a:cubicBezTo>
                            <a:lnTo>
                              <a:pt x="91" y="0"/>
                            </a:lnTo>
                            <a:cubicBezTo>
                              <a:pt x="91" y="0"/>
                              <a:pt x="0" y="0"/>
                              <a:pt x="0" y="91"/>
                            </a:cubicBezTo>
                            <a:lnTo>
                              <a:pt x="0" y="643"/>
                            </a:lnTo>
                            <a:cubicBezTo>
                              <a:pt x="0" y="643"/>
                              <a:pt x="0" y="733"/>
                              <a:pt x="91" y="733"/>
                            </a:cubicBezTo>
                            <a:lnTo>
                              <a:pt x="363" y="733"/>
                            </a:lnTo>
                            <a:close/>
                          </a:path>
                        </a:pathLst>
                      </a:custGeom>
                      <a:solidFill>
                        <a:srgbClr val="FFF200"/>
                      </a:solidFill>
                      <a:ln w="1">
                        <a:noFill/>
                        <a:prstDash val="solid"/>
                        <a:round/>
                        <a:headEnd/>
                        <a:tailEnd/>
                      </a:ln>
                    </wps:spPr>
                    <wps:txbx>
                      <w:txbxContent>
                        <w:p w14:paraId="57FEBB3D" w14:textId="77777777" w:rsidR="00FD2E06" w:rsidRDefault="00FD2E06" w:rsidP="00720069">
                          <w:pPr>
                            <w:jc w:val="center"/>
                          </w:pPr>
                          <w:r>
                            <w:fldChar w:fldCharType="begin"/>
                          </w:r>
                          <w:r>
                            <w:instrText xml:space="preserve"> PAGE   \* MERGEFORMAT </w:instrText>
                          </w:r>
                          <w:r>
                            <w:fldChar w:fldCharType="separate"/>
                          </w:r>
                          <w:r>
                            <w:rPr>
                              <w:noProof/>
                            </w:rPr>
                            <w:t>12</w:t>
                          </w:r>
                          <w:r>
                            <w:rPr>
                              <w:noProof/>
                            </w:rPr>
                            <w:fldChar w:fldCharType="end"/>
                          </w:r>
                        </w:p>
                      </w:txbxContent>
                    </wps:txbx>
                    <wps:bodyPr rot="0" vert="horz" wrap="square" lIns="0" tIns="0" rIns="0" bIns="0" anchor="ctr" anchorCtr="0" upright="1">
                      <a:noAutofit/>
                    </wps:bodyPr>
                  </wps:wsp>
                </a:graphicData>
              </a:graphic>
            </wp:inline>
          </w:drawing>
        </mc:Choice>
        <mc:Fallback>
          <w:pict>
            <v:shape w14:anchorId="69F99EF2" id="Freeform 88" o:spid="_x0000_s1026" style="width:28.5pt;height:45.75pt;visibility:visible;mso-wrap-style:square;mso-left-percent:-10001;mso-top-percent:-10001;mso-position-horizontal:absolute;mso-position-horizontal-relative:char;mso-position-vertical:absolute;mso-position-vertical-relative:line;mso-left-percent:-10001;mso-top-percent:-10001;v-text-anchor:middle" coordsize="454,73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" adj="-11796480,,5400" path="m363,733v,,91,,91,-90l454,91v,,,-91,-91,-91l91,c91,,,,,91l,643v,,,90,91,90l363,733xe" fillcolor="#fff200" stroked="f" strokeweight="3e-5mm">
              <v:stroke joinstyle="round"/>
              <v:formulas/>
              <v:path arrowok="t" o:connecttype="custom" o:connectlocs="289390,581025;361937,509685;361937,72133;289390,0;72547,0;0,72133;0,509685;72547,581025;289390,581025" o:connectangles="0,0,0,0,0,0,0,0,0" textboxrect="0,0,454,733"/>
              <v:textbox inset="0,0,0,0">
                <w:txbxContent>
                  <w:p w14:paraId="57FEBB3D" w14:textId="77777777" w:rsidR="00FD2E06" w:rsidRDefault="00FD2E06" w:rsidP="00720069">
                    <w:pPr>
                      <w:jc w:val="center"/>
                    </w:pPr>
                    <w:r>
                      <w:fldChar w:fldCharType="begin"/>
                    </w:r>
                    <w:r>
                      <w:instrText xml:space="preserve"> PAGE   \* MERGEFORMAT </w:instrText>
                    </w:r>
                    <w:r>
                      <w:fldChar w:fldCharType="separate"/>
                    </w:r>
                    <w:r>
                      <w:rPr>
                        <w:noProof/>
                      </w:rPr>
                      <w:t>12</w:t>
                    </w:r>
                    <w:r>
                      <w:rPr>
                        <w:noProof/>
                      </w:rPr>
                      <w:fldChar w:fldCharType="end"/>
                    </w:r>
                  </w:p>
                </w:txbxContent>
              </v:textbox>
              <w10:anchorlock/>
            </v:shape>
          </w:pict>
        </mc:Fallback>
      </mc:AlternateContent>
    </w:r>
    <w:r w:rsidRPr="00166DB1">
      <w:rPr>
        <w:rFonts w:ascii="Franklin Gothic Book" w:eastAsia="Times New Roman" w:hAnsi="Franklin Gothic Book"/>
        <w:b/>
        <w:bCs/>
        <w:caps/>
        <w:sz w:val="52"/>
        <w:szCs w:val="28"/>
      </w:rPr>
      <w:t>Introduction</w:t>
    </w:r>
    <w:r w:rsidRPr="00DA17BA">
      <w:rPr>
        <w:noProof/>
        <w:lang w:eastAsia="en-AU"/>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A7ED0" w14:textId="0C839296" w:rsidR="00FD2E06" w:rsidRPr="002E1F1A" w:rsidRDefault="00FD2E06" w:rsidP="002E1F1A">
    <w:pPr>
      <w:pStyle w:val="Footer"/>
      <w:rPr>
        <w:rFonts w:ascii="Franklin Gothic Book" w:hAnsi="Franklin Gothic Book"/>
        <w:sz w:val="16"/>
      </w:rPr>
    </w:pPr>
    <w:r w:rsidRPr="00C16AA2">
      <w:rPr>
        <w:rFonts w:ascii="Franklin Gothic Book" w:hAnsi="Franklin Gothic Book"/>
        <w:sz w:val="16"/>
      </w:rPr>
      <w:t>HEALTHCARE MANAGEMENT ADVISORS – HELPING CREATE BETTER HEALTH SERVICES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575F"/>
    <w:multiLevelType w:val="multilevel"/>
    <w:tmpl w:val="E7228820"/>
    <w:styleLink w:val="TableBullets"/>
    <w:lvl w:ilvl="0">
      <w:start w:val="1"/>
      <w:numFmt w:val="bullet"/>
      <w:pStyle w:val="TableBullets1"/>
      <w:lvlText w:val="•"/>
      <w:lvlJc w:val="left"/>
      <w:pPr>
        <w:ind w:left="227" w:hanging="170"/>
      </w:pPr>
      <w:rPr>
        <w:rFonts w:ascii="Garamond" w:hAnsi="Garamond" w:hint="default"/>
        <w:color w:val="000000" w:themeColor="text1"/>
        <w:sz w:val="22"/>
      </w:rPr>
    </w:lvl>
    <w:lvl w:ilvl="1">
      <w:start w:val="1"/>
      <w:numFmt w:val="bullet"/>
      <w:pStyle w:val="TableBullets2"/>
      <w:lvlText w:val="–"/>
      <w:lvlJc w:val="left"/>
      <w:pPr>
        <w:ind w:left="454" w:hanging="227"/>
      </w:pPr>
      <w:rPr>
        <w:rFonts w:ascii="Garamond" w:hAnsi="Garamond" w:hint="default"/>
        <w:color w:val="44546A" w:themeColor="text2"/>
      </w:rPr>
    </w:lvl>
    <w:lvl w:ilvl="2">
      <w:start w:val="1"/>
      <w:numFmt w:val="bullet"/>
      <w:lvlText w:val="–"/>
      <w:lvlJc w:val="left"/>
      <w:pPr>
        <w:ind w:left="624" w:hanging="170"/>
      </w:pPr>
      <w:rPr>
        <w:rFonts w:ascii="Garamond" w:hAnsi="Garamond" w:hint="default"/>
        <w:color w:val="44546A" w:themeColor="text2"/>
      </w:rPr>
    </w:lvl>
    <w:lvl w:ilvl="3">
      <w:start w:val="1"/>
      <w:numFmt w:val="bullet"/>
      <w:lvlText w:val="-"/>
      <w:lvlJc w:val="left"/>
      <w:pPr>
        <w:ind w:left="765" w:hanging="141"/>
      </w:pPr>
      <w:rPr>
        <w:rFonts w:ascii="Garamond" w:hAnsi="Garamond" w:hint="default"/>
        <w:color w:val="44546A" w:themeColor="text2"/>
      </w:rPr>
    </w:lvl>
    <w:lvl w:ilvl="4">
      <w:start w:val="1"/>
      <w:numFmt w:val="bullet"/>
      <w:pStyle w:val="TableBulletssmall1"/>
      <w:lvlText w:val="•"/>
      <w:lvlJc w:val="left"/>
      <w:pPr>
        <w:ind w:left="227" w:hanging="170"/>
      </w:pPr>
      <w:rPr>
        <w:rFonts w:ascii="Garamond" w:hAnsi="Garamond" w:hint="default"/>
        <w:color w:val="000000" w:themeColor="text1"/>
      </w:rPr>
    </w:lvl>
    <w:lvl w:ilvl="5">
      <w:start w:val="1"/>
      <w:numFmt w:val="bullet"/>
      <w:pStyle w:val="TableBulletssmall2"/>
      <w:lvlText w:val="–"/>
      <w:lvlJc w:val="left"/>
      <w:pPr>
        <w:ind w:left="454" w:hanging="227"/>
      </w:pPr>
      <w:rPr>
        <w:rFonts w:ascii="Garamond" w:hAnsi="Garamond" w:hint="default"/>
        <w:color w:val="44546A" w:themeColor="text2"/>
      </w:rPr>
    </w:lvl>
    <w:lvl w:ilvl="6">
      <w:start w:val="1"/>
      <w:numFmt w:val="bullet"/>
      <w:lvlText w:val="–"/>
      <w:lvlJc w:val="left"/>
      <w:pPr>
        <w:ind w:left="624" w:hanging="170"/>
      </w:pPr>
      <w:rPr>
        <w:rFonts w:ascii="Garamond" w:hAnsi="Garamond" w:hint="default"/>
        <w:color w:val="44546A" w:themeColor="text2"/>
      </w:rPr>
    </w:lvl>
    <w:lvl w:ilvl="7">
      <w:start w:val="1"/>
      <w:numFmt w:val="bullet"/>
      <w:lvlText w:val="-"/>
      <w:lvlJc w:val="left"/>
      <w:pPr>
        <w:ind w:left="765" w:hanging="141"/>
      </w:pPr>
      <w:rPr>
        <w:rFonts w:ascii="Garamond" w:hAnsi="Garamond" w:hint="default"/>
        <w:color w:val="44546A" w:themeColor="text2"/>
      </w:rPr>
    </w:lvl>
    <w:lvl w:ilvl="8">
      <w:start w:val="1"/>
      <w:numFmt w:val="bullet"/>
      <w:lvlText w:val="•"/>
      <w:lvlJc w:val="left"/>
      <w:pPr>
        <w:ind w:left="170" w:hanging="170"/>
      </w:pPr>
      <w:rPr>
        <w:rFonts w:ascii="Garamond" w:hAnsi="Garamond" w:hint="default"/>
        <w:color w:val="000000" w:themeColor="text1"/>
      </w:rPr>
    </w:lvl>
  </w:abstractNum>
  <w:abstractNum w:abstractNumId="1" w15:restartNumberingAfterBreak="0">
    <w:nsid w:val="06A51A4E"/>
    <w:multiLevelType w:val="hybridMultilevel"/>
    <w:tmpl w:val="21A4DC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20C16C8"/>
    <w:multiLevelType w:val="hybridMultilevel"/>
    <w:tmpl w:val="4FDAE2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27C638C"/>
    <w:multiLevelType w:val="hybridMultilevel"/>
    <w:tmpl w:val="7BFCCE7C"/>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6DF2C72"/>
    <w:multiLevelType w:val="hybridMultilevel"/>
    <w:tmpl w:val="17C4FC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73B6C95"/>
    <w:multiLevelType w:val="multilevel"/>
    <w:tmpl w:val="8A88FDE0"/>
    <w:styleLink w:val="Bullets"/>
    <w:lvl w:ilvl="0">
      <w:start w:val="1"/>
      <w:numFmt w:val="bullet"/>
      <w:pStyle w:val="Bullets1"/>
      <w:lvlText w:val="•"/>
      <w:lvlJc w:val="left"/>
      <w:pPr>
        <w:tabs>
          <w:tab w:val="num" w:pos="170"/>
        </w:tabs>
        <w:ind w:left="170" w:hanging="170"/>
      </w:pPr>
      <w:rPr>
        <w:rFonts w:ascii="Garamond" w:hAnsi="Garamond" w:hint="default"/>
        <w:color w:val="000000" w:themeColor="text1"/>
        <w:sz w:val="22"/>
      </w:rPr>
    </w:lvl>
    <w:lvl w:ilvl="1">
      <w:start w:val="1"/>
      <w:numFmt w:val="bullet"/>
      <w:pStyle w:val="Bullets2"/>
      <w:lvlText w:val="–"/>
      <w:lvlJc w:val="left"/>
      <w:pPr>
        <w:tabs>
          <w:tab w:val="num" w:pos="397"/>
        </w:tabs>
        <w:ind w:left="397" w:hanging="227"/>
      </w:pPr>
      <w:rPr>
        <w:rFonts w:ascii="Garamond" w:hAnsi="Garamond" w:hint="default"/>
        <w:color w:val="44546A" w:themeColor="text2"/>
      </w:rPr>
    </w:lvl>
    <w:lvl w:ilvl="2">
      <w:start w:val="1"/>
      <w:numFmt w:val="bullet"/>
      <w:pStyle w:val="Bullets3"/>
      <w:lvlText w:val="–"/>
      <w:lvlJc w:val="left"/>
      <w:pPr>
        <w:tabs>
          <w:tab w:val="num" w:pos="567"/>
        </w:tabs>
        <w:ind w:left="567" w:hanging="170"/>
      </w:pPr>
      <w:rPr>
        <w:rFonts w:ascii="Garamond" w:hAnsi="Garamond" w:hint="default"/>
        <w:color w:val="44546A" w:themeColor="text2"/>
      </w:rPr>
    </w:lvl>
    <w:lvl w:ilvl="3">
      <w:start w:val="1"/>
      <w:numFmt w:val="bullet"/>
      <w:pStyle w:val="Bullets4"/>
      <w:lvlText w:val="-"/>
      <w:lvlJc w:val="left"/>
      <w:pPr>
        <w:tabs>
          <w:tab w:val="num" w:pos="709"/>
        </w:tabs>
        <w:ind w:left="709" w:hanging="142"/>
      </w:pPr>
      <w:rPr>
        <w:rFonts w:ascii="Garamond" w:hAnsi="Garamond" w:hint="default"/>
        <w:color w:val="44546A" w:themeColor="text2"/>
      </w:rPr>
    </w:lvl>
    <w:lvl w:ilvl="4">
      <w:start w:val="1"/>
      <w:numFmt w:val="bullet"/>
      <w:lvlText w:val="•"/>
      <w:lvlJc w:val="left"/>
      <w:pPr>
        <w:tabs>
          <w:tab w:val="num" w:pos="170"/>
        </w:tabs>
        <w:ind w:left="170" w:hanging="170"/>
      </w:pPr>
      <w:rPr>
        <w:rFonts w:ascii="Garamond" w:hAnsi="Garamond" w:hint="default"/>
        <w:color w:val="000000" w:themeColor="text1"/>
      </w:rPr>
    </w:lvl>
    <w:lvl w:ilvl="5">
      <w:start w:val="1"/>
      <w:numFmt w:val="bullet"/>
      <w:lvlText w:val="–"/>
      <w:lvlJc w:val="left"/>
      <w:pPr>
        <w:tabs>
          <w:tab w:val="num" w:pos="397"/>
        </w:tabs>
        <w:ind w:left="397" w:hanging="227"/>
      </w:pPr>
      <w:rPr>
        <w:rFonts w:ascii="Garamond" w:hAnsi="Garamond" w:hint="default"/>
        <w:color w:val="44546A" w:themeColor="text2"/>
      </w:rPr>
    </w:lvl>
    <w:lvl w:ilvl="6">
      <w:start w:val="1"/>
      <w:numFmt w:val="bullet"/>
      <w:lvlText w:val="–"/>
      <w:lvlJc w:val="left"/>
      <w:pPr>
        <w:tabs>
          <w:tab w:val="num" w:pos="567"/>
        </w:tabs>
        <w:ind w:left="567" w:hanging="170"/>
      </w:pPr>
      <w:rPr>
        <w:rFonts w:ascii="Garamond" w:hAnsi="Garamond" w:hint="default"/>
        <w:color w:val="44546A" w:themeColor="text2"/>
      </w:rPr>
    </w:lvl>
    <w:lvl w:ilvl="7">
      <w:start w:val="1"/>
      <w:numFmt w:val="bullet"/>
      <w:lvlText w:val="-"/>
      <w:lvlJc w:val="left"/>
      <w:pPr>
        <w:tabs>
          <w:tab w:val="num" w:pos="709"/>
        </w:tabs>
        <w:ind w:left="709" w:hanging="142"/>
      </w:pPr>
      <w:rPr>
        <w:rFonts w:ascii="Garamond" w:hAnsi="Garamond" w:hint="default"/>
        <w:color w:val="44546A" w:themeColor="text2"/>
      </w:rPr>
    </w:lvl>
    <w:lvl w:ilvl="8">
      <w:start w:val="1"/>
      <w:numFmt w:val="bullet"/>
      <w:lvlText w:val="•"/>
      <w:lvlJc w:val="left"/>
      <w:pPr>
        <w:tabs>
          <w:tab w:val="num" w:pos="170"/>
        </w:tabs>
        <w:ind w:left="170" w:hanging="170"/>
      </w:pPr>
      <w:rPr>
        <w:rFonts w:ascii="Garamond" w:hAnsi="Garamond" w:hint="default"/>
        <w:color w:val="000000" w:themeColor="text1"/>
      </w:rPr>
    </w:lvl>
  </w:abstractNum>
  <w:abstractNum w:abstractNumId="6" w15:restartNumberingAfterBreak="0">
    <w:nsid w:val="17DE625B"/>
    <w:multiLevelType w:val="hybridMultilevel"/>
    <w:tmpl w:val="EAAC49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A741AE2"/>
    <w:multiLevelType w:val="hybridMultilevel"/>
    <w:tmpl w:val="F7480714"/>
    <w:lvl w:ilvl="0" w:tplc="19B0D7A2">
      <w:start w:val="1"/>
      <w:numFmt w:val="bullet"/>
      <w:lvlText w:val="-"/>
      <w:lvlJc w:val="left"/>
      <w:pPr>
        <w:ind w:left="644" w:hanging="360"/>
      </w:pPr>
      <w:rPr>
        <w:rFonts w:ascii="Courier New" w:hAnsi="Courier New" w:hint="default"/>
      </w:rPr>
    </w:lvl>
    <w:lvl w:ilvl="1" w:tplc="19B0D7A2">
      <w:start w:val="1"/>
      <w:numFmt w:val="bullet"/>
      <w:lvlText w:val="-"/>
      <w:lvlJc w:val="left"/>
      <w:pPr>
        <w:ind w:left="1364" w:hanging="360"/>
      </w:pPr>
      <w:rPr>
        <w:rFonts w:ascii="Courier New" w:hAnsi="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8" w15:restartNumberingAfterBreak="0">
    <w:nsid w:val="1AF67D19"/>
    <w:multiLevelType w:val="hybridMultilevel"/>
    <w:tmpl w:val="B4581C54"/>
    <w:lvl w:ilvl="0" w:tplc="8FA08CF2">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DF72543"/>
    <w:multiLevelType w:val="multilevel"/>
    <w:tmpl w:val="97645286"/>
    <w:lvl w:ilvl="0">
      <w:start w:val="1"/>
      <w:numFmt w:val="decimal"/>
      <w:pStyle w:val="StageHeading"/>
      <w:lvlText w:val="Stage %1:"/>
      <w:lvlJc w:val="left"/>
      <w:pPr>
        <w:tabs>
          <w:tab w:val="num" w:pos="1418"/>
        </w:tabs>
        <w:ind w:left="1418" w:hanging="1418"/>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27F6D5B"/>
    <w:multiLevelType w:val="hybridMultilevel"/>
    <w:tmpl w:val="0E1A58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727115B"/>
    <w:multiLevelType w:val="multilevel"/>
    <w:tmpl w:val="94CA9BF6"/>
    <w:styleLink w:val="Headings"/>
    <w:lvl w:ilvl="0">
      <w:start w:val="1"/>
      <w:numFmt w:val="decimal"/>
      <w:pStyle w:val="Heading1"/>
      <w:lvlText w:val="%1"/>
      <w:lvlJc w:val="left"/>
      <w:pPr>
        <w:ind w:left="737" w:hanging="737"/>
      </w:pPr>
      <w:rPr>
        <w:rFonts w:hint="default"/>
      </w:rPr>
    </w:lvl>
    <w:lvl w:ilvl="1">
      <w:start w:val="1"/>
      <w:numFmt w:val="decimal"/>
      <w:pStyle w:val="Heading2"/>
      <w:lvlText w:val="%1.%2"/>
      <w:lvlJc w:val="left"/>
      <w:pPr>
        <w:ind w:left="992" w:hanging="992"/>
      </w:pPr>
      <w:rPr>
        <w:rFonts w:hint="default"/>
        <w:u w:val="none"/>
      </w:rPr>
    </w:lvl>
    <w:lvl w:ilvl="2">
      <w:start w:val="1"/>
      <w:numFmt w:val="decimal"/>
      <w:pStyle w:val="Heading3"/>
      <w:lvlText w:val="%1.%2.%3"/>
      <w:lvlJc w:val="left"/>
      <w:pPr>
        <w:ind w:left="992" w:hanging="992"/>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9%1"/>
      <w:lvlJc w:val="left"/>
      <w:pPr>
        <w:tabs>
          <w:tab w:val="num" w:pos="1248"/>
        </w:tabs>
        <w:ind w:left="1248" w:hanging="822"/>
      </w:pPr>
      <w:rPr>
        <w:rFonts w:hint="default"/>
      </w:rPr>
    </w:lvl>
  </w:abstractNum>
  <w:abstractNum w:abstractNumId="12" w15:restartNumberingAfterBreak="0">
    <w:nsid w:val="38D8716E"/>
    <w:multiLevelType w:val="hybridMultilevel"/>
    <w:tmpl w:val="EF4027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CFE2728"/>
    <w:multiLevelType w:val="hybridMultilevel"/>
    <w:tmpl w:val="DB2265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E12019B"/>
    <w:multiLevelType w:val="hybridMultilevel"/>
    <w:tmpl w:val="89482A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4BA56CF"/>
    <w:multiLevelType w:val="hybridMultilevel"/>
    <w:tmpl w:val="8AEABD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6155D29"/>
    <w:multiLevelType w:val="hybridMultilevel"/>
    <w:tmpl w:val="EF60CFF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67235D1"/>
    <w:multiLevelType w:val="hybridMultilevel"/>
    <w:tmpl w:val="A086BC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7007BF5"/>
    <w:multiLevelType w:val="hybridMultilevel"/>
    <w:tmpl w:val="C7D820B2"/>
    <w:lvl w:ilvl="0" w:tplc="1B5AA064">
      <w:start w:val="1"/>
      <w:numFmt w:val="decimal"/>
      <w:pStyle w:val="StrategicDirection"/>
      <w:lvlText w:val="Strategic Direction %1:"/>
      <w:lvlJc w:val="left"/>
      <w:pPr>
        <w:ind w:left="473" w:hanging="360"/>
      </w:pPr>
      <w:rPr>
        <w:rFonts w:ascii="Franklin Gothic Book" w:hAnsi="Franklin Gothic Book" w:hint="default"/>
        <w:caps w:val="0"/>
        <w:color w:val="000000" w:themeColor="text1"/>
        <w:sz w:val="20"/>
        <w:u w:val="none"/>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9" w15:restartNumberingAfterBreak="0">
    <w:nsid w:val="4BC347FC"/>
    <w:multiLevelType w:val="hybridMultilevel"/>
    <w:tmpl w:val="A81CEA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3D672B4"/>
    <w:multiLevelType w:val="hybridMultilevel"/>
    <w:tmpl w:val="60CAA38C"/>
    <w:lvl w:ilvl="0" w:tplc="0C090001">
      <w:start w:val="1"/>
      <w:numFmt w:val="bullet"/>
      <w:lvlText w:val=""/>
      <w:lvlJc w:val="left"/>
      <w:pPr>
        <w:ind w:left="360" w:hanging="360"/>
      </w:pPr>
      <w:rPr>
        <w:rFonts w:ascii="Symbol" w:hAnsi="Symbol" w:hint="default"/>
      </w:rPr>
    </w:lvl>
    <w:lvl w:ilvl="1" w:tplc="19B0D7A2">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F131DB6"/>
    <w:multiLevelType w:val="hybridMultilevel"/>
    <w:tmpl w:val="1352B3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F353300"/>
    <w:multiLevelType w:val="hybridMultilevel"/>
    <w:tmpl w:val="7D3E1D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5135D2F"/>
    <w:multiLevelType w:val="multilevel"/>
    <w:tmpl w:val="7EC83984"/>
    <w:styleLink w:val="TableNumbers"/>
    <w:lvl w:ilvl="0">
      <w:start w:val="1"/>
      <w:numFmt w:val="decimal"/>
      <w:pStyle w:val="TableNumbers1"/>
      <w:lvlText w:val="(%1)"/>
      <w:lvlJc w:val="left"/>
      <w:pPr>
        <w:ind w:left="397" w:hanging="340"/>
      </w:pPr>
      <w:rPr>
        <w:rFonts w:hint="default"/>
      </w:rPr>
    </w:lvl>
    <w:lvl w:ilvl="1">
      <w:start w:val="1"/>
      <w:numFmt w:val="lowerLetter"/>
      <w:pStyle w:val="TableNumbers2"/>
      <w:lvlText w:val="(%2)"/>
      <w:lvlJc w:val="left"/>
      <w:pPr>
        <w:ind w:left="652" w:hanging="255"/>
      </w:pPr>
      <w:rPr>
        <w:rFonts w:hint="default"/>
      </w:rPr>
    </w:lvl>
    <w:lvl w:ilvl="2">
      <w:start w:val="1"/>
      <w:numFmt w:val="lowerRoman"/>
      <w:lvlText w:val="(%3)"/>
      <w:lvlJc w:val="left"/>
      <w:pPr>
        <w:ind w:left="1134" w:hanging="482"/>
      </w:pPr>
      <w:rPr>
        <w:rFonts w:hint="default"/>
      </w:rPr>
    </w:lvl>
    <w:lvl w:ilvl="3">
      <w:start w:val="1"/>
      <w:numFmt w:val="bullet"/>
      <w:lvlText w:val="-"/>
      <w:lvlJc w:val="left"/>
      <w:pPr>
        <w:tabs>
          <w:tab w:val="num" w:pos="1264"/>
        </w:tabs>
        <w:ind w:left="1332" w:hanging="198"/>
      </w:pPr>
      <w:rPr>
        <w:rFonts w:ascii="Garamond" w:hAnsi="Garamond" w:hint="default"/>
        <w:color w:val="44546A" w:themeColor="text2"/>
      </w:rPr>
    </w:lvl>
    <w:lvl w:ilvl="4">
      <w:start w:val="1"/>
      <w:numFmt w:val="decimal"/>
      <w:pStyle w:val="TableNumberssmall1"/>
      <w:lvlText w:val="(%5)"/>
      <w:lvlJc w:val="left"/>
      <w:pPr>
        <w:ind w:left="397" w:hanging="340"/>
      </w:pPr>
      <w:rPr>
        <w:rFonts w:hint="default"/>
      </w:rPr>
    </w:lvl>
    <w:lvl w:ilvl="5">
      <w:start w:val="1"/>
      <w:numFmt w:val="lowerLetter"/>
      <w:pStyle w:val="TableNumberssmall2"/>
      <w:lvlText w:val="(%6)"/>
      <w:lvlJc w:val="left"/>
      <w:pPr>
        <w:ind w:left="652" w:hanging="255"/>
      </w:pPr>
      <w:rPr>
        <w:rFonts w:hint="default"/>
      </w:rPr>
    </w:lvl>
    <w:lvl w:ilvl="6">
      <w:start w:val="1"/>
      <w:numFmt w:val="lowerRoman"/>
      <w:lvlText w:val="(%7)"/>
      <w:lvlJc w:val="left"/>
      <w:pPr>
        <w:ind w:left="1134" w:hanging="482"/>
      </w:pPr>
      <w:rPr>
        <w:rFonts w:hint="default"/>
      </w:rPr>
    </w:lvl>
    <w:lvl w:ilvl="7">
      <w:start w:val="1"/>
      <w:numFmt w:val="bullet"/>
      <w:lvlText w:val="-"/>
      <w:lvlJc w:val="left"/>
      <w:pPr>
        <w:ind w:left="1332" w:hanging="198"/>
      </w:pPr>
      <w:rPr>
        <w:rFonts w:ascii="Garamond" w:hAnsi="Garamond" w:hint="default"/>
        <w:color w:val="44546A" w:themeColor="text2"/>
      </w:rPr>
    </w:lvl>
    <w:lvl w:ilvl="8">
      <w:start w:val="1"/>
      <w:numFmt w:val="decimal"/>
      <w:lvlText w:val="(%9)"/>
      <w:lvlJc w:val="left"/>
      <w:pPr>
        <w:ind w:left="340" w:hanging="340"/>
      </w:pPr>
      <w:rPr>
        <w:rFonts w:hint="default"/>
      </w:rPr>
    </w:lvl>
  </w:abstractNum>
  <w:abstractNum w:abstractNumId="24" w15:restartNumberingAfterBreak="0">
    <w:nsid w:val="6597271E"/>
    <w:multiLevelType w:val="hybridMultilevel"/>
    <w:tmpl w:val="CDC815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6F17EE2"/>
    <w:multiLevelType w:val="hybridMultilevel"/>
    <w:tmpl w:val="6A8E21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26" w15:restartNumberingAfterBreak="0">
    <w:nsid w:val="673E7C0A"/>
    <w:multiLevelType w:val="hybridMultilevel"/>
    <w:tmpl w:val="D450A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8ED06C5"/>
    <w:multiLevelType w:val="hybridMultilevel"/>
    <w:tmpl w:val="65E44904"/>
    <w:lvl w:ilvl="0" w:tplc="D6145FAA">
      <w:start w:val="1"/>
      <w:numFmt w:val="decimal"/>
      <w:pStyle w:val="KeyFinding"/>
      <w:lvlText w:val="Key Finding %1:"/>
      <w:lvlJc w:val="left"/>
      <w:pPr>
        <w:ind w:left="473" w:hanging="360"/>
      </w:pPr>
      <w:rPr>
        <w:rFonts w:ascii="Franklin Gothic Book" w:hAnsi="Franklin Gothic Book" w:hint="default"/>
        <w:caps w:val="0"/>
        <w:color w:val="000000" w:themeColor="text1"/>
        <w:sz w:val="22"/>
        <w:u w:val="none"/>
      </w:rPr>
    </w:lvl>
    <w:lvl w:ilvl="1" w:tplc="04090019" w:tentative="1">
      <w:start w:val="1"/>
      <w:numFmt w:val="lowerLetter"/>
      <w:lvlText w:val="%2."/>
      <w:lvlJc w:val="left"/>
      <w:pPr>
        <w:ind w:left="3312" w:hanging="360"/>
      </w:pPr>
    </w:lvl>
    <w:lvl w:ilvl="2" w:tplc="0409001B" w:tentative="1">
      <w:start w:val="1"/>
      <w:numFmt w:val="lowerRoman"/>
      <w:lvlText w:val="%3."/>
      <w:lvlJc w:val="right"/>
      <w:pPr>
        <w:ind w:left="4032" w:hanging="180"/>
      </w:pPr>
    </w:lvl>
    <w:lvl w:ilvl="3" w:tplc="0409000F" w:tentative="1">
      <w:start w:val="1"/>
      <w:numFmt w:val="decimal"/>
      <w:lvlText w:val="%4."/>
      <w:lvlJc w:val="left"/>
      <w:pPr>
        <w:ind w:left="4752" w:hanging="360"/>
      </w:pPr>
    </w:lvl>
    <w:lvl w:ilvl="4" w:tplc="04090019" w:tentative="1">
      <w:start w:val="1"/>
      <w:numFmt w:val="lowerLetter"/>
      <w:lvlText w:val="%5."/>
      <w:lvlJc w:val="left"/>
      <w:pPr>
        <w:ind w:left="5472" w:hanging="360"/>
      </w:pPr>
    </w:lvl>
    <w:lvl w:ilvl="5" w:tplc="0409001B" w:tentative="1">
      <w:start w:val="1"/>
      <w:numFmt w:val="lowerRoman"/>
      <w:lvlText w:val="%6."/>
      <w:lvlJc w:val="right"/>
      <w:pPr>
        <w:ind w:left="6192" w:hanging="180"/>
      </w:pPr>
    </w:lvl>
    <w:lvl w:ilvl="6" w:tplc="0409000F" w:tentative="1">
      <w:start w:val="1"/>
      <w:numFmt w:val="decimal"/>
      <w:lvlText w:val="%7."/>
      <w:lvlJc w:val="left"/>
      <w:pPr>
        <w:ind w:left="6912" w:hanging="360"/>
      </w:pPr>
    </w:lvl>
    <w:lvl w:ilvl="7" w:tplc="04090019" w:tentative="1">
      <w:start w:val="1"/>
      <w:numFmt w:val="lowerLetter"/>
      <w:lvlText w:val="%8."/>
      <w:lvlJc w:val="left"/>
      <w:pPr>
        <w:ind w:left="7632" w:hanging="360"/>
      </w:pPr>
    </w:lvl>
    <w:lvl w:ilvl="8" w:tplc="0409001B" w:tentative="1">
      <w:start w:val="1"/>
      <w:numFmt w:val="lowerRoman"/>
      <w:lvlText w:val="%9."/>
      <w:lvlJc w:val="right"/>
      <w:pPr>
        <w:ind w:left="8352" w:hanging="180"/>
      </w:pPr>
    </w:lvl>
  </w:abstractNum>
  <w:abstractNum w:abstractNumId="28" w15:restartNumberingAfterBreak="0">
    <w:nsid w:val="691C2346"/>
    <w:multiLevelType w:val="hybridMultilevel"/>
    <w:tmpl w:val="8A182D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A6B5790"/>
    <w:multiLevelType w:val="multilevel"/>
    <w:tmpl w:val="7A20B558"/>
    <w:lvl w:ilvl="0">
      <w:start w:val="1"/>
      <w:numFmt w:val="upperLetter"/>
      <w:pStyle w:val="HeadingAppendix2"/>
      <w:lvlText w:val="Appendix %1"/>
      <w:lvlJc w:val="left"/>
      <w:pPr>
        <w:tabs>
          <w:tab w:val="num" w:pos="1985"/>
        </w:tabs>
        <w:ind w:left="0" w:firstLine="0"/>
      </w:pPr>
      <w:rPr>
        <w:rFonts w:hint="default"/>
      </w:rPr>
    </w:lvl>
    <w:lvl w:ilvl="1">
      <w:start w:val="1"/>
      <w:numFmt w:val="decimal"/>
      <w:lvlText w:val="%1.%2"/>
      <w:lvlJc w:val="left"/>
      <w:pPr>
        <w:tabs>
          <w:tab w:val="num" w:pos="567"/>
        </w:tabs>
        <w:ind w:left="567" w:hanging="567"/>
      </w:pPr>
      <w:rPr>
        <w:rFonts w:ascii="Arial" w:hAnsi="Arial" w:hint="default"/>
        <w:b/>
        <w:i w:val="0"/>
        <w:sz w:val="24"/>
        <w:szCs w:val="24"/>
      </w:rPr>
    </w:lvl>
    <w:lvl w:ilvl="2">
      <w:start w:val="1"/>
      <w:numFmt w:val="decimal"/>
      <w:lvlText w:val="%1.%2.%3"/>
      <w:lvlJc w:val="left"/>
      <w:pPr>
        <w:tabs>
          <w:tab w:val="num" w:pos="919"/>
        </w:tabs>
        <w:ind w:left="2" w:firstLine="0"/>
      </w:pPr>
      <w:rPr>
        <w:rFonts w:hint="default"/>
      </w:rPr>
    </w:lvl>
    <w:lvl w:ilvl="3">
      <w:start w:val="1"/>
      <w:numFmt w:val="decimal"/>
      <w:lvlText w:val="%1.%2.%3.%4"/>
      <w:lvlJc w:val="left"/>
      <w:pPr>
        <w:tabs>
          <w:tab w:val="num" w:pos="1223"/>
        </w:tabs>
        <w:ind w:left="1223" w:hanging="864"/>
      </w:pPr>
      <w:rPr>
        <w:rFonts w:hint="default"/>
      </w:rPr>
    </w:lvl>
    <w:lvl w:ilvl="4">
      <w:start w:val="1"/>
      <w:numFmt w:val="lowerRoman"/>
      <w:lvlText w:val="(%5)"/>
      <w:lvlJc w:val="left"/>
      <w:pPr>
        <w:tabs>
          <w:tab w:val="num" w:pos="699"/>
        </w:tabs>
        <w:ind w:left="699" w:hanging="340"/>
      </w:pPr>
      <w:rPr>
        <w:rFonts w:hint="default"/>
      </w:rPr>
    </w:lvl>
    <w:lvl w:ilvl="5">
      <w:start w:val="1"/>
      <w:numFmt w:val="decimal"/>
      <w:lvlText w:val="%1.%2.%3.%4.%5.%6"/>
      <w:lvlJc w:val="left"/>
      <w:pPr>
        <w:tabs>
          <w:tab w:val="num" w:pos="1511"/>
        </w:tabs>
        <w:ind w:left="1511" w:hanging="1152"/>
      </w:pPr>
      <w:rPr>
        <w:rFonts w:hint="default"/>
      </w:rPr>
    </w:lvl>
    <w:lvl w:ilvl="6">
      <w:start w:val="1"/>
      <w:numFmt w:val="decimal"/>
      <w:lvlText w:val="%1.%2.%3.%4.%5.%6.%7"/>
      <w:lvlJc w:val="left"/>
      <w:pPr>
        <w:tabs>
          <w:tab w:val="num" w:pos="1655"/>
        </w:tabs>
        <w:ind w:left="1655" w:hanging="1296"/>
      </w:pPr>
      <w:rPr>
        <w:rFonts w:hint="default"/>
      </w:rPr>
    </w:lvl>
    <w:lvl w:ilvl="7">
      <w:start w:val="1"/>
      <w:numFmt w:val="decimal"/>
      <w:lvlText w:val="%1.%2.%3.%4.%5.%6.%7.%8"/>
      <w:lvlJc w:val="left"/>
      <w:pPr>
        <w:tabs>
          <w:tab w:val="num" w:pos="1799"/>
        </w:tabs>
        <w:ind w:left="1799" w:hanging="1440"/>
      </w:pPr>
      <w:rPr>
        <w:rFonts w:hint="default"/>
      </w:rPr>
    </w:lvl>
    <w:lvl w:ilvl="8">
      <w:start w:val="1"/>
      <w:numFmt w:val="decimal"/>
      <w:lvlText w:val="%1.%2.%3.%4.%5.%6.%7.%8.%9"/>
      <w:lvlJc w:val="left"/>
      <w:pPr>
        <w:tabs>
          <w:tab w:val="num" w:pos="1943"/>
        </w:tabs>
        <w:ind w:left="1943" w:hanging="1584"/>
      </w:pPr>
      <w:rPr>
        <w:rFonts w:hint="default"/>
      </w:rPr>
    </w:lvl>
  </w:abstractNum>
  <w:abstractNum w:abstractNumId="30" w15:restartNumberingAfterBreak="0">
    <w:nsid w:val="6AFC2484"/>
    <w:multiLevelType w:val="multilevel"/>
    <w:tmpl w:val="D21C1198"/>
    <w:styleLink w:val="Sections"/>
    <w:lvl w:ilvl="0">
      <w:start w:val="1"/>
      <w:numFmt w:val="upperLetter"/>
      <w:pStyle w:val="SectionTitle"/>
      <w:lvlText w:val="SECTION %1:"/>
      <w:lvlJc w:val="left"/>
      <w:pPr>
        <w:tabs>
          <w:tab w:val="num" w:pos="1871"/>
        </w:tabs>
        <w:ind w:left="1871" w:hanging="1871"/>
      </w:pPr>
      <w:rPr>
        <w:rFonts w:ascii="Franklin Gothic Book" w:hAnsi="Franklin Gothic Book" w:hint="default"/>
        <w:color w:val="000000" w:themeColor="text1"/>
        <w:sz w:val="3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F5A2FE1"/>
    <w:multiLevelType w:val="multilevel"/>
    <w:tmpl w:val="A6242A8C"/>
    <w:styleLink w:val="Numbers"/>
    <w:lvl w:ilvl="0">
      <w:start w:val="1"/>
      <w:numFmt w:val="decimal"/>
      <w:pStyle w:val="Numbers1"/>
      <w:lvlText w:val="(%1)"/>
      <w:lvlJc w:val="left"/>
      <w:pPr>
        <w:ind w:left="454" w:hanging="454"/>
      </w:pPr>
      <w:rPr>
        <w:rFonts w:hint="default"/>
      </w:rPr>
    </w:lvl>
    <w:lvl w:ilvl="1">
      <w:start w:val="1"/>
      <w:numFmt w:val="lowerLetter"/>
      <w:pStyle w:val="Numbers2"/>
      <w:lvlText w:val="(%2)"/>
      <w:lvlJc w:val="left"/>
      <w:pPr>
        <w:ind w:left="765" w:hanging="311"/>
      </w:pPr>
      <w:rPr>
        <w:rFonts w:hint="default"/>
      </w:rPr>
    </w:lvl>
    <w:lvl w:ilvl="2">
      <w:start w:val="1"/>
      <w:numFmt w:val="lowerRoman"/>
      <w:pStyle w:val="Numbers3"/>
      <w:lvlText w:val="(%3)"/>
      <w:lvlJc w:val="left"/>
      <w:pPr>
        <w:ind w:left="1191" w:hanging="426"/>
      </w:pPr>
      <w:rPr>
        <w:rFonts w:hint="default"/>
      </w:rPr>
    </w:lvl>
    <w:lvl w:ilvl="3">
      <w:start w:val="1"/>
      <w:numFmt w:val="bullet"/>
      <w:pStyle w:val="Numbers4"/>
      <w:lvlText w:val="-"/>
      <w:lvlJc w:val="left"/>
      <w:pPr>
        <w:ind w:left="1332" w:hanging="141"/>
      </w:pPr>
      <w:rPr>
        <w:rFonts w:ascii="Garamond" w:hAnsi="Garamond" w:hint="default"/>
        <w:color w:val="44546A" w:themeColor="text2"/>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Garamond" w:hAnsi="Garamond" w:hint="default"/>
        <w:color w:val="44546A" w:themeColor="text2"/>
      </w:rPr>
    </w:lvl>
    <w:lvl w:ilvl="8">
      <w:start w:val="1"/>
      <w:numFmt w:val="decimal"/>
      <w:lvlText w:val="(%9)"/>
      <w:lvlJc w:val="left"/>
      <w:pPr>
        <w:ind w:left="3240" w:hanging="360"/>
      </w:pPr>
      <w:rPr>
        <w:rFonts w:hint="default"/>
      </w:rPr>
    </w:lvl>
  </w:abstractNum>
  <w:abstractNum w:abstractNumId="32" w15:restartNumberingAfterBreak="0">
    <w:nsid w:val="74651D62"/>
    <w:multiLevelType w:val="hybridMultilevel"/>
    <w:tmpl w:val="63CAC2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5C673B6"/>
    <w:multiLevelType w:val="hybridMultilevel"/>
    <w:tmpl w:val="CAF6BF4A"/>
    <w:lvl w:ilvl="0" w:tplc="19B0D7A2">
      <w:start w:val="1"/>
      <w:numFmt w:val="bullet"/>
      <w:lvlText w:val="-"/>
      <w:lvlJc w:val="left"/>
      <w:pPr>
        <w:ind w:left="720" w:hanging="360"/>
      </w:pPr>
      <w:rPr>
        <w:rFonts w:ascii="Courier New" w:hAnsi="Courier New" w:hint="default"/>
      </w:rPr>
    </w:lvl>
    <w:lvl w:ilvl="1" w:tplc="19B0D7A2">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E4075F"/>
    <w:multiLevelType w:val="hybridMultilevel"/>
    <w:tmpl w:val="D81C5D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8D2615F"/>
    <w:multiLevelType w:val="hybridMultilevel"/>
    <w:tmpl w:val="24206898"/>
    <w:lvl w:ilvl="0" w:tplc="C7686F24">
      <w:start w:val="1"/>
      <w:numFmt w:val="upperLetter"/>
      <w:pStyle w:val="SectionPageTitle"/>
      <w:lvlText w:val="Part %1"/>
      <w:lvlJc w:val="left"/>
      <w:pPr>
        <w:ind w:left="360" w:hanging="360"/>
      </w:pPr>
      <w:rPr>
        <w:rFonts w:ascii="Franklin Gothic Demi" w:hAnsi="Franklin Gothic Demi" w:hint="default"/>
        <w:sz w:val="7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204A2A"/>
    <w:multiLevelType w:val="hybridMultilevel"/>
    <w:tmpl w:val="7A7A4008"/>
    <w:lvl w:ilvl="0" w:tplc="C448A124">
      <w:start w:val="1"/>
      <w:numFmt w:val="decimal"/>
      <w:pStyle w:val="Recommendation"/>
      <w:lvlText w:val="Recommendation %1:"/>
      <w:lvlJc w:val="left"/>
      <w:pPr>
        <w:ind w:left="360" w:hanging="360"/>
      </w:pPr>
      <w:rPr>
        <w:rFonts w:ascii="Franklin Gothic Heavy" w:hAnsi="Franklin Gothic Heavy" w:hint="default"/>
        <w:cap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3E44B6"/>
    <w:multiLevelType w:val="hybridMultilevel"/>
    <w:tmpl w:val="8C6EFE88"/>
    <w:lvl w:ilvl="0" w:tplc="0C090001">
      <w:start w:val="1"/>
      <w:numFmt w:val="bullet"/>
      <w:lvlText w:val=""/>
      <w:lvlJc w:val="left"/>
      <w:pPr>
        <w:ind w:left="360" w:hanging="360"/>
      </w:pPr>
      <w:rPr>
        <w:rFonts w:ascii="Symbol" w:hAnsi="Symbol" w:hint="default"/>
      </w:rPr>
    </w:lvl>
    <w:lvl w:ilvl="1" w:tplc="19B0D7A2">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BF54100"/>
    <w:multiLevelType w:val="hybridMultilevel"/>
    <w:tmpl w:val="4C4ECE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5"/>
  </w:num>
  <w:num w:numId="2">
    <w:abstractNumId w:val="31"/>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6"/>
  </w:num>
  <w:num w:numId="7">
    <w:abstractNumId w:val="32"/>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37"/>
  </w:num>
  <w:num w:numId="11">
    <w:abstractNumId w:val="25"/>
  </w:num>
  <w:num w:numId="12">
    <w:abstractNumId w:val="4"/>
  </w:num>
  <w:num w:numId="13">
    <w:abstractNumId w:val="38"/>
  </w:num>
  <w:num w:numId="14">
    <w:abstractNumId w:val="33"/>
  </w:num>
  <w:num w:numId="15">
    <w:abstractNumId w:val="1"/>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6"/>
  </w:num>
  <w:num w:numId="19">
    <w:abstractNumId w:val="15"/>
  </w:num>
  <w:num w:numId="20">
    <w:abstractNumId w:val="13"/>
  </w:num>
  <w:num w:numId="21">
    <w:abstractNumId w:val="20"/>
  </w:num>
  <w:num w:numId="22">
    <w:abstractNumId w:val="14"/>
  </w:num>
  <w:num w:numId="23">
    <w:abstractNumId w:val="17"/>
  </w:num>
  <w:num w:numId="24">
    <w:abstractNumId w:val="19"/>
  </w:num>
  <w:num w:numId="25">
    <w:abstractNumId w:val="34"/>
  </w:num>
  <w:num w:numId="26">
    <w:abstractNumId w:val="21"/>
  </w:num>
  <w:num w:numId="27">
    <w:abstractNumId w:val="22"/>
  </w:num>
  <w:num w:numId="28">
    <w:abstractNumId w:val="3"/>
  </w:num>
  <w:num w:numId="29">
    <w:abstractNumId w:val="12"/>
  </w:num>
  <w:num w:numId="30">
    <w:abstractNumId w:val="24"/>
  </w:num>
  <w:num w:numId="31">
    <w:abstractNumId w:val="10"/>
  </w:num>
  <w:num w:numId="32">
    <w:abstractNumId w:val="2"/>
  </w:num>
  <w:num w:numId="33">
    <w:abstractNumId w:val="7"/>
  </w:num>
  <w:num w:numId="34">
    <w:abstractNumId w:val="5"/>
  </w:num>
  <w:num w:numId="35">
    <w:abstractNumId w:val="5"/>
  </w:num>
  <w:num w:numId="36">
    <w:abstractNumId w:val="29"/>
  </w:num>
  <w:num w:numId="37">
    <w:abstractNumId w:val="11"/>
  </w:num>
  <w:num w:numId="38">
    <w:abstractNumId w:val="36"/>
  </w:num>
  <w:num w:numId="39">
    <w:abstractNumId w:val="27"/>
  </w:num>
  <w:num w:numId="40">
    <w:abstractNumId w:val="31"/>
  </w:num>
  <w:num w:numId="41">
    <w:abstractNumId w:val="31"/>
  </w:num>
  <w:num w:numId="42">
    <w:abstractNumId w:val="35"/>
  </w:num>
  <w:num w:numId="43">
    <w:abstractNumId w:val="30"/>
  </w:num>
  <w:num w:numId="44">
    <w:abstractNumId w:val="9"/>
  </w:num>
  <w:num w:numId="45">
    <w:abstractNumId w:val="18"/>
  </w:num>
  <w:num w:numId="46">
    <w:abstractNumId w:val="0"/>
  </w:num>
  <w:num w:numId="47">
    <w:abstractNumId w:val="0"/>
  </w:num>
  <w:num w:numId="48">
    <w:abstractNumId w:val="23"/>
  </w:num>
  <w:num w:numId="49">
    <w:abstractNumId w:val="23"/>
  </w:num>
  <w:num w:numId="50">
    <w:abstractNumId w:val="11"/>
  </w:num>
  <w:num w:numId="51">
    <w:abstractNumId w:val="5"/>
  </w:num>
  <w:num w:numId="52">
    <w:abstractNumId w:val="5"/>
  </w:num>
  <w:num w:numId="53">
    <w:abstractNumId w:val="5"/>
  </w:num>
  <w:num w:numId="54">
    <w:abstractNumId w:val="5"/>
  </w:num>
  <w:num w:numId="55">
    <w:abstractNumId w:val="31"/>
  </w:num>
  <w:num w:numId="56">
    <w:abstractNumId w:val="31"/>
  </w:num>
  <w:num w:numId="57">
    <w:abstractNumId w:val="31"/>
  </w:num>
  <w:num w:numId="58">
    <w:abstractNumId w:val="3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DB1"/>
    <w:rsid w:val="000121A1"/>
    <w:rsid w:val="00063226"/>
    <w:rsid w:val="0006497F"/>
    <w:rsid w:val="0006633E"/>
    <w:rsid w:val="00072DFC"/>
    <w:rsid w:val="000B3762"/>
    <w:rsid w:val="000C002F"/>
    <w:rsid w:val="00112926"/>
    <w:rsid w:val="00133610"/>
    <w:rsid w:val="0014275F"/>
    <w:rsid w:val="00152057"/>
    <w:rsid w:val="00166DB1"/>
    <w:rsid w:val="001C5BAE"/>
    <w:rsid w:val="001E4800"/>
    <w:rsid w:val="001E4D58"/>
    <w:rsid w:val="00207085"/>
    <w:rsid w:val="00256115"/>
    <w:rsid w:val="00281DD2"/>
    <w:rsid w:val="0029291C"/>
    <w:rsid w:val="00292F80"/>
    <w:rsid w:val="002D261F"/>
    <w:rsid w:val="002D4577"/>
    <w:rsid w:val="002E1F1A"/>
    <w:rsid w:val="003142F9"/>
    <w:rsid w:val="00323BD8"/>
    <w:rsid w:val="00357B19"/>
    <w:rsid w:val="003647AE"/>
    <w:rsid w:val="00367717"/>
    <w:rsid w:val="003826FF"/>
    <w:rsid w:val="00396081"/>
    <w:rsid w:val="003D449E"/>
    <w:rsid w:val="003E51C4"/>
    <w:rsid w:val="003F26C9"/>
    <w:rsid w:val="00416EC3"/>
    <w:rsid w:val="00483C21"/>
    <w:rsid w:val="004F0F6F"/>
    <w:rsid w:val="00512879"/>
    <w:rsid w:val="00546711"/>
    <w:rsid w:val="00580133"/>
    <w:rsid w:val="005A6C5B"/>
    <w:rsid w:val="005D2DA1"/>
    <w:rsid w:val="006060CE"/>
    <w:rsid w:val="00660B8E"/>
    <w:rsid w:val="0068689E"/>
    <w:rsid w:val="00720069"/>
    <w:rsid w:val="00775E5D"/>
    <w:rsid w:val="0078709D"/>
    <w:rsid w:val="00787AA0"/>
    <w:rsid w:val="0083126D"/>
    <w:rsid w:val="00837014"/>
    <w:rsid w:val="0086316D"/>
    <w:rsid w:val="008A499C"/>
    <w:rsid w:val="008A6360"/>
    <w:rsid w:val="00904A68"/>
    <w:rsid w:val="00912549"/>
    <w:rsid w:val="0093538D"/>
    <w:rsid w:val="009B60C3"/>
    <w:rsid w:val="009D1F73"/>
    <w:rsid w:val="009F66FB"/>
    <w:rsid w:val="00A4675C"/>
    <w:rsid w:val="00A77355"/>
    <w:rsid w:val="00AA0559"/>
    <w:rsid w:val="00AB00DC"/>
    <w:rsid w:val="00AD03B9"/>
    <w:rsid w:val="00B22AE0"/>
    <w:rsid w:val="00B24642"/>
    <w:rsid w:val="00B30A5C"/>
    <w:rsid w:val="00B402F5"/>
    <w:rsid w:val="00B508AE"/>
    <w:rsid w:val="00B77C1D"/>
    <w:rsid w:val="00BA72F1"/>
    <w:rsid w:val="00BF753C"/>
    <w:rsid w:val="00C16AA2"/>
    <w:rsid w:val="00C53DB8"/>
    <w:rsid w:val="00C72515"/>
    <w:rsid w:val="00C826BE"/>
    <w:rsid w:val="00C83B4A"/>
    <w:rsid w:val="00CB2141"/>
    <w:rsid w:val="00CC3926"/>
    <w:rsid w:val="00CE71F8"/>
    <w:rsid w:val="00CF2305"/>
    <w:rsid w:val="00CF382E"/>
    <w:rsid w:val="00D25FF8"/>
    <w:rsid w:val="00D3633D"/>
    <w:rsid w:val="00D43059"/>
    <w:rsid w:val="00D62D23"/>
    <w:rsid w:val="00D65552"/>
    <w:rsid w:val="00E45E42"/>
    <w:rsid w:val="00E804BF"/>
    <w:rsid w:val="00E86CA4"/>
    <w:rsid w:val="00EA1B6E"/>
    <w:rsid w:val="00EB2DB8"/>
    <w:rsid w:val="00EB4D7E"/>
    <w:rsid w:val="00F44120"/>
    <w:rsid w:val="00F71AF1"/>
    <w:rsid w:val="00F948C2"/>
    <w:rsid w:val="00FD2E06"/>
    <w:rsid w:val="00FF3C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169E2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5" w:unhideWhenUsed="1" w:qFormat="1"/>
    <w:lsdException w:name="heading 6" w:semiHidden="1" w:uiPriority="5" w:unhideWhenUsed="1" w:qFormat="1"/>
    <w:lsdException w:name="heading 7" w:semiHidden="1" w:uiPriority="5" w:unhideWhenUsed="1" w:qFormat="1"/>
    <w:lsdException w:name="heading 8" w:semiHidden="1" w:uiPriority="5" w:unhideWhenUsed="1" w:qFormat="1"/>
    <w:lsdException w:name="heading 9" w:semiHidden="1" w:uiPriority="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rsid w:val="00B24642"/>
    <w:pPr>
      <w:spacing w:after="0" w:line="264" w:lineRule="atLeast"/>
    </w:pPr>
    <w:rPr>
      <w:rFonts w:cs="Times New Roman"/>
      <w:color w:val="000000" w:themeColor="text1"/>
      <w:spacing w:val="-2"/>
      <w:szCs w:val="20"/>
    </w:rPr>
  </w:style>
  <w:style w:type="paragraph" w:styleId="Heading1">
    <w:name w:val="heading 1"/>
    <w:next w:val="BodyCopy"/>
    <w:link w:val="Heading1Char"/>
    <w:uiPriority w:val="4"/>
    <w:qFormat/>
    <w:rsid w:val="00B24642"/>
    <w:pPr>
      <w:keepNext/>
      <w:keepLines/>
      <w:pageBreakBefore/>
      <w:numPr>
        <w:numId w:val="50"/>
      </w:numPr>
      <w:spacing w:after="0" w:line="560" w:lineRule="exact"/>
      <w:outlineLvl w:val="0"/>
    </w:pPr>
    <w:rPr>
      <w:rFonts w:asciiTheme="majorHAnsi" w:eastAsiaTheme="majorEastAsia" w:hAnsiTheme="majorHAnsi" w:cstheme="majorBidi"/>
      <w:b/>
      <w:bCs/>
      <w:caps/>
      <w:color w:val="000000" w:themeColor="text1"/>
      <w:sz w:val="52"/>
      <w:szCs w:val="28"/>
    </w:rPr>
  </w:style>
  <w:style w:type="paragraph" w:styleId="Heading2">
    <w:name w:val="heading 2"/>
    <w:next w:val="BodyCopy"/>
    <w:link w:val="Heading2Char"/>
    <w:uiPriority w:val="4"/>
    <w:qFormat/>
    <w:rsid w:val="00B24642"/>
    <w:pPr>
      <w:keepNext/>
      <w:keepLines/>
      <w:numPr>
        <w:ilvl w:val="1"/>
        <w:numId w:val="50"/>
      </w:numPr>
      <w:spacing w:before="369" w:after="170" w:line="384" w:lineRule="atLeast"/>
      <w:outlineLvl w:val="1"/>
    </w:pPr>
    <w:rPr>
      <w:rFonts w:asciiTheme="majorHAnsi" w:eastAsiaTheme="majorEastAsia" w:hAnsiTheme="majorHAnsi" w:cstheme="majorBidi"/>
      <w:b/>
      <w:bCs/>
      <w:caps/>
      <w:color w:val="000000" w:themeColor="text1"/>
      <w:spacing w:val="-3"/>
      <w:sz w:val="32"/>
      <w:szCs w:val="26"/>
      <w:u w:val="single"/>
    </w:rPr>
  </w:style>
  <w:style w:type="paragraph" w:styleId="Heading3">
    <w:name w:val="heading 3"/>
    <w:next w:val="BodyCopy"/>
    <w:link w:val="Heading3Char"/>
    <w:uiPriority w:val="4"/>
    <w:qFormat/>
    <w:rsid w:val="00B24642"/>
    <w:pPr>
      <w:keepNext/>
      <w:keepLines/>
      <w:numPr>
        <w:ilvl w:val="2"/>
        <w:numId w:val="50"/>
      </w:numPr>
      <w:spacing w:before="284" w:after="142" w:line="336" w:lineRule="atLeast"/>
      <w:outlineLvl w:val="2"/>
    </w:pPr>
    <w:rPr>
      <w:rFonts w:ascii="Franklin Gothic Demi" w:eastAsiaTheme="majorEastAsia" w:hAnsi="Franklin Gothic Demi" w:cstheme="majorBidi"/>
      <w:bCs/>
      <w:color w:val="000000" w:themeColor="text1"/>
      <w:spacing w:val="-6"/>
      <w:sz w:val="28"/>
      <w:szCs w:val="20"/>
    </w:rPr>
  </w:style>
  <w:style w:type="paragraph" w:styleId="Heading4">
    <w:name w:val="heading 4"/>
    <w:next w:val="BodyCopy"/>
    <w:link w:val="Heading4Char"/>
    <w:uiPriority w:val="4"/>
    <w:qFormat/>
    <w:rsid w:val="00B24642"/>
    <w:pPr>
      <w:keepNext/>
      <w:keepLines/>
      <w:spacing w:before="170" w:after="113" w:line="288" w:lineRule="atLeast"/>
      <w:outlineLvl w:val="3"/>
    </w:pPr>
    <w:rPr>
      <w:rFonts w:asciiTheme="majorHAnsi" w:eastAsiaTheme="majorEastAsia" w:hAnsiTheme="majorHAnsi" w:cstheme="majorBidi"/>
      <w:bCs/>
      <w:iCs/>
      <w:color w:val="000000" w:themeColor="text1"/>
      <w:spacing w:val="-3"/>
      <w:sz w:val="24"/>
      <w:szCs w:val="20"/>
    </w:rPr>
  </w:style>
  <w:style w:type="paragraph" w:styleId="Heading5">
    <w:name w:val="heading 5"/>
    <w:next w:val="BodyText"/>
    <w:link w:val="Heading5Char"/>
    <w:uiPriority w:val="5"/>
    <w:semiHidden/>
    <w:qFormat/>
    <w:rsid w:val="00B24642"/>
    <w:pPr>
      <w:keepNext/>
      <w:keepLines/>
      <w:spacing w:before="200" w:after="0" w:line="240" w:lineRule="auto"/>
      <w:outlineLvl w:val="4"/>
    </w:pPr>
    <w:rPr>
      <w:rFonts w:asciiTheme="majorHAnsi" w:eastAsiaTheme="majorEastAsia" w:hAnsiTheme="majorHAnsi" w:cstheme="majorBidi"/>
      <w:color w:val="1F3763" w:themeColor="accent1" w:themeShade="7F"/>
      <w:sz w:val="20"/>
      <w:szCs w:val="20"/>
    </w:rPr>
  </w:style>
  <w:style w:type="paragraph" w:styleId="Heading6">
    <w:name w:val="heading 6"/>
    <w:next w:val="BodyText"/>
    <w:link w:val="Heading6Char"/>
    <w:uiPriority w:val="5"/>
    <w:semiHidden/>
    <w:qFormat/>
    <w:rsid w:val="00B24642"/>
    <w:pPr>
      <w:keepNext/>
      <w:keepLines/>
      <w:spacing w:before="200" w:after="0" w:line="240" w:lineRule="auto"/>
      <w:outlineLvl w:val="5"/>
    </w:pPr>
    <w:rPr>
      <w:rFonts w:asciiTheme="majorHAnsi" w:eastAsiaTheme="majorEastAsia" w:hAnsiTheme="majorHAnsi" w:cstheme="majorBidi"/>
      <w:i/>
      <w:iCs/>
      <w:color w:val="1F3763" w:themeColor="accent1" w:themeShade="7F"/>
      <w:sz w:val="20"/>
      <w:szCs w:val="20"/>
    </w:rPr>
  </w:style>
  <w:style w:type="paragraph" w:styleId="Heading7">
    <w:name w:val="heading 7"/>
    <w:next w:val="BodyText"/>
    <w:link w:val="Heading7Char"/>
    <w:uiPriority w:val="5"/>
    <w:semiHidden/>
    <w:qFormat/>
    <w:rsid w:val="00B24642"/>
    <w:pPr>
      <w:keepNext/>
      <w:keepLines/>
      <w:spacing w:before="200" w:after="0" w:line="240" w:lineRule="auto"/>
      <w:outlineLvl w:val="6"/>
    </w:pPr>
    <w:rPr>
      <w:rFonts w:asciiTheme="majorHAnsi" w:eastAsiaTheme="majorEastAsia" w:hAnsiTheme="majorHAnsi" w:cstheme="majorBidi"/>
      <w:i/>
      <w:iCs/>
      <w:color w:val="404040" w:themeColor="text1" w:themeTint="BF"/>
      <w:sz w:val="20"/>
      <w:szCs w:val="20"/>
    </w:rPr>
  </w:style>
  <w:style w:type="paragraph" w:styleId="Heading8">
    <w:name w:val="heading 8"/>
    <w:next w:val="BodyText"/>
    <w:link w:val="Heading8Char"/>
    <w:uiPriority w:val="5"/>
    <w:semiHidden/>
    <w:qFormat/>
    <w:rsid w:val="00B24642"/>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next w:val="BodyText"/>
    <w:link w:val="Heading9Char"/>
    <w:uiPriority w:val="5"/>
    <w:semiHidden/>
    <w:rsid w:val="00B24642"/>
    <w:pPr>
      <w:keepNext/>
      <w:keepLines/>
      <w:pBdr>
        <w:bottom w:val="single" w:sz="4" w:space="14" w:color="E7E6E6" w:themeColor="background2"/>
      </w:pBdr>
      <w:spacing w:after="0" w:line="336" w:lineRule="atLeast"/>
      <w:outlineLvl w:val="8"/>
    </w:pPr>
    <w:rPr>
      <w:rFonts w:asciiTheme="majorHAnsi" w:eastAsiaTheme="majorEastAsia" w:hAnsiTheme="majorHAnsi" w:cstheme="majorBidi"/>
      <w:iCs/>
      <w:caps/>
      <w:color w:val="000000" w:themeColor="text1"/>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tHeading">
    <w:name w:val="Part Heading"/>
    <w:next w:val="BodyCopy"/>
    <w:link w:val="PartHeadingChar"/>
    <w:uiPriority w:val="4"/>
    <w:qFormat/>
    <w:rsid w:val="00166DB1"/>
    <w:pPr>
      <w:keepNext/>
      <w:keepLines/>
      <w:pageBreakBefore/>
      <w:spacing w:after="0" w:line="560" w:lineRule="exact"/>
      <w:outlineLvl w:val="0"/>
    </w:pPr>
    <w:rPr>
      <w:rFonts w:ascii="Franklin Gothic Book" w:eastAsia="Times New Roman" w:hAnsi="Franklin Gothic Book" w:cs="Times New Roman"/>
      <w:b/>
      <w:bCs/>
      <w:caps/>
      <w:color w:val="000000"/>
      <w:sz w:val="52"/>
      <w:szCs w:val="28"/>
    </w:rPr>
  </w:style>
  <w:style w:type="paragraph" w:customStyle="1" w:styleId="Heading21">
    <w:name w:val="Heading 21"/>
    <w:next w:val="BodyCopy"/>
    <w:uiPriority w:val="4"/>
    <w:qFormat/>
    <w:rsid w:val="00166DB1"/>
    <w:pPr>
      <w:keepNext/>
      <w:keepLines/>
      <w:spacing w:before="369" w:after="170" w:line="384" w:lineRule="atLeast"/>
      <w:outlineLvl w:val="1"/>
    </w:pPr>
    <w:rPr>
      <w:rFonts w:ascii="Franklin Gothic Book" w:eastAsia="Times New Roman" w:hAnsi="Franklin Gothic Book" w:cs="Times New Roman"/>
      <w:b/>
      <w:bCs/>
      <w:caps/>
      <w:color w:val="000000"/>
      <w:spacing w:val="-3"/>
      <w:sz w:val="32"/>
      <w:szCs w:val="26"/>
      <w:u w:val="single"/>
    </w:rPr>
  </w:style>
  <w:style w:type="paragraph" w:customStyle="1" w:styleId="Heading3b1">
    <w:name w:val="Heading 3b1"/>
    <w:next w:val="BodyCopy"/>
    <w:uiPriority w:val="4"/>
    <w:qFormat/>
    <w:rsid w:val="00166DB1"/>
    <w:pPr>
      <w:keepNext/>
      <w:keepLines/>
      <w:spacing w:before="284" w:after="142" w:line="336" w:lineRule="atLeast"/>
      <w:outlineLvl w:val="2"/>
    </w:pPr>
    <w:rPr>
      <w:rFonts w:ascii="Franklin Gothic Demi" w:eastAsia="Times New Roman" w:hAnsi="Franklin Gothic Demi" w:cs="Times New Roman"/>
      <w:bCs/>
      <w:color w:val="000000"/>
      <w:spacing w:val="-6"/>
      <w:sz w:val="28"/>
      <w:szCs w:val="20"/>
    </w:rPr>
  </w:style>
  <w:style w:type="paragraph" w:customStyle="1" w:styleId="Heading3a1">
    <w:name w:val="Heading 3a1"/>
    <w:next w:val="BodyCopy"/>
    <w:uiPriority w:val="4"/>
    <w:qFormat/>
    <w:rsid w:val="00166DB1"/>
    <w:pPr>
      <w:keepNext/>
      <w:keepLines/>
      <w:spacing w:before="170" w:after="113" w:line="288" w:lineRule="atLeast"/>
      <w:outlineLvl w:val="3"/>
    </w:pPr>
    <w:rPr>
      <w:rFonts w:ascii="Franklin Gothic Book" w:eastAsia="Times New Roman" w:hAnsi="Franklin Gothic Book" w:cs="Times New Roman"/>
      <w:bCs/>
      <w:iCs/>
      <w:color w:val="000000"/>
      <w:spacing w:val="-3"/>
      <w:sz w:val="24"/>
      <w:szCs w:val="20"/>
    </w:rPr>
  </w:style>
  <w:style w:type="paragraph" w:customStyle="1" w:styleId="Heading51">
    <w:name w:val="Heading 51"/>
    <w:next w:val="BodyText"/>
    <w:uiPriority w:val="5"/>
    <w:semiHidden/>
    <w:qFormat/>
    <w:rsid w:val="00166DB1"/>
    <w:pPr>
      <w:keepNext/>
      <w:keepLines/>
      <w:spacing w:before="200" w:after="0" w:line="240" w:lineRule="auto"/>
      <w:outlineLvl w:val="4"/>
    </w:pPr>
    <w:rPr>
      <w:rFonts w:ascii="Franklin Gothic Book" w:eastAsia="Times New Roman" w:hAnsi="Franklin Gothic Book" w:cs="Times New Roman"/>
      <w:color w:val="7F7800"/>
      <w:sz w:val="20"/>
      <w:szCs w:val="20"/>
    </w:rPr>
  </w:style>
  <w:style w:type="paragraph" w:customStyle="1" w:styleId="Heading61">
    <w:name w:val="Heading 61"/>
    <w:next w:val="BodyText"/>
    <w:uiPriority w:val="5"/>
    <w:semiHidden/>
    <w:qFormat/>
    <w:rsid w:val="00166DB1"/>
    <w:pPr>
      <w:keepNext/>
      <w:keepLines/>
      <w:spacing w:before="200" w:after="0" w:line="240" w:lineRule="auto"/>
      <w:outlineLvl w:val="5"/>
    </w:pPr>
    <w:rPr>
      <w:rFonts w:ascii="Franklin Gothic Book" w:eastAsia="Times New Roman" w:hAnsi="Franklin Gothic Book" w:cs="Times New Roman"/>
      <w:i/>
      <w:iCs/>
      <w:color w:val="7F7800"/>
      <w:sz w:val="20"/>
      <w:szCs w:val="20"/>
    </w:rPr>
  </w:style>
  <w:style w:type="paragraph" w:customStyle="1" w:styleId="Heading71">
    <w:name w:val="Heading 71"/>
    <w:next w:val="BodyText"/>
    <w:uiPriority w:val="5"/>
    <w:semiHidden/>
    <w:qFormat/>
    <w:rsid w:val="00166DB1"/>
    <w:pPr>
      <w:keepNext/>
      <w:keepLines/>
      <w:spacing w:before="200" w:after="0" w:line="240" w:lineRule="auto"/>
      <w:outlineLvl w:val="6"/>
    </w:pPr>
    <w:rPr>
      <w:rFonts w:ascii="Franklin Gothic Book" w:eastAsia="Times New Roman" w:hAnsi="Franklin Gothic Book" w:cs="Times New Roman"/>
      <w:i/>
      <w:iCs/>
      <w:color w:val="404040"/>
      <w:sz w:val="20"/>
      <w:szCs w:val="20"/>
    </w:rPr>
  </w:style>
  <w:style w:type="paragraph" w:customStyle="1" w:styleId="Heading81">
    <w:name w:val="Heading 81"/>
    <w:next w:val="BodyText"/>
    <w:uiPriority w:val="5"/>
    <w:semiHidden/>
    <w:qFormat/>
    <w:rsid w:val="00166DB1"/>
    <w:pPr>
      <w:keepNext/>
      <w:keepLines/>
      <w:spacing w:before="200" w:after="0" w:line="240" w:lineRule="auto"/>
      <w:outlineLvl w:val="7"/>
    </w:pPr>
    <w:rPr>
      <w:rFonts w:ascii="Franklin Gothic Book" w:eastAsia="Times New Roman" w:hAnsi="Franklin Gothic Book" w:cs="Times New Roman"/>
      <w:color w:val="404040"/>
      <w:sz w:val="20"/>
      <w:szCs w:val="20"/>
    </w:rPr>
  </w:style>
  <w:style w:type="paragraph" w:customStyle="1" w:styleId="Heading91">
    <w:name w:val="Heading 91"/>
    <w:next w:val="BodyText"/>
    <w:uiPriority w:val="5"/>
    <w:semiHidden/>
    <w:rsid w:val="00166DB1"/>
    <w:pPr>
      <w:keepNext/>
      <w:keepLines/>
      <w:pBdr>
        <w:bottom w:val="single" w:sz="4" w:space="14" w:color="FFF200"/>
      </w:pBdr>
      <w:spacing w:after="0" w:line="336" w:lineRule="atLeast"/>
      <w:outlineLvl w:val="8"/>
    </w:pPr>
    <w:rPr>
      <w:rFonts w:ascii="Franklin Gothic Book" w:eastAsia="Times New Roman" w:hAnsi="Franklin Gothic Book" w:cs="Times New Roman"/>
      <w:iCs/>
      <w:caps/>
      <w:color w:val="000000"/>
      <w:spacing w:val="-3"/>
      <w:sz w:val="28"/>
      <w:szCs w:val="20"/>
    </w:rPr>
  </w:style>
  <w:style w:type="numbering" w:customStyle="1" w:styleId="NoList1">
    <w:name w:val="No List1"/>
    <w:next w:val="NoList"/>
    <w:uiPriority w:val="99"/>
    <w:semiHidden/>
    <w:unhideWhenUsed/>
    <w:rsid w:val="00166DB1"/>
  </w:style>
  <w:style w:type="paragraph" w:styleId="BalloonText">
    <w:name w:val="Balloon Text"/>
    <w:basedOn w:val="Normal"/>
    <w:link w:val="BalloonTextChar"/>
    <w:uiPriority w:val="99"/>
    <w:semiHidden/>
    <w:rsid w:val="00B24642"/>
    <w:rPr>
      <w:rFonts w:ascii="Tahoma" w:hAnsi="Tahoma" w:cs="Tahoma"/>
      <w:sz w:val="16"/>
      <w:szCs w:val="16"/>
    </w:rPr>
  </w:style>
  <w:style w:type="character" w:customStyle="1" w:styleId="BalloonTextChar">
    <w:name w:val="Balloon Text Char"/>
    <w:basedOn w:val="DefaultParagraphFont"/>
    <w:link w:val="BalloonText"/>
    <w:uiPriority w:val="99"/>
    <w:semiHidden/>
    <w:rsid w:val="00B24642"/>
    <w:rPr>
      <w:rFonts w:ascii="Tahoma" w:hAnsi="Tahoma" w:cs="Tahoma"/>
      <w:color w:val="000000" w:themeColor="text1"/>
      <w:spacing w:val="-2"/>
      <w:sz w:val="16"/>
      <w:szCs w:val="16"/>
    </w:rPr>
  </w:style>
  <w:style w:type="table" w:styleId="TableGrid">
    <w:name w:val="Table Grid"/>
    <w:basedOn w:val="TableNormal"/>
    <w:uiPriority w:val="59"/>
    <w:rsid w:val="00B24642"/>
    <w:pPr>
      <w:spacing w:after="0" w:line="240" w:lineRule="auto"/>
    </w:pPr>
    <w:rPr>
      <w:rFonts w:ascii="Arial" w:hAnsi="Arial" w:cs="Times New Roman"/>
      <w:sz w:val="20"/>
      <w:szCs w:val="20"/>
    </w:rPr>
    <w:tblPr>
      <w:tblCellMar>
        <w:left w:w="0" w:type="dxa"/>
        <w:right w:w="0" w:type="dxa"/>
      </w:tblCellMar>
    </w:tblPr>
  </w:style>
  <w:style w:type="character" w:customStyle="1" w:styleId="PartHeadingChar">
    <w:name w:val="Part Heading Char"/>
    <w:basedOn w:val="DefaultParagraphFont"/>
    <w:link w:val="PartHeading"/>
    <w:uiPriority w:val="4"/>
    <w:rsid w:val="00166DB1"/>
    <w:rPr>
      <w:rFonts w:ascii="Franklin Gothic Book" w:eastAsia="Times New Roman" w:hAnsi="Franklin Gothic Book" w:cs="Times New Roman"/>
      <w:b/>
      <w:bCs/>
      <w:caps/>
      <w:color w:val="000000"/>
      <w:sz w:val="52"/>
      <w:szCs w:val="28"/>
    </w:rPr>
  </w:style>
  <w:style w:type="paragraph" w:customStyle="1" w:styleId="Footer1">
    <w:name w:val="Footer1"/>
    <w:next w:val="Footer"/>
    <w:uiPriority w:val="99"/>
    <w:semiHidden/>
    <w:rsid w:val="00166DB1"/>
    <w:pPr>
      <w:tabs>
        <w:tab w:val="center" w:pos="4513"/>
        <w:tab w:val="right" w:pos="9026"/>
      </w:tabs>
      <w:spacing w:after="0" w:line="240" w:lineRule="auto"/>
    </w:pPr>
    <w:rPr>
      <w:rFonts w:ascii="Garamond" w:hAnsi="Garamond"/>
    </w:rPr>
  </w:style>
  <w:style w:type="character" w:customStyle="1" w:styleId="FooterChar">
    <w:name w:val="Footer Char"/>
    <w:basedOn w:val="DefaultParagraphFont"/>
    <w:link w:val="Footer"/>
    <w:uiPriority w:val="99"/>
    <w:rsid w:val="00B24642"/>
    <w:rPr>
      <w:rFonts w:cs="Times New Roman"/>
      <w:sz w:val="20"/>
      <w:szCs w:val="20"/>
    </w:rPr>
  </w:style>
  <w:style w:type="paragraph" w:customStyle="1" w:styleId="Header1">
    <w:name w:val="Header1"/>
    <w:next w:val="Header"/>
    <w:uiPriority w:val="99"/>
    <w:semiHidden/>
    <w:rsid w:val="00166DB1"/>
    <w:pPr>
      <w:tabs>
        <w:tab w:val="center" w:pos="4513"/>
        <w:tab w:val="right" w:pos="9026"/>
      </w:tabs>
      <w:spacing w:after="0" w:line="240" w:lineRule="auto"/>
    </w:pPr>
    <w:rPr>
      <w:rFonts w:ascii="Garamond" w:hAnsi="Garamond"/>
    </w:rPr>
  </w:style>
  <w:style w:type="character" w:customStyle="1" w:styleId="HeaderChar">
    <w:name w:val="Header Char"/>
    <w:basedOn w:val="DefaultParagraphFont"/>
    <w:link w:val="Header"/>
    <w:uiPriority w:val="99"/>
    <w:rsid w:val="00B24642"/>
    <w:rPr>
      <w:rFonts w:cs="Times New Roman"/>
      <w:sz w:val="20"/>
      <w:szCs w:val="20"/>
    </w:rPr>
  </w:style>
  <w:style w:type="character" w:customStyle="1" w:styleId="Heading2Char">
    <w:name w:val="Heading 2 Char"/>
    <w:basedOn w:val="DefaultParagraphFont"/>
    <w:link w:val="Heading2"/>
    <w:uiPriority w:val="4"/>
    <w:rsid w:val="00B24642"/>
    <w:rPr>
      <w:rFonts w:asciiTheme="majorHAnsi" w:eastAsiaTheme="majorEastAsia" w:hAnsiTheme="majorHAnsi" w:cstheme="majorBidi"/>
      <w:b/>
      <w:bCs/>
      <w:caps/>
      <w:color w:val="000000" w:themeColor="text1"/>
      <w:spacing w:val="-3"/>
      <w:sz w:val="32"/>
      <w:szCs w:val="26"/>
      <w:u w:val="single"/>
    </w:rPr>
  </w:style>
  <w:style w:type="paragraph" w:customStyle="1" w:styleId="BodyText1">
    <w:name w:val="Body Text1"/>
    <w:next w:val="BodyText"/>
    <w:uiPriority w:val="99"/>
    <w:semiHidden/>
    <w:rsid w:val="00166DB1"/>
    <w:pPr>
      <w:spacing w:after="120" w:line="240" w:lineRule="auto"/>
    </w:pPr>
    <w:rPr>
      <w:rFonts w:ascii="Garamond" w:hAnsi="Garamond"/>
    </w:rPr>
  </w:style>
  <w:style w:type="character" w:customStyle="1" w:styleId="BodyTextChar">
    <w:name w:val="Body Text Char"/>
    <w:basedOn w:val="DefaultParagraphFont"/>
    <w:link w:val="BodyText"/>
    <w:uiPriority w:val="99"/>
    <w:semiHidden/>
    <w:rsid w:val="00B24642"/>
    <w:rPr>
      <w:rFonts w:cs="Times New Roman"/>
      <w:sz w:val="20"/>
      <w:szCs w:val="20"/>
    </w:rPr>
  </w:style>
  <w:style w:type="character" w:customStyle="1" w:styleId="Heading3Char">
    <w:name w:val="Heading 3 Char"/>
    <w:basedOn w:val="DefaultParagraphFont"/>
    <w:link w:val="Heading3"/>
    <w:uiPriority w:val="4"/>
    <w:rsid w:val="00B24642"/>
    <w:rPr>
      <w:rFonts w:ascii="Franklin Gothic Demi" w:eastAsiaTheme="majorEastAsia" w:hAnsi="Franklin Gothic Demi" w:cstheme="majorBidi"/>
      <w:bCs/>
      <w:color w:val="000000" w:themeColor="text1"/>
      <w:spacing w:val="-6"/>
      <w:sz w:val="28"/>
      <w:szCs w:val="20"/>
    </w:rPr>
  </w:style>
  <w:style w:type="character" w:customStyle="1" w:styleId="Heading4Char">
    <w:name w:val="Heading 4 Char"/>
    <w:basedOn w:val="DefaultParagraphFont"/>
    <w:link w:val="Heading4"/>
    <w:uiPriority w:val="4"/>
    <w:rsid w:val="00B24642"/>
    <w:rPr>
      <w:rFonts w:asciiTheme="majorHAnsi" w:eastAsiaTheme="majorEastAsia" w:hAnsiTheme="majorHAnsi" w:cstheme="majorBidi"/>
      <w:bCs/>
      <w:iCs/>
      <w:color w:val="000000" w:themeColor="text1"/>
      <w:spacing w:val="-3"/>
      <w:sz w:val="24"/>
      <w:szCs w:val="20"/>
    </w:rPr>
  </w:style>
  <w:style w:type="paragraph" w:customStyle="1" w:styleId="Subtitle1">
    <w:name w:val="Subtitle1"/>
    <w:next w:val="Subtitle"/>
    <w:uiPriority w:val="99"/>
    <w:semiHidden/>
    <w:qFormat/>
    <w:rsid w:val="00166DB1"/>
    <w:pPr>
      <w:numPr>
        <w:ilvl w:val="1"/>
      </w:numPr>
      <w:spacing w:after="0" w:line="240" w:lineRule="auto"/>
    </w:pPr>
    <w:rPr>
      <w:rFonts w:ascii="Franklin Gothic Book" w:eastAsia="Times New Roman" w:hAnsi="Franklin Gothic Book" w:cs="Times New Roman"/>
      <w:iCs/>
      <w:color w:val="FFF200"/>
      <w:sz w:val="24"/>
      <w:szCs w:val="24"/>
    </w:rPr>
  </w:style>
  <w:style w:type="character" w:customStyle="1" w:styleId="SubtitleChar">
    <w:name w:val="Subtitle Char"/>
    <w:basedOn w:val="DefaultParagraphFont"/>
    <w:link w:val="Subtitle"/>
    <w:uiPriority w:val="99"/>
    <w:rsid w:val="00B24642"/>
    <w:rPr>
      <w:rFonts w:asciiTheme="majorHAnsi" w:eastAsiaTheme="majorEastAsia" w:hAnsiTheme="majorHAnsi" w:cstheme="majorBidi"/>
      <w:iCs/>
      <w:color w:val="4472C4" w:themeColor="accent1"/>
      <w:sz w:val="24"/>
      <w:szCs w:val="24"/>
    </w:rPr>
  </w:style>
  <w:style w:type="paragraph" w:customStyle="1" w:styleId="Title1">
    <w:name w:val="Title1"/>
    <w:next w:val="Title"/>
    <w:uiPriority w:val="99"/>
    <w:semiHidden/>
    <w:qFormat/>
    <w:rsid w:val="00166DB1"/>
    <w:pPr>
      <w:pBdr>
        <w:bottom w:val="single" w:sz="8" w:space="4" w:color="FFF200"/>
      </w:pBdr>
      <w:spacing w:after="300" w:line="240" w:lineRule="auto"/>
      <w:contextualSpacing/>
    </w:pPr>
    <w:rPr>
      <w:rFonts w:ascii="Franklin Gothic Book" w:eastAsia="Times New Roman" w:hAnsi="Franklin Gothic Book" w:cs="Times New Roman"/>
      <w:color w:val="595959"/>
      <w:kern w:val="28"/>
      <w:sz w:val="52"/>
      <w:szCs w:val="52"/>
    </w:rPr>
  </w:style>
  <w:style w:type="character" w:customStyle="1" w:styleId="TitleChar">
    <w:name w:val="Title Char"/>
    <w:basedOn w:val="DefaultParagraphFont"/>
    <w:link w:val="Title"/>
    <w:uiPriority w:val="99"/>
    <w:rsid w:val="00B24642"/>
    <w:rPr>
      <w:rFonts w:asciiTheme="majorHAnsi" w:eastAsiaTheme="majorEastAsia" w:hAnsiTheme="majorHAnsi" w:cstheme="majorBidi"/>
      <w:color w:val="323E4F" w:themeColor="text2" w:themeShade="BF"/>
      <w:kern w:val="28"/>
      <w:sz w:val="52"/>
      <w:szCs w:val="52"/>
    </w:rPr>
  </w:style>
  <w:style w:type="paragraph" w:customStyle="1" w:styleId="Caption1">
    <w:name w:val="Caption1"/>
    <w:next w:val="BodyText"/>
    <w:uiPriority w:val="14"/>
    <w:qFormat/>
    <w:rsid w:val="00166DB1"/>
    <w:pPr>
      <w:keepNext/>
      <w:keepLines/>
      <w:spacing w:before="170" w:after="85" w:line="200" w:lineRule="exact"/>
      <w:jc w:val="center"/>
    </w:pPr>
    <w:rPr>
      <w:rFonts w:ascii="Franklin Gothic Demi" w:hAnsi="Franklin Gothic Demi" w:cs="Times New Roman"/>
      <w:bCs/>
      <w:color w:val="000000"/>
      <w:sz w:val="17"/>
      <w:szCs w:val="18"/>
    </w:rPr>
  </w:style>
  <w:style w:type="paragraph" w:customStyle="1" w:styleId="Date1">
    <w:name w:val="Date1"/>
    <w:next w:val="Date"/>
    <w:uiPriority w:val="99"/>
    <w:semiHidden/>
    <w:rsid w:val="00166DB1"/>
    <w:pPr>
      <w:spacing w:after="0" w:line="240" w:lineRule="auto"/>
    </w:pPr>
    <w:rPr>
      <w:rFonts w:ascii="Garamond" w:hAnsi="Garamond"/>
    </w:rPr>
  </w:style>
  <w:style w:type="character" w:customStyle="1" w:styleId="DateChar">
    <w:name w:val="Date Char"/>
    <w:basedOn w:val="DefaultParagraphFont"/>
    <w:link w:val="Date"/>
    <w:uiPriority w:val="99"/>
    <w:semiHidden/>
    <w:rsid w:val="00B24642"/>
    <w:rPr>
      <w:rFonts w:cs="Times New Roman"/>
      <w:sz w:val="20"/>
      <w:szCs w:val="20"/>
    </w:rPr>
  </w:style>
  <w:style w:type="paragraph" w:customStyle="1" w:styleId="EndnoteText1">
    <w:name w:val="Endnote Text1"/>
    <w:next w:val="EndnoteText"/>
    <w:uiPriority w:val="99"/>
    <w:semiHidden/>
    <w:rsid w:val="00166DB1"/>
    <w:pPr>
      <w:spacing w:after="0" w:line="240" w:lineRule="auto"/>
    </w:pPr>
    <w:rPr>
      <w:rFonts w:ascii="Garamond" w:hAnsi="Garamond"/>
    </w:rPr>
  </w:style>
  <w:style w:type="character" w:customStyle="1" w:styleId="EndnoteTextChar">
    <w:name w:val="Endnote Text Char"/>
    <w:basedOn w:val="DefaultParagraphFont"/>
    <w:link w:val="EndnoteText"/>
    <w:uiPriority w:val="99"/>
    <w:semiHidden/>
    <w:rsid w:val="00B24642"/>
    <w:rPr>
      <w:rFonts w:cs="Times New Roman"/>
      <w:sz w:val="20"/>
      <w:szCs w:val="20"/>
    </w:rPr>
  </w:style>
  <w:style w:type="paragraph" w:customStyle="1" w:styleId="FootnoteText1">
    <w:name w:val="Footnote Text1"/>
    <w:next w:val="FootnoteText"/>
    <w:uiPriority w:val="39"/>
    <w:semiHidden/>
    <w:rsid w:val="00166DB1"/>
    <w:pPr>
      <w:spacing w:after="0" w:line="192" w:lineRule="atLeast"/>
    </w:pPr>
    <w:rPr>
      <w:rFonts w:ascii="Garamond" w:hAnsi="Garamond"/>
      <w:i/>
      <w:color w:val="787878"/>
      <w:sz w:val="16"/>
    </w:rPr>
  </w:style>
  <w:style w:type="character" w:customStyle="1" w:styleId="FootnoteTextChar">
    <w:name w:val="Footnote Text Char"/>
    <w:basedOn w:val="DefaultParagraphFont"/>
    <w:link w:val="FootnoteText"/>
    <w:uiPriority w:val="39"/>
    <w:semiHidden/>
    <w:rsid w:val="00B24642"/>
    <w:rPr>
      <w:rFonts w:cs="Times New Roman"/>
      <w:i/>
      <w:color w:val="44546A" w:themeColor="text2"/>
      <w:sz w:val="16"/>
      <w:szCs w:val="20"/>
    </w:rPr>
  </w:style>
  <w:style w:type="paragraph" w:styleId="Quote">
    <w:name w:val="Quote"/>
    <w:basedOn w:val="BodyCopy"/>
    <w:next w:val="BodyCopy"/>
    <w:link w:val="QuoteChar"/>
    <w:qFormat/>
    <w:rsid w:val="00B24642"/>
    <w:pPr>
      <w:ind w:left="284" w:right="284"/>
    </w:pPr>
    <w:rPr>
      <w:rFonts w:ascii="Times New Roman" w:hAnsi="Times New Roman"/>
      <w:i/>
      <w:iCs/>
      <w:sz w:val="20"/>
    </w:rPr>
  </w:style>
  <w:style w:type="character" w:customStyle="1" w:styleId="QuoteChar">
    <w:name w:val="Quote Char"/>
    <w:basedOn w:val="DefaultParagraphFont"/>
    <w:link w:val="Quote"/>
    <w:rsid w:val="00B24642"/>
    <w:rPr>
      <w:rFonts w:ascii="Times New Roman" w:hAnsi="Times New Roman" w:cs="Times New Roman"/>
      <w:i/>
      <w:iCs/>
      <w:color w:val="000000" w:themeColor="text1"/>
      <w:spacing w:val="-2"/>
      <w:sz w:val="20"/>
      <w:szCs w:val="20"/>
    </w:rPr>
  </w:style>
  <w:style w:type="paragraph" w:customStyle="1" w:styleId="TableofFigures1">
    <w:name w:val="Table of Figures1"/>
    <w:next w:val="TableofFigures"/>
    <w:uiPriority w:val="99"/>
    <w:semiHidden/>
    <w:rsid w:val="00166DB1"/>
    <w:pPr>
      <w:spacing w:after="0" w:line="240" w:lineRule="auto"/>
    </w:pPr>
    <w:rPr>
      <w:rFonts w:cs="Times New Roman"/>
      <w:sz w:val="20"/>
      <w:szCs w:val="20"/>
    </w:rPr>
  </w:style>
  <w:style w:type="paragraph" w:customStyle="1" w:styleId="TOC11">
    <w:name w:val="TOC 11"/>
    <w:next w:val="TOC1"/>
    <w:uiPriority w:val="39"/>
    <w:rsid w:val="00CC3926"/>
    <w:pPr>
      <w:tabs>
        <w:tab w:val="center" w:pos="6804"/>
      </w:tabs>
      <w:spacing w:after="180" w:line="280" w:lineRule="atLeast"/>
      <w:ind w:left="397" w:right="1021"/>
      <w:contextualSpacing/>
    </w:pPr>
    <w:rPr>
      <w:rFonts w:ascii="Franklin Gothic Book" w:hAnsi="Franklin Gothic Book" w:cs="Times New Roman"/>
      <w:caps/>
      <w:color w:val="000000" w:themeColor="text1"/>
      <w:spacing w:val="-2"/>
      <w:szCs w:val="20"/>
    </w:rPr>
  </w:style>
  <w:style w:type="paragraph" w:customStyle="1" w:styleId="TOC21">
    <w:name w:val="TOC 21"/>
    <w:next w:val="TOC2"/>
    <w:uiPriority w:val="39"/>
    <w:rsid w:val="00CC3926"/>
    <w:pPr>
      <w:tabs>
        <w:tab w:val="left" w:pos="397"/>
        <w:tab w:val="center" w:pos="6804"/>
      </w:tabs>
      <w:spacing w:before="180" w:after="0" w:line="360" w:lineRule="atLeast"/>
      <w:ind w:left="397" w:right="1021" w:hanging="397"/>
    </w:pPr>
    <w:rPr>
      <w:rFonts w:ascii="Franklin Gothic Book" w:hAnsi="Franklin Gothic Book" w:cs="Times New Roman"/>
      <w:caps/>
      <w:color w:val="000000" w:themeColor="text1"/>
      <w:spacing w:val="-2"/>
      <w:sz w:val="28"/>
      <w:szCs w:val="20"/>
      <w:u w:val="single"/>
    </w:rPr>
  </w:style>
  <w:style w:type="paragraph" w:customStyle="1" w:styleId="TOC31">
    <w:name w:val="TOC 31"/>
    <w:next w:val="TOC3"/>
    <w:uiPriority w:val="39"/>
    <w:rsid w:val="00CC3926"/>
    <w:pPr>
      <w:tabs>
        <w:tab w:val="left" w:pos="964"/>
        <w:tab w:val="center" w:pos="6804"/>
      </w:tabs>
      <w:spacing w:before="80" w:after="0" w:line="280" w:lineRule="atLeast"/>
      <w:ind w:left="1361" w:right="1021" w:hanging="964"/>
      <w:contextualSpacing/>
    </w:pPr>
    <w:rPr>
      <w:rFonts w:ascii="Franklin Gothic Demi" w:hAnsi="Franklin Gothic Demi" w:cs="Times New Roman"/>
      <w:caps/>
      <w:color w:val="000000" w:themeColor="text1"/>
      <w:sz w:val="20"/>
      <w:szCs w:val="20"/>
    </w:rPr>
  </w:style>
  <w:style w:type="character" w:customStyle="1" w:styleId="Heading1Char">
    <w:name w:val="Heading 1 Char"/>
    <w:basedOn w:val="DefaultParagraphFont"/>
    <w:link w:val="Heading1"/>
    <w:uiPriority w:val="4"/>
    <w:rsid w:val="00B24642"/>
    <w:rPr>
      <w:rFonts w:asciiTheme="majorHAnsi" w:eastAsiaTheme="majorEastAsia" w:hAnsiTheme="majorHAnsi" w:cstheme="majorBidi"/>
      <w:b/>
      <w:bCs/>
      <w:caps/>
      <w:color w:val="000000" w:themeColor="text1"/>
      <w:sz w:val="52"/>
      <w:szCs w:val="28"/>
    </w:rPr>
  </w:style>
  <w:style w:type="paragraph" w:styleId="TOCHeading">
    <w:name w:val="TOC Heading"/>
    <w:basedOn w:val="Heading1"/>
    <w:next w:val="BodyText"/>
    <w:uiPriority w:val="99"/>
    <w:semiHidden/>
    <w:qFormat/>
    <w:rsid w:val="00B24642"/>
    <w:pPr>
      <w:framePr w:wrap="around" w:hAnchor="text"/>
      <w:outlineLvl w:val="9"/>
    </w:pPr>
  </w:style>
  <w:style w:type="character" w:customStyle="1" w:styleId="Heading5Char">
    <w:name w:val="Heading 5 Char"/>
    <w:basedOn w:val="DefaultParagraphFont"/>
    <w:link w:val="Heading5"/>
    <w:uiPriority w:val="5"/>
    <w:semiHidden/>
    <w:rsid w:val="00B24642"/>
    <w:rPr>
      <w:rFonts w:asciiTheme="majorHAnsi" w:eastAsiaTheme="majorEastAsia" w:hAnsiTheme="majorHAnsi" w:cstheme="majorBidi"/>
      <w:color w:val="1F3763" w:themeColor="accent1" w:themeShade="7F"/>
      <w:sz w:val="20"/>
      <w:szCs w:val="20"/>
    </w:rPr>
  </w:style>
  <w:style w:type="character" w:customStyle="1" w:styleId="Heading6Char">
    <w:name w:val="Heading 6 Char"/>
    <w:basedOn w:val="DefaultParagraphFont"/>
    <w:link w:val="Heading6"/>
    <w:uiPriority w:val="5"/>
    <w:semiHidden/>
    <w:rsid w:val="00B24642"/>
    <w:rPr>
      <w:rFonts w:asciiTheme="majorHAnsi" w:eastAsiaTheme="majorEastAsia" w:hAnsiTheme="majorHAnsi" w:cstheme="majorBidi"/>
      <w:i/>
      <w:iCs/>
      <w:color w:val="1F3763" w:themeColor="accent1" w:themeShade="7F"/>
      <w:sz w:val="20"/>
      <w:szCs w:val="20"/>
    </w:rPr>
  </w:style>
  <w:style w:type="character" w:customStyle="1" w:styleId="Heading7Char">
    <w:name w:val="Heading 7 Char"/>
    <w:basedOn w:val="DefaultParagraphFont"/>
    <w:link w:val="Heading7"/>
    <w:uiPriority w:val="5"/>
    <w:semiHidden/>
    <w:rsid w:val="00B24642"/>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5"/>
    <w:semiHidden/>
    <w:rsid w:val="00B2464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5"/>
    <w:semiHidden/>
    <w:rsid w:val="00B24642"/>
    <w:rPr>
      <w:rFonts w:asciiTheme="majorHAnsi" w:eastAsiaTheme="majorEastAsia" w:hAnsiTheme="majorHAnsi" w:cstheme="majorBidi"/>
      <w:iCs/>
      <w:caps/>
      <w:color w:val="000000" w:themeColor="text1"/>
      <w:spacing w:val="-3"/>
      <w:sz w:val="28"/>
      <w:szCs w:val="20"/>
    </w:rPr>
  </w:style>
  <w:style w:type="numbering" w:customStyle="1" w:styleId="Headings">
    <w:name w:val="Headings"/>
    <w:basedOn w:val="NoList"/>
    <w:uiPriority w:val="99"/>
    <w:rsid w:val="00B24642"/>
    <w:pPr>
      <w:numPr>
        <w:numId w:val="37"/>
      </w:numPr>
    </w:pPr>
  </w:style>
  <w:style w:type="paragraph" w:customStyle="1" w:styleId="Bullets2">
    <w:name w:val="Bullets 2"/>
    <w:basedOn w:val="Bullets1"/>
    <w:qFormat/>
    <w:rsid w:val="00483C21"/>
    <w:pPr>
      <w:numPr>
        <w:ilvl w:val="1"/>
      </w:numPr>
    </w:pPr>
  </w:style>
  <w:style w:type="paragraph" w:customStyle="1" w:styleId="BodyCopy">
    <w:name w:val="Body Copy"/>
    <w:link w:val="BodyCopyChar"/>
    <w:qFormat/>
    <w:rsid w:val="00483C21"/>
    <w:pPr>
      <w:spacing w:before="85" w:after="85" w:line="264" w:lineRule="atLeast"/>
    </w:pPr>
    <w:rPr>
      <w:rFonts w:ascii="Garamond" w:hAnsi="Garamond" w:cs="Times New Roman"/>
      <w:color w:val="000000" w:themeColor="text1"/>
      <w:spacing w:val="-2"/>
      <w:szCs w:val="20"/>
    </w:rPr>
  </w:style>
  <w:style w:type="character" w:styleId="FootnoteReference">
    <w:name w:val="footnote reference"/>
    <w:basedOn w:val="DefaultParagraphFont"/>
    <w:uiPriority w:val="99"/>
    <w:semiHidden/>
    <w:rsid w:val="00B24642"/>
    <w:rPr>
      <w:vertAlign w:val="superscript"/>
    </w:rPr>
  </w:style>
  <w:style w:type="numbering" w:customStyle="1" w:styleId="Bullets">
    <w:name w:val="Bullets"/>
    <w:basedOn w:val="NoList"/>
    <w:uiPriority w:val="99"/>
    <w:rsid w:val="00B24642"/>
    <w:pPr>
      <w:numPr>
        <w:numId w:val="1"/>
      </w:numPr>
    </w:pPr>
  </w:style>
  <w:style w:type="paragraph" w:customStyle="1" w:styleId="Bullets1">
    <w:name w:val="Bullets 1"/>
    <w:basedOn w:val="BodyCopy"/>
    <w:qFormat/>
    <w:rsid w:val="00483C21"/>
    <w:pPr>
      <w:numPr>
        <w:numId w:val="54"/>
      </w:numPr>
      <w:spacing w:before="20" w:after="20"/>
    </w:pPr>
  </w:style>
  <w:style w:type="numbering" w:customStyle="1" w:styleId="Numbers">
    <w:name w:val="Numbers"/>
    <w:basedOn w:val="Bullets"/>
    <w:uiPriority w:val="99"/>
    <w:rsid w:val="00B24642"/>
    <w:pPr>
      <w:numPr>
        <w:numId w:val="2"/>
      </w:numPr>
    </w:pPr>
  </w:style>
  <w:style w:type="paragraph" w:customStyle="1" w:styleId="Numbers1">
    <w:name w:val="Numbers 1"/>
    <w:basedOn w:val="Bullets1"/>
    <w:qFormat/>
    <w:rsid w:val="00483C21"/>
    <w:pPr>
      <w:numPr>
        <w:numId w:val="58"/>
      </w:numPr>
    </w:pPr>
  </w:style>
  <w:style w:type="table" w:customStyle="1" w:styleId="HMATable">
    <w:name w:val="HMA Table"/>
    <w:basedOn w:val="TableNormal"/>
    <w:uiPriority w:val="99"/>
    <w:rsid w:val="009B60C3"/>
    <w:pPr>
      <w:spacing w:after="0" w:line="240" w:lineRule="auto"/>
    </w:pPr>
    <w:rPr>
      <w:rFonts w:ascii="Courier" w:hAnsi="Courier"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shd w:val="clear" w:color="auto" w:fill="FFFFFF" w:themeFill="background1"/>
    </w:tcPr>
    <w:tblStylePr w:type="firstRow">
      <w:rPr>
        <w:rFonts w:asciiTheme="majorHAnsi" w:hAnsiTheme="majorHAnsi"/>
        <w:b w:val="0"/>
      </w:rPr>
      <w:tblPr/>
      <w:tcPr>
        <w:shd w:val="clear" w:color="auto" w:fill="5B9BD5" w:themeFill="accent5"/>
      </w:tcPr>
    </w:tblStylePr>
    <w:tblStylePr w:type="lastRow">
      <w:rPr>
        <w:rFonts w:asciiTheme="minorHAnsi" w:hAnsiTheme="minorHAnsi"/>
        <w:b/>
      </w:rPr>
    </w:tblStylePr>
    <w:tblStylePr w:type="firstCol">
      <w:rPr>
        <w:rFonts w:asciiTheme="minorHAnsi" w:hAnsiTheme="minorHAnsi"/>
        <w:b/>
      </w:rPr>
    </w:tblStylePr>
    <w:tblStylePr w:type="neCell">
      <w:rPr>
        <w:b w:val="0"/>
      </w:rPr>
    </w:tblStylePr>
    <w:tblStylePr w:type="nwCell">
      <w:rPr>
        <w:b w:val="0"/>
      </w:rPr>
    </w:tblStylePr>
  </w:style>
  <w:style w:type="paragraph" w:customStyle="1" w:styleId="SectionTitle">
    <w:name w:val="Section Title"/>
    <w:basedOn w:val="BodyCopy"/>
    <w:next w:val="BodyCopy"/>
    <w:uiPriority w:val="5"/>
    <w:qFormat/>
    <w:rsid w:val="009B60C3"/>
    <w:pPr>
      <w:numPr>
        <w:numId w:val="43"/>
      </w:numPr>
      <w:shd w:val="clear" w:color="auto" w:fill="FFF200"/>
      <w:spacing w:before="520" w:line="384" w:lineRule="atLeast"/>
    </w:pPr>
    <w:rPr>
      <w:rFonts w:asciiTheme="majorHAnsi" w:hAnsiTheme="majorHAnsi"/>
      <w:caps/>
      <w:sz w:val="32"/>
    </w:rPr>
  </w:style>
  <w:style w:type="numbering" w:customStyle="1" w:styleId="Sections">
    <w:name w:val="Sections"/>
    <w:basedOn w:val="NoList"/>
    <w:uiPriority w:val="99"/>
    <w:rsid w:val="00B24642"/>
    <w:pPr>
      <w:numPr>
        <w:numId w:val="43"/>
      </w:numPr>
    </w:pPr>
  </w:style>
  <w:style w:type="paragraph" w:customStyle="1" w:styleId="TableColumnHeading">
    <w:name w:val="Table Column Heading"/>
    <w:uiPriority w:val="17"/>
    <w:qFormat/>
    <w:rsid w:val="00B24642"/>
    <w:pPr>
      <w:keepNext/>
      <w:spacing w:after="0" w:line="264" w:lineRule="atLeast"/>
      <w:ind w:left="57" w:right="57"/>
    </w:pPr>
    <w:rPr>
      <w:rFonts w:asciiTheme="majorHAnsi" w:hAnsiTheme="majorHAnsi" w:cs="Times New Roman"/>
      <w:color w:val="000000" w:themeColor="text1"/>
      <w:spacing w:val="-2"/>
      <w:szCs w:val="20"/>
    </w:rPr>
  </w:style>
  <w:style w:type="character" w:customStyle="1" w:styleId="Superscript">
    <w:name w:val="Superscript"/>
    <w:basedOn w:val="DefaultParagraphFont"/>
    <w:uiPriority w:val="22"/>
    <w:qFormat/>
    <w:rsid w:val="00B24642"/>
    <w:rPr>
      <w:vertAlign w:val="superscript"/>
    </w:rPr>
  </w:style>
  <w:style w:type="paragraph" w:customStyle="1" w:styleId="TableCopy">
    <w:name w:val="Table Copy"/>
    <w:uiPriority w:val="14"/>
    <w:qFormat/>
    <w:rsid w:val="00B24642"/>
    <w:pPr>
      <w:spacing w:after="0" w:line="240" w:lineRule="atLeast"/>
      <w:ind w:left="57" w:right="57"/>
    </w:pPr>
    <w:rPr>
      <w:rFonts w:ascii="Garamond" w:hAnsi="Garamond" w:cs="Times New Roman"/>
      <w:color w:val="000000" w:themeColor="text1"/>
      <w:spacing w:val="-2"/>
      <w:sz w:val="20"/>
      <w:szCs w:val="20"/>
    </w:rPr>
  </w:style>
  <w:style w:type="paragraph" w:customStyle="1" w:styleId="RecommendationsTableHeading">
    <w:name w:val="Recommendations Table Heading"/>
    <w:basedOn w:val="KeyFindingsTableHeading"/>
    <w:uiPriority w:val="21"/>
    <w:rsid w:val="00B24642"/>
    <w:pPr>
      <w:spacing w:line="216" w:lineRule="atLeast"/>
    </w:pPr>
  </w:style>
  <w:style w:type="paragraph" w:customStyle="1" w:styleId="TableNotes">
    <w:name w:val="Table Notes"/>
    <w:basedOn w:val="BodyCopy"/>
    <w:uiPriority w:val="21"/>
    <w:qFormat/>
    <w:rsid w:val="00B24642"/>
    <w:pPr>
      <w:tabs>
        <w:tab w:val="left" w:pos="227"/>
      </w:tabs>
      <w:spacing w:after="170" w:line="158" w:lineRule="atLeast"/>
      <w:contextualSpacing/>
    </w:pPr>
    <w:rPr>
      <w:i/>
      <w:sz w:val="14"/>
    </w:rPr>
  </w:style>
  <w:style w:type="paragraph" w:customStyle="1" w:styleId="MissionStatementHeading">
    <w:name w:val="Mission Statement Heading"/>
    <w:uiPriority w:val="24"/>
    <w:rsid w:val="00B24642"/>
    <w:pPr>
      <w:framePr w:hSpace="181" w:wrap="notBeside" w:vAnchor="text" w:hAnchor="margin" w:y="6096"/>
      <w:spacing w:after="480" w:line="480" w:lineRule="exact"/>
    </w:pPr>
    <w:rPr>
      <w:rFonts w:ascii="Franklin Gothic Book" w:hAnsi="Franklin Gothic Book" w:cs="Times New Roman"/>
      <w:color w:val="44546A" w:themeColor="text2"/>
      <w:sz w:val="48"/>
      <w:szCs w:val="20"/>
      <w:u w:val="single"/>
    </w:rPr>
  </w:style>
  <w:style w:type="paragraph" w:customStyle="1" w:styleId="MissionStatementBody">
    <w:name w:val="Mission Statement Body"/>
    <w:next w:val="BodyCopy"/>
    <w:uiPriority w:val="24"/>
    <w:rsid w:val="00B24642"/>
    <w:pPr>
      <w:framePr w:wrap="notBeside" w:vAnchor="text" w:hAnchor="text" w:y="1"/>
      <w:spacing w:after="0" w:line="540" w:lineRule="exact"/>
    </w:pPr>
    <w:rPr>
      <w:rFonts w:ascii="Franklin Gothic Book" w:hAnsi="Franklin Gothic Book" w:cs="Times New Roman"/>
      <w:i/>
      <w:color w:val="44546A" w:themeColor="text2"/>
      <w:sz w:val="48"/>
      <w:szCs w:val="20"/>
    </w:rPr>
  </w:style>
  <w:style w:type="character" w:customStyle="1" w:styleId="BodyCopyChar">
    <w:name w:val="Body Copy Char"/>
    <w:basedOn w:val="DefaultParagraphFont"/>
    <w:link w:val="BodyCopy"/>
    <w:rsid w:val="00483C21"/>
    <w:rPr>
      <w:rFonts w:ascii="Garamond" w:hAnsi="Garamond" w:cs="Times New Roman"/>
      <w:color w:val="000000" w:themeColor="text1"/>
      <w:spacing w:val="-2"/>
      <w:szCs w:val="20"/>
    </w:rPr>
  </w:style>
  <w:style w:type="character" w:styleId="PlaceholderText">
    <w:name w:val="Placeholder Text"/>
    <w:basedOn w:val="DefaultParagraphFont"/>
    <w:uiPriority w:val="99"/>
    <w:semiHidden/>
    <w:rsid w:val="00B24642"/>
    <w:rPr>
      <w:color w:val="808080"/>
    </w:rPr>
  </w:style>
  <w:style w:type="paragraph" w:customStyle="1" w:styleId="DocumentInfo">
    <w:name w:val="Document Info"/>
    <w:link w:val="DocumentInfoChar"/>
    <w:uiPriority w:val="34"/>
    <w:rsid w:val="00B24642"/>
    <w:pPr>
      <w:spacing w:after="0" w:line="288" w:lineRule="exact"/>
    </w:pPr>
    <w:rPr>
      <w:rFonts w:asciiTheme="majorHAnsi" w:hAnsiTheme="majorHAnsi" w:cs="Times New Roman"/>
      <w:caps/>
      <w:color w:val="000000" w:themeColor="text1"/>
      <w:spacing w:val="-2"/>
      <w:sz w:val="24"/>
      <w:szCs w:val="20"/>
    </w:rPr>
  </w:style>
  <w:style w:type="character" w:customStyle="1" w:styleId="DocumentInfoChar">
    <w:name w:val="Document Info Char"/>
    <w:basedOn w:val="DefaultParagraphFont"/>
    <w:link w:val="DocumentInfo"/>
    <w:uiPriority w:val="34"/>
    <w:rsid w:val="00B24642"/>
    <w:rPr>
      <w:rFonts w:asciiTheme="majorHAnsi" w:hAnsiTheme="majorHAnsi" w:cs="Times New Roman"/>
      <w:caps/>
      <w:color w:val="000000" w:themeColor="text1"/>
      <w:spacing w:val="-2"/>
      <w:sz w:val="24"/>
      <w:szCs w:val="20"/>
    </w:rPr>
  </w:style>
  <w:style w:type="paragraph" w:customStyle="1" w:styleId="DocumentTitle">
    <w:name w:val="Document Title"/>
    <w:link w:val="DocumentTitleChar"/>
    <w:uiPriority w:val="34"/>
    <w:rsid w:val="00B24642"/>
    <w:pPr>
      <w:spacing w:after="284" w:line="432" w:lineRule="exact"/>
    </w:pPr>
    <w:rPr>
      <w:rFonts w:ascii="Franklin Gothic Demi" w:hAnsi="Franklin Gothic Demi" w:cs="Times New Roman"/>
      <w:color w:val="000000" w:themeColor="text1"/>
      <w:spacing w:val="-4"/>
      <w:sz w:val="36"/>
      <w:szCs w:val="20"/>
    </w:rPr>
  </w:style>
  <w:style w:type="character" w:customStyle="1" w:styleId="DocumentTitleChar">
    <w:name w:val="Document Title Char"/>
    <w:basedOn w:val="DefaultParagraphFont"/>
    <w:link w:val="DocumentTitle"/>
    <w:uiPriority w:val="34"/>
    <w:rsid w:val="00B24642"/>
    <w:rPr>
      <w:rFonts w:ascii="Franklin Gothic Demi" w:hAnsi="Franklin Gothic Demi" w:cs="Times New Roman"/>
      <w:color w:val="000000" w:themeColor="text1"/>
      <w:spacing w:val="-4"/>
      <w:sz w:val="36"/>
      <w:szCs w:val="20"/>
    </w:rPr>
  </w:style>
  <w:style w:type="paragraph" w:customStyle="1" w:styleId="DocumentPublishDate">
    <w:name w:val="Document Publish Date"/>
    <w:next w:val="BodyCopy"/>
    <w:link w:val="DocumentPublishDateChar"/>
    <w:uiPriority w:val="35"/>
    <w:rsid w:val="00B24642"/>
    <w:pPr>
      <w:spacing w:after="0" w:line="264" w:lineRule="exact"/>
    </w:pPr>
    <w:rPr>
      <w:rFonts w:cs="Times New Roman"/>
      <w:caps/>
      <w:color w:val="000000" w:themeColor="text1"/>
      <w:spacing w:val="-2"/>
      <w:szCs w:val="20"/>
    </w:rPr>
  </w:style>
  <w:style w:type="character" w:customStyle="1" w:styleId="DocumentPublishDateChar">
    <w:name w:val="Document Publish Date Char"/>
    <w:basedOn w:val="DefaultParagraphFont"/>
    <w:link w:val="DocumentPublishDate"/>
    <w:uiPriority w:val="35"/>
    <w:rsid w:val="00B24642"/>
    <w:rPr>
      <w:rFonts w:cs="Times New Roman"/>
      <w:caps/>
      <w:color w:val="000000" w:themeColor="text1"/>
      <w:spacing w:val="-2"/>
      <w:szCs w:val="20"/>
    </w:rPr>
  </w:style>
  <w:style w:type="paragraph" w:customStyle="1" w:styleId="HeaderText">
    <w:name w:val="Header Text"/>
    <w:next w:val="BodyCopy"/>
    <w:link w:val="HeaderTextChar"/>
    <w:uiPriority w:val="34"/>
    <w:semiHidden/>
    <w:qFormat/>
    <w:rsid w:val="00B24642"/>
    <w:pPr>
      <w:spacing w:after="0" w:line="144" w:lineRule="exact"/>
    </w:pPr>
    <w:rPr>
      <w:rFonts w:ascii="Franklin Gothic Demi" w:hAnsi="Franklin Gothic Demi" w:cs="Times New Roman"/>
      <w:caps/>
      <w:color w:val="000000" w:themeColor="text1"/>
      <w:spacing w:val="-2"/>
      <w:sz w:val="12"/>
      <w:szCs w:val="20"/>
    </w:rPr>
  </w:style>
  <w:style w:type="character" w:customStyle="1" w:styleId="HeaderTextChar">
    <w:name w:val="Header Text Char"/>
    <w:basedOn w:val="DefaultParagraphFont"/>
    <w:link w:val="HeaderText"/>
    <w:uiPriority w:val="34"/>
    <w:semiHidden/>
    <w:rsid w:val="00B24642"/>
    <w:rPr>
      <w:rFonts w:ascii="Franklin Gothic Demi" w:hAnsi="Franklin Gothic Demi" w:cs="Times New Roman"/>
      <w:caps/>
      <w:color w:val="000000" w:themeColor="text1"/>
      <w:spacing w:val="-2"/>
      <w:sz w:val="12"/>
      <w:szCs w:val="20"/>
    </w:rPr>
  </w:style>
  <w:style w:type="paragraph" w:customStyle="1" w:styleId="HeaderSecondaryText">
    <w:name w:val="Header Secondary Text"/>
    <w:link w:val="HeaderSecondaryTextChar"/>
    <w:uiPriority w:val="34"/>
    <w:semiHidden/>
    <w:qFormat/>
    <w:rsid w:val="00B24642"/>
    <w:pPr>
      <w:spacing w:after="0" w:line="144" w:lineRule="exact"/>
    </w:pPr>
    <w:rPr>
      <w:rFonts w:asciiTheme="majorHAnsi" w:eastAsiaTheme="majorEastAsia" w:hAnsiTheme="majorHAnsi" w:cstheme="majorBidi"/>
      <w:bCs/>
      <w:iCs/>
      <w:color w:val="44546A" w:themeColor="text2"/>
      <w:spacing w:val="-3"/>
      <w:sz w:val="12"/>
      <w:szCs w:val="20"/>
    </w:rPr>
  </w:style>
  <w:style w:type="character" w:customStyle="1" w:styleId="HeaderSecondaryTextChar">
    <w:name w:val="Header Secondary Text Char"/>
    <w:basedOn w:val="DefaultParagraphFont"/>
    <w:link w:val="HeaderSecondaryText"/>
    <w:uiPriority w:val="34"/>
    <w:semiHidden/>
    <w:rsid w:val="00B24642"/>
    <w:rPr>
      <w:rFonts w:asciiTheme="majorHAnsi" w:eastAsiaTheme="majorEastAsia" w:hAnsiTheme="majorHAnsi" w:cstheme="majorBidi"/>
      <w:bCs/>
      <w:iCs/>
      <w:color w:val="44546A" w:themeColor="text2"/>
      <w:spacing w:val="-3"/>
      <w:sz w:val="12"/>
      <w:szCs w:val="20"/>
    </w:rPr>
  </w:style>
  <w:style w:type="paragraph" w:customStyle="1" w:styleId="PullQuote">
    <w:name w:val="Pull Quote"/>
    <w:next w:val="BodyCopy"/>
    <w:link w:val="PullQuoteChar"/>
    <w:uiPriority w:val="24"/>
    <w:qFormat/>
    <w:rsid w:val="00B24642"/>
    <w:pPr>
      <w:pageBreakBefore/>
      <w:spacing w:after="440" w:line="672" w:lineRule="exact"/>
    </w:pPr>
    <w:rPr>
      <w:rFonts w:asciiTheme="majorHAnsi" w:hAnsiTheme="majorHAnsi" w:cs="Times New Roman"/>
      <w:color w:val="44546A" w:themeColor="text2"/>
      <w:spacing w:val="-6"/>
      <w:sz w:val="56"/>
      <w:szCs w:val="20"/>
    </w:rPr>
  </w:style>
  <w:style w:type="character" w:customStyle="1" w:styleId="PullQuoteChar">
    <w:name w:val="Pull Quote Char"/>
    <w:basedOn w:val="DefaultParagraphFont"/>
    <w:link w:val="PullQuote"/>
    <w:uiPriority w:val="24"/>
    <w:rsid w:val="00B24642"/>
    <w:rPr>
      <w:rFonts w:asciiTheme="majorHAnsi" w:hAnsiTheme="majorHAnsi" w:cs="Times New Roman"/>
      <w:color w:val="44546A" w:themeColor="text2"/>
      <w:spacing w:val="-6"/>
      <w:sz w:val="56"/>
      <w:szCs w:val="20"/>
    </w:rPr>
  </w:style>
  <w:style w:type="paragraph" w:customStyle="1" w:styleId="PullQuoteReference">
    <w:name w:val="Pull Quote Reference"/>
    <w:next w:val="BodyCopy"/>
    <w:link w:val="PullQuoteReferenceChar"/>
    <w:uiPriority w:val="24"/>
    <w:qFormat/>
    <w:rsid w:val="00B24642"/>
    <w:pPr>
      <w:spacing w:after="0" w:line="288" w:lineRule="atLeast"/>
    </w:pPr>
    <w:rPr>
      <w:rFonts w:cs="Times New Roman"/>
      <w:i/>
      <w:color w:val="44546A" w:themeColor="text2"/>
      <w:spacing w:val="-2"/>
      <w:sz w:val="24"/>
      <w:szCs w:val="20"/>
    </w:rPr>
  </w:style>
  <w:style w:type="character" w:customStyle="1" w:styleId="PullQuoteReferenceChar">
    <w:name w:val="Pull Quote Reference Char"/>
    <w:basedOn w:val="DefaultParagraphFont"/>
    <w:link w:val="PullQuoteReference"/>
    <w:uiPriority w:val="24"/>
    <w:rsid w:val="00B24642"/>
    <w:rPr>
      <w:rFonts w:cs="Times New Roman"/>
      <w:i/>
      <w:color w:val="44546A" w:themeColor="text2"/>
      <w:spacing w:val="-2"/>
      <w:sz w:val="24"/>
      <w:szCs w:val="20"/>
    </w:rPr>
  </w:style>
  <w:style w:type="paragraph" w:customStyle="1" w:styleId="BoxHeading">
    <w:name w:val="Box Heading"/>
    <w:basedOn w:val="TableColumnHeading"/>
    <w:next w:val="BoxCopy"/>
    <w:uiPriority w:val="23"/>
    <w:qFormat/>
    <w:rsid w:val="00B24642"/>
    <w:pPr>
      <w:spacing w:before="113" w:after="60" w:line="288" w:lineRule="atLeast"/>
      <w:ind w:left="0" w:right="0"/>
    </w:pPr>
    <w:rPr>
      <w:sz w:val="24"/>
    </w:rPr>
  </w:style>
  <w:style w:type="paragraph" w:customStyle="1" w:styleId="BoxCopy">
    <w:name w:val="Box Copy"/>
    <w:basedOn w:val="TableCopy"/>
    <w:uiPriority w:val="23"/>
    <w:qFormat/>
    <w:rsid w:val="00B24642"/>
    <w:pPr>
      <w:spacing w:before="60" w:after="60"/>
      <w:ind w:left="0" w:right="0"/>
    </w:pPr>
  </w:style>
  <w:style w:type="paragraph" w:customStyle="1" w:styleId="SectionPageTitle">
    <w:name w:val="Section Page Title"/>
    <w:next w:val="BodyCopy"/>
    <w:link w:val="SectionPageTitleChar"/>
    <w:uiPriority w:val="24"/>
    <w:qFormat/>
    <w:rsid w:val="00B24642"/>
    <w:pPr>
      <w:numPr>
        <w:numId w:val="42"/>
      </w:numPr>
      <w:tabs>
        <w:tab w:val="left" w:pos="7513"/>
      </w:tabs>
      <w:spacing w:after="0" w:line="624" w:lineRule="atLeast"/>
    </w:pPr>
    <w:rPr>
      <w:rFonts w:ascii="Franklin Gothic Book" w:hAnsi="Franklin Gothic Book" w:cs="Times New Roman"/>
      <w:caps/>
      <w:color w:val="44546A" w:themeColor="text2"/>
      <w:sz w:val="52"/>
      <w:szCs w:val="20"/>
      <w:u w:val="single"/>
    </w:rPr>
  </w:style>
  <w:style w:type="character" w:customStyle="1" w:styleId="SectionPageTitleChar">
    <w:name w:val="Section Page Title Char"/>
    <w:basedOn w:val="DefaultParagraphFont"/>
    <w:link w:val="SectionPageTitle"/>
    <w:uiPriority w:val="24"/>
    <w:rsid w:val="00B24642"/>
    <w:rPr>
      <w:rFonts w:ascii="Franklin Gothic Book" w:hAnsi="Franklin Gothic Book" w:cs="Times New Roman"/>
      <w:caps/>
      <w:color w:val="44546A" w:themeColor="text2"/>
      <w:sz w:val="52"/>
      <w:szCs w:val="20"/>
      <w:u w:val="single"/>
    </w:rPr>
  </w:style>
  <w:style w:type="numbering" w:customStyle="1" w:styleId="TableBullets">
    <w:name w:val="Table Bullets"/>
    <w:basedOn w:val="NoList"/>
    <w:uiPriority w:val="99"/>
    <w:rsid w:val="00B24642"/>
    <w:pPr>
      <w:numPr>
        <w:numId w:val="46"/>
      </w:numPr>
    </w:pPr>
  </w:style>
  <w:style w:type="paragraph" w:styleId="TOC5">
    <w:name w:val="toc 5"/>
    <w:basedOn w:val="TOC1"/>
    <w:next w:val="BodyCopy"/>
    <w:uiPriority w:val="39"/>
    <w:rsid w:val="00B24642"/>
    <w:pPr>
      <w:tabs>
        <w:tab w:val="left" w:pos="794"/>
      </w:tabs>
      <w:spacing w:before="240" w:after="240"/>
      <w:ind w:left="1361" w:hanging="1361"/>
      <w:contextualSpacing w:val="0"/>
    </w:pPr>
    <w:rPr>
      <w:sz w:val="36"/>
    </w:rPr>
  </w:style>
  <w:style w:type="table" w:customStyle="1" w:styleId="AbbreviationsTable">
    <w:name w:val="Abbreviations Table"/>
    <w:basedOn w:val="TableGrid"/>
    <w:uiPriority w:val="99"/>
    <w:rsid w:val="00B24642"/>
    <w:tblPr>
      <w:tblStyleColBandSize w:val="1"/>
      <w:tblBorders>
        <w:top w:val="single" w:sz="4" w:space="0" w:color="000000" w:themeColor="text1"/>
        <w:bottom w:val="single" w:sz="4" w:space="0" w:color="000000" w:themeColor="text1"/>
        <w:insideH w:val="single" w:sz="4" w:space="0" w:color="000000" w:themeColor="text1"/>
      </w:tblBorders>
    </w:tblPr>
    <w:tcPr>
      <w:vAlign w:val="center"/>
    </w:tcPr>
    <w:tblStylePr w:type="firstCol">
      <w:tblPr/>
      <w:tcPr>
        <w:tcBorders>
          <w:right w:val="single" w:sz="48" w:space="0" w:color="FFFFFF" w:themeColor="background1"/>
        </w:tcBorders>
      </w:tcPr>
    </w:tblStylePr>
    <w:tblStylePr w:type="lastCol">
      <w:tblPr/>
      <w:tcPr>
        <w:tcBorders>
          <w:insideH w:val="single" w:sz="4" w:space="0" w:color="auto"/>
        </w:tcBorders>
      </w:tcPr>
    </w:tblStylePr>
    <w:tblStylePr w:type="band2Vert">
      <w:tblPr/>
      <w:tcPr>
        <w:tcBorders>
          <w:insideH w:val="single" w:sz="4" w:space="0" w:color="auto"/>
        </w:tcBorders>
      </w:tcPr>
    </w:tblStylePr>
  </w:style>
  <w:style w:type="paragraph" w:customStyle="1" w:styleId="Abbreviations1">
    <w:name w:val="Abbreviations 1"/>
    <w:link w:val="Abbreviations1Char"/>
    <w:uiPriority w:val="24"/>
    <w:rsid w:val="00B24642"/>
    <w:pPr>
      <w:spacing w:before="60" w:after="60" w:line="220" w:lineRule="atLeast"/>
    </w:pPr>
    <w:rPr>
      <w:rFonts w:asciiTheme="majorHAnsi" w:hAnsiTheme="majorHAnsi" w:cs="Times New Roman"/>
      <w:color w:val="000000" w:themeColor="text1"/>
      <w:sz w:val="18"/>
      <w:szCs w:val="20"/>
    </w:rPr>
  </w:style>
  <w:style w:type="character" w:customStyle="1" w:styleId="Abbreviations1Char">
    <w:name w:val="Abbreviations 1 Char"/>
    <w:basedOn w:val="DefaultParagraphFont"/>
    <w:link w:val="Abbreviations1"/>
    <w:uiPriority w:val="24"/>
    <w:rsid w:val="00B24642"/>
    <w:rPr>
      <w:rFonts w:asciiTheme="majorHAnsi" w:hAnsiTheme="majorHAnsi" w:cs="Times New Roman"/>
      <w:color w:val="000000" w:themeColor="text1"/>
      <w:sz w:val="18"/>
      <w:szCs w:val="20"/>
    </w:rPr>
  </w:style>
  <w:style w:type="paragraph" w:customStyle="1" w:styleId="Abbreviations2definition">
    <w:name w:val="Abbreviations 2 (definition)"/>
    <w:link w:val="Abbreviations2definitionChar"/>
    <w:uiPriority w:val="24"/>
    <w:rsid w:val="00B24642"/>
    <w:pPr>
      <w:spacing w:before="60" w:after="60" w:line="288" w:lineRule="atLeast"/>
      <w:ind w:left="57"/>
    </w:pPr>
    <w:rPr>
      <w:rFonts w:cs="Times New Roman"/>
      <w:color w:val="000000" w:themeColor="text1"/>
      <w:szCs w:val="20"/>
    </w:rPr>
  </w:style>
  <w:style w:type="character" w:customStyle="1" w:styleId="Abbreviations2definitionChar">
    <w:name w:val="Abbreviations 2 (definition) Char"/>
    <w:basedOn w:val="DefaultParagraphFont"/>
    <w:link w:val="Abbreviations2definition"/>
    <w:uiPriority w:val="24"/>
    <w:rsid w:val="00B24642"/>
    <w:rPr>
      <w:rFonts w:cs="Times New Roman"/>
      <w:color w:val="000000" w:themeColor="text1"/>
      <w:szCs w:val="20"/>
    </w:rPr>
  </w:style>
  <w:style w:type="paragraph" w:customStyle="1" w:styleId="TOC41">
    <w:name w:val="TOC 41"/>
    <w:next w:val="BodyCopy"/>
    <w:uiPriority w:val="39"/>
    <w:rsid w:val="00CC3926"/>
    <w:pPr>
      <w:tabs>
        <w:tab w:val="left" w:pos="1644"/>
        <w:tab w:val="center" w:pos="6804"/>
      </w:tabs>
      <w:spacing w:after="0" w:line="280" w:lineRule="atLeast"/>
      <w:ind w:left="1644" w:right="1021" w:hanging="680"/>
    </w:pPr>
    <w:rPr>
      <w:rFonts w:ascii="Franklin Gothic Book" w:hAnsi="Franklin Gothic Book" w:cs="Times New Roman"/>
      <w:noProof/>
      <w:color w:val="000000" w:themeColor="text1"/>
      <w:spacing w:val="-2"/>
      <w:sz w:val="20"/>
      <w:szCs w:val="20"/>
    </w:rPr>
  </w:style>
  <w:style w:type="paragraph" w:customStyle="1" w:styleId="FooterDocumentTitle">
    <w:name w:val="Footer Document Title"/>
    <w:link w:val="FooterDocumentTitleChar"/>
    <w:uiPriority w:val="34"/>
    <w:qFormat/>
    <w:rsid w:val="00B24642"/>
    <w:pPr>
      <w:spacing w:after="0" w:line="168" w:lineRule="exact"/>
      <w:jc w:val="right"/>
    </w:pPr>
    <w:rPr>
      <w:rFonts w:asciiTheme="majorHAnsi" w:hAnsiTheme="majorHAnsi" w:cs="Times New Roman"/>
      <w:color w:val="000000" w:themeColor="text1"/>
      <w:spacing w:val="-2"/>
      <w:sz w:val="14"/>
      <w:szCs w:val="20"/>
    </w:rPr>
  </w:style>
  <w:style w:type="character" w:customStyle="1" w:styleId="FooterDocumentTitleChar">
    <w:name w:val="Footer Document Title Char"/>
    <w:basedOn w:val="DefaultParagraphFont"/>
    <w:link w:val="FooterDocumentTitle"/>
    <w:uiPriority w:val="34"/>
    <w:rsid w:val="00B24642"/>
    <w:rPr>
      <w:rFonts w:asciiTheme="majorHAnsi" w:hAnsiTheme="majorHAnsi" w:cs="Times New Roman"/>
      <w:color w:val="000000" w:themeColor="text1"/>
      <w:spacing w:val="-2"/>
      <w:sz w:val="14"/>
      <w:szCs w:val="20"/>
    </w:rPr>
  </w:style>
  <w:style w:type="paragraph" w:customStyle="1" w:styleId="FooterProjectTitle">
    <w:name w:val="Footer Project Title"/>
    <w:link w:val="FooterProjectTitleChar"/>
    <w:uiPriority w:val="34"/>
    <w:qFormat/>
    <w:rsid w:val="00B24642"/>
    <w:pPr>
      <w:spacing w:after="0" w:line="168" w:lineRule="exact"/>
    </w:pPr>
    <w:rPr>
      <w:rFonts w:ascii="Franklin Gothic Demi" w:hAnsi="Franklin Gothic Demi" w:cs="Times New Roman"/>
      <w:color w:val="000000" w:themeColor="text1"/>
      <w:spacing w:val="-2"/>
      <w:sz w:val="14"/>
      <w:szCs w:val="20"/>
    </w:rPr>
  </w:style>
  <w:style w:type="character" w:customStyle="1" w:styleId="FooterProjectTitleChar">
    <w:name w:val="Footer Project Title Char"/>
    <w:basedOn w:val="DefaultParagraphFont"/>
    <w:link w:val="FooterProjectTitle"/>
    <w:uiPriority w:val="34"/>
    <w:rsid w:val="00B24642"/>
    <w:rPr>
      <w:rFonts w:ascii="Franklin Gothic Demi" w:hAnsi="Franklin Gothic Demi" w:cs="Times New Roman"/>
      <w:color w:val="000000" w:themeColor="text1"/>
      <w:spacing w:val="-2"/>
      <w:sz w:val="14"/>
      <w:szCs w:val="20"/>
    </w:rPr>
  </w:style>
  <w:style w:type="paragraph" w:customStyle="1" w:styleId="HeaderSectionTitle">
    <w:name w:val="Header Section Title"/>
    <w:link w:val="HeaderSectionTitleChar"/>
    <w:uiPriority w:val="34"/>
    <w:semiHidden/>
    <w:qFormat/>
    <w:rsid w:val="00B24642"/>
    <w:pPr>
      <w:spacing w:after="227" w:line="336" w:lineRule="exact"/>
    </w:pPr>
    <w:rPr>
      <w:rFonts w:asciiTheme="majorHAnsi" w:eastAsiaTheme="majorEastAsia" w:hAnsiTheme="majorHAnsi" w:cstheme="majorBidi"/>
      <w:iCs/>
      <w:caps/>
      <w:noProof/>
      <w:color w:val="000000" w:themeColor="text1"/>
      <w:spacing w:val="-3"/>
      <w:sz w:val="28"/>
      <w:szCs w:val="20"/>
    </w:rPr>
  </w:style>
  <w:style w:type="character" w:customStyle="1" w:styleId="HeaderSectionTitleChar">
    <w:name w:val="Header Section Title Char"/>
    <w:basedOn w:val="DefaultParagraphFont"/>
    <w:link w:val="HeaderSectionTitle"/>
    <w:uiPriority w:val="34"/>
    <w:semiHidden/>
    <w:rsid w:val="00B24642"/>
    <w:rPr>
      <w:rFonts w:asciiTheme="majorHAnsi" w:eastAsiaTheme="majorEastAsia" w:hAnsiTheme="majorHAnsi" w:cstheme="majorBidi"/>
      <w:iCs/>
      <w:caps/>
      <w:noProof/>
      <w:color w:val="000000" w:themeColor="text1"/>
      <w:spacing w:val="-3"/>
      <w:sz w:val="28"/>
      <w:szCs w:val="20"/>
    </w:rPr>
  </w:style>
  <w:style w:type="paragraph" w:customStyle="1" w:styleId="TOCTitle">
    <w:name w:val="TOC Title"/>
    <w:basedOn w:val="Normal"/>
    <w:next w:val="BodyCopy"/>
    <w:link w:val="TOCTitleChar"/>
    <w:uiPriority w:val="39"/>
    <w:rsid w:val="00B24642"/>
    <w:pPr>
      <w:keepNext/>
      <w:keepLines/>
      <w:pageBreakBefore/>
      <w:spacing w:line="560" w:lineRule="exact"/>
    </w:pPr>
    <w:rPr>
      <w:rFonts w:asciiTheme="majorHAnsi" w:eastAsiaTheme="majorEastAsia" w:hAnsiTheme="majorHAnsi" w:cstheme="majorBidi"/>
      <w:b/>
      <w:bCs/>
      <w:caps/>
      <w:spacing w:val="0"/>
      <w:sz w:val="52"/>
      <w:szCs w:val="28"/>
    </w:rPr>
  </w:style>
  <w:style w:type="character" w:customStyle="1" w:styleId="TOCTitleChar">
    <w:name w:val="TOC Title Char"/>
    <w:basedOn w:val="DefaultParagraphFont"/>
    <w:link w:val="TOCTitle"/>
    <w:uiPriority w:val="39"/>
    <w:rsid w:val="00B24642"/>
    <w:rPr>
      <w:rFonts w:asciiTheme="majorHAnsi" w:eastAsiaTheme="majorEastAsia" w:hAnsiTheme="majorHAnsi" w:cstheme="majorBidi"/>
      <w:b/>
      <w:bCs/>
      <w:caps/>
      <w:color w:val="000000" w:themeColor="text1"/>
      <w:sz w:val="52"/>
      <w:szCs w:val="28"/>
    </w:rPr>
  </w:style>
  <w:style w:type="paragraph" w:customStyle="1" w:styleId="Bullets3">
    <w:name w:val="Bullets 3"/>
    <w:basedOn w:val="Bullets1"/>
    <w:rsid w:val="00483C21"/>
    <w:pPr>
      <w:numPr>
        <w:ilvl w:val="2"/>
      </w:numPr>
    </w:pPr>
  </w:style>
  <w:style w:type="character" w:customStyle="1" w:styleId="SectionPageDemi">
    <w:name w:val="Section Page Demi"/>
    <w:basedOn w:val="DefaultParagraphFont"/>
    <w:uiPriority w:val="1"/>
    <w:semiHidden/>
    <w:rsid w:val="00B24642"/>
    <w:rPr>
      <w:rFonts w:ascii="Franklin Gothic Demi" w:hAnsi="Franklin Gothic Demi"/>
      <w:b/>
    </w:rPr>
  </w:style>
  <w:style w:type="paragraph" w:customStyle="1" w:styleId="Bullets4">
    <w:name w:val="Bullets 4"/>
    <w:basedOn w:val="Bullets1"/>
    <w:rsid w:val="00483C21"/>
    <w:pPr>
      <w:numPr>
        <w:ilvl w:val="3"/>
      </w:numPr>
    </w:pPr>
  </w:style>
  <w:style w:type="paragraph" w:customStyle="1" w:styleId="Numbers2">
    <w:name w:val="Numbers 2"/>
    <w:basedOn w:val="Numbers1"/>
    <w:qFormat/>
    <w:rsid w:val="00483C21"/>
    <w:pPr>
      <w:numPr>
        <w:ilvl w:val="1"/>
      </w:numPr>
    </w:pPr>
  </w:style>
  <w:style w:type="paragraph" w:customStyle="1" w:styleId="Numbers3">
    <w:name w:val="Numbers 3"/>
    <w:basedOn w:val="Numbers1"/>
    <w:rsid w:val="00483C21"/>
    <w:pPr>
      <w:numPr>
        <w:ilvl w:val="2"/>
      </w:numPr>
    </w:pPr>
  </w:style>
  <w:style w:type="paragraph" w:customStyle="1" w:styleId="Numbers4">
    <w:name w:val="Numbers 4"/>
    <w:basedOn w:val="Numbers1"/>
    <w:rsid w:val="00483C21"/>
    <w:pPr>
      <w:numPr>
        <w:ilvl w:val="3"/>
      </w:numPr>
    </w:pPr>
  </w:style>
  <w:style w:type="character" w:customStyle="1" w:styleId="Hyperlink1">
    <w:name w:val="Hyperlink1"/>
    <w:basedOn w:val="DefaultParagraphFont"/>
    <w:hidden/>
    <w:uiPriority w:val="99"/>
    <w:semiHidden/>
    <w:rsid w:val="00166DB1"/>
    <w:rPr>
      <w:color w:val="787878"/>
      <w:u w:val="single"/>
    </w:rPr>
  </w:style>
  <w:style w:type="paragraph" w:customStyle="1" w:styleId="RecommendationsTableLeftColumn">
    <w:name w:val="Recommendations Table Left Column"/>
    <w:basedOn w:val="KeyFindingsTableLeftColumn"/>
    <w:uiPriority w:val="21"/>
    <w:rsid w:val="00B24642"/>
    <w:pPr>
      <w:spacing w:line="240" w:lineRule="atLeast"/>
    </w:pPr>
  </w:style>
  <w:style w:type="paragraph" w:customStyle="1" w:styleId="TableColumnHeadingsmall">
    <w:name w:val="Table Column Heading (small)"/>
    <w:basedOn w:val="TableColumnHeading"/>
    <w:uiPriority w:val="20"/>
    <w:rsid w:val="00B24642"/>
    <w:pPr>
      <w:spacing w:line="180" w:lineRule="atLeast"/>
    </w:pPr>
    <w:rPr>
      <w:sz w:val="14"/>
    </w:rPr>
  </w:style>
  <w:style w:type="paragraph" w:customStyle="1" w:styleId="TableCopysmall">
    <w:name w:val="Table Copy (small)"/>
    <w:basedOn w:val="TableCopy"/>
    <w:uiPriority w:val="17"/>
    <w:qFormat/>
    <w:rsid w:val="00B24642"/>
    <w:pPr>
      <w:spacing w:line="166" w:lineRule="atLeast"/>
    </w:pPr>
    <w:rPr>
      <w:sz w:val="14"/>
    </w:rPr>
  </w:style>
  <w:style w:type="table" w:customStyle="1" w:styleId="Recommendations">
    <w:name w:val="Recommendations"/>
    <w:basedOn w:val="TableNormal"/>
    <w:uiPriority w:val="99"/>
    <w:rsid w:val="00B24642"/>
    <w:pPr>
      <w:spacing w:after="0" w:line="240" w:lineRule="auto"/>
    </w:pPr>
    <w:rPr>
      <w:rFonts w:ascii="Courier" w:hAnsi="Courier" w:cs="Times New Roman"/>
      <w:sz w:val="20"/>
      <w:szCs w:val="20"/>
    </w:rPr>
    <w:tblPr>
      <w:tblBorders>
        <w:bottom w:val="single" w:sz="4" w:space="0" w:color="000000" w:themeColor="text1"/>
        <w:insideH w:val="single" w:sz="4" w:space="0" w:color="000000" w:themeColor="text1"/>
      </w:tblBorders>
      <w:tblCellMar>
        <w:left w:w="0" w:type="dxa"/>
        <w:right w:w="0" w:type="dxa"/>
      </w:tblCellMar>
    </w:tblPr>
    <w:tblStylePr w:type="firstRow">
      <w:tblPr/>
      <w:tcPr>
        <w:tcBorders>
          <w:top w:val="single" w:sz="4" w:space="0" w:color="ED7D31" w:themeColor="accent2"/>
          <w:left w:val="nil"/>
          <w:bottom w:val="single" w:sz="4" w:space="0" w:color="ED7D31" w:themeColor="accent2"/>
          <w:right w:val="nil"/>
          <w:insideH w:val="nil"/>
          <w:insideV w:val="nil"/>
          <w:tl2br w:val="nil"/>
          <w:tr2bl w:val="nil"/>
        </w:tcBorders>
        <w:shd w:val="clear" w:color="auto" w:fill="5B9BD5" w:themeFill="accent5"/>
      </w:tcPr>
    </w:tblStylePr>
    <w:tblStylePr w:type="firstCol">
      <w:tblPr/>
      <w:tcPr>
        <w:shd w:val="clear" w:color="auto" w:fill="70AD47" w:themeFill="accent6"/>
      </w:tcPr>
    </w:tblStylePr>
  </w:style>
  <w:style w:type="paragraph" w:customStyle="1" w:styleId="KeyFindingsTableHeading">
    <w:name w:val="Key Findings Table Heading"/>
    <w:basedOn w:val="BodyCopy"/>
    <w:link w:val="KeyFindingsTableHeadingChar"/>
    <w:uiPriority w:val="21"/>
    <w:rsid w:val="00B24642"/>
    <w:pPr>
      <w:keepNext/>
      <w:spacing w:before="60" w:after="60" w:line="250" w:lineRule="atLeast"/>
      <w:ind w:left="142" w:right="142"/>
    </w:pPr>
    <w:rPr>
      <w:rFonts w:asciiTheme="majorHAnsi" w:hAnsiTheme="majorHAnsi"/>
      <w:caps/>
      <w:sz w:val="18"/>
    </w:rPr>
  </w:style>
  <w:style w:type="paragraph" w:customStyle="1" w:styleId="KeyFindingsTableLeftColumn">
    <w:name w:val="Key Findings Table Left Column"/>
    <w:basedOn w:val="KeyFindingsTableHeading"/>
    <w:uiPriority w:val="21"/>
    <w:rsid w:val="00B24642"/>
    <w:pPr>
      <w:keepNext w:val="0"/>
      <w:spacing w:line="264" w:lineRule="atLeast"/>
    </w:pPr>
    <w:rPr>
      <w:caps w:val="0"/>
      <w:sz w:val="20"/>
    </w:rPr>
  </w:style>
  <w:style w:type="paragraph" w:customStyle="1" w:styleId="KeyFindingsTableCopy">
    <w:name w:val="Key Findings Table Copy"/>
    <w:basedOn w:val="TableCopy"/>
    <w:uiPriority w:val="21"/>
    <w:rsid w:val="00B24642"/>
    <w:pPr>
      <w:spacing w:before="60" w:after="60" w:line="264" w:lineRule="atLeast"/>
      <w:ind w:left="142"/>
    </w:pPr>
    <w:rPr>
      <w:sz w:val="22"/>
    </w:rPr>
  </w:style>
  <w:style w:type="table" w:customStyle="1" w:styleId="KeyFindings">
    <w:name w:val="Key Findings"/>
    <w:basedOn w:val="TableNormal"/>
    <w:uiPriority w:val="99"/>
    <w:rsid w:val="00B24642"/>
    <w:pPr>
      <w:spacing w:after="0" w:line="240" w:lineRule="auto"/>
    </w:pPr>
    <w:rPr>
      <w:rFonts w:ascii="Courier" w:hAnsi="Courier" w:cs="Times New Roman"/>
      <w:sz w:val="20"/>
      <w:szCs w:val="20"/>
    </w:rPr>
    <w:tblPr>
      <w:tblBorders>
        <w:bottom w:val="single" w:sz="4" w:space="0" w:color="44546A" w:themeColor="text2"/>
        <w:insideH w:val="single" w:sz="4" w:space="0" w:color="44546A" w:themeColor="text2"/>
      </w:tblBorders>
      <w:tblCellMar>
        <w:left w:w="0" w:type="dxa"/>
        <w:right w:w="0" w:type="dxa"/>
      </w:tblCellMar>
    </w:tblPr>
    <w:tcPr>
      <w:shd w:val="clear" w:color="auto" w:fill="70AD47" w:themeFill="accent6"/>
    </w:tcPr>
    <w:tblStylePr w:type="firstRow">
      <w:tblPr/>
      <w:tcPr>
        <w:shd w:val="clear" w:color="auto" w:fill="5B9BD5" w:themeFill="accent5"/>
      </w:tcPr>
    </w:tblStylePr>
  </w:style>
  <w:style w:type="paragraph" w:customStyle="1" w:styleId="RecommendationsTableCopy">
    <w:name w:val="Recommendations Table Copy"/>
    <w:basedOn w:val="KeyFindingsTableCopy"/>
    <w:uiPriority w:val="21"/>
    <w:rsid w:val="00B24642"/>
  </w:style>
  <w:style w:type="paragraph" w:customStyle="1" w:styleId="Rowheading">
    <w:name w:val="Row heading"/>
    <w:basedOn w:val="TableCopy"/>
    <w:uiPriority w:val="99"/>
    <w:rsid w:val="00166DB1"/>
    <w:rPr>
      <w:b/>
      <w:lang w:eastAsia="en-AU"/>
    </w:rPr>
  </w:style>
  <w:style w:type="paragraph" w:customStyle="1" w:styleId="ESHeading1">
    <w:name w:val="ES Heading 1"/>
    <w:basedOn w:val="Heading1"/>
    <w:next w:val="BodyCopy"/>
    <w:uiPriority w:val="5"/>
    <w:qFormat/>
    <w:rsid w:val="00B24642"/>
    <w:pPr>
      <w:framePr w:wrap="around" w:vAnchor="page" w:hAnchor="page" w:x="568" w:y="982"/>
      <w:numPr>
        <w:numId w:val="0"/>
      </w:numPr>
    </w:pPr>
  </w:style>
  <w:style w:type="paragraph" w:customStyle="1" w:styleId="ESHeading2">
    <w:name w:val="ES Heading 2"/>
    <w:basedOn w:val="Heading2"/>
    <w:next w:val="BodyCopy"/>
    <w:uiPriority w:val="5"/>
    <w:qFormat/>
    <w:rsid w:val="00B24642"/>
    <w:pPr>
      <w:numPr>
        <w:ilvl w:val="0"/>
        <w:numId w:val="0"/>
      </w:numPr>
      <w:outlineLvl w:val="9"/>
    </w:pPr>
  </w:style>
  <w:style w:type="paragraph" w:customStyle="1" w:styleId="ESHeading3">
    <w:name w:val="ES Heading 3"/>
    <w:basedOn w:val="Heading3"/>
    <w:next w:val="BodyCopy"/>
    <w:uiPriority w:val="5"/>
    <w:qFormat/>
    <w:rsid w:val="00B24642"/>
    <w:pPr>
      <w:numPr>
        <w:ilvl w:val="0"/>
        <w:numId w:val="0"/>
      </w:numPr>
      <w:outlineLvl w:val="9"/>
    </w:pPr>
  </w:style>
  <w:style w:type="paragraph" w:styleId="TOC6">
    <w:name w:val="toc 6"/>
    <w:basedOn w:val="TOC3"/>
    <w:next w:val="BodyCopy"/>
    <w:uiPriority w:val="39"/>
    <w:rsid w:val="00B24642"/>
    <w:pPr>
      <w:tabs>
        <w:tab w:val="clear" w:pos="964"/>
        <w:tab w:val="left" w:pos="1474"/>
      </w:tabs>
      <w:spacing w:after="100"/>
      <w:contextualSpacing w:val="0"/>
    </w:pPr>
    <w:rPr>
      <w:caps w:val="0"/>
      <w:noProof/>
    </w:rPr>
  </w:style>
  <w:style w:type="numbering" w:customStyle="1" w:styleId="TableNumbers">
    <w:name w:val="Table Numbers"/>
    <w:basedOn w:val="TableBullets"/>
    <w:uiPriority w:val="99"/>
    <w:rsid w:val="00B24642"/>
    <w:pPr>
      <w:numPr>
        <w:numId w:val="48"/>
      </w:numPr>
    </w:pPr>
  </w:style>
  <w:style w:type="paragraph" w:customStyle="1" w:styleId="Recommendation">
    <w:name w:val="Recommendation"/>
    <w:basedOn w:val="BodyCopy"/>
    <w:next w:val="BodyCopy"/>
    <w:uiPriority w:val="21"/>
    <w:qFormat/>
    <w:rsid w:val="00B24642"/>
    <w:pPr>
      <w:numPr>
        <w:numId w:val="38"/>
      </w:numPr>
      <w:tabs>
        <w:tab w:val="left" w:pos="2041"/>
        <w:tab w:val="left" w:pos="2155"/>
        <w:tab w:val="left" w:pos="2268"/>
      </w:tabs>
    </w:pPr>
  </w:style>
  <w:style w:type="paragraph" w:customStyle="1" w:styleId="TableBullets1">
    <w:name w:val="Table Bullets 1"/>
    <w:basedOn w:val="TableCopy"/>
    <w:uiPriority w:val="15"/>
    <w:qFormat/>
    <w:rsid w:val="00B24642"/>
    <w:pPr>
      <w:numPr>
        <w:numId w:val="47"/>
      </w:numPr>
    </w:pPr>
  </w:style>
  <w:style w:type="paragraph" w:customStyle="1" w:styleId="TableBullets2">
    <w:name w:val="Table Bullets 2"/>
    <w:basedOn w:val="TableCopy"/>
    <w:uiPriority w:val="15"/>
    <w:qFormat/>
    <w:rsid w:val="00B24642"/>
    <w:pPr>
      <w:numPr>
        <w:ilvl w:val="1"/>
        <w:numId w:val="47"/>
      </w:numPr>
    </w:pPr>
  </w:style>
  <w:style w:type="paragraph" w:customStyle="1" w:styleId="TableBulletssmall1">
    <w:name w:val="Table Bullets (small) 1"/>
    <w:basedOn w:val="TableCopysmall"/>
    <w:uiPriority w:val="18"/>
    <w:qFormat/>
    <w:rsid w:val="00B24642"/>
    <w:pPr>
      <w:numPr>
        <w:ilvl w:val="4"/>
        <w:numId w:val="47"/>
      </w:numPr>
    </w:pPr>
  </w:style>
  <w:style w:type="paragraph" w:customStyle="1" w:styleId="TableBulletssmall2">
    <w:name w:val="Table Bullets (small) 2"/>
    <w:basedOn w:val="TableCopysmall"/>
    <w:uiPriority w:val="18"/>
    <w:qFormat/>
    <w:rsid w:val="00B24642"/>
    <w:pPr>
      <w:numPr>
        <w:ilvl w:val="5"/>
        <w:numId w:val="47"/>
      </w:numPr>
    </w:pPr>
  </w:style>
  <w:style w:type="paragraph" w:customStyle="1" w:styleId="TableNumbers1">
    <w:name w:val="Table Numbers 1"/>
    <w:basedOn w:val="TableCopy"/>
    <w:uiPriority w:val="15"/>
    <w:qFormat/>
    <w:rsid w:val="00B24642"/>
    <w:pPr>
      <w:numPr>
        <w:numId w:val="49"/>
      </w:numPr>
    </w:pPr>
  </w:style>
  <w:style w:type="paragraph" w:customStyle="1" w:styleId="TableNumbers2">
    <w:name w:val="Table Numbers 2"/>
    <w:basedOn w:val="TableCopy"/>
    <w:uiPriority w:val="15"/>
    <w:qFormat/>
    <w:rsid w:val="00B24642"/>
    <w:pPr>
      <w:numPr>
        <w:ilvl w:val="1"/>
        <w:numId w:val="49"/>
      </w:numPr>
    </w:pPr>
  </w:style>
  <w:style w:type="paragraph" w:customStyle="1" w:styleId="TableNumberssmall1">
    <w:name w:val="Table Numbers (small) 1"/>
    <w:basedOn w:val="TableCopysmall"/>
    <w:uiPriority w:val="18"/>
    <w:qFormat/>
    <w:rsid w:val="00B24642"/>
    <w:pPr>
      <w:numPr>
        <w:ilvl w:val="4"/>
        <w:numId w:val="49"/>
      </w:numPr>
    </w:pPr>
  </w:style>
  <w:style w:type="paragraph" w:customStyle="1" w:styleId="TableNumberssmall2">
    <w:name w:val="Table Numbers (small) 2"/>
    <w:basedOn w:val="TableCopysmall"/>
    <w:uiPriority w:val="18"/>
    <w:qFormat/>
    <w:rsid w:val="00B24642"/>
    <w:pPr>
      <w:numPr>
        <w:ilvl w:val="5"/>
        <w:numId w:val="49"/>
      </w:numPr>
    </w:pPr>
  </w:style>
  <w:style w:type="paragraph" w:customStyle="1" w:styleId="KeyFinding">
    <w:name w:val="Key Finding"/>
    <w:basedOn w:val="Recommendation"/>
    <w:next w:val="BodyCopy"/>
    <w:uiPriority w:val="21"/>
    <w:qFormat/>
    <w:rsid w:val="004F0F6F"/>
    <w:pPr>
      <w:numPr>
        <w:numId w:val="39"/>
      </w:numPr>
      <w:pBdr>
        <w:top w:val="single" w:sz="4" w:space="4" w:color="000000" w:themeColor="text1"/>
        <w:left w:val="single" w:sz="4" w:space="4" w:color="000000" w:themeColor="text1"/>
        <w:bottom w:val="single" w:sz="4" w:space="4" w:color="000000" w:themeColor="text1"/>
        <w:right w:val="single" w:sz="4" w:space="4" w:color="000000" w:themeColor="text1"/>
      </w:pBdr>
      <w:shd w:val="clear" w:color="auto" w:fill="70AD47" w:themeFill="accent6"/>
      <w:tabs>
        <w:tab w:val="clear" w:pos="2041"/>
        <w:tab w:val="clear" w:pos="2155"/>
        <w:tab w:val="clear" w:pos="2268"/>
      </w:tabs>
      <w:spacing w:before="113" w:after="113"/>
      <w:ind w:left="1814" w:right="113" w:hanging="1701"/>
    </w:pPr>
  </w:style>
  <w:style w:type="paragraph" w:customStyle="1" w:styleId="650E97733753414DBFCDE381257316533">
    <w:name w:val="650E97733753414DBFCDE381257316533"/>
    <w:hidden/>
    <w:semiHidden/>
    <w:rsid w:val="00166DB1"/>
    <w:pPr>
      <w:spacing w:after="0" w:line="264" w:lineRule="atLeast"/>
    </w:pPr>
    <w:rPr>
      <w:rFonts w:cs="Times New Roman"/>
      <w:color w:val="787878"/>
      <w:spacing w:val="-2"/>
      <w:szCs w:val="20"/>
    </w:rPr>
  </w:style>
  <w:style w:type="paragraph" w:customStyle="1" w:styleId="BodyCopyIndented">
    <w:name w:val="Body Copy Indented"/>
    <w:basedOn w:val="BodyCopy"/>
    <w:qFormat/>
    <w:rsid w:val="00B24642"/>
    <w:pPr>
      <w:ind w:left="454"/>
    </w:pPr>
  </w:style>
  <w:style w:type="paragraph" w:customStyle="1" w:styleId="StrategicDirection">
    <w:name w:val="Strategic Direction"/>
    <w:basedOn w:val="KeyFinding"/>
    <w:next w:val="BodyCopy"/>
    <w:uiPriority w:val="21"/>
    <w:rsid w:val="00B24642"/>
    <w:pPr>
      <w:numPr>
        <w:numId w:val="45"/>
      </w:numPr>
      <w:pBdr>
        <w:bottom w:val="single" w:sz="4" w:space="4" w:color="ED7D31" w:themeColor="accent2"/>
      </w:pBdr>
      <w:shd w:val="clear" w:color="auto" w:fill="E7E6E6" w:themeFill="background2"/>
    </w:pPr>
  </w:style>
  <w:style w:type="table" w:customStyle="1" w:styleId="Style1">
    <w:name w:val="Style1"/>
    <w:basedOn w:val="Recommendations"/>
    <w:uiPriority w:val="99"/>
    <w:rsid w:val="00B24642"/>
    <w:tblPr/>
    <w:tblStylePr w:type="firstRow">
      <w:tblPr/>
      <w:tcPr>
        <w:tcBorders>
          <w:top w:val="single" w:sz="4" w:space="0" w:color="A5A5A5" w:themeColor="accent3"/>
          <w:left w:val="nil"/>
          <w:bottom w:val="single" w:sz="4" w:space="0" w:color="A5A5A5" w:themeColor="accent3"/>
          <w:right w:val="nil"/>
          <w:insideH w:val="nil"/>
          <w:insideV w:val="nil"/>
          <w:tl2br w:val="nil"/>
          <w:tr2bl w:val="nil"/>
        </w:tcBorders>
        <w:shd w:val="clear" w:color="auto" w:fill="E7E6E6" w:themeFill="background2"/>
      </w:tcPr>
    </w:tblStylePr>
    <w:tblStylePr w:type="firstCol">
      <w:tblPr/>
      <w:tcPr>
        <w:shd w:val="clear" w:color="auto" w:fill="FFFFFF" w:themeFill="background1"/>
      </w:tcPr>
    </w:tblStylePr>
  </w:style>
  <w:style w:type="paragraph" w:customStyle="1" w:styleId="StrategicDirectionsTableLeftColumn">
    <w:name w:val="Strategic Directions Table Left Column"/>
    <w:basedOn w:val="RecommendationsTableLeftColumn"/>
    <w:uiPriority w:val="21"/>
    <w:rsid w:val="00B24642"/>
  </w:style>
  <w:style w:type="paragraph" w:customStyle="1" w:styleId="StrategicDirectionsTableCopy">
    <w:name w:val="Strategic Directions Table Copy"/>
    <w:basedOn w:val="RecommendationsTableCopy"/>
    <w:uiPriority w:val="21"/>
    <w:rsid w:val="00B24642"/>
  </w:style>
  <w:style w:type="paragraph" w:customStyle="1" w:styleId="StrategicDirectionsTableHeading">
    <w:name w:val="Strategic Directions Table Heading"/>
    <w:basedOn w:val="RecommendationsTableHeading"/>
    <w:uiPriority w:val="21"/>
    <w:rsid w:val="00B24642"/>
  </w:style>
  <w:style w:type="paragraph" w:customStyle="1" w:styleId="HeadingAppendix2">
    <w:name w:val="Heading Appendix 2"/>
    <w:basedOn w:val="Heading1"/>
    <w:next w:val="Normal"/>
    <w:link w:val="HeadingAppendix2CharChar"/>
    <w:rsid w:val="00B24642"/>
    <w:pPr>
      <w:keepLines w:val="0"/>
      <w:pageBreakBefore w:val="0"/>
      <w:numPr>
        <w:numId w:val="36"/>
      </w:numPr>
      <w:spacing w:before="360" w:after="120" w:line="240" w:lineRule="auto"/>
    </w:pPr>
    <w:rPr>
      <w:rFonts w:eastAsia="Times New Roman" w:cs="Arial"/>
      <w:b w:val="0"/>
      <w:color w:val="auto"/>
      <w:kern w:val="32"/>
      <w:sz w:val="32"/>
      <w:szCs w:val="24"/>
      <w:u w:val="single"/>
    </w:rPr>
  </w:style>
  <w:style w:type="character" w:customStyle="1" w:styleId="HeadingAppendix2CharChar">
    <w:name w:val="Heading Appendix 2 Char Char"/>
    <w:link w:val="HeadingAppendix2"/>
    <w:rsid w:val="00B24642"/>
    <w:rPr>
      <w:rFonts w:asciiTheme="majorHAnsi" w:eastAsia="Times New Roman" w:hAnsiTheme="majorHAnsi" w:cs="Arial"/>
      <w:bCs/>
      <w:caps/>
      <w:kern w:val="32"/>
      <w:sz w:val="32"/>
      <w:szCs w:val="24"/>
      <w:u w:val="single"/>
    </w:rPr>
  </w:style>
  <w:style w:type="paragraph" w:customStyle="1" w:styleId="StageHeading">
    <w:name w:val="Stage Heading"/>
    <w:basedOn w:val="Normal"/>
    <w:next w:val="Normal"/>
    <w:rsid w:val="00B24642"/>
    <w:pPr>
      <w:keepNext/>
      <w:numPr>
        <w:numId w:val="44"/>
      </w:numPr>
      <w:tabs>
        <w:tab w:val="left" w:pos="1701"/>
      </w:tabs>
      <w:spacing w:before="360" w:after="120" w:line="240" w:lineRule="auto"/>
      <w:jc w:val="both"/>
    </w:pPr>
    <w:rPr>
      <w:rFonts w:asciiTheme="majorHAnsi" w:eastAsia="Times New Roman" w:hAnsiTheme="majorHAnsi"/>
      <w:caps/>
      <w:color w:val="auto"/>
      <w:spacing w:val="0"/>
      <w:sz w:val="32"/>
      <w:szCs w:val="24"/>
      <w:u w:val="single"/>
    </w:rPr>
  </w:style>
  <w:style w:type="paragraph" w:customStyle="1" w:styleId="B62F7A7DF74646E485171A8AA5594CF41">
    <w:name w:val="B62F7A7DF74646E485171A8AA5594CF41"/>
    <w:hidden/>
    <w:semiHidden/>
    <w:rsid w:val="00166DB1"/>
    <w:pPr>
      <w:spacing w:after="0" w:line="240" w:lineRule="auto"/>
    </w:pPr>
    <w:rPr>
      <w:rFonts w:cs="Times New Roman"/>
      <w:sz w:val="20"/>
      <w:szCs w:val="20"/>
    </w:rPr>
  </w:style>
  <w:style w:type="character" w:customStyle="1" w:styleId="CaptionChar">
    <w:name w:val="Caption Char"/>
    <w:basedOn w:val="DefaultParagraphFont"/>
    <w:link w:val="Caption"/>
    <w:uiPriority w:val="14"/>
    <w:locked/>
    <w:rsid w:val="00166DB1"/>
    <w:rPr>
      <w:rFonts w:ascii="Franklin Gothic Demi" w:hAnsi="Franklin Gothic Demi" w:cs="Times New Roman"/>
      <w:bCs/>
      <w:color w:val="000000" w:themeColor="text1"/>
      <w:sz w:val="17"/>
      <w:szCs w:val="18"/>
    </w:rPr>
  </w:style>
  <w:style w:type="table" w:customStyle="1" w:styleId="HMATable1">
    <w:name w:val="HMA Table1"/>
    <w:basedOn w:val="TableNormal"/>
    <w:uiPriority w:val="99"/>
    <w:rsid w:val="00166DB1"/>
    <w:pPr>
      <w:spacing w:after="0" w:line="240" w:lineRule="auto"/>
    </w:pPr>
    <w:rPr>
      <w:rFonts w:ascii="Courier" w:hAnsi="Courier" w:cs="Times New Roman"/>
      <w:sz w:val="20"/>
      <w:szCs w:val="20"/>
    </w:rPr>
    <w:tblPr>
      <w:tblBorders>
        <w:top w:val="single" w:sz="4" w:space="0" w:color="4B4B4B"/>
        <w:left w:val="single" w:sz="4" w:space="0" w:color="FFFFFF"/>
        <w:bottom w:val="single" w:sz="4" w:space="0" w:color="4B4B4B"/>
        <w:right w:val="single" w:sz="4" w:space="0" w:color="FFFFFF"/>
        <w:insideH w:val="single" w:sz="4" w:space="0" w:color="4B4B4B"/>
        <w:insideV w:val="single" w:sz="4" w:space="0" w:color="FFFFFF"/>
      </w:tblBorders>
      <w:tblCellMar>
        <w:left w:w="0" w:type="dxa"/>
        <w:right w:w="0" w:type="dxa"/>
      </w:tblCellMar>
    </w:tblPr>
    <w:tcPr>
      <w:shd w:val="clear" w:color="auto" w:fill="DCDCDC"/>
    </w:tcPr>
    <w:tblStylePr w:type="firstRow">
      <w:rPr>
        <w:rFonts w:ascii="Franklin Gothic Book" w:hAnsi="Franklin Gothic Book"/>
        <w:b w:val="0"/>
      </w:rPr>
      <w:tblPr/>
      <w:tcPr>
        <w:shd w:val="clear" w:color="auto" w:fill="BEBEBE"/>
      </w:tcPr>
    </w:tblStylePr>
    <w:tblStylePr w:type="lastRow">
      <w:rPr>
        <w:rFonts w:ascii="Garamond" w:hAnsi="Garamond"/>
        <w:b/>
      </w:rPr>
    </w:tblStylePr>
    <w:tblStylePr w:type="firstCol">
      <w:rPr>
        <w:rFonts w:ascii="Garamond" w:hAnsi="Garamond"/>
        <w:b/>
      </w:rPr>
    </w:tblStylePr>
    <w:tblStylePr w:type="neCell">
      <w:rPr>
        <w:b w:val="0"/>
      </w:rPr>
    </w:tblStylePr>
    <w:tblStylePr w:type="nwCell">
      <w:rPr>
        <w:b w:val="0"/>
      </w:rPr>
    </w:tblStylePr>
  </w:style>
  <w:style w:type="table" w:customStyle="1" w:styleId="HMATable2">
    <w:name w:val="HMA Table2"/>
    <w:basedOn w:val="TableNormal"/>
    <w:uiPriority w:val="99"/>
    <w:rsid w:val="00166DB1"/>
    <w:pPr>
      <w:spacing w:after="0" w:line="240" w:lineRule="auto"/>
    </w:pPr>
    <w:rPr>
      <w:rFonts w:ascii="Courier" w:hAnsi="Courier" w:cs="Times New Roman"/>
      <w:sz w:val="20"/>
      <w:szCs w:val="20"/>
    </w:rPr>
    <w:tblPr>
      <w:tblBorders>
        <w:top w:val="single" w:sz="4" w:space="0" w:color="4B4B4B"/>
        <w:left w:val="single" w:sz="4" w:space="0" w:color="FFFFFF"/>
        <w:bottom w:val="single" w:sz="4" w:space="0" w:color="4B4B4B"/>
        <w:right w:val="single" w:sz="4" w:space="0" w:color="FFFFFF"/>
        <w:insideH w:val="single" w:sz="4" w:space="0" w:color="4B4B4B"/>
        <w:insideV w:val="single" w:sz="4" w:space="0" w:color="FFFFFF"/>
      </w:tblBorders>
      <w:tblCellMar>
        <w:left w:w="0" w:type="dxa"/>
        <w:right w:w="0" w:type="dxa"/>
      </w:tblCellMar>
    </w:tblPr>
    <w:tcPr>
      <w:shd w:val="clear" w:color="auto" w:fill="DCDCDC"/>
    </w:tcPr>
    <w:tblStylePr w:type="firstRow">
      <w:rPr>
        <w:rFonts w:ascii="Franklin Gothic Book" w:hAnsi="Franklin Gothic Book"/>
        <w:b w:val="0"/>
      </w:rPr>
      <w:tblPr/>
      <w:tcPr>
        <w:shd w:val="clear" w:color="auto" w:fill="BEBEBE"/>
      </w:tcPr>
    </w:tblStylePr>
    <w:tblStylePr w:type="lastRow">
      <w:rPr>
        <w:rFonts w:ascii="Garamond" w:hAnsi="Garamond"/>
        <w:b/>
      </w:rPr>
    </w:tblStylePr>
    <w:tblStylePr w:type="firstCol">
      <w:rPr>
        <w:rFonts w:ascii="Garamond" w:hAnsi="Garamond"/>
        <w:b/>
      </w:rPr>
    </w:tblStylePr>
    <w:tblStylePr w:type="neCell">
      <w:rPr>
        <w:b w:val="0"/>
      </w:rPr>
    </w:tblStylePr>
    <w:tblStylePr w:type="nwCell">
      <w:rPr>
        <w:b w:val="0"/>
      </w:rPr>
    </w:tblStylePr>
  </w:style>
  <w:style w:type="table" w:customStyle="1" w:styleId="HMATable3">
    <w:name w:val="HMA Table3"/>
    <w:basedOn w:val="TableNormal"/>
    <w:uiPriority w:val="99"/>
    <w:rsid w:val="00166DB1"/>
    <w:pPr>
      <w:spacing w:after="0" w:line="240" w:lineRule="auto"/>
    </w:pPr>
    <w:rPr>
      <w:rFonts w:ascii="Courier" w:hAnsi="Courier" w:cs="Times New Roman"/>
      <w:sz w:val="20"/>
      <w:szCs w:val="20"/>
    </w:rPr>
    <w:tblPr>
      <w:tblBorders>
        <w:top w:val="single" w:sz="4" w:space="0" w:color="4B4B4B"/>
        <w:left w:val="single" w:sz="4" w:space="0" w:color="FFFFFF"/>
        <w:bottom w:val="single" w:sz="4" w:space="0" w:color="4B4B4B"/>
        <w:right w:val="single" w:sz="4" w:space="0" w:color="FFFFFF"/>
        <w:insideH w:val="single" w:sz="4" w:space="0" w:color="4B4B4B"/>
        <w:insideV w:val="single" w:sz="4" w:space="0" w:color="FFFFFF"/>
      </w:tblBorders>
      <w:tblCellMar>
        <w:left w:w="0" w:type="dxa"/>
        <w:right w:w="0" w:type="dxa"/>
      </w:tblCellMar>
    </w:tblPr>
    <w:tcPr>
      <w:shd w:val="clear" w:color="auto" w:fill="DCDCDC"/>
    </w:tcPr>
    <w:tblStylePr w:type="firstRow">
      <w:rPr>
        <w:rFonts w:ascii="Franklin Gothic Book" w:hAnsi="Franklin Gothic Book"/>
        <w:b w:val="0"/>
      </w:rPr>
      <w:tblPr/>
      <w:tcPr>
        <w:shd w:val="clear" w:color="auto" w:fill="BEBEBE"/>
      </w:tcPr>
    </w:tblStylePr>
    <w:tblStylePr w:type="lastRow">
      <w:rPr>
        <w:rFonts w:ascii="Garamond" w:hAnsi="Garamond"/>
        <w:b/>
      </w:rPr>
    </w:tblStylePr>
    <w:tblStylePr w:type="firstCol">
      <w:rPr>
        <w:rFonts w:ascii="Garamond" w:hAnsi="Garamond"/>
        <w:b/>
      </w:rPr>
    </w:tblStylePr>
    <w:tblStylePr w:type="neCell">
      <w:rPr>
        <w:b w:val="0"/>
      </w:rPr>
    </w:tblStylePr>
    <w:tblStylePr w:type="nwCell">
      <w:rPr>
        <w:b w:val="0"/>
      </w:rPr>
    </w:tblStylePr>
  </w:style>
  <w:style w:type="table" w:customStyle="1" w:styleId="HMATable4">
    <w:name w:val="HMA Table4"/>
    <w:basedOn w:val="TableNormal"/>
    <w:uiPriority w:val="99"/>
    <w:rsid w:val="00166DB1"/>
    <w:pPr>
      <w:spacing w:after="0" w:line="240" w:lineRule="auto"/>
    </w:pPr>
    <w:rPr>
      <w:rFonts w:ascii="Courier" w:hAnsi="Courier" w:cs="Times New Roman"/>
      <w:sz w:val="20"/>
      <w:szCs w:val="20"/>
    </w:rPr>
    <w:tblPr>
      <w:tblBorders>
        <w:top w:val="single" w:sz="4" w:space="0" w:color="4B4B4B"/>
        <w:left w:val="single" w:sz="4" w:space="0" w:color="FFFFFF"/>
        <w:bottom w:val="single" w:sz="4" w:space="0" w:color="4B4B4B"/>
        <w:right w:val="single" w:sz="4" w:space="0" w:color="FFFFFF"/>
        <w:insideH w:val="single" w:sz="4" w:space="0" w:color="4B4B4B"/>
        <w:insideV w:val="single" w:sz="4" w:space="0" w:color="FFFFFF"/>
      </w:tblBorders>
      <w:tblCellMar>
        <w:left w:w="0" w:type="dxa"/>
        <w:right w:w="0" w:type="dxa"/>
      </w:tblCellMar>
    </w:tblPr>
    <w:tcPr>
      <w:shd w:val="clear" w:color="auto" w:fill="DCDCDC"/>
    </w:tcPr>
    <w:tblStylePr w:type="firstRow">
      <w:rPr>
        <w:rFonts w:ascii="Franklin Gothic Book" w:hAnsi="Franklin Gothic Book"/>
        <w:b w:val="0"/>
      </w:rPr>
      <w:tblPr/>
      <w:tcPr>
        <w:shd w:val="clear" w:color="auto" w:fill="BEBEBE"/>
      </w:tcPr>
    </w:tblStylePr>
    <w:tblStylePr w:type="lastRow">
      <w:rPr>
        <w:rFonts w:ascii="Garamond" w:hAnsi="Garamond"/>
        <w:b/>
      </w:rPr>
    </w:tblStylePr>
    <w:tblStylePr w:type="firstCol">
      <w:rPr>
        <w:rFonts w:ascii="Garamond" w:hAnsi="Garamond"/>
        <w:b/>
      </w:rPr>
    </w:tblStylePr>
    <w:tblStylePr w:type="neCell">
      <w:rPr>
        <w:b w:val="0"/>
      </w:rPr>
    </w:tblStylePr>
    <w:tblStylePr w:type="nwCell">
      <w:rPr>
        <w:b w:val="0"/>
      </w:rPr>
    </w:tblStylePr>
  </w:style>
  <w:style w:type="paragraph" w:styleId="Bibliography">
    <w:name w:val="Bibliography"/>
    <w:basedOn w:val="Normal"/>
    <w:next w:val="Normal"/>
    <w:uiPriority w:val="99"/>
    <w:unhideWhenUsed/>
    <w:rsid w:val="00166DB1"/>
    <w:rPr>
      <w:color w:val="000000"/>
    </w:rPr>
  </w:style>
  <w:style w:type="character" w:styleId="CommentReference">
    <w:name w:val="annotation reference"/>
    <w:basedOn w:val="DefaultParagraphFont"/>
    <w:uiPriority w:val="99"/>
    <w:semiHidden/>
    <w:unhideWhenUsed/>
    <w:rsid w:val="00166DB1"/>
    <w:rPr>
      <w:sz w:val="16"/>
      <w:szCs w:val="16"/>
    </w:rPr>
  </w:style>
  <w:style w:type="paragraph" w:styleId="CommentText">
    <w:name w:val="annotation text"/>
    <w:basedOn w:val="Normal"/>
    <w:link w:val="CommentTextChar"/>
    <w:uiPriority w:val="99"/>
    <w:semiHidden/>
    <w:unhideWhenUsed/>
    <w:rsid w:val="00166DB1"/>
    <w:pPr>
      <w:spacing w:line="240" w:lineRule="auto"/>
    </w:pPr>
    <w:rPr>
      <w:color w:val="000000"/>
      <w:sz w:val="20"/>
    </w:rPr>
  </w:style>
  <w:style w:type="character" w:customStyle="1" w:styleId="CommentTextChar">
    <w:name w:val="Comment Text Char"/>
    <w:basedOn w:val="DefaultParagraphFont"/>
    <w:link w:val="CommentText"/>
    <w:uiPriority w:val="99"/>
    <w:semiHidden/>
    <w:rsid w:val="00166DB1"/>
    <w:rPr>
      <w:rFonts w:cs="Times New Roman"/>
      <w:color w:val="000000"/>
      <w:spacing w:val="-2"/>
      <w:sz w:val="20"/>
      <w:szCs w:val="20"/>
    </w:rPr>
  </w:style>
  <w:style w:type="paragraph" w:styleId="CommentSubject">
    <w:name w:val="annotation subject"/>
    <w:basedOn w:val="CommentText"/>
    <w:next w:val="CommentText"/>
    <w:link w:val="CommentSubjectChar"/>
    <w:uiPriority w:val="99"/>
    <w:semiHidden/>
    <w:unhideWhenUsed/>
    <w:rsid w:val="00166DB1"/>
    <w:rPr>
      <w:b/>
      <w:bCs/>
    </w:rPr>
  </w:style>
  <w:style w:type="character" w:customStyle="1" w:styleId="CommentSubjectChar">
    <w:name w:val="Comment Subject Char"/>
    <w:basedOn w:val="CommentTextChar"/>
    <w:link w:val="CommentSubject"/>
    <w:uiPriority w:val="99"/>
    <w:semiHidden/>
    <w:rsid w:val="00166DB1"/>
    <w:rPr>
      <w:rFonts w:cs="Times New Roman"/>
      <w:b/>
      <w:bCs/>
      <w:color w:val="000000"/>
      <w:spacing w:val="-2"/>
      <w:sz w:val="20"/>
      <w:szCs w:val="20"/>
    </w:rPr>
  </w:style>
  <w:style w:type="character" w:customStyle="1" w:styleId="UnresolvedMention1">
    <w:name w:val="Unresolved Mention1"/>
    <w:basedOn w:val="DefaultParagraphFont"/>
    <w:uiPriority w:val="99"/>
    <w:semiHidden/>
    <w:unhideWhenUsed/>
    <w:rsid w:val="00166DB1"/>
    <w:rPr>
      <w:color w:val="808080"/>
      <w:shd w:val="clear" w:color="auto" w:fill="E6E6E6"/>
    </w:rPr>
  </w:style>
  <w:style w:type="character" w:customStyle="1" w:styleId="FollowedHyperlink1">
    <w:name w:val="FollowedHyperlink1"/>
    <w:basedOn w:val="DefaultParagraphFont"/>
    <w:uiPriority w:val="99"/>
    <w:semiHidden/>
    <w:unhideWhenUsed/>
    <w:rsid w:val="00166DB1"/>
    <w:rPr>
      <w:color w:val="BEBEBE"/>
      <w:u w:val="single"/>
    </w:rPr>
  </w:style>
  <w:style w:type="character" w:customStyle="1" w:styleId="Mention1">
    <w:name w:val="Mention1"/>
    <w:basedOn w:val="DefaultParagraphFont"/>
    <w:uiPriority w:val="99"/>
    <w:semiHidden/>
    <w:unhideWhenUsed/>
    <w:rsid w:val="00166DB1"/>
    <w:rPr>
      <w:color w:val="2B579A"/>
      <w:shd w:val="clear" w:color="auto" w:fill="E6E6E6"/>
    </w:rPr>
  </w:style>
  <w:style w:type="paragraph" w:customStyle="1" w:styleId="Tableheading">
    <w:name w:val="Table heading"/>
    <w:basedOn w:val="KeyFindingsTableHeading"/>
    <w:link w:val="TableheadingChar"/>
    <w:uiPriority w:val="99"/>
    <w:qFormat/>
    <w:rsid w:val="00BF753C"/>
    <w:rPr>
      <w:caps w:val="0"/>
    </w:rPr>
  </w:style>
  <w:style w:type="character" w:customStyle="1" w:styleId="KeyFindingsTableHeadingChar">
    <w:name w:val="Key Findings Table Heading Char"/>
    <w:basedOn w:val="BodyCopyChar"/>
    <w:link w:val="KeyFindingsTableHeading"/>
    <w:uiPriority w:val="21"/>
    <w:rsid w:val="00166DB1"/>
    <w:rPr>
      <w:rFonts w:asciiTheme="majorHAnsi" w:hAnsiTheme="majorHAnsi" w:cs="Times New Roman"/>
      <w:caps/>
      <w:color w:val="000000" w:themeColor="text1"/>
      <w:spacing w:val="-2"/>
      <w:sz w:val="18"/>
      <w:szCs w:val="20"/>
    </w:rPr>
  </w:style>
  <w:style w:type="character" w:customStyle="1" w:styleId="TableheadingChar">
    <w:name w:val="Table heading Char"/>
    <w:basedOn w:val="KeyFindingsTableHeadingChar"/>
    <w:link w:val="Tableheading"/>
    <w:uiPriority w:val="99"/>
    <w:rsid w:val="00BF753C"/>
    <w:rPr>
      <w:rFonts w:ascii="Franklin Gothic Book" w:hAnsi="Franklin Gothic Book" w:cs="Times New Roman"/>
      <w:caps w:val="0"/>
      <w:color w:val="000000"/>
      <w:spacing w:val="-2"/>
      <w:sz w:val="18"/>
      <w:szCs w:val="20"/>
    </w:rPr>
  </w:style>
  <w:style w:type="paragraph" w:customStyle="1" w:styleId="Coverheading">
    <w:name w:val="Cover heading"/>
    <w:basedOn w:val="Normal"/>
    <w:link w:val="CoverheadingChar"/>
    <w:uiPriority w:val="99"/>
    <w:qFormat/>
    <w:rsid w:val="00166DB1"/>
    <w:rPr>
      <w:color w:val="000000"/>
    </w:rPr>
  </w:style>
  <w:style w:type="paragraph" w:customStyle="1" w:styleId="Covertitle">
    <w:name w:val="Cover title"/>
    <w:basedOn w:val="Normal"/>
    <w:uiPriority w:val="99"/>
    <w:rsid w:val="00166DB1"/>
    <w:rPr>
      <w:rFonts w:ascii="Franklin Gothic Book" w:hAnsi="Franklin Gothic Book"/>
      <w:b/>
      <w:color w:val="000000"/>
      <w:sz w:val="36"/>
      <w:szCs w:val="36"/>
    </w:rPr>
  </w:style>
  <w:style w:type="character" w:customStyle="1" w:styleId="CoverheadingChar">
    <w:name w:val="Cover heading Char"/>
    <w:basedOn w:val="DefaultParagraphFont"/>
    <w:link w:val="Coverheading"/>
    <w:uiPriority w:val="99"/>
    <w:rsid w:val="00166DB1"/>
    <w:rPr>
      <w:rFonts w:cs="Times New Roman"/>
      <w:color w:val="000000"/>
      <w:spacing w:val="-2"/>
      <w:szCs w:val="20"/>
    </w:rPr>
  </w:style>
  <w:style w:type="paragraph" w:customStyle="1" w:styleId="Tablesubheading">
    <w:name w:val="Table subheading"/>
    <w:basedOn w:val="Tableheading"/>
    <w:uiPriority w:val="99"/>
    <w:rsid w:val="001C5BAE"/>
    <w:rPr>
      <w:b/>
      <w:i/>
      <w:color w:val="auto"/>
    </w:rPr>
  </w:style>
  <w:style w:type="paragraph" w:styleId="BodyText">
    <w:name w:val="Body Text"/>
    <w:link w:val="BodyTextChar"/>
    <w:uiPriority w:val="99"/>
    <w:semiHidden/>
    <w:rsid w:val="00B24642"/>
    <w:pPr>
      <w:spacing w:after="120" w:line="240" w:lineRule="auto"/>
    </w:pPr>
    <w:rPr>
      <w:rFonts w:cs="Times New Roman"/>
      <w:sz w:val="20"/>
      <w:szCs w:val="20"/>
    </w:rPr>
  </w:style>
  <w:style w:type="character" w:customStyle="1" w:styleId="BodyTextChar1">
    <w:name w:val="Body Text Char1"/>
    <w:basedOn w:val="DefaultParagraphFont"/>
    <w:uiPriority w:val="99"/>
    <w:semiHidden/>
    <w:rsid w:val="00166DB1"/>
  </w:style>
  <w:style w:type="paragraph" w:styleId="Footer">
    <w:name w:val="footer"/>
    <w:link w:val="FooterChar"/>
    <w:uiPriority w:val="99"/>
    <w:rsid w:val="00B24642"/>
    <w:pPr>
      <w:tabs>
        <w:tab w:val="center" w:pos="4513"/>
        <w:tab w:val="right" w:pos="9026"/>
      </w:tabs>
      <w:spacing w:after="0" w:line="240" w:lineRule="auto"/>
    </w:pPr>
    <w:rPr>
      <w:rFonts w:cs="Times New Roman"/>
      <w:sz w:val="20"/>
      <w:szCs w:val="20"/>
    </w:rPr>
  </w:style>
  <w:style w:type="character" w:customStyle="1" w:styleId="FooterChar1">
    <w:name w:val="Footer Char1"/>
    <w:basedOn w:val="DefaultParagraphFont"/>
    <w:uiPriority w:val="99"/>
    <w:rsid w:val="00166DB1"/>
  </w:style>
  <w:style w:type="paragraph" w:styleId="Header">
    <w:name w:val="header"/>
    <w:link w:val="HeaderChar"/>
    <w:uiPriority w:val="99"/>
    <w:rsid w:val="00B24642"/>
    <w:pPr>
      <w:tabs>
        <w:tab w:val="center" w:pos="4513"/>
        <w:tab w:val="right" w:pos="9026"/>
      </w:tabs>
      <w:spacing w:after="0" w:line="240" w:lineRule="auto"/>
    </w:pPr>
    <w:rPr>
      <w:rFonts w:cs="Times New Roman"/>
      <w:sz w:val="20"/>
      <w:szCs w:val="20"/>
    </w:rPr>
  </w:style>
  <w:style w:type="character" w:customStyle="1" w:styleId="HeaderChar1">
    <w:name w:val="Header Char1"/>
    <w:basedOn w:val="DefaultParagraphFont"/>
    <w:uiPriority w:val="99"/>
    <w:rsid w:val="00166DB1"/>
  </w:style>
  <w:style w:type="character" w:customStyle="1" w:styleId="Heading2Char1">
    <w:name w:val="Heading 2 Char1"/>
    <w:basedOn w:val="DefaultParagraphFont"/>
    <w:uiPriority w:val="9"/>
    <w:semiHidden/>
    <w:rsid w:val="00166DB1"/>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166DB1"/>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166DB1"/>
    <w:rPr>
      <w:rFonts w:asciiTheme="majorHAnsi" w:eastAsiaTheme="majorEastAsia" w:hAnsiTheme="majorHAnsi" w:cstheme="majorBidi"/>
      <w:i/>
      <w:iCs/>
      <w:color w:val="2F5496" w:themeColor="accent1" w:themeShade="BF"/>
    </w:rPr>
  </w:style>
  <w:style w:type="paragraph" w:styleId="Subtitle">
    <w:name w:val="Subtitle"/>
    <w:link w:val="SubtitleChar"/>
    <w:uiPriority w:val="99"/>
    <w:qFormat/>
    <w:rsid w:val="00B24642"/>
    <w:pPr>
      <w:numPr>
        <w:ilvl w:val="1"/>
      </w:numPr>
      <w:spacing w:after="0" w:line="240" w:lineRule="auto"/>
    </w:pPr>
    <w:rPr>
      <w:rFonts w:asciiTheme="majorHAnsi" w:eastAsiaTheme="majorEastAsia" w:hAnsiTheme="majorHAnsi" w:cstheme="majorBidi"/>
      <w:iCs/>
      <w:color w:val="4472C4" w:themeColor="accent1"/>
      <w:sz w:val="24"/>
      <w:szCs w:val="24"/>
    </w:rPr>
  </w:style>
  <w:style w:type="character" w:customStyle="1" w:styleId="SubtitleChar1">
    <w:name w:val="Subtitle Char1"/>
    <w:basedOn w:val="DefaultParagraphFont"/>
    <w:uiPriority w:val="11"/>
    <w:rsid w:val="00166DB1"/>
    <w:rPr>
      <w:rFonts w:eastAsiaTheme="minorEastAsia"/>
      <w:color w:val="5A5A5A" w:themeColor="text1" w:themeTint="A5"/>
      <w:spacing w:val="15"/>
    </w:rPr>
  </w:style>
  <w:style w:type="paragraph" w:styleId="Title">
    <w:name w:val="Title"/>
    <w:link w:val="TitleChar"/>
    <w:uiPriority w:val="99"/>
    <w:qFormat/>
    <w:rsid w:val="00B2464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kern w:val="28"/>
      <w:sz w:val="52"/>
      <w:szCs w:val="52"/>
    </w:rPr>
  </w:style>
  <w:style w:type="character" w:customStyle="1" w:styleId="TitleChar1">
    <w:name w:val="Title Char1"/>
    <w:basedOn w:val="DefaultParagraphFont"/>
    <w:uiPriority w:val="10"/>
    <w:rsid w:val="00166DB1"/>
    <w:rPr>
      <w:rFonts w:asciiTheme="majorHAnsi" w:eastAsiaTheme="majorEastAsia" w:hAnsiTheme="majorHAnsi" w:cstheme="majorBidi"/>
      <w:spacing w:val="-10"/>
      <w:kern w:val="28"/>
      <w:sz w:val="56"/>
      <w:szCs w:val="56"/>
    </w:rPr>
  </w:style>
  <w:style w:type="paragraph" w:styleId="Date">
    <w:name w:val="Date"/>
    <w:link w:val="DateChar"/>
    <w:uiPriority w:val="99"/>
    <w:semiHidden/>
    <w:rsid w:val="00B24642"/>
    <w:pPr>
      <w:spacing w:after="0" w:line="240" w:lineRule="auto"/>
    </w:pPr>
    <w:rPr>
      <w:rFonts w:cs="Times New Roman"/>
      <w:sz w:val="20"/>
      <w:szCs w:val="20"/>
    </w:rPr>
  </w:style>
  <w:style w:type="character" w:customStyle="1" w:styleId="DateChar1">
    <w:name w:val="Date Char1"/>
    <w:basedOn w:val="DefaultParagraphFont"/>
    <w:uiPriority w:val="99"/>
    <w:semiHidden/>
    <w:rsid w:val="00166DB1"/>
  </w:style>
  <w:style w:type="paragraph" w:styleId="EndnoteText">
    <w:name w:val="endnote text"/>
    <w:link w:val="EndnoteTextChar"/>
    <w:uiPriority w:val="99"/>
    <w:semiHidden/>
    <w:rsid w:val="00B24642"/>
    <w:pPr>
      <w:spacing w:after="0" w:line="240" w:lineRule="auto"/>
    </w:pPr>
    <w:rPr>
      <w:rFonts w:cs="Times New Roman"/>
      <w:sz w:val="20"/>
      <w:szCs w:val="20"/>
    </w:rPr>
  </w:style>
  <w:style w:type="character" w:customStyle="1" w:styleId="EndnoteTextChar1">
    <w:name w:val="Endnote Text Char1"/>
    <w:basedOn w:val="DefaultParagraphFont"/>
    <w:uiPriority w:val="99"/>
    <w:semiHidden/>
    <w:rsid w:val="00166DB1"/>
    <w:rPr>
      <w:sz w:val="20"/>
      <w:szCs w:val="20"/>
    </w:rPr>
  </w:style>
  <w:style w:type="paragraph" w:styleId="FootnoteText">
    <w:name w:val="footnote text"/>
    <w:link w:val="FootnoteTextChar"/>
    <w:uiPriority w:val="39"/>
    <w:semiHidden/>
    <w:rsid w:val="00B24642"/>
    <w:pPr>
      <w:spacing w:after="0" w:line="192" w:lineRule="atLeast"/>
    </w:pPr>
    <w:rPr>
      <w:rFonts w:cs="Times New Roman"/>
      <w:i/>
      <w:color w:val="44546A" w:themeColor="text2"/>
      <w:sz w:val="16"/>
      <w:szCs w:val="20"/>
    </w:rPr>
  </w:style>
  <w:style w:type="character" w:customStyle="1" w:styleId="FootnoteTextChar1">
    <w:name w:val="Footnote Text Char1"/>
    <w:basedOn w:val="DefaultParagraphFont"/>
    <w:uiPriority w:val="99"/>
    <w:semiHidden/>
    <w:rsid w:val="00166DB1"/>
    <w:rPr>
      <w:sz w:val="20"/>
      <w:szCs w:val="20"/>
    </w:rPr>
  </w:style>
  <w:style w:type="paragraph" w:styleId="TableofFigures">
    <w:name w:val="table of figures"/>
    <w:uiPriority w:val="99"/>
    <w:semiHidden/>
    <w:rsid w:val="00B24642"/>
    <w:pPr>
      <w:spacing w:after="0" w:line="240" w:lineRule="auto"/>
    </w:pPr>
    <w:rPr>
      <w:rFonts w:cs="Times New Roman"/>
      <w:sz w:val="20"/>
      <w:szCs w:val="20"/>
    </w:rPr>
  </w:style>
  <w:style w:type="paragraph" w:styleId="TOC1">
    <w:name w:val="toc 1"/>
    <w:uiPriority w:val="39"/>
    <w:rsid w:val="00B24642"/>
    <w:pPr>
      <w:tabs>
        <w:tab w:val="center" w:pos="6804"/>
      </w:tabs>
      <w:spacing w:after="180" w:line="280" w:lineRule="atLeast"/>
      <w:ind w:left="397" w:right="1021"/>
      <w:contextualSpacing/>
    </w:pPr>
    <w:rPr>
      <w:rFonts w:asciiTheme="majorHAnsi" w:hAnsiTheme="majorHAnsi" w:cs="Times New Roman"/>
      <w:caps/>
      <w:color w:val="000000" w:themeColor="text1"/>
      <w:spacing w:val="-2"/>
      <w:szCs w:val="20"/>
    </w:rPr>
  </w:style>
  <w:style w:type="paragraph" w:styleId="TOC2">
    <w:name w:val="toc 2"/>
    <w:uiPriority w:val="39"/>
    <w:rsid w:val="00B24642"/>
    <w:pPr>
      <w:tabs>
        <w:tab w:val="left" w:pos="397"/>
        <w:tab w:val="center" w:pos="6804"/>
      </w:tabs>
      <w:spacing w:before="180" w:after="0" w:line="360" w:lineRule="atLeast"/>
      <w:ind w:left="397" w:right="1021" w:hanging="397"/>
    </w:pPr>
    <w:rPr>
      <w:rFonts w:asciiTheme="majorHAnsi" w:hAnsiTheme="majorHAnsi" w:cs="Times New Roman"/>
      <w:caps/>
      <w:color w:val="000000" w:themeColor="text1"/>
      <w:spacing w:val="-2"/>
      <w:sz w:val="28"/>
      <w:szCs w:val="20"/>
      <w:u w:val="single"/>
    </w:rPr>
  </w:style>
  <w:style w:type="paragraph" w:styleId="TOC3">
    <w:name w:val="toc 3"/>
    <w:uiPriority w:val="39"/>
    <w:rsid w:val="00B24642"/>
    <w:pPr>
      <w:tabs>
        <w:tab w:val="left" w:pos="964"/>
        <w:tab w:val="center" w:pos="6804"/>
      </w:tabs>
      <w:spacing w:before="80" w:after="0" w:line="280" w:lineRule="atLeast"/>
      <w:ind w:left="1361" w:right="1021" w:hanging="964"/>
      <w:contextualSpacing/>
    </w:pPr>
    <w:rPr>
      <w:rFonts w:ascii="Franklin Gothic Demi" w:hAnsi="Franklin Gothic Demi" w:cs="Times New Roman"/>
      <w:caps/>
      <w:color w:val="000000" w:themeColor="text1"/>
      <w:sz w:val="20"/>
      <w:szCs w:val="20"/>
    </w:rPr>
  </w:style>
  <w:style w:type="character" w:customStyle="1" w:styleId="Heading5Char1">
    <w:name w:val="Heading 5 Char1"/>
    <w:basedOn w:val="DefaultParagraphFont"/>
    <w:uiPriority w:val="9"/>
    <w:semiHidden/>
    <w:rsid w:val="00166DB1"/>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166DB1"/>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166DB1"/>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166DB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166DB1"/>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hidden/>
    <w:uiPriority w:val="99"/>
    <w:semiHidden/>
    <w:rsid w:val="00166DB1"/>
    <w:rPr>
      <w:color w:val="0563C1" w:themeColor="hyperlink"/>
      <w:u w:val="single"/>
    </w:rPr>
  </w:style>
  <w:style w:type="paragraph" w:styleId="Caption">
    <w:name w:val="caption"/>
    <w:next w:val="BodyText"/>
    <w:link w:val="CaptionChar"/>
    <w:uiPriority w:val="14"/>
    <w:rsid w:val="00B24642"/>
    <w:pPr>
      <w:keepNext/>
      <w:keepLines/>
      <w:spacing w:before="170" w:after="85" w:line="200" w:lineRule="exact"/>
      <w:jc w:val="center"/>
    </w:pPr>
    <w:rPr>
      <w:rFonts w:ascii="Franklin Gothic Demi" w:hAnsi="Franklin Gothic Demi" w:cs="Times New Roman"/>
      <w:bCs/>
      <w:color w:val="000000" w:themeColor="text1"/>
      <w:sz w:val="17"/>
      <w:szCs w:val="18"/>
    </w:rPr>
  </w:style>
  <w:style w:type="character" w:styleId="FollowedHyperlink">
    <w:name w:val="FollowedHyperlink"/>
    <w:basedOn w:val="DefaultParagraphFont"/>
    <w:uiPriority w:val="99"/>
    <w:semiHidden/>
    <w:unhideWhenUsed/>
    <w:rsid w:val="00166DB1"/>
    <w:rPr>
      <w:color w:val="954F72" w:themeColor="followedHyperlink"/>
      <w:u w:val="single"/>
    </w:rPr>
  </w:style>
  <w:style w:type="paragraph" w:styleId="ListParagraph">
    <w:name w:val="List Paragraph"/>
    <w:basedOn w:val="Normal"/>
    <w:uiPriority w:val="34"/>
    <w:qFormat/>
    <w:rsid w:val="000121A1"/>
    <w:pPr>
      <w:ind w:left="720"/>
      <w:contextualSpacing/>
    </w:pPr>
  </w:style>
  <w:style w:type="paragraph" w:customStyle="1" w:styleId="Tablesubheading1">
    <w:name w:val="Table subheading1"/>
    <w:basedOn w:val="TableCopy"/>
    <w:qFormat/>
    <w:rsid w:val="001E4D58"/>
    <w:rPr>
      <w:color w:val="FFFFFF" w:themeColor="background1"/>
    </w:rPr>
  </w:style>
  <w:style w:type="paragraph" w:customStyle="1" w:styleId="Tablesubheading2">
    <w:name w:val="Table subheading2"/>
    <w:basedOn w:val="TableCopy"/>
    <w:qFormat/>
    <w:rsid w:val="001E4D58"/>
    <w:rPr>
      <w:b/>
      <w:i/>
    </w:rPr>
  </w:style>
  <w:style w:type="paragraph" w:customStyle="1" w:styleId="ChapterHeading">
    <w:name w:val="Chapter Heading"/>
    <w:basedOn w:val="PartHeading"/>
    <w:qFormat/>
    <w:rsid w:val="0093538D"/>
    <w:pPr>
      <w:keepNext w:val="0"/>
      <w:keepLines w:val="0"/>
      <w:pageBreakBefore w:val="0"/>
      <w:widowControl w:val="0"/>
      <w:spacing w:after="600"/>
    </w:pPr>
  </w:style>
  <w:style w:type="character" w:customStyle="1" w:styleId="Captionnotbold">
    <w:name w:val="Caption (not bold)"/>
    <w:basedOn w:val="DefaultParagraphFont"/>
    <w:uiPriority w:val="14"/>
    <w:rsid w:val="00B24642"/>
    <w:rPr>
      <w:rFonts w:asciiTheme="majorHAnsi" w:hAnsiTheme="majorHAnsi"/>
      <w:b w:val="0"/>
      <w:color w:val="000000" w:themeColor="text1"/>
    </w:rPr>
  </w:style>
  <w:style w:type="paragraph" w:styleId="TOC4">
    <w:name w:val="toc 4"/>
    <w:next w:val="BodyCopy"/>
    <w:uiPriority w:val="39"/>
    <w:rsid w:val="00B24642"/>
    <w:pPr>
      <w:tabs>
        <w:tab w:val="left" w:pos="1644"/>
        <w:tab w:val="center" w:pos="6804"/>
      </w:tabs>
      <w:spacing w:after="0" w:line="280" w:lineRule="atLeast"/>
      <w:ind w:left="1644" w:right="1021" w:hanging="680"/>
    </w:pPr>
    <w:rPr>
      <w:rFonts w:asciiTheme="majorHAnsi" w:hAnsiTheme="majorHAnsi" w:cs="Times New Roman"/>
      <w:noProof/>
      <w:color w:val="000000" w:themeColor="text1"/>
      <w:spacing w:val="-2"/>
      <w:sz w:val="20"/>
      <w:szCs w:val="20"/>
    </w:rPr>
  </w:style>
  <w:style w:type="table" w:styleId="TableGridLight">
    <w:name w:val="Grid Table Light"/>
    <w:basedOn w:val="TableNormal"/>
    <w:uiPriority w:val="40"/>
    <w:rsid w:val="00AB00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image" Target="media/image2.jpeg"/><Relationship Id="rId39" Type="http://schemas.openxmlformats.org/officeDocument/2006/relationships/header" Target="header20.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eader" Target="header15.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image" Target="media/image1.png"/><Relationship Id="rId33" Type="http://schemas.openxmlformats.org/officeDocument/2006/relationships/chart" Target="charts/chart1.xml"/><Relationship Id="rId38" Type="http://schemas.openxmlformats.org/officeDocument/2006/relationships/header" Target="header19.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5.xml"/><Relationship Id="rId29" Type="http://schemas.openxmlformats.org/officeDocument/2006/relationships/image" Target="media/image3.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header" Target="header14.xml"/><Relationship Id="rId37" Type="http://schemas.openxmlformats.org/officeDocument/2006/relationships/header" Target="header18.xml"/><Relationship Id="rId40" Type="http://schemas.openxmlformats.org/officeDocument/2006/relationships/header" Target="header2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3.xml"/><Relationship Id="rId36" Type="http://schemas.openxmlformats.org/officeDocument/2006/relationships/header" Target="header17.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header" Target="header12.xml"/><Relationship Id="rId30" Type="http://schemas.openxmlformats.org/officeDocument/2006/relationships/image" Target="media/image4.emf"/><Relationship Id="rId35" Type="http://schemas.openxmlformats.org/officeDocument/2006/relationships/header" Target="header16.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MKFILESVR2012\HMA_Corporate_Drive\Jobs\1179%20Pharmacy%20Workforce%20Cost-effectiveness%20Review\Deliverables\Workforce%20Data%20(AIHW)\Jack's%20AIHW%20stuff\AIHW%20data%20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'Indigenous workforce'!$C$43</c:f>
              <c:strCache>
                <c:ptCount val="1"/>
                <c:pt idx="0">
                  <c:v>Non-Indigenous pharmacist FTE</c:v>
                </c:pt>
              </c:strCache>
            </c:strRef>
          </c:tx>
          <c:spPr>
            <a:solidFill>
              <a:schemeClr val="accent1"/>
            </a:solidFill>
            <a:ln>
              <a:noFill/>
            </a:ln>
            <a:effectLst/>
          </c:spPr>
          <c:invertIfNegative val="0"/>
          <c:cat>
            <c:strRef>
              <c:f>'Indigenous workforce'!$B$44:$B$48</c:f>
              <c:strCache>
                <c:ptCount val="5"/>
                <c:pt idx="0">
                  <c:v>Major cities</c:v>
                </c:pt>
                <c:pt idx="1">
                  <c:v>Inner regional</c:v>
                </c:pt>
                <c:pt idx="2">
                  <c:v>Outer regional</c:v>
                </c:pt>
                <c:pt idx="3">
                  <c:v>Remote</c:v>
                </c:pt>
                <c:pt idx="4">
                  <c:v>Very remote</c:v>
                </c:pt>
              </c:strCache>
            </c:strRef>
          </c:cat>
          <c:val>
            <c:numRef>
              <c:f>'Indigenous workforce'!$C$44:$C$48</c:f>
              <c:numCache>
                <c:formatCode>General</c:formatCode>
                <c:ptCount val="5"/>
                <c:pt idx="0">
                  <c:v>76</c:v>
                </c:pt>
                <c:pt idx="1">
                  <c:v>63.5</c:v>
                </c:pt>
                <c:pt idx="2">
                  <c:v>61.6</c:v>
                </c:pt>
                <c:pt idx="3">
                  <c:v>51.5</c:v>
                </c:pt>
                <c:pt idx="4">
                  <c:v>34.200000000000003</c:v>
                </c:pt>
              </c:numCache>
            </c:numRef>
          </c:val>
          <c:extLst>
            <c:ext xmlns:c16="http://schemas.microsoft.com/office/drawing/2014/chart" uri="{C3380CC4-5D6E-409C-BE32-E72D297353CC}">
              <c16:uniqueId val="{00000000-D05F-49FC-8BB1-1578D4966EAB}"/>
            </c:ext>
          </c:extLst>
        </c:ser>
        <c:ser>
          <c:idx val="1"/>
          <c:order val="1"/>
          <c:tx>
            <c:strRef>
              <c:f>'Indigenous workforce'!$D$43</c:f>
              <c:strCache>
                <c:ptCount val="1"/>
                <c:pt idx="0">
                  <c:v>Aboriginal and Torres Strait Islander pharmacist FTE</c:v>
                </c:pt>
              </c:strCache>
            </c:strRef>
          </c:tx>
          <c:spPr>
            <a:solidFill>
              <a:schemeClr val="accent2"/>
            </a:solidFill>
            <a:ln>
              <a:noFill/>
            </a:ln>
            <a:effectLst/>
          </c:spPr>
          <c:invertIfNegative val="0"/>
          <c:cat>
            <c:strRef>
              <c:f>'Indigenous workforce'!$B$44:$B$48</c:f>
              <c:strCache>
                <c:ptCount val="5"/>
                <c:pt idx="0">
                  <c:v>Major cities</c:v>
                </c:pt>
                <c:pt idx="1">
                  <c:v>Inner regional</c:v>
                </c:pt>
                <c:pt idx="2">
                  <c:v>Outer regional</c:v>
                </c:pt>
                <c:pt idx="3">
                  <c:v>Remote</c:v>
                </c:pt>
                <c:pt idx="4">
                  <c:v>Very remote</c:v>
                </c:pt>
              </c:strCache>
            </c:strRef>
          </c:cat>
          <c:val>
            <c:numRef>
              <c:f>'Indigenous workforce'!$D$44:$D$48</c:f>
              <c:numCache>
                <c:formatCode>General</c:formatCode>
                <c:ptCount val="5"/>
                <c:pt idx="0">
                  <c:v>17</c:v>
                </c:pt>
                <c:pt idx="1">
                  <c:v>8.33</c:v>
                </c:pt>
                <c:pt idx="2">
                  <c:v>3.83</c:v>
                </c:pt>
                <c:pt idx="3">
                  <c:v>8.9700000000000006</c:v>
                </c:pt>
                <c:pt idx="4">
                  <c:v>0</c:v>
                </c:pt>
              </c:numCache>
            </c:numRef>
          </c:val>
          <c:extLst>
            <c:ext xmlns:c16="http://schemas.microsoft.com/office/drawing/2014/chart" uri="{C3380CC4-5D6E-409C-BE32-E72D297353CC}">
              <c16:uniqueId val="{00000001-D05F-49FC-8BB1-1578D4966EAB}"/>
            </c:ext>
          </c:extLst>
        </c:ser>
        <c:dLbls>
          <c:showLegendKey val="0"/>
          <c:showVal val="0"/>
          <c:showCatName val="0"/>
          <c:showSerName val="0"/>
          <c:showPercent val="0"/>
          <c:showBubbleSize val="0"/>
        </c:dLbls>
        <c:gapWidth val="219"/>
        <c:overlap val="-27"/>
        <c:axId val="579726536"/>
        <c:axId val="579728496"/>
      </c:barChart>
      <c:catAx>
        <c:axId val="579726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9728496"/>
        <c:crosses val="autoZero"/>
        <c:auto val="1"/>
        <c:lblAlgn val="ctr"/>
        <c:lblOffset val="100"/>
        <c:noMultiLvlLbl val="0"/>
      </c:catAx>
      <c:valAx>
        <c:axId val="579728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9726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Custom 1">
    <a:dk1>
      <a:sysClr val="windowText" lastClr="000000"/>
    </a:dk1>
    <a:lt1>
      <a:sysClr val="window" lastClr="FFFFFF"/>
    </a:lt1>
    <a:dk2>
      <a:srgbClr val="787878"/>
    </a:dk2>
    <a:lt2>
      <a:srgbClr val="FFF200"/>
    </a:lt2>
    <a:accent1>
      <a:srgbClr val="FFF200"/>
    </a:accent1>
    <a:accent2>
      <a:srgbClr val="4B4B4B"/>
    </a:accent2>
    <a:accent3>
      <a:srgbClr val="787878"/>
    </a:accent3>
    <a:accent4>
      <a:srgbClr val="A0A0A0"/>
    </a:accent4>
    <a:accent5>
      <a:srgbClr val="BEBEBE"/>
    </a:accent5>
    <a:accent6>
      <a:srgbClr val="DCDCDC"/>
    </a:accent6>
    <a:hlink>
      <a:srgbClr val="787878"/>
    </a:hlink>
    <a:folHlink>
      <a:srgbClr val="BEBEBE"/>
    </a:folHlink>
  </a:clrScheme>
  <a:fontScheme name="HMA Report">
    <a:majorFont>
      <a:latin typeface="Franklin Gothic Book"/>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3AD8D-4457-4DDE-9C4B-33AFAA16F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24322</Words>
  <Characters>141556</Characters>
  <Application>Microsoft Office Word</Application>
  <DocSecurity>0</DocSecurity>
  <Lines>3452</Lines>
  <Paragraphs>1884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2019-03-29T01:05:00Z</dcterms:created>
  <dcterms:modified xsi:type="dcterms:W3CDTF">2019-04-12T04:03:00Z</dcterms:modified>
</cp:coreProperties>
</file>