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9295C" w14:textId="77777777" w:rsidR="00B56392" w:rsidRDefault="00B56392" w:rsidP="00B56392">
      <w:pPr>
        <w:spacing w:before="360"/>
      </w:pPr>
      <w:bookmarkStart w:id="0" w:name="_Toc374972251"/>
      <w:bookmarkStart w:id="1" w:name="_Toc374972612"/>
      <w:r w:rsidRPr="00A9234C">
        <w:rPr>
          <w:noProof/>
          <w:lang w:eastAsia="en-AU"/>
        </w:rPr>
        <w:drawing>
          <wp:inline distT="0" distB="0" distL="0" distR="0" wp14:anchorId="00803B97" wp14:editId="3442575A">
            <wp:extent cx="4562475" cy="1704975"/>
            <wp:effectExtent l="0" t="0" r="9525" b="9525"/>
            <wp:docPr id="3" name="Picture 287" descr="HealthConsult logo. HealthConsult better thinking, better advice. " title="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1704975"/>
                    </a:xfrm>
                    <a:prstGeom prst="rect">
                      <a:avLst/>
                    </a:prstGeom>
                    <a:noFill/>
                    <a:ln>
                      <a:noFill/>
                    </a:ln>
                  </pic:spPr>
                </pic:pic>
              </a:graphicData>
            </a:graphic>
          </wp:inline>
        </w:drawing>
      </w:r>
    </w:p>
    <w:p w14:paraId="4CC49F0A" w14:textId="77777777" w:rsidR="00B56392" w:rsidRPr="00014AD9" w:rsidRDefault="00B56392" w:rsidP="00B56392">
      <w:pPr>
        <w:spacing w:before="360" w:after="1080"/>
      </w:pPr>
    </w:p>
    <w:p w14:paraId="58257506" w14:textId="77777777" w:rsidR="005F5229" w:rsidRPr="00DE7F63" w:rsidRDefault="005F5229" w:rsidP="005F5229">
      <w:pPr>
        <w:pStyle w:val="TITLEPAGECAPS"/>
        <w:spacing w:before="480" w:after="480"/>
        <w:rPr>
          <w:caps w:val="0"/>
        </w:rPr>
      </w:pPr>
      <w:r w:rsidRPr="00DE7F63">
        <w:rPr>
          <w:caps w:val="0"/>
        </w:rPr>
        <w:t>Commonwealth Department of Health</w:t>
      </w:r>
    </w:p>
    <w:p w14:paraId="30075B65" w14:textId="77777777" w:rsidR="005F5229" w:rsidRPr="00DE7F63" w:rsidRDefault="005F5229" w:rsidP="005F5229">
      <w:pPr>
        <w:pStyle w:val="TITLEPAGECAPS"/>
        <w:spacing w:after="0"/>
        <w:rPr>
          <w:caps w:val="0"/>
          <w:sz w:val="52"/>
          <w:szCs w:val="52"/>
        </w:rPr>
      </w:pPr>
      <w:r w:rsidRPr="00DE7F63">
        <w:rPr>
          <w:caps w:val="0"/>
          <w:sz w:val="52"/>
          <w:szCs w:val="52"/>
        </w:rPr>
        <w:t xml:space="preserve">Sixth Community Pharmacy Agreement Pharmacy Practice Incentive Program: </w:t>
      </w:r>
    </w:p>
    <w:p w14:paraId="254A00F8" w14:textId="417DA841" w:rsidR="005F5229" w:rsidRPr="00DE7F63" w:rsidRDefault="005F5229" w:rsidP="005F5229">
      <w:pPr>
        <w:pStyle w:val="TITLEPAGECAPS"/>
        <w:rPr>
          <w:caps w:val="0"/>
          <w:sz w:val="52"/>
          <w:szCs w:val="52"/>
        </w:rPr>
      </w:pPr>
      <w:r>
        <w:rPr>
          <w:caps w:val="0"/>
          <w:sz w:val="52"/>
          <w:szCs w:val="52"/>
        </w:rPr>
        <w:t>Staged Supply</w:t>
      </w:r>
    </w:p>
    <w:p w14:paraId="2313E451" w14:textId="77777777" w:rsidR="005F5229" w:rsidRPr="00014AD9" w:rsidRDefault="005F5229" w:rsidP="005F5229">
      <w:pPr>
        <w:spacing w:before="360"/>
      </w:pPr>
    </w:p>
    <w:p w14:paraId="79B188AA" w14:textId="26045BA9" w:rsidR="005F5229" w:rsidRDefault="005F5229" w:rsidP="007E22E0">
      <w:pPr>
        <w:pStyle w:val="TitlePageLowercase"/>
      </w:pPr>
      <w:r>
        <w:t>Initial Evaluation</w:t>
      </w:r>
      <w:r w:rsidR="007E22E0">
        <w:t xml:space="preserve"> – Final </w:t>
      </w:r>
    </w:p>
    <w:p w14:paraId="464E20AE" w14:textId="77777777" w:rsidR="00B56392" w:rsidRPr="00014AD9" w:rsidRDefault="00B56392" w:rsidP="00B56392">
      <w:pPr>
        <w:spacing w:before="2880"/>
        <w:rPr>
          <w:highlight w:val="yellow"/>
        </w:rPr>
      </w:pPr>
    </w:p>
    <w:p w14:paraId="4F288688" w14:textId="66A42DCB" w:rsidR="00853838" w:rsidRDefault="00542F4A" w:rsidP="00B56392">
      <w:pPr>
        <w:pStyle w:val="TitlePageLowercase"/>
        <w:sectPr w:rsidR="00853838" w:rsidSect="007E7B3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701" w:left="1701" w:header="680" w:footer="1021" w:gutter="0"/>
          <w:cols w:space="708"/>
          <w:docGrid w:linePitch="360"/>
        </w:sectPr>
      </w:pPr>
      <w:r>
        <w:t>1</w:t>
      </w:r>
      <w:r w:rsidR="008420DD">
        <w:t>7</w:t>
      </w:r>
      <w:r w:rsidR="008420DD" w:rsidRPr="008420DD">
        <w:rPr>
          <w:vertAlign w:val="superscript"/>
        </w:rPr>
        <w:t>th</w:t>
      </w:r>
      <w:r w:rsidR="008420DD">
        <w:t xml:space="preserve"> </w:t>
      </w:r>
      <w:r>
        <w:t xml:space="preserve">November </w:t>
      </w:r>
      <w:r w:rsidR="00B56392" w:rsidRPr="00E67AC6">
        <w:t>2016</w:t>
      </w:r>
    </w:p>
    <w:sdt>
      <w:sdtPr>
        <w:rPr>
          <w:rFonts w:ascii="Times New Roman" w:eastAsiaTheme="minorHAnsi" w:hAnsi="Times New Roman" w:cstheme="minorBidi"/>
          <w:b w:val="0"/>
          <w:sz w:val="24"/>
          <w:szCs w:val="22"/>
          <w:lang w:val="en-AU"/>
        </w:rPr>
        <w:id w:val="-677731107"/>
        <w:docPartObj>
          <w:docPartGallery w:val="Table of Contents"/>
          <w:docPartUnique/>
        </w:docPartObj>
      </w:sdtPr>
      <w:sdtEndPr>
        <w:rPr>
          <w:bCs/>
          <w:noProof/>
        </w:rPr>
      </w:sdtEndPr>
      <w:sdtContent>
        <w:p w14:paraId="70E6BCF4" w14:textId="77777777" w:rsidR="00BB667B" w:rsidRPr="009F5B47" w:rsidRDefault="00BB667B" w:rsidP="001F2E1D">
          <w:pPr>
            <w:pStyle w:val="TOCHeading"/>
            <w:rPr>
              <w:b w:val="0"/>
            </w:rPr>
          </w:pPr>
          <w:r w:rsidRPr="009F5B47">
            <w:t>Table of Contents</w:t>
          </w:r>
        </w:p>
        <w:p w14:paraId="0A07BDBE" w14:textId="18DCFCA5" w:rsidR="00E62468" w:rsidRDefault="006B7BC7">
          <w:pPr>
            <w:pStyle w:val="TOC1"/>
            <w:rPr>
              <w:rFonts w:asciiTheme="minorHAnsi" w:eastAsiaTheme="minorEastAsia" w:hAnsiTheme="minorHAnsi"/>
              <w:b w:val="0"/>
              <w:bCs w:val="0"/>
              <w:caps w:val="0"/>
              <w:noProof/>
              <w:lang w:eastAsia="en-AU"/>
            </w:rPr>
          </w:pPr>
          <w:r>
            <w:fldChar w:fldCharType="begin"/>
          </w:r>
          <w:r>
            <w:instrText xml:space="preserve"> TOC \o "1-3" \h \z \t "Heading 7,1,Heading 8,2,Heading 9,3,ES Heading 1,1,ES Heading 2,2" </w:instrText>
          </w:r>
          <w:r>
            <w:fldChar w:fldCharType="separate"/>
          </w:r>
          <w:hyperlink w:anchor="_Toc523236186" w:history="1">
            <w:r w:rsidR="00E62468" w:rsidRPr="001A2DF9">
              <w:rPr>
                <w:rStyle w:val="Hyperlink"/>
                <w:noProof/>
              </w:rPr>
              <w:t>Executive summary</w:t>
            </w:r>
            <w:r w:rsidR="00E62468">
              <w:rPr>
                <w:noProof/>
                <w:webHidden/>
              </w:rPr>
              <w:tab/>
            </w:r>
            <w:r w:rsidR="00E62468">
              <w:rPr>
                <w:noProof/>
                <w:webHidden/>
              </w:rPr>
              <w:fldChar w:fldCharType="begin"/>
            </w:r>
            <w:r w:rsidR="00E62468">
              <w:rPr>
                <w:noProof/>
                <w:webHidden/>
              </w:rPr>
              <w:instrText xml:space="preserve"> PAGEREF _Toc523236186 \h </w:instrText>
            </w:r>
            <w:r w:rsidR="00E62468">
              <w:rPr>
                <w:noProof/>
                <w:webHidden/>
              </w:rPr>
            </w:r>
            <w:r w:rsidR="00E62468">
              <w:rPr>
                <w:noProof/>
                <w:webHidden/>
              </w:rPr>
              <w:fldChar w:fldCharType="separate"/>
            </w:r>
            <w:r w:rsidR="00E62468">
              <w:rPr>
                <w:noProof/>
                <w:webHidden/>
              </w:rPr>
              <w:t>1</w:t>
            </w:r>
            <w:r w:rsidR="00E62468">
              <w:rPr>
                <w:noProof/>
                <w:webHidden/>
              </w:rPr>
              <w:fldChar w:fldCharType="end"/>
            </w:r>
          </w:hyperlink>
        </w:p>
        <w:p w14:paraId="6606DD37" w14:textId="6A2AFCFE" w:rsidR="00E62468" w:rsidRDefault="00FC0578">
          <w:pPr>
            <w:pStyle w:val="TOC2"/>
            <w:tabs>
              <w:tab w:val="right" w:pos="9628"/>
            </w:tabs>
            <w:rPr>
              <w:rFonts w:asciiTheme="minorHAnsi" w:eastAsiaTheme="minorEastAsia" w:hAnsiTheme="minorHAnsi"/>
              <w:bCs w:val="0"/>
              <w:smallCaps w:val="0"/>
              <w:noProof/>
              <w:lang w:eastAsia="en-AU"/>
            </w:rPr>
          </w:pPr>
          <w:hyperlink w:anchor="_Toc523236187" w:history="1">
            <w:r w:rsidR="00E62468" w:rsidRPr="001A2DF9">
              <w:rPr>
                <w:rStyle w:val="Hyperlink"/>
                <w:noProof/>
              </w:rPr>
              <w:t>Background</w:t>
            </w:r>
            <w:r w:rsidR="00E62468">
              <w:rPr>
                <w:noProof/>
                <w:webHidden/>
              </w:rPr>
              <w:tab/>
            </w:r>
            <w:r w:rsidR="00E62468">
              <w:rPr>
                <w:noProof/>
                <w:webHidden/>
              </w:rPr>
              <w:fldChar w:fldCharType="begin"/>
            </w:r>
            <w:r w:rsidR="00E62468">
              <w:rPr>
                <w:noProof/>
                <w:webHidden/>
              </w:rPr>
              <w:instrText xml:space="preserve"> PAGEREF _Toc523236187 \h </w:instrText>
            </w:r>
            <w:r w:rsidR="00E62468">
              <w:rPr>
                <w:noProof/>
                <w:webHidden/>
              </w:rPr>
            </w:r>
            <w:r w:rsidR="00E62468">
              <w:rPr>
                <w:noProof/>
                <w:webHidden/>
              </w:rPr>
              <w:fldChar w:fldCharType="separate"/>
            </w:r>
            <w:r w:rsidR="00E62468">
              <w:rPr>
                <w:noProof/>
                <w:webHidden/>
              </w:rPr>
              <w:t>1</w:t>
            </w:r>
            <w:r w:rsidR="00E62468">
              <w:rPr>
                <w:noProof/>
                <w:webHidden/>
              </w:rPr>
              <w:fldChar w:fldCharType="end"/>
            </w:r>
          </w:hyperlink>
        </w:p>
        <w:p w14:paraId="306173DA" w14:textId="32CC4C05" w:rsidR="00E62468" w:rsidRDefault="00FC0578">
          <w:pPr>
            <w:pStyle w:val="TOC2"/>
            <w:tabs>
              <w:tab w:val="right" w:pos="9628"/>
            </w:tabs>
            <w:rPr>
              <w:rFonts w:asciiTheme="minorHAnsi" w:eastAsiaTheme="minorEastAsia" w:hAnsiTheme="minorHAnsi"/>
              <w:bCs w:val="0"/>
              <w:smallCaps w:val="0"/>
              <w:noProof/>
              <w:lang w:eastAsia="en-AU"/>
            </w:rPr>
          </w:pPr>
          <w:hyperlink w:anchor="_Toc523236188" w:history="1">
            <w:r w:rsidR="00E62468" w:rsidRPr="001A2DF9">
              <w:rPr>
                <w:rStyle w:val="Hyperlink"/>
                <w:noProof/>
              </w:rPr>
              <w:t>Methodology</w:t>
            </w:r>
            <w:r w:rsidR="00E62468">
              <w:rPr>
                <w:noProof/>
                <w:webHidden/>
              </w:rPr>
              <w:tab/>
            </w:r>
            <w:r w:rsidR="00E62468">
              <w:rPr>
                <w:noProof/>
                <w:webHidden/>
              </w:rPr>
              <w:fldChar w:fldCharType="begin"/>
            </w:r>
            <w:r w:rsidR="00E62468">
              <w:rPr>
                <w:noProof/>
                <w:webHidden/>
              </w:rPr>
              <w:instrText xml:space="preserve"> PAGEREF _Toc523236188 \h </w:instrText>
            </w:r>
            <w:r w:rsidR="00E62468">
              <w:rPr>
                <w:noProof/>
                <w:webHidden/>
              </w:rPr>
            </w:r>
            <w:r w:rsidR="00E62468">
              <w:rPr>
                <w:noProof/>
                <w:webHidden/>
              </w:rPr>
              <w:fldChar w:fldCharType="separate"/>
            </w:r>
            <w:r w:rsidR="00E62468">
              <w:rPr>
                <w:noProof/>
                <w:webHidden/>
              </w:rPr>
              <w:t>1</w:t>
            </w:r>
            <w:r w:rsidR="00E62468">
              <w:rPr>
                <w:noProof/>
                <w:webHidden/>
              </w:rPr>
              <w:fldChar w:fldCharType="end"/>
            </w:r>
          </w:hyperlink>
        </w:p>
        <w:p w14:paraId="25A6491D" w14:textId="53965ADF" w:rsidR="00E62468" w:rsidRDefault="00FC0578">
          <w:pPr>
            <w:pStyle w:val="TOC2"/>
            <w:tabs>
              <w:tab w:val="right" w:pos="9628"/>
            </w:tabs>
            <w:rPr>
              <w:rFonts w:asciiTheme="minorHAnsi" w:eastAsiaTheme="minorEastAsia" w:hAnsiTheme="minorHAnsi"/>
              <w:bCs w:val="0"/>
              <w:smallCaps w:val="0"/>
              <w:noProof/>
              <w:lang w:eastAsia="en-AU"/>
            </w:rPr>
          </w:pPr>
          <w:hyperlink w:anchor="_Toc523236189" w:history="1">
            <w:r w:rsidR="00E62468" w:rsidRPr="001A2DF9">
              <w:rPr>
                <w:rStyle w:val="Hyperlink"/>
                <w:noProof/>
              </w:rPr>
              <w:t>Results of the literature review</w:t>
            </w:r>
            <w:r w:rsidR="00E62468">
              <w:rPr>
                <w:noProof/>
                <w:webHidden/>
              </w:rPr>
              <w:tab/>
            </w:r>
            <w:r w:rsidR="00E62468">
              <w:rPr>
                <w:noProof/>
                <w:webHidden/>
              </w:rPr>
              <w:fldChar w:fldCharType="begin"/>
            </w:r>
            <w:r w:rsidR="00E62468">
              <w:rPr>
                <w:noProof/>
                <w:webHidden/>
              </w:rPr>
              <w:instrText xml:space="preserve"> PAGEREF _Toc523236189 \h </w:instrText>
            </w:r>
            <w:r w:rsidR="00E62468">
              <w:rPr>
                <w:noProof/>
                <w:webHidden/>
              </w:rPr>
            </w:r>
            <w:r w:rsidR="00E62468">
              <w:rPr>
                <w:noProof/>
                <w:webHidden/>
              </w:rPr>
              <w:fldChar w:fldCharType="separate"/>
            </w:r>
            <w:r w:rsidR="00E62468">
              <w:rPr>
                <w:noProof/>
                <w:webHidden/>
              </w:rPr>
              <w:t>3</w:t>
            </w:r>
            <w:r w:rsidR="00E62468">
              <w:rPr>
                <w:noProof/>
                <w:webHidden/>
              </w:rPr>
              <w:fldChar w:fldCharType="end"/>
            </w:r>
          </w:hyperlink>
        </w:p>
        <w:p w14:paraId="774FABFB" w14:textId="3A3744DF" w:rsidR="00E62468" w:rsidRDefault="00FC0578">
          <w:pPr>
            <w:pStyle w:val="TOC2"/>
            <w:tabs>
              <w:tab w:val="right" w:pos="9628"/>
            </w:tabs>
            <w:rPr>
              <w:rFonts w:asciiTheme="minorHAnsi" w:eastAsiaTheme="minorEastAsia" w:hAnsiTheme="minorHAnsi"/>
              <w:bCs w:val="0"/>
              <w:smallCaps w:val="0"/>
              <w:noProof/>
              <w:lang w:eastAsia="en-AU"/>
            </w:rPr>
          </w:pPr>
          <w:hyperlink w:anchor="_Toc523236190" w:history="1">
            <w:r w:rsidR="00E62468" w:rsidRPr="001A2DF9">
              <w:rPr>
                <w:rStyle w:val="Hyperlink"/>
                <w:noProof/>
              </w:rPr>
              <w:t>Results of the utilisation analysis</w:t>
            </w:r>
            <w:r w:rsidR="00E62468">
              <w:rPr>
                <w:noProof/>
                <w:webHidden/>
              </w:rPr>
              <w:tab/>
            </w:r>
            <w:r w:rsidR="00E62468">
              <w:rPr>
                <w:noProof/>
                <w:webHidden/>
              </w:rPr>
              <w:fldChar w:fldCharType="begin"/>
            </w:r>
            <w:r w:rsidR="00E62468">
              <w:rPr>
                <w:noProof/>
                <w:webHidden/>
              </w:rPr>
              <w:instrText xml:space="preserve"> PAGEREF _Toc523236190 \h </w:instrText>
            </w:r>
            <w:r w:rsidR="00E62468">
              <w:rPr>
                <w:noProof/>
                <w:webHidden/>
              </w:rPr>
            </w:r>
            <w:r w:rsidR="00E62468">
              <w:rPr>
                <w:noProof/>
                <w:webHidden/>
              </w:rPr>
              <w:fldChar w:fldCharType="separate"/>
            </w:r>
            <w:r w:rsidR="00E62468">
              <w:rPr>
                <w:noProof/>
                <w:webHidden/>
              </w:rPr>
              <w:t>3</w:t>
            </w:r>
            <w:r w:rsidR="00E62468">
              <w:rPr>
                <w:noProof/>
                <w:webHidden/>
              </w:rPr>
              <w:fldChar w:fldCharType="end"/>
            </w:r>
          </w:hyperlink>
        </w:p>
        <w:p w14:paraId="4685C334" w14:textId="5577E19A" w:rsidR="00E62468" w:rsidRDefault="00FC0578">
          <w:pPr>
            <w:pStyle w:val="TOC2"/>
            <w:tabs>
              <w:tab w:val="right" w:pos="9628"/>
            </w:tabs>
            <w:rPr>
              <w:rFonts w:asciiTheme="minorHAnsi" w:eastAsiaTheme="minorEastAsia" w:hAnsiTheme="minorHAnsi"/>
              <w:bCs w:val="0"/>
              <w:smallCaps w:val="0"/>
              <w:noProof/>
              <w:lang w:eastAsia="en-AU"/>
            </w:rPr>
          </w:pPr>
          <w:hyperlink w:anchor="_Toc523236191" w:history="1">
            <w:r w:rsidR="00E62468" w:rsidRPr="001A2DF9">
              <w:rPr>
                <w:rStyle w:val="Hyperlink"/>
                <w:noProof/>
              </w:rPr>
              <w:t>Conclusions</w:t>
            </w:r>
            <w:r w:rsidR="00E62468">
              <w:rPr>
                <w:noProof/>
                <w:webHidden/>
              </w:rPr>
              <w:tab/>
            </w:r>
            <w:r w:rsidR="00E62468">
              <w:rPr>
                <w:noProof/>
                <w:webHidden/>
              </w:rPr>
              <w:fldChar w:fldCharType="begin"/>
            </w:r>
            <w:r w:rsidR="00E62468">
              <w:rPr>
                <w:noProof/>
                <w:webHidden/>
              </w:rPr>
              <w:instrText xml:space="preserve"> PAGEREF _Toc523236191 \h </w:instrText>
            </w:r>
            <w:r w:rsidR="00E62468">
              <w:rPr>
                <w:noProof/>
                <w:webHidden/>
              </w:rPr>
            </w:r>
            <w:r w:rsidR="00E62468">
              <w:rPr>
                <w:noProof/>
                <w:webHidden/>
              </w:rPr>
              <w:fldChar w:fldCharType="separate"/>
            </w:r>
            <w:r w:rsidR="00E62468">
              <w:rPr>
                <w:noProof/>
                <w:webHidden/>
              </w:rPr>
              <w:t>4</w:t>
            </w:r>
            <w:r w:rsidR="00E62468">
              <w:rPr>
                <w:noProof/>
                <w:webHidden/>
              </w:rPr>
              <w:fldChar w:fldCharType="end"/>
            </w:r>
          </w:hyperlink>
        </w:p>
        <w:p w14:paraId="149E8805" w14:textId="36D3CD40" w:rsidR="00E62468" w:rsidRDefault="00FC0578">
          <w:pPr>
            <w:pStyle w:val="TOC1"/>
            <w:rPr>
              <w:rFonts w:asciiTheme="minorHAnsi" w:eastAsiaTheme="minorEastAsia" w:hAnsiTheme="minorHAnsi"/>
              <w:b w:val="0"/>
              <w:bCs w:val="0"/>
              <w:caps w:val="0"/>
              <w:noProof/>
              <w:lang w:eastAsia="en-AU"/>
            </w:rPr>
          </w:pPr>
          <w:hyperlink w:anchor="_Toc523236192" w:history="1">
            <w:r w:rsidR="00E62468" w:rsidRPr="001A2DF9">
              <w:rPr>
                <w:rStyle w:val="Hyperlink"/>
                <w:noProof/>
              </w:rPr>
              <w:t>1</w:t>
            </w:r>
            <w:r w:rsidR="00E62468">
              <w:rPr>
                <w:rFonts w:asciiTheme="minorHAnsi" w:eastAsiaTheme="minorEastAsia" w:hAnsiTheme="minorHAnsi"/>
                <w:b w:val="0"/>
                <w:bCs w:val="0"/>
                <w:caps w:val="0"/>
                <w:noProof/>
                <w:lang w:eastAsia="en-AU"/>
              </w:rPr>
              <w:tab/>
            </w:r>
            <w:r w:rsidR="00E62468" w:rsidRPr="001A2DF9">
              <w:rPr>
                <w:rStyle w:val="Hyperlink"/>
                <w:noProof/>
              </w:rPr>
              <w:t>Introduction</w:t>
            </w:r>
            <w:r w:rsidR="00E62468">
              <w:rPr>
                <w:noProof/>
                <w:webHidden/>
              </w:rPr>
              <w:tab/>
            </w:r>
            <w:r w:rsidR="00E62468">
              <w:rPr>
                <w:noProof/>
                <w:webHidden/>
              </w:rPr>
              <w:fldChar w:fldCharType="begin"/>
            </w:r>
            <w:r w:rsidR="00E62468">
              <w:rPr>
                <w:noProof/>
                <w:webHidden/>
              </w:rPr>
              <w:instrText xml:space="preserve"> PAGEREF _Toc523236192 \h </w:instrText>
            </w:r>
            <w:r w:rsidR="00E62468">
              <w:rPr>
                <w:noProof/>
                <w:webHidden/>
              </w:rPr>
            </w:r>
            <w:r w:rsidR="00E62468">
              <w:rPr>
                <w:noProof/>
                <w:webHidden/>
              </w:rPr>
              <w:fldChar w:fldCharType="separate"/>
            </w:r>
            <w:r w:rsidR="00E62468">
              <w:rPr>
                <w:noProof/>
                <w:webHidden/>
              </w:rPr>
              <w:t>5</w:t>
            </w:r>
            <w:r w:rsidR="00E62468">
              <w:rPr>
                <w:noProof/>
                <w:webHidden/>
              </w:rPr>
              <w:fldChar w:fldCharType="end"/>
            </w:r>
          </w:hyperlink>
        </w:p>
        <w:p w14:paraId="20D4F166" w14:textId="0C206F51" w:rsidR="00E62468" w:rsidRDefault="00FC0578">
          <w:pPr>
            <w:pStyle w:val="TOC2"/>
            <w:tabs>
              <w:tab w:val="right" w:pos="9628"/>
            </w:tabs>
            <w:rPr>
              <w:rFonts w:asciiTheme="minorHAnsi" w:eastAsiaTheme="minorEastAsia" w:hAnsiTheme="minorHAnsi"/>
              <w:bCs w:val="0"/>
              <w:smallCaps w:val="0"/>
              <w:noProof/>
              <w:lang w:eastAsia="en-AU"/>
            </w:rPr>
          </w:pPr>
          <w:hyperlink w:anchor="_Toc523236193" w:history="1">
            <w:r w:rsidR="00E62468" w:rsidRPr="001A2DF9">
              <w:rPr>
                <w:rStyle w:val="Hyperlink"/>
                <w:noProof/>
              </w:rPr>
              <w:t>1.1</w:t>
            </w:r>
            <w:r w:rsidR="00E62468">
              <w:rPr>
                <w:rFonts w:asciiTheme="minorHAnsi" w:eastAsiaTheme="minorEastAsia" w:hAnsiTheme="minorHAnsi"/>
                <w:bCs w:val="0"/>
                <w:smallCaps w:val="0"/>
                <w:noProof/>
                <w:lang w:eastAsia="en-AU"/>
              </w:rPr>
              <w:tab/>
            </w:r>
            <w:r w:rsidR="00E62468" w:rsidRPr="001A2DF9">
              <w:rPr>
                <w:rStyle w:val="Hyperlink"/>
                <w:noProof/>
              </w:rPr>
              <w:t>Sixth Community Pharmacy Agreement</w:t>
            </w:r>
            <w:r w:rsidR="00E62468">
              <w:rPr>
                <w:noProof/>
                <w:webHidden/>
              </w:rPr>
              <w:tab/>
            </w:r>
            <w:r w:rsidR="00E62468">
              <w:rPr>
                <w:noProof/>
                <w:webHidden/>
              </w:rPr>
              <w:fldChar w:fldCharType="begin"/>
            </w:r>
            <w:r w:rsidR="00E62468">
              <w:rPr>
                <w:noProof/>
                <w:webHidden/>
              </w:rPr>
              <w:instrText xml:space="preserve"> PAGEREF _Toc523236193 \h </w:instrText>
            </w:r>
            <w:r w:rsidR="00E62468">
              <w:rPr>
                <w:noProof/>
                <w:webHidden/>
              </w:rPr>
            </w:r>
            <w:r w:rsidR="00E62468">
              <w:rPr>
                <w:noProof/>
                <w:webHidden/>
              </w:rPr>
              <w:fldChar w:fldCharType="separate"/>
            </w:r>
            <w:r w:rsidR="00E62468">
              <w:rPr>
                <w:noProof/>
                <w:webHidden/>
              </w:rPr>
              <w:t>5</w:t>
            </w:r>
            <w:r w:rsidR="00E62468">
              <w:rPr>
                <w:noProof/>
                <w:webHidden/>
              </w:rPr>
              <w:fldChar w:fldCharType="end"/>
            </w:r>
          </w:hyperlink>
        </w:p>
        <w:p w14:paraId="243D97C5" w14:textId="36F4CFD3" w:rsidR="00E62468" w:rsidRDefault="00FC0578">
          <w:pPr>
            <w:pStyle w:val="TOC2"/>
            <w:tabs>
              <w:tab w:val="right" w:pos="9628"/>
            </w:tabs>
            <w:rPr>
              <w:rFonts w:asciiTheme="minorHAnsi" w:eastAsiaTheme="minorEastAsia" w:hAnsiTheme="minorHAnsi"/>
              <w:bCs w:val="0"/>
              <w:smallCaps w:val="0"/>
              <w:noProof/>
              <w:lang w:eastAsia="en-AU"/>
            </w:rPr>
          </w:pPr>
          <w:hyperlink w:anchor="_Toc523236194" w:history="1">
            <w:r w:rsidR="00E62468" w:rsidRPr="001A2DF9">
              <w:rPr>
                <w:rStyle w:val="Hyperlink"/>
                <w:noProof/>
              </w:rPr>
              <w:t>1.2</w:t>
            </w:r>
            <w:r w:rsidR="00E62468">
              <w:rPr>
                <w:rFonts w:asciiTheme="minorHAnsi" w:eastAsiaTheme="minorEastAsia" w:hAnsiTheme="minorHAnsi"/>
                <w:bCs w:val="0"/>
                <w:smallCaps w:val="0"/>
                <w:noProof/>
                <w:lang w:eastAsia="en-AU"/>
              </w:rPr>
              <w:tab/>
            </w:r>
            <w:r w:rsidR="00E62468" w:rsidRPr="001A2DF9">
              <w:rPr>
                <w:rStyle w:val="Hyperlink"/>
                <w:noProof/>
              </w:rPr>
              <w:t>Pharmacy Practice Incentives Program</w:t>
            </w:r>
            <w:r w:rsidR="00E62468">
              <w:rPr>
                <w:noProof/>
                <w:webHidden/>
              </w:rPr>
              <w:tab/>
            </w:r>
            <w:r w:rsidR="00E62468">
              <w:rPr>
                <w:noProof/>
                <w:webHidden/>
              </w:rPr>
              <w:fldChar w:fldCharType="begin"/>
            </w:r>
            <w:r w:rsidR="00E62468">
              <w:rPr>
                <w:noProof/>
                <w:webHidden/>
              </w:rPr>
              <w:instrText xml:space="preserve"> PAGEREF _Toc523236194 \h </w:instrText>
            </w:r>
            <w:r w:rsidR="00E62468">
              <w:rPr>
                <w:noProof/>
                <w:webHidden/>
              </w:rPr>
            </w:r>
            <w:r w:rsidR="00E62468">
              <w:rPr>
                <w:noProof/>
                <w:webHidden/>
              </w:rPr>
              <w:fldChar w:fldCharType="separate"/>
            </w:r>
            <w:r w:rsidR="00E62468">
              <w:rPr>
                <w:noProof/>
                <w:webHidden/>
              </w:rPr>
              <w:t>5</w:t>
            </w:r>
            <w:r w:rsidR="00E62468">
              <w:rPr>
                <w:noProof/>
                <w:webHidden/>
              </w:rPr>
              <w:fldChar w:fldCharType="end"/>
            </w:r>
          </w:hyperlink>
        </w:p>
        <w:p w14:paraId="69F41F81" w14:textId="3821ECE5" w:rsidR="00E62468" w:rsidRDefault="00FC0578">
          <w:pPr>
            <w:pStyle w:val="TOC1"/>
            <w:rPr>
              <w:rFonts w:asciiTheme="minorHAnsi" w:eastAsiaTheme="minorEastAsia" w:hAnsiTheme="minorHAnsi"/>
              <w:b w:val="0"/>
              <w:bCs w:val="0"/>
              <w:caps w:val="0"/>
              <w:noProof/>
              <w:lang w:eastAsia="en-AU"/>
            </w:rPr>
          </w:pPr>
          <w:hyperlink w:anchor="_Toc523236195" w:history="1">
            <w:r w:rsidR="00E62468" w:rsidRPr="001A2DF9">
              <w:rPr>
                <w:rStyle w:val="Hyperlink"/>
                <w:noProof/>
              </w:rPr>
              <w:t>2</w:t>
            </w:r>
            <w:r w:rsidR="00E62468">
              <w:rPr>
                <w:rFonts w:asciiTheme="minorHAnsi" w:eastAsiaTheme="minorEastAsia" w:hAnsiTheme="minorHAnsi"/>
                <w:b w:val="0"/>
                <w:bCs w:val="0"/>
                <w:caps w:val="0"/>
                <w:noProof/>
                <w:lang w:eastAsia="en-AU"/>
              </w:rPr>
              <w:tab/>
            </w:r>
            <w:r w:rsidR="00E62468" w:rsidRPr="001A2DF9">
              <w:rPr>
                <w:rStyle w:val="Hyperlink"/>
                <w:noProof/>
              </w:rPr>
              <w:t>Staged Supply</w:t>
            </w:r>
            <w:r w:rsidR="00E62468">
              <w:rPr>
                <w:noProof/>
                <w:webHidden/>
              </w:rPr>
              <w:tab/>
            </w:r>
            <w:r w:rsidR="00E62468">
              <w:rPr>
                <w:noProof/>
                <w:webHidden/>
              </w:rPr>
              <w:fldChar w:fldCharType="begin"/>
            </w:r>
            <w:r w:rsidR="00E62468">
              <w:rPr>
                <w:noProof/>
                <w:webHidden/>
              </w:rPr>
              <w:instrText xml:space="preserve"> PAGEREF _Toc523236195 \h </w:instrText>
            </w:r>
            <w:r w:rsidR="00E62468">
              <w:rPr>
                <w:noProof/>
                <w:webHidden/>
              </w:rPr>
            </w:r>
            <w:r w:rsidR="00E62468">
              <w:rPr>
                <w:noProof/>
                <w:webHidden/>
              </w:rPr>
              <w:fldChar w:fldCharType="separate"/>
            </w:r>
            <w:r w:rsidR="00E62468">
              <w:rPr>
                <w:noProof/>
                <w:webHidden/>
              </w:rPr>
              <w:t>7</w:t>
            </w:r>
            <w:r w:rsidR="00E62468">
              <w:rPr>
                <w:noProof/>
                <w:webHidden/>
              </w:rPr>
              <w:fldChar w:fldCharType="end"/>
            </w:r>
          </w:hyperlink>
        </w:p>
        <w:p w14:paraId="556987E1" w14:textId="501D84B5" w:rsidR="00E62468" w:rsidRDefault="00FC0578">
          <w:pPr>
            <w:pStyle w:val="TOC2"/>
            <w:tabs>
              <w:tab w:val="right" w:pos="9628"/>
            </w:tabs>
            <w:rPr>
              <w:rFonts w:asciiTheme="minorHAnsi" w:eastAsiaTheme="minorEastAsia" w:hAnsiTheme="minorHAnsi"/>
              <w:bCs w:val="0"/>
              <w:smallCaps w:val="0"/>
              <w:noProof/>
              <w:lang w:eastAsia="en-AU"/>
            </w:rPr>
          </w:pPr>
          <w:hyperlink w:anchor="_Toc523236196" w:history="1">
            <w:r w:rsidR="00E62468" w:rsidRPr="001A2DF9">
              <w:rPr>
                <w:rStyle w:val="Hyperlink"/>
                <w:noProof/>
              </w:rPr>
              <w:t>2.1</w:t>
            </w:r>
            <w:r w:rsidR="00E62468">
              <w:rPr>
                <w:rFonts w:asciiTheme="minorHAnsi" w:eastAsiaTheme="minorEastAsia" w:hAnsiTheme="minorHAnsi"/>
                <w:bCs w:val="0"/>
                <w:smallCaps w:val="0"/>
                <w:noProof/>
                <w:lang w:eastAsia="en-AU"/>
              </w:rPr>
              <w:tab/>
            </w:r>
            <w:r w:rsidR="00E62468" w:rsidRPr="001A2DF9">
              <w:rPr>
                <w:rStyle w:val="Hyperlink"/>
                <w:noProof/>
              </w:rPr>
              <w:t>Background</w:t>
            </w:r>
            <w:r w:rsidR="00E62468">
              <w:rPr>
                <w:noProof/>
                <w:webHidden/>
              </w:rPr>
              <w:tab/>
            </w:r>
            <w:r w:rsidR="00E62468">
              <w:rPr>
                <w:noProof/>
                <w:webHidden/>
              </w:rPr>
              <w:fldChar w:fldCharType="begin"/>
            </w:r>
            <w:r w:rsidR="00E62468">
              <w:rPr>
                <w:noProof/>
                <w:webHidden/>
              </w:rPr>
              <w:instrText xml:space="preserve"> PAGEREF _Toc523236196 \h </w:instrText>
            </w:r>
            <w:r w:rsidR="00E62468">
              <w:rPr>
                <w:noProof/>
                <w:webHidden/>
              </w:rPr>
            </w:r>
            <w:r w:rsidR="00E62468">
              <w:rPr>
                <w:noProof/>
                <w:webHidden/>
              </w:rPr>
              <w:fldChar w:fldCharType="separate"/>
            </w:r>
            <w:r w:rsidR="00E62468">
              <w:rPr>
                <w:noProof/>
                <w:webHidden/>
              </w:rPr>
              <w:t>7</w:t>
            </w:r>
            <w:r w:rsidR="00E62468">
              <w:rPr>
                <w:noProof/>
                <w:webHidden/>
              </w:rPr>
              <w:fldChar w:fldCharType="end"/>
            </w:r>
          </w:hyperlink>
        </w:p>
        <w:p w14:paraId="4C8EB1C8" w14:textId="4FBAA0A6" w:rsidR="00E62468" w:rsidRDefault="00FC0578">
          <w:pPr>
            <w:pStyle w:val="TOC2"/>
            <w:tabs>
              <w:tab w:val="right" w:pos="9628"/>
            </w:tabs>
            <w:rPr>
              <w:rFonts w:asciiTheme="minorHAnsi" w:eastAsiaTheme="minorEastAsia" w:hAnsiTheme="minorHAnsi"/>
              <w:bCs w:val="0"/>
              <w:smallCaps w:val="0"/>
              <w:noProof/>
              <w:lang w:eastAsia="en-AU"/>
            </w:rPr>
          </w:pPr>
          <w:hyperlink w:anchor="_Toc523236197" w:history="1">
            <w:r w:rsidR="00E62468" w:rsidRPr="001A2DF9">
              <w:rPr>
                <w:rStyle w:val="Hyperlink"/>
                <w:noProof/>
              </w:rPr>
              <w:t>2.2</w:t>
            </w:r>
            <w:r w:rsidR="00E62468">
              <w:rPr>
                <w:rFonts w:asciiTheme="minorHAnsi" w:eastAsiaTheme="minorEastAsia" w:hAnsiTheme="minorHAnsi"/>
                <w:bCs w:val="0"/>
                <w:smallCaps w:val="0"/>
                <w:noProof/>
                <w:lang w:eastAsia="en-AU"/>
              </w:rPr>
              <w:tab/>
            </w:r>
            <w:r w:rsidR="00E62468" w:rsidRPr="001A2DF9">
              <w:rPr>
                <w:rStyle w:val="Hyperlink"/>
                <w:noProof/>
              </w:rPr>
              <w:t>Objectives of the SS initiative</w:t>
            </w:r>
            <w:r w:rsidR="00E62468">
              <w:rPr>
                <w:noProof/>
                <w:webHidden/>
              </w:rPr>
              <w:tab/>
            </w:r>
            <w:r w:rsidR="00E62468">
              <w:rPr>
                <w:noProof/>
                <w:webHidden/>
              </w:rPr>
              <w:fldChar w:fldCharType="begin"/>
            </w:r>
            <w:r w:rsidR="00E62468">
              <w:rPr>
                <w:noProof/>
                <w:webHidden/>
              </w:rPr>
              <w:instrText xml:space="preserve"> PAGEREF _Toc523236197 \h </w:instrText>
            </w:r>
            <w:r w:rsidR="00E62468">
              <w:rPr>
                <w:noProof/>
                <w:webHidden/>
              </w:rPr>
            </w:r>
            <w:r w:rsidR="00E62468">
              <w:rPr>
                <w:noProof/>
                <w:webHidden/>
              </w:rPr>
              <w:fldChar w:fldCharType="separate"/>
            </w:r>
            <w:r w:rsidR="00E62468">
              <w:rPr>
                <w:noProof/>
                <w:webHidden/>
              </w:rPr>
              <w:t>7</w:t>
            </w:r>
            <w:r w:rsidR="00E62468">
              <w:rPr>
                <w:noProof/>
                <w:webHidden/>
              </w:rPr>
              <w:fldChar w:fldCharType="end"/>
            </w:r>
          </w:hyperlink>
        </w:p>
        <w:p w14:paraId="194726D7" w14:textId="0D5FC34F" w:rsidR="00E62468" w:rsidRDefault="00FC0578">
          <w:pPr>
            <w:pStyle w:val="TOC2"/>
            <w:tabs>
              <w:tab w:val="right" w:pos="9628"/>
            </w:tabs>
            <w:rPr>
              <w:rFonts w:asciiTheme="minorHAnsi" w:eastAsiaTheme="minorEastAsia" w:hAnsiTheme="minorHAnsi"/>
              <w:bCs w:val="0"/>
              <w:smallCaps w:val="0"/>
              <w:noProof/>
              <w:lang w:eastAsia="en-AU"/>
            </w:rPr>
          </w:pPr>
          <w:hyperlink w:anchor="_Toc523236198" w:history="1">
            <w:r w:rsidR="00E62468" w:rsidRPr="001A2DF9">
              <w:rPr>
                <w:rStyle w:val="Hyperlink"/>
                <w:noProof/>
              </w:rPr>
              <w:t>2.3</w:t>
            </w:r>
            <w:r w:rsidR="00E62468">
              <w:rPr>
                <w:rFonts w:asciiTheme="minorHAnsi" w:eastAsiaTheme="minorEastAsia" w:hAnsiTheme="minorHAnsi"/>
                <w:bCs w:val="0"/>
                <w:smallCaps w:val="0"/>
                <w:noProof/>
                <w:lang w:eastAsia="en-AU"/>
              </w:rPr>
              <w:tab/>
            </w:r>
            <w:r w:rsidR="00E62468" w:rsidRPr="001A2DF9">
              <w:rPr>
                <w:rStyle w:val="Hyperlink"/>
                <w:noProof/>
              </w:rPr>
              <w:t>Participation in the SS initiative</w:t>
            </w:r>
            <w:r w:rsidR="00E62468">
              <w:rPr>
                <w:noProof/>
                <w:webHidden/>
              </w:rPr>
              <w:tab/>
            </w:r>
            <w:r w:rsidR="00E62468">
              <w:rPr>
                <w:noProof/>
                <w:webHidden/>
              </w:rPr>
              <w:fldChar w:fldCharType="begin"/>
            </w:r>
            <w:r w:rsidR="00E62468">
              <w:rPr>
                <w:noProof/>
                <w:webHidden/>
              </w:rPr>
              <w:instrText xml:space="preserve"> PAGEREF _Toc523236198 \h </w:instrText>
            </w:r>
            <w:r w:rsidR="00E62468">
              <w:rPr>
                <w:noProof/>
                <w:webHidden/>
              </w:rPr>
            </w:r>
            <w:r w:rsidR="00E62468">
              <w:rPr>
                <w:noProof/>
                <w:webHidden/>
              </w:rPr>
              <w:fldChar w:fldCharType="separate"/>
            </w:r>
            <w:r w:rsidR="00E62468">
              <w:rPr>
                <w:noProof/>
                <w:webHidden/>
              </w:rPr>
              <w:t>7</w:t>
            </w:r>
            <w:r w:rsidR="00E62468">
              <w:rPr>
                <w:noProof/>
                <w:webHidden/>
              </w:rPr>
              <w:fldChar w:fldCharType="end"/>
            </w:r>
          </w:hyperlink>
        </w:p>
        <w:p w14:paraId="59A9D022" w14:textId="7610C769" w:rsidR="00E62468" w:rsidRDefault="00FC0578">
          <w:pPr>
            <w:pStyle w:val="TOC2"/>
            <w:tabs>
              <w:tab w:val="right" w:pos="9628"/>
            </w:tabs>
            <w:rPr>
              <w:rFonts w:asciiTheme="minorHAnsi" w:eastAsiaTheme="minorEastAsia" w:hAnsiTheme="minorHAnsi"/>
              <w:bCs w:val="0"/>
              <w:smallCaps w:val="0"/>
              <w:noProof/>
              <w:lang w:eastAsia="en-AU"/>
            </w:rPr>
          </w:pPr>
          <w:hyperlink w:anchor="_Toc523236199" w:history="1">
            <w:r w:rsidR="00E62468" w:rsidRPr="001A2DF9">
              <w:rPr>
                <w:rStyle w:val="Hyperlink"/>
                <w:noProof/>
              </w:rPr>
              <w:t>2.4</w:t>
            </w:r>
            <w:r w:rsidR="00E62468">
              <w:rPr>
                <w:rFonts w:asciiTheme="minorHAnsi" w:eastAsiaTheme="minorEastAsia" w:hAnsiTheme="minorHAnsi"/>
                <w:bCs w:val="0"/>
                <w:smallCaps w:val="0"/>
                <w:noProof/>
                <w:lang w:eastAsia="en-AU"/>
              </w:rPr>
              <w:tab/>
            </w:r>
            <w:r w:rsidR="00E62468" w:rsidRPr="001A2DF9">
              <w:rPr>
                <w:rStyle w:val="Hyperlink"/>
                <w:noProof/>
              </w:rPr>
              <w:t>Patient groups most likely to benefit from a SS service</w:t>
            </w:r>
            <w:r w:rsidR="00E62468">
              <w:rPr>
                <w:noProof/>
                <w:webHidden/>
              </w:rPr>
              <w:tab/>
            </w:r>
            <w:r w:rsidR="00E62468">
              <w:rPr>
                <w:noProof/>
                <w:webHidden/>
              </w:rPr>
              <w:fldChar w:fldCharType="begin"/>
            </w:r>
            <w:r w:rsidR="00E62468">
              <w:rPr>
                <w:noProof/>
                <w:webHidden/>
              </w:rPr>
              <w:instrText xml:space="preserve"> PAGEREF _Toc523236199 \h </w:instrText>
            </w:r>
            <w:r w:rsidR="00E62468">
              <w:rPr>
                <w:noProof/>
                <w:webHidden/>
              </w:rPr>
            </w:r>
            <w:r w:rsidR="00E62468">
              <w:rPr>
                <w:noProof/>
                <w:webHidden/>
              </w:rPr>
              <w:fldChar w:fldCharType="separate"/>
            </w:r>
            <w:r w:rsidR="00E62468">
              <w:rPr>
                <w:noProof/>
                <w:webHidden/>
              </w:rPr>
              <w:t>8</w:t>
            </w:r>
            <w:r w:rsidR="00E62468">
              <w:rPr>
                <w:noProof/>
                <w:webHidden/>
              </w:rPr>
              <w:fldChar w:fldCharType="end"/>
            </w:r>
          </w:hyperlink>
        </w:p>
        <w:p w14:paraId="62A293DF" w14:textId="57D98F79" w:rsidR="00E62468" w:rsidRDefault="00FC0578">
          <w:pPr>
            <w:pStyle w:val="TOC1"/>
            <w:rPr>
              <w:rFonts w:asciiTheme="minorHAnsi" w:eastAsiaTheme="minorEastAsia" w:hAnsiTheme="minorHAnsi"/>
              <w:b w:val="0"/>
              <w:bCs w:val="0"/>
              <w:caps w:val="0"/>
              <w:noProof/>
              <w:lang w:eastAsia="en-AU"/>
            </w:rPr>
          </w:pPr>
          <w:hyperlink w:anchor="_Toc523236200" w:history="1">
            <w:r w:rsidR="00E62468" w:rsidRPr="001A2DF9">
              <w:rPr>
                <w:rStyle w:val="Hyperlink"/>
                <w:noProof/>
              </w:rPr>
              <w:t>3</w:t>
            </w:r>
            <w:r w:rsidR="00E62468">
              <w:rPr>
                <w:rFonts w:asciiTheme="minorHAnsi" w:eastAsiaTheme="minorEastAsia" w:hAnsiTheme="minorHAnsi"/>
                <w:b w:val="0"/>
                <w:bCs w:val="0"/>
                <w:caps w:val="0"/>
                <w:noProof/>
                <w:lang w:eastAsia="en-AU"/>
              </w:rPr>
              <w:tab/>
            </w:r>
            <w:r w:rsidR="00E62468" w:rsidRPr="001A2DF9">
              <w:rPr>
                <w:rStyle w:val="Hyperlink"/>
                <w:noProof/>
              </w:rPr>
              <w:t>Review methodology</w:t>
            </w:r>
            <w:r w:rsidR="00E62468">
              <w:rPr>
                <w:noProof/>
                <w:webHidden/>
              </w:rPr>
              <w:tab/>
            </w:r>
            <w:r w:rsidR="00E62468">
              <w:rPr>
                <w:noProof/>
                <w:webHidden/>
              </w:rPr>
              <w:fldChar w:fldCharType="begin"/>
            </w:r>
            <w:r w:rsidR="00E62468">
              <w:rPr>
                <w:noProof/>
                <w:webHidden/>
              </w:rPr>
              <w:instrText xml:space="preserve"> PAGEREF _Toc523236200 \h </w:instrText>
            </w:r>
            <w:r w:rsidR="00E62468">
              <w:rPr>
                <w:noProof/>
                <w:webHidden/>
              </w:rPr>
            </w:r>
            <w:r w:rsidR="00E62468">
              <w:rPr>
                <w:noProof/>
                <w:webHidden/>
              </w:rPr>
              <w:fldChar w:fldCharType="separate"/>
            </w:r>
            <w:r w:rsidR="00E62468">
              <w:rPr>
                <w:noProof/>
                <w:webHidden/>
              </w:rPr>
              <w:t>9</w:t>
            </w:r>
            <w:r w:rsidR="00E62468">
              <w:rPr>
                <w:noProof/>
                <w:webHidden/>
              </w:rPr>
              <w:fldChar w:fldCharType="end"/>
            </w:r>
          </w:hyperlink>
        </w:p>
        <w:p w14:paraId="120FC4F4" w14:textId="73DB67F0" w:rsidR="00E62468" w:rsidRDefault="00FC0578">
          <w:pPr>
            <w:pStyle w:val="TOC2"/>
            <w:tabs>
              <w:tab w:val="right" w:pos="9628"/>
            </w:tabs>
            <w:rPr>
              <w:rFonts w:asciiTheme="minorHAnsi" w:eastAsiaTheme="minorEastAsia" w:hAnsiTheme="minorHAnsi"/>
              <w:bCs w:val="0"/>
              <w:smallCaps w:val="0"/>
              <w:noProof/>
              <w:lang w:eastAsia="en-AU"/>
            </w:rPr>
          </w:pPr>
          <w:hyperlink w:anchor="_Toc523236201" w:history="1">
            <w:r w:rsidR="00E62468" w:rsidRPr="001A2DF9">
              <w:rPr>
                <w:rStyle w:val="Hyperlink"/>
                <w:noProof/>
              </w:rPr>
              <w:t>3.1</w:t>
            </w:r>
            <w:r w:rsidR="00E62468">
              <w:rPr>
                <w:rFonts w:asciiTheme="minorHAnsi" w:eastAsiaTheme="minorEastAsia" w:hAnsiTheme="minorHAnsi"/>
                <w:bCs w:val="0"/>
                <w:smallCaps w:val="0"/>
                <w:noProof/>
                <w:lang w:eastAsia="en-AU"/>
              </w:rPr>
              <w:tab/>
            </w:r>
            <w:r w:rsidR="00E62468" w:rsidRPr="001A2DF9">
              <w:rPr>
                <w:rStyle w:val="Hyperlink"/>
                <w:noProof/>
              </w:rPr>
              <w:t>Systematic literature review</w:t>
            </w:r>
            <w:r w:rsidR="00E62468">
              <w:rPr>
                <w:noProof/>
                <w:webHidden/>
              </w:rPr>
              <w:tab/>
            </w:r>
            <w:r w:rsidR="00E62468">
              <w:rPr>
                <w:noProof/>
                <w:webHidden/>
              </w:rPr>
              <w:fldChar w:fldCharType="begin"/>
            </w:r>
            <w:r w:rsidR="00E62468">
              <w:rPr>
                <w:noProof/>
                <w:webHidden/>
              </w:rPr>
              <w:instrText xml:space="preserve"> PAGEREF _Toc523236201 \h </w:instrText>
            </w:r>
            <w:r w:rsidR="00E62468">
              <w:rPr>
                <w:noProof/>
                <w:webHidden/>
              </w:rPr>
            </w:r>
            <w:r w:rsidR="00E62468">
              <w:rPr>
                <w:noProof/>
                <w:webHidden/>
              </w:rPr>
              <w:fldChar w:fldCharType="separate"/>
            </w:r>
            <w:r w:rsidR="00E62468">
              <w:rPr>
                <w:noProof/>
                <w:webHidden/>
              </w:rPr>
              <w:t>9</w:t>
            </w:r>
            <w:r w:rsidR="00E62468">
              <w:rPr>
                <w:noProof/>
                <w:webHidden/>
              </w:rPr>
              <w:fldChar w:fldCharType="end"/>
            </w:r>
          </w:hyperlink>
        </w:p>
        <w:p w14:paraId="0203908C" w14:textId="32CEA036" w:rsidR="00E62468" w:rsidRDefault="00FC0578">
          <w:pPr>
            <w:pStyle w:val="TOC3"/>
            <w:tabs>
              <w:tab w:val="left" w:pos="1340"/>
              <w:tab w:val="right" w:pos="9628"/>
            </w:tabs>
            <w:rPr>
              <w:rFonts w:asciiTheme="minorHAnsi" w:eastAsiaTheme="minorEastAsia" w:hAnsiTheme="minorHAnsi"/>
              <w:smallCaps w:val="0"/>
              <w:noProof/>
              <w:lang w:eastAsia="en-AU"/>
            </w:rPr>
          </w:pPr>
          <w:hyperlink w:anchor="_Toc523236202" w:history="1">
            <w:r w:rsidR="00E62468" w:rsidRPr="001A2DF9">
              <w:rPr>
                <w:rStyle w:val="Hyperlink"/>
                <w:noProof/>
              </w:rPr>
              <w:t>3.1.1</w:t>
            </w:r>
            <w:r w:rsidR="00E62468">
              <w:rPr>
                <w:rFonts w:asciiTheme="minorHAnsi" w:eastAsiaTheme="minorEastAsia" w:hAnsiTheme="minorHAnsi"/>
                <w:smallCaps w:val="0"/>
                <w:noProof/>
                <w:lang w:eastAsia="en-AU"/>
              </w:rPr>
              <w:tab/>
            </w:r>
            <w:r w:rsidR="00E62468" w:rsidRPr="001A2DF9">
              <w:rPr>
                <w:rStyle w:val="Hyperlink"/>
                <w:noProof/>
              </w:rPr>
              <w:t>Research questions and PICO criteria</w:t>
            </w:r>
            <w:r w:rsidR="00E62468">
              <w:rPr>
                <w:noProof/>
                <w:webHidden/>
              </w:rPr>
              <w:tab/>
            </w:r>
            <w:r w:rsidR="00E62468">
              <w:rPr>
                <w:noProof/>
                <w:webHidden/>
              </w:rPr>
              <w:fldChar w:fldCharType="begin"/>
            </w:r>
            <w:r w:rsidR="00E62468">
              <w:rPr>
                <w:noProof/>
                <w:webHidden/>
              </w:rPr>
              <w:instrText xml:space="preserve"> PAGEREF _Toc523236202 \h </w:instrText>
            </w:r>
            <w:r w:rsidR="00E62468">
              <w:rPr>
                <w:noProof/>
                <w:webHidden/>
              </w:rPr>
            </w:r>
            <w:r w:rsidR="00E62468">
              <w:rPr>
                <w:noProof/>
                <w:webHidden/>
              </w:rPr>
              <w:fldChar w:fldCharType="separate"/>
            </w:r>
            <w:r w:rsidR="00E62468">
              <w:rPr>
                <w:noProof/>
                <w:webHidden/>
              </w:rPr>
              <w:t>9</w:t>
            </w:r>
            <w:r w:rsidR="00E62468">
              <w:rPr>
                <w:noProof/>
                <w:webHidden/>
              </w:rPr>
              <w:fldChar w:fldCharType="end"/>
            </w:r>
          </w:hyperlink>
        </w:p>
        <w:p w14:paraId="5DCCFE69" w14:textId="144B47FE" w:rsidR="00E62468" w:rsidRDefault="00FC0578">
          <w:pPr>
            <w:pStyle w:val="TOC3"/>
            <w:tabs>
              <w:tab w:val="left" w:pos="1340"/>
              <w:tab w:val="right" w:pos="9628"/>
            </w:tabs>
            <w:rPr>
              <w:rFonts w:asciiTheme="minorHAnsi" w:eastAsiaTheme="minorEastAsia" w:hAnsiTheme="minorHAnsi"/>
              <w:smallCaps w:val="0"/>
              <w:noProof/>
              <w:lang w:eastAsia="en-AU"/>
            </w:rPr>
          </w:pPr>
          <w:hyperlink w:anchor="_Toc523236203" w:history="1">
            <w:r w:rsidR="00E62468" w:rsidRPr="001A2DF9">
              <w:rPr>
                <w:rStyle w:val="Hyperlink"/>
                <w:noProof/>
              </w:rPr>
              <w:t>3.1.2</w:t>
            </w:r>
            <w:r w:rsidR="00E62468">
              <w:rPr>
                <w:rFonts w:asciiTheme="minorHAnsi" w:eastAsiaTheme="minorEastAsia" w:hAnsiTheme="minorHAnsi"/>
                <w:smallCaps w:val="0"/>
                <w:noProof/>
                <w:lang w:eastAsia="en-AU"/>
              </w:rPr>
              <w:tab/>
            </w:r>
            <w:r w:rsidR="00E62468" w:rsidRPr="001A2DF9">
              <w:rPr>
                <w:rStyle w:val="Hyperlink"/>
                <w:noProof/>
              </w:rPr>
              <w:t>Search strategy</w:t>
            </w:r>
            <w:r w:rsidR="00E62468">
              <w:rPr>
                <w:noProof/>
                <w:webHidden/>
              </w:rPr>
              <w:tab/>
            </w:r>
            <w:r w:rsidR="00E62468">
              <w:rPr>
                <w:noProof/>
                <w:webHidden/>
              </w:rPr>
              <w:fldChar w:fldCharType="begin"/>
            </w:r>
            <w:r w:rsidR="00E62468">
              <w:rPr>
                <w:noProof/>
                <w:webHidden/>
              </w:rPr>
              <w:instrText xml:space="preserve"> PAGEREF _Toc523236203 \h </w:instrText>
            </w:r>
            <w:r w:rsidR="00E62468">
              <w:rPr>
                <w:noProof/>
                <w:webHidden/>
              </w:rPr>
            </w:r>
            <w:r w:rsidR="00E62468">
              <w:rPr>
                <w:noProof/>
                <w:webHidden/>
              </w:rPr>
              <w:fldChar w:fldCharType="separate"/>
            </w:r>
            <w:r w:rsidR="00E62468">
              <w:rPr>
                <w:noProof/>
                <w:webHidden/>
              </w:rPr>
              <w:t>10</w:t>
            </w:r>
            <w:r w:rsidR="00E62468">
              <w:rPr>
                <w:noProof/>
                <w:webHidden/>
              </w:rPr>
              <w:fldChar w:fldCharType="end"/>
            </w:r>
          </w:hyperlink>
        </w:p>
        <w:p w14:paraId="1C48DACA" w14:textId="2216FE05" w:rsidR="00E62468" w:rsidRDefault="00FC0578">
          <w:pPr>
            <w:pStyle w:val="TOC3"/>
            <w:tabs>
              <w:tab w:val="left" w:pos="1340"/>
              <w:tab w:val="right" w:pos="9628"/>
            </w:tabs>
            <w:rPr>
              <w:rFonts w:asciiTheme="minorHAnsi" w:eastAsiaTheme="minorEastAsia" w:hAnsiTheme="minorHAnsi"/>
              <w:smallCaps w:val="0"/>
              <w:noProof/>
              <w:lang w:eastAsia="en-AU"/>
            </w:rPr>
          </w:pPr>
          <w:hyperlink w:anchor="_Toc523236204" w:history="1">
            <w:r w:rsidR="00E62468" w:rsidRPr="001A2DF9">
              <w:rPr>
                <w:rStyle w:val="Hyperlink"/>
                <w:noProof/>
              </w:rPr>
              <w:t>3.1.3</w:t>
            </w:r>
            <w:r w:rsidR="00E62468">
              <w:rPr>
                <w:rFonts w:asciiTheme="minorHAnsi" w:eastAsiaTheme="minorEastAsia" w:hAnsiTheme="minorHAnsi"/>
                <w:smallCaps w:val="0"/>
                <w:noProof/>
                <w:lang w:eastAsia="en-AU"/>
              </w:rPr>
              <w:tab/>
            </w:r>
            <w:r w:rsidR="00E62468" w:rsidRPr="001A2DF9">
              <w:rPr>
                <w:rStyle w:val="Hyperlink"/>
                <w:noProof/>
              </w:rPr>
              <w:t>Selection of relevant evidence</w:t>
            </w:r>
            <w:r w:rsidR="00E62468">
              <w:rPr>
                <w:noProof/>
                <w:webHidden/>
              </w:rPr>
              <w:tab/>
            </w:r>
            <w:r w:rsidR="00E62468">
              <w:rPr>
                <w:noProof/>
                <w:webHidden/>
              </w:rPr>
              <w:fldChar w:fldCharType="begin"/>
            </w:r>
            <w:r w:rsidR="00E62468">
              <w:rPr>
                <w:noProof/>
                <w:webHidden/>
              </w:rPr>
              <w:instrText xml:space="preserve"> PAGEREF _Toc523236204 \h </w:instrText>
            </w:r>
            <w:r w:rsidR="00E62468">
              <w:rPr>
                <w:noProof/>
                <w:webHidden/>
              </w:rPr>
            </w:r>
            <w:r w:rsidR="00E62468">
              <w:rPr>
                <w:noProof/>
                <w:webHidden/>
              </w:rPr>
              <w:fldChar w:fldCharType="separate"/>
            </w:r>
            <w:r w:rsidR="00E62468">
              <w:rPr>
                <w:noProof/>
                <w:webHidden/>
              </w:rPr>
              <w:t>11</w:t>
            </w:r>
            <w:r w:rsidR="00E62468">
              <w:rPr>
                <w:noProof/>
                <w:webHidden/>
              </w:rPr>
              <w:fldChar w:fldCharType="end"/>
            </w:r>
          </w:hyperlink>
        </w:p>
        <w:p w14:paraId="31FE3D4B" w14:textId="5748964B" w:rsidR="00E62468" w:rsidRDefault="00FC0578">
          <w:pPr>
            <w:pStyle w:val="TOC2"/>
            <w:tabs>
              <w:tab w:val="right" w:pos="9628"/>
            </w:tabs>
            <w:rPr>
              <w:rFonts w:asciiTheme="minorHAnsi" w:eastAsiaTheme="minorEastAsia" w:hAnsiTheme="minorHAnsi"/>
              <w:bCs w:val="0"/>
              <w:smallCaps w:val="0"/>
              <w:noProof/>
              <w:lang w:eastAsia="en-AU"/>
            </w:rPr>
          </w:pPr>
          <w:hyperlink w:anchor="_Toc523236205" w:history="1">
            <w:r w:rsidR="00E62468" w:rsidRPr="001A2DF9">
              <w:rPr>
                <w:rStyle w:val="Hyperlink"/>
                <w:noProof/>
              </w:rPr>
              <w:t>3.2</w:t>
            </w:r>
            <w:r w:rsidR="00E62468">
              <w:rPr>
                <w:rFonts w:asciiTheme="minorHAnsi" w:eastAsiaTheme="minorEastAsia" w:hAnsiTheme="minorHAnsi"/>
                <w:bCs w:val="0"/>
                <w:smallCaps w:val="0"/>
                <w:noProof/>
                <w:lang w:eastAsia="en-AU"/>
              </w:rPr>
              <w:tab/>
            </w:r>
            <w:r w:rsidR="00E62468" w:rsidRPr="001A2DF9">
              <w:rPr>
                <w:rStyle w:val="Hyperlink"/>
                <w:noProof/>
              </w:rPr>
              <w:t>SS utilisation analysis</w:t>
            </w:r>
            <w:r w:rsidR="00E62468">
              <w:rPr>
                <w:noProof/>
                <w:webHidden/>
              </w:rPr>
              <w:tab/>
            </w:r>
            <w:r w:rsidR="00E62468">
              <w:rPr>
                <w:noProof/>
                <w:webHidden/>
              </w:rPr>
              <w:fldChar w:fldCharType="begin"/>
            </w:r>
            <w:r w:rsidR="00E62468">
              <w:rPr>
                <w:noProof/>
                <w:webHidden/>
              </w:rPr>
              <w:instrText xml:space="preserve"> PAGEREF _Toc523236205 \h </w:instrText>
            </w:r>
            <w:r w:rsidR="00E62468">
              <w:rPr>
                <w:noProof/>
                <w:webHidden/>
              </w:rPr>
            </w:r>
            <w:r w:rsidR="00E62468">
              <w:rPr>
                <w:noProof/>
                <w:webHidden/>
              </w:rPr>
              <w:fldChar w:fldCharType="separate"/>
            </w:r>
            <w:r w:rsidR="00E62468">
              <w:rPr>
                <w:noProof/>
                <w:webHidden/>
              </w:rPr>
              <w:t>12</w:t>
            </w:r>
            <w:r w:rsidR="00E62468">
              <w:rPr>
                <w:noProof/>
                <w:webHidden/>
              </w:rPr>
              <w:fldChar w:fldCharType="end"/>
            </w:r>
          </w:hyperlink>
        </w:p>
        <w:p w14:paraId="01822BC9" w14:textId="37AE979C" w:rsidR="00E62468" w:rsidRDefault="00FC0578">
          <w:pPr>
            <w:pStyle w:val="TOC1"/>
            <w:rPr>
              <w:rFonts w:asciiTheme="minorHAnsi" w:eastAsiaTheme="minorEastAsia" w:hAnsiTheme="minorHAnsi"/>
              <w:b w:val="0"/>
              <w:bCs w:val="0"/>
              <w:caps w:val="0"/>
              <w:noProof/>
              <w:lang w:eastAsia="en-AU"/>
            </w:rPr>
          </w:pPr>
          <w:hyperlink w:anchor="_Toc523236206" w:history="1">
            <w:r w:rsidR="00E62468" w:rsidRPr="001A2DF9">
              <w:rPr>
                <w:rStyle w:val="Hyperlink"/>
                <w:noProof/>
              </w:rPr>
              <w:t>4</w:t>
            </w:r>
            <w:r w:rsidR="00E62468">
              <w:rPr>
                <w:rFonts w:asciiTheme="minorHAnsi" w:eastAsiaTheme="minorEastAsia" w:hAnsiTheme="minorHAnsi"/>
                <w:b w:val="0"/>
                <w:bCs w:val="0"/>
                <w:caps w:val="0"/>
                <w:noProof/>
                <w:lang w:eastAsia="en-AU"/>
              </w:rPr>
              <w:tab/>
            </w:r>
            <w:r w:rsidR="00E62468" w:rsidRPr="001A2DF9">
              <w:rPr>
                <w:rStyle w:val="Hyperlink"/>
                <w:noProof/>
              </w:rPr>
              <w:t>Previous evaluations of the PPI Program</w:t>
            </w:r>
            <w:r w:rsidR="00E62468">
              <w:rPr>
                <w:noProof/>
                <w:webHidden/>
              </w:rPr>
              <w:tab/>
            </w:r>
            <w:r w:rsidR="00E62468">
              <w:rPr>
                <w:noProof/>
                <w:webHidden/>
              </w:rPr>
              <w:fldChar w:fldCharType="begin"/>
            </w:r>
            <w:r w:rsidR="00E62468">
              <w:rPr>
                <w:noProof/>
                <w:webHidden/>
              </w:rPr>
              <w:instrText xml:space="preserve"> PAGEREF _Toc523236206 \h </w:instrText>
            </w:r>
            <w:r w:rsidR="00E62468">
              <w:rPr>
                <w:noProof/>
                <w:webHidden/>
              </w:rPr>
            </w:r>
            <w:r w:rsidR="00E62468">
              <w:rPr>
                <w:noProof/>
                <w:webHidden/>
              </w:rPr>
              <w:fldChar w:fldCharType="separate"/>
            </w:r>
            <w:r w:rsidR="00E62468">
              <w:rPr>
                <w:noProof/>
                <w:webHidden/>
              </w:rPr>
              <w:t>14</w:t>
            </w:r>
            <w:r w:rsidR="00E62468">
              <w:rPr>
                <w:noProof/>
                <w:webHidden/>
              </w:rPr>
              <w:fldChar w:fldCharType="end"/>
            </w:r>
          </w:hyperlink>
        </w:p>
        <w:p w14:paraId="79D660B5" w14:textId="42BC090F" w:rsidR="00E62468" w:rsidRDefault="00FC0578">
          <w:pPr>
            <w:pStyle w:val="TOC2"/>
            <w:tabs>
              <w:tab w:val="right" w:pos="9628"/>
            </w:tabs>
            <w:rPr>
              <w:rFonts w:asciiTheme="minorHAnsi" w:eastAsiaTheme="minorEastAsia" w:hAnsiTheme="minorHAnsi"/>
              <w:bCs w:val="0"/>
              <w:smallCaps w:val="0"/>
              <w:noProof/>
              <w:lang w:eastAsia="en-AU"/>
            </w:rPr>
          </w:pPr>
          <w:hyperlink w:anchor="_Toc523236207" w:history="1">
            <w:r w:rsidR="00E62468" w:rsidRPr="001A2DF9">
              <w:rPr>
                <w:rStyle w:val="Hyperlink"/>
                <w:noProof/>
              </w:rPr>
              <w:t>4.1</w:t>
            </w:r>
            <w:r w:rsidR="00E62468">
              <w:rPr>
                <w:rFonts w:asciiTheme="minorHAnsi" w:eastAsiaTheme="minorEastAsia" w:hAnsiTheme="minorHAnsi"/>
                <w:bCs w:val="0"/>
                <w:smallCaps w:val="0"/>
                <w:noProof/>
                <w:lang w:eastAsia="en-AU"/>
              </w:rPr>
              <w:tab/>
            </w:r>
            <w:r w:rsidR="00E62468" w:rsidRPr="001A2DF9">
              <w:rPr>
                <w:rStyle w:val="Hyperlink"/>
                <w:noProof/>
              </w:rPr>
              <w:t>4CPA Review of SS by NOVA Public Policy 2010</w:t>
            </w:r>
            <w:r w:rsidR="00E62468">
              <w:rPr>
                <w:noProof/>
                <w:webHidden/>
              </w:rPr>
              <w:tab/>
            </w:r>
            <w:r w:rsidR="00E62468">
              <w:rPr>
                <w:noProof/>
                <w:webHidden/>
              </w:rPr>
              <w:fldChar w:fldCharType="begin"/>
            </w:r>
            <w:r w:rsidR="00E62468">
              <w:rPr>
                <w:noProof/>
                <w:webHidden/>
              </w:rPr>
              <w:instrText xml:space="preserve"> PAGEREF _Toc523236207 \h </w:instrText>
            </w:r>
            <w:r w:rsidR="00E62468">
              <w:rPr>
                <w:noProof/>
                <w:webHidden/>
              </w:rPr>
            </w:r>
            <w:r w:rsidR="00E62468">
              <w:rPr>
                <w:noProof/>
                <w:webHidden/>
              </w:rPr>
              <w:fldChar w:fldCharType="separate"/>
            </w:r>
            <w:r w:rsidR="00E62468">
              <w:rPr>
                <w:noProof/>
                <w:webHidden/>
              </w:rPr>
              <w:t>14</w:t>
            </w:r>
            <w:r w:rsidR="00E62468">
              <w:rPr>
                <w:noProof/>
                <w:webHidden/>
              </w:rPr>
              <w:fldChar w:fldCharType="end"/>
            </w:r>
          </w:hyperlink>
        </w:p>
        <w:p w14:paraId="304903C8" w14:textId="51ECC158" w:rsidR="00E62468" w:rsidRDefault="00FC0578">
          <w:pPr>
            <w:pStyle w:val="TOC2"/>
            <w:tabs>
              <w:tab w:val="right" w:pos="9628"/>
            </w:tabs>
            <w:rPr>
              <w:rFonts w:asciiTheme="minorHAnsi" w:eastAsiaTheme="minorEastAsia" w:hAnsiTheme="minorHAnsi"/>
              <w:bCs w:val="0"/>
              <w:smallCaps w:val="0"/>
              <w:noProof/>
              <w:lang w:eastAsia="en-AU"/>
            </w:rPr>
          </w:pPr>
          <w:hyperlink w:anchor="_Toc523236208" w:history="1">
            <w:r w:rsidR="00E62468" w:rsidRPr="001A2DF9">
              <w:rPr>
                <w:rStyle w:val="Hyperlink"/>
                <w:noProof/>
              </w:rPr>
              <w:t>4.2</w:t>
            </w:r>
            <w:r w:rsidR="00E62468">
              <w:rPr>
                <w:rFonts w:asciiTheme="minorHAnsi" w:eastAsiaTheme="minorEastAsia" w:hAnsiTheme="minorHAnsi"/>
                <w:bCs w:val="0"/>
                <w:smallCaps w:val="0"/>
                <w:noProof/>
                <w:lang w:eastAsia="en-AU"/>
              </w:rPr>
              <w:tab/>
            </w:r>
            <w:r w:rsidR="00E62468" w:rsidRPr="001A2DF9">
              <w:rPr>
                <w:rStyle w:val="Hyperlink"/>
                <w:noProof/>
              </w:rPr>
              <w:t>5CPA Program Combined Review by PricewaterhouseCoopers 2015</w:t>
            </w:r>
            <w:r w:rsidR="00E62468">
              <w:rPr>
                <w:noProof/>
                <w:webHidden/>
              </w:rPr>
              <w:tab/>
            </w:r>
            <w:r w:rsidR="00E62468">
              <w:rPr>
                <w:noProof/>
                <w:webHidden/>
              </w:rPr>
              <w:fldChar w:fldCharType="begin"/>
            </w:r>
            <w:r w:rsidR="00E62468">
              <w:rPr>
                <w:noProof/>
                <w:webHidden/>
              </w:rPr>
              <w:instrText xml:space="preserve"> PAGEREF _Toc523236208 \h </w:instrText>
            </w:r>
            <w:r w:rsidR="00E62468">
              <w:rPr>
                <w:noProof/>
                <w:webHidden/>
              </w:rPr>
            </w:r>
            <w:r w:rsidR="00E62468">
              <w:rPr>
                <w:noProof/>
                <w:webHidden/>
              </w:rPr>
              <w:fldChar w:fldCharType="separate"/>
            </w:r>
            <w:r w:rsidR="00E62468">
              <w:rPr>
                <w:noProof/>
                <w:webHidden/>
              </w:rPr>
              <w:t>16</w:t>
            </w:r>
            <w:r w:rsidR="00E62468">
              <w:rPr>
                <w:noProof/>
                <w:webHidden/>
              </w:rPr>
              <w:fldChar w:fldCharType="end"/>
            </w:r>
          </w:hyperlink>
        </w:p>
        <w:p w14:paraId="7C22D09E" w14:textId="12858F20" w:rsidR="00E62468" w:rsidRDefault="00FC0578">
          <w:pPr>
            <w:pStyle w:val="TOC1"/>
            <w:rPr>
              <w:rFonts w:asciiTheme="minorHAnsi" w:eastAsiaTheme="minorEastAsia" w:hAnsiTheme="minorHAnsi"/>
              <w:b w:val="0"/>
              <w:bCs w:val="0"/>
              <w:caps w:val="0"/>
              <w:noProof/>
              <w:lang w:eastAsia="en-AU"/>
            </w:rPr>
          </w:pPr>
          <w:hyperlink w:anchor="_Toc523236209" w:history="1">
            <w:r w:rsidR="00E62468" w:rsidRPr="001A2DF9">
              <w:rPr>
                <w:rStyle w:val="Hyperlink"/>
                <w:noProof/>
              </w:rPr>
              <w:t>5</w:t>
            </w:r>
            <w:r w:rsidR="00E62468">
              <w:rPr>
                <w:rFonts w:asciiTheme="minorHAnsi" w:eastAsiaTheme="minorEastAsia" w:hAnsiTheme="minorHAnsi"/>
                <w:b w:val="0"/>
                <w:bCs w:val="0"/>
                <w:caps w:val="0"/>
                <w:noProof/>
                <w:lang w:eastAsia="en-AU"/>
              </w:rPr>
              <w:tab/>
            </w:r>
            <w:r w:rsidR="00E62468" w:rsidRPr="001A2DF9">
              <w:rPr>
                <w:rStyle w:val="Hyperlink"/>
                <w:noProof/>
              </w:rPr>
              <w:t>SS utilisation analysis</w:t>
            </w:r>
            <w:r w:rsidR="00E62468">
              <w:rPr>
                <w:noProof/>
                <w:webHidden/>
              </w:rPr>
              <w:tab/>
            </w:r>
            <w:r w:rsidR="00E62468">
              <w:rPr>
                <w:noProof/>
                <w:webHidden/>
              </w:rPr>
              <w:fldChar w:fldCharType="begin"/>
            </w:r>
            <w:r w:rsidR="00E62468">
              <w:rPr>
                <w:noProof/>
                <w:webHidden/>
              </w:rPr>
              <w:instrText xml:space="preserve"> PAGEREF _Toc523236209 \h </w:instrText>
            </w:r>
            <w:r w:rsidR="00E62468">
              <w:rPr>
                <w:noProof/>
                <w:webHidden/>
              </w:rPr>
            </w:r>
            <w:r w:rsidR="00E62468">
              <w:rPr>
                <w:noProof/>
                <w:webHidden/>
              </w:rPr>
              <w:fldChar w:fldCharType="separate"/>
            </w:r>
            <w:r w:rsidR="00E62468">
              <w:rPr>
                <w:noProof/>
                <w:webHidden/>
              </w:rPr>
              <w:t>19</w:t>
            </w:r>
            <w:r w:rsidR="00E62468">
              <w:rPr>
                <w:noProof/>
                <w:webHidden/>
              </w:rPr>
              <w:fldChar w:fldCharType="end"/>
            </w:r>
          </w:hyperlink>
        </w:p>
        <w:p w14:paraId="5EAA29BE" w14:textId="34BFBB90" w:rsidR="00E62468" w:rsidRDefault="00FC0578">
          <w:pPr>
            <w:pStyle w:val="TOC2"/>
            <w:tabs>
              <w:tab w:val="right" w:pos="9628"/>
            </w:tabs>
            <w:rPr>
              <w:rFonts w:asciiTheme="minorHAnsi" w:eastAsiaTheme="minorEastAsia" w:hAnsiTheme="minorHAnsi"/>
              <w:bCs w:val="0"/>
              <w:smallCaps w:val="0"/>
              <w:noProof/>
              <w:lang w:eastAsia="en-AU"/>
            </w:rPr>
          </w:pPr>
          <w:hyperlink w:anchor="_Toc523236210" w:history="1">
            <w:r w:rsidR="00E62468" w:rsidRPr="001A2DF9">
              <w:rPr>
                <w:rStyle w:val="Hyperlink"/>
                <w:noProof/>
              </w:rPr>
              <w:t>5.1</w:t>
            </w:r>
            <w:r w:rsidR="00E62468">
              <w:rPr>
                <w:rFonts w:asciiTheme="minorHAnsi" w:eastAsiaTheme="minorEastAsia" w:hAnsiTheme="minorHAnsi"/>
                <w:bCs w:val="0"/>
                <w:smallCaps w:val="0"/>
                <w:noProof/>
                <w:lang w:eastAsia="en-AU"/>
              </w:rPr>
              <w:tab/>
            </w:r>
            <w:r w:rsidR="00E62468" w:rsidRPr="001A2DF9">
              <w:rPr>
                <w:rStyle w:val="Hyperlink"/>
                <w:noProof/>
              </w:rPr>
              <w:t>SS initiative participating pharmacies and claims made</w:t>
            </w:r>
            <w:r w:rsidR="00E62468">
              <w:rPr>
                <w:noProof/>
                <w:webHidden/>
              </w:rPr>
              <w:tab/>
            </w:r>
            <w:r w:rsidR="00E62468">
              <w:rPr>
                <w:noProof/>
                <w:webHidden/>
              </w:rPr>
              <w:fldChar w:fldCharType="begin"/>
            </w:r>
            <w:r w:rsidR="00E62468">
              <w:rPr>
                <w:noProof/>
                <w:webHidden/>
              </w:rPr>
              <w:instrText xml:space="preserve"> PAGEREF _Toc523236210 \h </w:instrText>
            </w:r>
            <w:r w:rsidR="00E62468">
              <w:rPr>
                <w:noProof/>
                <w:webHidden/>
              </w:rPr>
            </w:r>
            <w:r w:rsidR="00E62468">
              <w:rPr>
                <w:noProof/>
                <w:webHidden/>
              </w:rPr>
              <w:fldChar w:fldCharType="separate"/>
            </w:r>
            <w:r w:rsidR="00E62468">
              <w:rPr>
                <w:noProof/>
                <w:webHidden/>
              </w:rPr>
              <w:t>19</w:t>
            </w:r>
            <w:r w:rsidR="00E62468">
              <w:rPr>
                <w:noProof/>
                <w:webHidden/>
              </w:rPr>
              <w:fldChar w:fldCharType="end"/>
            </w:r>
          </w:hyperlink>
        </w:p>
        <w:p w14:paraId="4110510A" w14:textId="6DD6F3DC" w:rsidR="00E62468" w:rsidRDefault="00FC0578">
          <w:pPr>
            <w:pStyle w:val="TOC2"/>
            <w:tabs>
              <w:tab w:val="right" w:pos="9628"/>
            </w:tabs>
            <w:rPr>
              <w:rFonts w:asciiTheme="minorHAnsi" w:eastAsiaTheme="minorEastAsia" w:hAnsiTheme="minorHAnsi"/>
              <w:bCs w:val="0"/>
              <w:smallCaps w:val="0"/>
              <w:noProof/>
              <w:lang w:eastAsia="en-AU"/>
            </w:rPr>
          </w:pPr>
          <w:hyperlink w:anchor="_Toc523236211" w:history="1">
            <w:r w:rsidR="00E62468" w:rsidRPr="001A2DF9">
              <w:rPr>
                <w:rStyle w:val="Hyperlink"/>
                <w:noProof/>
              </w:rPr>
              <w:t>5.2</w:t>
            </w:r>
            <w:r w:rsidR="00E62468">
              <w:rPr>
                <w:rFonts w:asciiTheme="minorHAnsi" w:eastAsiaTheme="minorEastAsia" w:hAnsiTheme="minorHAnsi"/>
                <w:bCs w:val="0"/>
                <w:smallCaps w:val="0"/>
                <w:noProof/>
                <w:lang w:eastAsia="en-AU"/>
              </w:rPr>
              <w:tab/>
            </w:r>
            <w:r w:rsidR="00E62468" w:rsidRPr="001A2DF9">
              <w:rPr>
                <w:rStyle w:val="Hyperlink"/>
                <w:noProof/>
              </w:rPr>
              <w:t>Summary indications of patients receiving SS services</w:t>
            </w:r>
            <w:r w:rsidR="00E62468">
              <w:rPr>
                <w:noProof/>
                <w:webHidden/>
              </w:rPr>
              <w:tab/>
            </w:r>
            <w:r w:rsidR="00E62468">
              <w:rPr>
                <w:noProof/>
                <w:webHidden/>
              </w:rPr>
              <w:fldChar w:fldCharType="begin"/>
            </w:r>
            <w:r w:rsidR="00E62468">
              <w:rPr>
                <w:noProof/>
                <w:webHidden/>
              </w:rPr>
              <w:instrText xml:space="preserve"> PAGEREF _Toc523236211 \h </w:instrText>
            </w:r>
            <w:r w:rsidR="00E62468">
              <w:rPr>
                <w:noProof/>
                <w:webHidden/>
              </w:rPr>
            </w:r>
            <w:r w:rsidR="00E62468">
              <w:rPr>
                <w:noProof/>
                <w:webHidden/>
              </w:rPr>
              <w:fldChar w:fldCharType="separate"/>
            </w:r>
            <w:r w:rsidR="00E62468">
              <w:rPr>
                <w:noProof/>
                <w:webHidden/>
              </w:rPr>
              <w:t>21</w:t>
            </w:r>
            <w:r w:rsidR="00E62468">
              <w:rPr>
                <w:noProof/>
                <w:webHidden/>
              </w:rPr>
              <w:fldChar w:fldCharType="end"/>
            </w:r>
          </w:hyperlink>
        </w:p>
        <w:p w14:paraId="2A01BF81" w14:textId="124E6158" w:rsidR="00E62468" w:rsidRDefault="00FC0578">
          <w:pPr>
            <w:pStyle w:val="TOC2"/>
            <w:tabs>
              <w:tab w:val="right" w:pos="9628"/>
            </w:tabs>
            <w:rPr>
              <w:rFonts w:asciiTheme="minorHAnsi" w:eastAsiaTheme="minorEastAsia" w:hAnsiTheme="minorHAnsi"/>
              <w:bCs w:val="0"/>
              <w:smallCaps w:val="0"/>
              <w:noProof/>
              <w:lang w:eastAsia="en-AU"/>
            </w:rPr>
          </w:pPr>
          <w:hyperlink w:anchor="_Toc523236212" w:history="1">
            <w:r w:rsidR="00E62468" w:rsidRPr="001A2DF9">
              <w:rPr>
                <w:rStyle w:val="Hyperlink"/>
                <w:noProof/>
              </w:rPr>
              <w:t>5.3</w:t>
            </w:r>
            <w:r w:rsidR="00E62468">
              <w:rPr>
                <w:rFonts w:asciiTheme="minorHAnsi" w:eastAsiaTheme="minorEastAsia" w:hAnsiTheme="minorHAnsi"/>
                <w:bCs w:val="0"/>
                <w:smallCaps w:val="0"/>
                <w:noProof/>
                <w:lang w:eastAsia="en-AU"/>
              </w:rPr>
              <w:tab/>
            </w:r>
            <w:r w:rsidR="00E62468" w:rsidRPr="001A2DF9">
              <w:rPr>
                <w:rStyle w:val="Hyperlink"/>
                <w:noProof/>
              </w:rPr>
              <w:t>SS initiative reach to target populations</w:t>
            </w:r>
            <w:r w:rsidR="00E62468">
              <w:rPr>
                <w:noProof/>
                <w:webHidden/>
              </w:rPr>
              <w:tab/>
            </w:r>
            <w:r w:rsidR="00E62468">
              <w:rPr>
                <w:noProof/>
                <w:webHidden/>
              </w:rPr>
              <w:fldChar w:fldCharType="begin"/>
            </w:r>
            <w:r w:rsidR="00E62468">
              <w:rPr>
                <w:noProof/>
                <w:webHidden/>
              </w:rPr>
              <w:instrText xml:space="preserve"> PAGEREF _Toc523236212 \h </w:instrText>
            </w:r>
            <w:r w:rsidR="00E62468">
              <w:rPr>
                <w:noProof/>
                <w:webHidden/>
              </w:rPr>
            </w:r>
            <w:r w:rsidR="00E62468">
              <w:rPr>
                <w:noProof/>
                <w:webHidden/>
              </w:rPr>
              <w:fldChar w:fldCharType="separate"/>
            </w:r>
            <w:r w:rsidR="00E62468">
              <w:rPr>
                <w:noProof/>
                <w:webHidden/>
              </w:rPr>
              <w:t>23</w:t>
            </w:r>
            <w:r w:rsidR="00E62468">
              <w:rPr>
                <w:noProof/>
                <w:webHidden/>
              </w:rPr>
              <w:fldChar w:fldCharType="end"/>
            </w:r>
          </w:hyperlink>
        </w:p>
        <w:p w14:paraId="201C8DA9" w14:textId="44815CFD" w:rsidR="00E62468" w:rsidRDefault="00FC0578">
          <w:pPr>
            <w:pStyle w:val="TOC1"/>
            <w:rPr>
              <w:rFonts w:asciiTheme="minorHAnsi" w:eastAsiaTheme="minorEastAsia" w:hAnsiTheme="minorHAnsi"/>
              <w:b w:val="0"/>
              <w:bCs w:val="0"/>
              <w:caps w:val="0"/>
              <w:noProof/>
              <w:lang w:eastAsia="en-AU"/>
            </w:rPr>
          </w:pPr>
          <w:hyperlink w:anchor="_Toc523236213" w:history="1">
            <w:r w:rsidR="00E62468" w:rsidRPr="001A2DF9">
              <w:rPr>
                <w:rStyle w:val="Hyperlink"/>
                <w:noProof/>
              </w:rPr>
              <w:t>Appendix 1</w:t>
            </w:r>
            <w:r w:rsidR="00E62468">
              <w:rPr>
                <w:noProof/>
                <w:webHidden/>
              </w:rPr>
              <w:tab/>
            </w:r>
            <w:r w:rsidR="00E62468">
              <w:rPr>
                <w:noProof/>
                <w:webHidden/>
              </w:rPr>
              <w:fldChar w:fldCharType="begin"/>
            </w:r>
            <w:r w:rsidR="00E62468">
              <w:rPr>
                <w:noProof/>
                <w:webHidden/>
              </w:rPr>
              <w:instrText xml:space="preserve"> PAGEREF _Toc523236213 \h </w:instrText>
            </w:r>
            <w:r w:rsidR="00E62468">
              <w:rPr>
                <w:noProof/>
                <w:webHidden/>
              </w:rPr>
            </w:r>
            <w:r w:rsidR="00E62468">
              <w:rPr>
                <w:noProof/>
                <w:webHidden/>
              </w:rPr>
              <w:fldChar w:fldCharType="separate"/>
            </w:r>
            <w:r w:rsidR="00E62468">
              <w:rPr>
                <w:noProof/>
                <w:webHidden/>
              </w:rPr>
              <w:t>26</w:t>
            </w:r>
            <w:r w:rsidR="00E62468">
              <w:rPr>
                <w:noProof/>
                <w:webHidden/>
              </w:rPr>
              <w:fldChar w:fldCharType="end"/>
            </w:r>
          </w:hyperlink>
        </w:p>
        <w:p w14:paraId="02733F0D" w14:textId="4B05CC08" w:rsidR="00E62468" w:rsidRDefault="00FC0578">
          <w:pPr>
            <w:pStyle w:val="TOC2"/>
            <w:tabs>
              <w:tab w:val="right" w:pos="9628"/>
            </w:tabs>
            <w:rPr>
              <w:rFonts w:asciiTheme="minorHAnsi" w:eastAsiaTheme="minorEastAsia" w:hAnsiTheme="minorHAnsi"/>
              <w:bCs w:val="0"/>
              <w:smallCaps w:val="0"/>
              <w:noProof/>
              <w:lang w:eastAsia="en-AU"/>
            </w:rPr>
          </w:pPr>
          <w:hyperlink w:anchor="_Toc523236214" w:history="1">
            <w:r w:rsidR="00E62468" w:rsidRPr="001A2DF9">
              <w:rPr>
                <w:rStyle w:val="Hyperlink"/>
                <w:noProof/>
              </w:rPr>
              <w:t>References</w:t>
            </w:r>
            <w:r w:rsidR="00E62468">
              <w:rPr>
                <w:noProof/>
                <w:webHidden/>
              </w:rPr>
              <w:tab/>
            </w:r>
            <w:r w:rsidR="00E62468">
              <w:rPr>
                <w:noProof/>
                <w:webHidden/>
              </w:rPr>
              <w:fldChar w:fldCharType="begin"/>
            </w:r>
            <w:r w:rsidR="00E62468">
              <w:rPr>
                <w:noProof/>
                <w:webHidden/>
              </w:rPr>
              <w:instrText xml:space="preserve"> PAGEREF _Toc523236214 \h </w:instrText>
            </w:r>
            <w:r w:rsidR="00E62468">
              <w:rPr>
                <w:noProof/>
                <w:webHidden/>
              </w:rPr>
            </w:r>
            <w:r w:rsidR="00E62468">
              <w:rPr>
                <w:noProof/>
                <w:webHidden/>
              </w:rPr>
              <w:fldChar w:fldCharType="separate"/>
            </w:r>
            <w:r w:rsidR="00E62468">
              <w:rPr>
                <w:noProof/>
                <w:webHidden/>
              </w:rPr>
              <w:t>26</w:t>
            </w:r>
            <w:r w:rsidR="00E62468">
              <w:rPr>
                <w:noProof/>
                <w:webHidden/>
              </w:rPr>
              <w:fldChar w:fldCharType="end"/>
            </w:r>
          </w:hyperlink>
        </w:p>
        <w:p w14:paraId="1A46811C" w14:textId="4B0FBC66" w:rsidR="00E62468" w:rsidRDefault="00FC0578">
          <w:pPr>
            <w:pStyle w:val="TOC1"/>
            <w:rPr>
              <w:rFonts w:asciiTheme="minorHAnsi" w:eastAsiaTheme="minorEastAsia" w:hAnsiTheme="minorHAnsi"/>
              <w:b w:val="0"/>
              <w:bCs w:val="0"/>
              <w:caps w:val="0"/>
              <w:noProof/>
              <w:lang w:eastAsia="en-AU"/>
            </w:rPr>
          </w:pPr>
          <w:hyperlink w:anchor="_Toc523236215" w:history="1">
            <w:r w:rsidR="00E62468" w:rsidRPr="001A2DF9">
              <w:rPr>
                <w:rStyle w:val="Hyperlink"/>
                <w:noProof/>
              </w:rPr>
              <w:t>Appendix 2</w:t>
            </w:r>
            <w:r w:rsidR="00E62468">
              <w:rPr>
                <w:noProof/>
                <w:webHidden/>
              </w:rPr>
              <w:tab/>
            </w:r>
            <w:r w:rsidR="00E62468">
              <w:rPr>
                <w:noProof/>
                <w:webHidden/>
              </w:rPr>
              <w:fldChar w:fldCharType="begin"/>
            </w:r>
            <w:r w:rsidR="00E62468">
              <w:rPr>
                <w:noProof/>
                <w:webHidden/>
              </w:rPr>
              <w:instrText xml:space="preserve"> PAGEREF _Toc523236215 \h </w:instrText>
            </w:r>
            <w:r w:rsidR="00E62468">
              <w:rPr>
                <w:noProof/>
                <w:webHidden/>
              </w:rPr>
            </w:r>
            <w:r w:rsidR="00E62468">
              <w:rPr>
                <w:noProof/>
                <w:webHidden/>
              </w:rPr>
              <w:fldChar w:fldCharType="separate"/>
            </w:r>
            <w:r w:rsidR="00E62468">
              <w:rPr>
                <w:noProof/>
                <w:webHidden/>
              </w:rPr>
              <w:t>27</w:t>
            </w:r>
            <w:r w:rsidR="00E62468">
              <w:rPr>
                <w:noProof/>
                <w:webHidden/>
              </w:rPr>
              <w:fldChar w:fldCharType="end"/>
            </w:r>
          </w:hyperlink>
        </w:p>
        <w:p w14:paraId="1DD3C92C" w14:textId="561F6515" w:rsidR="00E62468" w:rsidRDefault="00FC0578">
          <w:pPr>
            <w:pStyle w:val="TOC2"/>
            <w:tabs>
              <w:tab w:val="right" w:pos="9628"/>
            </w:tabs>
            <w:rPr>
              <w:rFonts w:asciiTheme="minorHAnsi" w:eastAsiaTheme="minorEastAsia" w:hAnsiTheme="minorHAnsi"/>
              <w:bCs w:val="0"/>
              <w:smallCaps w:val="0"/>
              <w:noProof/>
              <w:lang w:eastAsia="en-AU"/>
            </w:rPr>
          </w:pPr>
          <w:hyperlink w:anchor="_Toc523236216" w:history="1">
            <w:r w:rsidR="00E62468" w:rsidRPr="001A2DF9">
              <w:rPr>
                <w:rStyle w:val="Hyperlink"/>
                <w:noProof/>
              </w:rPr>
              <w:t>Working Group Members</w:t>
            </w:r>
            <w:r w:rsidR="00E62468">
              <w:rPr>
                <w:noProof/>
                <w:webHidden/>
              </w:rPr>
              <w:tab/>
            </w:r>
            <w:r w:rsidR="00E62468">
              <w:rPr>
                <w:noProof/>
                <w:webHidden/>
              </w:rPr>
              <w:fldChar w:fldCharType="begin"/>
            </w:r>
            <w:r w:rsidR="00E62468">
              <w:rPr>
                <w:noProof/>
                <w:webHidden/>
              </w:rPr>
              <w:instrText xml:space="preserve"> PAGEREF _Toc523236216 \h </w:instrText>
            </w:r>
            <w:r w:rsidR="00E62468">
              <w:rPr>
                <w:noProof/>
                <w:webHidden/>
              </w:rPr>
            </w:r>
            <w:r w:rsidR="00E62468">
              <w:rPr>
                <w:noProof/>
                <w:webHidden/>
              </w:rPr>
              <w:fldChar w:fldCharType="separate"/>
            </w:r>
            <w:r w:rsidR="00E62468">
              <w:rPr>
                <w:noProof/>
                <w:webHidden/>
              </w:rPr>
              <w:t>27</w:t>
            </w:r>
            <w:r w:rsidR="00E62468">
              <w:rPr>
                <w:noProof/>
                <w:webHidden/>
              </w:rPr>
              <w:fldChar w:fldCharType="end"/>
            </w:r>
          </w:hyperlink>
        </w:p>
        <w:p w14:paraId="60D957BA" w14:textId="00F144F9" w:rsidR="00E62468" w:rsidRDefault="00FC0578">
          <w:pPr>
            <w:pStyle w:val="TOC1"/>
            <w:rPr>
              <w:rFonts w:asciiTheme="minorHAnsi" w:eastAsiaTheme="minorEastAsia" w:hAnsiTheme="minorHAnsi"/>
              <w:b w:val="0"/>
              <w:bCs w:val="0"/>
              <w:caps w:val="0"/>
              <w:noProof/>
              <w:lang w:eastAsia="en-AU"/>
            </w:rPr>
          </w:pPr>
          <w:hyperlink w:anchor="_Toc523236217" w:history="1">
            <w:r w:rsidR="00E62468" w:rsidRPr="001A2DF9">
              <w:rPr>
                <w:rStyle w:val="Hyperlink"/>
                <w:noProof/>
              </w:rPr>
              <w:t>Appendix 3</w:t>
            </w:r>
            <w:r w:rsidR="00E62468">
              <w:rPr>
                <w:noProof/>
                <w:webHidden/>
              </w:rPr>
              <w:tab/>
            </w:r>
            <w:r w:rsidR="00E62468">
              <w:rPr>
                <w:noProof/>
                <w:webHidden/>
              </w:rPr>
              <w:fldChar w:fldCharType="begin"/>
            </w:r>
            <w:r w:rsidR="00E62468">
              <w:rPr>
                <w:noProof/>
                <w:webHidden/>
              </w:rPr>
              <w:instrText xml:space="preserve"> PAGEREF _Toc523236217 \h </w:instrText>
            </w:r>
            <w:r w:rsidR="00E62468">
              <w:rPr>
                <w:noProof/>
                <w:webHidden/>
              </w:rPr>
            </w:r>
            <w:r w:rsidR="00E62468">
              <w:rPr>
                <w:noProof/>
                <w:webHidden/>
              </w:rPr>
              <w:fldChar w:fldCharType="separate"/>
            </w:r>
            <w:r w:rsidR="00E62468">
              <w:rPr>
                <w:noProof/>
                <w:webHidden/>
              </w:rPr>
              <w:t>28</w:t>
            </w:r>
            <w:r w:rsidR="00E62468">
              <w:rPr>
                <w:noProof/>
                <w:webHidden/>
              </w:rPr>
              <w:fldChar w:fldCharType="end"/>
            </w:r>
          </w:hyperlink>
        </w:p>
        <w:p w14:paraId="0D0763FF" w14:textId="3D192F35" w:rsidR="00E62468" w:rsidRDefault="00FC0578">
          <w:pPr>
            <w:pStyle w:val="TOC2"/>
            <w:tabs>
              <w:tab w:val="right" w:pos="9628"/>
            </w:tabs>
            <w:rPr>
              <w:rFonts w:asciiTheme="minorHAnsi" w:eastAsiaTheme="minorEastAsia" w:hAnsiTheme="minorHAnsi"/>
              <w:bCs w:val="0"/>
              <w:smallCaps w:val="0"/>
              <w:noProof/>
              <w:lang w:eastAsia="en-AU"/>
            </w:rPr>
          </w:pPr>
          <w:hyperlink w:anchor="_Toc523236218" w:history="1">
            <w:r w:rsidR="00E62468" w:rsidRPr="001A2DF9">
              <w:rPr>
                <w:rStyle w:val="Hyperlink"/>
                <w:noProof/>
              </w:rPr>
              <w:t>Search Strategy</w:t>
            </w:r>
            <w:r w:rsidR="00E62468">
              <w:rPr>
                <w:noProof/>
                <w:webHidden/>
              </w:rPr>
              <w:tab/>
            </w:r>
            <w:r w:rsidR="00E62468">
              <w:rPr>
                <w:noProof/>
                <w:webHidden/>
              </w:rPr>
              <w:fldChar w:fldCharType="begin"/>
            </w:r>
            <w:r w:rsidR="00E62468">
              <w:rPr>
                <w:noProof/>
                <w:webHidden/>
              </w:rPr>
              <w:instrText xml:space="preserve"> PAGEREF _Toc523236218 \h </w:instrText>
            </w:r>
            <w:r w:rsidR="00E62468">
              <w:rPr>
                <w:noProof/>
                <w:webHidden/>
              </w:rPr>
            </w:r>
            <w:r w:rsidR="00E62468">
              <w:rPr>
                <w:noProof/>
                <w:webHidden/>
              </w:rPr>
              <w:fldChar w:fldCharType="separate"/>
            </w:r>
            <w:r w:rsidR="00E62468">
              <w:rPr>
                <w:noProof/>
                <w:webHidden/>
              </w:rPr>
              <w:t>28</w:t>
            </w:r>
            <w:r w:rsidR="00E62468">
              <w:rPr>
                <w:noProof/>
                <w:webHidden/>
              </w:rPr>
              <w:fldChar w:fldCharType="end"/>
            </w:r>
          </w:hyperlink>
        </w:p>
        <w:p w14:paraId="495902B1" w14:textId="4565B8D2" w:rsidR="00BB667B" w:rsidRDefault="006B7BC7">
          <w:r>
            <w:rPr>
              <w:rFonts w:asciiTheme="minorHAnsi" w:hAnsiTheme="minorHAnsi"/>
              <w:b/>
              <w:bCs/>
              <w:caps/>
              <w:sz w:val="22"/>
              <w:u w:val="single"/>
            </w:rPr>
            <w:fldChar w:fldCharType="end"/>
          </w:r>
        </w:p>
      </w:sdtContent>
    </w:sdt>
    <w:p w14:paraId="76C919D6" w14:textId="77777777" w:rsidR="00B4127D" w:rsidRDefault="00B4127D" w:rsidP="00B4127D">
      <w:pPr>
        <w:sectPr w:rsidR="00B4127D" w:rsidSect="003E4EFA">
          <w:headerReference w:type="default" r:id="rId14"/>
          <w:footerReference w:type="default" r:id="rId15"/>
          <w:pgSz w:w="11906" w:h="16838" w:code="9"/>
          <w:pgMar w:top="1134" w:right="1134" w:bottom="1134" w:left="1134" w:header="680" w:footer="851" w:gutter="0"/>
          <w:pgNumType w:fmt="lowerRoman" w:start="1"/>
          <w:cols w:space="708"/>
          <w:docGrid w:linePitch="360"/>
        </w:sectPr>
      </w:pPr>
    </w:p>
    <w:p w14:paraId="1BF12945" w14:textId="7207ECC2" w:rsidR="00082B77" w:rsidRDefault="00C460B2" w:rsidP="001F2E1D">
      <w:pPr>
        <w:pStyle w:val="TOCHeading"/>
      </w:pPr>
      <w:r>
        <w:lastRenderedPageBreak/>
        <w:t>List of T</w:t>
      </w:r>
      <w:r w:rsidR="00082B77" w:rsidRPr="00601211">
        <w:t>ables</w:t>
      </w:r>
    </w:p>
    <w:p w14:paraId="0DC8FFBB" w14:textId="77777777" w:rsidR="004A1E1B" w:rsidRDefault="004A1E1B">
      <w:pPr>
        <w:pStyle w:val="TableofFigures"/>
        <w:tabs>
          <w:tab w:val="left" w:pos="3517"/>
        </w:tabs>
        <w:rPr>
          <w:rFonts w:ascii="Cambria" w:hAnsi="Cambria"/>
        </w:rPr>
      </w:pPr>
    </w:p>
    <w:p w14:paraId="3C7987D4" w14:textId="77777777" w:rsidR="00542F4A" w:rsidRDefault="004A1E1B" w:rsidP="00A15D68">
      <w:pPr>
        <w:pStyle w:val="TableofFigures"/>
        <w:tabs>
          <w:tab w:val="clear" w:pos="9072"/>
          <w:tab w:val="right" w:leader="dot" w:pos="9638"/>
        </w:tabs>
        <w:rPr>
          <w:rFonts w:asciiTheme="minorHAnsi" w:eastAsiaTheme="minorEastAsia" w:hAnsiTheme="minorHAnsi"/>
          <w:noProof/>
          <w:lang w:eastAsia="en-AU"/>
        </w:rPr>
      </w:pPr>
      <w:r w:rsidRPr="003A4EF0">
        <w:rPr>
          <w:rFonts w:ascii="Cambria" w:hAnsi="Cambria"/>
        </w:rPr>
        <w:fldChar w:fldCharType="begin"/>
      </w:r>
      <w:r w:rsidRPr="003A4EF0">
        <w:rPr>
          <w:rFonts w:ascii="Cambria" w:hAnsi="Cambria"/>
        </w:rPr>
        <w:instrText xml:space="preserve"> TOC \h \z \c "Table" </w:instrText>
      </w:r>
      <w:r w:rsidRPr="003A4EF0">
        <w:rPr>
          <w:rFonts w:ascii="Cambria" w:hAnsi="Cambria"/>
        </w:rPr>
        <w:fldChar w:fldCharType="separate"/>
      </w:r>
      <w:hyperlink w:anchor="_Toc467155922" w:history="1">
        <w:r w:rsidR="00542F4A" w:rsidRPr="00A80F21">
          <w:rPr>
            <w:rStyle w:val="Hyperlink"/>
            <w:noProof/>
          </w:rPr>
          <w:t>Table 3.1</w:t>
        </w:r>
        <w:r w:rsidR="00542F4A">
          <w:rPr>
            <w:rFonts w:asciiTheme="minorHAnsi" w:eastAsiaTheme="minorEastAsia" w:hAnsiTheme="minorHAnsi"/>
            <w:noProof/>
            <w:lang w:eastAsia="en-AU"/>
          </w:rPr>
          <w:tab/>
        </w:r>
        <w:r w:rsidR="00542F4A" w:rsidRPr="00A80F21">
          <w:rPr>
            <w:rStyle w:val="Hyperlink"/>
            <w:noProof/>
          </w:rPr>
          <w:t>Selection criteria for evidence relating to SS services provided by community pharmacies</w:t>
        </w:r>
        <w:r w:rsidR="00542F4A">
          <w:rPr>
            <w:noProof/>
            <w:webHidden/>
          </w:rPr>
          <w:tab/>
        </w:r>
        <w:r w:rsidR="00542F4A">
          <w:rPr>
            <w:noProof/>
            <w:webHidden/>
          </w:rPr>
          <w:fldChar w:fldCharType="begin"/>
        </w:r>
        <w:r w:rsidR="00542F4A">
          <w:rPr>
            <w:noProof/>
            <w:webHidden/>
          </w:rPr>
          <w:instrText xml:space="preserve"> PAGEREF _Toc467155922 \h </w:instrText>
        </w:r>
        <w:r w:rsidR="00542F4A">
          <w:rPr>
            <w:noProof/>
            <w:webHidden/>
          </w:rPr>
        </w:r>
        <w:r w:rsidR="00542F4A">
          <w:rPr>
            <w:noProof/>
            <w:webHidden/>
          </w:rPr>
          <w:fldChar w:fldCharType="separate"/>
        </w:r>
        <w:r w:rsidR="006F3580">
          <w:rPr>
            <w:noProof/>
            <w:webHidden/>
          </w:rPr>
          <w:t>9</w:t>
        </w:r>
        <w:r w:rsidR="00542F4A">
          <w:rPr>
            <w:noProof/>
            <w:webHidden/>
          </w:rPr>
          <w:fldChar w:fldCharType="end"/>
        </w:r>
      </w:hyperlink>
    </w:p>
    <w:p w14:paraId="1D5CB193" w14:textId="77777777" w:rsidR="00542F4A" w:rsidRDefault="00FC0578" w:rsidP="00A15D68">
      <w:pPr>
        <w:pStyle w:val="TableofFigures"/>
        <w:tabs>
          <w:tab w:val="clear" w:pos="1418"/>
          <w:tab w:val="clear" w:pos="9072"/>
          <w:tab w:val="right" w:pos="9639"/>
        </w:tabs>
        <w:rPr>
          <w:rFonts w:asciiTheme="minorHAnsi" w:eastAsiaTheme="minorEastAsia" w:hAnsiTheme="minorHAnsi"/>
          <w:noProof/>
          <w:lang w:eastAsia="en-AU"/>
        </w:rPr>
      </w:pPr>
      <w:hyperlink w:anchor="_Toc467155923" w:history="1">
        <w:r w:rsidR="00542F4A" w:rsidRPr="00A80F21">
          <w:rPr>
            <w:rStyle w:val="Hyperlink"/>
            <w:noProof/>
          </w:rPr>
          <w:t>Table 3.2</w:t>
        </w:r>
        <w:r w:rsidR="00542F4A">
          <w:rPr>
            <w:rFonts w:asciiTheme="minorHAnsi" w:eastAsiaTheme="minorEastAsia" w:hAnsiTheme="minorHAnsi"/>
            <w:noProof/>
            <w:lang w:eastAsia="en-AU"/>
          </w:rPr>
          <w:tab/>
        </w:r>
        <w:r w:rsidR="00542F4A" w:rsidRPr="00A80F21">
          <w:rPr>
            <w:rStyle w:val="Hyperlink"/>
            <w:noProof/>
          </w:rPr>
          <w:t>Databases searched</w:t>
        </w:r>
        <w:r w:rsidR="00542F4A">
          <w:rPr>
            <w:noProof/>
            <w:webHidden/>
          </w:rPr>
          <w:tab/>
        </w:r>
        <w:r w:rsidR="00542F4A">
          <w:rPr>
            <w:noProof/>
            <w:webHidden/>
          </w:rPr>
          <w:fldChar w:fldCharType="begin"/>
        </w:r>
        <w:r w:rsidR="00542F4A">
          <w:rPr>
            <w:noProof/>
            <w:webHidden/>
          </w:rPr>
          <w:instrText xml:space="preserve"> PAGEREF _Toc467155923 \h </w:instrText>
        </w:r>
        <w:r w:rsidR="00542F4A">
          <w:rPr>
            <w:noProof/>
            <w:webHidden/>
          </w:rPr>
        </w:r>
        <w:r w:rsidR="00542F4A">
          <w:rPr>
            <w:noProof/>
            <w:webHidden/>
          </w:rPr>
          <w:fldChar w:fldCharType="separate"/>
        </w:r>
        <w:r w:rsidR="006F3580">
          <w:rPr>
            <w:noProof/>
            <w:webHidden/>
          </w:rPr>
          <w:t>11</w:t>
        </w:r>
        <w:r w:rsidR="00542F4A">
          <w:rPr>
            <w:noProof/>
            <w:webHidden/>
          </w:rPr>
          <w:fldChar w:fldCharType="end"/>
        </w:r>
      </w:hyperlink>
    </w:p>
    <w:p w14:paraId="08151AEA"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924" w:history="1">
        <w:r w:rsidR="00542F4A" w:rsidRPr="00A80F21">
          <w:rPr>
            <w:rStyle w:val="Hyperlink"/>
            <w:noProof/>
          </w:rPr>
          <w:t>Table 3.3</w:t>
        </w:r>
        <w:r w:rsidR="00542F4A">
          <w:rPr>
            <w:rFonts w:asciiTheme="minorHAnsi" w:eastAsiaTheme="minorEastAsia" w:hAnsiTheme="minorHAnsi"/>
            <w:noProof/>
            <w:lang w:eastAsia="en-AU"/>
          </w:rPr>
          <w:tab/>
        </w:r>
        <w:r w:rsidR="00542F4A" w:rsidRPr="00A80F21">
          <w:rPr>
            <w:rStyle w:val="Hyperlink"/>
            <w:noProof/>
          </w:rPr>
          <w:t>Summary of the process used to identify relevant studies and reports</w:t>
        </w:r>
        <w:r w:rsidR="00542F4A">
          <w:rPr>
            <w:noProof/>
            <w:webHidden/>
          </w:rPr>
          <w:tab/>
        </w:r>
        <w:r w:rsidR="00542F4A">
          <w:rPr>
            <w:noProof/>
            <w:webHidden/>
          </w:rPr>
          <w:fldChar w:fldCharType="begin"/>
        </w:r>
        <w:r w:rsidR="00542F4A">
          <w:rPr>
            <w:noProof/>
            <w:webHidden/>
          </w:rPr>
          <w:instrText xml:space="preserve"> PAGEREF _Toc467155924 \h </w:instrText>
        </w:r>
        <w:r w:rsidR="00542F4A">
          <w:rPr>
            <w:noProof/>
            <w:webHidden/>
          </w:rPr>
        </w:r>
        <w:r w:rsidR="00542F4A">
          <w:rPr>
            <w:noProof/>
            <w:webHidden/>
          </w:rPr>
          <w:fldChar w:fldCharType="separate"/>
        </w:r>
        <w:r w:rsidR="006F3580">
          <w:rPr>
            <w:noProof/>
            <w:webHidden/>
          </w:rPr>
          <w:t>12</w:t>
        </w:r>
        <w:r w:rsidR="00542F4A">
          <w:rPr>
            <w:noProof/>
            <w:webHidden/>
          </w:rPr>
          <w:fldChar w:fldCharType="end"/>
        </w:r>
      </w:hyperlink>
    </w:p>
    <w:p w14:paraId="2CB63390"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925" w:history="1">
        <w:r w:rsidR="00542F4A" w:rsidRPr="00A80F21">
          <w:rPr>
            <w:rStyle w:val="Hyperlink"/>
            <w:noProof/>
          </w:rPr>
          <w:t>Table 3.4</w:t>
        </w:r>
        <w:r w:rsidR="00542F4A">
          <w:rPr>
            <w:rFonts w:asciiTheme="minorHAnsi" w:eastAsiaTheme="minorEastAsia" w:hAnsiTheme="minorHAnsi"/>
            <w:noProof/>
            <w:lang w:eastAsia="en-AU"/>
          </w:rPr>
          <w:tab/>
        </w:r>
        <w:r w:rsidR="00542F4A" w:rsidRPr="00A80F21">
          <w:rPr>
            <w:rStyle w:val="Hyperlink"/>
            <w:noProof/>
          </w:rPr>
          <w:t>Citation details for previous evaluations</w:t>
        </w:r>
        <w:r w:rsidR="00542F4A">
          <w:rPr>
            <w:noProof/>
            <w:webHidden/>
          </w:rPr>
          <w:tab/>
        </w:r>
        <w:r w:rsidR="00542F4A">
          <w:rPr>
            <w:noProof/>
            <w:webHidden/>
          </w:rPr>
          <w:fldChar w:fldCharType="begin"/>
        </w:r>
        <w:r w:rsidR="00542F4A">
          <w:rPr>
            <w:noProof/>
            <w:webHidden/>
          </w:rPr>
          <w:instrText xml:space="preserve"> PAGEREF _Toc467155925 \h </w:instrText>
        </w:r>
        <w:r w:rsidR="00542F4A">
          <w:rPr>
            <w:noProof/>
            <w:webHidden/>
          </w:rPr>
        </w:r>
        <w:r w:rsidR="00542F4A">
          <w:rPr>
            <w:noProof/>
            <w:webHidden/>
          </w:rPr>
          <w:fldChar w:fldCharType="separate"/>
        </w:r>
        <w:r w:rsidR="006F3580">
          <w:rPr>
            <w:noProof/>
            <w:webHidden/>
          </w:rPr>
          <w:t>12</w:t>
        </w:r>
        <w:r w:rsidR="00542F4A">
          <w:rPr>
            <w:noProof/>
            <w:webHidden/>
          </w:rPr>
          <w:fldChar w:fldCharType="end"/>
        </w:r>
      </w:hyperlink>
    </w:p>
    <w:p w14:paraId="64E4E9C3"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926" w:history="1">
        <w:r w:rsidR="00542F4A" w:rsidRPr="00A80F21">
          <w:rPr>
            <w:rStyle w:val="Hyperlink"/>
            <w:noProof/>
          </w:rPr>
          <w:t>Table 4.1</w:t>
        </w:r>
        <w:r w:rsidR="00542F4A">
          <w:rPr>
            <w:rFonts w:asciiTheme="minorHAnsi" w:eastAsiaTheme="minorEastAsia" w:hAnsiTheme="minorHAnsi"/>
            <w:noProof/>
            <w:lang w:eastAsia="en-AU"/>
          </w:rPr>
          <w:tab/>
        </w:r>
        <w:r w:rsidR="00542F4A" w:rsidRPr="00A80F21">
          <w:rPr>
            <w:rStyle w:val="Hyperlink"/>
            <w:noProof/>
          </w:rPr>
          <w:t>Main findings of the 2010 NOVA Public Policy Review of SS</w:t>
        </w:r>
        <w:r w:rsidR="00542F4A">
          <w:rPr>
            <w:noProof/>
            <w:webHidden/>
          </w:rPr>
          <w:tab/>
        </w:r>
        <w:r w:rsidR="00542F4A">
          <w:rPr>
            <w:noProof/>
            <w:webHidden/>
          </w:rPr>
          <w:fldChar w:fldCharType="begin"/>
        </w:r>
        <w:r w:rsidR="00542F4A">
          <w:rPr>
            <w:noProof/>
            <w:webHidden/>
          </w:rPr>
          <w:instrText xml:space="preserve"> PAGEREF _Toc467155926 \h </w:instrText>
        </w:r>
        <w:r w:rsidR="00542F4A">
          <w:rPr>
            <w:noProof/>
            <w:webHidden/>
          </w:rPr>
        </w:r>
        <w:r w:rsidR="00542F4A">
          <w:rPr>
            <w:noProof/>
            <w:webHidden/>
          </w:rPr>
          <w:fldChar w:fldCharType="separate"/>
        </w:r>
        <w:r w:rsidR="006F3580">
          <w:rPr>
            <w:noProof/>
            <w:webHidden/>
          </w:rPr>
          <w:t>15</w:t>
        </w:r>
        <w:r w:rsidR="00542F4A">
          <w:rPr>
            <w:noProof/>
            <w:webHidden/>
          </w:rPr>
          <w:fldChar w:fldCharType="end"/>
        </w:r>
      </w:hyperlink>
    </w:p>
    <w:p w14:paraId="3CE8BE7F"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927" w:history="1">
        <w:r w:rsidR="00542F4A" w:rsidRPr="00A80F21">
          <w:rPr>
            <w:rStyle w:val="Hyperlink"/>
            <w:noProof/>
          </w:rPr>
          <w:t>Table 4.2</w:t>
        </w:r>
        <w:r w:rsidR="00542F4A">
          <w:rPr>
            <w:rFonts w:asciiTheme="minorHAnsi" w:eastAsiaTheme="minorEastAsia" w:hAnsiTheme="minorHAnsi"/>
            <w:noProof/>
            <w:lang w:eastAsia="en-AU"/>
          </w:rPr>
          <w:tab/>
        </w:r>
        <w:r w:rsidR="00542F4A" w:rsidRPr="00A80F21">
          <w:rPr>
            <w:rStyle w:val="Hyperlink"/>
            <w:noProof/>
          </w:rPr>
          <w:t>Main findings of the 2015 5CPA combined review, 2011-2014</w:t>
        </w:r>
        <w:r w:rsidR="00542F4A">
          <w:rPr>
            <w:noProof/>
            <w:webHidden/>
          </w:rPr>
          <w:tab/>
        </w:r>
        <w:r w:rsidR="00542F4A">
          <w:rPr>
            <w:noProof/>
            <w:webHidden/>
          </w:rPr>
          <w:fldChar w:fldCharType="begin"/>
        </w:r>
        <w:r w:rsidR="00542F4A">
          <w:rPr>
            <w:noProof/>
            <w:webHidden/>
          </w:rPr>
          <w:instrText xml:space="preserve"> PAGEREF _Toc467155927 \h </w:instrText>
        </w:r>
        <w:r w:rsidR="00542F4A">
          <w:rPr>
            <w:noProof/>
            <w:webHidden/>
          </w:rPr>
        </w:r>
        <w:r w:rsidR="00542F4A">
          <w:rPr>
            <w:noProof/>
            <w:webHidden/>
          </w:rPr>
          <w:fldChar w:fldCharType="separate"/>
        </w:r>
        <w:r w:rsidR="006F3580">
          <w:rPr>
            <w:noProof/>
            <w:webHidden/>
          </w:rPr>
          <w:t>17</w:t>
        </w:r>
        <w:r w:rsidR="00542F4A">
          <w:rPr>
            <w:noProof/>
            <w:webHidden/>
          </w:rPr>
          <w:fldChar w:fldCharType="end"/>
        </w:r>
      </w:hyperlink>
    </w:p>
    <w:p w14:paraId="47E0F41D"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928" w:history="1">
        <w:r w:rsidR="00542F4A" w:rsidRPr="00A80F21">
          <w:rPr>
            <w:rStyle w:val="Hyperlink"/>
            <w:noProof/>
          </w:rPr>
          <w:t>Table 5.1</w:t>
        </w:r>
        <w:r w:rsidR="00542F4A">
          <w:rPr>
            <w:rFonts w:asciiTheme="minorHAnsi" w:eastAsiaTheme="minorEastAsia" w:hAnsiTheme="minorHAnsi"/>
            <w:noProof/>
            <w:lang w:eastAsia="en-AU"/>
          </w:rPr>
          <w:tab/>
        </w:r>
        <w:r w:rsidR="00542F4A" w:rsidRPr="00A80F21">
          <w:rPr>
            <w:rStyle w:val="Hyperlink"/>
            <w:noProof/>
          </w:rPr>
          <w:t>Summary of pharmacy SS claims 2012 – 2016</w:t>
        </w:r>
        <w:r w:rsidR="00542F4A">
          <w:rPr>
            <w:noProof/>
            <w:webHidden/>
          </w:rPr>
          <w:tab/>
        </w:r>
        <w:r w:rsidR="00542F4A">
          <w:rPr>
            <w:noProof/>
            <w:webHidden/>
          </w:rPr>
          <w:fldChar w:fldCharType="begin"/>
        </w:r>
        <w:r w:rsidR="00542F4A">
          <w:rPr>
            <w:noProof/>
            <w:webHidden/>
          </w:rPr>
          <w:instrText xml:space="preserve"> PAGEREF _Toc467155928 \h </w:instrText>
        </w:r>
        <w:r w:rsidR="00542F4A">
          <w:rPr>
            <w:noProof/>
            <w:webHidden/>
          </w:rPr>
        </w:r>
        <w:r w:rsidR="00542F4A">
          <w:rPr>
            <w:noProof/>
            <w:webHidden/>
          </w:rPr>
          <w:fldChar w:fldCharType="separate"/>
        </w:r>
        <w:r w:rsidR="006F3580">
          <w:rPr>
            <w:noProof/>
            <w:webHidden/>
          </w:rPr>
          <w:t>19</w:t>
        </w:r>
        <w:r w:rsidR="00542F4A">
          <w:rPr>
            <w:noProof/>
            <w:webHidden/>
          </w:rPr>
          <w:fldChar w:fldCharType="end"/>
        </w:r>
      </w:hyperlink>
    </w:p>
    <w:p w14:paraId="1C01DE8B"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929" w:history="1">
        <w:r w:rsidR="00542F4A" w:rsidRPr="00A80F21">
          <w:rPr>
            <w:rStyle w:val="Hyperlink"/>
            <w:noProof/>
          </w:rPr>
          <w:t>Table 5.2</w:t>
        </w:r>
        <w:r w:rsidR="00542F4A">
          <w:rPr>
            <w:rFonts w:asciiTheme="minorHAnsi" w:eastAsiaTheme="minorEastAsia" w:hAnsiTheme="minorHAnsi"/>
            <w:noProof/>
            <w:lang w:eastAsia="en-AU"/>
          </w:rPr>
          <w:tab/>
        </w:r>
        <w:r w:rsidR="00542F4A" w:rsidRPr="00A80F21">
          <w:rPr>
            <w:rStyle w:val="Hyperlink"/>
            <w:noProof/>
          </w:rPr>
          <w:t>Summary of pharmacy SS claims 2012 – 2016 by ABS Remoteness</w:t>
        </w:r>
        <w:r w:rsidR="00542F4A">
          <w:rPr>
            <w:noProof/>
            <w:webHidden/>
          </w:rPr>
          <w:tab/>
        </w:r>
        <w:r w:rsidR="00542F4A">
          <w:rPr>
            <w:noProof/>
            <w:webHidden/>
          </w:rPr>
          <w:fldChar w:fldCharType="begin"/>
        </w:r>
        <w:r w:rsidR="00542F4A">
          <w:rPr>
            <w:noProof/>
            <w:webHidden/>
          </w:rPr>
          <w:instrText xml:space="preserve"> PAGEREF _Toc467155929 \h </w:instrText>
        </w:r>
        <w:r w:rsidR="00542F4A">
          <w:rPr>
            <w:noProof/>
            <w:webHidden/>
          </w:rPr>
        </w:r>
        <w:r w:rsidR="00542F4A">
          <w:rPr>
            <w:noProof/>
            <w:webHidden/>
          </w:rPr>
          <w:fldChar w:fldCharType="separate"/>
        </w:r>
        <w:r w:rsidR="006F3580">
          <w:rPr>
            <w:noProof/>
            <w:webHidden/>
          </w:rPr>
          <w:t>20</w:t>
        </w:r>
        <w:r w:rsidR="00542F4A">
          <w:rPr>
            <w:noProof/>
            <w:webHidden/>
          </w:rPr>
          <w:fldChar w:fldCharType="end"/>
        </w:r>
      </w:hyperlink>
    </w:p>
    <w:p w14:paraId="0EC34474"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930" w:history="1">
        <w:r w:rsidR="00542F4A" w:rsidRPr="00A80F21">
          <w:rPr>
            <w:rStyle w:val="Hyperlink"/>
            <w:noProof/>
          </w:rPr>
          <w:t>Table 5.3</w:t>
        </w:r>
        <w:r w:rsidR="00542F4A">
          <w:rPr>
            <w:rFonts w:asciiTheme="minorHAnsi" w:eastAsiaTheme="minorEastAsia" w:hAnsiTheme="minorHAnsi"/>
            <w:noProof/>
            <w:lang w:eastAsia="en-AU"/>
          </w:rPr>
          <w:tab/>
        </w:r>
        <w:r w:rsidR="00542F4A" w:rsidRPr="00A80F21">
          <w:rPr>
            <w:rStyle w:val="Hyperlink"/>
            <w:noProof/>
          </w:rPr>
          <w:t>Mental health prevalence and SS dollars claimed per capita, 2015</w:t>
        </w:r>
        <w:r w:rsidR="00542F4A">
          <w:rPr>
            <w:noProof/>
            <w:webHidden/>
          </w:rPr>
          <w:tab/>
        </w:r>
        <w:r w:rsidR="00542F4A">
          <w:rPr>
            <w:noProof/>
            <w:webHidden/>
          </w:rPr>
          <w:fldChar w:fldCharType="begin"/>
        </w:r>
        <w:r w:rsidR="00542F4A">
          <w:rPr>
            <w:noProof/>
            <w:webHidden/>
          </w:rPr>
          <w:instrText xml:space="preserve"> PAGEREF _Toc467155930 \h </w:instrText>
        </w:r>
        <w:r w:rsidR="00542F4A">
          <w:rPr>
            <w:noProof/>
            <w:webHidden/>
          </w:rPr>
        </w:r>
        <w:r w:rsidR="00542F4A">
          <w:rPr>
            <w:noProof/>
            <w:webHidden/>
          </w:rPr>
          <w:fldChar w:fldCharType="separate"/>
        </w:r>
        <w:r w:rsidR="006F3580">
          <w:rPr>
            <w:noProof/>
            <w:webHidden/>
          </w:rPr>
          <w:t>24</w:t>
        </w:r>
        <w:r w:rsidR="00542F4A">
          <w:rPr>
            <w:noProof/>
            <w:webHidden/>
          </w:rPr>
          <w:fldChar w:fldCharType="end"/>
        </w:r>
      </w:hyperlink>
    </w:p>
    <w:p w14:paraId="4D14448B" w14:textId="77777777" w:rsidR="00542F4A" w:rsidRDefault="004A1E1B" w:rsidP="00A15D68">
      <w:pPr>
        <w:pStyle w:val="TableofFigures"/>
        <w:tabs>
          <w:tab w:val="clear" w:pos="9072"/>
          <w:tab w:val="right" w:leader="dot" w:pos="9638"/>
        </w:tabs>
        <w:rPr>
          <w:noProof/>
        </w:rPr>
      </w:pPr>
      <w:r w:rsidRPr="003A4EF0">
        <w:fldChar w:fldCharType="end"/>
      </w:r>
      <w:r w:rsidRPr="004A1E1B">
        <w:fldChar w:fldCharType="begin"/>
      </w:r>
      <w:r w:rsidRPr="004A1E1B">
        <w:instrText xml:space="preserve"> TOC \h \z \c "Table A-" </w:instrText>
      </w:r>
      <w:r w:rsidRPr="004A1E1B">
        <w:fldChar w:fldCharType="separate"/>
      </w:r>
    </w:p>
    <w:p w14:paraId="1D965586"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750" w:history="1">
        <w:r w:rsidR="00542F4A" w:rsidRPr="00C40B7C">
          <w:rPr>
            <w:rStyle w:val="Hyperlink"/>
            <w:noProof/>
          </w:rPr>
          <w:t>Table A-2.1</w:t>
        </w:r>
        <w:r w:rsidR="00542F4A">
          <w:rPr>
            <w:rFonts w:asciiTheme="minorHAnsi" w:eastAsiaTheme="minorEastAsia" w:hAnsiTheme="minorHAnsi"/>
            <w:noProof/>
            <w:lang w:eastAsia="en-AU"/>
          </w:rPr>
          <w:tab/>
        </w:r>
        <w:r w:rsidR="00542F4A" w:rsidRPr="00C40B7C">
          <w:rPr>
            <w:rStyle w:val="Hyperlink"/>
            <w:noProof/>
          </w:rPr>
          <w:t>Members of the Working Group for the evaluation of the medication adherence PPIPs</w:t>
        </w:r>
        <w:r w:rsidR="00542F4A">
          <w:rPr>
            <w:noProof/>
            <w:webHidden/>
          </w:rPr>
          <w:tab/>
        </w:r>
        <w:r w:rsidR="00542F4A">
          <w:rPr>
            <w:noProof/>
            <w:webHidden/>
          </w:rPr>
          <w:fldChar w:fldCharType="begin"/>
        </w:r>
        <w:r w:rsidR="00542F4A">
          <w:rPr>
            <w:noProof/>
            <w:webHidden/>
          </w:rPr>
          <w:instrText xml:space="preserve"> PAGEREF _Toc467155750 \h </w:instrText>
        </w:r>
        <w:r w:rsidR="00542F4A">
          <w:rPr>
            <w:noProof/>
            <w:webHidden/>
          </w:rPr>
        </w:r>
        <w:r w:rsidR="00542F4A">
          <w:rPr>
            <w:noProof/>
            <w:webHidden/>
          </w:rPr>
          <w:fldChar w:fldCharType="separate"/>
        </w:r>
        <w:r w:rsidR="006F3580">
          <w:rPr>
            <w:noProof/>
            <w:webHidden/>
          </w:rPr>
          <w:t>27</w:t>
        </w:r>
        <w:r w:rsidR="00542F4A">
          <w:rPr>
            <w:noProof/>
            <w:webHidden/>
          </w:rPr>
          <w:fldChar w:fldCharType="end"/>
        </w:r>
      </w:hyperlink>
    </w:p>
    <w:p w14:paraId="2B5BC508"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751" w:history="1">
        <w:r w:rsidR="00542F4A" w:rsidRPr="00C40B7C">
          <w:rPr>
            <w:rStyle w:val="Hyperlink"/>
            <w:noProof/>
          </w:rPr>
          <w:t>Table A-3.1</w:t>
        </w:r>
        <w:r w:rsidR="00542F4A">
          <w:rPr>
            <w:rFonts w:asciiTheme="minorHAnsi" w:eastAsiaTheme="minorEastAsia" w:hAnsiTheme="minorHAnsi"/>
            <w:noProof/>
            <w:lang w:eastAsia="en-AU"/>
          </w:rPr>
          <w:tab/>
        </w:r>
        <w:r w:rsidR="00542F4A" w:rsidRPr="00C40B7C">
          <w:rPr>
            <w:rStyle w:val="Hyperlink"/>
            <w:noProof/>
          </w:rPr>
          <w:t>Embase search strategy (23</w:t>
        </w:r>
        <w:r w:rsidR="00542F4A" w:rsidRPr="00C40B7C">
          <w:rPr>
            <w:rStyle w:val="Hyperlink"/>
            <w:noProof/>
            <w:vertAlign w:val="superscript"/>
          </w:rPr>
          <w:t>rd</w:t>
        </w:r>
        <w:r w:rsidR="00542F4A" w:rsidRPr="00C40B7C">
          <w:rPr>
            <w:rStyle w:val="Hyperlink"/>
            <w:noProof/>
          </w:rPr>
          <w:t xml:space="preserve"> August 2016)</w:t>
        </w:r>
        <w:r w:rsidR="00542F4A">
          <w:rPr>
            <w:noProof/>
            <w:webHidden/>
          </w:rPr>
          <w:tab/>
        </w:r>
        <w:r w:rsidR="00542F4A">
          <w:rPr>
            <w:noProof/>
            <w:webHidden/>
          </w:rPr>
          <w:fldChar w:fldCharType="begin"/>
        </w:r>
        <w:r w:rsidR="00542F4A">
          <w:rPr>
            <w:noProof/>
            <w:webHidden/>
          </w:rPr>
          <w:instrText xml:space="preserve"> PAGEREF _Toc467155751 \h </w:instrText>
        </w:r>
        <w:r w:rsidR="00542F4A">
          <w:rPr>
            <w:noProof/>
            <w:webHidden/>
          </w:rPr>
        </w:r>
        <w:r w:rsidR="00542F4A">
          <w:rPr>
            <w:noProof/>
            <w:webHidden/>
          </w:rPr>
          <w:fldChar w:fldCharType="separate"/>
        </w:r>
        <w:r w:rsidR="006F3580">
          <w:rPr>
            <w:noProof/>
            <w:webHidden/>
          </w:rPr>
          <w:t>28</w:t>
        </w:r>
        <w:r w:rsidR="00542F4A">
          <w:rPr>
            <w:noProof/>
            <w:webHidden/>
          </w:rPr>
          <w:fldChar w:fldCharType="end"/>
        </w:r>
      </w:hyperlink>
    </w:p>
    <w:p w14:paraId="7AA28517"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752" w:history="1">
        <w:r w:rsidR="00542F4A" w:rsidRPr="00C40B7C">
          <w:rPr>
            <w:rStyle w:val="Hyperlink"/>
            <w:noProof/>
          </w:rPr>
          <w:t>Table A-3.2</w:t>
        </w:r>
        <w:r w:rsidR="00542F4A">
          <w:rPr>
            <w:rFonts w:asciiTheme="minorHAnsi" w:eastAsiaTheme="minorEastAsia" w:hAnsiTheme="minorHAnsi"/>
            <w:noProof/>
            <w:lang w:eastAsia="en-AU"/>
          </w:rPr>
          <w:tab/>
        </w:r>
        <w:r w:rsidR="00542F4A" w:rsidRPr="00C40B7C">
          <w:rPr>
            <w:rStyle w:val="Hyperlink"/>
            <w:noProof/>
          </w:rPr>
          <w:t>Medline search strategy (23</w:t>
        </w:r>
        <w:r w:rsidR="00542F4A" w:rsidRPr="00C40B7C">
          <w:rPr>
            <w:rStyle w:val="Hyperlink"/>
            <w:noProof/>
            <w:vertAlign w:val="superscript"/>
          </w:rPr>
          <w:t>rd</w:t>
        </w:r>
        <w:r w:rsidR="00542F4A" w:rsidRPr="00C40B7C">
          <w:rPr>
            <w:rStyle w:val="Hyperlink"/>
            <w:noProof/>
          </w:rPr>
          <w:t xml:space="preserve"> August 2016)</w:t>
        </w:r>
        <w:r w:rsidR="00542F4A">
          <w:rPr>
            <w:noProof/>
            <w:webHidden/>
          </w:rPr>
          <w:tab/>
        </w:r>
        <w:r w:rsidR="00542F4A">
          <w:rPr>
            <w:noProof/>
            <w:webHidden/>
          </w:rPr>
          <w:fldChar w:fldCharType="begin"/>
        </w:r>
        <w:r w:rsidR="00542F4A">
          <w:rPr>
            <w:noProof/>
            <w:webHidden/>
          </w:rPr>
          <w:instrText xml:space="preserve"> PAGEREF _Toc467155752 \h </w:instrText>
        </w:r>
        <w:r w:rsidR="00542F4A">
          <w:rPr>
            <w:noProof/>
            <w:webHidden/>
          </w:rPr>
        </w:r>
        <w:r w:rsidR="00542F4A">
          <w:rPr>
            <w:noProof/>
            <w:webHidden/>
          </w:rPr>
          <w:fldChar w:fldCharType="separate"/>
        </w:r>
        <w:r w:rsidR="006F3580">
          <w:rPr>
            <w:noProof/>
            <w:webHidden/>
          </w:rPr>
          <w:t>28</w:t>
        </w:r>
        <w:r w:rsidR="00542F4A">
          <w:rPr>
            <w:noProof/>
            <w:webHidden/>
          </w:rPr>
          <w:fldChar w:fldCharType="end"/>
        </w:r>
      </w:hyperlink>
    </w:p>
    <w:p w14:paraId="47D8C49B"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753" w:history="1">
        <w:r w:rsidR="00542F4A" w:rsidRPr="00C40B7C">
          <w:rPr>
            <w:rStyle w:val="Hyperlink"/>
            <w:noProof/>
          </w:rPr>
          <w:t>Table A-3.3</w:t>
        </w:r>
        <w:r w:rsidR="00542F4A">
          <w:rPr>
            <w:rFonts w:asciiTheme="minorHAnsi" w:eastAsiaTheme="minorEastAsia" w:hAnsiTheme="minorHAnsi"/>
            <w:noProof/>
            <w:lang w:eastAsia="en-AU"/>
          </w:rPr>
          <w:tab/>
        </w:r>
        <w:r w:rsidR="00542F4A" w:rsidRPr="00C40B7C">
          <w:rPr>
            <w:rStyle w:val="Hyperlink"/>
            <w:noProof/>
          </w:rPr>
          <w:t>International Pharmaceutical Abstracts (IPA) search strategy (23</w:t>
        </w:r>
        <w:r w:rsidR="00542F4A" w:rsidRPr="00C40B7C">
          <w:rPr>
            <w:rStyle w:val="Hyperlink"/>
            <w:noProof/>
            <w:vertAlign w:val="superscript"/>
          </w:rPr>
          <w:t>rd</w:t>
        </w:r>
        <w:r w:rsidR="00542F4A" w:rsidRPr="00C40B7C">
          <w:rPr>
            <w:rStyle w:val="Hyperlink"/>
            <w:noProof/>
          </w:rPr>
          <w:t xml:space="preserve"> August 2016)</w:t>
        </w:r>
        <w:r w:rsidR="00542F4A">
          <w:rPr>
            <w:noProof/>
            <w:webHidden/>
          </w:rPr>
          <w:tab/>
        </w:r>
        <w:r w:rsidR="00542F4A">
          <w:rPr>
            <w:noProof/>
            <w:webHidden/>
          </w:rPr>
          <w:fldChar w:fldCharType="begin"/>
        </w:r>
        <w:r w:rsidR="00542F4A">
          <w:rPr>
            <w:noProof/>
            <w:webHidden/>
          </w:rPr>
          <w:instrText xml:space="preserve"> PAGEREF _Toc467155753 \h </w:instrText>
        </w:r>
        <w:r w:rsidR="00542F4A">
          <w:rPr>
            <w:noProof/>
            <w:webHidden/>
          </w:rPr>
        </w:r>
        <w:r w:rsidR="00542F4A">
          <w:rPr>
            <w:noProof/>
            <w:webHidden/>
          </w:rPr>
          <w:fldChar w:fldCharType="separate"/>
        </w:r>
        <w:r w:rsidR="006F3580">
          <w:rPr>
            <w:noProof/>
            <w:webHidden/>
          </w:rPr>
          <w:t>28</w:t>
        </w:r>
        <w:r w:rsidR="00542F4A">
          <w:rPr>
            <w:noProof/>
            <w:webHidden/>
          </w:rPr>
          <w:fldChar w:fldCharType="end"/>
        </w:r>
      </w:hyperlink>
    </w:p>
    <w:p w14:paraId="61FB54E2"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754" w:history="1">
        <w:r w:rsidR="00542F4A" w:rsidRPr="00C40B7C">
          <w:rPr>
            <w:rStyle w:val="Hyperlink"/>
            <w:noProof/>
          </w:rPr>
          <w:t>Table A-3.4</w:t>
        </w:r>
        <w:r w:rsidR="00542F4A">
          <w:rPr>
            <w:rFonts w:asciiTheme="minorHAnsi" w:eastAsiaTheme="minorEastAsia" w:hAnsiTheme="minorHAnsi"/>
            <w:noProof/>
            <w:lang w:eastAsia="en-AU"/>
          </w:rPr>
          <w:tab/>
        </w:r>
        <w:r w:rsidR="00542F4A" w:rsidRPr="00C40B7C">
          <w:rPr>
            <w:rStyle w:val="Hyperlink"/>
            <w:noProof/>
          </w:rPr>
          <w:t>Cochrane Library search strategy (23</w:t>
        </w:r>
        <w:r w:rsidR="00542F4A" w:rsidRPr="00C40B7C">
          <w:rPr>
            <w:rStyle w:val="Hyperlink"/>
            <w:noProof/>
            <w:vertAlign w:val="superscript"/>
          </w:rPr>
          <w:t>rd</w:t>
        </w:r>
        <w:r w:rsidR="00542F4A" w:rsidRPr="00C40B7C">
          <w:rPr>
            <w:rStyle w:val="Hyperlink"/>
            <w:noProof/>
          </w:rPr>
          <w:t xml:space="preserve"> August 2016)</w:t>
        </w:r>
        <w:r w:rsidR="00542F4A">
          <w:rPr>
            <w:noProof/>
            <w:webHidden/>
          </w:rPr>
          <w:tab/>
        </w:r>
        <w:r w:rsidR="00542F4A">
          <w:rPr>
            <w:noProof/>
            <w:webHidden/>
          </w:rPr>
          <w:fldChar w:fldCharType="begin"/>
        </w:r>
        <w:r w:rsidR="00542F4A">
          <w:rPr>
            <w:noProof/>
            <w:webHidden/>
          </w:rPr>
          <w:instrText xml:space="preserve"> PAGEREF _Toc467155754 \h </w:instrText>
        </w:r>
        <w:r w:rsidR="00542F4A">
          <w:rPr>
            <w:noProof/>
            <w:webHidden/>
          </w:rPr>
        </w:r>
        <w:r w:rsidR="00542F4A">
          <w:rPr>
            <w:noProof/>
            <w:webHidden/>
          </w:rPr>
          <w:fldChar w:fldCharType="separate"/>
        </w:r>
        <w:r w:rsidR="006F3580">
          <w:rPr>
            <w:noProof/>
            <w:webHidden/>
          </w:rPr>
          <w:t>29</w:t>
        </w:r>
        <w:r w:rsidR="00542F4A">
          <w:rPr>
            <w:noProof/>
            <w:webHidden/>
          </w:rPr>
          <w:fldChar w:fldCharType="end"/>
        </w:r>
      </w:hyperlink>
    </w:p>
    <w:p w14:paraId="075942B2" w14:textId="77777777" w:rsidR="004A1E1B" w:rsidRPr="00601211" w:rsidRDefault="004A1E1B" w:rsidP="00A15D68">
      <w:pPr>
        <w:pStyle w:val="TableofFigures"/>
        <w:tabs>
          <w:tab w:val="clear" w:pos="9072"/>
          <w:tab w:val="right" w:leader="dot" w:pos="9638"/>
        </w:tabs>
      </w:pPr>
      <w:r w:rsidRPr="004A1E1B">
        <w:fldChar w:fldCharType="end"/>
      </w:r>
    </w:p>
    <w:p w14:paraId="6E762ECC" w14:textId="77777777" w:rsidR="00542F4A" w:rsidRDefault="00542F4A" w:rsidP="00542F4A">
      <w:pPr>
        <w:pStyle w:val="TOCHeading"/>
      </w:pPr>
      <w:r>
        <w:lastRenderedPageBreak/>
        <w:t>List</w:t>
      </w:r>
      <w:r w:rsidRPr="00601211">
        <w:t xml:space="preserve"> of </w:t>
      </w:r>
      <w:r>
        <w:t>Figures</w:t>
      </w:r>
    </w:p>
    <w:p w14:paraId="46EE3EB9" w14:textId="77777777" w:rsidR="00542F4A" w:rsidRDefault="00542F4A" w:rsidP="00542F4A">
      <w:pPr>
        <w:pStyle w:val="TableofFigures"/>
      </w:pPr>
    </w:p>
    <w:p w14:paraId="515DC1AF" w14:textId="77777777" w:rsidR="00542F4A" w:rsidRDefault="00542F4A" w:rsidP="00A15D68">
      <w:pPr>
        <w:pStyle w:val="TableofFigures"/>
        <w:tabs>
          <w:tab w:val="clear" w:pos="9072"/>
          <w:tab w:val="right" w:leader="dot" w:pos="9638"/>
        </w:tabs>
        <w:rPr>
          <w:rFonts w:asciiTheme="minorHAnsi" w:eastAsiaTheme="minorEastAsia" w:hAnsiTheme="minorHAnsi"/>
          <w:noProof/>
          <w:lang w:eastAsia="en-AU"/>
        </w:rPr>
      </w:pPr>
      <w:r>
        <w:fldChar w:fldCharType="begin"/>
      </w:r>
      <w:r>
        <w:instrText xml:space="preserve"> TOC \h \z \c "Figure" </w:instrText>
      </w:r>
      <w:r>
        <w:fldChar w:fldCharType="separate"/>
      </w:r>
      <w:hyperlink w:anchor="_Toc467155656" w:history="1">
        <w:r w:rsidRPr="008366FF">
          <w:rPr>
            <w:rStyle w:val="Hyperlink"/>
            <w:noProof/>
          </w:rPr>
          <w:t>Figure 5.1</w:t>
        </w:r>
        <w:r>
          <w:rPr>
            <w:rFonts w:asciiTheme="minorHAnsi" w:eastAsiaTheme="minorEastAsia" w:hAnsiTheme="minorHAnsi"/>
            <w:noProof/>
            <w:lang w:eastAsia="en-AU"/>
          </w:rPr>
          <w:tab/>
        </w:r>
        <w:r w:rsidRPr="008366FF">
          <w:rPr>
            <w:rStyle w:val="Hyperlink"/>
            <w:noProof/>
          </w:rPr>
          <w:t>Count of SS services 2014 – 2016 by summary indication</w:t>
        </w:r>
        <w:r>
          <w:rPr>
            <w:noProof/>
            <w:webHidden/>
          </w:rPr>
          <w:tab/>
        </w:r>
        <w:r>
          <w:rPr>
            <w:noProof/>
            <w:webHidden/>
          </w:rPr>
          <w:fldChar w:fldCharType="begin"/>
        </w:r>
        <w:r>
          <w:rPr>
            <w:noProof/>
            <w:webHidden/>
          </w:rPr>
          <w:instrText xml:space="preserve"> PAGEREF _Toc467155656 \h </w:instrText>
        </w:r>
        <w:r>
          <w:rPr>
            <w:noProof/>
            <w:webHidden/>
          </w:rPr>
        </w:r>
        <w:r>
          <w:rPr>
            <w:noProof/>
            <w:webHidden/>
          </w:rPr>
          <w:fldChar w:fldCharType="separate"/>
        </w:r>
        <w:r w:rsidR="006F3580">
          <w:rPr>
            <w:noProof/>
            <w:webHidden/>
          </w:rPr>
          <w:t>21</w:t>
        </w:r>
        <w:r>
          <w:rPr>
            <w:noProof/>
            <w:webHidden/>
          </w:rPr>
          <w:fldChar w:fldCharType="end"/>
        </w:r>
      </w:hyperlink>
    </w:p>
    <w:p w14:paraId="14DC30A5"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657" w:history="1">
        <w:r w:rsidR="00542F4A" w:rsidRPr="008366FF">
          <w:rPr>
            <w:rStyle w:val="Hyperlink"/>
            <w:noProof/>
          </w:rPr>
          <w:t>Figure 5.2</w:t>
        </w:r>
        <w:r w:rsidR="00542F4A">
          <w:rPr>
            <w:rFonts w:asciiTheme="minorHAnsi" w:eastAsiaTheme="minorEastAsia" w:hAnsiTheme="minorHAnsi"/>
            <w:noProof/>
            <w:lang w:eastAsia="en-AU"/>
          </w:rPr>
          <w:tab/>
        </w:r>
        <w:r w:rsidR="00542F4A" w:rsidRPr="008366FF">
          <w:rPr>
            <w:rStyle w:val="Hyperlink"/>
            <w:noProof/>
          </w:rPr>
          <w:t>Count of SS services (2014 – 2016) by age and by summary indication</w:t>
        </w:r>
        <w:r w:rsidR="00542F4A">
          <w:rPr>
            <w:noProof/>
            <w:webHidden/>
          </w:rPr>
          <w:tab/>
        </w:r>
        <w:r w:rsidR="00542F4A">
          <w:rPr>
            <w:noProof/>
            <w:webHidden/>
          </w:rPr>
          <w:fldChar w:fldCharType="begin"/>
        </w:r>
        <w:r w:rsidR="00542F4A">
          <w:rPr>
            <w:noProof/>
            <w:webHidden/>
          </w:rPr>
          <w:instrText xml:space="preserve"> PAGEREF _Toc467155657 \h </w:instrText>
        </w:r>
        <w:r w:rsidR="00542F4A">
          <w:rPr>
            <w:noProof/>
            <w:webHidden/>
          </w:rPr>
        </w:r>
        <w:r w:rsidR="00542F4A">
          <w:rPr>
            <w:noProof/>
            <w:webHidden/>
          </w:rPr>
          <w:fldChar w:fldCharType="separate"/>
        </w:r>
        <w:r w:rsidR="006F3580">
          <w:rPr>
            <w:noProof/>
            <w:webHidden/>
          </w:rPr>
          <w:t>22</w:t>
        </w:r>
        <w:r w:rsidR="00542F4A">
          <w:rPr>
            <w:noProof/>
            <w:webHidden/>
          </w:rPr>
          <w:fldChar w:fldCharType="end"/>
        </w:r>
      </w:hyperlink>
    </w:p>
    <w:p w14:paraId="5E42DACB" w14:textId="77777777" w:rsidR="00542F4A" w:rsidRDefault="00FC0578" w:rsidP="00A15D68">
      <w:pPr>
        <w:pStyle w:val="TableofFigures"/>
        <w:tabs>
          <w:tab w:val="clear" w:pos="9072"/>
          <w:tab w:val="right" w:leader="dot" w:pos="9638"/>
        </w:tabs>
        <w:rPr>
          <w:rFonts w:asciiTheme="minorHAnsi" w:eastAsiaTheme="minorEastAsia" w:hAnsiTheme="minorHAnsi"/>
          <w:noProof/>
          <w:lang w:eastAsia="en-AU"/>
        </w:rPr>
      </w:pPr>
      <w:hyperlink w:anchor="_Toc467155658" w:history="1">
        <w:r w:rsidR="00542F4A" w:rsidRPr="008366FF">
          <w:rPr>
            <w:rStyle w:val="Hyperlink"/>
            <w:noProof/>
          </w:rPr>
          <w:t>Figure 5.3</w:t>
        </w:r>
        <w:r w:rsidR="00542F4A">
          <w:rPr>
            <w:rFonts w:asciiTheme="minorHAnsi" w:eastAsiaTheme="minorEastAsia" w:hAnsiTheme="minorHAnsi"/>
            <w:noProof/>
            <w:lang w:eastAsia="en-AU"/>
          </w:rPr>
          <w:tab/>
        </w:r>
        <w:r w:rsidR="00542F4A" w:rsidRPr="008366FF">
          <w:rPr>
            <w:rStyle w:val="Hyperlink"/>
            <w:noProof/>
          </w:rPr>
          <w:t>Proportion of SS services (2014 – 2016) by age and by summary indication</w:t>
        </w:r>
        <w:r w:rsidR="00542F4A">
          <w:rPr>
            <w:noProof/>
            <w:webHidden/>
          </w:rPr>
          <w:tab/>
        </w:r>
        <w:r w:rsidR="00542F4A">
          <w:rPr>
            <w:noProof/>
            <w:webHidden/>
          </w:rPr>
          <w:fldChar w:fldCharType="begin"/>
        </w:r>
        <w:r w:rsidR="00542F4A">
          <w:rPr>
            <w:noProof/>
            <w:webHidden/>
          </w:rPr>
          <w:instrText xml:space="preserve"> PAGEREF _Toc467155658 \h </w:instrText>
        </w:r>
        <w:r w:rsidR="00542F4A">
          <w:rPr>
            <w:noProof/>
            <w:webHidden/>
          </w:rPr>
        </w:r>
        <w:r w:rsidR="00542F4A">
          <w:rPr>
            <w:noProof/>
            <w:webHidden/>
          </w:rPr>
          <w:fldChar w:fldCharType="separate"/>
        </w:r>
        <w:r w:rsidR="006F3580">
          <w:rPr>
            <w:noProof/>
            <w:webHidden/>
          </w:rPr>
          <w:t>23</w:t>
        </w:r>
        <w:r w:rsidR="00542F4A">
          <w:rPr>
            <w:noProof/>
            <w:webHidden/>
          </w:rPr>
          <w:fldChar w:fldCharType="end"/>
        </w:r>
      </w:hyperlink>
    </w:p>
    <w:p w14:paraId="06605A4B" w14:textId="52CC518D" w:rsidR="004A1E1B" w:rsidRPr="004A1E1B" w:rsidRDefault="00542F4A" w:rsidP="00542F4A">
      <w:pPr>
        <w:pStyle w:val="BodyText"/>
      </w:pPr>
      <w:r>
        <w:rPr>
          <w:b/>
          <w:bCs/>
          <w:noProof/>
          <w:lang w:val="en-US"/>
        </w:rPr>
        <w:fldChar w:fldCharType="end"/>
      </w:r>
      <w:r w:rsidR="004A1E1B" w:rsidRPr="004A1E1B">
        <w:br w:type="page"/>
      </w:r>
    </w:p>
    <w:p w14:paraId="48FF31A3" w14:textId="77777777" w:rsidR="00B4127D" w:rsidRDefault="00B4127D" w:rsidP="00C460B2">
      <w:pPr>
        <w:pStyle w:val="TOCHeading"/>
      </w:pPr>
      <w:r>
        <w:lastRenderedPageBreak/>
        <w:t>Abbreviations</w:t>
      </w:r>
    </w:p>
    <w:tbl>
      <w:tblPr>
        <w:tblStyle w:val="TableGridLight"/>
        <w:tblW w:w="0" w:type="auto"/>
        <w:tblLook w:val="04A0" w:firstRow="1" w:lastRow="0" w:firstColumn="1" w:lastColumn="0" w:noHBand="0" w:noVBand="1"/>
        <w:tblCaption w:val="Abbreviations"/>
        <w:tblDescription w:val="A list of abbreviations used in the report"/>
      </w:tblPr>
      <w:tblGrid>
        <w:gridCol w:w="1577"/>
        <w:gridCol w:w="7677"/>
      </w:tblGrid>
      <w:tr w:rsidR="00FC0578" w14:paraId="5877C4AA" w14:textId="77777777" w:rsidTr="00FC0578">
        <w:trPr>
          <w:tblHeader/>
        </w:trPr>
        <w:tc>
          <w:tcPr>
            <w:tcW w:w="1384" w:type="dxa"/>
          </w:tcPr>
          <w:p w14:paraId="556CB080" w14:textId="51788CF7" w:rsidR="00FC0578" w:rsidRDefault="00FC0578" w:rsidP="00BB3C76">
            <w:pPr>
              <w:pStyle w:val="BodyText"/>
              <w:spacing w:after="200"/>
              <w:rPr>
                <w:b/>
              </w:rPr>
            </w:pPr>
            <w:r>
              <w:rPr>
                <w:b/>
              </w:rPr>
              <w:t>Abbreviation</w:t>
            </w:r>
          </w:p>
        </w:tc>
        <w:tc>
          <w:tcPr>
            <w:tcW w:w="7677" w:type="dxa"/>
          </w:tcPr>
          <w:p w14:paraId="45BC00CE" w14:textId="6859CBA0" w:rsidR="00FC0578" w:rsidRPr="00FC0578" w:rsidRDefault="00FC0578" w:rsidP="00BB3C76">
            <w:pPr>
              <w:pStyle w:val="BodyText"/>
              <w:spacing w:after="200"/>
              <w:rPr>
                <w:b/>
              </w:rPr>
            </w:pPr>
            <w:r w:rsidRPr="00FC0578">
              <w:rPr>
                <w:b/>
              </w:rPr>
              <w:t>Expanded Text</w:t>
            </w:r>
          </w:p>
        </w:tc>
      </w:tr>
      <w:tr w:rsidR="009026B2" w14:paraId="16198A82" w14:textId="77777777" w:rsidTr="001C1866">
        <w:tc>
          <w:tcPr>
            <w:tcW w:w="1384" w:type="dxa"/>
          </w:tcPr>
          <w:p w14:paraId="789BEEAB" w14:textId="77777777" w:rsidR="009026B2" w:rsidRDefault="009026B2" w:rsidP="00BB3C76">
            <w:pPr>
              <w:pStyle w:val="BodyText"/>
              <w:spacing w:after="200"/>
              <w:rPr>
                <w:b/>
              </w:rPr>
            </w:pPr>
            <w:r>
              <w:rPr>
                <w:b/>
              </w:rPr>
              <w:t>4CPA</w:t>
            </w:r>
          </w:p>
        </w:tc>
        <w:tc>
          <w:tcPr>
            <w:tcW w:w="7677" w:type="dxa"/>
          </w:tcPr>
          <w:p w14:paraId="1120102F" w14:textId="77777777" w:rsidR="009026B2" w:rsidRDefault="009026B2" w:rsidP="00BB3C76">
            <w:pPr>
              <w:pStyle w:val="BodyText"/>
              <w:spacing w:after="200"/>
            </w:pPr>
            <w:r>
              <w:t>Fourth Community Pharmacy Agreement</w:t>
            </w:r>
          </w:p>
        </w:tc>
      </w:tr>
      <w:tr w:rsidR="009026B2" w14:paraId="2429417B" w14:textId="77777777" w:rsidTr="001C1866">
        <w:tc>
          <w:tcPr>
            <w:tcW w:w="1384" w:type="dxa"/>
          </w:tcPr>
          <w:p w14:paraId="6CE34FE0" w14:textId="77777777" w:rsidR="009026B2" w:rsidRDefault="009026B2" w:rsidP="00BB3C76">
            <w:pPr>
              <w:pStyle w:val="BodyText"/>
              <w:spacing w:after="200"/>
              <w:rPr>
                <w:b/>
              </w:rPr>
            </w:pPr>
            <w:r>
              <w:rPr>
                <w:b/>
              </w:rPr>
              <w:t>5CPA</w:t>
            </w:r>
          </w:p>
        </w:tc>
        <w:tc>
          <w:tcPr>
            <w:tcW w:w="7677" w:type="dxa"/>
          </w:tcPr>
          <w:p w14:paraId="677C3C7C" w14:textId="77777777" w:rsidR="009026B2" w:rsidRDefault="009026B2" w:rsidP="00BB3C76">
            <w:pPr>
              <w:pStyle w:val="BodyText"/>
              <w:spacing w:after="200"/>
            </w:pPr>
            <w:r>
              <w:t>Fifth Community Pharmacy Agreement</w:t>
            </w:r>
          </w:p>
        </w:tc>
      </w:tr>
      <w:tr w:rsidR="009026B2" w14:paraId="10514BE1" w14:textId="77777777" w:rsidTr="001C1866">
        <w:tc>
          <w:tcPr>
            <w:tcW w:w="1384" w:type="dxa"/>
          </w:tcPr>
          <w:p w14:paraId="5DC1DCC1" w14:textId="77777777" w:rsidR="009026B2" w:rsidRDefault="009026B2" w:rsidP="00BB3C76">
            <w:pPr>
              <w:pStyle w:val="BodyText"/>
              <w:spacing w:after="200"/>
              <w:rPr>
                <w:b/>
              </w:rPr>
            </w:pPr>
            <w:r>
              <w:rPr>
                <w:b/>
              </w:rPr>
              <w:t>6CPA</w:t>
            </w:r>
          </w:p>
        </w:tc>
        <w:tc>
          <w:tcPr>
            <w:tcW w:w="7677" w:type="dxa"/>
          </w:tcPr>
          <w:p w14:paraId="713EC67B" w14:textId="77777777" w:rsidR="009026B2" w:rsidRDefault="009026B2" w:rsidP="00BB3C76">
            <w:pPr>
              <w:pStyle w:val="BodyText"/>
              <w:spacing w:after="200"/>
            </w:pPr>
            <w:r>
              <w:t>Sixth Community Pharmacy Agreement</w:t>
            </w:r>
          </w:p>
        </w:tc>
      </w:tr>
      <w:tr w:rsidR="009026B2" w14:paraId="61C6275A" w14:textId="77777777" w:rsidTr="001C1866">
        <w:tc>
          <w:tcPr>
            <w:tcW w:w="1384" w:type="dxa"/>
          </w:tcPr>
          <w:p w14:paraId="24618043" w14:textId="77777777" w:rsidR="009026B2" w:rsidRDefault="009026B2" w:rsidP="00BB3C76">
            <w:pPr>
              <w:pStyle w:val="BodyText"/>
              <w:spacing w:after="200"/>
              <w:rPr>
                <w:b/>
              </w:rPr>
            </w:pPr>
            <w:r>
              <w:rPr>
                <w:b/>
              </w:rPr>
              <w:t>ATSI</w:t>
            </w:r>
          </w:p>
        </w:tc>
        <w:tc>
          <w:tcPr>
            <w:tcW w:w="7677" w:type="dxa"/>
          </w:tcPr>
          <w:p w14:paraId="4B825365" w14:textId="77777777" w:rsidR="009026B2" w:rsidRDefault="009026B2" w:rsidP="00BB3C76">
            <w:pPr>
              <w:pStyle w:val="BodyText"/>
              <w:spacing w:after="200"/>
            </w:pPr>
            <w:r w:rsidRPr="00B93038">
              <w:t>Aboriginal and Torres Strait Islander</w:t>
            </w:r>
          </w:p>
        </w:tc>
      </w:tr>
      <w:tr w:rsidR="009026B2" w14:paraId="60B5AFF2" w14:textId="77777777" w:rsidTr="001C1866">
        <w:tc>
          <w:tcPr>
            <w:tcW w:w="1384" w:type="dxa"/>
          </w:tcPr>
          <w:p w14:paraId="2E66B5D3" w14:textId="77777777" w:rsidR="009026B2" w:rsidRDefault="009026B2" w:rsidP="00BB3C76">
            <w:pPr>
              <w:pStyle w:val="BodyText"/>
              <w:spacing w:after="200"/>
              <w:rPr>
                <w:b/>
              </w:rPr>
            </w:pPr>
            <w:r>
              <w:rPr>
                <w:b/>
              </w:rPr>
              <w:t>CIs</w:t>
            </w:r>
          </w:p>
        </w:tc>
        <w:tc>
          <w:tcPr>
            <w:tcW w:w="7677" w:type="dxa"/>
          </w:tcPr>
          <w:p w14:paraId="355A3526" w14:textId="77777777" w:rsidR="009026B2" w:rsidRDefault="009026B2" w:rsidP="00BB3C76">
            <w:pPr>
              <w:pStyle w:val="BodyText"/>
              <w:spacing w:after="200"/>
            </w:pPr>
            <w:r>
              <w:t>Clinical Interventions</w:t>
            </w:r>
          </w:p>
        </w:tc>
      </w:tr>
      <w:tr w:rsidR="009026B2" w14:paraId="3A6E252A" w14:textId="77777777" w:rsidTr="001C1866">
        <w:tc>
          <w:tcPr>
            <w:tcW w:w="1384" w:type="dxa"/>
          </w:tcPr>
          <w:p w14:paraId="352BB925" w14:textId="77777777" w:rsidR="009026B2" w:rsidRPr="00705D4A" w:rsidRDefault="009026B2" w:rsidP="00BB3C76">
            <w:pPr>
              <w:pStyle w:val="BodyText"/>
              <w:spacing w:after="200"/>
              <w:rPr>
                <w:b/>
              </w:rPr>
            </w:pPr>
            <w:r>
              <w:rPr>
                <w:b/>
              </w:rPr>
              <w:t>DAA</w:t>
            </w:r>
          </w:p>
        </w:tc>
        <w:tc>
          <w:tcPr>
            <w:tcW w:w="7677" w:type="dxa"/>
          </w:tcPr>
          <w:p w14:paraId="696A9F4C" w14:textId="77777777" w:rsidR="009026B2" w:rsidRPr="00705D4A" w:rsidRDefault="009026B2" w:rsidP="00BB3C76">
            <w:pPr>
              <w:pStyle w:val="BodyText"/>
              <w:spacing w:after="200"/>
            </w:pPr>
            <w:r>
              <w:t>Dose Administration Aid</w:t>
            </w:r>
          </w:p>
        </w:tc>
      </w:tr>
      <w:tr w:rsidR="009026B2" w14:paraId="523BAAE9" w14:textId="77777777" w:rsidTr="001C1866">
        <w:tc>
          <w:tcPr>
            <w:tcW w:w="1384" w:type="dxa"/>
          </w:tcPr>
          <w:p w14:paraId="20AC4629" w14:textId="77777777" w:rsidR="009026B2" w:rsidRDefault="009026B2" w:rsidP="00BB3C76">
            <w:pPr>
              <w:pStyle w:val="BodyText"/>
              <w:spacing w:after="200"/>
              <w:rPr>
                <w:b/>
              </w:rPr>
            </w:pPr>
            <w:r>
              <w:rPr>
                <w:b/>
              </w:rPr>
              <w:t>HMR</w:t>
            </w:r>
          </w:p>
        </w:tc>
        <w:tc>
          <w:tcPr>
            <w:tcW w:w="7677" w:type="dxa"/>
          </w:tcPr>
          <w:p w14:paraId="0C0C62EC" w14:textId="77777777" w:rsidR="009026B2" w:rsidRDefault="009026B2" w:rsidP="00BB3C76">
            <w:pPr>
              <w:pStyle w:val="BodyText"/>
              <w:spacing w:after="200"/>
            </w:pPr>
            <w:r>
              <w:t>Home Medicines Review</w:t>
            </w:r>
          </w:p>
        </w:tc>
      </w:tr>
      <w:tr w:rsidR="009026B2" w14:paraId="276A82D8" w14:textId="77777777" w:rsidTr="001C1866">
        <w:tc>
          <w:tcPr>
            <w:tcW w:w="1384" w:type="dxa"/>
          </w:tcPr>
          <w:p w14:paraId="561888CE" w14:textId="77777777" w:rsidR="009026B2" w:rsidRPr="00705D4A" w:rsidRDefault="009026B2" w:rsidP="00BB3C76">
            <w:pPr>
              <w:pStyle w:val="BodyText"/>
              <w:spacing w:after="200"/>
              <w:rPr>
                <w:b/>
              </w:rPr>
            </w:pPr>
            <w:r w:rsidRPr="00705D4A">
              <w:rPr>
                <w:b/>
              </w:rPr>
              <w:t>HTA</w:t>
            </w:r>
          </w:p>
        </w:tc>
        <w:tc>
          <w:tcPr>
            <w:tcW w:w="7677" w:type="dxa"/>
          </w:tcPr>
          <w:p w14:paraId="064530B7" w14:textId="77777777" w:rsidR="009026B2" w:rsidRPr="00705D4A" w:rsidRDefault="009026B2" w:rsidP="00BB3C76">
            <w:pPr>
              <w:pStyle w:val="BodyText"/>
              <w:spacing w:after="200"/>
            </w:pPr>
            <w:r w:rsidRPr="00705D4A">
              <w:t>Health Technology Assessment</w:t>
            </w:r>
          </w:p>
        </w:tc>
      </w:tr>
      <w:tr w:rsidR="009026B2" w14:paraId="545F6537" w14:textId="77777777" w:rsidTr="001C1866">
        <w:tc>
          <w:tcPr>
            <w:tcW w:w="1384" w:type="dxa"/>
          </w:tcPr>
          <w:p w14:paraId="4DF35BA6" w14:textId="77777777" w:rsidR="009026B2" w:rsidRDefault="009026B2" w:rsidP="00BB3C76">
            <w:pPr>
              <w:pStyle w:val="BodyText"/>
              <w:spacing w:after="200"/>
              <w:rPr>
                <w:b/>
              </w:rPr>
            </w:pPr>
            <w:r>
              <w:rPr>
                <w:b/>
              </w:rPr>
              <w:t>MSAC</w:t>
            </w:r>
          </w:p>
        </w:tc>
        <w:tc>
          <w:tcPr>
            <w:tcW w:w="7677" w:type="dxa"/>
          </w:tcPr>
          <w:p w14:paraId="0C0FC759" w14:textId="77777777" w:rsidR="009026B2" w:rsidRDefault="009026B2" w:rsidP="00BB3C76">
            <w:pPr>
              <w:pStyle w:val="BodyText"/>
              <w:spacing w:after="200"/>
            </w:pPr>
            <w:r w:rsidRPr="00B93038">
              <w:t>Medical Services Advisory Committee</w:t>
            </w:r>
          </w:p>
        </w:tc>
      </w:tr>
      <w:tr w:rsidR="00ED4515" w14:paraId="28DD5243" w14:textId="77777777" w:rsidTr="001C1866">
        <w:tc>
          <w:tcPr>
            <w:tcW w:w="1384" w:type="dxa"/>
          </w:tcPr>
          <w:p w14:paraId="2C1C1C5B" w14:textId="00ABB679" w:rsidR="00ED4515" w:rsidRDefault="00ED4515" w:rsidP="00BB3C76">
            <w:pPr>
              <w:pStyle w:val="BodyText"/>
              <w:spacing w:after="200"/>
              <w:rPr>
                <w:b/>
              </w:rPr>
            </w:pPr>
            <w:r>
              <w:rPr>
                <w:b/>
              </w:rPr>
              <w:t>ODT</w:t>
            </w:r>
          </w:p>
        </w:tc>
        <w:tc>
          <w:tcPr>
            <w:tcW w:w="7677" w:type="dxa"/>
          </w:tcPr>
          <w:p w14:paraId="4D78A84C" w14:textId="4DA9A855" w:rsidR="00ED4515" w:rsidRPr="00B93038" w:rsidRDefault="00ED4515" w:rsidP="00BB3C76">
            <w:pPr>
              <w:pStyle w:val="BodyText"/>
              <w:spacing w:after="200"/>
            </w:pPr>
            <w:r>
              <w:t>Opiate Dependence Treatment</w:t>
            </w:r>
          </w:p>
        </w:tc>
      </w:tr>
      <w:tr w:rsidR="009026B2" w14:paraId="362CB995" w14:textId="77777777" w:rsidTr="001C1866">
        <w:tc>
          <w:tcPr>
            <w:tcW w:w="1384" w:type="dxa"/>
          </w:tcPr>
          <w:p w14:paraId="2E8D2D01" w14:textId="77777777" w:rsidR="009026B2" w:rsidRPr="00705D4A" w:rsidRDefault="009026B2" w:rsidP="00BB3C76">
            <w:pPr>
              <w:pStyle w:val="BodyText"/>
              <w:spacing w:after="200"/>
              <w:rPr>
                <w:b/>
              </w:rPr>
            </w:pPr>
            <w:r>
              <w:rPr>
                <w:b/>
              </w:rPr>
              <w:t>PBS</w:t>
            </w:r>
          </w:p>
        </w:tc>
        <w:tc>
          <w:tcPr>
            <w:tcW w:w="7677" w:type="dxa"/>
          </w:tcPr>
          <w:p w14:paraId="7904548E" w14:textId="77777777" w:rsidR="009026B2" w:rsidRPr="00705D4A" w:rsidRDefault="009026B2" w:rsidP="00BB3C76">
            <w:pPr>
              <w:pStyle w:val="BodyText"/>
              <w:spacing w:after="200"/>
            </w:pPr>
            <w:r w:rsidRPr="00BF0990">
              <w:t>Pharmaceutical Benefits Scheme</w:t>
            </w:r>
          </w:p>
        </w:tc>
      </w:tr>
      <w:tr w:rsidR="009026B2" w14:paraId="659F49D8" w14:textId="77777777" w:rsidTr="001C1866">
        <w:tc>
          <w:tcPr>
            <w:tcW w:w="1384" w:type="dxa"/>
          </w:tcPr>
          <w:p w14:paraId="647E45AF" w14:textId="77777777" w:rsidR="009026B2" w:rsidRDefault="009026B2" w:rsidP="00BB3C76">
            <w:pPr>
              <w:pStyle w:val="BodyText"/>
              <w:spacing w:after="200"/>
              <w:rPr>
                <w:b/>
              </w:rPr>
            </w:pPr>
            <w:r>
              <w:rPr>
                <w:b/>
              </w:rPr>
              <w:t>PICO</w:t>
            </w:r>
          </w:p>
        </w:tc>
        <w:tc>
          <w:tcPr>
            <w:tcW w:w="7677" w:type="dxa"/>
          </w:tcPr>
          <w:p w14:paraId="5B444887" w14:textId="77777777" w:rsidR="009026B2" w:rsidRPr="00BF0990" w:rsidRDefault="009026B2" w:rsidP="00BB3C76">
            <w:pPr>
              <w:pStyle w:val="BodyText"/>
              <w:spacing w:after="200"/>
            </w:pPr>
            <w:r>
              <w:t>Population, Intervention, Comparator, Outcome</w:t>
            </w:r>
          </w:p>
        </w:tc>
      </w:tr>
      <w:tr w:rsidR="009026B2" w14:paraId="60477509" w14:textId="77777777" w:rsidTr="001C1866">
        <w:tc>
          <w:tcPr>
            <w:tcW w:w="1384" w:type="dxa"/>
          </w:tcPr>
          <w:p w14:paraId="60C57C0A" w14:textId="77777777" w:rsidR="009026B2" w:rsidRPr="00705D4A" w:rsidRDefault="009026B2" w:rsidP="00BB3C76">
            <w:pPr>
              <w:pStyle w:val="BodyText"/>
              <w:spacing w:after="200"/>
              <w:rPr>
                <w:b/>
              </w:rPr>
            </w:pPr>
            <w:r>
              <w:rPr>
                <w:b/>
              </w:rPr>
              <w:t>PPI</w:t>
            </w:r>
          </w:p>
        </w:tc>
        <w:tc>
          <w:tcPr>
            <w:tcW w:w="7677" w:type="dxa"/>
          </w:tcPr>
          <w:p w14:paraId="1334810C" w14:textId="77777777" w:rsidR="009026B2" w:rsidRPr="00705D4A" w:rsidRDefault="009026B2" w:rsidP="00BB3C76">
            <w:pPr>
              <w:pStyle w:val="BodyText"/>
              <w:spacing w:after="200"/>
            </w:pPr>
            <w:r>
              <w:t>Pharmacy Practice Incentives</w:t>
            </w:r>
          </w:p>
        </w:tc>
      </w:tr>
      <w:tr w:rsidR="009026B2" w14:paraId="2DC46D46" w14:textId="77777777" w:rsidTr="001C1866">
        <w:tc>
          <w:tcPr>
            <w:tcW w:w="1384" w:type="dxa"/>
          </w:tcPr>
          <w:p w14:paraId="3061C5A5" w14:textId="77777777" w:rsidR="009026B2" w:rsidRDefault="009026B2" w:rsidP="00BB3C76">
            <w:pPr>
              <w:pStyle w:val="BodyText"/>
              <w:spacing w:after="200"/>
              <w:rPr>
                <w:b/>
              </w:rPr>
            </w:pPr>
            <w:r>
              <w:rPr>
                <w:b/>
              </w:rPr>
              <w:t>PSA</w:t>
            </w:r>
          </w:p>
        </w:tc>
        <w:tc>
          <w:tcPr>
            <w:tcW w:w="7677" w:type="dxa"/>
          </w:tcPr>
          <w:p w14:paraId="31E80995" w14:textId="77777777" w:rsidR="009026B2" w:rsidRDefault="009026B2" w:rsidP="00BB3C76">
            <w:pPr>
              <w:pStyle w:val="BodyText"/>
              <w:spacing w:after="200"/>
            </w:pPr>
            <w:r w:rsidRPr="001E77D2">
              <w:t>Pharmac</w:t>
            </w:r>
            <w:r>
              <w:t>eutical</w:t>
            </w:r>
            <w:r w:rsidRPr="001E77D2">
              <w:t xml:space="preserve"> Society of Australia</w:t>
            </w:r>
          </w:p>
        </w:tc>
      </w:tr>
      <w:tr w:rsidR="009026B2" w14:paraId="1C956B09" w14:textId="77777777" w:rsidTr="001C1866">
        <w:tc>
          <w:tcPr>
            <w:tcW w:w="1384" w:type="dxa"/>
          </w:tcPr>
          <w:p w14:paraId="63A0EF98" w14:textId="77777777" w:rsidR="009026B2" w:rsidRDefault="009026B2" w:rsidP="00BB3C76">
            <w:pPr>
              <w:pStyle w:val="BodyText"/>
              <w:spacing w:after="200"/>
              <w:rPr>
                <w:b/>
              </w:rPr>
            </w:pPr>
            <w:r>
              <w:rPr>
                <w:b/>
              </w:rPr>
              <w:t>PwC</w:t>
            </w:r>
          </w:p>
        </w:tc>
        <w:tc>
          <w:tcPr>
            <w:tcW w:w="7677" w:type="dxa"/>
          </w:tcPr>
          <w:p w14:paraId="301479E7" w14:textId="77777777" w:rsidR="009026B2" w:rsidRPr="001E77D2" w:rsidRDefault="009026B2" w:rsidP="00BB3C76">
            <w:pPr>
              <w:pStyle w:val="BodyText"/>
              <w:spacing w:after="200"/>
            </w:pPr>
            <w:r w:rsidRPr="00443BD6">
              <w:t>PricewaterhouseCoopers</w:t>
            </w:r>
          </w:p>
        </w:tc>
      </w:tr>
      <w:tr w:rsidR="009026B2" w14:paraId="121AB6BB" w14:textId="77777777" w:rsidTr="001C1866">
        <w:tc>
          <w:tcPr>
            <w:tcW w:w="1384" w:type="dxa"/>
          </w:tcPr>
          <w:p w14:paraId="2B380320" w14:textId="77777777" w:rsidR="009026B2" w:rsidRDefault="009026B2" w:rsidP="00BB3C76">
            <w:pPr>
              <w:pStyle w:val="BodyText"/>
              <w:spacing w:after="200"/>
              <w:rPr>
                <w:b/>
              </w:rPr>
            </w:pPr>
            <w:r>
              <w:rPr>
                <w:b/>
              </w:rPr>
              <w:t>QCPP</w:t>
            </w:r>
          </w:p>
        </w:tc>
        <w:tc>
          <w:tcPr>
            <w:tcW w:w="7677" w:type="dxa"/>
          </w:tcPr>
          <w:p w14:paraId="1EDCA7B6" w14:textId="77777777" w:rsidR="009026B2" w:rsidRPr="001E77D2" w:rsidRDefault="009026B2" w:rsidP="00BB3C76">
            <w:pPr>
              <w:pStyle w:val="BodyText"/>
              <w:spacing w:after="200"/>
            </w:pPr>
            <w:r w:rsidRPr="00AC3A3D">
              <w:t>Quality Care Pharmacy Program</w:t>
            </w:r>
          </w:p>
        </w:tc>
      </w:tr>
      <w:tr w:rsidR="009026B2" w14:paraId="12BE4079" w14:textId="77777777" w:rsidTr="001C1866">
        <w:tc>
          <w:tcPr>
            <w:tcW w:w="1384" w:type="dxa"/>
          </w:tcPr>
          <w:p w14:paraId="03596E18" w14:textId="77777777" w:rsidR="009026B2" w:rsidRDefault="009026B2" w:rsidP="00BB3C76">
            <w:pPr>
              <w:pStyle w:val="BodyText"/>
              <w:spacing w:after="200"/>
              <w:rPr>
                <w:b/>
              </w:rPr>
            </w:pPr>
            <w:r>
              <w:rPr>
                <w:b/>
              </w:rPr>
              <w:t>QUMAX</w:t>
            </w:r>
          </w:p>
        </w:tc>
        <w:tc>
          <w:tcPr>
            <w:tcW w:w="7677" w:type="dxa"/>
          </w:tcPr>
          <w:p w14:paraId="18E13516" w14:textId="56840185" w:rsidR="009026B2" w:rsidRPr="001E77D2" w:rsidRDefault="009026B2" w:rsidP="00BB3C76">
            <w:pPr>
              <w:pStyle w:val="BodyText"/>
              <w:spacing w:after="200"/>
            </w:pPr>
            <w:r>
              <w:t xml:space="preserve">Quality Use of Medicines Maximised (for </w:t>
            </w:r>
            <w:r w:rsidRPr="00B93038">
              <w:t>Aboriginal and Torres Strait Islander</w:t>
            </w:r>
            <w:r>
              <w:t xml:space="preserve"> People</w:t>
            </w:r>
            <w:r w:rsidR="00ED4515">
              <w:t>)</w:t>
            </w:r>
          </w:p>
        </w:tc>
      </w:tr>
      <w:tr w:rsidR="009026B2" w14:paraId="192A3DF2" w14:textId="77777777" w:rsidTr="001C1866">
        <w:tc>
          <w:tcPr>
            <w:tcW w:w="1384" w:type="dxa"/>
          </w:tcPr>
          <w:p w14:paraId="27BC0D44" w14:textId="77777777" w:rsidR="009026B2" w:rsidRDefault="009026B2" w:rsidP="00BB3C76">
            <w:pPr>
              <w:pStyle w:val="BodyText"/>
              <w:spacing w:after="200"/>
              <w:rPr>
                <w:b/>
              </w:rPr>
            </w:pPr>
            <w:r>
              <w:rPr>
                <w:b/>
              </w:rPr>
              <w:t>RACF</w:t>
            </w:r>
          </w:p>
        </w:tc>
        <w:tc>
          <w:tcPr>
            <w:tcW w:w="7677" w:type="dxa"/>
          </w:tcPr>
          <w:p w14:paraId="7455C317" w14:textId="77777777" w:rsidR="009026B2" w:rsidRDefault="009026B2" w:rsidP="00BB3C76">
            <w:pPr>
              <w:pStyle w:val="BodyText"/>
              <w:spacing w:after="200"/>
            </w:pPr>
            <w:r w:rsidRPr="001E77D2">
              <w:t>Residential Aged Care Facility</w:t>
            </w:r>
          </w:p>
        </w:tc>
      </w:tr>
      <w:tr w:rsidR="009026B2" w14:paraId="22730F46" w14:textId="77777777" w:rsidTr="001C1866">
        <w:tc>
          <w:tcPr>
            <w:tcW w:w="1384" w:type="dxa"/>
          </w:tcPr>
          <w:p w14:paraId="0D707F41" w14:textId="77777777" w:rsidR="009026B2" w:rsidRDefault="009026B2" w:rsidP="00BB3C76">
            <w:pPr>
              <w:pStyle w:val="BodyText"/>
              <w:spacing w:after="200"/>
              <w:rPr>
                <w:b/>
              </w:rPr>
            </w:pPr>
            <w:r>
              <w:rPr>
                <w:b/>
              </w:rPr>
              <w:t>RMMR</w:t>
            </w:r>
          </w:p>
        </w:tc>
        <w:tc>
          <w:tcPr>
            <w:tcW w:w="7677" w:type="dxa"/>
          </w:tcPr>
          <w:p w14:paraId="2FCE8FE5" w14:textId="77777777" w:rsidR="009026B2" w:rsidRPr="001E77D2" w:rsidRDefault="009026B2" w:rsidP="00BB3C76">
            <w:pPr>
              <w:pStyle w:val="BodyText"/>
              <w:spacing w:after="200"/>
            </w:pPr>
            <w:r w:rsidRPr="00B93038">
              <w:t>Residential Medication Management Reviews</w:t>
            </w:r>
          </w:p>
        </w:tc>
      </w:tr>
      <w:tr w:rsidR="009026B2" w14:paraId="508C96B5" w14:textId="77777777" w:rsidTr="001C1866">
        <w:tc>
          <w:tcPr>
            <w:tcW w:w="1384" w:type="dxa"/>
          </w:tcPr>
          <w:p w14:paraId="3FD87CF5" w14:textId="77777777" w:rsidR="009026B2" w:rsidRDefault="009026B2" w:rsidP="00BB3C76">
            <w:pPr>
              <w:pStyle w:val="BodyText"/>
              <w:spacing w:after="200"/>
              <w:rPr>
                <w:b/>
              </w:rPr>
            </w:pPr>
            <w:r>
              <w:rPr>
                <w:b/>
              </w:rPr>
              <w:t>SS</w:t>
            </w:r>
          </w:p>
        </w:tc>
        <w:tc>
          <w:tcPr>
            <w:tcW w:w="7677" w:type="dxa"/>
          </w:tcPr>
          <w:p w14:paraId="6F3E9FFD" w14:textId="77777777" w:rsidR="009026B2" w:rsidRPr="001E77D2" w:rsidRDefault="009026B2" w:rsidP="00BB3C76">
            <w:pPr>
              <w:pStyle w:val="BodyText"/>
              <w:spacing w:after="200"/>
            </w:pPr>
            <w:r w:rsidRPr="001E77D2">
              <w:t>Staged Supply</w:t>
            </w:r>
          </w:p>
        </w:tc>
      </w:tr>
    </w:tbl>
    <w:p w14:paraId="1B914F83" w14:textId="77777777" w:rsidR="003A4EF0" w:rsidRDefault="003A4EF0" w:rsidP="003A4EF0">
      <w:pPr>
        <w:pStyle w:val="BodyText"/>
        <w:sectPr w:rsidR="003A4EF0" w:rsidSect="00A15D68">
          <w:footerReference w:type="default" r:id="rId16"/>
          <w:pgSz w:w="11906" w:h="16838" w:code="9"/>
          <w:pgMar w:top="1134" w:right="1134" w:bottom="1134" w:left="1134" w:header="680" w:footer="851" w:gutter="0"/>
          <w:pgNumType w:fmt="lowerRoman"/>
          <w:cols w:space="708"/>
          <w:docGrid w:linePitch="360"/>
        </w:sectPr>
      </w:pPr>
    </w:p>
    <w:p w14:paraId="48F58E04" w14:textId="77777777" w:rsidR="000172DE" w:rsidRDefault="000172DE" w:rsidP="00215B6C">
      <w:pPr>
        <w:pStyle w:val="ESHeading1"/>
      </w:pPr>
      <w:bookmarkStart w:id="2" w:name="_Toc523236186"/>
      <w:r>
        <w:lastRenderedPageBreak/>
        <w:t>Executive summary</w:t>
      </w:r>
      <w:bookmarkEnd w:id="2"/>
    </w:p>
    <w:p w14:paraId="098AF34E" w14:textId="0EA64D57" w:rsidR="009026B2" w:rsidRDefault="009026B2" w:rsidP="009026B2">
      <w:pPr>
        <w:pStyle w:val="Bodytextbeforebullets"/>
      </w:pPr>
      <w:bookmarkStart w:id="3" w:name="_Toc463300305"/>
      <w:r w:rsidRPr="00B93038">
        <w:t>On the 28</w:t>
      </w:r>
      <w:r w:rsidRPr="009C2B99">
        <w:rPr>
          <w:vertAlign w:val="superscript"/>
        </w:rPr>
        <w:t xml:space="preserve">th </w:t>
      </w:r>
      <w:r w:rsidRPr="00B93038">
        <w:t xml:space="preserve">June 2016, the Department of Health engaged </w:t>
      </w:r>
      <w:proofErr w:type="spellStart"/>
      <w:r w:rsidRPr="00B93038">
        <w:t>HealthConsult</w:t>
      </w:r>
      <w:proofErr w:type="spellEnd"/>
      <w:r w:rsidRPr="00B93038">
        <w:t xml:space="preserve"> to evaluate </w:t>
      </w:r>
      <w:r>
        <w:t xml:space="preserve">the three Pharmacy Practice Incentives (PPI) </w:t>
      </w:r>
      <w:r w:rsidRPr="00B93038">
        <w:t>P</w:t>
      </w:r>
      <w:r>
        <w:t xml:space="preserve">rogram initiatives: Staged Supply (SS), </w:t>
      </w:r>
      <w:r w:rsidR="00E30B4D">
        <w:t xml:space="preserve">Dose Administration Aids (DAAs), </w:t>
      </w:r>
      <w:r>
        <w:t>Clinical Interventions (CIs)</w:t>
      </w:r>
      <w:r w:rsidRPr="00B93038">
        <w:t>.</w:t>
      </w:r>
      <w:r>
        <w:t xml:space="preserve"> The </w:t>
      </w:r>
      <w:r w:rsidR="008420DD">
        <w:t xml:space="preserve">initial </w:t>
      </w:r>
      <w:r>
        <w:t xml:space="preserve">evaluation </w:t>
      </w:r>
      <w:r w:rsidR="00C14107">
        <w:t xml:space="preserve">of SS </w:t>
      </w:r>
      <w:r>
        <w:t>involve</w:t>
      </w:r>
      <w:r w:rsidR="008420DD">
        <w:t>d</w:t>
      </w:r>
      <w:r>
        <w:t>:</w:t>
      </w:r>
    </w:p>
    <w:p w14:paraId="32A4A20C" w14:textId="73FB0456" w:rsidR="009026B2" w:rsidRDefault="009026B2" w:rsidP="009026B2">
      <w:pPr>
        <w:pStyle w:val="Bullettext"/>
        <w:ind w:left="227"/>
      </w:pPr>
      <w:r>
        <w:t>a literature review to identify data to inform the comparative clinical and cost-effectiveness of the SS initiative and ‘like’ programs internationally; and</w:t>
      </w:r>
    </w:p>
    <w:p w14:paraId="3108C741" w14:textId="2D29EA7B" w:rsidR="00C71CE8" w:rsidRDefault="009026B2" w:rsidP="00C71CE8">
      <w:pPr>
        <w:pStyle w:val="Bullettext"/>
        <w:ind w:left="227"/>
        <w:contextualSpacing w:val="0"/>
      </w:pPr>
      <w:proofErr w:type="gramStart"/>
      <w:r>
        <w:t>an</w:t>
      </w:r>
      <w:proofErr w:type="gramEnd"/>
      <w:r>
        <w:t xml:space="preserve"> examination of Australian utilisation data from the SS initiative since its start under earlier Community Pharmacy Agreements (CPAs).</w:t>
      </w:r>
    </w:p>
    <w:p w14:paraId="7F096B6C" w14:textId="77777777" w:rsidR="009026B2" w:rsidRDefault="009026B2" w:rsidP="009026B2">
      <w:pPr>
        <w:pStyle w:val="ESHeading2"/>
      </w:pPr>
      <w:bookmarkStart w:id="4" w:name="_Toc467155487"/>
      <w:bookmarkStart w:id="5" w:name="_Toc467155721"/>
      <w:bookmarkStart w:id="6" w:name="_Toc523236187"/>
      <w:r>
        <w:t>Background</w:t>
      </w:r>
      <w:bookmarkEnd w:id="3"/>
      <w:bookmarkEnd w:id="4"/>
      <w:bookmarkEnd w:id="5"/>
      <w:bookmarkEnd w:id="6"/>
    </w:p>
    <w:p w14:paraId="0682B46C" w14:textId="3741DF8E" w:rsidR="00C71CE8" w:rsidRDefault="00C71CE8" w:rsidP="00C71CE8">
      <w:pPr>
        <w:pStyle w:val="BodyText"/>
      </w:pPr>
      <w:r w:rsidRPr="00393116">
        <w:t>The SS</w:t>
      </w:r>
      <w:r>
        <w:t xml:space="preserve"> priority area</w:t>
      </w:r>
      <w:r w:rsidRPr="00393116">
        <w:t xml:space="preserve"> </w:t>
      </w:r>
      <w:r w:rsidRPr="00AC3A3D">
        <w:t xml:space="preserve">was established under the Better Community Health Initiative of the </w:t>
      </w:r>
      <w:r>
        <w:t>Fourth Community Pharmacy Agreement (4CPA)</w:t>
      </w:r>
      <w:r w:rsidRPr="00AC3A3D">
        <w:t xml:space="preserve"> and </w:t>
      </w:r>
      <w:r>
        <w:t>Fifth</w:t>
      </w:r>
      <w:r w:rsidRPr="00AC3A3D">
        <w:t xml:space="preserve"> </w:t>
      </w:r>
      <w:r>
        <w:t>Community Pharmacy Agreement</w:t>
      </w:r>
      <w:r w:rsidRPr="00AC3A3D">
        <w:t xml:space="preserve"> </w:t>
      </w:r>
      <w:r>
        <w:t xml:space="preserve">(5CPA) </w:t>
      </w:r>
      <w:r w:rsidRPr="00AC3A3D">
        <w:t>between the Pharmacy Guild of Australia and the Commonwealth Government</w:t>
      </w:r>
      <w:r w:rsidRPr="00393116">
        <w:t>.</w:t>
      </w:r>
      <w:r>
        <w:t xml:space="preserve"> The </w:t>
      </w:r>
      <w:r w:rsidR="00E77BF3">
        <w:t>SS</w:t>
      </w:r>
      <w:r>
        <w:t xml:space="preserve"> initiative was continued under </w:t>
      </w:r>
      <w:r w:rsidRPr="00B93038">
        <w:t xml:space="preserve">the </w:t>
      </w:r>
      <w:r>
        <w:t>Sixth Community Pharmacy Agreement (</w:t>
      </w:r>
      <w:r w:rsidRPr="00B93038">
        <w:t>6CPA</w:t>
      </w:r>
      <w:r>
        <w:t xml:space="preserve">), as part of the PPI </w:t>
      </w:r>
      <w:r w:rsidRPr="00B93038">
        <w:t>P</w:t>
      </w:r>
      <w:r>
        <w:t xml:space="preserve">rogram </w:t>
      </w:r>
      <w:r w:rsidRPr="00B93038">
        <w:t>directed at improving medication compliance through community pharmacies in Australia</w:t>
      </w:r>
      <w:r>
        <w:t xml:space="preserve">. </w:t>
      </w:r>
    </w:p>
    <w:p w14:paraId="0527A79F" w14:textId="1F26206D" w:rsidR="00C66DD9" w:rsidRDefault="00C71CE8" w:rsidP="00C66DD9">
      <w:pPr>
        <w:pStyle w:val="BodyText"/>
      </w:pPr>
      <w:r w:rsidRPr="00393116">
        <w:t xml:space="preserve">The </w:t>
      </w:r>
      <w:r w:rsidRPr="00AC3A3D">
        <w:t xml:space="preserve">Pharmaceutical Society of Australia (PSA) </w:t>
      </w:r>
      <w:r w:rsidRPr="005244A7">
        <w:rPr>
          <w:i/>
        </w:rPr>
        <w:t>Standard and Guidelines for Pharmacists Providing a Staged Supply Service for Prescribed Medicines</w:t>
      </w:r>
      <w:r w:rsidRPr="00393116">
        <w:t xml:space="preserve"> </w:t>
      </w:r>
      <w:r>
        <w:t xml:space="preserve">(March 2011) </w:t>
      </w:r>
      <w:r w:rsidRPr="00393116">
        <w:t xml:space="preserve">defines </w:t>
      </w:r>
      <w:r>
        <w:t>SS to be ‘t</w:t>
      </w:r>
      <w:r w:rsidRPr="00393116">
        <w:t>he provision of PBS medicines in instalments where requested by the</w:t>
      </w:r>
      <w:r>
        <w:t xml:space="preserve"> prescriber or consumer’. A SS service can be initiated by the pharmacist, the prescriber, the patient or their agent, or another health professional involved in the care of the patient. </w:t>
      </w:r>
      <w:r w:rsidRPr="00CA3C3F">
        <w:t>Once dispensed</w:t>
      </w:r>
      <w:r>
        <w:t>,</w:t>
      </w:r>
      <w:r w:rsidRPr="00CA3C3F">
        <w:t xml:space="preserve"> the medicine is hel</w:t>
      </w:r>
      <w:r>
        <w:t>d by the pharmacy and the insta</w:t>
      </w:r>
      <w:r w:rsidRPr="00CA3C3F">
        <w:t>lments are provided to the patient according to the agreed regime (for example, daily or weekly)</w:t>
      </w:r>
      <w:r>
        <w:t xml:space="preserve">. </w:t>
      </w:r>
      <w:r w:rsidR="00C66DD9">
        <w:t xml:space="preserve">Medicines that may be considered for SS include antipsychotics, anxiolytics, hypnotics and sedatives, antidepressants, opioid analgesics and psychostimulants. </w:t>
      </w:r>
      <w:r w:rsidR="004C08D3">
        <w:t xml:space="preserve"> </w:t>
      </w:r>
      <w:r w:rsidR="00C66DD9">
        <w:t>SS services specifically exclude medicines supplied under the Section 100 Opioid Dependence Treatment Program.</w:t>
      </w:r>
      <w:r w:rsidR="004B09CC">
        <w:t xml:space="preserve">  </w:t>
      </w:r>
    </w:p>
    <w:p w14:paraId="189565AE" w14:textId="6F4A3449" w:rsidR="00C71CE8" w:rsidRDefault="00C71CE8" w:rsidP="00C71CE8">
      <w:pPr>
        <w:pStyle w:val="BodyText"/>
      </w:pPr>
      <w:r>
        <w:t xml:space="preserve">The main objective of the provision of the SS service is to assist consumers who are at particular risk of medication misadventure or harm as a result of the intentional or accidental misuse of prescribed medicines, often because of mental illness or drug dependence. </w:t>
      </w:r>
      <w:r w:rsidR="004C08D3">
        <w:t xml:space="preserve"> </w:t>
      </w:r>
      <w:r>
        <w:t xml:space="preserve">SS is likely to be of particular benefit </w:t>
      </w:r>
      <w:r w:rsidRPr="00D64972">
        <w:t>where</w:t>
      </w:r>
      <w:r>
        <w:t xml:space="preserve"> the consumer is homeless or in sheltered accommodation where the possibility of theft and lack of refrigeration must be considered</w:t>
      </w:r>
      <w:bookmarkStart w:id="7" w:name="_Toc463300306"/>
      <w:r w:rsidR="00C66DD9">
        <w:t>.</w:t>
      </w:r>
    </w:p>
    <w:p w14:paraId="387E1784" w14:textId="16CA78EC" w:rsidR="004B09CC" w:rsidRDefault="004B09CC" w:rsidP="00C71CE8">
      <w:pPr>
        <w:pStyle w:val="BodyText"/>
      </w:pPr>
      <w:r>
        <w:t xml:space="preserve">It is important to note that the incentive payment made to pharmacies for SS services is provided as an annual payment to accredited pharmacies regardless if any or how many SS services have been provided.  </w:t>
      </w:r>
      <w:r w:rsidR="00675672">
        <w:t xml:space="preserve">For the purposes of the incentive payment, in-scope </w:t>
      </w:r>
      <w:r>
        <w:t xml:space="preserve">SS services are </w:t>
      </w:r>
      <w:r w:rsidR="00675672">
        <w:t xml:space="preserve">those </w:t>
      </w:r>
      <w:r>
        <w:t>provided</w:t>
      </w:r>
      <w:r w:rsidR="00675672">
        <w:t xml:space="preserve"> </w:t>
      </w:r>
      <w:r>
        <w:t>when requested by the prescriber (excluding the section 100 opioid dependency treatment programme).</w:t>
      </w:r>
    </w:p>
    <w:p w14:paraId="7C1A8868" w14:textId="77777777" w:rsidR="009026B2" w:rsidRDefault="009026B2" w:rsidP="009026B2">
      <w:pPr>
        <w:pStyle w:val="ESHeading2"/>
      </w:pPr>
      <w:bookmarkStart w:id="8" w:name="_Toc467155488"/>
      <w:bookmarkStart w:id="9" w:name="_Toc467155722"/>
      <w:bookmarkStart w:id="10" w:name="_Toc523236188"/>
      <w:r>
        <w:t>Methodology</w:t>
      </w:r>
      <w:bookmarkEnd w:id="7"/>
      <w:bookmarkEnd w:id="8"/>
      <w:bookmarkEnd w:id="9"/>
      <w:bookmarkEnd w:id="10"/>
    </w:p>
    <w:p w14:paraId="20EFEC74" w14:textId="77777777" w:rsidR="009026B2" w:rsidRDefault="009026B2" w:rsidP="009026B2">
      <w:pPr>
        <w:pStyle w:val="ESHeading3"/>
      </w:pPr>
      <w:r>
        <w:t>Literature search</w:t>
      </w:r>
    </w:p>
    <w:p w14:paraId="7F70192F" w14:textId="619395F4" w:rsidR="009026B2" w:rsidRDefault="009026B2" w:rsidP="009026B2">
      <w:pPr>
        <w:pStyle w:val="BodyText"/>
      </w:pPr>
      <w:r>
        <w:t>A systematic literature review was undertaken in August 2016 to identify studies that provide evidence relating to the effectiveness, costs and cost-effectiveness of SS or similar programs provided by pharmacists to individuals living in the community. The grey literature was also searched, as were the refere</w:t>
      </w:r>
      <w:r w:rsidR="00C71CE8">
        <w:t xml:space="preserve">nce lists of included studies. </w:t>
      </w:r>
      <w:r>
        <w:t xml:space="preserve">Table ES.1 </w:t>
      </w:r>
      <w:r w:rsidRPr="00D01587">
        <w:t xml:space="preserve">presents the </w:t>
      </w:r>
      <w:r>
        <w:t xml:space="preserve">evidence </w:t>
      </w:r>
      <w:r w:rsidRPr="00D01587">
        <w:t>selection criteria.</w:t>
      </w:r>
      <w:r>
        <w:t xml:space="preserve"> </w:t>
      </w:r>
    </w:p>
    <w:p w14:paraId="0A832BF8" w14:textId="73CF4323" w:rsidR="009026B2" w:rsidRDefault="009026B2" w:rsidP="009026B2">
      <w:pPr>
        <w:pStyle w:val="Caption"/>
      </w:pPr>
      <w:r>
        <w:lastRenderedPageBreak/>
        <w:t>Table ES.1</w:t>
      </w:r>
      <w:r>
        <w:tab/>
      </w:r>
      <w:r w:rsidRPr="00187213">
        <w:t xml:space="preserve">Selection criteria for evidence </w:t>
      </w:r>
      <w:r>
        <w:t>relating to SS services provided by community pharmacies</w:t>
      </w:r>
    </w:p>
    <w:tbl>
      <w:tblPr>
        <w:tblStyle w:val="TableGrid"/>
        <w:tblW w:w="5000" w:type="pct"/>
        <w:tblLook w:val="04A0" w:firstRow="1" w:lastRow="0" w:firstColumn="1" w:lastColumn="0" w:noHBand="0" w:noVBand="1"/>
        <w:tblCaption w:val="Table ES.1"/>
        <w:tblDescription w:val="Selection criteria for evidence relating to SS services provided by community pharmacies"/>
      </w:tblPr>
      <w:tblGrid>
        <w:gridCol w:w="1502"/>
        <w:gridCol w:w="8126"/>
      </w:tblGrid>
      <w:tr w:rsidR="009026B2" w14:paraId="2BBA9C98" w14:textId="77777777" w:rsidTr="00A15D68">
        <w:trPr>
          <w:cnfStyle w:val="100000000000" w:firstRow="1" w:lastRow="0" w:firstColumn="0" w:lastColumn="0" w:oddVBand="0" w:evenVBand="0" w:oddHBand="0" w:evenHBand="0" w:firstRowFirstColumn="0" w:firstRowLastColumn="0" w:lastRowFirstColumn="0" w:lastRowLastColumn="0"/>
        </w:trPr>
        <w:tc>
          <w:tcPr>
            <w:tcW w:w="780" w:type="pct"/>
            <w:vAlign w:val="center"/>
          </w:tcPr>
          <w:p w14:paraId="734139B8" w14:textId="77777777" w:rsidR="009026B2" w:rsidRDefault="009026B2" w:rsidP="00BB3C76">
            <w:pPr>
              <w:pStyle w:val="01Tableheadingorsubheading"/>
              <w:keepNext w:val="0"/>
            </w:pPr>
            <w:r>
              <w:t>Criteria</w:t>
            </w:r>
          </w:p>
        </w:tc>
        <w:tc>
          <w:tcPr>
            <w:tcW w:w="4220" w:type="pct"/>
            <w:vAlign w:val="center"/>
          </w:tcPr>
          <w:p w14:paraId="28504D85" w14:textId="77777777" w:rsidR="009026B2" w:rsidRDefault="009026B2" w:rsidP="00BB3C76">
            <w:pPr>
              <w:pStyle w:val="01Tableheadingorsubheading"/>
              <w:keepNext w:val="0"/>
            </w:pPr>
            <w:r>
              <w:t>Description</w:t>
            </w:r>
          </w:p>
        </w:tc>
      </w:tr>
      <w:tr w:rsidR="009026B2" w14:paraId="0F4CD11D" w14:textId="77777777" w:rsidTr="00A15D68">
        <w:tc>
          <w:tcPr>
            <w:tcW w:w="780" w:type="pct"/>
          </w:tcPr>
          <w:p w14:paraId="31162C51" w14:textId="77777777" w:rsidR="009026B2" w:rsidRPr="00D01587" w:rsidRDefault="009026B2" w:rsidP="00BB3C76">
            <w:pPr>
              <w:pStyle w:val="02Tabletext"/>
              <w:keepNext w:val="0"/>
            </w:pPr>
            <w:r w:rsidRPr="00D01587">
              <w:t>Population</w:t>
            </w:r>
          </w:p>
        </w:tc>
        <w:tc>
          <w:tcPr>
            <w:tcW w:w="4220" w:type="pct"/>
          </w:tcPr>
          <w:p w14:paraId="3AAEE2A3" w14:textId="77777777" w:rsidR="009026B2" w:rsidRDefault="009026B2" w:rsidP="00BB3C76">
            <w:pPr>
              <w:pStyle w:val="02Tabletext"/>
              <w:rPr>
                <w:i/>
              </w:rPr>
            </w:pPr>
            <w:r w:rsidRPr="00FD30FA">
              <w:t>Community patients with a mental illness, drug dependency or who are otherwise unable to manage their self-administered medicines safely</w:t>
            </w:r>
            <w:r>
              <w:rPr>
                <w:i/>
              </w:rPr>
              <w:t>.</w:t>
            </w:r>
          </w:p>
          <w:p w14:paraId="62395E6E" w14:textId="77777777" w:rsidR="009026B2" w:rsidRPr="00D01587" w:rsidRDefault="009026B2" w:rsidP="00BB3C76">
            <w:pPr>
              <w:pStyle w:val="04Tabletextspaceitalics"/>
            </w:pPr>
            <w:r w:rsidRPr="00D01587">
              <w:t>Subpopulations:</w:t>
            </w:r>
          </w:p>
          <w:p w14:paraId="4DE88C49" w14:textId="77777777" w:rsidR="009026B2" w:rsidRPr="00FD30FA" w:rsidRDefault="009026B2" w:rsidP="00BB3C76">
            <w:pPr>
              <w:pStyle w:val="06Tablebullet"/>
            </w:pPr>
            <w:r w:rsidRPr="00FD30FA">
              <w:t>patients with confusion and/or significant disorientation</w:t>
            </w:r>
          </w:p>
          <w:p w14:paraId="6D5A9CB1" w14:textId="77777777" w:rsidR="009026B2" w:rsidRPr="00FD30FA" w:rsidRDefault="009026B2" w:rsidP="00BB3C76">
            <w:pPr>
              <w:pStyle w:val="06Tablebullet"/>
            </w:pPr>
            <w:r w:rsidRPr="00FD30FA">
              <w:t>patients at risk of accidental or deliberate self-harm or harm to others</w:t>
            </w:r>
          </w:p>
          <w:p w14:paraId="483A19C7" w14:textId="77777777" w:rsidR="009026B2" w:rsidRPr="00FD30FA" w:rsidRDefault="009026B2" w:rsidP="00BB3C76">
            <w:pPr>
              <w:pStyle w:val="06Tablebullet"/>
            </w:pPr>
            <w:r w:rsidRPr="00FD30FA">
              <w:t>patients at risk of non-adherence to a medication regime</w:t>
            </w:r>
          </w:p>
          <w:p w14:paraId="77FBBB49" w14:textId="77777777" w:rsidR="009026B2" w:rsidRPr="00FD30FA" w:rsidRDefault="009026B2" w:rsidP="00BB3C76">
            <w:pPr>
              <w:pStyle w:val="06Tablebullet"/>
            </w:pPr>
            <w:r w:rsidRPr="00FD30FA">
              <w:t>patients at risk of misuse or on-selling of the medication</w:t>
            </w:r>
          </w:p>
        </w:tc>
      </w:tr>
      <w:tr w:rsidR="009026B2" w14:paraId="2B3656C8" w14:textId="77777777" w:rsidTr="00A15D68">
        <w:trPr>
          <w:cnfStyle w:val="000000010000" w:firstRow="0" w:lastRow="0" w:firstColumn="0" w:lastColumn="0" w:oddVBand="0" w:evenVBand="0" w:oddHBand="0" w:evenHBand="1" w:firstRowFirstColumn="0" w:firstRowLastColumn="0" w:lastRowFirstColumn="0" w:lastRowLastColumn="0"/>
        </w:trPr>
        <w:tc>
          <w:tcPr>
            <w:tcW w:w="780" w:type="pct"/>
          </w:tcPr>
          <w:p w14:paraId="10FF071A" w14:textId="77777777" w:rsidR="009026B2" w:rsidRPr="00D01587" w:rsidRDefault="009026B2" w:rsidP="00BB3C76">
            <w:pPr>
              <w:pStyle w:val="02Tabletext"/>
              <w:keepNext w:val="0"/>
            </w:pPr>
            <w:r w:rsidRPr="00D01587">
              <w:t>Intervention</w:t>
            </w:r>
          </w:p>
        </w:tc>
        <w:tc>
          <w:tcPr>
            <w:tcW w:w="4220" w:type="pct"/>
          </w:tcPr>
          <w:p w14:paraId="22C02173" w14:textId="77777777" w:rsidR="009026B2" w:rsidRDefault="009026B2" w:rsidP="00BB3C76">
            <w:pPr>
              <w:pStyle w:val="02Tabletext"/>
              <w:spacing w:after="120"/>
            </w:pPr>
            <w:r w:rsidRPr="00FD30FA">
              <w:t>Supply</w:t>
            </w:r>
            <w:r>
              <w:t xml:space="preserve"> of prescription medicines (e.g. opioid analgesics and medicines used for the treatment of mental health disorders) to a patient in periodic instalments of less than the originally prescribed quantity, at agreed time intervals (e.g. daily, weekly or as directed by the prescriber) by a community pharmacy.</w:t>
            </w:r>
          </w:p>
          <w:p w14:paraId="3FD00AAD" w14:textId="77777777" w:rsidR="009026B2" w:rsidRPr="00FD30FA" w:rsidRDefault="009026B2" w:rsidP="00BB3C76">
            <w:pPr>
              <w:pStyle w:val="02Tabletext"/>
              <w:keepNext w:val="0"/>
            </w:pPr>
            <w:r>
              <w:t>Note: Excludes the supply of medicines related to opioid substitution therapy.</w:t>
            </w:r>
          </w:p>
        </w:tc>
      </w:tr>
      <w:tr w:rsidR="009026B2" w14:paraId="24D7E694" w14:textId="77777777" w:rsidTr="00A15D68">
        <w:tc>
          <w:tcPr>
            <w:tcW w:w="780" w:type="pct"/>
          </w:tcPr>
          <w:p w14:paraId="5EABF884" w14:textId="77777777" w:rsidR="009026B2" w:rsidRPr="00D01587" w:rsidRDefault="009026B2" w:rsidP="00BB3C76">
            <w:pPr>
              <w:pStyle w:val="02Tabletext"/>
              <w:keepNext w:val="0"/>
            </w:pPr>
            <w:r w:rsidRPr="00D01587">
              <w:t>Comparator</w:t>
            </w:r>
          </w:p>
        </w:tc>
        <w:tc>
          <w:tcPr>
            <w:tcW w:w="4220" w:type="pct"/>
          </w:tcPr>
          <w:p w14:paraId="0669D332" w14:textId="77777777" w:rsidR="009026B2" w:rsidRPr="00FD30FA" w:rsidRDefault="009026B2" w:rsidP="00BB3C76">
            <w:pPr>
              <w:pStyle w:val="02Tabletext"/>
              <w:keepNext w:val="0"/>
            </w:pPr>
            <w:r w:rsidRPr="00D01587">
              <w:t>Community patients in the absence of the intervention.</w:t>
            </w:r>
          </w:p>
        </w:tc>
      </w:tr>
      <w:tr w:rsidR="009026B2" w14:paraId="37C9CD73" w14:textId="77777777" w:rsidTr="00A15D68">
        <w:trPr>
          <w:cnfStyle w:val="000000010000" w:firstRow="0" w:lastRow="0" w:firstColumn="0" w:lastColumn="0" w:oddVBand="0" w:evenVBand="0" w:oddHBand="0" w:evenHBand="1" w:firstRowFirstColumn="0" w:firstRowLastColumn="0" w:lastRowFirstColumn="0" w:lastRowLastColumn="0"/>
        </w:trPr>
        <w:tc>
          <w:tcPr>
            <w:tcW w:w="780" w:type="pct"/>
          </w:tcPr>
          <w:p w14:paraId="09B58533" w14:textId="77777777" w:rsidR="009026B2" w:rsidRPr="00D01587" w:rsidRDefault="009026B2" w:rsidP="00BB3C76">
            <w:pPr>
              <w:pStyle w:val="02Tabletext"/>
              <w:keepNext w:val="0"/>
            </w:pPr>
            <w:r w:rsidRPr="00D01587">
              <w:t>Outcomes</w:t>
            </w:r>
          </w:p>
        </w:tc>
        <w:tc>
          <w:tcPr>
            <w:tcW w:w="4220" w:type="pct"/>
          </w:tcPr>
          <w:p w14:paraId="13C3A94E" w14:textId="77777777" w:rsidR="009026B2" w:rsidRPr="00FD30FA" w:rsidRDefault="009026B2" w:rsidP="00BB3C76">
            <w:pPr>
              <w:pStyle w:val="06Tablebullet"/>
            </w:pPr>
            <w:r w:rsidRPr="00FD30FA">
              <w:t>adherence/compliance/concordance with prescribed dose schedule</w:t>
            </w:r>
          </w:p>
          <w:p w14:paraId="5442DC84" w14:textId="77777777" w:rsidR="009026B2" w:rsidRPr="00FD30FA" w:rsidRDefault="009026B2" w:rsidP="00BB3C76">
            <w:pPr>
              <w:pStyle w:val="06Tablebullet"/>
            </w:pPr>
            <w:r w:rsidRPr="00FD30FA">
              <w:t>clinical outcomes (e.g. psychological symptoms in patients with mental illness)</w:t>
            </w:r>
          </w:p>
          <w:p w14:paraId="2412A339" w14:textId="77777777" w:rsidR="009026B2" w:rsidRPr="00FD30FA" w:rsidRDefault="009026B2" w:rsidP="00BB3C76">
            <w:pPr>
              <w:pStyle w:val="06Tablebullet"/>
            </w:pPr>
            <w:r w:rsidRPr="00FD30FA">
              <w:t>adverse drug events/reactions and medication-related problems</w:t>
            </w:r>
          </w:p>
          <w:p w14:paraId="7A0C916D" w14:textId="77777777" w:rsidR="009026B2" w:rsidRPr="00FD30FA" w:rsidRDefault="009026B2" w:rsidP="00BB3C76">
            <w:pPr>
              <w:pStyle w:val="06Tablebullet"/>
            </w:pPr>
            <w:r w:rsidRPr="00FD30FA">
              <w:t>mortality</w:t>
            </w:r>
          </w:p>
          <w:p w14:paraId="4F340CFD" w14:textId="77777777" w:rsidR="009026B2" w:rsidRPr="00FD30FA" w:rsidRDefault="009026B2" w:rsidP="00BB3C76">
            <w:pPr>
              <w:pStyle w:val="06Tablebullet"/>
            </w:pPr>
            <w:r w:rsidRPr="00FD30FA">
              <w:t>health care resource use (ED attendance, hospitalisation, GP visits, specialist visits)</w:t>
            </w:r>
          </w:p>
          <w:p w14:paraId="1AE332A2" w14:textId="77777777" w:rsidR="009026B2" w:rsidRPr="00FD30FA" w:rsidRDefault="009026B2" w:rsidP="00BB3C76">
            <w:pPr>
              <w:pStyle w:val="06Tablebullet"/>
            </w:pPr>
            <w:r w:rsidRPr="00FD30FA">
              <w:t>patient acceptance/satisfaction</w:t>
            </w:r>
          </w:p>
          <w:p w14:paraId="191A39D6" w14:textId="77777777" w:rsidR="009026B2" w:rsidRPr="00FD30FA" w:rsidRDefault="009026B2" w:rsidP="00BB3C76">
            <w:pPr>
              <w:pStyle w:val="06Tablebullet"/>
            </w:pPr>
            <w:r w:rsidRPr="00FD30FA">
              <w:t>health-related quality of life</w:t>
            </w:r>
          </w:p>
          <w:p w14:paraId="1E297713" w14:textId="77777777" w:rsidR="009026B2" w:rsidRPr="00D01587" w:rsidRDefault="009026B2" w:rsidP="00BB3C76">
            <w:pPr>
              <w:pStyle w:val="06Tablebullet"/>
            </w:pPr>
            <w:r w:rsidRPr="00FD30FA">
              <w:t>costs and cost-effectiveness</w:t>
            </w:r>
          </w:p>
        </w:tc>
      </w:tr>
      <w:tr w:rsidR="009026B2" w14:paraId="28CC40C8" w14:textId="77777777" w:rsidTr="00A15D68">
        <w:tc>
          <w:tcPr>
            <w:tcW w:w="780" w:type="pct"/>
          </w:tcPr>
          <w:p w14:paraId="53DB7B6F" w14:textId="77777777" w:rsidR="009026B2" w:rsidRPr="00D01587" w:rsidRDefault="009026B2" w:rsidP="00BB3C76">
            <w:pPr>
              <w:pStyle w:val="02Tabletext"/>
              <w:keepNext w:val="0"/>
            </w:pPr>
            <w:r w:rsidRPr="00D01587">
              <w:t>Study design</w:t>
            </w:r>
          </w:p>
        </w:tc>
        <w:tc>
          <w:tcPr>
            <w:tcW w:w="4220" w:type="pct"/>
          </w:tcPr>
          <w:p w14:paraId="261B362E" w14:textId="77777777" w:rsidR="009026B2" w:rsidRDefault="009026B2" w:rsidP="00BB3C76">
            <w:pPr>
              <w:pStyle w:val="02Tabletext"/>
            </w:pPr>
            <w:r>
              <w:t>Comparative studies (randomised or non-randomised controlled trials, cohort studies, case control studies) or systematic reviews of comparative studies.</w:t>
            </w:r>
          </w:p>
          <w:p w14:paraId="7CFA48EA" w14:textId="77777777" w:rsidR="009026B2" w:rsidRPr="00D01587" w:rsidRDefault="009026B2" w:rsidP="00BB3C76">
            <w:pPr>
              <w:pStyle w:val="02Tabletext"/>
              <w:keepNext w:val="0"/>
            </w:pPr>
            <w:r>
              <w:t>Applicability to the Australian context will be considered</w:t>
            </w:r>
          </w:p>
        </w:tc>
      </w:tr>
      <w:tr w:rsidR="009026B2" w14:paraId="0948B60E" w14:textId="77777777" w:rsidTr="00A15D68">
        <w:trPr>
          <w:cnfStyle w:val="000000010000" w:firstRow="0" w:lastRow="0" w:firstColumn="0" w:lastColumn="0" w:oddVBand="0" w:evenVBand="0" w:oddHBand="0" w:evenHBand="1" w:firstRowFirstColumn="0" w:firstRowLastColumn="0" w:lastRowFirstColumn="0" w:lastRowLastColumn="0"/>
        </w:trPr>
        <w:tc>
          <w:tcPr>
            <w:tcW w:w="780" w:type="pct"/>
          </w:tcPr>
          <w:p w14:paraId="3EDDF13A" w14:textId="77777777" w:rsidR="009026B2" w:rsidRPr="00D01587" w:rsidRDefault="009026B2" w:rsidP="00BB3C76">
            <w:pPr>
              <w:pStyle w:val="02Tabletext"/>
              <w:keepNext w:val="0"/>
            </w:pPr>
            <w:r w:rsidRPr="00D01587">
              <w:t>Publication type</w:t>
            </w:r>
          </w:p>
        </w:tc>
        <w:tc>
          <w:tcPr>
            <w:tcW w:w="4220" w:type="pct"/>
          </w:tcPr>
          <w:p w14:paraId="637C1D3A" w14:textId="77777777" w:rsidR="009026B2" w:rsidRPr="00D01587" w:rsidRDefault="009026B2" w:rsidP="00BB3C76">
            <w:pPr>
              <w:pStyle w:val="02Tabletext"/>
              <w:keepNext w:val="0"/>
            </w:pPr>
            <w:r w:rsidRPr="00D01587">
              <w:t xml:space="preserve">Full English-language publications or reports. </w:t>
            </w:r>
          </w:p>
          <w:p w14:paraId="2B7A2E23" w14:textId="77777777" w:rsidR="009026B2" w:rsidRPr="00D01587" w:rsidRDefault="009026B2" w:rsidP="00BB3C76">
            <w:pPr>
              <w:pStyle w:val="02Tabletext"/>
              <w:keepNext w:val="0"/>
            </w:pPr>
            <w:r w:rsidRPr="00D01587">
              <w:t>Conference abstracts are excluded.</w:t>
            </w:r>
          </w:p>
        </w:tc>
      </w:tr>
      <w:tr w:rsidR="009026B2" w14:paraId="1687C212" w14:textId="77777777" w:rsidTr="00A15D68">
        <w:tc>
          <w:tcPr>
            <w:tcW w:w="780" w:type="pct"/>
          </w:tcPr>
          <w:p w14:paraId="457CF98C" w14:textId="77777777" w:rsidR="009026B2" w:rsidRPr="00D01587" w:rsidRDefault="009026B2" w:rsidP="00BB3C76">
            <w:pPr>
              <w:pStyle w:val="02Tabletext"/>
              <w:keepNext w:val="0"/>
            </w:pPr>
            <w:r>
              <w:t>Search period</w:t>
            </w:r>
          </w:p>
        </w:tc>
        <w:tc>
          <w:tcPr>
            <w:tcW w:w="4220" w:type="pct"/>
          </w:tcPr>
          <w:p w14:paraId="667E4E1E" w14:textId="77777777" w:rsidR="009026B2" w:rsidRPr="00D01587" w:rsidRDefault="009026B2" w:rsidP="00BB3C76">
            <w:pPr>
              <w:pStyle w:val="02Tabletext"/>
              <w:keepNext w:val="0"/>
            </w:pPr>
            <w:r w:rsidRPr="005D568A">
              <w:t>No year restrictions</w:t>
            </w:r>
          </w:p>
        </w:tc>
      </w:tr>
    </w:tbl>
    <w:p w14:paraId="6558000F" w14:textId="77777777" w:rsidR="009026B2" w:rsidRDefault="009026B2" w:rsidP="009026B2">
      <w:pPr>
        <w:pStyle w:val="09Tablefootnoteslast-nostick"/>
      </w:pPr>
      <w:r w:rsidRPr="00D01587">
        <w:t>A</w:t>
      </w:r>
      <w:r>
        <w:t xml:space="preserve">bbreviations: </w:t>
      </w:r>
      <w:r w:rsidRPr="00D01587">
        <w:t>ED, emergency departme</w:t>
      </w:r>
      <w:r>
        <w:t>nt; GP, general practitioner; SS, Staged Supply.</w:t>
      </w:r>
    </w:p>
    <w:p w14:paraId="4D4F6858" w14:textId="07FFD301" w:rsidR="00C66DD9" w:rsidRPr="003E16F3" w:rsidRDefault="00C66DD9" w:rsidP="00C66DD9">
      <w:pPr>
        <w:pStyle w:val="BodyText"/>
      </w:pPr>
      <w:r w:rsidRPr="003E16F3">
        <w:t>The systematic literature search did not identify any studies that fulfilled the criteria</w:t>
      </w:r>
      <w:r>
        <w:t xml:space="preserve"> outlined in Table ES.1</w:t>
      </w:r>
      <w:r w:rsidRPr="003E16F3">
        <w:t xml:space="preserve">. </w:t>
      </w:r>
      <w:r w:rsidR="00675672">
        <w:t xml:space="preserve"> </w:t>
      </w:r>
      <w:r w:rsidRPr="003E16F3">
        <w:t xml:space="preserve">The Pharmacy Guild of Australia was subsequently notified and asked whether they are aware of any relevant studies. </w:t>
      </w:r>
      <w:r w:rsidR="00675672">
        <w:t xml:space="preserve"> </w:t>
      </w:r>
      <w:r w:rsidRPr="003E16F3">
        <w:t xml:space="preserve">The Guild </w:t>
      </w:r>
      <w:r>
        <w:t>set about searching for evidence but did not provide any studies to the review team</w:t>
      </w:r>
      <w:r w:rsidRPr="003E16F3">
        <w:t>.</w:t>
      </w:r>
    </w:p>
    <w:p w14:paraId="4B6025A1" w14:textId="6C8EB44F" w:rsidR="009026B2" w:rsidRDefault="00C66DD9" w:rsidP="009026B2">
      <w:pPr>
        <w:pStyle w:val="BodyText"/>
      </w:pPr>
      <w:r w:rsidRPr="003E16F3">
        <w:t>The targeted search</w:t>
      </w:r>
      <w:r w:rsidRPr="006C1BAE">
        <w:t xml:space="preserve"> of the websites of relevant pharmacy organisations </w:t>
      </w:r>
      <w:r>
        <w:t xml:space="preserve">and the Commonwealth Department of Health </w:t>
      </w:r>
      <w:r w:rsidRPr="006C1BAE">
        <w:t>identified two previous evaluations of the SS initiative</w:t>
      </w:r>
      <w:r>
        <w:t xml:space="preserve">. </w:t>
      </w:r>
      <w:r w:rsidR="00675672">
        <w:t xml:space="preserve"> </w:t>
      </w:r>
      <w:r>
        <w:t>The findings from these reports are summarised in the main body of th</w:t>
      </w:r>
      <w:r w:rsidR="0004488B">
        <w:t xml:space="preserve">is initial </w:t>
      </w:r>
      <w:r>
        <w:t xml:space="preserve">evaluation report. </w:t>
      </w:r>
      <w:r w:rsidR="00675672">
        <w:t xml:space="preserve"> </w:t>
      </w:r>
      <w:r>
        <w:t>Due to a lack of data,</w:t>
      </w:r>
      <w:r w:rsidRPr="000F48FC">
        <w:t xml:space="preserve"> </w:t>
      </w:r>
      <w:r>
        <w:t>t</w:t>
      </w:r>
      <w:r w:rsidRPr="000F48FC">
        <w:t xml:space="preserve">he impact of the </w:t>
      </w:r>
      <w:r>
        <w:t xml:space="preserve">4CPA and 5CPA SS </w:t>
      </w:r>
      <w:r w:rsidRPr="000F48FC">
        <w:t xml:space="preserve">service on </w:t>
      </w:r>
      <w:r>
        <w:t xml:space="preserve">patient </w:t>
      </w:r>
      <w:r w:rsidRPr="000F48FC">
        <w:t>health outcomes</w:t>
      </w:r>
      <w:r>
        <w:t xml:space="preserve"> was unable to be evaluated</w:t>
      </w:r>
      <w:r w:rsidRPr="000F48FC">
        <w:t>.</w:t>
      </w:r>
    </w:p>
    <w:p w14:paraId="3E77C739" w14:textId="77777777" w:rsidR="009026B2" w:rsidRDefault="009026B2" w:rsidP="009026B2">
      <w:pPr>
        <w:pStyle w:val="ESHeading3"/>
      </w:pPr>
      <w:r>
        <w:t>Utilisation analysis</w:t>
      </w:r>
    </w:p>
    <w:p w14:paraId="69753A4E" w14:textId="38EB5E46" w:rsidR="006B2FBC" w:rsidRDefault="00675672" w:rsidP="00675672">
      <w:pPr>
        <w:pStyle w:val="BodyText"/>
      </w:pPr>
      <w:bookmarkStart w:id="11" w:name="_Toc463300307"/>
      <w:r>
        <w:t>Data available for the utilisation analysis included c</w:t>
      </w:r>
      <w:r w:rsidR="00745FE6" w:rsidRPr="00CA7F50">
        <w:t xml:space="preserve">laims payment data </w:t>
      </w:r>
      <w:r w:rsidR="006B2FBC">
        <w:t xml:space="preserve">provided </w:t>
      </w:r>
      <w:r w:rsidR="00745FE6" w:rsidRPr="00CA7F50">
        <w:t>by the Department of Health</w:t>
      </w:r>
      <w:r>
        <w:t xml:space="preserve"> and de-identified patient level data </w:t>
      </w:r>
      <w:r w:rsidR="006B2FBC">
        <w:t xml:space="preserve">by drug type of SS services </w:t>
      </w:r>
      <w:r>
        <w:t>provided by the Pharmacy Guild of Australia</w:t>
      </w:r>
      <w:r w:rsidR="00745FE6" w:rsidRPr="00CA7F50">
        <w:t xml:space="preserve">.  </w:t>
      </w:r>
    </w:p>
    <w:p w14:paraId="388C880F" w14:textId="77777777" w:rsidR="006B2FBC" w:rsidRDefault="00745FE6" w:rsidP="00675672">
      <w:pPr>
        <w:pStyle w:val="BodyText"/>
      </w:pPr>
      <w:r w:rsidRPr="00CA7F50">
        <w:t>The</w:t>
      </w:r>
      <w:r w:rsidR="00675672">
        <w:t xml:space="preserve"> claims </w:t>
      </w:r>
      <w:r w:rsidRPr="00CA7F50">
        <w:t xml:space="preserve">data </w:t>
      </w:r>
      <w:r w:rsidR="00675672">
        <w:t xml:space="preserve">were </w:t>
      </w:r>
      <w:r w:rsidRPr="00CA7F50">
        <w:t xml:space="preserve">analysed in the context of geographical factors that have been inferred from the postcode of each pharmacy. </w:t>
      </w:r>
      <w:r w:rsidR="00675672">
        <w:t xml:space="preserve"> </w:t>
      </w:r>
      <w:r w:rsidRPr="00CA7F50">
        <w:t>Those factors included remoteness; overall population</w:t>
      </w:r>
      <w:r w:rsidR="00CA7F50">
        <w:t xml:space="preserve"> and mental health issues</w:t>
      </w:r>
      <w:r w:rsidRPr="00CA7F50">
        <w:t xml:space="preserve"> prevalence by Primary Health Network (PHN) geographic areas. </w:t>
      </w:r>
      <w:r w:rsidR="00675672">
        <w:t xml:space="preserve"> </w:t>
      </w:r>
      <w:r w:rsidRPr="00CA7F50">
        <w:t xml:space="preserve">These factors were used to assess whether the growth in </w:t>
      </w:r>
      <w:r w:rsidR="00CA7F50">
        <w:t>SS</w:t>
      </w:r>
      <w:r w:rsidRPr="00CA7F50">
        <w:t xml:space="preserve"> </w:t>
      </w:r>
      <w:r w:rsidR="00CA7F50">
        <w:t xml:space="preserve">resources </w:t>
      </w:r>
      <w:r w:rsidRPr="00CA7F50">
        <w:t xml:space="preserve">has occurred in line with the populations that the program is intended to target.  Key metrics in the analysis are limited to the amount of claims paid </w:t>
      </w:r>
      <w:r w:rsidR="00CA7F50">
        <w:t>to participating pharmacies in the SS program</w:t>
      </w:r>
      <w:r w:rsidRPr="00CA7F50">
        <w:t>.</w:t>
      </w:r>
      <w:r w:rsidR="00675672">
        <w:t xml:space="preserve">  </w:t>
      </w:r>
    </w:p>
    <w:p w14:paraId="7DD919E5" w14:textId="6614B81A" w:rsidR="00745FE6" w:rsidRDefault="00675672" w:rsidP="00675672">
      <w:pPr>
        <w:pStyle w:val="BodyText"/>
      </w:pPr>
      <w:r>
        <w:lastRenderedPageBreak/>
        <w:t xml:space="preserve">The </w:t>
      </w:r>
      <w:r w:rsidRPr="00675672">
        <w:t>data provided by the Pharmacy Guild of Australi</w:t>
      </w:r>
      <w:r>
        <w:t>a, a</w:t>
      </w:r>
      <w:r w:rsidRPr="00675672">
        <w:t xml:space="preserve">lthough </w:t>
      </w:r>
      <w:r>
        <w:t xml:space="preserve">it </w:t>
      </w:r>
      <w:r w:rsidRPr="00675672">
        <w:t xml:space="preserve">could not be reconciled </w:t>
      </w:r>
      <w:r>
        <w:t xml:space="preserve">to </w:t>
      </w:r>
      <w:r w:rsidRPr="00675672">
        <w:t xml:space="preserve">the data provided by the Department, it </w:t>
      </w:r>
      <w:r>
        <w:t xml:space="preserve">enabled some </w:t>
      </w:r>
      <w:r w:rsidRPr="00675672">
        <w:t xml:space="preserve">analysis of the </w:t>
      </w:r>
      <w:r>
        <w:t xml:space="preserve">types of </w:t>
      </w:r>
      <w:r w:rsidRPr="00675672">
        <w:t xml:space="preserve">drugs </w:t>
      </w:r>
      <w:r>
        <w:t xml:space="preserve">supplied </w:t>
      </w:r>
      <w:r w:rsidRPr="00675672">
        <w:t xml:space="preserve">as SS services which provides insight into the clinical indications of the patients requiring </w:t>
      </w:r>
      <w:r>
        <w:t xml:space="preserve">SS </w:t>
      </w:r>
      <w:r w:rsidRPr="00675672">
        <w:t>services.</w:t>
      </w:r>
    </w:p>
    <w:p w14:paraId="0ED86083" w14:textId="77777777" w:rsidR="009026B2" w:rsidRDefault="009026B2" w:rsidP="009026B2">
      <w:pPr>
        <w:pStyle w:val="ESHeading2"/>
      </w:pPr>
      <w:bookmarkStart w:id="12" w:name="_Toc467155489"/>
      <w:bookmarkStart w:id="13" w:name="_Toc467155723"/>
      <w:bookmarkStart w:id="14" w:name="_Toc523236189"/>
      <w:r>
        <w:t>Results of the literature review</w:t>
      </w:r>
      <w:bookmarkEnd w:id="11"/>
      <w:bookmarkEnd w:id="12"/>
      <w:bookmarkEnd w:id="13"/>
      <w:bookmarkEnd w:id="14"/>
    </w:p>
    <w:p w14:paraId="1DFB43AE" w14:textId="435F5EAD" w:rsidR="009026B2" w:rsidRDefault="009026B2" w:rsidP="009026B2">
      <w:pPr>
        <w:pStyle w:val="Bodytextbeforebullets"/>
      </w:pPr>
      <w:r>
        <w:t>The key research questions for the literature review of SS services primarily relate to the potential advantages to consumers that are outlined in the PSA Guidelines (2011).</w:t>
      </w:r>
    </w:p>
    <w:p w14:paraId="0C5AC641" w14:textId="52462C26" w:rsidR="009026B2" w:rsidRPr="009026B2" w:rsidRDefault="009026B2" w:rsidP="009026B2">
      <w:pPr>
        <w:pStyle w:val="BodyText"/>
        <w:rPr>
          <w:b/>
          <w:i/>
        </w:rPr>
      </w:pPr>
      <w:r w:rsidRPr="009026B2">
        <w:rPr>
          <w:b/>
          <w:i/>
        </w:rPr>
        <w:t>Is there evidence that a SS service provided by community pharmacies provides benefits, compared with no SS service provided by community pharmacies, in terms of improvement in medication adherence and management; reduction in the incidence of adverse drug events; and reduction in medication-related hospitalisation.</w:t>
      </w:r>
    </w:p>
    <w:p w14:paraId="6C1011AA" w14:textId="75ECA361" w:rsidR="009026B2" w:rsidRPr="00FD30FA" w:rsidRDefault="00C71CE8" w:rsidP="009026B2">
      <w:pPr>
        <w:pStyle w:val="BodyText"/>
      </w:pPr>
      <w:r>
        <w:t>No relevant evidence was identified.</w:t>
      </w:r>
    </w:p>
    <w:p w14:paraId="3F82A071" w14:textId="77777777" w:rsidR="009026B2" w:rsidRPr="009026B2" w:rsidRDefault="009026B2" w:rsidP="009026B2">
      <w:pPr>
        <w:pStyle w:val="BodyText"/>
        <w:rPr>
          <w:b/>
          <w:i/>
        </w:rPr>
      </w:pPr>
      <w:r w:rsidRPr="009026B2">
        <w:rPr>
          <w:b/>
          <w:i/>
        </w:rPr>
        <w:t>What costs are associated with a SS service provided by community pharmacies?</w:t>
      </w:r>
    </w:p>
    <w:p w14:paraId="3837499D" w14:textId="473FDD8E" w:rsidR="009026B2" w:rsidRPr="00C632ED" w:rsidRDefault="00C71CE8" w:rsidP="009026B2">
      <w:pPr>
        <w:pStyle w:val="BodyText"/>
      </w:pPr>
      <w:r>
        <w:t>No relevant evidence was identified.</w:t>
      </w:r>
    </w:p>
    <w:p w14:paraId="3C0FEB1F" w14:textId="77777777" w:rsidR="009026B2" w:rsidRPr="009026B2" w:rsidRDefault="009026B2" w:rsidP="009026B2">
      <w:pPr>
        <w:pStyle w:val="BodyText"/>
        <w:rPr>
          <w:b/>
          <w:i/>
        </w:rPr>
      </w:pPr>
      <w:r w:rsidRPr="009026B2">
        <w:rPr>
          <w:b/>
          <w:i/>
        </w:rPr>
        <w:t>Is there evidence that a SS service provided by community pharmacies is cost-effective, compared with no SS service provided by community pharmacies?</w:t>
      </w:r>
    </w:p>
    <w:p w14:paraId="783BA9A3" w14:textId="031B193D" w:rsidR="009026B2" w:rsidRDefault="00C71CE8" w:rsidP="009026B2">
      <w:pPr>
        <w:pStyle w:val="BodyText"/>
      </w:pPr>
      <w:r>
        <w:t>No relevant evidence was identified.</w:t>
      </w:r>
    </w:p>
    <w:p w14:paraId="0C311280" w14:textId="77777777" w:rsidR="009026B2" w:rsidRDefault="009026B2" w:rsidP="009026B2">
      <w:pPr>
        <w:pStyle w:val="ESHeading2"/>
      </w:pPr>
      <w:bookmarkStart w:id="15" w:name="_Toc463300308"/>
      <w:bookmarkStart w:id="16" w:name="_Toc467155490"/>
      <w:bookmarkStart w:id="17" w:name="_Toc467155724"/>
      <w:bookmarkStart w:id="18" w:name="_Toc523236190"/>
      <w:r>
        <w:t>Results of the utilisation analysis</w:t>
      </w:r>
      <w:bookmarkEnd w:id="15"/>
      <w:bookmarkEnd w:id="16"/>
      <w:bookmarkEnd w:id="17"/>
      <w:bookmarkEnd w:id="18"/>
    </w:p>
    <w:p w14:paraId="5CCF392B" w14:textId="397B17CD" w:rsidR="00745FE6" w:rsidRPr="00542F4A" w:rsidRDefault="00745FE6" w:rsidP="00745FE6">
      <w:pPr>
        <w:pStyle w:val="BodyText"/>
      </w:pPr>
      <w:bookmarkStart w:id="19" w:name="_Toc463300309"/>
      <w:r w:rsidRPr="00542F4A">
        <w:t xml:space="preserve">The </w:t>
      </w:r>
      <w:r w:rsidR="00BD28E2" w:rsidRPr="00542F4A">
        <w:t xml:space="preserve">claims </w:t>
      </w:r>
      <w:r w:rsidRPr="00542F4A">
        <w:t>data show</w:t>
      </w:r>
      <w:r w:rsidR="006B2FBC">
        <w:t>s</w:t>
      </w:r>
      <w:r w:rsidRPr="00542F4A">
        <w:t xml:space="preserve"> that the </w:t>
      </w:r>
      <w:r w:rsidR="00CA7F50" w:rsidRPr="00542F4A">
        <w:t>amount of</w:t>
      </w:r>
      <w:r w:rsidRPr="00542F4A">
        <w:t xml:space="preserve"> claims for </w:t>
      </w:r>
      <w:r w:rsidR="00CA7F50" w:rsidRPr="00542F4A">
        <w:t>the provision of SS services</w:t>
      </w:r>
      <w:r w:rsidRPr="00542F4A">
        <w:t xml:space="preserve"> increased substantially </w:t>
      </w:r>
      <w:r w:rsidR="006B2FBC" w:rsidRPr="00542F4A">
        <w:t xml:space="preserve">nationally </w:t>
      </w:r>
      <w:r w:rsidRPr="00542F4A">
        <w:t xml:space="preserve">between 2012 and 2015 </w:t>
      </w:r>
      <w:r w:rsidR="00CA7F50" w:rsidRPr="00542F4A">
        <w:t xml:space="preserve">due to </w:t>
      </w:r>
      <w:r w:rsidRPr="00542F4A">
        <w:t xml:space="preserve">the number of participating pharmacies </w:t>
      </w:r>
      <w:r w:rsidR="00CA7F50" w:rsidRPr="00542F4A">
        <w:t>in the program</w:t>
      </w:r>
      <w:r w:rsidRPr="00542F4A">
        <w:t>.  But, the claims data do not contain any information regarding patients’ age, frailty, mental faculties or health status; or any other patient characteristic to help determine if the program is reaching the target patient population.</w:t>
      </w:r>
    </w:p>
    <w:p w14:paraId="14D1021D" w14:textId="1018A501" w:rsidR="00745FE6" w:rsidRDefault="00745FE6" w:rsidP="00745FE6">
      <w:pPr>
        <w:pStyle w:val="BodyText"/>
        <w:rPr>
          <w:iCs/>
          <w:szCs w:val="24"/>
        </w:rPr>
      </w:pPr>
      <w:r w:rsidRPr="00542F4A">
        <w:t xml:space="preserve">To address this issue the 2015 claims data were analysed against indicators of the target population (i.e. mental health issues prevalence as an indicator of patient who might be disturbed on confused).  This analysis identified no </w:t>
      </w:r>
      <w:r w:rsidRPr="00542F4A">
        <w:rPr>
          <w:iCs/>
          <w:szCs w:val="24"/>
        </w:rPr>
        <w:t xml:space="preserve">significant relationships, for example, it could not be shown that PHN areas with higher proportions of </w:t>
      </w:r>
      <w:r w:rsidR="009B4803" w:rsidRPr="00542F4A">
        <w:rPr>
          <w:iCs/>
          <w:szCs w:val="24"/>
        </w:rPr>
        <w:t>mental health issues</w:t>
      </w:r>
      <w:r w:rsidRPr="00542F4A">
        <w:rPr>
          <w:iCs/>
          <w:szCs w:val="24"/>
        </w:rPr>
        <w:t xml:space="preserve"> also had </w:t>
      </w:r>
      <w:r w:rsidR="009B4803" w:rsidRPr="00542F4A">
        <w:rPr>
          <w:iCs/>
          <w:szCs w:val="24"/>
        </w:rPr>
        <w:t xml:space="preserve">a </w:t>
      </w:r>
      <w:r w:rsidRPr="00542F4A">
        <w:rPr>
          <w:iCs/>
          <w:szCs w:val="24"/>
        </w:rPr>
        <w:t xml:space="preserve">higher per capita investment </w:t>
      </w:r>
      <w:r w:rsidR="009B4803" w:rsidRPr="00542F4A">
        <w:rPr>
          <w:iCs/>
          <w:szCs w:val="24"/>
        </w:rPr>
        <w:t>in</w:t>
      </w:r>
      <w:r w:rsidRPr="00542F4A">
        <w:rPr>
          <w:iCs/>
          <w:szCs w:val="24"/>
        </w:rPr>
        <w:t xml:space="preserve"> </w:t>
      </w:r>
      <w:r w:rsidR="009B4803" w:rsidRPr="00542F4A">
        <w:rPr>
          <w:iCs/>
          <w:szCs w:val="24"/>
        </w:rPr>
        <w:t>SS</w:t>
      </w:r>
      <w:r w:rsidRPr="00542F4A">
        <w:rPr>
          <w:iCs/>
          <w:szCs w:val="24"/>
        </w:rPr>
        <w:t xml:space="preserve"> program resources.</w:t>
      </w:r>
    </w:p>
    <w:p w14:paraId="05AD26D1" w14:textId="6879457D" w:rsidR="00822B36" w:rsidRDefault="00822B36" w:rsidP="00745FE6">
      <w:pPr>
        <w:pStyle w:val="BodyText"/>
      </w:pPr>
      <w:r>
        <w:t xml:space="preserve">Analysis of the de-identified </w:t>
      </w:r>
      <w:r w:rsidRPr="00FA5F3B">
        <w:t xml:space="preserve">patient level </w:t>
      </w:r>
      <w:r>
        <w:t xml:space="preserve">data </w:t>
      </w:r>
      <w:r w:rsidRPr="00FA5F3B">
        <w:t>by drug</w:t>
      </w:r>
      <w:r>
        <w:t xml:space="preserve"> provided by </w:t>
      </w:r>
      <w:r w:rsidRPr="00FA5F3B">
        <w:t>the Pharmacy Guild of Australia</w:t>
      </w:r>
      <w:r>
        <w:t xml:space="preserve"> showed that there was a </w:t>
      </w:r>
      <w:r w:rsidRPr="00822B36">
        <w:t xml:space="preserve">relatively steady increase in the volume of services </w:t>
      </w:r>
      <w:r>
        <w:t xml:space="preserve">(from </w:t>
      </w:r>
      <w:r w:rsidRPr="00822B36">
        <w:t xml:space="preserve">3,892 services </w:t>
      </w:r>
      <w:r>
        <w:t xml:space="preserve">in </w:t>
      </w:r>
      <w:r w:rsidRPr="00822B36">
        <w:t xml:space="preserve">October 2014 with </w:t>
      </w:r>
      <w:r>
        <w:t xml:space="preserve">to </w:t>
      </w:r>
      <w:r w:rsidRPr="00822B36">
        <w:t xml:space="preserve">4,744 services </w:t>
      </w:r>
      <w:r>
        <w:t xml:space="preserve">in </w:t>
      </w:r>
      <w:r w:rsidRPr="00822B36">
        <w:t>September 2016</w:t>
      </w:r>
      <w:r>
        <w:t xml:space="preserve">; </w:t>
      </w:r>
      <w:r w:rsidRPr="00822B36">
        <w:t xml:space="preserve">an increase of 21.9%).  </w:t>
      </w:r>
      <w:r>
        <w:t>Although m</w:t>
      </w:r>
      <w:r w:rsidRPr="00822B36">
        <w:t>ost of the drugs have multiple indications</w:t>
      </w:r>
      <w:r>
        <w:t xml:space="preserve">, and it is not possible </w:t>
      </w:r>
      <w:r w:rsidRPr="00822B36">
        <w:t>to determine which indication represents the majority use</w:t>
      </w:r>
      <w:r>
        <w:t>, pain was</w:t>
      </w:r>
      <w:r w:rsidRPr="00822B36">
        <w:t xml:space="preserve"> the largest ‘unambiguous’ indication and it accounts for 35.2% of SS services in September 2016.</w:t>
      </w:r>
      <w:r>
        <w:t xml:space="preserve">  Analysis of the </w:t>
      </w:r>
      <w:r w:rsidRPr="000B60C2">
        <w:t>distribution of SS services by age show</w:t>
      </w:r>
      <w:r>
        <w:t>s</w:t>
      </w:r>
      <w:r w:rsidRPr="000B60C2">
        <w:t xml:space="preserve"> a slight skew towards younger patients where the summary indications include Anxiety or ADHD, and skewed towards older patients in the cases where Pain is included in the summary indications.</w:t>
      </w:r>
    </w:p>
    <w:p w14:paraId="7F6C5894" w14:textId="1CBFF67D" w:rsidR="00822B36" w:rsidRDefault="00822B36" w:rsidP="00745FE6">
      <w:pPr>
        <w:pStyle w:val="BodyText"/>
        <w:rPr>
          <w:iCs/>
          <w:szCs w:val="24"/>
        </w:rPr>
      </w:pPr>
      <w:r>
        <w:t xml:space="preserve">Although the </w:t>
      </w:r>
      <w:r w:rsidRPr="000B60C2">
        <w:t xml:space="preserve">claims payment data shows that the number of </w:t>
      </w:r>
      <w:r>
        <w:t xml:space="preserve">SS </w:t>
      </w:r>
      <w:r w:rsidRPr="000B60C2">
        <w:t xml:space="preserve">participating pharmacies has seen very substantial increases between 2012 and 2015 </w:t>
      </w:r>
      <w:r>
        <w:t xml:space="preserve">this does not provide an indication of growth in the program as the </w:t>
      </w:r>
      <w:r w:rsidRPr="000B60C2">
        <w:t>payment arrangements</w:t>
      </w:r>
      <w:r>
        <w:t xml:space="preserve"> </w:t>
      </w:r>
      <w:r w:rsidRPr="000B60C2">
        <w:t xml:space="preserve">are not linked to activity.  However the data provided by the Pharmacy Guild supports that there has been an increased </w:t>
      </w:r>
      <w:r>
        <w:t>number of SS services provided over time</w:t>
      </w:r>
      <w:r w:rsidRPr="000B60C2">
        <w:t xml:space="preserve">.  Growth in the program suggests it is considered effective, but the available data do not allow </w:t>
      </w:r>
      <w:r w:rsidRPr="000B60C2">
        <w:lastRenderedPageBreak/>
        <w:t>a determination of the reasons for growth (e.g. motivation for take-up of the incentive payment, or favourable patient feedback on the program, or both).</w:t>
      </w:r>
    </w:p>
    <w:p w14:paraId="6D14FAF2" w14:textId="77777777" w:rsidR="009026B2" w:rsidRDefault="009026B2" w:rsidP="009026B2">
      <w:pPr>
        <w:pStyle w:val="ESHeading2"/>
      </w:pPr>
      <w:bookmarkStart w:id="20" w:name="_Toc467155491"/>
      <w:bookmarkStart w:id="21" w:name="_Toc467155725"/>
      <w:bookmarkStart w:id="22" w:name="_Toc523236191"/>
      <w:r>
        <w:t>Conclusions</w:t>
      </w:r>
      <w:bookmarkEnd w:id="19"/>
      <w:bookmarkEnd w:id="20"/>
      <w:bookmarkEnd w:id="21"/>
      <w:bookmarkEnd w:id="22"/>
    </w:p>
    <w:p w14:paraId="1EF8D1FD" w14:textId="5EB905C9" w:rsidR="00A023D7" w:rsidRDefault="00A023D7" w:rsidP="0004488B">
      <w:pPr>
        <w:pStyle w:val="BodyText"/>
        <w:spacing w:after="120"/>
      </w:pPr>
      <w:r>
        <w:t xml:space="preserve">No </w:t>
      </w:r>
      <w:r w:rsidRPr="00A023D7">
        <w:t xml:space="preserve">studies </w:t>
      </w:r>
      <w:r>
        <w:t xml:space="preserve">were identified </w:t>
      </w:r>
      <w:r w:rsidRPr="00A023D7">
        <w:t xml:space="preserve">that assessed the impact of SS on improving medication adherence or any other health related outcome, and thus no conclusions can be made regarding its effectiveness or cost-effectiveness. </w:t>
      </w:r>
    </w:p>
    <w:p w14:paraId="05EC78C4" w14:textId="4AF54077" w:rsidR="0004488B" w:rsidRDefault="0004488B" w:rsidP="0004488B">
      <w:pPr>
        <w:pStyle w:val="BodyText"/>
        <w:spacing w:after="120"/>
      </w:pPr>
      <w:r>
        <w:t>In order to make an assessment of the clinical and cost effectiveness of SS,</w:t>
      </w:r>
      <w:r w:rsidR="006B2FBC">
        <w:t xml:space="preserve"> further </w:t>
      </w:r>
      <w:r>
        <w:t>research is required.  Such research would best take the form of a study that included:</w:t>
      </w:r>
    </w:p>
    <w:p w14:paraId="5BE1BA43" w14:textId="3A7D046B" w:rsidR="0004488B" w:rsidRDefault="0004488B" w:rsidP="004C08D3">
      <w:pPr>
        <w:pStyle w:val="BodyText"/>
        <w:numPr>
          <w:ilvl w:val="0"/>
          <w:numId w:val="45"/>
        </w:numPr>
        <w:spacing w:after="0"/>
        <w:ind w:left="357" w:hanging="357"/>
        <w:contextualSpacing/>
      </w:pPr>
      <w:r>
        <w:t>a</w:t>
      </w:r>
      <w:r w:rsidRPr="00017337">
        <w:t xml:space="preserve"> high-quality stud</w:t>
      </w:r>
      <w:r>
        <w:t>y</w:t>
      </w:r>
      <w:r w:rsidRPr="00017337">
        <w:t xml:space="preserve"> of adequate size </w:t>
      </w:r>
      <w:r>
        <w:t xml:space="preserve">(number of patients) </w:t>
      </w:r>
      <w:r w:rsidRPr="00017337">
        <w:t>and duration</w:t>
      </w:r>
      <w:r>
        <w:t xml:space="preserve"> that assessed who utilised the SS service delivered through community pharmacies </w:t>
      </w:r>
      <w:r w:rsidRPr="00017337">
        <w:t xml:space="preserve">on </w:t>
      </w:r>
      <w:r>
        <w:t xml:space="preserve">medication </w:t>
      </w:r>
      <w:r w:rsidRPr="00017337">
        <w:t>adherence</w:t>
      </w:r>
      <w:r>
        <w:t>, clinical outcomes, health care utilis</w:t>
      </w:r>
      <w:r w:rsidR="00241383">
        <w:t xml:space="preserve">ation, patient satisfaction </w:t>
      </w:r>
      <w:r>
        <w:t xml:space="preserve">(through primary data collection and linkage to secondary datasets, (e.g. MBS, PBS, hospital utilisation, and so on)); </w:t>
      </w:r>
    </w:p>
    <w:p w14:paraId="6C4F1389" w14:textId="77777777" w:rsidR="004C08D3" w:rsidRDefault="0004488B" w:rsidP="004C08D3">
      <w:pPr>
        <w:pStyle w:val="Bullettext"/>
        <w:spacing w:after="0"/>
      </w:pPr>
      <w:r>
        <w:t xml:space="preserve">a </w:t>
      </w:r>
      <w:r w:rsidRPr="004C08D3">
        <w:t>robust</w:t>
      </w:r>
      <w:r>
        <w:t xml:space="preserve"> costing study that measured the unit cost of delivering a SS service in a variety of settings acros</w:t>
      </w:r>
      <w:r w:rsidR="004C08D3">
        <w:t>s the community pharmacy sector (also to inform fee setting); and</w:t>
      </w:r>
    </w:p>
    <w:p w14:paraId="0C38565E" w14:textId="3E8391B2" w:rsidR="006B2FBC" w:rsidRDefault="004C08D3" w:rsidP="007E570D">
      <w:pPr>
        <w:pStyle w:val="BodyText"/>
        <w:numPr>
          <w:ilvl w:val="0"/>
          <w:numId w:val="45"/>
        </w:numPr>
        <w:ind w:left="357" w:hanging="357"/>
        <w:contextualSpacing/>
      </w:pPr>
      <w:proofErr w:type="gramStart"/>
      <w:r>
        <w:t>a</w:t>
      </w:r>
      <w:proofErr w:type="gramEnd"/>
      <w:r>
        <w:t xml:space="preserve"> translational study that takes the results of the unit cost and outcome measurement work and calculates cost effectiveness (no further primary data collection would be required).</w:t>
      </w:r>
    </w:p>
    <w:p w14:paraId="259F639A" w14:textId="01DEBF07" w:rsidR="006B2FBC" w:rsidRDefault="006B2FBC" w:rsidP="006B2FBC"/>
    <w:p w14:paraId="59532231" w14:textId="77777777" w:rsidR="003A4EF0" w:rsidRPr="006B2FBC" w:rsidRDefault="003A4EF0" w:rsidP="006B2FBC">
      <w:pPr>
        <w:sectPr w:rsidR="003A4EF0" w:rsidRPr="006B2FBC" w:rsidSect="00A15D68">
          <w:pgSz w:w="11906" w:h="16838" w:code="9"/>
          <w:pgMar w:top="1134" w:right="1134" w:bottom="1134" w:left="1134" w:header="680" w:footer="1021" w:gutter="0"/>
          <w:pgNumType w:start="1"/>
          <w:cols w:space="708"/>
          <w:docGrid w:linePitch="360"/>
        </w:sectPr>
      </w:pPr>
    </w:p>
    <w:p w14:paraId="385C5D20" w14:textId="541EC6C1" w:rsidR="0004157E" w:rsidRPr="00756FA1" w:rsidRDefault="006B6FB0" w:rsidP="00756FA1">
      <w:pPr>
        <w:pStyle w:val="Heading1"/>
        <w:rPr>
          <w:sz w:val="36"/>
          <w:szCs w:val="36"/>
        </w:rPr>
      </w:pPr>
      <w:bookmarkStart w:id="23" w:name="_Toc523236192"/>
      <w:bookmarkEnd w:id="0"/>
      <w:bookmarkEnd w:id="1"/>
      <w:r>
        <w:lastRenderedPageBreak/>
        <w:t>Introduction</w:t>
      </w:r>
      <w:bookmarkEnd w:id="23"/>
    </w:p>
    <w:p w14:paraId="0C7577F2" w14:textId="1CF1B722" w:rsidR="00E30B4D" w:rsidRDefault="00E30B4D" w:rsidP="00E30B4D">
      <w:pPr>
        <w:pStyle w:val="Bodytextbeforebullets"/>
      </w:pPr>
      <w:r w:rsidRPr="00B93038">
        <w:t>On the 28</w:t>
      </w:r>
      <w:r w:rsidRPr="009C2B99">
        <w:rPr>
          <w:vertAlign w:val="superscript"/>
        </w:rPr>
        <w:t xml:space="preserve">th </w:t>
      </w:r>
      <w:r w:rsidRPr="00B93038">
        <w:t xml:space="preserve">June 2016, the Australian Government Department of Health engaged </w:t>
      </w:r>
      <w:proofErr w:type="spellStart"/>
      <w:r w:rsidRPr="00B93038">
        <w:t>HealthConsult</w:t>
      </w:r>
      <w:proofErr w:type="spellEnd"/>
      <w:r w:rsidRPr="00B93038">
        <w:t xml:space="preserve"> to evaluate the Sixth Community Pharmacy Agreement </w:t>
      </w:r>
      <w:r>
        <w:t xml:space="preserve">(6CPA) </w:t>
      </w:r>
      <w:r w:rsidRPr="00B93038">
        <w:t xml:space="preserve">Pharmacy Practice Incentives </w:t>
      </w:r>
      <w:r>
        <w:t xml:space="preserve">(PPI) </w:t>
      </w:r>
      <w:r w:rsidRPr="00B93038">
        <w:t>P</w:t>
      </w:r>
      <w:r>
        <w:t>rogram: Staged Supply</w:t>
      </w:r>
      <w:r w:rsidRPr="00B93038">
        <w:t>.</w:t>
      </w:r>
      <w:r w:rsidR="008420DD">
        <w:t xml:space="preserve"> The initial </w:t>
      </w:r>
      <w:r>
        <w:t xml:space="preserve">evaluation </w:t>
      </w:r>
      <w:r w:rsidR="00C14107">
        <w:t xml:space="preserve">of SS </w:t>
      </w:r>
      <w:r>
        <w:t>involve</w:t>
      </w:r>
      <w:r w:rsidR="008420DD">
        <w:t>d</w:t>
      </w:r>
      <w:r>
        <w:t>:</w:t>
      </w:r>
    </w:p>
    <w:p w14:paraId="118734A4" w14:textId="4E18109B" w:rsidR="00E30B4D" w:rsidRDefault="00E30B4D" w:rsidP="007E570D">
      <w:pPr>
        <w:pStyle w:val="Bullettext"/>
        <w:spacing w:after="120"/>
        <w:contextualSpacing w:val="0"/>
      </w:pPr>
      <w:r>
        <w:t xml:space="preserve">a literature review to identify data to inform the comparative clinical and cost-effectiveness of the SS initiative, including a review of the international literature to determine whether results for ‘like’ programs can be extrapolated to be considered as evidence for the SS </w:t>
      </w:r>
      <w:r w:rsidR="00327F8F">
        <w:t>initiative</w:t>
      </w:r>
      <w:r>
        <w:t xml:space="preserve"> in Australia; </w:t>
      </w:r>
    </w:p>
    <w:p w14:paraId="0AFB3420" w14:textId="02C34F96" w:rsidR="00E30B4D" w:rsidRDefault="00E30B4D" w:rsidP="007E570D">
      <w:pPr>
        <w:pStyle w:val="Bullettext"/>
        <w:spacing w:after="120"/>
        <w:contextualSpacing w:val="0"/>
      </w:pPr>
      <w:r>
        <w:t>an examination of Australian utilisation data from the SS initiative since its start under earlier CPAs, with an emphasis on elucidating the characteristics and volumes of:</w:t>
      </w:r>
    </w:p>
    <w:p w14:paraId="620B5A1C" w14:textId="77777777" w:rsidR="00E30B4D" w:rsidRDefault="00E30B4D" w:rsidP="007E570D">
      <w:pPr>
        <w:pStyle w:val="Bullettext"/>
        <w:numPr>
          <w:ilvl w:val="1"/>
          <w:numId w:val="16"/>
        </w:numPr>
        <w:ind w:left="709"/>
      </w:pPr>
      <w:r>
        <w:t xml:space="preserve">pharmacy services delivered via the program; </w:t>
      </w:r>
    </w:p>
    <w:p w14:paraId="688CBDA2" w14:textId="77777777" w:rsidR="00E30B4D" w:rsidRDefault="00E30B4D" w:rsidP="007E570D">
      <w:pPr>
        <w:pStyle w:val="Bullettext"/>
        <w:numPr>
          <w:ilvl w:val="1"/>
          <w:numId w:val="16"/>
        </w:numPr>
        <w:ind w:left="709"/>
      </w:pPr>
      <w:r>
        <w:t>pharmacists and pharmacies delivering these services; and</w:t>
      </w:r>
    </w:p>
    <w:p w14:paraId="7A53EB68" w14:textId="77777777" w:rsidR="00E30B4D" w:rsidRDefault="00E30B4D" w:rsidP="007E570D">
      <w:pPr>
        <w:pStyle w:val="Bullettext"/>
        <w:numPr>
          <w:ilvl w:val="1"/>
          <w:numId w:val="16"/>
        </w:numPr>
        <w:ind w:left="709"/>
      </w:pPr>
      <w:proofErr w:type="gramStart"/>
      <w:r>
        <w:t>individuals</w:t>
      </w:r>
      <w:proofErr w:type="gramEnd"/>
      <w:r>
        <w:t xml:space="preserve"> receiving these services.</w:t>
      </w:r>
    </w:p>
    <w:p w14:paraId="0EFF1E3E" w14:textId="77777777" w:rsidR="00E30B4D" w:rsidRPr="00B93038" w:rsidRDefault="00E30B4D" w:rsidP="00E30B4D">
      <w:pPr>
        <w:pStyle w:val="Heading2"/>
      </w:pPr>
      <w:bookmarkStart w:id="24" w:name="_Toc463300311"/>
      <w:bookmarkStart w:id="25" w:name="_Toc523236193"/>
      <w:r>
        <w:t>Sixth Community Pharmacy Agreement</w:t>
      </w:r>
      <w:bookmarkEnd w:id="24"/>
      <w:bookmarkEnd w:id="25"/>
    </w:p>
    <w:p w14:paraId="6C37EF29" w14:textId="77777777" w:rsidR="00E30B4D" w:rsidRPr="00B93038" w:rsidRDefault="00E30B4D" w:rsidP="00E30B4D">
      <w:pPr>
        <w:pStyle w:val="Bodytextbeforebullets"/>
      </w:pPr>
      <w:r w:rsidRPr="00B93038">
        <w:t xml:space="preserve">In May 2015, the Australian Government and Pharmacy Guild of Australia entered into the </w:t>
      </w:r>
      <w:r>
        <w:t xml:space="preserve">6CPA, which </w:t>
      </w:r>
      <w:r w:rsidRPr="00B93038">
        <w:t xml:space="preserve">provides around $18.9 billion in remuneration for community pharmacy, as well as support </w:t>
      </w:r>
      <w:r>
        <w:t xml:space="preserve">to </w:t>
      </w:r>
      <w:r w:rsidRPr="00B93038">
        <w:t>the pharmaceutical supply chain (with a further $372 million provided for chemotherapy compounding fees). Up to $1.26 billion in funding is available under the 6CPA for evidence-based, patient-focused pr</w:t>
      </w:r>
      <w:r>
        <w:t>ofessional pharmacy program</w:t>
      </w:r>
      <w:r w:rsidRPr="00B93038">
        <w:t xml:space="preserve">s and services. This consists of: </w:t>
      </w:r>
    </w:p>
    <w:p w14:paraId="38DEF267" w14:textId="77777777" w:rsidR="00E30B4D" w:rsidRPr="00B93038" w:rsidRDefault="00E30B4D" w:rsidP="006B2FBC">
      <w:pPr>
        <w:pStyle w:val="Bullettext"/>
      </w:pPr>
      <w:r w:rsidRPr="00B93038">
        <w:t>$613 million for the conti</w:t>
      </w:r>
      <w:r>
        <w:t>nuation of a number of program</w:t>
      </w:r>
      <w:r w:rsidRPr="00B93038">
        <w:t>s and services from 5CPA;</w:t>
      </w:r>
    </w:p>
    <w:p w14:paraId="5C0632A8" w14:textId="77777777" w:rsidR="00E30B4D" w:rsidRPr="00B93038" w:rsidRDefault="00E30B4D" w:rsidP="006B2FBC">
      <w:pPr>
        <w:pStyle w:val="Bullettext"/>
      </w:pPr>
      <w:r w:rsidRPr="00B93038">
        <w:t>$50 million fo</w:t>
      </w:r>
      <w:r>
        <w:t>r a new pharmacy trial program</w:t>
      </w:r>
      <w:r w:rsidRPr="00B93038">
        <w:t>; and</w:t>
      </w:r>
    </w:p>
    <w:p w14:paraId="74D23DAE" w14:textId="77777777" w:rsidR="00E30B4D" w:rsidRPr="00B93038" w:rsidRDefault="00E30B4D" w:rsidP="006B2FBC">
      <w:pPr>
        <w:pStyle w:val="Bullettext"/>
      </w:pPr>
      <w:proofErr w:type="gramStart"/>
      <w:r w:rsidRPr="00B93038">
        <w:t>up</w:t>
      </w:r>
      <w:proofErr w:type="gramEnd"/>
      <w:r w:rsidRPr="00B93038">
        <w:t xml:space="preserve"> to $600 million for new and expanded community pharma</w:t>
      </w:r>
      <w:r>
        <w:t>cy program</w:t>
      </w:r>
      <w:r w:rsidRPr="00B93038">
        <w:t>s.</w:t>
      </w:r>
    </w:p>
    <w:p w14:paraId="40953692" w14:textId="77777777" w:rsidR="00E30B4D" w:rsidRPr="00B93038" w:rsidRDefault="00E30B4D" w:rsidP="00E30B4D">
      <w:pPr>
        <w:pStyle w:val="Bodytextbeforebullets"/>
      </w:pPr>
      <w:r w:rsidRPr="00B93038">
        <w:t xml:space="preserve">The 6CPA includes three key funding elements: </w:t>
      </w:r>
    </w:p>
    <w:p w14:paraId="375B4A58" w14:textId="77777777" w:rsidR="00E30B4D" w:rsidRPr="00B93038" w:rsidRDefault="00E30B4D" w:rsidP="006B2FBC">
      <w:pPr>
        <w:pStyle w:val="Bullettext"/>
      </w:pPr>
      <w:r w:rsidRPr="00B93038">
        <w:t>community pharmacy remuneration;</w:t>
      </w:r>
    </w:p>
    <w:p w14:paraId="443FDA80" w14:textId="77777777" w:rsidR="00E30B4D" w:rsidRPr="00B93038" w:rsidRDefault="00E30B4D" w:rsidP="006B2FBC">
      <w:pPr>
        <w:pStyle w:val="Bullettext"/>
      </w:pPr>
      <w:r w:rsidRPr="00B93038">
        <w:t xml:space="preserve">ensuring that all Australians have timely access to the Pharmaceutical Benefits Scheme (PBS) medicines they require regardless of the cost of the medicine or where they live; and </w:t>
      </w:r>
    </w:p>
    <w:p w14:paraId="60AE33BE" w14:textId="77777777" w:rsidR="00E30B4D" w:rsidRPr="00B93038" w:rsidRDefault="00E30B4D" w:rsidP="006B2FBC">
      <w:pPr>
        <w:pStyle w:val="Bullettext"/>
      </w:pPr>
      <w:proofErr w:type="gramStart"/>
      <w:r w:rsidRPr="00B93038">
        <w:t>community</w:t>
      </w:r>
      <w:proofErr w:type="gramEnd"/>
      <w:r w:rsidRPr="00B93038">
        <w:t xml:space="preserve"> pharmacy programs directed at improving consumer management of their medications and delivering primary healthcare services through community pharmacy.</w:t>
      </w:r>
    </w:p>
    <w:p w14:paraId="1603F8A9" w14:textId="77777777" w:rsidR="00E30B4D" w:rsidRDefault="00E30B4D" w:rsidP="00E30B4D">
      <w:pPr>
        <w:pStyle w:val="Heading2"/>
      </w:pPr>
      <w:bookmarkStart w:id="26" w:name="_Toc463300312"/>
      <w:bookmarkStart w:id="27" w:name="_Toc523236194"/>
      <w:r>
        <w:t>Pharmacy Practice Incentives Program</w:t>
      </w:r>
      <w:bookmarkEnd w:id="26"/>
      <w:bookmarkEnd w:id="27"/>
    </w:p>
    <w:p w14:paraId="31672FCE" w14:textId="77777777" w:rsidR="00E30B4D" w:rsidRPr="00B93038" w:rsidRDefault="00E30B4D" w:rsidP="00E30B4D">
      <w:pPr>
        <w:pStyle w:val="Bodytextbeforebullets"/>
      </w:pPr>
      <w:r>
        <w:t>T</w:t>
      </w:r>
      <w:r w:rsidRPr="00B93038">
        <w:t xml:space="preserve">he 6CPA </w:t>
      </w:r>
      <w:r>
        <w:t>PPI Program</w:t>
      </w:r>
      <w:r w:rsidRPr="00B93038">
        <w:t xml:space="preserve"> provide</w:t>
      </w:r>
      <w:r>
        <w:t>s</w:t>
      </w:r>
      <w:r w:rsidRPr="00B93038">
        <w:t xml:space="preserve"> a financial incentive to pharmacists to deliver compliance initiatives. As part of the 6CPA, there are several continuing PPI</w:t>
      </w:r>
      <w:r>
        <w:t xml:space="preserve"> </w:t>
      </w:r>
      <w:r w:rsidRPr="00B93038">
        <w:t>P</w:t>
      </w:r>
      <w:r>
        <w:t>rogram</w:t>
      </w:r>
      <w:r w:rsidRPr="00B93038">
        <w:t>s directed at improving medication compliance through community pharmacies in Australia. The continuing programs include:</w:t>
      </w:r>
    </w:p>
    <w:p w14:paraId="5EA1C574" w14:textId="4B29632A" w:rsidR="00E30B4D" w:rsidRDefault="00E30B4D" w:rsidP="006B2FBC">
      <w:pPr>
        <w:pStyle w:val="Bullettext"/>
      </w:pPr>
      <w:r w:rsidRPr="00B93038">
        <w:t>Medic</w:t>
      </w:r>
      <w:r>
        <w:t>ation Adherence Programs</w:t>
      </w:r>
    </w:p>
    <w:p w14:paraId="7F20E840" w14:textId="77777777" w:rsidR="00E30B4D" w:rsidRDefault="00E30B4D" w:rsidP="007E570D">
      <w:pPr>
        <w:pStyle w:val="Bullettext"/>
        <w:numPr>
          <w:ilvl w:val="1"/>
          <w:numId w:val="16"/>
        </w:numPr>
        <w:ind w:left="709"/>
      </w:pPr>
      <w:r w:rsidRPr="00B93038">
        <w:t>Dose Admini</w:t>
      </w:r>
      <w:r>
        <w:t>stration Aids (DAAs)</w:t>
      </w:r>
    </w:p>
    <w:p w14:paraId="2C7ADBC8" w14:textId="77777777" w:rsidR="00E30B4D" w:rsidRDefault="00E30B4D" w:rsidP="007E570D">
      <w:pPr>
        <w:pStyle w:val="Bullettext"/>
        <w:numPr>
          <w:ilvl w:val="1"/>
          <w:numId w:val="16"/>
        </w:numPr>
        <w:ind w:left="709"/>
      </w:pPr>
      <w:r>
        <w:t>Clinical Interventions (CIs)</w:t>
      </w:r>
      <w:r w:rsidRPr="00B93038">
        <w:t xml:space="preserve"> </w:t>
      </w:r>
    </w:p>
    <w:p w14:paraId="004E5D4E" w14:textId="77777777" w:rsidR="00E30B4D" w:rsidRPr="00B93038" w:rsidRDefault="00E30B4D" w:rsidP="007E570D">
      <w:pPr>
        <w:pStyle w:val="Bullettext"/>
        <w:numPr>
          <w:ilvl w:val="1"/>
          <w:numId w:val="16"/>
        </w:numPr>
        <w:ind w:left="709" w:hanging="357"/>
      </w:pPr>
      <w:r>
        <w:t>Staged Supply (SS)</w:t>
      </w:r>
    </w:p>
    <w:p w14:paraId="595E1E0D" w14:textId="3ADE0823" w:rsidR="00E30B4D" w:rsidRDefault="00E30B4D" w:rsidP="006B2FBC">
      <w:pPr>
        <w:pStyle w:val="Bullettext"/>
      </w:pPr>
      <w:r w:rsidRPr="00B93038">
        <w:t>Medicat</w:t>
      </w:r>
      <w:r>
        <w:t>ion Management Programs</w:t>
      </w:r>
    </w:p>
    <w:p w14:paraId="0AB3B2B7" w14:textId="77777777" w:rsidR="00E30B4D" w:rsidRDefault="00E30B4D" w:rsidP="007E570D">
      <w:pPr>
        <w:pStyle w:val="Bullettext"/>
        <w:numPr>
          <w:ilvl w:val="1"/>
          <w:numId w:val="16"/>
        </w:numPr>
        <w:ind w:left="709"/>
      </w:pPr>
      <w:r>
        <w:t>Home Medicines Reviews (HMR)</w:t>
      </w:r>
    </w:p>
    <w:p w14:paraId="2ADBDE1D" w14:textId="77777777" w:rsidR="00E30B4D" w:rsidRDefault="00E30B4D" w:rsidP="007E570D">
      <w:pPr>
        <w:pStyle w:val="Bullettext"/>
        <w:numPr>
          <w:ilvl w:val="1"/>
          <w:numId w:val="16"/>
        </w:numPr>
        <w:ind w:left="709"/>
      </w:pPr>
      <w:r w:rsidRPr="00B93038">
        <w:t xml:space="preserve">Residential Medication Management Reviews </w:t>
      </w:r>
      <w:r>
        <w:t>(RMMR)</w:t>
      </w:r>
    </w:p>
    <w:p w14:paraId="4FE4CAE3" w14:textId="77777777" w:rsidR="00E30B4D" w:rsidRPr="00B93038" w:rsidRDefault="00E30B4D" w:rsidP="007E570D">
      <w:pPr>
        <w:pStyle w:val="Bullettext"/>
        <w:numPr>
          <w:ilvl w:val="1"/>
          <w:numId w:val="16"/>
        </w:numPr>
        <w:spacing w:after="120"/>
        <w:ind w:left="709" w:hanging="357"/>
        <w:contextualSpacing w:val="0"/>
      </w:pPr>
      <w:proofErr w:type="spellStart"/>
      <w:r>
        <w:t>MedsCheck</w:t>
      </w:r>
      <w:proofErr w:type="spellEnd"/>
      <w:r>
        <w:t xml:space="preserve"> and Diabetes </w:t>
      </w:r>
      <w:proofErr w:type="spellStart"/>
      <w:r>
        <w:t>MedsCheck</w:t>
      </w:r>
      <w:proofErr w:type="spellEnd"/>
    </w:p>
    <w:p w14:paraId="174843D4" w14:textId="1078F686" w:rsidR="00E30B4D" w:rsidRDefault="00E30B4D" w:rsidP="006B2FBC">
      <w:pPr>
        <w:pStyle w:val="Bullettext"/>
      </w:pPr>
      <w:r>
        <w:lastRenderedPageBreak/>
        <w:t>Rural Support Programs</w:t>
      </w:r>
    </w:p>
    <w:p w14:paraId="4A5EDBEE" w14:textId="77777777" w:rsidR="00E30B4D" w:rsidRDefault="00E30B4D" w:rsidP="007E570D">
      <w:pPr>
        <w:pStyle w:val="Bullettext"/>
        <w:numPr>
          <w:ilvl w:val="1"/>
          <w:numId w:val="16"/>
        </w:numPr>
        <w:ind w:left="709"/>
      </w:pPr>
      <w:r w:rsidRPr="00B93038">
        <w:t>Rural Pharmacy Workforce Program</w:t>
      </w:r>
    </w:p>
    <w:p w14:paraId="342810FA" w14:textId="77777777" w:rsidR="00E30B4D" w:rsidRPr="00B93038" w:rsidRDefault="00E30B4D" w:rsidP="007E570D">
      <w:pPr>
        <w:pStyle w:val="Bullettext"/>
        <w:numPr>
          <w:ilvl w:val="1"/>
          <w:numId w:val="16"/>
        </w:numPr>
        <w:spacing w:after="120"/>
        <w:ind w:left="709" w:hanging="357"/>
        <w:contextualSpacing w:val="0"/>
      </w:pPr>
      <w:r w:rsidRPr="00B93038">
        <w:t>Rural</w:t>
      </w:r>
      <w:r>
        <w:t xml:space="preserve"> Pharmacy Maintenance Allowance</w:t>
      </w:r>
    </w:p>
    <w:p w14:paraId="002026A8" w14:textId="77777777" w:rsidR="00E30B4D" w:rsidRDefault="00E30B4D" w:rsidP="006B2FBC">
      <w:pPr>
        <w:pStyle w:val="Bullettext"/>
      </w:pPr>
      <w:r w:rsidRPr="00B93038">
        <w:t xml:space="preserve">Aboriginal and Torres Strait Islander </w:t>
      </w:r>
      <w:r>
        <w:t xml:space="preserve">(ATSI) </w:t>
      </w:r>
      <w:r w:rsidRPr="00B93038">
        <w:t>Programs</w:t>
      </w:r>
    </w:p>
    <w:p w14:paraId="6C77BAB8" w14:textId="77777777" w:rsidR="00E30B4D" w:rsidRDefault="00E30B4D" w:rsidP="007E570D">
      <w:pPr>
        <w:pStyle w:val="Bullettext"/>
        <w:numPr>
          <w:ilvl w:val="1"/>
          <w:numId w:val="16"/>
        </w:numPr>
        <w:ind w:left="709"/>
      </w:pPr>
      <w:r>
        <w:t>Quality Use of Medicines Maximised for ATSI People (QUMAX)</w:t>
      </w:r>
    </w:p>
    <w:p w14:paraId="48430DD2" w14:textId="77777777" w:rsidR="00E30B4D" w:rsidRDefault="00E30B4D" w:rsidP="007E570D">
      <w:pPr>
        <w:pStyle w:val="Bullettext"/>
        <w:numPr>
          <w:ilvl w:val="1"/>
          <w:numId w:val="16"/>
        </w:numPr>
        <w:ind w:left="709"/>
      </w:pPr>
      <w:r>
        <w:t>S100 Pharmacy Support Allowance</w:t>
      </w:r>
    </w:p>
    <w:p w14:paraId="4F760595" w14:textId="77777777" w:rsidR="00E30B4D" w:rsidRPr="00B93038" w:rsidRDefault="00E30B4D" w:rsidP="007E570D">
      <w:pPr>
        <w:pStyle w:val="Bullettext"/>
        <w:numPr>
          <w:ilvl w:val="1"/>
          <w:numId w:val="16"/>
        </w:numPr>
        <w:spacing w:after="120"/>
        <w:ind w:left="709" w:hanging="357"/>
        <w:contextualSpacing w:val="0"/>
      </w:pPr>
      <w:r>
        <w:t xml:space="preserve">ATSI Workforce Program (Pharmacy Assistant Traineeship Scheme and Pharmacy </w:t>
      </w:r>
      <w:r w:rsidRPr="00B93038">
        <w:t>Sc</w:t>
      </w:r>
      <w:r>
        <w:t>holarships Scheme)</w:t>
      </w:r>
    </w:p>
    <w:p w14:paraId="7DC10C3A" w14:textId="77777777" w:rsidR="00E30B4D" w:rsidRDefault="00E30B4D" w:rsidP="006B2FBC">
      <w:pPr>
        <w:pStyle w:val="Bullettext"/>
      </w:pPr>
      <w:r>
        <w:t>eHealth:</w:t>
      </w:r>
    </w:p>
    <w:p w14:paraId="71FF0ADF" w14:textId="77777777" w:rsidR="00E30B4D" w:rsidRPr="00B93038" w:rsidRDefault="00E30B4D" w:rsidP="007E570D">
      <w:pPr>
        <w:pStyle w:val="Bullettext"/>
        <w:numPr>
          <w:ilvl w:val="1"/>
          <w:numId w:val="16"/>
        </w:numPr>
        <w:ind w:left="709"/>
      </w:pPr>
      <w:r>
        <w:t>Electronic Prescription Fee</w:t>
      </w:r>
    </w:p>
    <w:p w14:paraId="60510C50" w14:textId="77777777" w:rsidR="00E30B4D" w:rsidRDefault="00E30B4D" w:rsidP="00E30B4D">
      <w:pPr>
        <w:pStyle w:val="BodyText"/>
      </w:pPr>
      <w:r w:rsidRPr="00B93038">
        <w:t>Under 6CPA, all p</w:t>
      </w:r>
      <w:r>
        <w:t>rogram</w:t>
      </w:r>
      <w:r w:rsidRPr="00B93038">
        <w:t>s and services need to be</w:t>
      </w:r>
      <w:r>
        <w:t xml:space="preserve"> reviewed </w:t>
      </w:r>
      <w:r w:rsidRPr="00B93038">
        <w:t>by the Medical Services Advisory Committee (MSAC)</w:t>
      </w:r>
      <w:r>
        <w:t xml:space="preserve"> for clinical and cost-</w:t>
      </w:r>
      <w:r w:rsidRPr="00B93038">
        <w:t>effectiveness and the health benefits they offer to the community. This process is being u</w:t>
      </w:r>
      <w:r>
        <w:t>sed to ensure pharmacy program</w:t>
      </w:r>
      <w:r w:rsidRPr="00B93038">
        <w:t>s and services are assessed against the same standards of evidence as for other health professions. It supports a consistent approach to informing investment that delivers the greatest benefit to consumers.</w:t>
      </w:r>
    </w:p>
    <w:p w14:paraId="6D3681A4" w14:textId="77777777" w:rsidR="00B93038" w:rsidRDefault="00B93038" w:rsidP="009354E2">
      <w:pPr>
        <w:pStyle w:val="BodyText"/>
      </w:pPr>
    </w:p>
    <w:p w14:paraId="4EC5FA4C" w14:textId="77777777" w:rsidR="00782B61" w:rsidRDefault="00782B61" w:rsidP="00AC3A3D">
      <w:pPr>
        <w:pStyle w:val="Heading1"/>
        <w:numPr>
          <w:ilvl w:val="0"/>
          <w:numId w:val="0"/>
        </w:numPr>
        <w:ind w:left="510" w:hanging="510"/>
        <w:sectPr w:rsidR="00782B61" w:rsidSect="006B2FBC">
          <w:pgSz w:w="11906" w:h="16838" w:code="9"/>
          <w:pgMar w:top="1134" w:right="1134" w:bottom="1134" w:left="1134" w:header="680" w:footer="851" w:gutter="0"/>
          <w:cols w:space="708"/>
          <w:docGrid w:linePitch="360"/>
        </w:sectPr>
      </w:pPr>
      <w:bookmarkStart w:id="28" w:name="_Toc374972255"/>
      <w:bookmarkStart w:id="29" w:name="_Toc374972616"/>
    </w:p>
    <w:p w14:paraId="1D9702AA" w14:textId="2C70786F" w:rsidR="004F6B59" w:rsidRDefault="00090F12" w:rsidP="004F6B59">
      <w:pPr>
        <w:pStyle w:val="Heading1"/>
      </w:pPr>
      <w:bookmarkStart w:id="30" w:name="_Toc523236195"/>
      <w:bookmarkStart w:id="31" w:name="_Toc374972258"/>
      <w:bookmarkStart w:id="32" w:name="_Toc374972619"/>
      <w:bookmarkEnd w:id="28"/>
      <w:bookmarkEnd w:id="29"/>
      <w:r>
        <w:lastRenderedPageBreak/>
        <w:t>Staged Supply</w:t>
      </w:r>
      <w:bookmarkEnd w:id="30"/>
    </w:p>
    <w:p w14:paraId="6BB6BA16" w14:textId="6A50791C" w:rsidR="00AC3A3D" w:rsidRPr="00AC3A3D" w:rsidRDefault="00E30B4D" w:rsidP="002F48F4">
      <w:pPr>
        <w:pStyle w:val="BodyText"/>
      </w:pPr>
      <w:r>
        <w:t xml:space="preserve">This Section describes the </w:t>
      </w:r>
      <w:r w:rsidR="00E77BF3">
        <w:t>SS</w:t>
      </w:r>
      <w:r>
        <w:t xml:space="preserve"> initiative, which falls under the broader Medication Adherence P</w:t>
      </w:r>
      <w:r w:rsidRPr="00AC3A3D">
        <w:t>rogram</w:t>
      </w:r>
      <w:r>
        <w:t xml:space="preserve"> within 6CPA</w:t>
      </w:r>
      <w:r w:rsidRPr="00AC3A3D">
        <w:t>.</w:t>
      </w:r>
    </w:p>
    <w:p w14:paraId="5C0DE0AA" w14:textId="5AD88F07" w:rsidR="00AC3A3D" w:rsidRPr="00AC3A3D" w:rsidRDefault="006B6FB0" w:rsidP="002F48F4">
      <w:pPr>
        <w:pStyle w:val="Heading2"/>
      </w:pPr>
      <w:bookmarkStart w:id="33" w:name="_Toc523236196"/>
      <w:r>
        <w:t>Background</w:t>
      </w:r>
      <w:bookmarkEnd w:id="33"/>
    </w:p>
    <w:bookmarkEnd w:id="31"/>
    <w:bookmarkEnd w:id="32"/>
    <w:p w14:paraId="737B3FE3" w14:textId="6F8A93CD" w:rsidR="005244A7" w:rsidRDefault="002F48F4" w:rsidP="002F48F4">
      <w:pPr>
        <w:pStyle w:val="BodyText"/>
      </w:pPr>
      <w:r w:rsidRPr="00393116">
        <w:t>The SS</w:t>
      </w:r>
      <w:r>
        <w:t xml:space="preserve"> </w:t>
      </w:r>
      <w:r w:rsidR="00327F8F">
        <w:t>priority area</w:t>
      </w:r>
      <w:r w:rsidRPr="00393116">
        <w:t xml:space="preserve"> </w:t>
      </w:r>
      <w:r w:rsidR="005244A7" w:rsidRPr="00AC3A3D">
        <w:t xml:space="preserve">was established under the Better Community Health Initiative of the </w:t>
      </w:r>
      <w:r w:rsidR="005244A7">
        <w:t>Fourth Community Pharmacy Agreement (4CPA)</w:t>
      </w:r>
      <w:r w:rsidR="005244A7" w:rsidRPr="00AC3A3D">
        <w:t xml:space="preserve"> and </w:t>
      </w:r>
      <w:r w:rsidR="005244A7">
        <w:t>Fifth</w:t>
      </w:r>
      <w:r w:rsidR="005244A7" w:rsidRPr="00AC3A3D">
        <w:t xml:space="preserve"> </w:t>
      </w:r>
      <w:r w:rsidR="005244A7">
        <w:t>Community Pharmacy Agreement</w:t>
      </w:r>
      <w:r w:rsidR="005244A7" w:rsidRPr="00AC3A3D">
        <w:t xml:space="preserve"> </w:t>
      </w:r>
      <w:r w:rsidR="005244A7">
        <w:t xml:space="preserve">(5CPA) </w:t>
      </w:r>
      <w:r w:rsidR="005244A7" w:rsidRPr="00AC3A3D">
        <w:t>between the Pharmacy Guild of Australia and the Commonwealth Government</w:t>
      </w:r>
      <w:r w:rsidRPr="00393116">
        <w:t>.</w:t>
      </w:r>
      <w:r>
        <w:t xml:space="preserve"> </w:t>
      </w:r>
      <w:r w:rsidR="00C71CE8">
        <w:t xml:space="preserve">The </w:t>
      </w:r>
      <w:r w:rsidR="00E77BF3">
        <w:t>SS</w:t>
      </w:r>
      <w:r w:rsidR="00C71CE8">
        <w:t xml:space="preserve"> initiative was continued under </w:t>
      </w:r>
      <w:r w:rsidR="00C71CE8" w:rsidRPr="00B93038">
        <w:t xml:space="preserve">the </w:t>
      </w:r>
      <w:r w:rsidR="00C71CE8">
        <w:t>Sixth Community Pharmacy Agreement (</w:t>
      </w:r>
      <w:r w:rsidR="00C71CE8" w:rsidRPr="00B93038">
        <w:t>6CPA</w:t>
      </w:r>
      <w:r w:rsidR="00C71CE8">
        <w:t xml:space="preserve">), as part of the PPI </w:t>
      </w:r>
      <w:r w:rsidR="00C71CE8" w:rsidRPr="00B93038">
        <w:t>P</w:t>
      </w:r>
      <w:r w:rsidR="00C71CE8">
        <w:t xml:space="preserve">rogram </w:t>
      </w:r>
      <w:r w:rsidR="00C71CE8" w:rsidRPr="00B93038">
        <w:t>directed at improving medication compliance through community pharmacies in Australia</w:t>
      </w:r>
      <w:r w:rsidR="00C71CE8">
        <w:t xml:space="preserve">. </w:t>
      </w:r>
      <w:r w:rsidRPr="00393116">
        <w:t xml:space="preserve">The </w:t>
      </w:r>
      <w:r w:rsidR="005244A7" w:rsidRPr="00AC3A3D">
        <w:t xml:space="preserve">Pharmaceutical Society of Australia (PSA) </w:t>
      </w:r>
      <w:r w:rsidR="005244A7" w:rsidRPr="005244A7">
        <w:rPr>
          <w:i/>
        </w:rPr>
        <w:t>Standard and Guidelines for Pharmacists Providing a Staged Supply Service for Prescribed Medicines</w:t>
      </w:r>
      <w:r w:rsidRPr="00393116">
        <w:t xml:space="preserve"> </w:t>
      </w:r>
      <w:r>
        <w:t>(</w:t>
      </w:r>
      <w:r w:rsidR="005244A7">
        <w:t>March</w:t>
      </w:r>
      <w:r>
        <w:t xml:space="preserve"> 2011) </w:t>
      </w:r>
      <w:r w:rsidRPr="00393116">
        <w:t xml:space="preserve">defines </w:t>
      </w:r>
      <w:r>
        <w:t>SS to be</w:t>
      </w:r>
      <w:r w:rsidR="005244A7">
        <w:t xml:space="preserve"> ‘</w:t>
      </w:r>
      <w:r>
        <w:t>t</w:t>
      </w:r>
      <w:r w:rsidRPr="00393116">
        <w:t>he provision of PBS medicines in instalments where requested by the</w:t>
      </w:r>
      <w:r w:rsidR="005244A7">
        <w:t xml:space="preserve"> prescriber or consumer’</w:t>
      </w:r>
      <w:r>
        <w:t xml:space="preserve">. </w:t>
      </w:r>
    </w:p>
    <w:p w14:paraId="0D0FCD91" w14:textId="0B0F0A31" w:rsidR="005244A7" w:rsidRDefault="005244A7" w:rsidP="002F48F4">
      <w:pPr>
        <w:pStyle w:val="BodyText"/>
      </w:pPr>
      <w:r>
        <w:t xml:space="preserve">A SS </w:t>
      </w:r>
      <w:r w:rsidR="002F48F4">
        <w:t xml:space="preserve">service can be initiated by the pharmacist, the prescriber, the patient or their agent, or another health professional involved in the care of the patient. </w:t>
      </w:r>
      <w:r w:rsidR="00F10839">
        <w:t xml:space="preserve"> </w:t>
      </w:r>
      <w:r w:rsidR="002F48F4" w:rsidRPr="00CA3C3F">
        <w:t>Once dispensed</w:t>
      </w:r>
      <w:r w:rsidR="002F48F4">
        <w:t>,</w:t>
      </w:r>
      <w:r w:rsidR="002F48F4" w:rsidRPr="00CA3C3F">
        <w:t xml:space="preserve"> the medicine is hel</w:t>
      </w:r>
      <w:r w:rsidR="002F48F4">
        <w:t>d by the pharmacy and the insta</w:t>
      </w:r>
      <w:r w:rsidR="002F48F4" w:rsidRPr="00CA3C3F">
        <w:t>lments are provided to the patient according to the agreed regime (for example, daily or weekly)</w:t>
      </w:r>
      <w:r w:rsidR="002F48F4">
        <w:t xml:space="preserve">. </w:t>
      </w:r>
      <w:r w:rsidR="00F10839">
        <w:t xml:space="preserve"> </w:t>
      </w:r>
      <w:r w:rsidR="002F48F4">
        <w:t xml:space="preserve">The prescriber should be informed by the pharmacist of the initiation of the service and of the arrangements that will apply. </w:t>
      </w:r>
    </w:p>
    <w:p w14:paraId="14D0BA2F" w14:textId="77777777" w:rsidR="005244A7" w:rsidRDefault="002F48F4" w:rsidP="002F48F4">
      <w:pPr>
        <w:pStyle w:val="BodyText"/>
      </w:pPr>
      <w:r>
        <w:t xml:space="preserve">SS services specifically exclude medicines supplied under the Section 100 Opioid Dependence Treatment Program. These constitute opioid substitution therapy (i.e. pharmacotherapy with methadone, buprenorphine and buprenorphine/naloxone combinations) and pharmacists should refer to legislation and guidelines applicable in their jurisdiction and to relevant national guidelines. </w:t>
      </w:r>
    </w:p>
    <w:p w14:paraId="23EED944" w14:textId="57B41E38" w:rsidR="002F48F4" w:rsidRPr="003519A3" w:rsidRDefault="002F48F4" w:rsidP="002F48F4">
      <w:pPr>
        <w:pStyle w:val="Heading2"/>
      </w:pPr>
      <w:bookmarkStart w:id="34" w:name="_Toc523236197"/>
      <w:r w:rsidRPr="003519A3">
        <w:t xml:space="preserve">Objectives of the SS </w:t>
      </w:r>
      <w:r w:rsidR="00327F8F">
        <w:t>initiative</w:t>
      </w:r>
      <w:bookmarkEnd w:id="34"/>
    </w:p>
    <w:p w14:paraId="1D11DA3A" w14:textId="6A02218C" w:rsidR="002F48F4" w:rsidRDefault="002F48F4" w:rsidP="00D64972">
      <w:pPr>
        <w:pStyle w:val="BodyText"/>
      </w:pPr>
      <w:r>
        <w:t xml:space="preserve">The main objective of the provision of the SS service is to assist consumers who are at particular risk of medication misadventure or harm as a result of the intentional or accidental misuse of prescribed medicines, often because of mental illness or drug dependence. SS is likely to be of particular benefit </w:t>
      </w:r>
      <w:r w:rsidRPr="00D64972">
        <w:t>where</w:t>
      </w:r>
      <w:r>
        <w:t xml:space="preserve"> the consumer is homeless or in sheltered accommodation where the possibility of theft and lack of refrigeration must be considered (PSA, 2011).</w:t>
      </w:r>
    </w:p>
    <w:p w14:paraId="50ED9259" w14:textId="6ECDD55E" w:rsidR="002F48F4" w:rsidRDefault="002F48F4" w:rsidP="005244A7">
      <w:pPr>
        <w:pStyle w:val="BodyText"/>
      </w:pPr>
      <w:r>
        <w:t>In addition, SS services may also be used in conjunction with a DAA to help improve adherence to the prescribed medication treatment regimen. This may be necessary where the consumer’s capacity to manage the prescribed medication treatment regimen is compromised by impaired cognitive function (e.g. due to mental illness, intellectual disability</w:t>
      </w:r>
      <w:r w:rsidR="005244A7">
        <w:t>,</w:t>
      </w:r>
      <w:r>
        <w:t xml:space="preserve"> or alcohol or drug ingestion).</w:t>
      </w:r>
    </w:p>
    <w:p w14:paraId="451451C6" w14:textId="51EC04AC" w:rsidR="002F48F4" w:rsidRPr="003F7C67" w:rsidRDefault="002F48F4" w:rsidP="002F48F4">
      <w:pPr>
        <w:pStyle w:val="Heading2"/>
      </w:pPr>
      <w:bookmarkStart w:id="35" w:name="_Toc523236198"/>
      <w:r w:rsidRPr="002F48F4">
        <w:t>Participation</w:t>
      </w:r>
      <w:r>
        <w:t xml:space="preserve"> in the SS </w:t>
      </w:r>
      <w:r w:rsidR="00327F8F">
        <w:t>initiative</w:t>
      </w:r>
      <w:bookmarkEnd w:id="35"/>
    </w:p>
    <w:p w14:paraId="3791F2EB" w14:textId="1DCAF0F5" w:rsidR="002F48F4" w:rsidRPr="003F7C67" w:rsidRDefault="002F48F4" w:rsidP="002F48F4">
      <w:pPr>
        <w:pStyle w:val="Bodytextbeforebulletlist"/>
      </w:pPr>
      <w:r w:rsidRPr="003F7C67">
        <w:t xml:space="preserve">To be eligible to receive incentive payments for </w:t>
      </w:r>
      <w:r w:rsidR="00327F8F">
        <w:t>providing a</w:t>
      </w:r>
      <w:r w:rsidRPr="003F7C67">
        <w:t xml:space="preserve"> </w:t>
      </w:r>
      <w:r>
        <w:t>SS</w:t>
      </w:r>
      <w:r w:rsidRPr="003F7C67">
        <w:t xml:space="preserve"> </w:t>
      </w:r>
      <w:r w:rsidR="00327F8F">
        <w:t>service</w:t>
      </w:r>
      <w:r w:rsidRPr="003F7C67">
        <w:t>, a community pharmacy must:</w:t>
      </w:r>
    </w:p>
    <w:p w14:paraId="752100FA" w14:textId="552DA1D4" w:rsidR="002F48F4" w:rsidRPr="00D64972" w:rsidRDefault="002F48F4" w:rsidP="00D64972">
      <w:pPr>
        <w:pStyle w:val="Bullettext"/>
      </w:pPr>
      <w:r w:rsidRPr="00D64972">
        <w:t>be a Section 90 Pharmacy;</w:t>
      </w:r>
    </w:p>
    <w:p w14:paraId="0E2F6E56" w14:textId="77777777" w:rsidR="002F48F4" w:rsidRPr="00D64972" w:rsidRDefault="002F48F4" w:rsidP="00D64972">
      <w:pPr>
        <w:pStyle w:val="Bullettext"/>
      </w:pPr>
      <w:r w:rsidRPr="00D64972">
        <w:t>be accredited by an approved Pharmacy Accreditation Program such as the Quality Care Pharmacy Program (QCPP);</w:t>
      </w:r>
    </w:p>
    <w:p w14:paraId="4CA881EE" w14:textId="77777777" w:rsidR="002F48F4" w:rsidRPr="00D64972" w:rsidRDefault="002F48F4" w:rsidP="00D64972">
      <w:pPr>
        <w:pStyle w:val="Bullettext"/>
      </w:pPr>
      <w:r w:rsidRPr="00D64972">
        <w:t>agree to publicly display and comply with the Community Pharmacy Service Charter and Customer Service Statement;</w:t>
      </w:r>
    </w:p>
    <w:p w14:paraId="778D5323" w14:textId="68B2F6BE" w:rsidR="002F48F4" w:rsidRPr="003F7C67" w:rsidRDefault="002F48F4" w:rsidP="00D64972">
      <w:pPr>
        <w:pStyle w:val="Bullettext"/>
      </w:pPr>
      <w:r w:rsidRPr="003F7C67">
        <w:t xml:space="preserve">register for the </w:t>
      </w:r>
      <w:r>
        <w:t xml:space="preserve">SS </w:t>
      </w:r>
      <w:r w:rsidR="00327F8F">
        <w:t>priority area</w:t>
      </w:r>
      <w:r w:rsidRPr="003F7C67">
        <w:t xml:space="preserve"> via the 6CPA Registration and Claiming Portal;</w:t>
      </w:r>
    </w:p>
    <w:p w14:paraId="03BB5117" w14:textId="28313B5B" w:rsidR="002F48F4" w:rsidRPr="003F7C67" w:rsidRDefault="002F48F4" w:rsidP="00D64972">
      <w:pPr>
        <w:pStyle w:val="Bullettext"/>
      </w:pPr>
      <w:r w:rsidRPr="003F7C67">
        <w:t xml:space="preserve">continue to meet the above eligibility criteria while participating in the </w:t>
      </w:r>
      <w:r>
        <w:t>SS</w:t>
      </w:r>
      <w:r w:rsidRPr="003F7C67">
        <w:t xml:space="preserve"> </w:t>
      </w:r>
      <w:r w:rsidR="00327F8F">
        <w:t>priority area</w:t>
      </w:r>
      <w:r w:rsidRPr="003F7C67">
        <w:t xml:space="preserve">; </w:t>
      </w:r>
    </w:p>
    <w:p w14:paraId="44229E12" w14:textId="77777777" w:rsidR="002F48F4" w:rsidRPr="003F7C67" w:rsidRDefault="002F48F4" w:rsidP="00D64972">
      <w:pPr>
        <w:pStyle w:val="Bullettext"/>
      </w:pPr>
      <w:proofErr w:type="gramStart"/>
      <w:r w:rsidRPr="003F7C67">
        <w:t>deliver</w:t>
      </w:r>
      <w:proofErr w:type="gramEnd"/>
      <w:r w:rsidRPr="003F7C67">
        <w:t xml:space="preserve"> </w:t>
      </w:r>
      <w:r>
        <w:t>SS</w:t>
      </w:r>
      <w:r w:rsidRPr="003F7C67">
        <w:t xml:space="preserve"> services in accordance with the PPI Program </w:t>
      </w:r>
      <w:r w:rsidRPr="00FD4454">
        <w:t>Specific</w:t>
      </w:r>
      <w:r w:rsidRPr="003F7C67">
        <w:t xml:space="preserve"> Guidelines.</w:t>
      </w:r>
    </w:p>
    <w:p w14:paraId="2E8E22B7" w14:textId="7C7C2A6C" w:rsidR="002F48F4" w:rsidRPr="00BA59AF" w:rsidRDefault="00836C03" w:rsidP="002F48F4">
      <w:pPr>
        <w:pStyle w:val="Bodytextbeforebulletlist"/>
      </w:pPr>
      <w:r w:rsidRPr="00836C03">
        <w:lastRenderedPageBreak/>
        <w:t>SS services are paid for by the Australian Government through the 6CPA</w:t>
      </w:r>
      <w:r>
        <w:t>. Eligible community pharmacies are</w:t>
      </w:r>
      <w:r w:rsidR="002F48F4" w:rsidRPr="00BA59AF">
        <w:t xml:space="preserve"> entitled to claim an annual </w:t>
      </w:r>
      <w:r>
        <w:t>incentive payment for offering</w:t>
      </w:r>
      <w:r w:rsidR="002F48F4" w:rsidRPr="00BA59AF">
        <w:t xml:space="preserve"> </w:t>
      </w:r>
      <w:r w:rsidR="002F48F4">
        <w:t>SS</w:t>
      </w:r>
      <w:r w:rsidR="002F48F4" w:rsidRPr="00BA59AF">
        <w:t xml:space="preserve"> service</w:t>
      </w:r>
      <w:r>
        <w:t>s</w:t>
      </w:r>
      <w:r w:rsidR="002F48F4" w:rsidRPr="00BA59AF">
        <w:t xml:space="preserve"> in accordance with the PPI</w:t>
      </w:r>
      <w:r w:rsidR="00594E35">
        <w:t xml:space="preserve"> Program</w:t>
      </w:r>
      <w:r w:rsidR="002F48F4">
        <w:t xml:space="preserve"> Specific Guidelines.</w:t>
      </w:r>
      <w:r>
        <w:t xml:space="preserve"> </w:t>
      </w:r>
      <w:r w:rsidR="002F48F4" w:rsidRPr="00BA59AF">
        <w:t>Payment fo</w:t>
      </w:r>
      <w:r>
        <w:t xml:space="preserve">r </w:t>
      </w:r>
      <w:r w:rsidR="00327F8F">
        <w:t xml:space="preserve">the provision of SS services </w:t>
      </w:r>
      <w:r>
        <w:t>is prospective.</w:t>
      </w:r>
      <w:r w:rsidR="002F48F4" w:rsidRPr="00BA59AF">
        <w:t xml:space="preserve"> To be eligible for payment the eligible pharmacy is</w:t>
      </w:r>
      <w:r>
        <w:t>:</w:t>
      </w:r>
    </w:p>
    <w:p w14:paraId="1DD68041" w14:textId="1E258234" w:rsidR="002F48F4" w:rsidRPr="00BA59AF" w:rsidRDefault="002F48F4" w:rsidP="00D64972">
      <w:pPr>
        <w:pStyle w:val="Bullettext"/>
      </w:pPr>
      <w:r w:rsidRPr="00BA59AF">
        <w:t>required to retain evidence to demonstrate the pharmacy has met the requirements;</w:t>
      </w:r>
      <w:r w:rsidR="00F25900">
        <w:t xml:space="preserve"> and</w:t>
      </w:r>
    </w:p>
    <w:p w14:paraId="4902F2D0" w14:textId="77777777" w:rsidR="002F48F4" w:rsidRPr="00393116" w:rsidRDefault="002F48F4" w:rsidP="00D64972">
      <w:pPr>
        <w:pStyle w:val="Bullettext"/>
      </w:pPr>
      <w:proofErr w:type="gramStart"/>
      <w:r>
        <w:t>lodged</w:t>
      </w:r>
      <w:proofErr w:type="gramEnd"/>
      <w:r>
        <w:t xml:space="preserve"> the PPI Declaration each year as part of the pharmacy’s accreditation cycle and provided the</w:t>
      </w:r>
      <w:r w:rsidRPr="00393116">
        <w:t xml:space="preserve"> </w:t>
      </w:r>
      <w:r>
        <w:t>required evidence at the eligible community pharmacy’s next accreditation assessment.</w:t>
      </w:r>
    </w:p>
    <w:p w14:paraId="42160307" w14:textId="624F0FBD" w:rsidR="002F48F4" w:rsidRPr="002F48F4" w:rsidRDefault="002F48F4" w:rsidP="002F48F4">
      <w:pPr>
        <w:pStyle w:val="Heading2"/>
      </w:pPr>
      <w:bookmarkStart w:id="36" w:name="_Toc523236199"/>
      <w:r w:rsidRPr="002F48F4">
        <w:t xml:space="preserve">Patient groups most likely to benefit from </w:t>
      </w:r>
      <w:r w:rsidR="00F25900">
        <w:t>a</w:t>
      </w:r>
      <w:r w:rsidRPr="002F48F4">
        <w:t xml:space="preserve"> </w:t>
      </w:r>
      <w:r w:rsidR="00F25900">
        <w:t>SS service</w:t>
      </w:r>
      <w:bookmarkEnd w:id="36"/>
    </w:p>
    <w:p w14:paraId="109E566C" w14:textId="53A39914" w:rsidR="002F48F4" w:rsidRPr="002247B0" w:rsidRDefault="002F48F4" w:rsidP="002F48F4">
      <w:pPr>
        <w:pStyle w:val="Bodytextbeforebulletlist"/>
      </w:pPr>
      <w:r w:rsidRPr="002247B0">
        <w:t>According</w:t>
      </w:r>
      <w:r>
        <w:t xml:space="preserve"> to the </w:t>
      </w:r>
      <w:r w:rsidR="00F25900">
        <w:t xml:space="preserve">current PSA guidelines for providing a SS service </w:t>
      </w:r>
      <w:r w:rsidRPr="002247B0">
        <w:t>(</w:t>
      </w:r>
      <w:r>
        <w:t xml:space="preserve">PSA, </w:t>
      </w:r>
      <w:r w:rsidRPr="002247B0">
        <w:t>2011)</w:t>
      </w:r>
      <w:r>
        <w:t xml:space="preserve">, the clinical need for the SS service may be identified during the delivery of other services, such as a </w:t>
      </w:r>
      <w:proofErr w:type="spellStart"/>
      <w:r>
        <w:t>MedsCheck</w:t>
      </w:r>
      <w:proofErr w:type="spellEnd"/>
      <w:r>
        <w:t xml:space="preserve"> (also</w:t>
      </w:r>
      <w:r w:rsidR="00F25900">
        <w:t xml:space="preserve"> known as Medicines Use Review</w:t>
      </w:r>
      <w:r>
        <w:t>) or Home Medicines Review (HMR). The decision to provide a SS service is based on performing a risk assessment by the pharmacist of the interplay between consumer and drug factors, as well as the pharmacists’ professional judgement. SS may be indicated in circumstances where</w:t>
      </w:r>
      <w:r w:rsidRPr="002247B0">
        <w:t>:</w:t>
      </w:r>
    </w:p>
    <w:p w14:paraId="25661DB7" w14:textId="77777777" w:rsidR="002F48F4" w:rsidRDefault="002F48F4" w:rsidP="00D64972">
      <w:pPr>
        <w:pStyle w:val="Bullettext"/>
      </w:pPr>
      <w:r>
        <w:t>the pharmacist or the prescriber perceive the consumer is unable to manage the prescribed medicine safely or appropriately because they are disoriented or confused;</w:t>
      </w:r>
    </w:p>
    <w:p w14:paraId="598EBCF6" w14:textId="77777777" w:rsidR="002F48F4" w:rsidRDefault="002F48F4" w:rsidP="00D64972">
      <w:pPr>
        <w:pStyle w:val="Bullettext"/>
      </w:pPr>
      <w:r>
        <w:t>the pharmacist or the prescriber consider the consumer is at risk of, or there is a history of, deliberate self-harm or causing harm to others;</w:t>
      </w:r>
    </w:p>
    <w:p w14:paraId="53F40E25" w14:textId="77777777" w:rsidR="002F48F4" w:rsidRDefault="002F48F4" w:rsidP="00D64972">
      <w:pPr>
        <w:pStyle w:val="Bullettext"/>
      </w:pPr>
      <w:r>
        <w:t>there is considered to be a risk of, or there is a history of, intentional misuse or diversion of medicine;</w:t>
      </w:r>
    </w:p>
    <w:p w14:paraId="54CF870B" w14:textId="267E1D83" w:rsidR="002F48F4" w:rsidRDefault="002F48F4" w:rsidP="00D64972">
      <w:pPr>
        <w:pStyle w:val="Bullettext"/>
      </w:pPr>
      <w:r>
        <w:t>adherence with the intended treatment regimen is in doubt or there is a history of poor adherence;</w:t>
      </w:r>
      <w:r w:rsidR="00327F8F">
        <w:t xml:space="preserve"> or</w:t>
      </w:r>
    </w:p>
    <w:p w14:paraId="387C9686" w14:textId="2AECE0E5" w:rsidR="002F48F4" w:rsidRDefault="002F48F4" w:rsidP="00D64972">
      <w:pPr>
        <w:pStyle w:val="Bullettext"/>
      </w:pPr>
      <w:proofErr w:type="gramStart"/>
      <w:r>
        <w:t>regulatory</w:t>
      </w:r>
      <w:proofErr w:type="gramEnd"/>
      <w:r>
        <w:t xml:space="preserve"> requirements dictate the use of SS (e.g. jurisdictional medication supply contracts or treatment orders).</w:t>
      </w:r>
    </w:p>
    <w:p w14:paraId="1EA7713E" w14:textId="3ABA39C3" w:rsidR="002F48F4" w:rsidRDefault="00327F8F" w:rsidP="00D64972">
      <w:pPr>
        <w:pStyle w:val="Bodytextbeforebulletlist"/>
      </w:pPr>
      <w:r>
        <w:t xml:space="preserve">According to the PSA guidelines, </w:t>
      </w:r>
      <w:r w:rsidR="002F48F4">
        <w:t>SS should be considered for the following types of prescribed medicines:</w:t>
      </w:r>
    </w:p>
    <w:p w14:paraId="18B013D8" w14:textId="77777777" w:rsidR="002F48F4" w:rsidRDefault="002F48F4" w:rsidP="00D64972">
      <w:pPr>
        <w:pStyle w:val="Bullettext"/>
      </w:pPr>
      <w:r>
        <w:t>antipsychotics;</w:t>
      </w:r>
    </w:p>
    <w:p w14:paraId="35F6016A" w14:textId="77777777" w:rsidR="002F48F4" w:rsidRDefault="002F48F4" w:rsidP="00D64972">
      <w:pPr>
        <w:pStyle w:val="Bullettext"/>
      </w:pPr>
      <w:r>
        <w:t>anxiolytics;</w:t>
      </w:r>
    </w:p>
    <w:p w14:paraId="39A0FEF9" w14:textId="77777777" w:rsidR="002F48F4" w:rsidRDefault="002F48F4" w:rsidP="00D64972">
      <w:pPr>
        <w:pStyle w:val="Bullettext"/>
      </w:pPr>
      <w:r>
        <w:t>hypnotics and sedatives;</w:t>
      </w:r>
    </w:p>
    <w:p w14:paraId="70626A86" w14:textId="77777777" w:rsidR="002F48F4" w:rsidRDefault="002F48F4" w:rsidP="00D64972">
      <w:pPr>
        <w:pStyle w:val="Bullettext"/>
      </w:pPr>
      <w:r>
        <w:t>antidepressants;</w:t>
      </w:r>
    </w:p>
    <w:p w14:paraId="0A9D8F3E" w14:textId="77777777" w:rsidR="002F48F4" w:rsidRDefault="002F48F4" w:rsidP="00D64972">
      <w:pPr>
        <w:pStyle w:val="Bullettext"/>
      </w:pPr>
      <w:r>
        <w:t>opioid analgesics; and</w:t>
      </w:r>
    </w:p>
    <w:p w14:paraId="598CFB0A" w14:textId="77777777" w:rsidR="002F48F4" w:rsidRDefault="002F48F4" w:rsidP="00D64972">
      <w:pPr>
        <w:pStyle w:val="Bullettext"/>
      </w:pPr>
      <w:proofErr w:type="gramStart"/>
      <w:r>
        <w:t>psychostimulants</w:t>
      </w:r>
      <w:proofErr w:type="gramEnd"/>
      <w:r>
        <w:t>.</w:t>
      </w:r>
    </w:p>
    <w:p w14:paraId="5E28A667" w14:textId="77777777" w:rsidR="003A4EF0" w:rsidRDefault="002F48F4" w:rsidP="003A4EF0">
      <w:pPr>
        <w:pStyle w:val="BodyText"/>
        <w:sectPr w:rsidR="003A4EF0" w:rsidSect="006B2FBC">
          <w:footerReference w:type="default" r:id="rId17"/>
          <w:pgSz w:w="11906" w:h="16838" w:code="9"/>
          <w:pgMar w:top="1134" w:right="1134" w:bottom="1134" w:left="1134" w:header="680" w:footer="851" w:gutter="0"/>
          <w:cols w:space="708"/>
          <w:docGrid w:linePitch="360"/>
        </w:sectPr>
      </w:pPr>
      <w:r w:rsidRPr="00D64972">
        <w:t>The</w:t>
      </w:r>
      <w:r w:rsidRPr="002247B0">
        <w:t xml:space="preserve"> most common patient groups that may access this service include </w:t>
      </w:r>
      <w:r>
        <w:t>those with mental illness and those with drug</w:t>
      </w:r>
      <w:r w:rsidR="003A4EF0">
        <w:t xml:space="preserve"> addiction/dependence problems.</w:t>
      </w:r>
    </w:p>
    <w:p w14:paraId="3FC2E683" w14:textId="39CE51A1" w:rsidR="00BF16D8" w:rsidRDefault="004F6B59" w:rsidP="001E4E5B">
      <w:pPr>
        <w:pStyle w:val="Heading1"/>
      </w:pPr>
      <w:bookmarkStart w:id="37" w:name="_Toc523236200"/>
      <w:r>
        <w:lastRenderedPageBreak/>
        <w:t xml:space="preserve">Review </w:t>
      </w:r>
      <w:r w:rsidR="00165A92">
        <w:t>m</w:t>
      </w:r>
      <w:r>
        <w:t>ethodology</w:t>
      </w:r>
      <w:bookmarkEnd w:id="37"/>
    </w:p>
    <w:p w14:paraId="3312035C" w14:textId="17328278" w:rsidR="00782B61" w:rsidRDefault="00985527" w:rsidP="008228DE">
      <w:pPr>
        <w:pStyle w:val="BodyText"/>
      </w:pPr>
      <w:bookmarkStart w:id="38" w:name="_Toc374972259"/>
      <w:bookmarkStart w:id="39" w:name="_Toc374972620"/>
      <w:r>
        <w:t xml:space="preserve">This </w:t>
      </w:r>
      <w:r w:rsidR="0035268E">
        <w:t>S</w:t>
      </w:r>
      <w:r w:rsidR="00FA5DF3">
        <w:t>ection</w:t>
      </w:r>
      <w:r>
        <w:t xml:space="preserve"> </w:t>
      </w:r>
      <w:r w:rsidR="004F6B59">
        <w:t>describes the methodology used to identify and asse</w:t>
      </w:r>
      <w:r w:rsidR="00D64972">
        <w:t>ss the evidence relating to SS</w:t>
      </w:r>
      <w:r w:rsidR="004F6B59">
        <w:t xml:space="preserve"> or similar </w:t>
      </w:r>
      <w:r w:rsidR="0035268E">
        <w:t>services</w:t>
      </w:r>
      <w:r w:rsidR="004F6B59">
        <w:t>.</w:t>
      </w:r>
      <w:r w:rsidR="002E0E18">
        <w:t xml:space="preserve"> The evaluation encompasses</w:t>
      </w:r>
      <w:r w:rsidR="00AE66D1">
        <w:t xml:space="preserve"> a systematic literature review of Australian and international evidence for the safety, effectiveness and cost-effectiveness of </w:t>
      </w:r>
      <w:r w:rsidR="00D64972">
        <w:t>SS</w:t>
      </w:r>
      <w:r w:rsidR="00AE66D1">
        <w:t xml:space="preserve"> services provided by pharmacists to individuals living in the community, and an analysis of available data on the utilisation of the service provided under the PPI</w:t>
      </w:r>
      <w:r w:rsidR="002E0E18">
        <w:t xml:space="preserve"> </w:t>
      </w:r>
      <w:r w:rsidR="00AE66D1">
        <w:t>P</w:t>
      </w:r>
      <w:r w:rsidR="002E0E18">
        <w:t>rogram</w:t>
      </w:r>
      <w:r w:rsidR="00AE66D1">
        <w:t>.</w:t>
      </w:r>
    </w:p>
    <w:p w14:paraId="53037BF2" w14:textId="78AD3861" w:rsidR="00344F45" w:rsidRDefault="004F6B59" w:rsidP="00344F45">
      <w:pPr>
        <w:pStyle w:val="Heading2"/>
      </w:pPr>
      <w:bookmarkStart w:id="40" w:name="_Toc523236201"/>
      <w:r>
        <w:t>Systematic literature review</w:t>
      </w:r>
      <w:bookmarkEnd w:id="40"/>
    </w:p>
    <w:p w14:paraId="2858E3D7" w14:textId="532D17F8" w:rsidR="004F6B59" w:rsidRDefault="004F6B59" w:rsidP="00AC3A3D">
      <w:pPr>
        <w:pStyle w:val="Heading3"/>
      </w:pPr>
      <w:bookmarkStart w:id="41" w:name="_Ref462135430"/>
      <w:bookmarkStart w:id="42" w:name="_Toc523236202"/>
      <w:r>
        <w:t>Research questions and PICO criteria</w:t>
      </w:r>
      <w:bookmarkEnd w:id="41"/>
      <w:bookmarkEnd w:id="42"/>
    </w:p>
    <w:p w14:paraId="6F5BCAA5" w14:textId="6363F0DB" w:rsidR="00C632ED" w:rsidRPr="00C632ED" w:rsidRDefault="00D01587" w:rsidP="00C632ED">
      <w:pPr>
        <w:pStyle w:val="BodyText"/>
      </w:pPr>
      <w:r>
        <w:t>The key research que</w:t>
      </w:r>
      <w:r w:rsidR="00C632ED">
        <w:t xml:space="preserve">stion for the evaluation of SS services </w:t>
      </w:r>
      <w:r w:rsidR="00C632ED" w:rsidRPr="00C632ED">
        <w:t xml:space="preserve">relates to the rationale for SS, as outlined in the </w:t>
      </w:r>
      <w:r w:rsidR="00C632ED" w:rsidRPr="00C632ED">
        <w:rPr>
          <w:i/>
        </w:rPr>
        <w:t>Standard and Guidelines for Pharmacists Providing a Staged Supply Service for Prescribed Medicines</w:t>
      </w:r>
      <w:r w:rsidR="00C632ED" w:rsidRPr="00C632ED">
        <w:t xml:space="preserve"> (PSA, March 2011).</w:t>
      </w:r>
    </w:p>
    <w:p w14:paraId="2F7A13D4" w14:textId="77777777" w:rsidR="00C632ED" w:rsidRPr="00C632ED" w:rsidRDefault="00C632ED" w:rsidP="002E0E18">
      <w:pPr>
        <w:pStyle w:val="Bullettext"/>
        <w:spacing w:after="120"/>
        <w:contextualSpacing w:val="0"/>
      </w:pPr>
      <w:r w:rsidRPr="00C632ED">
        <w:t>Is there evidence that a SS service provided by community pharmacies provides benefits, compared with no SS service provided by community pharmacies, in terms of:</w:t>
      </w:r>
    </w:p>
    <w:p w14:paraId="79577777" w14:textId="77777777" w:rsidR="00C632ED" w:rsidRPr="00FD30FA" w:rsidRDefault="00C632ED" w:rsidP="006B2FBC">
      <w:pPr>
        <w:pStyle w:val="Bullettext"/>
        <w:numPr>
          <w:ilvl w:val="0"/>
          <w:numId w:val="44"/>
        </w:numPr>
        <w:ind w:left="709" w:hanging="357"/>
      </w:pPr>
      <w:r w:rsidRPr="00FD30FA">
        <w:t>improvement in medication adherence and management;</w:t>
      </w:r>
    </w:p>
    <w:p w14:paraId="2B8F0D10" w14:textId="77777777" w:rsidR="00C632ED" w:rsidRPr="00FD30FA" w:rsidRDefault="00C632ED" w:rsidP="006B2FBC">
      <w:pPr>
        <w:pStyle w:val="Bullettext"/>
        <w:numPr>
          <w:ilvl w:val="0"/>
          <w:numId w:val="44"/>
        </w:numPr>
        <w:ind w:left="709" w:hanging="357"/>
      </w:pPr>
      <w:r w:rsidRPr="00FD30FA">
        <w:t>reduction in the incidence of adverse drug events; and</w:t>
      </w:r>
    </w:p>
    <w:p w14:paraId="29F4E9F8" w14:textId="77777777" w:rsidR="00C632ED" w:rsidRPr="00FD30FA" w:rsidRDefault="00C632ED" w:rsidP="006B2FBC">
      <w:pPr>
        <w:pStyle w:val="Bullettext"/>
        <w:numPr>
          <w:ilvl w:val="0"/>
          <w:numId w:val="44"/>
        </w:numPr>
        <w:ind w:left="709" w:hanging="357"/>
      </w:pPr>
      <w:proofErr w:type="gramStart"/>
      <w:r w:rsidRPr="00FD30FA">
        <w:t>reduction</w:t>
      </w:r>
      <w:proofErr w:type="gramEnd"/>
      <w:r w:rsidRPr="00FD30FA">
        <w:t xml:space="preserve"> in medication-related hospitalisation.</w:t>
      </w:r>
    </w:p>
    <w:p w14:paraId="33C089B0" w14:textId="77777777" w:rsidR="00C632ED" w:rsidRPr="00C632ED" w:rsidRDefault="00C632ED" w:rsidP="00C632ED">
      <w:pPr>
        <w:pStyle w:val="Bodytextbeforebulletlist"/>
      </w:pPr>
      <w:r w:rsidRPr="00C632ED">
        <w:t>Additional research questions of relevance to the evaluation relate to the costs and cost-effectiveness of the service:</w:t>
      </w:r>
    </w:p>
    <w:p w14:paraId="7C6F006C" w14:textId="77777777" w:rsidR="00C632ED" w:rsidRPr="00C632ED" w:rsidRDefault="00C632ED" w:rsidP="002E0E18">
      <w:pPr>
        <w:pStyle w:val="Bullettext"/>
        <w:contextualSpacing w:val="0"/>
      </w:pPr>
      <w:r w:rsidRPr="00C632ED">
        <w:t xml:space="preserve">What costs are associated with a SS service provided by community pharmacies? </w:t>
      </w:r>
    </w:p>
    <w:p w14:paraId="4970271F" w14:textId="77777777" w:rsidR="00C632ED" w:rsidRPr="00C632ED" w:rsidRDefault="00C632ED" w:rsidP="00C632ED">
      <w:pPr>
        <w:pStyle w:val="Bullettext"/>
      </w:pPr>
      <w:r w:rsidRPr="00C632ED">
        <w:t>Is there evidence that a SS service provided by community pharmacies is cost-effective, compared with no SS service provided by community pharmacies?</w:t>
      </w:r>
    </w:p>
    <w:p w14:paraId="7C3152B6" w14:textId="6094E17A" w:rsidR="00D01587" w:rsidRDefault="006B2FBC" w:rsidP="00C632ED">
      <w:pPr>
        <w:pStyle w:val="BodyText"/>
      </w:pPr>
      <w:r>
        <w:fldChar w:fldCharType="begin"/>
      </w:r>
      <w:r>
        <w:instrText xml:space="preserve"> REF _Ref467156464 \h </w:instrText>
      </w:r>
      <w:r>
        <w:fldChar w:fldCharType="separate"/>
      </w:r>
      <w:r w:rsidR="006F3580">
        <w:t xml:space="preserve">Table </w:t>
      </w:r>
      <w:r w:rsidR="006F3580">
        <w:rPr>
          <w:noProof/>
        </w:rPr>
        <w:t>3</w:t>
      </w:r>
      <w:r w:rsidR="006F3580">
        <w:t>.</w:t>
      </w:r>
      <w:r w:rsidR="006F3580">
        <w:rPr>
          <w:noProof/>
        </w:rPr>
        <w:t>1</w:t>
      </w:r>
      <w:r>
        <w:fldChar w:fldCharType="end"/>
      </w:r>
      <w:r>
        <w:t xml:space="preserve"> </w:t>
      </w:r>
      <w:r w:rsidR="00587B61" w:rsidRPr="00D01587">
        <w:t>presents the selection criteria for evide</w:t>
      </w:r>
      <w:r w:rsidR="00FD30FA">
        <w:t>nce</w:t>
      </w:r>
      <w:r w:rsidR="002E0E18">
        <w:t xml:space="preserve"> relating to SS services</w:t>
      </w:r>
      <w:r w:rsidR="00587B61" w:rsidRPr="00D01587">
        <w:t>.</w:t>
      </w:r>
    </w:p>
    <w:p w14:paraId="5B5B7A58" w14:textId="6DE2752A" w:rsidR="00587B61" w:rsidRDefault="00542F4A" w:rsidP="00542F4A">
      <w:pPr>
        <w:pStyle w:val="Caption"/>
      </w:pPr>
      <w:bookmarkStart w:id="43" w:name="_Ref467156464"/>
      <w:bookmarkStart w:id="44" w:name="_Toc467155922"/>
      <w:r>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3</w:t>
      </w:r>
      <w:r w:rsidR="00872B71">
        <w:rPr>
          <w:noProof/>
        </w:rPr>
        <w:fldChar w:fldCharType="end"/>
      </w:r>
      <w:r>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1</w:t>
      </w:r>
      <w:r w:rsidR="00872B71">
        <w:rPr>
          <w:noProof/>
        </w:rPr>
        <w:fldChar w:fldCharType="end"/>
      </w:r>
      <w:bookmarkEnd w:id="43"/>
      <w:r w:rsidR="00587B61">
        <w:tab/>
      </w:r>
      <w:r w:rsidR="00587B61" w:rsidRPr="00187213">
        <w:t xml:space="preserve">Selection criteria for evidence </w:t>
      </w:r>
      <w:r w:rsidR="00FD30FA">
        <w:t>relating to SS</w:t>
      </w:r>
      <w:r w:rsidR="00587B61">
        <w:t xml:space="preserve"> services provided by community pharmacies</w:t>
      </w:r>
      <w:bookmarkEnd w:id="44"/>
    </w:p>
    <w:tbl>
      <w:tblPr>
        <w:tblStyle w:val="TableGrid"/>
        <w:tblW w:w="5000" w:type="pct"/>
        <w:tblLook w:val="04A0" w:firstRow="1" w:lastRow="0" w:firstColumn="1" w:lastColumn="0" w:noHBand="0" w:noVBand="1"/>
        <w:tblCaption w:val="Table 3.1"/>
        <w:tblDescription w:val="Selection criteria for evidence relating to SS services provided by community pharmacies"/>
      </w:tblPr>
      <w:tblGrid>
        <w:gridCol w:w="1502"/>
        <w:gridCol w:w="8126"/>
      </w:tblGrid>
      <w:tr w:rsidR="00587B61" w14:paraId="23C6F2FB" w14:textId="77777777" w:rsidTr="006B2FBC">
        <w:trPr>
          <w:cnfStyle w:val="100000000000" w:firstRow="1" w:lastRow="0" w:firstColumn="0" w:lastColumn="0" w:oddVBand="0" w:evenVBand="0" w:oddHBand="0" w:evenHBand="0" w:firstRowFirstColumn="0" w:firstRowLastColumn="0" w:lastRowFirstColumn="0" w:lastRowLastColumn="0"/>
        </w:trPr>
        <w:tc>
          <w:tcPr>
            <w:tcW w:w="780" w:type="pct"/>
            <w:vAlign w:val="center"/>
          </w:tcPr>
          <w:p w14:paraId="5F7178E1" w14:textId="77777777" w:rsidR="00587B61" w:rsidRDefault="00587B61" w:rsidP="000375D5">
            <w:pPr>
              <w:pStyle w:val="01Tableheadingorsubheading"/>
              <w:keepNext w:val="0"/>
            </w:pPr>
            <w:r>
              <w:t>Criteria</w:t>
            </w:r>
          </w:p>
        </w:tc>
        <w:tc>
          <w:tcPr>
            <w:tcW w:w="4220" w:type="pct"/>
            <w:vAlign w:val="center"/>
          </w:tcPr>
          <w:p w14:paraId="1F3733B2" w14:textId="77777777" w:rsidR="00587B61" w:rsidRDefault="00587B61" w:rsidP="000375D5">
            <w:pPr>
              <w:pStyle w:val="01Tableheadingorsubheading"/>
              <w:keepNext w:val="0"/>
            </w:pPr>
            <w:r>
              <w:t>Description</w:t>
            </w:r>
          </w:p>
        </w:tc>
      </w:tr>
      <w:tr w:rsidR="00587B61" w14:paraId="7B260415" w14:textId="77777777" w:rsidTr="006B2FBC">
        <w:tc>
          <w:tcPr>
            <w:tcW w:w="780" w:type="pct"/>
          </w:tcPr>
          <w:p w14:paraId="22644D52" w14:textId="77777777" w:rsidR="00587B61" w:rsidRPr="00D01587" w:rsidRDefault="00587B61" w:rsidP="000375D5">
            <w:pPr>
              <w:pStyle w:val="02Tabletext"/>
              <w:keepNext w:val="0"/>
            </w:pPr>
            <w:r w:rsidRPr="00D01587">
              <w:t>Population</w:t>
            </w:r>
          </w:p>
        </w:tc>
        <w:tc>
          <w:tcPr>
            <w:tcW w:w="4220" w:type="pct"/>
          </w:tcPr>
          <w:p w14:paraId="59019680" w14:textId="128306BF" w:rsidR="00FD30FA" w:rsidRDefault="00FD30FA" w:rsidP="00FD30FA">
            <w:pPr>
              <w:pStyle w:val="02Tabletext"/>
              <w:rPr>
                <w:i/>
              </w:rPr>
            </w:pPr>
            <w:r w:rsidRPr="00FD30FA">
              <w:t>Community patients with a mental illness, drug dependency or who are otherwise unable to manage their self-administered medicines safely</w:t>
            </w:r>
            <w:r>
              <w:rPr>
                <w:i/>
              </w:rPr>
              <w:t>.</w:t>
            </w:r>
          </w:p>
          <w:p w14:paraId="4A7B6B8A" w14:textId="2CF7A2BD" w:rsidR="00587B61" w:rsidRPr="00D01587" w:rsidRDefault="00587B61" w:rsidP="000375D5">
            <w:pPr>
              <w:pStyle w:val="04Tabletextspaceitalics"/>
            </w:pPr>
            <w:r w:rsidRPr="00D01587">
              <w:t>Subpopulations:</w:t>
            </w:r>
          </w:p>
          <w:p w14:paraId="532CCBD6" w14:textId="77777777" w:rsidR="00FD30FA" w:rsidRPr="00FD30FA" w:rsidRDefault="00FD30FA" w:rsidP="00FD30FA">
            <w:pPr>
              <w:pStyle w:val="06Tablebullet"/>
            </w:pPr>
            <w:r w:rsidRPr="00FD30FA">
              <w:t>patients with confusion and/or significant disorientation</w:t>
            </w:r>
          </w:p>
          <w:p w14:paraId="7894BD9C" w14:textId="77777777" w:rsidR="00FD30FA" w:rsidRPr="00FD30FA" w:rsidRDefault="00FD30FA" w:rsidP="00FD30FA">
            <w:pPr>
              <w:pStyle w:val="06Tablebullet"/>
            </w:pPr>
            <w:r w:rsidRPr="00FD30FA">
              <w:t>patients at risk of accidental or deliberate self-harm or harm to others</w:t>
            </w:r>
          </w:p>
          <w:p w14:paraId="7D3B06F3" w14:textId="77777777" w:rsidR="00FD30FA" w:rsidRPr="00FD30FA" w:rsidRDefault="00FD30FA" w:rsidP="00FD30FA">
            <w:pPr>
              <w:pStyle w:val="06Tablebullet"/>
            </w:pPr>
            <w:r w:rsidRPr="00FD30FA">
              <w:t>patients at risk of non-adherence to a medication regime</w:t>
            </w:r>
          </w:p>
          <w:p w14:paraId="15624DD7" w14:textId="7122453F" w:rsidR="00587B61" w:rsidRPr="00FD30FA" w:rsidRDefault="00FD30FA" w:rsidP="00FD30FA">
            <w:pPr>
              <w:pStyle w:val="06Tablebullet"/>
            </w:pPr>
            <w:r w:rsidRPr="00FD30FA">
              <w:t>patients at risk of misuse or on-selling of the medication</w:t>
            </w:r>
          </w:p>
        </w:tc>
      </w:tr>
      <w:tr w:rsidR="00587B61" w14:paraId="002B20B3" w14:textId="77777777" w:rsidTr="006B2FBC">
        <w:trPr>
          <w:cnfStyle w:val="000000010000" w:firstRow="0" w:lastRow="0" w:firstColumn="0" w:lastColumn="0" w:oddVBand="0" w:evenVBand="0" w:oddHBand="0" w:evenHBand="1" w:firstRowFirstColumn="0" w:firstRowLastColumn="0" w:lastRowFirstColumn="0" w:lastRowLastColumn="0"/>
        </w:trPr>
        <w:tc>
          <w:tcPr>
            <w:tcW w:w="780" w:type="pct"/>
          </w:tcPr>
          <w:p w14:paraId="7C7788E5" w14:textId="77777777" w:rsidR="00587B61" w:rsidRPr="00D01587" w:rsidRDefault="00587B61" w:rsidP="000375D5">
            <w:pPr>
              <w:pStyle w:val="02Tabletext"/>
              <w:keepNext w:val="0"/>
            </w:pPr>
            <w:r w:rsidRPr="00D01587">
              <w:t>Intervention</w:t>
            </w:r>
          </w:p>
        </w:tc>
        <w:tc>
          <w:tcPr>
            <w:tcW w:w="4220" w:type="pct"/>
          </w:tcPr>
          <w:p w14:paraId="482FA8A6" w14:textId="77777777" w:rsidR="00FD30FA" w:rsidRDefault="00FD30FA" w:rsidP="00FD30FA">
            <w:pPr>
              <w:pStyle w:val="02Tabletext"/>
              <w:spacing w:after="120"/>
            </w:pPr>
            <w:r w:rsidRPr="00FD30FA">
              <w:t>Supply</w:t>
            </w:r>
            <w:r>
              <w:t xml:space="preserve"> of prescription medicines (e.g. opioid analgesics and medicines used for the treatment of mental health disorders) to a patient in periodic instalments of less than the originally prescribed quantity, at agreed time intervals (e.g. daily, weekly or as directed by the prescriber) by a community pharmacy.</w:t>
            </w:r>
          </w:p>
          <w:p w14:paraId="54C0D796" w14:textId="6765C61D" w:rsidR="00587B61" w:rsidRPr="00FD30FA" w:rsidRDefault="00FD30FA" w:rsidP="00FD30FA">
            <w:pPr>
              <w:pStyle w:val="02Tabletext"/>
              <w:keepNext w:val="0"/>
            </w:pPr>
            <w:r>
              <w:t>Note: Excludes the supply of medicines related to opioid substitution therapy.</w:t>
            </w:r>
          </w:p>
        </w:tc>
      </w:tr>
      <w:tr w:rsidR="00587B61" w14:paraId="4EDCA3C8" w14:textId="77777777" w:rsidTr="006B2FBC">
        <w:tc>
          <w:tcPr>
            <w:tcW w:w="780" w:type="pct"/>
          </w:tcPr>
          <w:p w14:paraId="1192314C" w14:textId="77777777" w:rsidR="00587B61" w:rsidRPr="00D01587" w:rsidRDefault="00587B61" w:rsidP="000375D5">
            <w:pPr>
              <w:pStyle w:val="02Tabletext"/>
              <w:keepNext w:val="0"/>
            </w:pPr>
            <w:r w:rsidRPr="00D01587">
              <w:t>Comparator</w:t>
            </w:r>
          </w:p>
        </w:tc>
        <w:tc>
          <w:tcPr>
            <w:tcW w:w="4220" w:type="pct"/>
          </w:tcPr>
          <w:p w14:paraId="6689C8B3" w14:textId="32EC6DF1" w:rsidR="00587B61" w:rsidRPr="00FD30FA" w:rsidRDefault="00587B61" w:rsidP="00FD30FA">
            <w:pPr>
              <w:pStyle w:val="02Tabletext"/>
              <w:keepNext w:val="0"/>
            </w:pPr>
            <w:r w:rsidRPr="00D01587">
              <w:t>Community patients in the absence of the intervention.</w:t>
            </w:r>
          </w:p>
        </w:tc>
      </w:tr>
      <w:tr w:rsidR="00587B61" w14:paraId="749E5B4C" w14:textId="77777777" w:rsidTr="006B2FBC">
        <w:trPr>
          <w:cnfStyle w:val="000000010000" w:firstRow="0" w:lastRow="0" w:firstColumn="0" w:lastColumn="0" w:oddVBand="0" w:evenVBand="0" w:oddHBand="0" w:evenHBand="1" w:firstRowFirstColumn="0" w:firstRowLastColumn="0" w:lastRowFirstColumn="0" w:lastRowLastColumn="0"/>
        </w:trPr>
        <w:tc>
          <w:tcPr>
            <w:tcW w:w="780" w:type="pct"/>
          </w:tcPr>
          <w:p w14:paraId="0184108B" w14:textId="77777777" w:rsidR="00587B61" w:rsidRPr="00D01587" w:rsidRDefault="00587B61" w:rsidP="000375D5">
            <w:pPr>
              <w:pStyle w:val="02Tabletext"/>
              <w:keepNext w:val="0"/>
            </w:pPr>
            <w:r w:rsidRPr="00D01587">
              <w:lastRenderedPageBreak/>
              <w:t>Outcomes</w:t>
            </w:r>
          </w:p>
        </w:tc>
        <w:tc>
          <w:tcPr>
            <w:tcW w:w="4220" w:type="pct"/>
          </w:tcPr>
          <w:p w14:paraId="38521056" w14:textId="77777777" w:rsidR="00FD30FA" w:rsidRPr="00FD30FA" w:rsidRDefault="00FD30FA" w:rsidP="00FD30FA">
            <w:pPr>
              <w:pStyle w:val="06Tablebullet"/>
            </w:pPr>
            <w:r w:rsidRPr="00FD30FA">
              <w:t>adherence/compliance/concordance with prescribed dose schedule</w:t>
            </w:r>
          </w:p>
          <w:p w14:paraId="3F498D3B" w14:textId="77777777" w:rsidR="00FD30FA" w:rsidRPr="00FD30FA" w:rsidRDefault="00FD30FA" w:rsidP="00FD30FA">
            <w:pPr>
              <w:pStyle w:val="06Tablebullet"/>
            </w:pPr>
            <w:r w:rsidRPr="00FD30FA">
              <w:t>clinical outcomes (e.g. psychological symptoms in patients with mental illness)</w:t>
            </w:r>
          </w:p>
          <w:p w14:paraId="03BBF00C" w14:textId="77777777" w:rsidR="00FD30FA" w:rsidRPr="00FD30FA" w:rsidRDefault="00FD30FA" w:rsidP="00FD30FA">
            <w:pPr>
              <w:pStyle w:val="06Tablebullet"/>
            </w:pPr>
            <w:r w:rsidRPr="00FD30FA">
              <w:t>adverse drug events/reactions and medication-related problems</w:t>
            </w:r>
          </w:p>
          <w:p w14:paraId="5BF4A724" w14:textId="77777777" w:rsidR="00FD30FA" w:rsidRPr="00FD30FA" w:rsidRDefault="00FD30FA" w:rsidP="00FD30FA">
            <w:pPr>
              <w:pStyle w:val="06Tablebullet"/>
            </w:pPr>
            <w:r w:rsidRPr="00FD30FA">
              <w:t>mortality</w:t>
            </w:r>
          </w:p>
          <w:p w14:paraId="53BD056A" w14:textId="77777777" w:rsidR="00FD30FA" w:rsidRPr="00FD30FA" w:rsidRDefault="00FD30FA" w:rsidP="00FD30FA">
            <w:pPr>
              <w:pStyle w:val="06Tablebullet"/>
            </w:pPr>
            <w:r w:rsidRPr="00FD30FA">
              <w:t>health care resource use (ED attendance, hospitalisation, GP visits, specialist visits)</w:t>
            </w:r>
          </w:p>
          <w:p w14:paraId="15859E95" w14:textId="77777777" w:rsidR="00FD30FA" w:rsidRPr="00FD30FA" w:rsidRDefault="00FD30FA" w:rsidP="00FD30FA">
            <w:pPr>
              <w:pStyle w:val="06Tablebullet"/>
            </w:pPr>
            <w:r w:rsidRPr="00FD30FA">
              <w:t>patient acceptance/satisfaction</w:t>
            </w:r>
          </w:p>
          <w:p w14:paraId="42218342" w14:textId="77777777" w:rsidR="00FD30FA" w:rsidRPr="00FD30FA" w:rsidRDefault="00FD30FA" w:rsidP="00FD30FA">
            <w:pPr>
              <w:pStyle w:val="06Tablebullet"/>
            </w:pPr>
            <w:r w:rsidRPr="00FD30FA">
              <w:t>health-related quality of life</w:t>
            </w:r>
          </w:p>
          <w:p w14:paraId="3CD5E426" w14:textId="1AB55F9C" w:rsidR="00587B61" w:rsidRPr="00D01587" w:rsidRDefault="00FD30FA" w:rsidP="00FD30FA">
            <w:pPr>
              <w:pStyle w:val="06Tablebullet"/>
            </w:pPr>
            <w:r w:rsidRPr="00FD30FA">
              <w:t>costs and cost-effectiveness</w:t>
            </w:r>
          </w:p>
        </w:tc>
      </w:tr>
      <w:tr w:rsidR="00587B61" w14:paraId="4CCDDBF3" w14:textId="77777777" w:rsidTr="006B2FBC">
        <w:tc>
          <w:tcPr>
            <w:tcW w:w="780" w:type="pct"/>
          </w:tcPr>
          <w:p w14:paraId="7A21561C" w14:textId="77777777" w:rsidR="00587B61" w:rsidRPr="00D01587" w:rsidRDefault="00587B61" w:rsidP="000375D5">
            <w:pPr>
              <w:pStyle w:val="02Tabletext"/>
              <w:keepNext w:val="0"/>
            </w:pPr>
            <w:r w:rsidRPr="00D01587">
              <w:t>Study design</w:t>
            </w:r>
          </w:p>
        </w:tc>
        <w:tc>
          <w:tcPr>
            <w:tcW w:w="4220" w:type="pct"/>
          </w:tcPr>
          <w:p w14:paraId="3A135839" w14:textId="77777777" w:rsidR="00FD30FA" w:rsidRDefault="00FD30FA" w:rsidP="00FD30FA">
            <w:pPr>
              <w:pStyle w:val="02Tabletext"/>
            </w:pPr>
            <w:r>
              <w:t>Comparative studies (randomised or non-randomised controlled trials, cohort studies, case control studies) or systematic reviews of comparative studies.</w:t>
            </w:r>
          </w:p>
          <w:p w14:paraId="29B2D624" w14:textId="53C6BEC8" w:rsidR="00587B61" w:rsidRPr="00D01587" w:rsidRDefault="00FD30FA" w:rsidP="00FD30FA">
            <w:pPr>
              <w:pStyle w:val="02Tabletext"/>
              <w:keepNext w:val="0"/>
            </w:pPr>
            <w:r>
              <w:t>Applicability to the Australian context will be considered</w:t>
            </w:r>
            <w:r w:rsidR="002E0E18">
              <w:t>.</w:t>
            </w:r>
          </w:p>
        </w:tc>
      </w:tr>
      <w:tr w:rsidR="00587B61" w14:paraId="6BB02D31" w14:textId="77777777" w:rsidTr="006B2FBC">
        <w:trPr>
          <w:cnfStyle w:val="000000010000" w:firstRow="0" w:lastRow="0" w:firstColumn="0" w:lastColumn="0" w:oddVBand="0" w:evenVBand="0" w:oddHBand="0" w:evenHBand="1" w:firstRowFirstColumn="0" w:firstRowLastColumn="0" w:lastRowFirstColumn="0" w:lastRowLastColumn="0"/>
        </w:trPr>
        <w:tc>
          <w:tcPr>
            <w:tcW w:w="780" w:type="pct"/>
          </w:tcPr>
          <w:p w14:paraId="107BCDF3" w14:textId="77777777" w:rsidR="00587B61" w:rsidRPr="00D01587" w:rsidRDefault="00587B61" w:rsidP="000375D5">
            <w:pPr>
              <w:pStyle w:val="02Tabletext"/>
              <w:keepNext w:val="0"/>
            </w:pPr>
            <w:r w:rsidRPr="00D01587">
              <w:t>Publication type</w:t>
            </w:r>
          </w:p>
        </w:tc>
        <w:tc>
          <w:tcPr>
            <w:tcW w:w="4220" w:type="pct"/>
          </w:tcPr>
          <w:p w14:paraId="7898A07E" w14:textId="77777777" w:rsidR="00587B61" w:rsidRPr="00D01587" w:rsidRDefault="00587B61" w:rsidP="000375D5">
            <w:pPr>
              <w:pStyle w:val="02Tabletext"/>
              <w:keepNext w:val="0"/>
            </w:pPr>
            <w:r w:rsidRPr="00D01587">
              <w:t xml:space="preserve">Full English-language publications or reports. </w:t>
            </w:r>
          </w:p>
          <w:p w14:paraId="1251EAFA" w14:textId="77777777" w:rsidR="00587B61" w:rsidRPr="00D01587" w:rsidRDefault="00587B61" w:rsidP="000375D5">
            <w:pPr>
              <w:pStyle w:val="02Tabletext"/>
              <w:keepNext w:val="0"/>
            </w:pPr>
            <w:r w:rsidRPr="00D01587">
              <w:t>Conference abstracts are excluded.</w:t>
            </w:r>
          </w:p>
        </w:tc>
      </w:tr>
      <w:tr w:rsidR="00FD30FA" w14:paraId="1980A181" w14:textId="77777777" w:rsidTr="006B2FBC">
        <w:tc>
          <w:tcPr>
            <w:tcW w:w="780" w:type="pct"/>
          </w:tcPr>
          <w:p w14:paraId="68A6CA63" w14:textId="48AF9DF8" w:rsidR="00FD30FA" w:rsidRPr="00D01587" w:rsidRDefault="00FD30FA" w:rsidP="00FD30FA">
            <w:pPr>
              <w:pStyle w:val="02Tabletext"/>
              <w:keepNext w:val="0"/>
            </w:pPr>
            <w:r>
              <w:t>Search period</w:t>
            </w:r>
          </w:p>
        </w:tc>
        <w:tc>
          <w:tcPr>
            <w:tcW w:w="4220" w:type="pct"/>
          </w:tcPr>
          <w:p w14:paraId="61AF3492" w14:textId="144C0631" w:rsidR="00FD30FA" w:rsidRPr="00D01587" w:rsidRDefault="00FD30FA" w:rsidP="00FD30FA">
            <w:pPr>
              <w:pStyle w:val="02Tabletext"/>
              <w:keepNext w:val="0"/>
            </w:pPr>
            <w:r w:rsidRPr="005D568A">
              <w:t>No year restrictions</w:t>
            </w:r>
          </w:p>
        </w:tc>
      </w:tr>
    </w:tbl>
    <w:p w14:paraId="60C2AFBA" w14:textId="305C61DB" w:rsidR="00587B61" w:rsidRDefault="00587B61" w:rsidP="00587B61">
      <w:pPr>
        <w:pStyle w:val="09Tablefootnoteslast-nostick"/>
      </w:pPr>
      <w:r w:rsidRPr="00D01587">
        <w:t>A</w:t>
      </w:r>
      <w:r w:rsidR="00961C36">
        <w:t xml:space="preserve">bbreviations: </w:t>
      </w:r>
      <w:r w:rsidRPr="00D01587">
        <w:t>ED, emergency departme</w:t>
      </w:r>
      <w:r w:rsidR="00961C36">
        <w:t>nt; GP, general practitioner; SS, Staged Supply.</w:t>
      </w:r>
    </w:p>
    <w:p w14:paraId="383576E4" w14:textId="761ED7E0" w:rsidR="0004245D" w:rsidRDefault="0004245D" w:rsidP="00AC3A3D">
      <w:pPr>
        <w:pStyle w:val="Heading3"/>
      </w:pPr>
      <w:bookmarkStart w:id="45" w:name="_Toc523236203"/>
      <w:r>
        <w:t>Search strategy</w:t>
      </w:r>
      <w:bookmarkEnd w:id="45"/>
    </w:p>
    <w:p w14:paraId="1E7F024A" w14:textId="1B736916" w:rsidR="00AC2006" w:rsidRDefault="0004245D" w:rsidP="0004245D">
      <w:pPr>
        <w:pStyle w:val="BodyText"/>
      </w:pPr>
      <w:r>
        <w:t>A comprehensive search of peer-reviewed scientific literature was conducted</w:t>
      </w:r>
      <w:r w:rsidR="00550139">
        <w:t xml:space="preserve"> in August 2016</w:t>
      </w:r>
      <w:r>
        <w:t xml:space="preserve"> to identify studies that provide evidence relating to the effectivene</w:t>
      </w:r>
      <w:r w:rsidR="00961C36">
        <w:t>ss</w:t>
      </w:r>
      <w:r w:rsidR="00BB3C76">
        <w:t>, costs</w:t>
      </w:r>
      <w:r w:rsidR="00961C36">
        <w:t xml:space="preserve"> and cost-effectiveness of SS</w:t>
      </w:r>
      <w:r w:rsidR="009D43BA">
        <w:t xml:space="preserve"> or similar </w:t>
      </w:r>
      <w:r w:rsidR="00961C36">
        <w:t>programs</w:t>
      </w:r>
      <w:r>
        <w:t xml:space="preserve"> </w:t>
      </w:r>
      <w:r w:rsidR="000F5965">
        <w:t xml:space="preserve">provided by pharmacists to </w:t>
      </w:r>
      <w:r w:rsidR="004F6B59">
        <w:t xml:space="preserve">individuals </w:t>
      </w:r>
      <w:r w:rsidR="00961C36">
        <w:t>living in the community. Four</w:t>
      </w:r>
      <w:r>
        <w:t xml:space="preserve"> electronic databases were searched for original research papers describing systematic reviews</w:t>
      </w:r>
      <w:r w:rsidR="00AC2006">
        <w:t>,</w:t>
      </w:r>
      <w:r>
        <w:t xml:space="preserve"> meta-analyses</w:t>
      </w:r>
      <w:r w:rsidR="00AC2006">
        <w:t>,</w:t>
      </w:r>
      <w:r>
        <w:t xml:space="preserve"> </w:t>
      </w:r>
      <w:r w:rsidR="00AC2006">
        <w:t xml:space="preserve">or </w:t>
      </w:r>
      <w:r>
        <w:t>comparative</w:t>
      </w:r>
      <w:r w:rsidR="0096359E">
        <w:t xml:space="preserve"> studies</w:t>
      </w:r>
      <w:r w:rsidR="00AC2006">
        <w:t xml:space="preserve">, </w:t>
      </w:r>
      <w:r>
        <w:t xml:space="preserve">as shown in </w:t>
      </w:r>
      <w:r w:rsidR="00B77FB0">
        <w:rPr>
          <w:highlight w:val="yellow"/>
        </w:rPr>
        <w:fldChar w:fldCharType="begin"/>
      </w:r>
      <w:r w:rsidR="00B77FB0">
        <w:instrText xml:space="preserve"> REF _Ref462129568 \h </w:instrText>
      </w:r>
      <w:r w:rsidR="00B77FB0">
        <w:rPr>
          <w:highlight w:val="yellow"/>
        </w:rPr>
      </w:r>
      <w:r w:rsidR="00B77FB0">
        <w:rPr>
          <w:highlight w:val="yellow"/>
        </w:rPr>
        <w:fldChar w:fldCharType="separate"/>
      </w:r>
      <w:r w:rsidR="006F3580">
        <w:t xml:space="preserve">Table </w:t>
      </w:r>
      <w:r w:rsidR="006F3580">
        <w:rPr>
          <w:noProof/>
        </w:rPr>
        <w:t>3</w:t>
      </w:r>
      <w:r w:rsidR="006F3580">
        <w:t>.</w:t>
      </w:r>
      <w:r w:rsidR="006F3580">
        <w:rPr>
          <w:noProof/>
        </w:rPr>
        <w:t>2</w:t>
      </w:r>
      <w:r w:rsidR="00B77FB0">
        <w:rPr>
          <w:highlight w:val="yellow"/>
        </w:rPr>
        <w:fldChar w:fldCharType="end"/>
      </w:r>
      <w:r>
        <w:t xml:space="preserve">. The search of </w:t>
      </w:r>
      <w:r w:rsidR="0096359E">
        <w:t xml:space="preserve">Medline, </w:t>
      </w:r>
      <w:proofErr w:type="spellStart"/>
      <w:r w:rsidR="0096359E">
        <w:t>Embase</w:t>
      </w:r>
      <w:proofErr w:type="spellEnd"/>
      <w:r w:rsidR="0096359E">
        <w:t>, International Pharmaceutical Abstracts,</w:t>
      </w:r>
      <w:r>
        <w:t xml:space="preserve"> and the Cochrane Library was </w:t>
      </w:r>
      <w:r w:rsidR="0096359E">
        <w:t>un</w:t>
      </w:r>
      <w:r>
        <w:t xml:space="preserve">restricted by </w:t>
      </w:r>
      <w:r w:rsidR="0096359E">
        <w:t>date and was searched up to 23</w:t>
      </w:r>
      <w:r w:rsidR="002E0E18" w:rsidRPr="002E0E18">
        <w:rPr>
          <w:vertAlign w:val="superscript"/>
        </w:rPr>
        <w:t>rd</w:t>
      </w:r>
      <w:r w:rsidR="0096359E">
        <w:t xml:space="preserve"> August 2016</w:t>
      </w:r>
      <w:r>
        <w:t xml:space="preserve">. The specific search terms used to identify relevant literature are outlined in </w:t>
      </w:r>
      <w:r w:rsidRPr="002E0E18">
        <w:t xml:space="preserve">Appendix </w:t>
      </w:r>
      <w:r w:rsidR="00FD47B1" w:rsidRPr="002E0E18">
        <w:t>3</w:t>
      </w:r>
      <w:r w:rsidRPr="002E0E18">
        <w:t>.</w:t>
      </w:r>
      <w:r w:rsidR="0096359E">
        <w:t xml:space="preserve"> </w:t>
      </w:r>
    </w:p>
    <w:p w14:paraId="4B04B500" w14:textId="4380D0BF" w:rsidR="00C35125" w:rsidRDefault="009D43BA" w:rsidP="0004245D">
      <w:pPr>
        <w:pStyle w:val="BodyText"/>
      </w:pPr>
      <w:r>
        <w:t xml:space="preserve">The </w:t>
      </w:r>
      <w:r w:rsidRPr="009D43BA">
        <w:t>Health Systems Evidence database</w:t>
      </w:r>
      <w:r>
        <w:t xml:space="preserve"> </w:t>
      </w:r>
      <w:r w:rsidR="00AC2006">
        <w:t xml:space="preserve">(McMaster Health Forum) </w:t>
      </w:r>
      <w:r>
        <w:t>and d</w:t>
      </w:r>
      <w:r w:rsidRPr="009D43BA">
        <w:t>atabases maintained by Health Technology Assessment (HTA) agencies</w:t>
      </w:r>
      <w:r w:rsidR="00C35125">
        <w:rPr>
          <w:rStyle w:val="FootnoteReference"/>
        </w:rPr>
        <w:footnoteReference w:id="1"/>
      </w:r>
      <w:r w:rsidRPr="009D43BA">
        <w:t xml:space="preserve"> were also searched </w:t>
      </w:r>
      <w:r>
        <w:t xml:space="preserve">to identify relevant literature. </w:t>
      </w:r>
    </w:p>
    <w:p w14:paraId="22E6CB52" w14:textId="5EDD2096" w:rsidR="0004245D" w:rsidRDefault="0096359E" w:rsidP="0004245D">
      <w:pPr>
        <w:pStyle w:val="BodyText"/>
      </w:pPr>
      <w:r>
        <w:t xml:space="preserve">A </w:t>
      </w:r>
      <w:r w:rsidR="00C35125">
        <w:t>search of pharmacy organisations</w:t>
      </w:r>
      <w:r w:rsidR="009A4CB6">
        <w:rPr>
          <w:rStyle w:val="FootnoteReference"/>
        </w:rPr>
        <w:footnoteReference w:id="2"/>
      </w:r>
      <w:r w:rsidR="00C35125">
        <w:t xml:space="preserve"> and the </w:t>
      </w:r>
      <w:r>
        <w:t xml:space="preserve">grey literature was also performed to identify previous evaluations of the </w:t>
      </w:r>
      <w:r w:rsidR="00961C36">
        <w:t xml:space="preserve">SS </w:t>
      </w:r>
      <w:r w:rsidR="00327F8F">
        <w:t>initiative</w:t>
      </w:r>
      <w:r w:rsidR="00AC2006">
        <w:t xml:space="preserve"> in Australia</w:t>
      </w:r>
      <w:r>
        <w:t xml:space="preserve">, </w:t>
      </w:r>
      <w:r w:rsidR="009D43BA">
        <w:t xml:space="preserve">and </w:t>
      </w:r>
      <w:r w:rsidR="009D43BA" w:rsidRPr="009D43BA">
        <w:t>similar community pharmacist-led program</w:t>
      </w:r>
      <w:r w:rsidR="00AC2006">
        <w:t>s</w:t>
      </w:r>
      <w:r w:rsidR="009D43BA" w:rsidRPr="009D43BA">
        <w:t xml:space="preserve"> </w:t>
      </w:r>
      <w:r>
        <w:t>from other jurisdictions.</w:t>
      </w:r>
      <w:r w:rsidR="006D57BB">
        <w:t xml:space="preserve"> The reference lists of evaluation reports were examined to identify studies not otherwise found in the literature searches.</w:t>
      </w:r>
      <w:r>
        <w:t xml:space="preserve"> </w:t>
      </w:r>
    </w:p>
    <w:p w14:paraId="3C79FFE0" w14:textId="186F20A4" w:rsidR="009D43BA" w:rsidRDefault="009D43BA" w:rsidP="009D43BA">
      <w:pPr>
        <w:pStyle w:val="Caption"/>
      </w:pPr>
      <w:bookmarkStart w:id="46" w:name="_Ref462129568"/>
      <w:bookmarkStart w:id="47" w:name="_Toc467155923"/>
      <w:r>
        <w:lastRenderedPageBreak/>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3</w:t>
      </w:r>
      <w:r w:rsidR="00872B71">
        <w:rPr>
          <w:noProof/>
        </w:rPr>
        <w:fldChar w:fldCharType="end"/>
      </w:r>
      <w:r w:rsidR="00542F4A">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2</w:t>
      </w:r>
      <w:r w:rsidR="00872B71">
        <w:rPr>
          <w:noProof/>
        </w:rPr>
        <w:fldChar w:fldCharType="end"/>
      </w:r>
      <w:bookmarkEnd w:id="46"/>
      <w:r w:rsidR="006D57BB">
        <w:tab/>
        <w:t>Data</w:t>
      </w:r>
      <w:r>
        <w:t>bases searched</w:t>
      </w:r>
      <w:bookmarkEnd w:id="47"/>
    </w:p>
    <w:tbl>
      <w:tblPr>
        <w:tblStyle w:val="TableGrid"/>
        <w:tblW w:w="5000" w:type="pct"/>
        <w:tblLook w:val="04A0" w:firstRow="1" w:lastRow="0" w:firstColumn="1" w:lastColumn="0" w:noHBand="0" w:noVBand="1"/>
        <w:tblCaption w:val="Table 3.2"/>
        <w:tblDescription w:val="Databases searched showing search period."/>
      </w:tblPr>
      <w:tblGrid>
        <w:gridCol w:w="7225"/>
        <w:gridCol w:w="2403"/>
      </w:tblGrid>
      <w:tr w:rsidR="009D43BA" w14:paraId="2772C046" w14:textId="77777777" w:rsidTr="006B2FBC">
        <w:trPr>
          <w:cnfStyle w:val="100000000000" w:firstRow="1" w:lastRow="0" w:firstColumn="0" w:lastColumn="0" w:oddVBand="0" w:evenVBand="0" w:oddHBand="0" w:evenHBand="0" w:firstRowFirstColumn="0" w:firstRowLastColumn="0" w:lastRowFirstColumn="0" w:lastRowLastColumn="0"/>
        </w:trPr>
        <w:tc>
          <w:tcPr>
            <w:tcW w:w="3752" w:type="pct"/>
            <w:vAlign w:val="center"/>
          </w:tcPr>
          <w:p w14:paraId="5AAF3257" w14:textId="41A22308" w:rsidR="009D43BA" w:rsidRPr="006B2FBC" w:rsidRDefault="009D43BA" w:rsidP="006B2FBC">
            <w:pPr>
              <w:pStyle w:val="01Tableheadingorsubheading"/>
            </w:pPr>
            <w:r>
              <w:t>Database</w:t>
            </w:r>
          </w:p>
        </w:tc>
        <w:tc>
          <w:tcPr>
            <w:tcW w:w="1248" w:type="pct"/>
            <w:vAlign w:val="center"/>
          </w:tcPr>
          <w:p w14:paraId="0E2B1FE1" w14:textId="5903DF31" w:rsidR="009D43BA" w:rsidRDefault="00A5471D" w:rsidP="006B2FBC">
            <w:pPr>
              <w:pStyle w:val="01Tableheadingorsubheading"/>
              <w:jc w:val="center"/>
            </w:pPr>
            <w:r w:rsidRPr="006B2FBC">
              <w:t>Search</w:t>
            </w:r>
            <w:r>
              <w:t xml:space="preserve"> period</w:t>
            </w:r>
          </w:p>
        </w:tc>
      </w:tr>
      <w:tr w:rsidR="009D43BA" w14:paraId="79B21BB0" w14:textId="77777777" w:rsidTr="006B2FBC">
        <w:tc>
          <w:tcPr>
            <w:tcW w:w="3752" w:type="pct"/>
          </w:tcPr>
          <w:p w14:paraId="7847067B" w14:textId="0AA5D337" w:rsidR="009D43BA" w:rsidRDefault="00A5471D" w:rsidP="009D43BA">
            <w:pPr>
              <w:pStyle w:val="02Tabletext"/>
            </w:pPr>
            <w:proofErr w:type="spellStart"/>
            <w:r>
              <w:t>Embase</w:t>
            </w:r>
            <w:proofErr w:type="spellEnd"/>
            <w:r>
              <w:t xml:space="preserve"> via Ovid</w:t>
            </w:r>
          </w:p>
        </w:tc>
        <w:tc>
          <w:tcPr>
            <w:tcW w:w="1248" w:type="pct"/>
          </w:tcPr>
          <w:p w14:paraId="57D0A0B5" w14:textId="61417306" w:rsidR="009D43BA" w:rsidRDefault="00A5471D" w:rsidP="009D43BA">
            <w:pPr>
              <w:pStyle w:val="02Tabletext"/>
            </w:pPr>
            <w:r>
              <w:t>Up to 23 August 2016</w:t>
            </w:r>
          </w:p>
        </w:tc>
      </w:tr>
      <w:tr w:rsidR="009D43BA" w14:paraId="6F4D00FC" w14:textId="77777777" w:rsidTr="006B2FBC">
        <w:trPr>
          <w:cnfStyle w:val="000000010000" w:firstRow="0" w:lastRow="0" w:firstColumn="0" w:lastColumn="0" w:oddVBand="0" w:evenVBand="0" w:oddHBand="0" w:evenHBand="1" w:firstRowFirstColumn="0" w:firstRowLastColumn="0" w:lastRowFirstColumn="0" w:lastRowLastColumn="0"/>
        </w:trPr>
        <w:tc>
          <w:tcPr>
            <w:tcW w:w="3752" w:type="pct"/>
          </w:tcPr>
          <w:p w14:paraId="40DD2A45" w14:textId="7091BFF5" w:rsidR="009D43BA" w:rsidRDefault="009D43BA" w:rsidP="009D43BA">
            <w:pPr>
              <w:pStyle w:val="02Tabletext"/>
            </w:pPr>
            <w:r>
              <w:t xml:space="preserve">Medline via </w:t>
            </w:r>
            <w:r w:rsidR="00A5471D">
              <w:t>Ovid</w:t>
            </w:r>
          </w:p>
        </w:tc>
        <w:tc>
          <w:tcPr>
            <w:tcW w:w="1248" w:type="pct"/>
          </w:tcPr>
          <w:p w14:paraId="7FAB724D" w14:textId="4C3A6AD5" w:rsidR="009D43BA" w:rsidRDefault="00A5471D" w:rsidP="009D43BA">
            <w:pPr>
              <w:pStyle w:val="02Tabletext"/>
            </w:pPr>
            <w:r w:rsidRPr="00A5471D">
              <w:t>Up to 23 August 2016</w:t>
            </w:r>
          </w:p>
        </w:tc>
      </w:tr>
      <w:tr w:rsidR="009D43BA" w14:paraId="0F116EE2" w14:textId="77777777" w:rsidTr="006B2FBC">
        <w:tc>
          <w:tcPr>
            <w:tcW w:w="3752" w:type="pct"/>
          </w:tcPr>
          <w:p w14:paraId="782BBE0D" w14:textId="4BC259E4" w:rsidR="009D43BA" w:rsidRDefault="009D43BA" w:rsidP="009D43BA">
            <w:pPr>
              <w:pStyle w:val="02Tabletext"/>
            </w:pPr>
            <w:r>
              <w:t>International Pha</w:t>
            </w:r>
            <w:r w:rsidR="00813E97">
              <w:t>r</w:t>
            </w:r>
            <w:r>
              <w:t xml:space="preserve">maceutical Abstracts </w:t>
            </w:r>
            <w:r w:rsidR="00A5471D">
              <w:t>via Ovid</w:t>
            </w:r>
          </w:p>
        </w:tc>
        <w:tc>
          <w:tcPr>
            <w:tcW w:w="1248" w:type="pct"/>
          </w:tcPr>
          <w:p w14:paraId="4126F853" w14:textId="21140640" w:rsidR="009D43BA" w:rsidRDefault="00A5471D" w:rsidP="009D43BA">
            <w:pPr>
              <w:pStyle w:val="02Tabletext"/>
            </w:pPr>
            <w:r w:rsidRPr="00A5471D">
              <w:t>Up to 23 August 2016</w:t>
            </w:r>
          </w:p>
        </w:tc>
      </w:tr>
      <w:tr w:rsidR="00A5471D" w14:paraId="0BDB84FA" w14:textId="77777777" w:rsidTr="006B2FBC">
        <w:trPr>
          <w:cnfStyle w:val="000000010000" w:firstRow="0" w:lastRow="0" w:firstColumn="0" w:lastColumn="0" w:oddVBand="0" w:evenVBand="0" w:oddHBand="0" w:evenHBand="1" w:firstRowFirstColumn="0" w:firstRowLastColumn="0" w:lastRowFirstColumn="0" w:lastRowLastColumn="0"/>
        </w:trPr>
        <w:tc>
          <w:tcPr>
            <w:tcW w:w="3752" w:type="pct"/>
          </w:tcPr>
          <w:p w14:paraId="1FC46799" w14:textId="5C6137FD" w:rsidR="00A5471D" w:rsidRPr="009D43BA" w:rsidRDefault="006B6FB0" w:rsidP="009D43BA">
            <w:pPr>
              <w:pStyle w:val="02Tabletext"/>
            </w:pPr>
            <w:r w:rsidRPr="006B6FB0">
              <w:t>The Cochrane Library (includes Cochrane Database of Systematic Reviews, Database of Abstracts of Reviews of Effects, Cochrane Central Register of Controlled Trials, NHS Economic Evaluation Database, Health Technology Assessment, Cochrane Methodology Register)</w:t>
            </w:r>
          </w:p>
        </w:tc>
        <w:tc>
          <w:tcPr>
            <w:tcW w:w="1248" w:type="pct"/>
          </w:tcPr>
          <w:p w14:paraId="4CC710C7" w14:textId="6D92CFB8" w:rsidR="00A5471D" w:rsidRDefault="00A5471D" w:rsidP="009D43BA">
            <w:pPr>
              <w:pStyle w:val="02Tabletext"/>
            </w:pPr>
            <w:r w:rsidRPr="00A5471D">
              <w:t>Up to 23 August 2016</w:t>
            </w:r>
          </w:p>
        </w:tc>
      </w:tr>
      <w:tr w:rsidR="009D43BA" w14:paraId="19B27871" w14:textId="77777777" w:rsidTr="006B2FBC">
        <w:tc>
          <w:tcPr>
            <w:tcW w:w="3752" w:type="pct"/>
          </w:tcPr>
          <w:p w14:paraId="2AD788B4" w14:textId="6517B190" w:rsidR="009D43BA" w:rsidRDefault="00A5471D" w:rsidP="009D43BA">
            <w:pPr>
              <w:pStyle w:val="02Tabletext"/>
            </w:pPr>
            <w:r w:rsidRPr="00A5471D">
              <w:t>Health Systems Evidence</w:t>
            </w:r>
          </w:p>
        </w:tc>
        <w:tc>
          <w:tcPr>
            <w:tcW w:w="1248" w:type="pct"/>
          </w:tcPr>
          <w:p w14:paraId="29A42880" w14:textId="240EB0E7" w:rsidR="009D43BA" w:rsidRDefault="00A5471D" w:rsidP="009D43BA">
            <w:pPr>
              <w:pStyle w:val="02Tabletext"/>
            </w:pPr>
            <w:r>
              <w:t>Up to 14 September</w:t>
            </w:r>
            <w:r w:rsidRPr="00A5471D">
              <w:t xml:space="preserve"> 2016</w:t>
            </w:r>
          </w:p>
        </w:tc>
      </w:tr>
      <w:tr w:rsidR="009D43BA" w14:paraId="470B14C4" w14:textId="77777777" w:rsidTr="006B2FBC">
        <w:trPr>
          <w:cnfStyle w:val="000000010000" w:firstRow="0" w:lastRow="0" w:firstColumn="0" w:lastColumn="0" w:oddVBand="0" w:evenVBand="0" w:oddHBand="0" w:evenHBand="1" w:firstRowFirstColumn="0" w:firstRowLastColumn="0" w:lastRowFirstColumn="0" w:lastRowLastColumn="0"/>
        </w:trPr>
        <w:tc>
          <w:tcPr>
            <w:tcW w:w="3752" w:type="pct"/>
          </w:tcPr>
          <w:p w14:paraId="6EC33488" w14:textId="3D74D378" w:rsidR="009D43BA" w:rsidRDefault="00A5471D" w:rsidP="00C35125">
            <w:pPr>
              <w:pStyle w:val="02Tabletext"/>
            </w:pPr>
            <w:r w:rsidRPr="00A5471D">
              <w:t>HTA websites and databases</w:t>
            </w:r>
          </w:p>
        </w:tc>
        <w:tc>
          <w:tcPr>
            <w:tcW w:w="1248" w:type="pct"/>
          </w:tcPr>
          <w:p w14:paraId="51C3290F" w14:textId="7CFAC11F" w:rsidR="009D43BA" w:rsidRDefault="00A5471D" w:rsidP="009D43BA">
            <w:pPr>
              <w:pStyle w:val="02Tabletext"/>
            </w:pPr>
            <w:r>
              <w:t xml:space="preserve">Up to 14 September </w:t>
            </w:r>
            <w:r w:rsidRPr="00A5471D">
              <w:t>2016</w:t>
            </w:r>
          </w:p>
        </w:tc>
      </w:tr>
    </w:tbl>
    <w:p w14:paraId="36B53AEF" w14:textId="769A9E0E" w:rsidR="003B7D49" w:rsidRDefault="000375D5" w:rsidP="00312031">
      <w:pPr>
        <w:pStyle w:val="Heading3"/>
      </w:pPr>
      <w:bookmarkStart w:id="48" w:name="_Toc523236204"/>
      <w:r>
        <w:t>Selection of relevant evidence</w:t>
      </w:r>
      <w:bookmarkEnd w:id="48"/>
    </w:p>
    <w:p w14:paraId="61A2C342" w14:textId="768C4F0B" w:rsidR="003B7D49" w:rsidRDefault="003B7D49" w:rsidP="006D57BB">
      <w:pPr>
        <w:pStyle w:val="Bodytextbeforebullets"/>
      </w:pPr>
      <w:r>
        <w:t xml:space="preserve">The literature search outlined above identified </w:t>
      </w:r>
      <w:r w:rsidR="00DA2970">
        <w:t xml:space="preserve">48 </w:t>
      </w:r>
      <w:r w:rsidR="006D57BB">
        <w:t>unique citations. The following</w:t>
      </w:r>
      <w:r w:rsidR="00671164">
        <w:t xml:space="preserve"> a priori</w:t>
      </w:r>
      <w:r w:rsidR="006D57BB">
        <w:t xml:space="preserve"> exclusion criteria were applied: </w:t>
      </w:r>
    </w:p>
    <w:p w14:paraId="2E5024FB" w14:textId="4D232A72" w:rsidR="00BB3C76" w:rsidRDefault="00BB3C76" w:rsidP="00BB3C76">
      <w:pPr>
        <w:pStyle w:val="Bullettext"/>
      </w:pPr>
      <w:r>
        <w:t>Wrong population – excludes</w:t>
      </w:r>
      <w:r w:rsidR="00BE6E89">
        <w:t xml:space="preserve"> residential aged care facility</w:t>
      </w:r>
      <w:r>
        <w:t xml:space="preserve"> </w:t>
      </w:r>
      <w:r w:rsidR="00BE6E89">
        <w:t xml:space="preserve">(RACF) </w:t>
      </w:r>
      <w:r>
        <w:t>patients and hospital inpatients.</w:t>
      </w:r>
    </w:p>
    <w:p w14:paraId="7915BF3A" w14:textId="6A2DBA7F" w:rsidR="00BC55C3" w:rsidRDefault="003B7D49" w:rsidP="00BC55C3">
      <w:pPr>
        <w:pStyle w:val="Bullettext"/>
      </w:pPr>
      <w:r>
        <w:t xml:space="preserve">Wrong intervention – excludes </w:t>
      </w:r>
      <w:r w:rsidR="00BC55C3">
        <w:t>studies</w:t>
      </w:r>
      <w:r>
        <w:t xml:space="preserve"> </w:t>
      </w:r>
      <w:r w:rsidR="00BC55C3">
        <w:t xml:space="preserve">that </w:t>
      </w:r>
      <w:r w:rsidR="006D57BB">
        <w:t>did not examine a SS service or similar intervention</w:t>
      </w:r>
      <w:r w:rsidR="00BF76E6">
        <w:t>, and s</w:t>
      </w:r>
      <w:r w:rsidR="006D57BB">
        <w:t>tudies that examined the supply of medicines</w:t>
      </w:r>
      <w:r w:rsidR="006D57BB" w:rsidRPr="00A47FFB">
        <w:t xml:space="preserve"> related to opioid substitution therapy.</w:t>
      </w:r>
    </w:p>
    <w:p w14:paraId="3332A32B" w14:textId="105A286A" w:rsidR="00BC55C3" w:rsidRDefault="003B7D49" w:rsidP="003B7D49">
      <w:pPr>
        <w:pStyle w:val="Bullettext"/>
      </w:pPr>
      <w:r>
        <w:t xml:space="preserve">Wrong comparator – excludes </w:t>
      </w:r>
      <w:r w:rsidR="00BC55C3">
        <w:t xml:space="preserve">studies that compared </w:t>
      </w:r>
      <w:r w:rsidR="00DA2970">
        <w:t>SS with other pharmacy-led programs</w:t>
      </w:r>
      <w:r w:rsidR="00BC55C3">
        <w:t>.</w:t>
      </w:r>
    </w:p>
    <w:p w14:paraId="111A31AA" w14:textId="2722A122" w:rsidR="00C10E34" w:rsidRPr="00671164" w:rsidRDefault="003B7D49" w:rsidP="003B7D49">
      <w:pPr>
        <w:pStyle w:val="Bullettext"/>
      </w:pPr>
      <w:r w:rsidRPr="00671164">
        <w:t xml:space="preserve">Wrong outcomes – excludes </w:t>
      </w:r>
      <w:r w:rsidR="00C10E34" w:rsidRPr="00671164">
        <w:t>studies</w:t>
      </w:r>
      <w:r w:rsidRPr="00671164">
        <w:t xml:space="preserve"> that do not assess one of the outcomes outlined in Section </w:t>
      </w:r>
      <w:r w:rsidR="00AE66D1" w:rsidRPr="00671164">
        <w:fldChar w:fldCharType="begin"/>
      </w:r>
      <w:r w:rsidR="00AE66D1" w:rsidRPr="00671164">
        <w:instrText xml:space="preserve"> REF _Ref462135430 \r \h </w:instrText>
      </w:r>
      <w:r w:rsidR="00671164">
        <w:instrText xml:space="preserve"> \* MERGEFORMAT </w:instrText>
      </w:r>
      <w:r w:rsidR="00AE66D1" w:rsidRPr="00671164">
        <w:fldChar w:fldCharType="separate"/>
      </w:r>
      <w:r w:rsidR="006F3580">
        <w:t>3.1.1</w:t>
      </w:r>
      <w:r w:rsidR="00AE66D1" w:rsidRPr="00671164">
        <w:fldChar w:fldCharType="end"/>
      </w:r>
      <w:r w:rsidR="00C10E34" w:rsidRPr="00671164">
        <w:t>.</w:t>
      </w:r>
    </w:p>
    <w:p w14:paraId="620F66DD" w14:textId="062FDC00" w:rsidR="00C10E34" w:rsidRDefault="003B7D49" w:rsidP="003B7D49">
      <w:pPr>
        <w:pStyle w:val="Bullettext"/>
      </w:pPr>
      <w:r w:rsidRPr="00671164">
        <w:t>Not in English –</w:t>
      </w:r>
      <w:r>
        <w:t xml:space="preserve"> excludes </w:t>
      </w:r>
      <w:r w:rsidR="00C10E34">
        <w:t>studies</w:t>
      </w:r>
      <w:r>
        <w:t xml:space="preserve"> not published in English</w:t>
      </w:r>
      <w:r w:rsidR="00C10E34">
        <w:t xml:space="preserve"> </w:t>
      </w:r>
      <w:r w:rsidR="009A4CB6">
        <w:t xml:space="preserve">language </w:t>
      </w:r>
      <w:r w:rsidR="00C10E34">
        <w:t>or those</w:t>
      </w:r>
      <w:r>
        <w:t xml:space="preserve"> that do not include at least some information (e.g. a summary) in English.</w:t>
      </w:r>
    </w:p>
    <w:p w14:paraId="64661520" w14:textId="20B3CF04" w:rsidR="00A5471D" w:rsidRDefault="003B7D49" w:rsidP="003B7D49">
      <w:pPr>
        <w:pStyle w:val="BodyText"/>
      </w:pPr>
      <w:r>
        <w:t>The exclusion of citations from the searc</w:t>
      </w:r>
      <w:r w:rsidR="00C10E34">
        <w:t xml:space="preserve">hes is presented in </w:t>
      </w:r>
      <w:r w:rsidR="00B77FB0">
        <w:rPr>
          <w:highlight w:val="yellow"/>
        </w:rPr>
        <w:fldChar w:fldCharType="begin"/>
      </w:r>
      <w:r w:rsidR="00B77FB0">
        <w:instrText xml:space="preserve"> REF _Ref462129547 \h </w:instrText>
      </w:r>
      <w:r w:rsidR="00B77FB0">
        <w:rPr>
          <w:highlight w:val="yellow"/>
        </w:rPr>
      </w:r>
      <w:r w:rsidR="00B77FB0">
        <w:rPr>
          <w:highlight w:val="yellow"/>
        </w:rPr>
        <w:fldChar w:fldCharType="separate"/>
      </w:r>
      <w:r w:rsidR="006F3580">
        <w:t xml:space="preserve">Table </w:t>
      </w:r>
      <w:r w:rsidR="006F3580">
        <w:rPr>
          <w:noProof/>
        </w:rPr>
        <w:t>3</w:t>
      </w:r>
      <w:r w:rsidR="006F3580">
        <w:t>.</w:t>
      </w:r>
      <w:r w:rsidR="006F3580">
        <w:rPr>
          <w:noProof/>
        </w:rPr>
        <w:t>3</w:t>
      </w:r>
      <w:r w:rsidR="00B77FB0">
        <w:rPr>
          <w:highlight w:val="yellow"/>
        </w:rPr>
        <w:fldChar w:fldCharType="end"/>
      </w:r>
      <w:r w:rsidR="00E45853" w:rsidRPr="00E45853">
        <w:t>.</w:t>
      </w:r>
    </w:p>
    <w:p w14:paraId="51228389" w14:textId="0253F991" w:rsidR="00427C49" w:rsidRDefault="00427C49" w:rsidP="00344F45">
      <w:pPr>
        <w:pStyle w:val="Caption"/>
      </w:pPr>
      <w:bookmarkStart w:id="49" w:name="_Ref462129547"/>
      <w:bookmarkStart w:id="50" w:name="_Toc467155924"/>
      <w:r>
        <w:lastRenderedPageBreak/>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3</w:t>
      </w:r>
      <w:r w:rsidR="00872B71">
        <w:rPr>
          <w:noProof/>
        </w:rPr>
        <w:fldChar w:fldCharType="end"/>
      </w:r>
      <w:r w:rsidR="00542F4A">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3</w:t>
      </w:r>
      <w:r w:rsidR="00872B71">
        <w:rPr>
          <w:noProof/>
        </w:rPr>
        <w:fldChar w:fldCharType="end"/>
      </w:r>
      <w:bookmarkEnd w:id="49"/>
      <w:r>
        <w:tab/>
      </w:r>
      <w:r w:rsidR="00344F45" w:rsidRPr="00344F45">
        <w:t xml:space="preserve">Summary of the process used to identify relevant </w:t>
      </w:r>
      <w:r w:rsidR="006C1BAE">
        <w:t>studies and reports</w:t>
      </w:r>
      <w:bookmarkEnd w:id="50"/>
    </w:p>
    <w:tbl>
      <w:tblPr>
        <w:tblStyle w:val="TableGrid"/>
        <w:tblW w:w="5000" w:type="pct"/>
        <w:tblLook w:val="04A0" w:firstRow="1" w:lastRow="0" w:firstColumn="1" w:lastColumn="0" w:noHBand="0" w:noVBand="1"/>
        <w:tblCaption w:val="Table 3.3"/>
        <w:tblDescription w:val="Summary of the process used to identify relevant studies and reports. Table consists of Description; Embase, Medline, International Pharmaceutical Abstracts, Cochrane Library; Hand searched references; Health System Evidence; and Grey literature."/>
      </w:tblPr>
      <w:tblGrid>
        <w:gridCol w:w="3158"/>
        <w:gridCol w:w="2422"/>
        <w:gridCol w:w="1529"/>
        <w:gridCol w:w="1346"/>
        <w:gridCol w:w="1173"/>
      </w:tblGrid>
      <w:tr w:rsidR="00C709FE" w:rsidRPr="001D03D5" w14:paraId="4D58CC60" w14:textId="3D5B8298" w:rsidTr="006B2FBC">
        <w:trPr>
          <w:cnfStyle w:val="100000000000" w:firstRow="1" w:lastRow="0" w:firstColumn="0" w:lastColumn="0" w:oddVBand="0" w:evenVBand="0" w:oddHBand="0" w:evenHBand="0" w:firstRowFirstColumn="0" w:firstRowLastColumn="0" w:lastRowFirstColumn="0" w:lastRowLastColumn="0"/>
        </w:trPr>
        <w:tc>
          <w:tcPr>
            <w:tcW w:w="1640" w:type="pct"/>
            <w:vAlign w:val="center"/>
          </w:tcPr>
          <w:p w14:paraId="18D201FB" w14:textId="744E898D" w:rsidR="00C709FE" w:rsidRPr="001D03D5" w:rsidRDefault="00C709FE" w:rsidP="006B2FBC">
            <w:pPr>
              <w:pStyle w:val="01Tableheaderrow"/>
            </w:pPr>
            <w:r w:rsidRPr="001D03D5">
              <w:t>Description</w:t>
            </w:r>
          </w:p>
        </w:tc>
        <w:tc>
          <w:tcPr>
            <w:tcW w:w="1258" w:type="pct"/>
            <w:vAlign w:val="center"/>
          </w:tcPr>
          <w:p w14:paraId="3EB553B3" w14:textId="0E797DA6" w:rsidR="00C709FE" w:rsidRPr="001D03D5" w:rsidRDefault="00C709FE" w:rsidP="006B2FBC">
            <w:pPr>
              <w:pStyle w:val="01Tableheaderrow"/>
              <w:jc w:val="center"/>
            </w:pPr>
            <w:proofErr w:type="spellStart"/>
            <w:r w:rsidRPr="001D03D5">
              <w:t>Embase</w:t>
            </w:r>
            <w:proofErr w:type="spellEnd"/>
            <w:r w:rsidRPr="001D03D5">
              <w:t>, Medline, International Pharmaceutical Abstracts, Cochrane Library</w:t>
            </w:r>
          </w:p>
        </w:tc>
        <w:tc>
          <w:tcPr>
            <w:tcW w:w="794" w:type="pct"/>
            <w:vAlign w:val="center"/>
          </w:tcPr>
          <w:p w14:paraId="5961681B" w14:textId="11AE9A7F" w:rsidR="00C709FE" w:rsidRPr="001D03D5" w:rsidRDefault="00C709FE" w:rsidP="006B2FBC">
            <w:pPr>
              <w:pStyle w:val="01Tableheaderrow"/>
              <w:jc w:val="center"/>
            </w:pPr>
            <w:r w:rsidRPr="001D03D5">
              <w:t>Hand searched references</w:t>
            </w:r>
          </w:p>
        </w:tc>
        <w:tc>
          <w:tcPr>
            <w:tcW w:w="699" w:type="pct"/>
            <w:vAlign w:val="center"/>
          </w:tcPr>
          <w:p w14:paraId="67471E66" w14:textId="43C74B34" w:rsidR="00C709FE" w:rsidRPr="001D03D5" w:rsidRDefault="00C709FE" w:rsidP="006B2FBC">
            <w:pPr>
              <w:pStyle w:val="01Tableheaderrow"/>
              <w:jc w:val="center"/>
            </w:pPr>
            <w:r w:rsidRPr="001D03D5">
              <w:t>Health System Evidence</w:t>
            </w:r>
          </w:p>
        </w:tc>
        <w:tc>
          <w:tcPr>
            <w:tcW w:w="610" w:type="pct"/>
            <w:vAlign w:val="center"/>
          </w:tcPr>
          <w:p w14:paraId="7AADD223" w14:textId="1CC391A8" w:rsidR="00C709FE" w:rsidRPr="001D03D5" w:rsidRDefault="00C709FE" w:rsidP="006B2FBC">
            <w:pPr>
              <w:pStyle w:val="01Tableheaderrow"/>
              <w:jc w:val="center"/>
            </w:pPr>
            <w:r w:rsidRPr="001D03D5">
              <w:t>Grey literature</w:t>
            </w:r>
          </w:p>
        </w:tc>
      </w:tr>
      <w:tr w:rsidR="00C709FE" w:rsidRPr="001D03D5" w14:paraId="4BE1E95A" w14:textId="79638F82" w:rsidTr="006B2FBC">
        <w:tc>
          <w:tcPr>
            <w:tcW w:w="1640" w:type="pct"/>
          </w:tcPr>
          <w:p w14:paraId="62A54A40" w14:textId="3A7B0DB0" w:rsidR="00C709FE" w:rsidRPr="001D03D5" w:rsidRDefault="00C709FE" w:rsidP="00344F45">
            <w:pPr>
              <w:pStyle w:val="02Tabletext"/>
              <w:rPr>
                <w:b/>
              </w:rPr>
            </w:pPr>
            <w:r w:rsidRPr="001D03D5">
              <w:rPr>
                <w:b/>
              </w:rPr>
              <w:t xml:space="preserve">Total number of citations </w:t>
            </w:r>
          </w:p>
        </w:tc>
        <w:tc>
          <w:tcPr>
            <w:tcW w:w="1258" w:type="pct"/>
            <w:tcBorders>
              <w:bottom w:val="single" w:sz="4" w:space="0" w:color="auto"/>
            </w:tcBorders>
          </w:tcPr>
          <w:p w14:paraId="4B20FEF5" w14:textId="243B1F73" w:rsidR="00C709FE" w:rsidRPr="001D03D5" w:rsidRDefault="001D03D5" w:rsidP="003545FC">
            <w:pPr>
              <w:pStyle w:val="02Tabletext"/>
              <w:jc w:val="center"/>
            </w:pPr>
            <w:r>
              <w:t>47</w:t>
            </w:r>
          </w:p>
        </w:tc>
        <w:tc>
          <w:tcPr>
            <w:tcW w:w="794" w:type="pct"/>
            <w:tcBorders>
              <w:bottom w:val="single" w:sz="4" w:space="0" w:color="auto"/>
            </w:tcBorders>
          </w:tcPr>
          <w:p w14:paraId="247AA918" w14:textId="4E658E5F" w:rsidR="00C709FE" w:rsidRPr="001D03D5" w:rsidRDefault="001D03D5" w:rsidP="003545FC">
            <w:pPr>
              <w:pStyle w:val="02Tabletext"/>
              <w:jc w:val="center"/>
            </w:pPr>
            <w:r>
              <w:t>0</w:t>
            </w:r>
          </w:p>
        </w:tc>
        <w:tc>
          <w:tcPr>
            <w:tcW w:w="699" w:type="pct"/>
            <w:tcBorders>
              <w:bottom w:val="single" w:sz="4" w:space="0" w:color="auto"/>
            </w:tcBorders>
          </w:tcPr>
          <w:p w14:paraId="1D0DF83E" w14:textId="750F501C" w:rsidR="00C709FE" w:rsidRPr="001D03D5" w:rsidRDefault="001D03D5" w:rsidP="003545FC">
            <w:pPr>
              <w:pStyle w:val="02Tabletext"/>
              <w:jc w:val="center"/>
            </w:pPr>
            <w:r>
              <w:t>0</w:t>
            </w:r>
          </w:p>
        </w:tc>
        <w:tc>
          <w:tcPr>
            <w:tcW w:w="610" w:type="pct"/>
          </w:tcPr>
          <w:p w14:paraId="7B8565BC" w14:textId="65E78284" w:rsidR="00C709FE" w:rsidRPr="001D03D5" w:rsidRDefault="001D03D5" w:rsidP="003545FC">
            <w:pPr>
              <w:pStyle w:val="02Tabletext"/>
              <w:jc w:val="center"/>
            </w:pPr>
            <w:r>
              <w:t>2</w:t>
            </w:r>
          </w:p>
        </w:tc>
      </w:tr>
      <w:tr w:rsidR="00E45853" w:rsidRPr="001D03D5" w14:paraId="12ADE97E" w14:textId="479CD2B6" w:rsidTr="006B2FBC">
        <w:trPr>
          <w:cnfStyle w:val="000000010000" w:firstRow="0" w:lastRow="0" w:firstColumn="0" w:lastColumn="0" w:oddVBand="0" w:evenVBand="0" w:oddHBand="0" w:evenHBand="1" w:firstRowFirstColumn="0" w:firstRowLastColumn="0" w:lastRowFirstColumn="0" w:lastRowLastColumn="0"/>
        </w:trPr>
        <w:tc>
          <w:tcPr>
            <w:tcW w:w="1640" w:type="pct"/>
          </w:tcPr>
          <w:p w14:paraId="34C1EE33" w14:textId="13324185" w:rsidR="00E45853" w:rsidRPr="001D03D5" w:rsidRDefault="00E45853" w:rsidP="00344F45">
            <w:pPr>
              <w:pStyle w:val="02Tabletext"/>
            </w:pPr>
            <w:r w:rsidRPr="001D03D5">
              <w:t>Duplicates within and across sets removed</w:t>
            </w:r>
          </w:p>
        </w:tc>
        <w:tc>
          <w:tcPr>
            <w:tcW w:w="1258" w:type="pct"/>
            <w:tcBorders>
              <w:right w:val="nil"/>
            </w:tcBorders>
          </w:tcPr>
          <w:p w14:paraId="0B1635C1" w14:textId="21A3CDF3" w:rsidR="00E45853" w:rsidRPr="001D03D5" w:rsidRDefault="00E45853" w:rsidP="00E93195">
            <w:pPr>
              <w:pStyle w:val="02Tabletext"/>
              <w:jc w:val="center"/>
            </w:pPr>
          </w:p>
        </w:tc>
        <w:tc>
          <w:tcPr>
            <w:tcW w:w="794" w:type="pct"/>
            <w:tcBorders>
              <w:left w:val="nil"/>
              <w:right w:val="nil"/>
            </w:tcBorders>
          </w:tcPr>
          <w:p w14:paraId="6E18DC8A" w14:textId="25089C60" w:rsidR="00E45853" w:rsidRPr="001D03D5" w:rsidRDefault="001D03D5" w:rsidP="00E93195">
            <w:pPr>
              <w:pStyle w:val="02Tabletext"/>
              <w:jc w:val="center"/>
            </w:pPr>
            <w:r>
              <w:t>0</w:t>
            </w:r>
          </w:p>
        </w:tc>
        <w:tc>
          <w:tcPr>
            <w:tcW w:w="699" w:type="pct"/>
            <w:tcBorders>
              <w:left w:val="nil"/>
              <w:right w:val="nil"/>
            </w:tcBorders>
          </w:tcPr>
          <w:p w14:paraId="4AD19983" w14:textId="77777777" w:rsidR="00E45853" w:rsidRPr="001D03D5" w:rsidRDefault="00E45853" w:rsidP="00E93195">
            <w:pPr>
              <w:pStyle w:val="02Tabletext"/>
              <w:jc w:val="center"/>
            </w:pPr>
          </w:p>
        </w:tc>
        <w:tc>
          <w:tcPr>
            <w:tcW w:w="610" w:type="pct"/>
            <w:tcBorders>
              <w:left w:val="nil"/>
            </w:tcBorders>
          </w:tcPr>
          <w:p w14:paraId="664C5BDE" w14:textId="2E18DE55" w:rsidR="00E45853" w:rsidRPr="001D03D5" w:rsidRDefault="00E45853" w:rsidP="00E93195">
            <w:pPr>
              <w:pStyle w:val="02Tabletext"/>
              <w:jc w:val="center"/>
            </w:pPr>
          </w:p>
        </w:tc>
      </w:tr>
      <w:tr w:rsidR="00C709FE" w:rsidRPr="001D03D5" w14:paraId="4EA9BEAD" w14:textId="1A6D45FE" w:rsidTr="006B2FBC">
        <w:tc>
          <w:tcPr>
            <w:tcW w:w="1640" w:type="pct"/>
          </w:tcPr>
          <w:p w14:paraId="34E34D22" w14:textId="52F6AF15" w:rsidR="00C709FE" w:rsidRPr="001D03D5" w:rsidRDefault="00C709FE" w:rsidP="00344F45">
            <w:pPr>
              <w:pStyle w:val="02Tabletext"/>
            </w:pPr>
            <w:r w:rsidRPr="001D03D5">
              <w:t>Total number of citations screened</w:t>
            </w:r>
          </w:p>
        </w:tc>
        <w:tc>
          <w:tcPr>
            <w:tcW w:w="1258" w:type="pct"/>
          </w:tcPr>
          <w:p w14:paraId="289A9DF0" w14:textId="3F67AA55" w:rsidR="00C709FE" w:rsidRPr="001D03D5" w:rsidRDefault="001D03D5" w:rsidP="003545FC">
            <w:pPr>
              <w:pStyle w:val="02Tabletext"/>
              <w:jc w:val="center"/>
            </w:pPr>
            <w:r>
              <w:t>47</w:t>
            </w:r>
          </w:p>
        </w:tc>
        <w:tc>
          <w:tcPr>
            <w:tcW w:w="794" w:type="pct"/>
          </w:tcPr>
          <w:p w14:paraId="1126192D" w14:textId="672E160C" w:rsidR="00C709FE" w:rsidRPr="001D03D5" w:rsidRDefault="001D03D5" w:rsidP="003545FC">
            <w:pPr>
              <w:pStyle w:val="02Tabletext"/>
              <w:jc w:val="center"/>
            </w:pPr>
            <w:r>
              <w:t>0</w:t>
            </w:r>
          </w:p>
        </w:tc>
        <w:tc>
          <w:tcPr>
            <w:tcW w:w="699" w:type="pct"/>
          </w:tcPr>
          <w:p w14:paraId="2A85FF8A" w14:textId="452FD86F" w:rsidR="00C709FE" w:rsidRPr="001D03D5" w:rsidRDefault="00632B38" w:rsidP="003545FC">
            <w:pPr>
              <w:pStyle w:val="02Tabletext"/>
              <w:jc w:val="center"/>
            </w:pPr>
            <w:r w:rsidRPr="001D03D5">
              <w:t>0</w:t>
            </w:r>
          </w:p>
        </w:tc>
        <w:tc>
          <w:tcPr>
            <w:tcW w:w="610" w:type="pct"/>
          </w:tcPr>
          <w:p w14:paraId="6D22DBCA" w14:textId="13046156" w:rsidR="00C709FE" w:rsidRPr="001D03D5" w:rsidRDefault="001D03D5" w:rsidP="003545FC">
            <w:pPr>
              <w:pStyle w:val="02Tabletext"/>
              <w:jc w:val="center"/>
            </w:pPr>
            <w:r>
              <w:t>2</w:t>
            </w:r>
          </w:p>
        </w:tc>
      </w:tr>
      <w:tr w:rsidR="00C709FE" w:rsidRPr="001D03D5" w14:paraId="389C0A8E" w14:textId="6D56CF43" w:rsidTr="006B2FBC">
        <w:trPr>
          <w:cnfStyle w:val="000000010000" w:firstRow="0" w:lastRow="0" w:firstColumn="0" w:lastColumn="0" w:oddVBand="0" w:evenVBand="0" w:oddHBand="0" w:evenHBand="1" w:firstRowFirstColumn="0" w:firstRowLastColumn="0" w:lastRowFirstColumn="0" w:lastRowLastColumn="0"/>
        </w:trPr>
        <w:tc>
          <w:tcPr>
            <w:tcW w:w="1640" w:type="pct"/>
          </w:tcPr>
          <w:p w14:paraId="3AE88DAF" w14:textId="119AD6F3" w:rsidR="00C709FE" w:rsidRPr="001D03D5" w:rsidRDefault="00C709FE" w:rsidP="003545FC">
            <w:pPr>
              <w:pStyle w:val="02Tabletext"/>
            </w:pPr>
            <w:r w:rsidRPr="001D03D5">
              <w:t>Excluded at title/abstract review:</w:t>
            </w:r>
          </w:p>
          <w:p w14:paraId="06903E7B" w14:textId="77777777" w:rsidR="00C709FE" w:rsidRPr="001D03D5" w:rsidRDefault="00C709FE" w:rsidP="00C709FE">
            <w:pPr>
              <w:pStyle w:val="03Tabletextspacebefore"/>
            </w:pPr>
            <w:r w:rsidRPr="001D03D5">
              <w:t>Wrong population</w:t>
            </w:r>
          </w:p>
          <w:p w14:paraId="66B9A83B" w14:textId="77777777" w:rsidR="00C709FE" w:rsidRPr="001D03D5" w:rsidRDefault="00C709FE" w:rsidP="00C709FE">
            <w:pPr>
              <w:pStyle w:val="03Tabletextspacebefore"/>
            </w:pPr>
            <w:r w:rsidRPr="001D03D5">
              <w:t>Wrong intervention</w:t>
            </w:r>
          </w:p>
          <w:p w14:paraId="4B8B797F" w14:textId="2F77484F" w:rsidR="00C709FE" w:rsidRPr="001D03D5" w:rsidRDefault="00C709FE" w:rsidP="00C709FE">
            <w:pPr>
              <w:pStyle w:val="03Tabletextspacebefore"/>
            </w:pPr>
            <w:r w:rsidRPr="001D03D5">
              <w:t xml:space="preserve">Wrong </w:t>
            </w:r>
            <w:r w:rsidR="00A65BFC">
              <w:t>comparator</w:t>
            </w:r>
          </w:p>
          <w:p w14:paraId="7B77DE6F" w14:textId="22128A97" w:rsidR="00C709FE" w:rsidRPr="001D03D5" w:rsidRDefault="00C709FE" w:rsidP="00C709FE">
            <w:pPr>
              <w:pStyle w:val="03Tabletextspacebefore"/>
            </w:pPr>
            <w:r w:rsidRPr="001D03D5">
              <w:t xml:space="preserve">Wrong </w:t>
            </w:r>
            <w:r w:rsidR="00A65BFC">
              <w:t>outcomes</w:t>
            </w:r>
          </w:p>
          <w:p w14:paraId="6FCB2CB0" w14:textId="77777777" w:rsidR="00C709FE" w:rsidRPr="001D03D5" w:rsidRDefault="00C709FE" w:rsidP="003545FC">
            <w:pPr>
              <w:pStyle w:val="02Tabletext"/>
              <w:rPr>
                <w:i/>
              </w:rPr>
            </w:pPr>
          </w:p>
          <w:p w14:paraId="6104DF6B" w14:textId="409D43F5" w:rsidR="00C709FE" w:rsidRPr="001D03D5" w:rsidRDefault="00C709FE" w:rsidP="003545FC">
            <w:pPr>
              <w:pStyle w:val="02Tabletext"/>
            </w:pPr>
            <w:r w:rsidRPr="001D03D5">
              <w:rPr>
                <w:i/>
              </w:rPr>
              <w:t>Total citations excluded at title/abstract review</w:t>
            </w:r>
            <w:r w:rsidRPr="001D03D5">
              <w:t>:</w:t>
            </w:r>
          </w:p>
        </w:tc>
        <w:tc>
          <w:tcPr>
            <w:tcW w:w="1258" w:type="pct"/>
          </w:tcPr>
          <w:p w14:paraId="1795E48E" w14:textId="33B61806" w:rsidR="00C709FE" w:rsidRPr="001D03D5" w:rsidRDefault="00DD3EA5" w:rsidP="00FC0578">
            <w:pPr>
              <w:pStyle w:val="03Tabletextspacebefore"/>
              <w:spacing w:before="480"/>
              <w:jc w:val="center"/>
            </w:pPr>
            <w:r>
              <w:t>47</w:t>
            </w:r>
          </w:p>
          <w:p w14:paraId="2AAC8CA3" w14:textId="490A0869" w:rsidR="00C709FE" w:rsidRPr="001D03D5" w:rsidRDefault="001D03D5" w:rsidP="00FC0578">
            <w:pPr>
              <w:pStyle w:val="03Tabletextspacebefore"/>
              <w:spacing w:before="960"/>
              <w:jc w:val="center"/>
              <w:rPr>
                <w:i/>
              </w:rPr>
            </w:pPr>
            <w:bookmarkStart w:id="51" w:name="_GoBack"/>
            <w:bookmarkEnd w:id="51"/>
            <w:r>
              <w:rPr>
                <w:i/>
              </w:rPr>
              <w:t>47</w:t>
            </w:r>
          </w:p>
        </w:tc>
        <w:tc>
          <w:tcPr>
            <w:tcW w:w="794" w:type="pct"/>
          </w:tcPr>
          <w:p w14:paraId="123E9FE1" w14:textId="24E3F38C" w:rsidR="00C709FE" w:rsidRPr="001D03D5" w:rsidRDefault="001D03D5" w:rsidP="00FC0578">
            <w:pPr>
              <w:pStyle w:val="03Tabletextspacebefore"/>
              <w:spacing w:before="1680"/>
              <w:jc w:val="center"/>
              <w:rPr>
                <w:i/>
              </w:rPr>
            </w:pPr>
            <w:r>
              <w:rPr>
                <w:i/>
              </w:rPr>
              <w:t>0</w:t>
            </w:r>
          </w:p>
        </w:tc>
        <w:tc>
          <w:tcPr>
            <w:tcW w:w="699" w:type="pct"/>
          </w:tcPr>
          <w:p w14:paraId="7D5ED81D" w14:textId="72CF5ECD" w:rsidR="00632B38" w:rsidRPr="001D03D5" w:rsidRDefault="00632B38" w:rsidP="00FC0578">
            <w:pPr>
              <w:pStyle w:val="03Tabletextspacebefore"/>
              <w:spacing w:before="1680"/>
              <w:jc w:val="center"/>
              <w:rPr>
                <w:i/>
              </w:rPr>
            </w:pPr>
            <w:r w:rsidRPr="001D03D5">
              <w:rPr>
                <w:i/>
              </w:rPr>
              <w:t>0</w:t>
            </w:r>
          </w:p>
        </w:tc>
        <w:tc>
          <w:tcPr>
            <w:tcW w:w="610" w:type="pct"/>
          </w:tcPr>
          <w:p w14:paraId="365A3959" w14:textId="09E5C1A1" w:rsidR="00C709FE" w:rsidRPr="001D03D5" w:rsidRDefault="00B77FB0" w:rsidP="00FC0578">
            <w:pPr>
              <w:pStyle w:val="02Tabletext"/>
              <w:spacing w:before="1680"/>
              <w:jc w:val="center"/>
              <w:rPr>
                <w:i/>
              </w:rPr>
            </w:pPr>
            <w:r w:rsidRPr="001D03D5">
              <w:rPr>
                <w:i/>
              </w:rPr>
              <w:t>0</w:t>
            </w:r>
          </w:p>
        </w:tc>
      </w:tr>
      <w:tr w:rsidR="00C709FE" w:rsidRPr="001D03D5" w14:paraId="3652622E" w14:textId="3E56D67C" w:rsidTr="006B2FBC">
        <w:tc>
          <w:tcPr>
            <w:tcW w:w="1640" w:type="pct"/>
          </w:tcPr>
          <w:p w14:paraId="554DAC0C" w14:textId="6539A68F" w:rsidR="00C709FE" w:rsidRPr="001D03D5" w:rsidRDefault="00C709FE" w:rsidP="00344F45">
            <w:pPr>
              <w:pStyle w:val="02Tabletext"/>
            </w:pPr>
            <w:r w:rsidRPr="001D03D5">
              <w:t>Citations screened at full text review</w:t>
            </w:r>
          </w:p>
        </w:tc>
        <w:tc>
          <w:tcPr>
            <w:tcW w:w="1258" w:type="pct"/>
          </w:tcPr>
          <w:p w14:paraId="568B3A8F" w14:textId="23CF697E" w:rsidR="00C709FE" w:rsidRPr="001D03D5" w:rsidRDefault="001D03D5" w:rsidP="00C709FE">
            <w:pPr>
              <w:pStyle w:val="02Tabletext"/>
              <w:jc w:val="center"/>
            </w:pPr>
            <w:r>
              <w:t>0</w:t>
            </w:r>
          </w:p>
        </w:tc>
        <w:tc>
          <w:tcPr>
            <w:tcW w:w="794" w:type="pct"/>
          </w:tcPr>
          <w:p w14:paraId="0FFFB308" w14:textId="009F5C2F" w:rsidR="00C709FE" w:rsidRPr="001D03D5" w:rsidRDefault="001D03D5" w:rsidP="00994E95">
            <w:pPr>
              <w:pStyle w:val="02Tabletext"/>
              <w:jc w:val="center"/>
            </w:pPr>
            <w:r>
              <w:t>0</w:t>
            </w:r>
          </w:p>
        </w:tc>
        <w:tc>
          <w:tcPr>
            <w:tcW w:w="699" w:type="pct"/>
          </w:tcPr>
          <w:p w14:paraId="2172A907" w14:textId="6DD6A30F" w:rsidR="00C709FE" w:rsidRPr="001D03D5" w:rsidRDefault="001D03D5" w:rsidP="00632B38">
            <w:pPr>
              <w:pStyle w:val="02Tabletext"/>
              <w:jc w:val="center"/>
            </w:pPr>
            <w:r>
              <w:t>0</w:t>
            </w:r>
          </w:p>
        </w:tc>
        <w:tc>
          <w:tcPr>
            <w:tcW w:w="610" w:type="pct"/>
          </w:tcPr>
          <w:p w14:paraId="246F3402" w14:textId="4480C2D2" w:rsidR="00C709FE" w:rsidRPr="001D03D5" w:rsidRDefault="001D03D5" w:rsidP="00632B38">
            <w:pPr>
              <w:pStyle w:val="02Tabletext"/>
              <w:jc w:val="center"/>
            </w:pPr>
            <w:r>
              <w:t>2</w:t>
            </w:r>
          </w:p>
        </w:tc>
      </w:tr>
      <w:tr w:rsidR="00C709FE" w:rsidRPr="001D03D5" w14:paraId="59D7FE45" w14:textId="592AE5D9" w:rsidTr="001C1866">
        <w:trPr>
          <w:cnfStyle w:val="000000010000" w:firstRow="0" w:lastRow="0" w:firstColumn="0" w:lastColumn="0" w:oddVBand="0" w:evenVBand="0" w:oddHBand="0" w:evenHBand="1" w:firstRowFirstColumn="0" w:firstRowLastColumn="0" w:lastRowFirstColumn="0" w:lastRowLastColumn="0"/>
        </w:trPr>
        <w:tc>
          <w:tcPr>
            <w:tcW w:w="1640" w:type="pct"/>
          </w:tcPr>
          <w:p w14:paraId="4C3236B4" w14:textId="75D0E862" w:rsidR="00C709FE" w:rsidRPr="001D03D5" w:rsidRDefault="00C709FE" w:rsidP="00C709FE">
            <w:pPr>
              <w:pStyle w:val="02Tabletext"/>
            </w:pPr>
            <w:r w:rsidRPr="001D03D5">
              <w:t>Excluded at full text review</w:t>
            </w:r>
            <w:r w:rsidR="00B77FB0" w:rsidRPr="001D03D5">
              <w:t>:</w:t>
            </w:r>
          </w:p>
          <w:p w14:paraId="51E332DB" w14:textId="77777777" w:rsidR="00994E95" w:rsidRPr="001D03D5" w:rsidRDefault="00994E95" w:rsidP="00994E95">
            <w:pPr>
              <w:pStyle w:val="02Tabletext"/>
            </w:pPr>
            <w:r w:rsidRPr="001D03D5">
              <w:t>Wrong population</w:t>
            </w:r>
          </w:p>
          <w:p w14:paraId="1422D434" w14:textId="77777777" w:rsidR="00994E95" w:rsidRPr="001D03D5" w:rsidRDefault="00994E95" w:rsidP="00994E95">
            <w:pPr>
              <w:pStyle w:val="02Tabletext"/>
            </w:pPr>
            <w:r w:rsidRPr="001D03D5">
              <w:t>Wrong intervention</w:t>
            </w:r>
          </w:p>
          <w:p w14:paraId="17337DCC" w14:textId="77777777" w:rsidR="00994E95" w:rsidRPr="001D03D5" w:rsidRDefault="00994E95" w:rsidP="00994E95">
            <w:pPr>
              <w:pStyle w:val="02Tabletext"/>
            </w:pPr>
            <w:r w:rsidRPr="001D03D5">
              <w:t>Wrong outcome</w:t>
            </w:r>
          </w:p>
          <w:p w14:paraId="2D6DC9B6" w14:textId="77777777" w:rsidR="00994E95" w:rsidRPr="001D03D5" w:rsidRDefault="00994E95" w:rsidP="00994E95">
            <w:pPr>
              <w:pStyle w:val="02Tabletext"/>
            </w:pPr>
            <w:r w:rsidRPr="001D03D5">
              <w:t>Wrong publication type</w:t>
            </w:r>
          </w:p>
          <w:p w14:paraId="67E01359" w14:textId="77777777" w:rsidR="00994E95" w:rsidRPr="001D03D5" w:rsidRDefault="00994E95" w:rsidP="00994E95">
            <w:pPr>
              <w:pStyle w:val="02Tabletext"/>
            </w:pPr>
          </w:p>
          <w:p w14:paraId="118D5D93" w14:textId="48893107" w:rsidR="00C709FE" w:rsidRPr="001D03D5" w:rsidRDefault="00994E95" w:rsidP="006E4FD3">
            <w:pPr>
              <w:pStyle w:val="02Tabletext"/>
              <w:rPr>
                <w:i/>
              </w:rPr>
            </w:pPr>
            <w:r w:rsidRPr="001D03D5">
              <w:rPr>
                <w:i/>
              </w:rPr>
              <w:t xml:space="preserve">Total citations excluded at </w:t>
            </w:r>
            <w:r w:rsidR="006E4FD3">
              <w:rPr>
                <w:i/>
              </w:rPr>
              <w:t>full text</w:t>
            </w:r>
            <w:r w:rsidRPr="001D03D5">
              <w:rPr>
                <w:i/>
              </w:rPr>
              <w:t xml:space="preserve"> review:</w:t>
            </w:r>
          </w:p>
        </w:tc>
        <w:tc>
          <w:tcPr>
            <w:tcW w:w="1258" w:type="pct"/>
          </w:tcPr>
          <w:p w14:paraId="1F92B289" w14:textId="5EF94EAA" w:rsidR="00632B38" w:rsidRPr="001D03D5" w:rsidRDefault="00632B38" w:rsidP="001C1866">
            <w:pPr>
              <w:pStyle w:val="03Tabletextspacebefore"/>
              <w:jc w:val="center"/>
              <w:rPr>
                <w:i/>
              </w:rPr>
            </w:pPr>
          </w:p>
        </w:tc>
        <w:tc>
          <w:tcPr>
            <w:tcW w:w="794" w:type="pct"/>
          </w:tcPr>
          <w:p w14:paraId="663337DF" w14:textId="77777777" w:rsidR="00631866" w:rsidRPr="001D03D5" w:rsidRDefault="00631866" w:rsidP="001C1866">
            <w:pPr>
              <w:pStyle w:val="03Tabletextspacebefore"/>
              <w:jc w:val="center"/>
            </w:pPr>
          </w:p>
        </w:tc>
        <w:tc>
          <w:tcPr>
            <w:tcW w:w="699" w:type="pct"/>
          </w:tcPr>
          <w:p w14:paraId="7E76F306" w14:textId="77777777" w:rsidR="00631866" w:rsidRPr="001D03D5" w:rsidRDefault="00631866" w:rsidP="001C1866">
            <w:pPr>
              <w:pStyle w:val="03Tabletextspacebefore"/>
              <w:jc w:val="center"/>
            </w:pPr>
          </w:p>
        </w:tc>
        <w:tc>
          <w:tcPr>
            <w:tcW w:w="610" w:type="pct"/>
            <w:vAlign w:val="bottom"/>
          </w:tcPr>
          <w:p w14:paraId="5DC0ADB7" w14:textId="1EA9A08A" w:rsidR="00632B38" w:rsidRPr="001D03D5" w:rsidRDefault="001D03D5" w:rsidP="001C1866">
            <w:pPr>
              <w:pStyle w:val="03Tabletextspacebefore"/>
              <w:jc w:val="center"/>
              <w:rPr>
                <w:i/>
              </w:rPr>
            </w:pPr>
            <w:r>
              <w:rPr>
                <w:i/>
              </w:rPr>
              <w:t>0</w:t>
            </w:r>
          </w:p>
        </w:tc>
      </w:tr>
      <w:tr w:rsidR="00C709FE" w:rsidRPr="001D03D5" w14:paraId="3EFC2EDC" w14:textId="43D5374C" w:rsidTr="006B2FBC">
        <w:tc>
          <w:tcPr>
            <w:tcW w:w="1640" w:type="pct"/>
          </w:tcPr>
          <w:p w14:paraId="4E42885D" w14:textId="512AC118" w:rsidR="00C709FE" w:rsidRPr="001D03D5" w:rsidRDefault="00994E95" w:rsidP="00344F45">
            <w:pPr>
              <w:pStyle w:val="02Tabletext"/>
            </w:pPr>
            <w:r w:rsidRPr="001D03D5">
              <w:t>Included citations from database searches</w:t>
            </w:r>
          </w:p>
        </w:tc>
        <w:tc>
          <w:tcPr>
            <w:tcW w:w="1258" w:type="pct"/>
            <w:tcBorders>
              <w:bottom w:val="single" w:sz="4" w:space="0" w:color="auto"/>
            </w:tcBorders>
          </w:tcPr>
          <w:p w14:paraId="5BD2BF27" w14:textId="5D935E13" w:rsidR="00C709FE" w:rsidRPr="001D03D5" w:rsidRDefault="001D03D5" w:rsidP="00994E95">
            <w:pPr>
              <w:pStyle w:val="02Tabletext"/>
              <w:jc w:val="center"/>
            </w:pPr>
            <w:r>
              <w:t>0</w:t>
            </w:r>
          </w:p>
        </w:tc>
        <w:tc>
          <w:tcPr>
            <w:tcW w:w="794" w:type="pct"/>
            <w:tcBorders>
              <w:bottom w:val="single" w:sz="4" w:space="0" w:color="auto"/>
            </w:tcBorders>
          </w:tcPr>
          <w:p w14:paraId="7246C473" w14:textId="1BB082B7" w:rsidR="00C709FE" w:rsidRPr="001D03D5" w:rsidRDefault="001D03D5" w:rsidP="00994E95">
            <w:pPr>
              <w:pStyle w:val="02Tabletext"/>
              <w:jc w:val="center"/>
            </w:pPr>
            <w:r>
              <w:t>0</w:t>
            </w:r>
          </w:p>
        </w:tc>
        <w:tc>
          <w:tcPr>
            <w:tcW w:w="699" w:type="pct"/>
            <w:tcBorders>
              <w:bottom w:val="single" w:sz="4" w:space="0" w:color="auto"/>
            </w:tcBorders>
          </w:tcPr>
          <w:p w14:paraId="6696D71C" w14:textId="5F2765CC" w:rsidR="00C709FE" w:rsidRPr="001D03D5" w:rsidRDefault="00631866" w:rsidP="00E45853">
            <w:pPr>
              <w:pStyle w:val="02Tabletext"/>
              <w:jc w:val="center"/>
            </w:pPr>
            <w:r w:rsidRPr="001D03D5">
              <w:t>0</w:t>
            </w:r>
          </w:p>
        </w:tc>
        <w:tc>
          <w:tcPr>
            <w:tcW w:w="610" w:type="pct"/>
          </w:tcPr>
          <w:p w14:paraId="65B73513" w14:textId="1C5488AE" w:rsidR="00C709FE" w:rsidRPr="001D03D5" w:rsidRDefault="001D03D5" w:rsidP="00994E95">
            <w:pPr>
              <w:pStyle w:val="02Tabletext"/>
              <w:jc w:val="center"/>
            </w:pPr>
            <w:r>
              <w:t>2</w:t>
            </w:r>
          </w:p>
        </w:tc>
      </w:tr>
      <w:tr w:rsidR="00E45853" w14:paraId="4F33D623" w14:textId="77777777" w:rsidTr="006B2FBC">
        <w:trPr>
          <w:cnfStyle w:val="000000010000" w:firstRow="0" w:lastRow="0" w:firstColumn="0" w:lastColumn="0" w:oddVBand="0" w:evenVBand="0" w:oddHBand="0" w:evenHBand="1" w:firstRowFirstColumn="0" w:firstRowLastColumn="0" w:lastRowFirstColumn="0" w:lastRowLastColumn="0"/>
        </w:trPr>
        <w:tc>
          <w:tcPr>
            <w:tcW w:w="1640" w:type="pct"/>
          </w:tcPr>
          <w:p w14:paraId="060B7D59" w14:textId="38DB3BFF" w:rsidR="00E45853" w:rsidRPr="00A65BFC" w:rsidRDefault="00E45853" w:rsidP="00A65BFC">
            <w:pPr>
              <w:pStyle w:val="02Tabletext"/>
              <w:rPr>
                <w:b/>
              </w:rPr>
            </w:pPr>
            <w:r w:rsidRPr="00A65BFC">
              <w:rPr>
                <w:b/>
              </w:rPr>
              <w:t xml:space="preserve">Total included </w:t>
            </w:r>
            <w:r w:rsidR="00A65BFC" w:rsidRPr="00A65BFC">
              <w:rPr>
                <w:b/>
              </w:rPr>
              <w:t>studies</w:t>
            </w:r>
          </w:p>
        </w:tc>
        <w:tc>
          <w:tcPr>
            <w:tcW w:w="1258" w:type="pct"/>
            <w:tcBorders>
              <w:right w:val="nil"/>
            </w:tcBorders>
          </w:tcPr>
          <w:p w14:paraId="4DB09CCD" w14:textId="720C29BD" w:rsidR="00E45853" w:rsidRPr="00A65BFC" w:rsidRDefault="00E45853" w:rsidP="00E45853">
            <w:pPr>
              <w:pStyle w:val="02Tabletext"/>
              <w:jc w:val="right"/>
              <w:rPr>
                <w:b/>
              </w:rPr>
            </w:pPr>
          </w:p>
        </w:tc>
        <w:tc>
          <w:tcPr>
            <w:tcW w:w="794" w:type="pct"/>
            <w:tcBorders>
              <w:left w:val="nil"/>
              <w:right w:val="nil"/>
            </w:tcBorders>
          </w:tcPr>
          <w:p w14:paraId="0B7C5099" w14:textId="68DC5475" w:rsidR="00E45853" w:rsidRPr="00A65BFC" w:rsidRDefault="00A65BFC" w:rsidP="00F7798D">
            <w:pPr>
              <w:pStyle w:val="02Tabletext"/>
              <w:jc w:val="center"/>
              <w:rPr>
                <w:b/>
              </w:rPr>
            </w:pPr>
            <w:r w:rsidRPr="00A65BFC">
              <w:rPr>
                <w:b/>
              </w:rPr>
              <w:t>0</w:t>
            </w:r>
          </w:p>
        </w:tc>
        <w:tc>
          <w:tcPr>
            <w:tcW w:w="699" w:type="pct"/>
            <w:tcBorders>
              <w:left w:val="nil"/>
              <w:right w:val="nil"/>
            </w:tcBorders>
          </w:tcPr>
          <w:p w14:paraId="3B2CB52E" w14:textId="262F2E32" w:rsidR="00E45853" w:rsidRPr="00A65BFC" w:rsidRDefault="00E45853" w:rsidP="00E45853">
            <w:pPr>
              <w:pStyle w:val="02Tabletext"/>
              <w:rPr>
                <w:b/>
              </w:rPr>
            </w:pPr>
          </w:p>
        </w:tc>
        <w:tc>
          <w:tcPr>
            <w:tcW w:w="610" w:type="pct"/>
            <w:tcBorders>
              <w:left w:val="nil"/>
            </w:tcBorders>
          </w:tcPr>
          <w:p w14:paraId="01D47908" w14:textId="6F132CF5" w:rsidR="00E45853" w:rsidRPr="00A65BFC" w:rsidRDefault="00E45853" w:rsidP="00994E95">
            <w:pPr>
              <w:pStyle w:val="02Tabletext"/>
              <w:jc w:val="center"/>
              <w:rPr>
                <w:b/>
              </w:rPr>
            </w:pPr>
          </w:p>
        </w:tc>
      </w:tr>
      <w:tr w:rsidR="00A65BFC" w14:paraId="33C15C16" w14:textId="77777777" w:rsidTr="006B2FBC">
        <w:tc>
          <w:tcPr>
            <w:tcW w:w="1640" w:type="pct"/>
          </w:tcPr>
          <w:p w14:paraId="2CADB725" w14:textId="1BF6841F" w:rsidR="00A65BFC" w:rsidRPr="00A65BFC" w:rsidRDefault="00A65BFC" w:rsidP="00A65BFC">
            <w:pPr>
              <w:pStyle w:val="02Tabletext"/>
              <w:rPr>
                <w:b/>
              </w:rPr>
            </w:pPr>
            <w:r w:rsidRPr="00A65BFC">
              <w:rPr>
                <w:b/>
              </w:rPr>
              <w:t>Total included CPA reports</w:t>
            </w:r>
          </w:p>
        </w:tc>
        <w:tc>
          <w:tcPr>
            <w:tcW w:w="1258" w:type="pct"/>
            <w:tcBorders>
              <w:right w:val="nil"/>
            </w:tcBorders>
          </w:tcPr>
          <w:p w14:paraId="1F57C562" w14:textId="77777777" w:rsidR="00A65BFC" w:rsidRPr="00A65BFC" w:rsidRDefault="00A65BFC" w:rsidP="00E45853">
            <w:pPr>
              <w:pStyle w:val="02Tabletext"/>
              <w:jc w:val="right"/>
              <w:rPr>
                <w:b/>
              </w:rPr>
            </w:pPr>
          </w:p>
        </w:tc>
        <w:tc>
          <w:tcPr>
            <w:tcW w:w="794" w:type="pct"/>
            <w:tcBorders>
              <w:left w:val="nil"/>
              <w:right w:val="nil"/>
            </w:tcBorders>
          </w:tcPr>
          <w:p w14:paraId="053C0A43" w14:textId="67A0F241" w:rsidR="00A65BFC" w:rsidRPr="00A65BFC" w:rsidRDefault="00A65BFC" w:rsidP="00F7798D">
            <w:pPr>
              <w:pStyle w:val="02Tabletext"/>
              <w:jc w:val="center"/>
              <w:rPr>
                <w:b/>
              </w:rPr>
            </w:pPr>
            <w:r w:rsidRPr="00A65BFC">
              <w:rPr>
                <w:b/>
              </w:rPr>
              <w:t>2</w:t>
            </w:r>
          </w:p>
        </w:tc>
        <w:tc>
          <w:tcPr>
            <w:tcW w:w="699" w:type="pct"/>
            <w:tcBorders>
              <w:left w:val="nil"/>
              <w:right w:val="nil"/>
            </w:tcBorders>
          </w:tcPr>
          <w:p w14:paraId="6B624EA8" w14:textId="77777777" w:rsidR="00A65BFC" w:rsidRPr="00A65BFC" w:rsidRDefault="00A65BFC" w:rsidP="00E45853">
            <w:pPr>
              <w:pStyle w:val="02Tabletext"/>
              <w:rPr>
                <w:b/>
              </w:rPr>
            </w:pPr>
          </w:p>
        </w:tc>
        <w:tc>
          <w:tcPr>
            <w:tcW w:w="610" w:type="pct"/>
            <w:tcBorders>
              <w:left w:val="nil"/>
            </w:tcBorders>
          </w:tcPr>
          <w:p w14:paraId="35706437" w14:textId="77777777" w:rsidR="00A65BFC" w:rsidRPr="00A65BFC" w:rsidRDefault="00A65BFC" w:rsidP="00994E95">
            <w:pPr>
              <w:pStyle w:val="02Tabletext"/>
              <w:jc w:val="center"/>
              <w:rPr>
                <w:b/>
              </w:rPr>
            </w:pPr>
          </w:p>
        </w:tc>
      </w:tr>
    </w:tbl>
    <w:p w14:paraId="1AFA3BE1" w14:textId="35F6C913" w:rsidR="00C10E34" w:rsidRDefault="00A65BFC" w:rsidP="00A65BFC">
      <w:pPr>
        <w:pStyle w:val="09Tablefootnoteslast-nostick"/>
      </w:pPr>
      <w:r>
        <w:t>Abbreviations: CPA, Community Pharmacy Agreement</w:t>
      </w:r>
      <w:r w:rsidR="00DF66BD">
        <w:t>.</w:t>
      </w:r>
    </w:p>
    <w:p w14:paraId="5154C075" w14:textId="31AFCE0F" w:rsidR="000F5965" w:rsidRPr="003E16F3" w:rsidRDefault="004962FE" w:rsidP="00631866">
      <w:pPr>
        <w:pStyle w:val="BodyText"/>
      </w:pPr>
      <w:r w:rsidRPr="003E16F3">
        <w:t>The systematic literature search did n</w:t>
      </w:r>
      <w:r w:rsidR="003E16F3" w:rsidRPr="003E16F3">
        <w:t>ot identify any studies that fulfilled the PICO criteria</w:t>
      </w:r>
      <w:r w:rsidRPr="003E16F3">
        <w:t xml:space="preserve">. The Pharmacy Guild of Australia was subsequently </w:t>
      </w:r>
      <w:r w:rsidR="003E16F3" w:rsidRPr="003E16F3">
        <w:t>notified and asked</w:t>
      </w:r>
      <w:r w:rsidRPr="003E16F3">
        <w:t xml:space="preserve"> whether they </w:t>
      </w:r>
      <w:r w:rsidR="003E16F3" w:rsidRPr="003E16F3">
        <w:t>are aware of any relevant studies</w:t>
      </w:r>
      <w:r w:rsidR="006C1BAE" w:rsidRPr="003E16F3">
        <w:t xml:space="preserve">. </w:t>
      </w:r>
      <w:r w:rsidR="003E16F3" w:rsidRPr="003E16F3">
        <w:t>T</w:t>
      </w:r>
      <w:r w:rsidRPr="003E16F3">
        <w:t xml:space="preserve">he Guild </w:t>
      </w:r>
      <w:r w:rsidR="003E16F3">
        <w:t>set about searching for evidence but did not provide any studies to the review team</w:t>
      </w:r>
      <w:r w:rsidRPr="003E16F3">
        <w:t>.</w:t>
      </w:r>
    </w:p>
    <w:p w14:paraId="2139828A" w14:textId="5A33ADC6" w:rsidR="002A0DE8" w:rsidRDefault="006C1BAE" w:rsidP="00C85A17">
      <w:pPr>
        <w:pStyle w:val="BodyText"/>
      </w:pPr>
      <w:r w:rsidRPr="003E16F3">
        <w:t>The targeted search</w:t>
      </w:r>
      <w:r w:rsidRPr="006C1BAE">
        <w:t xml:space="preserve"> of the websites of relevant pharmacy organisations </w:t>
      </w:r>
      <w:r>
        <w:t xml:space="preserve">and the Commonwealth Department of Health </w:t>
      </w:r>
      <w:r w:rsidRPr="006C1BAE">
        <w:t>identified two previous evaluations of the SS initiative</w:t>
      </w:r>
      <w:r w:rsidR="002A0DE8" w:rsidRPr="00A82782">
        <w:t>, which are listed in</w:t>
      </w:r>
      <w:r w:rsidR="002A0DE8">
        <w:t xml:space="preserve"> </w:t>
      </w:r>
      <w:r w:rsidR="002A0DE8">
        <w:fldChar w:fldCharType="begin"/>
      </w:r>
      <w:r w:rsidR="002A0DE8">
        <w:instrText xml:space="preserve"> REF _Ref462138552 \h </w:instrText>
      </w:r>
      <w:r w:rsidR="002A0DE8">
        <w:fldChar w:fldCharType="separate"/>
      </w:r>
      <w:r w:rsidR="006F3580">
        <w:t xml:space="preserve">Table </w:t>
      </w:r>
      <w:r w:rsidR="006F3580">
        <w:rPr>
          <w:noProof/>
        </w:rPr>
        <w:t>3</w:t>
      </w:r>
      <w:r w:rsidR="006F3580">
        <w:t>.</w:t>
      </w:r>
      <w:r w:rsidR="006F3580">
        <w:rPr>
          <w:noProof/>
        </w:rPr>
        <w:t>4</w:t>
      </w:r>
      <w:r w:rsidR="002A0DE8">
        <w:fldChar w:fldCharType="end"/>
      </w:r>
      <w:r w:rsidR="002A0DE8">
        <w:t xml:space="preserve">. Section </w:t>
      </w:r>
      <w:r w:rsidR="00EC2EE9">
        <w:t>4</w:t>
      </w:r>
      <w:r w:rsidR="002A0DE8">
        <w:t xml:space="preserve"> provides a summary of the findings of these evaluations.</w:t>
      </w:r>
    </w:p>
    <w:p w14:paraId="3651BE73" w14:textId="5E0AE91C" w:rsidR="002A0DE8" w:rsidRDefault="002A0DE8" w:rsidP="002A0DE8">
      <w:pPr>
        <w:pStyle w:val="Caption"/>
      </w:pPr>
      <w:bookmarkStart w:id="52" w:name="_Ref462138552"/>
      <w:bookmarkStart w:id="53" w:name="_Toc467155925"/>
      <w:r>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3</w:t>
      </w:r>
      <w:r w:rsidR="00872B71">
        <w:rPr>
          <w:noProof/>
        </w:rPr>
        <w:fldChar w:fldCharType="end"/>
      </w:r>
      <w:r w:rsidR="00542F4A">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4</w:t>
      </w:r>
      <w:r w:rsidR="00872B71">
        <w:rPr>
          <w:noProof/>
        </w:rPr>
        <w:fldChar w:fldCharType="end"/>
      </w:r>
      <w:bookmarkEnd w:id="52"/>
      <w:r>
        <w:tab/>
        <w:t>Citation details for previous evaluations</w:t>
      </w:r>
      <w:bookmarkEnd w:id="53"/>
    </w:p>
    <w:tbl>
      <w:tblPr>
        <w:tblStyle w:val="TableGrid"/>
        <w:tblW w:w="0" w:type="auto"/>
        <w:tblLayout w:type="fixed"/>
        <w:tblLook w:val="04A0" w:firstRow="1" w:lastRow="0" w:firstColumn="1" w:lastColumn="0" w:noHBand="0" w:noVBand="1"/>
        <w:tblCaption w:val="Table 3.4"/>
        <w:tblDescription w:val="Citation details for previous evaluations"/>
      </w:tblPr>
      <w:tblGrid>
        <w:gridCol w:w="1413"/>
        <w:gridCol w:w="7648"/>
      </w:tblGrid>
      <w:tr w:rsidR="002A0DE8" w14:paraId="3688D416" w14:textId="77777777" w:rsidTr="006B2FBC">
        <w:trPr>
          <w:cnfStyle w:val="100000000000" w:firstRow="1" w:lastRow="0" w:firstColumn="0" w:lastColumn="0" w:oddVBand="0" w:evenVBand="0" w:oddHBand="0" w:evenHBand="0" w:firstRowFirstColumn="0" w:firstRowLastColumn="0" w:lastRowFirstColumn="0" w:lastRowLastColumn="0"/>
        </w:trPr>
        <w:tc>
          <w:tcPr>
            <w:tcW w:w="1413" w:type="dxa"/>
          </w:tcPr>
          <w:p w14:paraId="79042534" w14:textId="77777777" w:rsidR="002A0DE8" w:rsidRDefault="002A0DE8" w:rsidP="006B2FBC">
            <w:pPr>
              <w:pStyle w:val="01Tableheaderrow"/>
            </w:pPr>
            <w:r>
              <w:t>Study ID</w:t>
            </w:r>
          </w:p>
        </w:tc>
        <w:tc>
          <w:tcPr>
            <w:tcW w:w="7648" w:type="dxa"/>
            <w:vAlign w:val="center"/>
          </w:tcPr>
          <w:p w14:paraId="2F143D85" w14:textId="77777777" w:rsidR="002A0DE8" w:rsidRDefault="002A0DE8" w:rsidP="006B2FBC">
            <w:pPr>
              <w:pStyle w:val="01Tableheaderrow"/>
              <w:jc w:val="center"/>
            </w:pPr>
            <w:r>
              <w:t>Citation</w:t>
            </w:r>
          </w:p>
        </w:tc>
      </w:tr>
      <w:tr w:rsidR="00C85A17" w14:paraId="6E3F29DB" w14:textId="77777777" w:rsidTr="0011080A">
        <w:tc>
          <w:tcPr>
            <w:tcW w:w="1413" w:type="dxa"/>
          </w:tcPr>
          <w:p w14:paraId="2DEDBA4E" w14:textId="7C5CC227" w:rsidR="00C85A17" w:rsidRDefault="00C85A17" w:rsidP="00C85A17">
            <w:pPr>
              <w:pStyle w:val="02Tabletext"/>
            </w:pPr>
            <w:r>
              <w:t>NOVA (2010)</w:t>
            </w:r>
          </w:p>
        </w:tc>
        <w:tc>
          <w:tcPr>
            <w:tcW w:w="7648" w:type="dxa"/>
          </w:tcPr>
          <w:p w14:paraId="14111429" w14:textId="0D9144E3" w:rsidR="00C85A17" w:rsidRDefault="00C85A17" w:rsidP="00C85A17">
            <w:pPr>
              <w:pStyle w:val="02Tabletext"/>
            </w:pPr>
            <w:r>
              <w:t xml:space="preserve">NOVA Public Policy (2010). Review of the Staged Supply of PBS Medicines. Final Report. Retrieved from </w:t>
            </w:r>
            <w:r w:rsidRPr="004962FE">
              <w:t>http://www.guild.org.au/docs/default-source/member-documents/news-and-events/guild-publications/other-publications/staged-supply-final-report.pdf</w:t>
            </w:r>
          </w:p>
        </w:tc>
      </w:tr>
      <w:tr w:rsidR="002A0DE8" w14:paraId="078FA2B6" w14:textId="77777777" w:rsidTr="0011080A">
        <w:trPr>
          <w:cnfStyle w:val="000000010000" w:firstRow="0" w:lastRow="0" w:firstColumn="0" w:lastColumn="0" w:oddVBand="0" w:evenVBand="0" w:oddHBand="0" w:evenHBand="1" w:firstRowFirstColumn="0" w:firstRowLastColumn="0" w:lastRowFirstColumn="0" w:lastRowLastColumn="0"/>
        </w:trPr>
        <w:tc>
          <w:tcPr>
            <w:tcW w:w="1413" w:type="dxa"/>
          </w:tcPr>
          <w:p w14:paraId="3A3D0F62" w14:textId="5819F794" w:rsidR="002A0DE8" w:rsidRDefault="0011080A" w:rsidP="00AC3A3D">
            <w:pPr>
              <w:pStyle w:val="02Tabletext"/>
            </w:pPr>
            <w:r>
              <w:t>PwC (2015)</w:t>
            </w:r>
          </w:p>
        </w:tc>
        <w:tc>
          <w:tcPr>
            <w:tcW w:w="7648" w:type="dxa"/>
          </w:tcPr>
          <w:p w14:paraId="5383EFB4" w14:textId="40C38F06" w:rsidR="002A0DE8" w:rsidRPr="00A82782" w:rsidRDefault="00904572" w:rsidP="00904572">
            <w:pPr>
              <w:pStyle w:val="02Tabletext"/>
            </w:pPr>
            <w:r>
              <w:t>PricewaterhouseCoopers (2015). Combined Review of Fifth Community Pharmacy Agreement Medication Management Programmes (Final Report)</w:t>
            </w:r>
            <w:r w:rsidR="0011080A">
              <w:t xml:space="preserve">. Retrieved from </w:t>
            </w:r>
            <w:r w:rsidR="0011080A" w:rsidRPr="0011080A">
              <w:t>https://www.health.gov.au/internet/main/publishing.nsf/Content/6EF022DE87761986CA257EC80013198B/$File/combined-review-5cpa-medication-management-programmes-final-report-and-appendices.pdf</w:t>
            </w:r>
          </w:p>
        </w:tc>
      </w:tr>
    </w:tbl>
    <w:p w14:paraId="23256A47" w14:textId="190C6F8A" w:rsidR="00111B14" w:rsidRDefault="00111B14" w:rsidP="0011080A">
      <w:pPr>
        <w:pStyle w:val="09Tablefootnoteslast-nostick"/>
      </w:pPr>
    </w:p>
    <w:p w14:paraId="39BBCC42" w14:textId="5FAEC729" w:rsidR="00914308" w:rsidRDefault="00C85A17" w:rsidP="00904572">
      <w:pPr>
        <w:pStyle w:val="Heading2"/>
      </w:pPr>
      <w:bookmarkStart w:id="54" w:name="_Toc523236205"/>
      <w:r>
        <w:t>SS u</w:t>
      </w:r>
      <w:r w:rsidR="00914308">
        <w:t>tilisation analysis</w:t>
      </w:r>
      <w:bookmarkEnd w:id="54"/>
    </w:p>
    <w:p w14:paraId="02DF4457" w14:textId="0E0E5EA9" w:rsidR="00745FE6" w:rsidRPr="0080695D" w:rsidRDefault="00745FE6" w:rsidP="00745FE6">
      <w:pPr>
        <w:pStyle w:val="BodyText"/>
      </w:pPr>
      <w:bookmarkStart w:id="55" w:name="_Ref462135556"/>
      <w:bookmarkStart w:id="56" w:name="_Ref462140261"/>
      <w:r w:rsidRPr="0080695D">
        <w:t xml:space="preserve">Utilisation was calculated from the </w:t>
      </w:r>
      <w:r w:rsidR="0035629F" w:rsidRPr="0080695D">
        <w:t>SS</w:t>
      </w:r>
      <w:r w:rsidRPr="0080695D">
        <w:t xml:space="preserve"> claims payment data made by individual pharmacy, covering claims paid on dates between </w:t>
      </w:r>
      <w:r w:rsidR="0035629F" w:rsidRPr="0080695D">
        <w:t>4</w:t>
      </w:r>
      <w:r w:rsidRPr="0080695D">
        <w:rPr>
          <w:vertAlign w:val="superscript"/>
        </w:rPr>
        <w:t>th</w:t>
      </w:r>
      <w:r w:rsidRPr="0080695D">
        <w:t xml:space="preserve"> </w:t>
      </w:r>
      <w:r w:rsidR="0035629F" w:rsidRPr="0080695D">
        <w:t>December</w:t>
      </w:r>
      <w:r w:rsidRPr="0080695D">
        <w:t xml:space="preserve">, 2012 and </w:t>
      </w:r>
      <w:r w:rsidR="0035629F" w:rsidRPr="0080695D">
        <w:t>31</w:t>
      </w:r>
      <w:r w:rsidR="0035629F" w:rsidRPr="0080695D">
        <w:rPr>
          <w:vertAlign w:val="superscript"/>
        </w:rPr>
        <w:t>st</w:t>
      </w:r>
      <w:r w:rsidRPr="0080695D">
        <w:t xml:space="preserve"> May, 2016.  </w:t>
      </w:r>
    </w:p>
    <w:p w14:paraId="4A4D7880" w14:textId="2FB00E69" w:rsidR="00745FE6" w:rsidRPr="0080695D" w:rsidRDefault="0035629F" w:rsidP="00745FE6">
      <w:pPr>
        <w:pStyle w:val="BodyText"/>
      </w:pPr>
      <w:r w:rsidRPr="0080695D">
        <w:lastRenderedPageBreak/>
        <w:t>SS</w:t>
      </w:r>
      <w:r w:rsidR="00745FE6" w:rsidRPr="0080695D">
        <w:t xml:space="preserve"> claims payment data </w:t>
      </w:r>
      <w:r w:rsidR="00312031" w:rsidRPr="0080695D">
        <w:t xml:space="preserve">provided by the Department of Health </w:t>
      </w:r>
      <w:r w:rsidR="00745FE6" w:rsidRPr="0080695D">
        <w:t>for 2015 have been analysed in the context of geographical factors that have been inferred from the postcode of each pharmacy. Those factors included are remoteness</w:t>
      </w:r>
      <w:r w:rsidR="00745FE6" w:rsidRPr="0080695D">
        <w:rPr>
          <w:rStyle w:val="FootnoteReference"/>
        </w:rPr>
        <w:footnoteReference w:id="3"/>
      </w:r>
      <w:r w:rsidRPr="0080695D">
        <w:t xml:space="preserve"> (see Table 5</w:t>
      </w:r>
      <w:r w:rsidR="00745FE6" w:rsidRPr="0080695D">
        <w:t>.2); overall population</w:t>
      </w:r>
      <w:r w:rsidRPr="0080695D">
        <w:t xml:space="preserve"> and</w:t>
      </w:r>
      <w:r w:rsidR="00745FE6" w:rsidRPr="0080695D">
        <w:t xml:space="preserve"> </w:t>
      </w:r>
      <w:r w:rsidRPr="0080695D">
        <w:t>mental health issues</w:t>
      </w:r>
      <w:r w:rsidR="00745FE6" w:rsidRPr="0080695D">
        <w:t xml:space="preserve"> prevalence by Primary Health Network (PHN) geographic areas.  These factors were used to assess whether the growth in </w:t>
      </w:r>
      <w:r w:rsidRPr="0080695D">
        <w:t>SS</w:t>
      </w:r>
      <w:r w:rsidR="00745FE6" w:rsidRPr="0080695D">
        <w:t xml:space="preserve"> services has occurred in line with the populations that the program is intended to target.</w:t>
      </w:r>
    </w:p>
    <w:p w14:paraId="19149781" w14:textId="77777777" w:rsidR="00745FE6" w:rsidRPr="0080695D" w:rsidRDefault="00745FE6" w:rsidP="00745FE6">
      <w:pPr>
        <w:pStyle w:val="BodyText"/>
      </w:pPr>
      <w:r w:rsidRPr="0080695D">
        <w:t xml:space="preserve">The claims payments administration system changed in March 2014. Before the change, payments to pharmacies were annotated with the ‘Pharmacy ASN’ identifier. After the change claims payments were annotated using the ‘Organisation Number’ identifier. Both identifying codes are used in Section 90 registers to identify individual pharmacies. These codes were used to assist in locating each pharmacy within its postcode.  </w:t>
      </w:r>
    </w:p>
    <w:p w14:paraId="4604E18A" w14:textId="77777777" w:rsidR="00745FE6" w:rsidRPr="0080695D" w:rsidRDefault="00745FE6" w:rsidP="00745FE6">
      <w:pPr>
        <w:pStyle w:val="BodyText"/>
      </w:pPr>
      <w:r w:rsidRPr="0080695D">
        <w:t>Postcodes were mapped to remoteness using the Australian Bureau of Statistics (ABS) mapping table and to PHAs and PHN areas via Statistical Areas Level 2 (SA2), ABS Australian Statistical Geography Standard (ABS ASGS) 2011.</w:t>
      </w:r>
    </w:p>
    <w:p w14:paraId="444D5562" w14:textId="68AE1A7F" w:rsidR="00745FE6" w:rsidRDefault="00745FE6" w:rsidP="00745FE6">
      <w:pPr>
        <w:pStyle w:val="BodyText"/>
      </w:pPr>
      <w:r w:rsidRPr="0080695D">
        <w:t xml:space="preserve">Key metrics in the analysis are limited to claims paid </w:t>
      </w:r>
      <w:r w:rsidR="0035629F" w:rsidRPr="0080695D">
        <w:t>to participating pharmacies</w:t>
      </w:r>
      <w:r w:rsidRPr="0080695D">
        <w:t xml:space="preserve"> </w:t>
      </w:r>
      <w:r w:rsidR="0035629F" w:rsidRPr="0080695D">
        <w:t xml:space="preserve">in the SS program </w:t>
      </w:r>
      <w:r w:rsidRPr="0080695D">
        <w:t xml:space="preserve">in the claim period (these metrics are recorded in the claims payment administration systems pre and post the system change). Claims paid </w:t>
      </w:r>
      <w:r w:rsidR="0035629F" w:rsidRPr="0080695D">
        <w:t xml:space="preserve">do not relate to </w:t>
      </w:r>
      <w:r w:rsidRPr="0080695D">
        <w:t xml:space="preserve">volumes of patients </w:t>
      </w:r>
      <w:r w:rsidR="0035629F" w:rsidRPr="0080695D">
        <w:t>receiving SS services</w:t>
      </w:r>
      <w:r w:rsidRPr="0080695D">
        <w:t xml:space="preserve"> </w:t>
      </w:r>
      <w:r w:rsidR="0035629F" w:rsidRPr="0080695D">
        <w:t xml:space="preserve">and patient </w:t>
      </w:r>
      <w:r w:rsidRPr="0080695D">
        <w:t>volume</w:t>
      </w:r>
      <w:r w:rsidR="0035629F" w:rsidRPr="0080695D">
        <w:t>s</w:t>
      </w:r>
      <w:r w:rsidRPr="0080695D">
        <w:t xml:space="preserve"> </w:t>
      </w:r>
      <w:r w:rsidR="0035629F" w:rsidRPr="0080695D">
        <w:t>are not provided in the SS claims payment data.</w:t>
      </w:r>
    </w:p>
    <w:p w14:paraId="218DD940" w14:textId="3375A4CD" w:rsidR="0080695D" w:rsidRDefault="0080695D" w:rsidP="0080695D">
      <w:pPr>
        <w:pStyle w:val="BodyText"/>
        <w:rPr>
          <w:highlight w:val="yellow"/>
        </w:rPr>
      </w:pPr>
      <w:r>
        <w:t xml:space="preserve">In </w:t>
      </w:r>
      <w:r w:rsidRPr="0080695D">
        <w:t>addition, de-identified patient level d</w:t>
      </w:r>
      <w:r w:rsidR="00F03A7D" w:rsidRPr="0080695D">
        <w:t xml:space="preserve">ata provided by the Pharmacy Guild of Australia </w:t>
      </w:r>
      <w:r w:rsidRPr="0080695D">
        <w:t>included the data fields drug name, supply frequency, supply internal, start date, supply quantity and age group of each individual that had received a SS service between August 2014 and October 2016.  Although the data provided by the Pharmacy Guild of Australia could not be reconciled with the data provided by the Department, it did enable analysis of the drugs being provided as SS services which provides insight into the clinical indications of the patients requiring such services.</w:t>
      </w:r>
    </w:p>
    <w:p w14:paraId="2098443C" w14:textId="4397782C" w:rsidR="00AE66D1" w:rsidRPr="00A5471D" w:rsidRDefault="00AE66D1" w:rsidP="00AE66D1">
      <w:pPr>
        <w:pStyle w:val="Heading1"/>
      </w:pPr>
      <w:bookmarkStart w:id="57" w:name="_Toc523236206"/>
      <w:r>
        <w:lastRenderedPageBreak/>
        <w:t>Previous evaluations</w:t>
      </w:r>
      <w:bookmarkEnd w:id="55"/>
      <w:r w:rsidR="00692B37">
        <w:t xml:space="preserve"> of the PPI</w:t>
      </w:r>
      <w:r w:rsidR="00C85A17">
        <w:t xml:space="preserve"> </w:t>
      </w:r>
      <w:r w:rsidR="00692B37">
        <w:t>P</w:t>
      </w:r>
      <w:bookmarkEnd w:id="56"/>
      <w:r w:rsidR="00C85A17">
        <w:t>rogram</w:t>
      </w:r>
      <w:bookmarkEnd w:id="57"/>
    </w:p>
    <w:p w14:paraId="40AD3F27" w14:textId="59A6C5CE" w:rsidR="00C85A17" w:rsidRDefault="00C85A17" w:rsidP="00904572">
      <w:pPr>
        <w:pStyle w:val="BodyText"/>
      </w:pPr>
      <w:r w:rsidRPr="00736FDC">
        <w:t xml:space="preserve">This Section summarises the findings of the two evaluations of the </w:t>
      </w:r>
      <w:r w:rsidR="00E77BF3">
        <w:t>SS</w:t>
      </w:r>
      <w:r w:rsidRPr="00736FDC">
        <w:t xml:space="preserve"> initiative funded by the Commonwealth under the 4CPA and 5CPA. The intention of these summaries is to provide MSAC with an understanding of the approaches taken to evaluate the </w:t>
      </w:r>
      <w:r w:rsidR="00E77BF3">
        <w:t>SS</w:t>
      </w:r>
      <w:r w:rsidRPr="00736FDC">
        <w:t xml:space="preserve"> initiative in Australia, as well as a high level overview of the findings of previous evaluations in relation to effectiveness and cost-effectiveness of the service.</w:t>
      </w:r>
    </w:p>
    <w:p w14:paraId="6DE3EE22" w14:textId="3F36759B" w:rsidR="00C35A33" w:rsidRDefault="00C35A33" w:rsidP="00C35A33">
      <w:pPr>
        <w:pStyle w:val="Heading2"/>
      </w:pPr>
      <w:bookmarkStart w:id="58" w:name="_Toc523236207"/>
      <w:r>
        <w:t>4CPA Review of SS by NOVA Public Policy</w:t>
      </w:r>
      <w:r w:rsidRPr="00904572">
        <w:t xml:space="preserve"> 2010</w:t>
      </w:r>
      <w:bookmarkEnd w:id="58"/>
    </w:p>
    <w:p w14:paraId="77F431EF" w14:textId="1520A32B" w:rsidR="002C7F8B" w:rsidRDefault="00C35A33" w:rsidP="002C7F8B">
      <w:pPr>
        <w:pStyle w:val="BodyText"/>
      </w:pPr>
      <w:r>
        <w:t>The Review of Staged Supply</w:t>
      </w:r>
      <w:r w:rsidR="004B5B68">
        <w:t>,</w:t>
      </w:r>
      <w:r>
        <w:t xml:space="preserve"> which was established under the Fourth Community Pharmacy Agreement (4CPA)</w:t>
      </w:r>
      <w:r w:rsidR="004B5B68">
        <w:t>,</w:t>
      </w:r>
      <w:r>
        <w:t xml:space="preserve"> </w:t>
      </w:r>
      <w:r w:rsidR="004B5B68">
        <w:t>was undertaken by NOVA Public Policy and overseen by a Review Group nominated by the Department of Health and Ageing and the Pharmacy Guild of Australia</w:t>
      </w:r>
      <w:r w:rsidR="008260BF">
        <w:t xml:space="preserve"> (NOVA Final Report, February 2010)</w:t>
      </w:r>
      <w:r w:rsidR="004B5B68">
        <w:t xml:space="preserve">. </w:t>
      </w:r>
      <w:r w:rsidR="002C7F8B">
        <w:t xml:space="preserve">The project </w:t>
      </w:r>
      <w:r w:rsidR="00736FDC">
        <w:t xml:space="preserve">involved </w:t>
      </w:r>
      <w:r w:rsidR="002C7F8B">
        <w:t>a review of legislation, regulation and procedural arrangements, const</w:t>
      </w:r>
      <w:r w:rsidR="00736FDC">
        <w:t xml:space="preserve">ruction of research instruments, and </w:t>
      </w:r>
      <w:r w:rsidR="002C7F8B">
        <w:t>stakeholder consultations</w:t>
      </w:r>
      <w:r w:rsidR="00736FDC">
        <w:t>. The project did not cover the Opiate Dependence Treatment (ODT) Program or the DAA program, both of which were subject to a separate evaluation.</w:t>
      </w:r>
    </w:p>
    <w:p w14:paraId="0795AA64" w14:textId="2109F5D3" w:rsidR="00C35A33" w:rsidRDefault="004B5B68" w:rsidP="004B5B68">
      <w:pPr>
        <w:pStyle w:val="BodyText"/>
      </w:pPr>
      <w:r>
        <w:t>The Review examined the circumstances in which SS might be clinically indicated and the legislative, financial, administrative and practice implications. It included consideration of: PBS medicines used for the treatment of mental health disorders and opioid analgesics; State, Territory and Australian legislative constraints; costs to pharmacy; prescribing and dispensing practices and the patient records held by the pharmacy; implications for the PBS Safety Net Scheme; and implementation proposal for a uniform SS process.</w:t>
      </w:r>
    </w:p>
    <w:p w14:paraId="046C2DC5" w14:textId="77777777" w:rsidR="007235AF" w:rsidRDefault="00C35A33" w:rsidP="007235AF">
      <w:pPr>
        <w:pStyle w:val="BodyText"/>
      </w:pPr>
      <w:r w:rsidRPr="00062DEA">
        <w:rPr>
          <w:szCs w:val="24"/>
        </w:rPr>
        <w:fldChar w:fldCharType="begin"/>
      </w:r>
      <w:r w:rsidRPr="00062DEA">
        <w:rPr>
          <w:szCs w:val="24"/>
        </w:rPr>
        <w:instrText xml:space="preserve"> REF _Ref462317249 \h  \* MERGEFORMAT </w:instrText>
      </w:r>
      <w:r w:rsidRPr="00062DEA">
        <w:rPr>
          <w:szCs w:val="24"/>
        </w:rPr>
      </w:r>
      <w:r w:rsidRPr="00062DEA">
        <w:rPr>
          <w:szCs w:val="24"/>
        </w:rPr>
        <w:fldChar w:fldCharType="separate"/>
      </w:r>
      <w:r w:rsidR="006F3580" w:rsidRPr="006F3580">
        <w:rPr>
          <w:iCs/>
          <w:szCs w:val="24"/>
        </w:rPr>
        <w:t xml:space="preserve">Table </w:t>
      </w:r>
      <w:r w:rsidR="006F3580" w:rsidRPr="006F3580">
        <w:rPr>
          <w:iCs/>
          <w:noProof/>
          <w:szCs w:val="24"/>
        </w:rPr>
        <w:t>4.1</w:t>
      </w:r>
      <w:r w:rsidRPr="00062DEA">
        <w:rPr>
          <w:szCs w:val="24"/>
        </w:rPr>
        <w:fldChar w:fldCharType="end"/>
      </w:r>
      <w:r w:rsidRPr="00062DEA">
        <w:rPr>
          <w:szCs w:val="24"/>
        </w:rPr>
        <w:t xml:space="preserve"> </w:t>
      </w:r>
      <w:r w:rsidRPr="00EC2EE9">
        <w:t xml:space="preserve">presents the main findings from the consultations conducted across Australia during August and October/November 2009. </w:t>
      </w:r>
      <w:r w:rsidR="006002B7">
        <w:t>It was noted that due to t</w:t>
      </w:r>
      <w:r w:rsidR="006002B7" w:rsidRPr="008A67AD">
        <w:t xml:space="preserve">he absence of uniform national procedures and the consequent lack of data on the scope of </w:t>
      </w:r>
      <w:r w:rsidR="006002B7">
        <w:t xml:space="preserve">SS delivery, the </w:t>
      </w:r>
      <w:r w:rsidR="006002B7" w:rsidRPr="008A67AD">
        <w:t>potential and actual costs</w:t>
      </w:r>
      <w:r w:rsidR="006002B7">
        <w:t xml:space="preserve"> of a SS service</w:t>
      </w:r>
      <w:r w:rsidR="006002B7" w:rsidRPr="008A67AD">
        <w:t>, stakeholder satisfaction</w:t>
      </w:r>
      <w:r w:rsidR="006002B7">
        <w:t>,</w:t>
      </w:r>
      <w:r w:rsidR="006002B7" w:rsidRPr="008A67AD">
        <w:t xml:space="preserve"> and impacts on he</w:t>
      </w:r>
      <w:r w:rsidR="006002B7">
        <w:t>alth and patient outcomes could not</w:t>
      </w:r>
      <w:r w:rsidR="006002B7" w:rsidRPr="008A67AD">
        <w:t xml:space="preserve"> be tracked</w:t>
      </w:r>
      <w:r w:rsidR="006002B7">
        <w:t xml:space="preserve">. </w:t>
      </w:r>
    </w:p>
    <w:p w14:paraId="2CCE6101" w14:textId="1464E424" w:rsidR="007235AF" w:rsidRDefault="007235AF" w:rsidP="007235AF">
      <w:pPr>
        <w:pStyle w:val="BodyText"/>
      </w:pPr>
      <w:r>
        <w:t>Pharmacists consulted stated that they undertake a range of significant tasks associated with SS, many of which represent a business cost to that is not remunerated. These costs may include: consultations with prescribers concerning required dispensing actions; consultation with the patient with respect to their wishes and agreed mode and frequency of supply; repackaging and additional storage of medicines; record keeping including agreements with patients in relation to the supply; multiple supply events; consultations with patients about aspects of SS including managing disputes and complaints; consultation with prescribers and/or case managers about medication adherence issues; disposal of unclaimed medications. While many of these actions may be required for standard prescribing practice, the scale and frequency of these events are increased in the case of SS. It was the general view of those consulted that these tasks represented a significant cost which was increasing as the incidence of SS increases.</w:t>
      </w:r>
    </w:p>
    <w:p w14:paraId="41A8A70E" w14:textId="659C8E3C" w:rsidR="00C35A33" w:rsidRPr="008F16F4" w:rsidRDefault="00C35A33" w:rsidP="008F16F4">
      <w:pPr>
        <w:pStyle w:val="Caption"/>
      </w:pPr>
      <w:bookmarkStart w:id="59" w:name="_Ref462317249"/>
      <w:bookmarkStart w:id="60" w:name="_Toc467155926"/>
      <w:r w:rsidRPr="00904572">
        <w:lastRenderedPageBreak/>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4</w:t>
      </w:r>
      <w:r w:rsidR="00872B71">
        <w:rPr>
          <w:noProof/>
        </w:rPr>
        <w:fldChar w:fldCharType="end"/>
      </w:r>
      <w:r w:rsidR="00542F4A">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1</w:t>
      </w:r>
      <w:r w:rsidR="00872B71">
        <w:rPr>
          <w:noProof/>
        </w:rPr>
        <w:fldChar w:fldCharType="end"/>
      </w:r>
      <w:bookmarkEnd w:id="59"/>
      <w:r>
        <w:tab/>
      </w:r>
      <w:r w:rsidRPr="00062DEA">
        <w:t>Main findings of the 2010 NOVA Publi</w:t>
      </w:r>
      <w:r>
        <w:t>c Policy Review of SS</w:t>
      </w:r>
      <w:bookmarkEnd w:id="60"/>
    </w:p>
    <w:tbl>
      <w:tblPr>
        <w:tblStyle w:val="TableGrid"/>
        <w:tblW w:w="5000" w:type="pct"/>
        <w:tblLook w:val="04A0" w:firstRow="1" w:lastRow="0" w:firstColumn="1" w:lastColumn="0" w:noHBand="0" w:noVBand="1"/>
        <w:tblCaption w:val="Table 4.1"/>
        <w:tblDescription w:val="Main findings of the 2010 NOVA Public Policy Review of SS"/>
      </w:tblPr>
      <w:tblGrid>
        <w:gridCol w:w="2263"/>
        <w:gridCol w:w="7365"/>
      </w:tblGrid>
      <w:tr w:rsidR="00C35A33" w14:paraId="3908FA86" w14:textId="77777777" w:rsidTr="006B2FBC">
        <w:trPr>
          <w:cnfStyle w:val="100000000000" w:firstRow="1" w:lastRow="0" w:firstColumn="0" w:lastColumn="0" w:oddVBand="0" w:evenVBand="0" w:oddHBand="0" w:evenHBand="0" w:firstRowFirstColumn="0" w:firstRowLastColumn="0" w:lastRowFirstColumn="0" w:lastRowLastColumn="0"/>
        </w:trPr>
        <w:tc>
          <w:tcPr>
            <w:tcW w:w="1175" w:type="pct"/>
          </w:tcPr>
          <w:p w14:paraId="7E1DA93C" w14:textId="77777777" w:rsidR="00C35A33" w:rsidRPr="00062DEA" w:rsidRDefault="00C35A33" w:rsidP="00DF66BD">
            <w:pPr>
              <w:pStyle w:val="01Tableheaderrow"/>
            </w:pPr>
            <w:r w:rsidRPr="00062DEA">
              <w:t>Consultations</w:t>
            </w:r>
          </w:p>
        </w:tc>
        <w:tc>
          <w:tcPr>
            <w:tcW w:w="3825" w:type="pct"/>
            <w:vAlign w:val="center"/>
          </w:tcPr>
          <w:p w14:paraId="52F26B3E" w14:textId="77777777" w:rsidR="00C35A33" w:rsidRPr="00062DEA" w:rsidRDefault="00C35A33" w:rsidP="006B2FBC">
            <w:pPr>
              <w:pStyle w:val="01Tableheaderrow"/>
              <w:jc w:val="center"/>
            </w:pPr>
            <w:r w:rsidRPr="00062DEA">
              <w:t>Key findings</w:t>
            </w:r>
          </w:p>
        </w:tc>
      </w:tr>
      <w:tr w:rsidR="00C35A33" w14:paraId="1A74FC7E" w14:textId="77777777" w:rsidTr="006B2FBC">
        <w:tc>
          <w:tcPr>
            <w:tcW w:w="1175" w:type="pct"/>
          </w:tcPr>
          <w:p w14:paraId="287FA7B8" w14:textId="77777777" w:rsidR="00C35A33" w:rsidRPr="00062DEA" w:rsidRDefault="00C35A33" w:rsidP="00DF66BD">
            <w:pPr>
              <w:pStyle w:val="02Tabletext"/>
            </w:pPr>
            <w:r w:rsidRPr="00062DEA">
              <w:t>Program regulations</w:t>
            </w:r>
          </w:p>
        </w:tc>
        <w:tc>
          <w:tcPr>
            <w:tcW w:w="3825" w:type="pct"/>
          </w:tcPr>
          <w:p w14:paraId="44520ACC" w14:textId="77777777" w:rsidR="00C35A33" w:rsidRPr="00062DEA" w:rsidRDefault="00C35A33" w:rsidP="00DF66BD">
            <w:pPr>
              <w:pStyle w:val="06Tablebullet"/>
              <w:keepNext/>
            </w:pPr>
            <w:r w:rsidRPr="00062DEA">
              <w:t>There were no procedures to guide SS practice, although it is covered by broad guidelines, standards and State/Territory regulations for pharmacists and pharmacies</w:t>
            </w:r>
            <w:r>
              <w:t>.</w:t>
            </w:r>
          </w:p>
        </w:tc>
      </w:tr>
      <w:tr w:rsidR="00C35A33" w14:paraId="1B0F6DC5" w14:textId="77777777" w:rsidTr="006B2FBC">
        <w:trPr>
          <w:cnfStyle w:val="000000010000" w:firstRow="0" w:lastRow="0" w:firstColumn="0" w:lastColumn="0" w:oddVBand="0" w:evenVBand="0" w:oddHBand="0" w:evenHBand="1" w:firstRowFirstColumn="0" w:firstRowLastColumn="0" w:lastRowFirstColumn="0" w:lastRowLastColumn="0"/>
        </w:trPr>
        <w:tc>
          <w:tcPr>
            <w:tcW w:w="1175" w:type="pct"/>
          </w:tcPr>
          <w:p w14:paraId="15073316" w14:textId="77777777" w:rsidR="00C35A33" w:rsidRDefault="00C35A33" w:rsidP="00DF66BD">
            <w:pPr>
              <w:pStyle w:val="02Tabletext"/>
            </w:pPr>
            <w:r>
              <w:t>Prevalence and participation</w:t>
            </w:r>
          </w:p>
        </w:tc>
        <w:tc>
          <w:tcPr>
            <w:tcW w:w="3825" w:type="pct"/>
          </w:tcPr>
          <w:p w14:paraId="503F8724" w14:textId="77777777" w:rsidR="00C35A33" w:rsidRDefault="00C35A33" w:rsidP="00DF66BD">
            <w:pPr>
              <w:pStyle w:val="06Tablebullet"/>
              <w:keepNext/>
            </w:pPr>
            <w:r>
              <w:t>T</w:t>
            </w:r>
            <w:r w:rsidRPr="008A67AD">
              <w:t>he number of patient</w:t>
            </w:r>
            <w:r>
              <w:t>s accessing SS could not</w:t>
            </w:r>
            <w:r w:rsidRPr="008A67AD">
              <w:t xml:space="preserve"> be quantified due to the absenc</w:t>
            </w:r>
            <w:r>
              <w:t>e of national data collection, and i</w:t>
            </w:r>
            <w:r w:rsidRPr="00574C86">
              <w:t>t was reported by the pharmacists consulted to be “extensive and growing”</w:t>
            </w:r>
            <w:r>
              <w:t>,</w:t>
            </w:r>
            <w:r w:rsidRPr="008A67AD">
              <w:t xml:space="preserve"> and it may be on average up to 30 patients per pharmacy</w:t>
            </w:r>
            <w:r>
              <w:t>.</w:t>
            </w:r>
          </w:p>
          <w:p w14:paraId="30305A1A" w14:textId="77777777" w:rsidR="00C35A33" w:rsidRDefault="00C35A33" w:rsidP="00DF66BD">
            <w:pPr>
              <w:pStyle w:val="06Tablebullet"/>
              <w:keepNext/>
            </w:pPr>
            <w:r>
              <w:t>T</w:t>
            </w:r>
            <w:r w:rsidRPr="008A67AD">
              <w:t>he numbers of prescription</w:t>
            </w:r>
            <w:r>
              <w:t>s delivered as SS was</w:t>
            </w:r>
            <w:r w:rsidRPr="008A67AD">
              <w:t xml:space="preserve"> quantified and monitored </w:t>
            </w:r>
            <w:r>
              <w:t>primarily i</w:t>
            </w:r>
            <w:r w:rsidRPr="008A67AD">
              <w:t>n jur</w:t>
            </w:r>
            <w:r>
              <w:t>isdictions where SS wa</w:t>
            </w:r>
            <w:r w:rsidRPr="008A67AD">
              <w:t>s</w:t>
            </w:r>
            <w:r>
              <w:t xml:space="preserve"> provided under an “authority” or where there was</w:t>
            </w:r>
            <w:r w:rsidRPr="008A67AD">
              <w:t xml:space="preserve"> tracking </w:t>
            </w:r>
            <w:r>
              <w:t>of specific types of medicines.</w:t>
            </w:r>
          </w:p>
          <w:p w14:paraId="49FD721C" w14:textId="77777777" w:rsidR="00C35A33" w:rsidRDefault="00C35A33" w:rsidP="00DF66BD">
            <w:pPr>
              <w:pStyle w:val="06Tablebullet"/>
              <w:keepNext/>
            </w:pPr>
            <w:r>
              <w:t>T</w:t>
            </w:r>
            <w:r w:rsidRPr="008A67AD">
              <w:t xml:space="preserve">he absence of uniform national procedures and the consequent lack of data on the scope of </w:t>
            </w:r>
            <w:r>
              <w:t>SS</w:t>
            </w:r>
            <w:r w:rsidRPr="008A67AD">
              <w:t xml:space="preserve"> delivery mean that potential and actual costs, stakeholder satisfaction and impacts on he</w:t>
            </w:r>
            <w:r>
              <w:t>alth and patient outcomes could not</w:t>
            </w:r>
            <w:r w:rsidRPr="008A67AD">
              <w:t xml:space="preserve"> be tracked.</w:t>
            </w:r>
          </w:p>
        </w:tc>
      </w:tr>
      <w:tr w:rsidR="00C35A33" w14:paraId="6F5B6B5A" w14:textId="77777777" w:rsidTr="006B2FBC">
        <w:tc>
          <w:tcPr>
            <w:tcW w:w="1175" w:type="pct"/>
          </w:tcPr>
          <w:p w14:paraId="39F2F0FD" w14:textId="77777777" w:rsidR="00C35A33" w:rsidRDefault="00C35A33" w:rsidP="00DF66BD">
            <w:pPr>
              <w:pStyle w:val="02Tabletext"/>
            </w:pPr>
            <w:r>
              <w:t>Mechanism for requesting SS</w:t>
            </w:r>
          </w:p>
        </w:tc>
        <w:tc>
          <w:tcPr>
            <w:tcW w:w="3825" w:type="pct"/>
          </w:tcPr>
          <w:p w14:paraId="3813EC42" w14:textId="77777777" w:rsidR="00C35A33" w:rsidRDefault="00C35A33" w:rsidP="00DF66BD">
            <w:pPr>
              <w:pStyle w:val="06Tablebullet"/>
              <w:keepNext/>
            </w:pPr>
            <w:r>
              <w:t>SS i</w:t>
            </w:r>
            <w:r w:rsidRPr="008A67AD">
              <w:t xml:space="preserve">s generally initiated by the prescriber, although </w:t>
            </w:r>
            <w:r>
              <w:t>there are no formal mechanisms</w:t>
            </w:r>
            <w:r w:rsidRPr="008A67AD">
              <w:t xml:space="preserve"> for requesting it on the prescription form, and the request from a prescriber is not necessarily seen by the pharmacist as obligatory</w:t>
            </w:r>
            <w:r>
              <w:t>.</w:t>
            </w:r>
          </w:p>
        </w:tc>
      </w:tr>
      <w:tr w:rsidR="00C35A33" w14:paraId="30DF4D6C" w14:textId="77777777" w:rsidTr="006B2FBC">
        <w:trPr>
          <w:cnfStyle w:val="000000010000" w:firstRow="0" w:lastRow="0" w:firstColumn="0" w:lastColumn="0" w:oddVBand="0" w:evenVBand="0" w:oddHBand="0" w:evenHBand="1" w:firstRowFirstColumn="0" w:firstRowLastColumn="0" w:lastRowFirstColumn="0" w:lastRowLastColumn="0"/>
        </w:trPr>
        <w:tc>
          <w:tcPr>
            <w:tcW w:w="1175" w:type="pct"/>
          </w:tcPr>
          <w:p w14:paraId="2132518F" w14:textId="6F23EFC1" w:rsidR="00C35A33" w:rsidRDefault="00736FDC" w:rsidP="00DF66BD">
            <w:pPr>
              <w:pStyle w:val="02Tabletext"/>
            </w:pPr>
            <w:r>
              <w:t>Applicable</w:t>
            </w:r>
            <w:r w:rsidR="00C35A33">
              <w:t xml:space="preserve"> medicines</w:t>
            </w:r>
          </w:p>
        </w:tc>
        <w:tc>
          <w:tcPr>
            <w:tcW w:w="3825" w:type="pct"/>
          </w:tcPr>
          <w:p w14:paraId="226FAA27" w14:textId="77777777" w:rsidR="00C35A33" w:rsidRDefault="00C35A33" w:rsidP="00DF66BD">
            <w:pPr>
              <w:pStyle w:val="06Tablebullet"/>
              <w:keepNext/>
            </w:pPr>
            <w:r>
              <w:t>T</w:t>
            </w:r>
            <w:r w:rsidRPr="008A67AD">
              <w:t>he types of medici</w:t>
            </w:r>
            <w:r>
              <w:t xml:space="preserve">nes </w:t>
            </w:r>
            <w:r w:rsidRPr="008A67AD">
              <w:t>commonly</w:t>
            </w:r>
            <w:r>
              <w:t xml:space="preserve"> subject, but not entirely restricted to SS included: antipsychotics, anxiolytics, hypnotics and sedatives, antidepressants, and </w:t>
            </w:r>
            <w:r w:rsidRPr="008A67AD">
              <w:t>opioid analgesics</w:t>
            </w:r>
            <w:r>
              <w:t>.</w:t>
            </w:r>
          </w:p>
        </w:tc>
      </w:tr>
      <w:tr w:rsidR="00C35A33" w14:paraId="4A1D9AE9" w14:textId="77777777" w:rsidTr="006B2FBC">
        <w:tc>
          <w:tcPr>
            <w:tcW w:w="1175" w:type="pct"/>
          </w:tcPr>
          <w:p w14:paraId="01A9E501" w14:textId="77777777" w:rsidR="00C35A33" w:rsidRDefault="00C35A33" w:rsidP="00DF66BD">
            <w:pPr>
              <w:pStyle w:val="02Tabletext"/>
            </w:pPr>
            <w:r>
              <w:t>Participant profile</w:t>
            </w:r>
          </w:p>
        </w:tc>
        <w:tc>
          <w:tcPr>
            <w:tcW w:w="3825" w:type="pct"/>
          </w:tcPr>
          <w:p w14:paraId="6DC316C0" w14:textId="77777777" w:rsidR="00C35A33" w:rsidRDefault="00C35A33" w:rsidP="00DF66BD">
            <w:pPr>
              <w:pStyle w:val="06Tablebullet"/>
              <w:keepNext/>
            </w:pPr>
            <w:r>
              <w:t>T</w:t>
            </w:r>
            <w:r w:rsidRPr="008A67AD">
              <w:t xml:space="preserve">he patient indicators for </w:t>
            </w:r>
            <w:r>
              <w:t>SS</w:t>
            </w:r>
            <w:r w:rsidRPr="008A67AD">
              <w:t xml:space="preserve"> that were commonly reported in the consultations included:</w:t>
            </w:r>
            <w:r>
              <w:t xml:space="preserve"> </w:t>
            </w:r>
            <w:r w:rsidRPr="008A67AD">
              <w:t>confusion and/or significant disorientation</w:t>
            </w:r>
            <w:r>
              <w:t xml:space="preserve">, </w:t>
            </w:r>
            <w:r w:rsidRPr="008A67AD">
              <w:t>risk of accidenta</w:t>
            </w:r>
            <w:r>
              <w:t>l or deliberate self-</w:t>
            </w:r>
            <w:r w:rsidRPr="008A67AD">
              <w:t>harm or harm to others</w:t>
            </w:r>
            <w:r>
              <w:t xml:space="preserve">, </w:t>
            </w:r>
            <w:r w:rsidRPr="008A67AD">
              <w:t>risk of non-adherence to a medication regime</w:t>
            </w:r>
            <w:r>
              <w:t xml:space="preserve">, and </w:t>
            </w:r>
            <w:r w:rsidRPr="008A67AD">
              <w:t>risk of patient misuse or on-selling of the medication</w:t>
            </w:r>
            <w:r>
              <w:t>.</w:t>
            </w:r>
          </w:p>
          <w:p w14:paraId="704CB737" w14:textId="77777777" w:rsidR="00C35A33" w:rsidRDefault="00C35A33" w:rsidP="00DF66BD">
            <w:pPr>
              <w:pStyle w:val="06Tablebullet"/>
              <w:keepNext/>
            </w:pPr>
            <w:r>
              <w:t xml:space="preserve">A small number of </w:t>
            </w:r>
            <w:r w:rsidRPr="008A67AD">
              <w:t>pharma</w:t>
            </w:r>
            <w:r>
              <w:t>cists provided medicine in insta</w:t>
            </w:r>
            <w:r w:rsidRPr="008A67AD">
              <w:t>lments, without instructions from a prescriber. This was usually where a patient</w:t>
            </w:r>
            <w:r>
              <w:t>’</w:t>
            </w:r>
            <w:r w:rsidRPr="008A67AD">
              <w:t>s judgment was impaired by alcohol, drugs or mental illness and providing the full supply could have contravened the professional re</w:t>
            </w:r>
            <w:r>
              <w:t>sponsibility of the pharmacist.</w:t>
            </w:r>
          </w:p>
        </w:tc>
      </w:tr>
      <w:tr w:rsidR="00C35A33" w14:paraId="4C9F6938" w14:textId="77777777" w:rsidTr="006B2FBC">
        <w:trPr>
          <w:cnfStyle w:val="000000010000" w:firstRow="0" w:lastRow="0" w:firstColumn="0" w:lastColumn="0" w:oddVBand="0" w:evenVBand="0" w:oddHBand="0" w:evenHBand="1" w:firstRowFirstColumn="0" w:firstRowLastColumn="0" w:lastRowFirstColumn="0" w:lastRowLastColumn="0"/>
        </w:trPr>
        <w:tc>
          <w:tcPr>
            <w:tcW w:w="1175" w:type="pct"/>
          </w:tcPr>
          <w:p w14:paraId="6CCCC611" w14:textId="77777777" w:rsidR="00C35A33" w:rsidRDefault="00C35A33" w:rsidP="00DF66BD">
            <w:pPr>
              <w:pStyle w:val="02Tabletext"/>
            </w:pPr>
            <w:r>
              <w:t>Reasons for offering SS</w:t>
            </w:r>
          </w:p>
        </w:tc>
        <w:tc>
          <w:tcPr>
            <w:tcW w:w="3825" w:type="pct"/>
          </w:tcPr>
          <w:p w14:paraId="06D769D3" w14:textId="77777777" w:rsidR="00C35A33" w:rsidRPr="00DC08DC" w:rsidRDefault="00C35A33" w:rsidP="00DF66BD">
            <w:pPr>
              <w:pStyle w:val="06Tablebullet"/>
              <w:keepNext/>
            </w:pPr>
            <w:r>
              <w:t>R</w:t>
            </w:r>
            <w:r w:rsidRPr="00DC08DC">
              <w:t>educing the rate of diverting medicines to street supply</w:t>
            </w:r>
            <w:r>
              <w:t>.</w:t>
            </w:r>
          </w:p>
          <w:p w14:paraId="110369A5" w14:textId="77777777" w:rsidR="00C35A33" w:rsidRPr="00DC08DC" w:rsidRDefault="00C35A33" w:rsidP="00DF66BD">
            <w:pPr>
              <w:pStyle w:val="06Tablebullet"/>
              <w:keepNext/>
            </w:pPr>
            <w:r>
              <w:t xml:space="preserve">Increase patient </w:t>
            </w:r>
            <w:r w:rsidRPr="00DC08DC">
              <w:t>compliance with medication regimes, particularly where there may be resistance or a degree of confusion/incapacity to adhere to treatment regimes</w:t>
            </w:r>
            <w:r>
              <w:t>.</w:t>
            </w:r>
          </w:p>
          <w:p w14:paraId="4AF895F0" w14:textId="77777777" w:rsidR="00C35A33" w:rsidRPr="00DC08DC" w:rsidRDefault="00C35A33" w:rsidP="00DF66BD">
            <w:pPr>
              <w:pStyle w:val="06Tablebullet"/>
              <w:keepNext/>
            </w:pPr>
            <w:r>
              <w:t xml:space="preserve">Assist in monitoring patients’ </w:t>
            </w:r>
            <w:r w:rsidRPr="00DC08DC">
              <w:t>medication adherence</w:t>
            </w:r>
            <w:r>
              <w:t>.</w:t>
            </w:r>
          </w:p>
          <w:p w14:paraId="3D9CFE77" w14:textId="77777777" w:rsidR="00C35A33" w:rsidRPr="00DC08DC" w:rsidRDefault="00C35A33" w:rsidP="00DF66BD">
            <w:pPr>
              <w:pStyle w:val="06Tablebullet"/>
              <w:keepNext/>
            </w:pPr>
            <w:r>
              <w:t>P</w:t>
            </w:r>
            <w:r w:rsidRPr="00DC08DC">
              <w:t>roviding safe and suitable storage for medications for people with a mental illness who may also be homeless or in sheltered accommodation where theft or access to refrigeration is an issue</w:t>
            </w:r>
            <w:r>
              <w:t>.</w:t>
            </w:r>
          </w:p>
          <w:p w14:paraId="4ADAF2BF" w14:textId="77777777" w:rsidR="00C35A33" w:rsidRDefault="00C35A33" w:rsidP="00DF66BD">
            <w:pPr>
              <w:pStyle w:val="06Tablebullet"/>
              <w:keepNext/>
            </w:pPr>
            <w:r>
              <w:t>Provide a better</w:t>
            </w:r>
            <w:r w:rsidRPr="00DC08DC">
              <w:t xml:space="preserve"> coordinated approach to the treatment of people with a mental illness.</w:t>
            </w:r>
          </w:p>
        </w:tc>
      </w:tr>
      <w:tr w:rsidR="00C35A33" w14:paraId="2E884103" w14:textId="77777777" w:rsidTr="006B2FBC">
        <w:tc>
          <w:tcPr>
            <w:tcW w:w="1175" w:type="pct"/>
          </w:tcPr>
          <w:p w14:paraId="1A946F66" w14:textId="77777777" w:rsidR="00C35A33" w:rsidRDefault="00C35A33" w:rsidP="00DF66BD">
            <w:pPr>
              <w:pStyle w:val="02Tabletext"/>
            </w:pPr>
            <w:r>
              <w:t>Prescribing, dispensing and record keeping practices</w:t>
            </w:r>
          </w:p>
        </w:tc>
        <w:tc>
          <w:tcPr>
            <w:tcW w:w="3825" w:type="pct"/>
          </w:tcPr>
          <w:p w14:paraId="4B825EAA" w14:textId="77777777" w:rsidR="00C35A33" w:rsidRDefault="00C35A33" w:rsidP="00DF66BD">
            <w:pPr>
              <w:pStyle w:val="06Tablebullet"/>
              <w:keepNext/>
            </w:pPr>
            <w:r>
              <w:t>Variability in the frequency of SS (ranging from daily, weekly to twice a month).</w:t>
            </w:r>
          </w:p>
          <w:p w14:paraId="63768BF4" w14:textId="77777777" w:rsidR="00C35A33" w:rsidRDefault="00C35A33" w:rsidP="00DF66BD">
            <w:pPr>
              <w:pStyle w:val="06Tablebullet"/>
              <w:keepNext/>
            </w:pPr>
            <w:r>
              <w:t xml:space="preserve">Variability in pharmacy approaches to (re)packaging and storage of dispensed medicines. </w:t>
            </w:r>
          </w:p>
          <w:p w14:paraId="55E3F491" w14:textId="77777777" w:rsidR="00C35A33" w:rsidRDefault="00C35A33" w:rsidP="00DF66BD">
            <w:pPr>
              <w:pStyle w:val="06Tablebullet"/>
              <w:keepNext/>
            </w:pPr>
            <w:r>
              <w:t>Variability in record keeping (ranging from informal notations, daily dosage sheets to ledgers and electronic records).</w:t>
            </w:r>
          </w:p>
          <w:p w14:paraId="252A5238" w14:textId="77777777" w:rsidR="00C35A33" w:rsidRDefault="00C35A33" w:rsidP="00DF66BD">
            <w:pPr>
              <w:pStyle w:val="06Tablebullet"/>
              <w:keepNext/>
            </w:pPr>
            <w:r>
              <w:t xml:space="preserve">Variability in approaches by community pharmacies to engaging with patients. </w:t>
            </w:r>
          </w:p>
          <w:p w14:paraId="63A0E544" w14:textId="77777777" w:rsidR="00C35A33" w:rsidRDefault="00C35A33" w:rsidP="00DF66BD">
            <w:pPr>
              <w:pStyle w:val="06Tablebullet"/>
              <w:keepNext/>
            </w:pPr>
            <w:r>
              <w:t>Variability in procedures for non-collection of medicines.</w:t>
            </w:r>
          </w:p>
        </w:tc>
      </w:tr>
      <w:tr w:rsidR="00C35A33" w14:paraId="33A39419" w14:textId="77777777" w:rsidTr="006B2FBC">
        <w:trPr>
          <w:cnfStyle w:val="000000010000" w:firstRow="0" w:lastRow="0" w:firstColumn="0" w:lastColumn="0" w:oddVBand="0" w:evenVBand="0" w:oddHBand="0" w:evenHBand="1" w:firstRowFirstColumn="0" w:firstRowLastColumn="0" w:lastRowFirstColumn="0" w:lastRowLastColumn="0"/>
        </w:trPr>
        <w:tc>
          <w:tcPr>
            <w:tcW w:w="1175" w:type="pct"/>
          </w:tcPr>
          <w:p w14:paraId="3C32EBBA" w14:textId="77777777" w:rsidR="00C35A33" w:rsidRPr="00DE7F45" w:rsidRDefault="00C35A33" w:rsidP="00DF66BD">
            <w:pPr>
              <w:pStyle w:val="02Tabletext"/>
            </w:pPr>
            <w:r w:rsidRPr="00DE7F45">
              <w:t>Costs and remuneration</w:t>
            </w:r>
          </w:p>
        </w:tc>
        <w:tc>
          <w:tcPr>
            <w:tcW w:w="3825" w:type="pct"/>
          </w:tcPr>
          <w:p w14:paraId="088A1E08" w14:textId="50B1A2B1" w:rsidR="00C35A33" w:rsidRPr="00DE7F45" w:rsidRDefault="00C35A33" w:rsidP="00DF66BD">
            <w:pPr>
              <w:pStyle w:val="06Tablebullet"/>
              <w:keepNext/>
            </w:pPr>
            <w:r w:rsidRPr="00DE7F45">
              <w:t>Community Pharmacies are not currently remunerated by the Australian Government for providing service</w:t>
            </w:r>
            <w:r>
              <w:t>s related to the SS</w:t>
            </w:r>
            <w:r w:rsidRPr="00DE7F45">
              <w:t>.</w:t>
            </w:r>
          </w:p>
          <w:p w14:paraId="35AEDC1E" w14:textId="77777777" w:rsidR="00C35A33" w:rsidRPr="00DE7F45" w:rsidRDefault="00C35A33" w:rsidP="00DF66BD">
            <w:pPr>
              <w:pStyle w:val="06Tablebullet"/>
              <w:keepNext/>
            </w:pPr>
            <w:r w:rsidRPr="00DE7F45">
              <w:t>Current PBS arrangements define a single dispensing event with a single fee paid by the Australian Government with no capacity within the existing regulatory framework to accommodate paying for supplying a number of instalments of a dispensed medicine</w:t>
            </w:r>
            <w:r>
              <w:t>.</w:t>
            </w:r>
          </w:p>
          <w:p w14:paraId="103F421E" w14:textId="77777777" w:rsidR="00C35A33" w:rsidRPr="00DE7F45" w:rsidRDefault="00C35A33" w:rsidP="00DF66BD">
            <w:pPr>
              <w:pStyle w:val="06Tablebullet"/>
              <w:keepNext/>
            </w:pPr>
            <w:r w:rsidRPr="00DE7F45">
              <w:t>A Service Fee of around $5 is generally charged by the pharmacy to cover any costs related to preparing, labe</w:t>
            </w:r>
            <w:r>
              <w:t>l</w:t>
            </w:r>
            <w:r w:rsidRPr="00DE7F45">
              <w:t>ling, packaging, recording, storing and handling of staged doses of the medicines. This fee is not a PBS patient co-payment, and thus does not count towards the PBS Safety Net threshold.</w:t>
            </w:r>
          </w:p>
          <w:p w14:paraId="65D83CDB" w14:textId="77777777" w:rsidR="00C35A33" w:rsidRPr="00DE7F45" w:rsidRDefault="00C35A33" w:rsidP="00DF66BD">
            <w:pPr>
              <w:pStyle w:val="06Tablebullet"/>
              <w:keepNext/>
            </w:pPr>
            <w:r w:rsidRPr="00DE7F45">
              <w:t>There are no additional payments to community pharmacies for counsel</w:t>
            </w:r>
            <w:r>
              <w:t>l</w:t>
            </w:r>
            <w:r w:rsidRPr="00DE7F45">
              <w:t xml:space="preserve">ing and advice provided to patients who access SS. </w:t>
            </w:r>
          </w:p>
        </w:tc>
      </w:tr>
      <w:tr w:rsidR="00C35A33" w14:paraId="2DE43E41" w14:textId="77777777" w:rsidTr="006B2FBC">
        <w:tc>
          <w:tcPr>
            <w:tcW w:w="1175" w:type="pct"/>
          </w:tcPr>
          <w:p w14:paraId="25754432" w14:textId="77777777" w:rsidR="00C35A33" w:rsidRPr="00DE7F45" w:rsidRDefault="00C35A33" w:rsidP="00DF66BD">
            <w:pPr>
              <w:pStyle w:val="02Tabletext"/>
            </w:pPr>
            <w:r w:rsidRPr="00DE7F45">
              <w:t>Future research needs</w:t>
            </w:r>
          </w:p>
        </w:tc>
        <w:tc>
          <w:tcPr>
            <w:tcW w:w="3825" w:type="pct"/>
          </w:tcPr>
          <w:p w14:paraId="1EC60616" w14:textId="77777777" w:rsidR="00C35A33" w:rsidRPr="00DE7F45" w:rsidRDefault="00C35A33" w:rsidP="00DF66BD">
            <w:pPr>
              <w:pStyle w:val="06Tablebullet"/>
              <w:keepNext/>
            </w:pPr>
            <w:r w:rsidRPr="00DE7F45">
              <w:t>Defined program parameters, outcomes or processes are required for proper evaluation of the effectiveness of this service/program.</w:t>
            </w:r>
          </w:p>
        </w:tc>
      </w:tr>
      <w:tr w:rsidR="00C35A33" w14:paraId="2408B838" w14:textId="77777777" w:rsidTr="006B2FBC">
        <w:trPr>
          <w:cnfStyle w:val="000000010000" w:firstRow="0" w:lastRow="0" w:firstColumn="0" w:lastColumn="0" w:oddVBand="0" w:evenVBand="0" w:oddHBand="0" w:evenHBand="1" w:firstRowFirstColumn="0" w:firstRowLastColumn="0" w:lastRowFirstColumn="0" w:lastRowLastColumn="0"/>
        </w:trPr>
        <w:tc>
          <w:tcPr>
            <w:tcW w:w="1175" w:type="pct"/>
          </w:tcPr>
          <w:p w14:paraId="2835094C" w14:textId="77777777" w:rsidR="00C35A33" w:rsidRPr="00DE7F45" w:rsidRDefault="00C35A33" w:rsidP="00DF66BD">
            <w:pPr>
              <w:pStyle w:val="02Tabletext"/>
            </w:pPr>
            <w:r w:rsidRPr="00DE7F45">
              <w:t xml:space="preserve">Feasible models of remuneration suggested by stakeholders </w:t>
            </w:r>
          </w:p>
        </w:tc>
        <w:tc>
          <w:tcPr>
            <w:tcW w:w="3825" w:type="pct"/>
          </w:tcPr>
          <w:p w14:paraId="15B27F9B" w14:textId="31026E1C" w:rsidR="00C35A33" w:rsidRPr="00DE7F45" w:rsidRDefault="00C35A33" w:rsidP="00DF66BD">
            <w:pPr>
              <w:pStyle w:val="06Tablebullet"/>
              <w:keepNext/>
            </w:pPr>
            <w:r w:rsidRPr="00DE7F45">
              <w:t>Creating a specia</w:t>
            </w:r>
            <w:r>
              <w:t>l handling fee for SS</w:t>
            </w:r>
            <w:r w:rsidR="00736FDC">
              <w:t>.</w:t>
            </w:r>
          </w:p>
          <w:p w14:paraId="7BD60C5C" w14:textId="4F560813" w:rsidR="00C35A33" w:rsidRPr="00DE7F45" w:rsidRDefault="00C35A33" w:rsidP="00DF66BD">
            <w:pPr>
              <w:pStyle w:val="06Tablebullet"/>
              <w:keepNext/>
            </w:pPr>
            <w:r w:rsidRPr="00DE7F45">
              <w:t>Creating an additional PBS it</w:t>
            </w:r>
            <w:r>
              <w:t>em for the management of SS</w:t>
            </w:r>
            <w:r w:rsidR="00736FDC">
              <w:t>.</w:t>
            </w:r>
            <w:r w:rsidRPr="00DE7F45">
              <w:t xml:space="preserve"> </w:t>
            </w:r>
          </w:p>
          <w:p w14:paraId="5DA52852" w14:textId="3280901A" w:rsidR="00C35A33" w:rsidRPr="00DE7F45" w:rsidRDefault="00C35A33" w:rsidP="00DF66BD">
            <w:pPr>
              <w:pStyle w:val="06Tablebullet"/>
              <w:keepNext/>
            </w:pPr>
            <w:r w:rsidRPr="00DE7F45">
              <w:t>Creating a separate program payment for Community Pharmacies engaged in SS</w:t>
            </w:r>
            <w:r w:rsidR="00736FDC">
              <w:t>.</w:t>
            </w:r>
          </w:p>
        </w:tc>
      </w:tr>
    </w:tbl>
    <w:p w14:paraId="7D8FFB6E" w14:textId="77777777" w:rsidR="00C35A33" w:rsidRDefault="00C35A33" w:rsidP="00C35A33">
      <w:pPr>
        <w:pStyle w:val="08Tablefootnotes"/>
      </w:pPr>
      <w:r>
        <w:t>Source: NOVA Public Policy (2010). Review of the Staged Supply of PBS Medicines</w:t>
      </w:r>
    </w:p>
    <w:p w14:paraId="17ADA8EB" w14:textId="229129A1" w:rsidR="00C35A33" w:rsidRDefault="00C35A33" w:rsidP="00C35A33">
      <w:pPr>
        <w:pStyle w:val="09Tablefootnoteslast-nostick"/>
      </w:pPr>
      <w:r>
        <w:t>Abbreviations: PBS, Pharmaceutical Benefits Scheme; SS, Staged Supply</w:t>
      </w:r>
      <w:r w:rsidR="00DF66BD">
        <w:t>.</w:t>
      </w:r>
    </w:p>
    <w:p w14:paraId="1A7B9075" w14:textId="77777777" w:rsidR="00DF66BD" w:rsidRPr="00B05DAD" w:rsidRDefault="00DF66BD" w:rsidP="00DF66BD">
      <w:pPr>
        <w:pStyle w:val="Bodytextbeforebullets"/>
      </w:pPr>
      <w:r>
        <w:lastRenderedPageBreak/>
        <w:t xml:space="preserve">The </w:t>
      </w:r>
      <w:r w:rsidRPr="00B05DAD">
        <w:t>stakeholder consultations strongly supported the development and implementation of a more uniform national SS process, including:</w:t>
      </w:r>
    </w:p>
    <w:p w14:paraId="11618ED5" w14:textId="77777777" w:rsidR="00DF66BD" w:rsidRPr="00B05DAD" w:rsidRDefault="00DF66BD" w:rsidP="00DF66BD">
      <w:pPr>
        <w:pStyle w:val="Bullettext"/>
      </w:pPr>
      <w:r>
        <w:t>s</w:t>
      </w:r>
      <w:r w:rsidRPr="00B05DAD">
        <w:t>upport the development of uniform national procedures that address the prescri</w:t>
      </w:r>
      <w:r>
        <w:t>bing and dispensing variability;</w:t>
      </w:r>
    </w:p>
    <w:p w14:paraId="66B128F0" w14:textId="77777777" w:rsidR="00DF66BD" w:rsidRPr="00B05DAD" w:rsidRDefault="00DF66BD" w:rsidP="00DF66BD">
      <w:pPr>
        <w:pStyle w:val="Bullettext"/>
      </w:pPr>
      <w:r>
        <w:t>s</w:t>
      </w:r>
      <w:r w:rsidRPr="00B05DAD">
        <w:t xml:space="preserve">upport for the implementation of accountable records at the pharmacy level that could also contribute to a national minimum data set to assist in monitoring and evaluating </w:t>
      </w:r>
      <w:r>
        <w:t>SS and its impacts;</w:t>
      </w:r>
    </w:p>
    <w:p w14:paraId="357C7BCB" w14:textId="77777777" w:rsidR="00DF66BD" w:rsidRPr="00B05DAD" w:rsidRDefault="00DF66BD" w:rsidP="00DF66BD">
      <w:pPr>
        <w:pStyle w:val="Bullettext"/>
      </w:pPr>
      <w:r>
        <w:t>s</w:t>
      </w:r>
      <w:r w:rsidRPr="00B05DAD">
        <w:t xml:space="preserve">upport </w:t>
      </w:r>
      <w:r>
        <w:t xml:space="preserve">for </w:t>
      </w:r>
      <w:r w:rsidRPr="00B05DAD">
        <w:t xml:space="preserve">the development of a payment system </w:t>
      </w:r>
      <w:r>
        <w:t>that</w:t>
      </w:r>
      <w:r w:rsidRPr="00B05DAD">
        <w:t xml:space="preserve"> minimises administrative overheads, is clear and transparent, remunerates pharmacies for the business costs and the professional inputs required, and limits t</w:t>
      </w:r>
      <w:r>
        <w:t>he financial impost on patients; and</w:t>
      </w:r>
    </w:p>
    <w:p w14:paraId="03A5F736" w14:textId="77777777" w:rsidR="00DF66BD" w:rsidRDefault="00DF66BD" w:rsidP="00DF66BD">
      <w:pPr>
        <w:pStyle w:val="Bullettext"/>
      </w:pPr>
      <w:proofErr w:type="gramStart"/>
      <w:r>
        <w:t>s</w:t>
      </w:r>
      <w:r w:rsidRPr="00B05DAD">
        <w:t>upport</w:t>
      </w:r>
      <w:proofErr w:type="gramEnd"/>
      <w:r w:rsidRPr="00B05DAD">
        <w:t xml:space="preserve"> for a competency mapping process to ascertain the knowledge, skills and attitudes required for the range of actions undertaken by in relation to </w:t>
      </w:r>
      <w:r>
        <w:t>SS</w:t>
      </w:r>
      <w:r w:rsidRPr="00B05DAD">
        <w:t xml:space="preserve"> services</w:t>
      </w:r>
      <w:r>
        <w:t>.</w:t>
      </w:r>
    </w:p>
    <w:p w14:paraId="20ACA67B" w14:textId="363ECED2" w:rsidR="00DF66BD" w:rsidRPr="00DF66BD" w:rsidRDefault="00DF66BD" w:rsidP="00DF66BD">
      <w:pPr>
        <w:pStyle w:val="BodyText"/>
      </w:pPr>
      <w:r>
        <w:t>The Review proposed f</w:t>
      </w:r>
      <w:r w:rsidRPr="00EC2EE9">
        <w:t xml:space="preserve">ive remuneration models </w:t>
      </w:r>
      <w:r>
        <w:t xml:space="preserve">intended </w:t>
      </w:r>
      <w:r w:rsidRPr="00EC2EE9">
        <w:t>to replace the Service Fee</w:t>
      </w:r>
      <w:r>
        <w:t xml:space="preserve"> that was in place at the time</w:t>
      </w:r>
      <w:r w:rsidRPr="00EC2EE9">
        <w:t>.</w:t>
      </w:r>
    </w:p>
    <w:p w14:paraId="424C0C7A" w14:textId="5285510D" w:rsidR="00904572" w:rsidRPr="00904572" w:rsidRDefault="00C85A17" w:rsidP="00904572">
      <w:pPr>
        <w:pStyle w:val="Heading2"/>
      </w:pPr>
      <w:bookmarkStart w:id="61" w:name="_Ref462845755"/>
      <w:bookmarkStart w:id="62" w:name="_Toc463348360"/>
      <w:bookmarkStart w:id="63" w:name="_Toc523236208"/>
      <w:r w:rsidRPr="000F48FC">
        <w:t>5CPA Program Combined Review by PricewaterhouseCoopers 2015</w:t>
      </w:r>
      <w:bookmarkEnd w:id="61"/>
      <w:bookmarkEnd w:id="62"/>
      <w:bookmarkEnd w:id="63"/>
    </w:p>
    <w:p w14:paraId="227D7418" w14:textId="1F73467F" w:rsidR="00C85A17" w:rsidRDefault="00C85A17" w:rsidP="00C85A17">
      <w:pPr>
        <w:pStyle w:val="BodyText"/>
      </w:pPr>
      <w:bookmarkStart w:id="64" w:name="_Ref462226393"/>
      <w:r w:rsidRPr="000F48FC">
        <w:t xml:space="preserve">The </w:t>
      </w:r>
      <w:r>
        <w:t>SS initiative</w:t>
      </w:r>
      <w:r w:rsidRPr="000F48FC">
        <w:t xml:space="preserve"> was evaluated as part of the Review of the PPI Program performed by </w:t>
      </w:r>
      <w:r w:rsidR="001E1EB8" w:rsidRPr="00F243D9">
        <w:t>PricewaterhouseCoopers (PwC)</w:t>
      </w:r>
      <w:r w:rsidRPr="000F48FC">
        <w:t xml:space="preserve"> in 2015. The overall aim of the Review was to better inform how the 5CPA Medication Management programs and services (including PPI Program and M</w:t>
      </w:r>
      <w:r>
        <w:t xml:space="preserve">edication </w:t>
      </w:r>
      <w:r w:rsidRPr="000F48FC">
        <w:t>M</w:t>
      </w:r>
      <w:r>
        <w:t>anagement</w:t>
      </w:r>
      <w:r w:rsidRPr="000F48FC">
        <w:t xml:space="preserve"> Program) contribute to improving consumer health outcomes, in order to better inform future investment by the Australian Government in pharmacy programs and services. PwC evaluated the three priority areas in the PPI Program: CIs, DAAs and SS. The Review methodology involved an analysis of full program data in order to assess the uptake and volume of services delivered over the duration of the 5CPA (between 2011 and 2014), stakeholder consultations, consumer focus groups, practitioner focus groups, a practitioner survey and a consumer survey. </w:t>
      </w:r>
    </w:p>
    <w:p w14:paraId="16783DF9" w14:textId="77777777" w:rsidR="001E1EB8" w:rsidRDefault="00993839" w:rsidP="00D64972">
      <w:pPr>
        <w:pStyle w:val="BodyText"/>
      </w:pPr>
      <w:r w:rsidRPr="00993839">
        <w:rPr>
          <w:szCs w:val="24"/>
        </w:rPr>
        <w:fldChar w:fldCharType="begin"/>
      </w:r>
      <w:r w:rsidRPr="00993839">
        <w:rPr>
          <w:szCs w:val="24"/>
        </w:rPr>
        <w:instrText xml:space="preserve"> REF _Ref462313164 \h  \* MERGEFORMAT </w:instrText>
      </w:r>
      <w:r w:rsidRPr="00993839">
        <w:rPr>
          <w:szCs w:val="24"/>
        </w:rPr>
      </w:r>
      <w:r w:rsidRPr="00993839">
        <w:rPr>
          <w:szCs w:val="24"/>
        </w:rPr>
        <w:fldChar w:fldCharType="separate"/>
      </w:r>
      <w:r w:rsidR="006F3580" w:rsidRPr="006F3580">
        <w:rPr>
          <w:iCs/>
          <w:szCs w:val="24"/>
        </w:rPr>
        <w:t xml:space="preserve">Table </w:t>
      </w:r>
      <w:r w:rsidR="006F3580" w:rsidRPr="006F3580">
        <w:rPr>
          <w:iCs/>
          <w:noProof/>
          <w:szCs w:val="24"/>
        </w:rPr>
        <w:t>4.2</w:t>
      </w:r>
      <w:r w:rsidRPr="00993839">
        <w:rPr>
          <w:szCs w:val="24"/>
        </w:rPr>
        <w:fldChar w:fldCharType="end"/>
      </w:r>
      <w:r w:rsidR="00D64972" w:rsidRPr="00993839">
        <w:rPr>
          <w:szCs w:val="24"/>
        </w:rPr>
        <w:t xml:space="preserve"> summarises the m</w:t>
      </w:r>
      <w:r w:rsidR="00D64972">
        <w:t xml:space="preserve">ain findings of the evaluation in relation to the SS priority area of </w:t>
      </w:r>
      <w:r w:rsidR="001E1EB8">
        <w:t xml:space="preserve">the </w:t>
      </w:r>
      <w:r w:rsidR="00D64972">
        <w:t>PPI Program.</w:t>
      </w:r>
      <w:r w:rsidR="00D64972" w:rsidRPr="00782160">
        <w:t xml:space="preserve"> </w:t>
      </w:r>
      <w:r w:rsidR="001E1EB8" w:rsidRPr="000F48FC">
        <w:t>A total of 767 primary health care practitioners, with the majority being pharmacists (94%), responded to the practitioner survey. More than half (5</w:t>
      </w:r>
      <w:r w:rsidR="001E1EB8">
        <w:t>2</w:t>
      </w:r>
      <w:r w:rsidR="001E1EB8" w:rsidRPr="000F48FC">
        <w:t xml:space="preserve">%) were involved in the </w:t>
      </w:r>
      <w:r w:rsidR="001E1EB8">
        <w:t>SS</w:t>
      </w:r>
      <w:r w:rsidR="001E1EB8" w:rsidRPr="000F48FC">
        <w:t xml:space="preserve"> program. </w:t>
      </w:r>
      <w:r w:rsidR="00D64972">
        <w:t xml:space="preserve">Results of consumer surveys are not discussed as none of the responders participated in the SS program, and thus results from the consumer surveys do not reflect consumers’ satisfaction with the </w:t>
      </w:r>
      <w:r w:rsidR="001E1EB8">
        <w:t>SS service</w:t>
      </w:r>
      <w:r w:rsidR="00D64972">
        <w:t xml:space="preserve">. </w:t>
      </w:r>
    </w:p>
    <w:p w14:paraId="356FC3E1" w14:textId="1A05D895" w:rsidR="00DE4DD3" w:rsidRDefault="00DE4DD3" w:rsidP="00D64972">
      <w:pPr>
        <w:pStyle w:val="BodyText"/>
      </w:pPr>
      <w:r w:rsidRPr="00F243D9">
        <w:t>SS service</w:t>
      </w:r>
      <w:r>
        <w:t>s</w:t>
      </w:r>
      <w:r w:rsidRPr="00F243D9">
        <w:t xml:space="preserve"> were viewed to</w:t>
      </w:r>
      <w:r>
        <w:t xml:space="preserve"> assist with managing intentional misuse and to fulfil a particular need in the community, particularly for managing the medicines of vulnerable consumers who are drug dependent or living in a dangerous environment. </w:t>
      </w:r>
    </w:p>
    <w:p w14:paraId="39DCC79B" w14:textId="77777777" w:rsidR="00C35A33" w:rsidRPr="00E162EF" w:rsidRDefault="00C35A33" w:rsidP="00C35A33">
      <w:pPr>
        <w:pStyle w:val="BodyText"/>
      </w:pPr>
      <w:r w:rsidRPr="00E162EF">
        <w:t xml:space="preserve">Overall, practitioners reported being reasonably satisfied with their involvement in the Medication Management programs and services. They also reported being satisfied with the benefit their consumers received through Medication Management programs and services, and they saw clear benefit in the suite of Medication Management programs and services as contributing towards improving the health outcomes of consumers. </w:t>
      </w:r>
    </w:p>
    <w:p w14:paraId="29330646" w14:textId="0D57967B" w:rsidR="00C35A33" w:rsidRDefault="00C35A33" w:rsidP="00D64972">
      <w:pPr>
        <w:pStyle w:val="BodyText"/>
      </w:pPr>
      <w:r w:rsidRPr="000F48FC">
        <w:t xml:space="preserve">However, stakeholders and practitioners indicated that 5CPA programs were difficult to access for consumers due to low consumer awareness, information on programs not being readily available to consumers, and low GP engagement and awareness to refer consumers to the relevant programs, particularly for </w:t>
      </w:r>
      <w:r w:rsidR="00925A2B">
        <w:t>Aboriginal and Torres Strait Islander</w:t>
      </w:r>
      <w:r w:rsidRPr="000F48FC">
        <w:t xml:space="preserve"> and culturally and linguistically d</w:t>
      </w:r>
      <w:r>
        <w:t>iverse peoples.</w:t>
      </w:r>
    </w:p>
    <w:p w14:paraId="57084204" w14:textId="2F53AC61" w:rsidR="00904572" w:rsidRPr="008F16F4" w:rsidRDefault="00904572" w:rsidP="008F16F4">
      <w:pPr>
        <w:pStyle w:val="Caption"/>
      </w:pPr>
      <w:bookmarkStart w:id="65" w:name="_Ref462313164"/>
      <w:bookmarkStart w:id="66" w:name="_Toc467155927"/>
      <w:r w:rsidRPr="00904572">
        <w:lastRenderedPageBreak/>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4</w:t>
      </w:r>
      <w:r w:rsidR="00872B71">
        <w:rPr>
          <w:noProof/>
        </w:rPr>
        <w:fldChar w:fldCharType="end"/>
      </w:r>
      <w:r w:rsidR="00542F4A">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2</w:t>
      </w:r>
      <w:r w:rsidR="00872B71">
        <w:rPr>
          <w:noProof/>
        </w:rPr>
        <w:fldChar w:fldCharType="end"/>
      </w:r>
      <w:bookmarkEnd w:id="64"/>
      <w:bookmarkEnd w:id="65"/>
      <w:r w:rsidRPr="00904572">
        <w:tab/>
        <w:t>Main findings of the 2015 5CPA combined review, 2011-2014</w:t>
      </w:r>
      <w:bookmarkEnd w:id="66"/>
    </w:p>
    <w:tbl>
      <w:tblPr>
        <w:tblStyle w:val="TableGrid"/>
        <w:tblW w:w="5000" w:type="pct"/>
        <w:tblLook w:val="04A0" w:firstRow="1" w:lastRow="0" w:firstColumn="1" w:lastColumn="0" w:noHBand="0" w:noVBand="1"/>
        <w:tblCaption w:val="Table 4.2"/>
        <w:tblDescription w:val="Main findings of the 2015 5CPA combined review, 2011-2014"/>
      </w:tblPr>
      <w:tblGrid>
        <w:gridCol w:w="2704"/>
        <w:gridCol w:w="6924"/>
      </w:tblGrid>
      <w:tr w:rsidR="00904572" w:rsidRPr="00904572" w14:paraId="3EA2CF86" w14:textId="77777777" w:rsidTr="007E570D">
        <w:trPr>
          <w:cnfStyle w:val="100000000000" w:firstRow="1" w:lastRow="0" w:firstColumn="0" w:lastColumn="0" w:oddVBand="0" w:evenVBand="0" w:oddHBand="0" w:evenHBand="0" w:firstRowFirstColumn="0" w:firstRowLastColumn="0" w:lastRowFirstColumn="0" w:lastRowLastColumn="0"/>
        </w:trPr>
        <w:tc>
          <w:tcPr>
            <w:tcW w:w="1404" w:type="pct"/>
          </w:tcPr>
          <w:p w14:paraId="72D98A49" w14:textId="146618C8" w:rsidR="00904572" w:rsidRPr="00C72824" w:rsidRDefault="001E1EB8" w:rsidP="00C72824">
            <w:pPr>
              <w:pStyle w:val="01Tableheaderrow"/>
            </w:pPr>
            <w:r w:rsidRPr="000F48FC">
              <w:t>Measure/domain</w:t>
            </w:r>
          </w:p>
        </w:tc>
        <w:tc>
          <w:tcPr>
            <w:tcW w:w="3596" w:type="pct"/>
            <w:vAlign w:val="center"/>
          </w:tcPr>
          <w:p w14:paraId="1E9B15DF" w14:textId="77777777" w:rsidR="00904572" w:rsidRPr="00C72824" w:rsidRDefault="00904572" w:rsidP="007E570D">
            <w:pPr>
              <w:pStyle w:val="01Tableheaderrow"/>
              <w:jc w:val="center"/>
            </w:pPr>
            <w:r w:rsidRPr="00C72824">
              <w:t>Key findings</w:t>
            </w:r>
          </w:p>
        </w:tc>
      </w:tr>
      <w:tr w:rsidR="00D64972" w:rsidRPr="00904572" w14:paraId="26C6AC6F" w14:textId="77777777" w:rsidTr="007E570D">
        <w:tc>
          <w:tcPr>
            <w:tcW w:w="1404" w:type="pct"/>
            <w:shd w:val="clear" w:color="auto" w:fill="000000" w:themeFill="text1"/>
          </w:tcPr>
          <w:p w14:paraId="07001469" w14:textId="21DEFBA3" w:rsidR="00D64972" w:rsidRPr="001E1EB8" w:rsidRDefault="00D64972" w:rsidP="00C72824">
            <w:pPr>
              <w:pStyle w:val="02Tabletext"/>
              <w:rPr>
                <w:b/>
              </w:rPr>
            </w:pPr>
            <w:r w:rsidRPr="001E1EB8">
              <w:rPr>
                <w:b/>
              </w:rPr>
              <w:t>Program results</w:t>
            </w:r>
          </w:p>
        </w:tc>
        <w:tc>
          <w:tcPr>
            <w:tcW w:w="3596" w:type="pct"/>
            <w:shd w:val="clear" w:color="auto" w:fill="000000" w:themeFill="text1"/>
          </w:tcPr>
          <w:p w14:paraId="291BB39F" w14:textId="77777777" w:rsidR="00D64972" w:rsidRPr="00904572" w:rsidRDefault="00D64972" w:rsidP="00C72824">
            <w:pPr>
              <w:pStyle w:val="02Tabletext"/>
            </w:pPr>
          </w:p>
        </w:tc>
      </w:tr>
      <w:tr w:rsidR="00D64972" w:rsidRPr="00904572" w14:paraId="38FC0334"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shd w:val="clear" w:color="auto" w:fill="auto"/>
          </w:tcPr>
          <w:p w14:paraId="2ED1F7B7" w14:textId="1D45A3A5" w:rsidR="00D64972" w:rsidRPr="00904572" w:rsidRDefault="001E1EB8" w:rsidP="00C72824">
            <w:pPr>
              <w:pStyle w:val="02Tabletext"/>
            </w:pPr>
            <w:r>
              <w:t>PPI p</w:t>
            </w:r>
            <w:r w:rsidR="00D64972">
              <w:t>articipating pharmacies</w:t>
            </w:r>
          </w:p>
        </w:tc>
        <w:tc>
          <w:tcPr>
            <w:tcW w:w="3596" w:type="pct"/>
            <w:shd w:val="clear" w:color="auto" w:fill="auto"/>
          </w:tcPr>
          <w:p w14:paraId="0096EC83" w14:textId="28AE28C5" w:rsidR="00D64972" w:rsidRPr="00904572" w:rsidRDefault="00D64972" w:rsidP="001E1EB8">
            <w:pPr>
              <w:pStyle w:val="02Tabletext"/>
            </w:pPr>
            <w:r w:rsidRPr="00005D76">
              <w:t>A total of 6,216 pharmacies (with unique registration numbers) submitted claims for</w:t>
            </w:r>
            <w:r w:rsidR="001E1EB8">
              <w:t xml:space="preserve"> </w:t>
            </w:r>
            <w:r w:rsidRPr="00005D76">
              <w:t>PPI services overall.</w:t>
            </w:r>
          </w:p>
        </w:tc>
      </w:tr>
      <w:tr w:rsidR="00D64972" w:rsidRPr="00904572" w14:paraId="5D03AFA2" w14:textId="77777777" w:rsidTr="007E570D">
        <w:tc>
          <w:tcPr>
            <w:tcW w:w="1404" w:type="pct"/>
            <w:shd w:val="clear" w:color="auto" w:fill="DEEAF6" w:themeFill="accent1" w:themeFillTint="33"/>
          </w:tcPr>
          <w:p w14:paraId="3713C2C6" w14:textId="10399B61" w:rsidR="00D64972" w:rsidRPr="00904572" w:rsidRDefault="00D64972" w:rsidP="00C72824">
            <w:pPr>
              <w:pStyle w:val="02Tabletext"/>
            </w:pPr>
            <w:r>
              <w:t xml:space="preserve">SS </w:t>
            </w:r>
            <w:r w:rsidRPr="00F243D9">
              <w:t>partic</w:t>
            </w:r>
            <w:r>
              <w:t>ipating pharmacies</w:t>
            </w:r>
          </w:p>
        </w:tc>
        <w:tc>
          <w:tcPr>
            <w:tcW w:w="3596" w:type="pct"/>
            <w:shd w:val="clear" w:color="auto" w:fill="DEEAF6" w:themeFill="accent1" w:themeFillTint="33"/>
          </w:tcPr>
          <w:p w14:paraId="0C2405EB" w14:textId="15B7CCBB" w:rsidR="00D64972" w:rsidRPr="00904572" w:rsidRDefault="00D64972" w:rsidP="00C72824">
            <w:pPr>
              <w:pStyle w:val="02Tabletext"/>
            </w:pPr>
            <w:r w:rsidRPr="0022411C">
              <w:t>5,577 pharmacies received payments for being accr</w:t>
            </w:r>
            <w:r>
              <w:t xml:space="preserve">edited to provide </w:t>
            </w:r>
            <w:r w:rsidR="00C72824">
              <w:t>SS</w:t>
            </w:r>
            <w:r>
              <w:t xml:space="preserve"> </w:t>
            </w:r>
            <w:r w:rsidRPr="0022411C">
              <w:t>services.</w:t>
            </w:r>
          </w:p>
        </w:tc>
      </w:tr>
      <w:tr w:rsidR="001E1EB8" w:rsidRPr="00904572" w14:paraId="78455DEF"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shd w:val="clear" w:color="auto" w:fill="auto"/>
          </w:tcPr>
          <w:p w14:paraId="7175BA95" w14:textId="44F498B2" w:rsidR="001E1EB8" w:rsidRPr="00904572" w:rsidRDefault="001E1EB8" w:rsidP="001E1EB8">
            <w:pPr>
              <w:pStyle w:val="02Tabletext"/>
            </w:pPr>
            <w:r w:rsidRPr="000F48FC">
              <w:t>Total expenditure on PPI</w:t>
            </w:r>
          </w:p>
        </w:tc>
        <w:tc>
          <w:tcPr>
            <w:tcW w:w="3596" w:type="pct"/>
            <w:shd w:val="clear" w:color="auto" w:fill="auto"/>
          </w:tcPr>
          <w:p w14:paraId="4C83D313" w14:textId="77556484" w:rsidR="001E1EB8" w:rsidRPr="00904572" w:rsidRDefault="001E1EB8" w:rsidP="001E1EB8">
            <w:pPr>
              <w:pStyle w:val="02Tabletext"/>
            </w:pPr>
            <w:r w:rsidRPr="000F48FC">
              <w:t>$126,507,909</w:t>
            </w:r>
          </w:p>
        </w:tc>
      </w:tr>
      <w:tr w:rsidR="001E1EB8" w:rsidRPr="00904572" w14:paraId="75F5B768" w14:textId="77777777" w:rsidTr="007E570D">
        <w:tc>
          <w:tcPr>
            <w:tcW w:w="1404" w:type="pct"/>
            <w:shd w:val="clear" w:color="auto" w:fill="DEEAF6" w:themeFill="accent1" w:themeFillTint="33"/>
          </w:tcPr>
          <w:p w14:paraId="18319875" w14:textId="2FB80DEA" w:rsidR="001E1EB8" w:rsidRPr="00904572" w:rsidRDefault="001E1EB8" w:rsidP="001E1EB8">
            <w:pPr>
              <w:pStyle w:val="02Tabletext"/>
            </w:pPr>
            <w:r w:rsidRPr="000F48FC">
              <w:t>Total expenditure on SS initiative</w:t>
            </w:r>
          </w:p>
        </w:tc>
        <w:tc>
          <w:tcPr>
            <w:tcW w:w="3596" w:type="pct"/>
            <w:shd w:val="clear" w:color="auto" w:fill="DEEAF6" w:themeFill="accent1" w:themeFillTint="33"/>
          </w:tcPr>
          <w:p w14:paraId="41B27315" w14:textId="201CBF2B" w:rsidR="001E1EB8" w:rsidRPr="00904572" w:rsidRDefault="001E1EB8" w:rsidP="001E1EB8">
            <w:pPr>
              <w:pStyle w:val="02Tabletext"/>
            </w:pPr>
            <w:r w:rsidRPr="000F48FC">
              <w:t>$11,231,152 (9% of total funds allocated)</w:t>
            </w:r>
          </w:p>
        </w:tc>
      </w:tr>
      <w:tr w:rsidR="00D64972" w:rsidRPr="00904572" w14:paraId="61B3199B"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shd w:val="clear" w:color="auto" w:fill="000000" w:themeFill="text1"/>
          </w:tcPr>
          <w:p w14:paraId="45314A8B" w14:textId="12484CA0" w:rsidR="00D64972" w:rsidRPr="001E1EB8" w:rsidRDefault="001E1EB8" w:rsidP="00C72824">
            <w:pPr>
              <w:pStyle w:val="02Tabletext"/>
              <w:rPr>
                <w:b/>
              </w:rPr>
            </w:pPr>
            <w:r w:rsidRPr="001E1EB8">
              <w:rPr>
                <w:b/>
              </w:rPr>
              <w:t>Practitioner focus group themes raised</w:t>
            </w:r>
          </w:p>
        </w:tc>
        <w:tc>
          <w:tcPr>
            <w:tcW w:w="3596" w:type="pct"/>
            <w:shd w:val="clear" w:color="auto" w:fill="000000" w:themeFill="text1"/>
          </w:tcPr>
          <w:p w14:paraId="0F05845A" w14:textId="7A52B3B6" w:rsidR="00D64972" w:rsidRPr="00904572" w:rsidRDefault="00D64972" w:rsidP="00C72824">
            <w:pPr>
              <w:pStyle w:val="02Tabletext"/>
            </w:pPr>
          </w:p>
        </w:tc>
      </w:tr>
      <w:tr w:rsidR="00D64972" w:rsidRPr="00904572" w14:paraId="54237AC3" w14:textId="77777777" w:rsidTr="007E570D">
        <w:tc>
          <w:tcPr>
            <w:tcW w:w="1404" w:type="pct"/>
            <w:shd w:val="clear" w:color="auto" w:fill="auto"/>
          </w:tcPr>
          <w:p w14:paraId="2EEA2FE4" w14:textId="173FEB0B" w:rsidR="00D64972" w:rsidRPr="00904572" w:rsidRDefault="00D64972" w:rsidP="00C72824">
            <w:pPr>
              <w:pStyle w:val="02Tabletext"/>
            </w:pPr>
            <w:r w:rsidRPr="00C80EC8">
              <w:t>Addressing consumer need</w:t>
            </w:r>
          </w:p>
        </w:tc>
        <w:tc>
          <w:tcPr>
            <w:tcW w:w="3596" w:type="pct"/>
            <w:shd w:val="clear" w:color="auto" w:fill="auto"/>
          </w:tcPr>
          <w:p w14:paraId="4059E7EE" w14:textId="07E663B4" w:rsidR="00D64972" w:rsidRPr="00904572" w:rsidRDefault="00D64972" w:rsidP="00C72824">
            <w:pPr>
              <w:pStyle w:val="02Tabletext"/>
            </w:pPr>
            <w:r w:rsidRPr="001E67BF">
              <w:t>All parti</w:t>
            </w:r>
            <w:r>
              <w:t>cipants involved in SS</w:t>
            </w:r>
            <w:r w:rsidRPr="001E67BF">
              <w:t xml:space="preserve"> commented tha</w:t>
            </w:r>
            <w:r w:rsidR="00594E35">
              <w:t>t this program</w:t>
            </w:r>
            <w:r>
              <w:t xml:space="preserve"> fulfils a need </w:t>
            </w:r>
            <w:r w:rsidRPr="001E67BF">
              <w:t>in the community and was a valuable service for m</w:t>
            </w:r>
            <w:r>
              <w:t xml:space="preserve">anaging medicines of vulnerable </w:t>
            </w:r>
            <w:r w:rsidRPr="001E67BF">
              <w:t>consumers, e.g. those that are drug dependent or living in a dangerous environment</w:t>
            </w:r>
            <w:r>
              <w:t>.</w:t>
            </w:r>
          </w:p>
        </w:tc>
      </w:tr>
      <w:tr w:rsidR="00D64972" w:rsidRPr="00904572" w14:paraId="7AE57F46"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tcPr>
          <w:p w14:paraId="70297ADB" w14:textId="26A81F92" w:rsidR="00D64972" w:rsidRPr="00904572" w:rsidRDefault="00D64972" w:rsidP="00C72824">
            <w:pPr>
              <w:pStyle w:val="02Tabletext"/>
            </w:pPr>
            <w:r>
              <w:t>Eligibility criteria and targeting</w:t>
            </w:r>
          </w:p>
        </w:tc>
        <w:tc>
          <w:tcPr>
            <w:tcW w:w="3596" w:type="pct"/>
          </w:tcPr>
          <w:p w14:paraId="025B129B" w14:textId="1ACFDD49" w:rsidR="00D64972" w:rsidRPr="00904572" w:rsidRDefault="00D64972" w:rsidP="00C72824">
            <w:pPr>
              <w:pStyle w:val="02Tabletext"/>
            </w:pPr>
            <w:r>
              <w:t>T</w:t>
            </w:r>
            <w:r w:rsidRPr="001E67BF">
              <w:t>here were no specific mark</w:t>
            </w:r>
            <w:r>
              <w:t xml:space="preserve">eting strategies or recruitment </w:t>
            </w:r>
            <w:r w:rsidRPr="001E67BF">
              <w:t xml:space="preserve">activities directed at those </w:t>
            </w:r>
            <w:r>
              <w:t>most in need of the 5CPA programs.</w:t>
            </w:r>
          </w:p>
        </w:tc>
      </w:tr>
      <w:tr w:rsidR="00D64972" w:rsidRPr="00904572" w14:paraId="762D46F8" w14:textId="77777777" w:rsidTr="007E570D">
        <w:tc>
          <w:tcPr>
            <w:tcW w:w="1404" w:type="pct"/>
            <w:shd w:val="clear" w:color="auto" w:fill="auto"/>
          </w:tcPr>
          <w:p w14:paraId="51509EC3" w14:textId="5FCB1118" w:rsidR="00D64972" w:rsidRPr="00904572" w:rsidRDefault="00D64972" w:rsidP="00C72824">
            <w:pPr>
              <w:pStyle w:val="02Tabletext"/>
            </w:pPr>
            <w:r>
              <w:t>Program implementation</w:t>
            </w:r>
          </w:p>
        </w:tc>
        <w:tc>
          <w:tcPr>
            <w:tcW w:w="3596" w:type="pct"/>
            <w:shd w:val="clear" w:color="auto" w:fill="auto"/>
          </w:tcPr>
          <w:p w14:paraId="1CE772D6" w14:textId="03A192C2" w:rsidR="00D64972" w:rsidRPr="00904572" w:rsidRDefault="00D64972" w:rsidP="00C72824">
            <w:pPr>
              <w:pStyle w:val="02Tabletext"/>
            </w:pPr>
            <w:r>
              <w:t xml:space="preserve">A </w:t>
            </w:r>
            <w:r w:rsidRPr="00105827">
              <w:t>multidisci</w:t>
            </w:r>
            <w:r>
              <w:t xml:space="preserve">plinary, collaborative approach </w:t>
            </w:r>
            <w:r w:rsidR="00594E35">
              <w:t>to programs</w:t>
            </w:r>
            <w:r w:rsidRPr="00105827">
              <w:t>/services would aid in the implementatio</w:t>
            </w:r>
            <w:r>
              <w:t xml:space="preserve">n of the programs and benefit </w:t>
            </w:r>
            <w:r w:rsidRPr="00105827">
              <w:t>the impacts and outcomes for consumers. It was also s</w:t>
            </w:r>
            <w:r>
              <w:t xml:space="preserve">uggested that funding should be </w:t>
            </w:r>
            <w:r w:rsidRPr="00105827">
              <w:t xml:space="preserve">allocated to support implementation to prevent </w:t>
            </w:r>
            <w:r>
              <w:t>inconsistencies in the way that program</w:t>
            </w:r>
            <w:r w:rsidRPr="00105827">
              <w:t>s are delivered</w:t>
            </w:r>
            <w:r w:rsidR="00993839">
              <w:t>.</w:t>
            </w:r>
          </w:p>
        </w:tc>
      </w:tr>
      <w:tr w:rsidR="00D64972" w:rsidRPr="00904572" w14:paraId="129D17D8"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tcPr>
          <w:p w14:paraId="42088005" w14:textId="560C2007" w:rsidR="00D64972" w:rsidRPr="00904572" w:rsidRDefault="00D64972" w:rsidP="00C72824">
            <w:pPr>
              <w:pStyle w:val="02Tabletext"/>
            </w:pPr>
            <w:r>
              <w:t>Policy and strategy</w:t>
            </w:r>
          </w:p>
        </w:tc>
        <w:tc>
          <w:tcPr>
            <w:tcW w:w="3596" w:type="pct"/>
          </w:tcPr>
          <w:p w14:paraId="5B241742" w14:textId="656DCCDF" w:rsidR="00D64972" w:rsidRPr="00904572" w:rsidRDefault="00D64972" w:rsidP="00C72824">
            <w:pPr>
              <w:pStyle w:val="02Tabletext"/>
            </w:pPr>
            <w:r>
              <w:t>Participants agreed that generally the 5CPA programs</w:t>
            </w:r>
            <w:r w:rsidRPr="00105827">
              <w:t>/services added value and should be part of th</w:t>
            </w:r>
            <w:r>
              <w:t xml:space="preserve">e overall preventative strategy </w:t>
            </w:r>
            <w:r w:rsidRPr="00105827">
              <w:t>for consumers.</w:t>
            </w:r>
          </w:p>
        </w:tc>
      </w:tr>
      <w:tr w:rsidR="00D64972" w:rsidRPr="00904572" w14:paraId="0404ED0D" w14:textId="77777777" w:rsidTr="007E570D">
        <w:tc>
          <w:tcPr>
            <w:tcW w:w="1404" w:type="pct"/>
            <w:shd w:val="clear" w:color="auto" w:fill="000000" w:themeFill="text1"/>
          </w:tcPr>
          <w:p w14:paraId="2FA87D48" w14:textId="42B5568C" w:rsidR="00D64972" w:rsidRPr="001E1EB8" w:rsidRDefault="001E1EB8" w:rsidP="00C72824">
            <w:pPr>
              <w:pStyle w:val="02Tabletext"/>
              <w:rPr>
                <w:b/>
              </w:rPr>
            </w:pPr>
            <w:r w:rsidRPr="001E1EB8">
              <w:rPr>
                <w:b/>
              </w:rPr>
              <w:t>Practitioners/providers survey results</w:t>
            </w:r>
          </w:p>
        </w:tc>
        <w:tc>
          <w:tcPr>
            <w:tcW w:w="3596" w:type="pct"/>
            <w:shd w:val="clear" w:color="auto" w:fill="000000" w:themeFill="text1"/>
          </w:tcPr>
          <w:p w14:paraId="6DDAF564" w14:textId="2F783ADC" w:rsidR="00D64972" w:rsidRPr="00904572" w:rsidRDefault="00D64972" w:rsidP="00C72824">
            <w:pPr>
              <w:pStyle w:val="02Tabletext"/>
            </w:pPr>
          </w:p>
        </w:tc>
      </w:tr>
      <w:tr w:rsidR="00D64972" w:rsidRPr="00904572" w14:paraId="4021EC8A"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shd w:val="clear" w:color="auto" w:fill="auto"/>
          </w:tcPr>
          <w:p w14:paraId="4C06B89B" w14:textId="14B670E8" w:rsidR="00D64972" w:rsidRPr="00904572" w:rsidRDefault="00D64972" w:rsidP="00C72824">
            <w:pPr>
              <w:pStyle w:val="02Tabletext"/>
            </w:pPr>
            <w:r>
              <w:t>Interaction between programs</w:t>
            </w:r>
          </w:p>
        </w:tc>
        <w:tc>
          <w:tcPr>
            <w:tcW w:w="3596" w:type="pct"/>
            <w:shd w:val="clear" w:color="auto" w:fill="auto"/>
          </w:tcPr>
          <w:p w14:paraId="38E4E495" w14:textId="4563C1D9" w:rsidR="00D64972" w:rsidRPr="00081886" w:rsidRDefault="00081886" w:rsidP="00C72824">
            <w:pPr>
              <w:pStyle w:val="02Tabletext"/>
            </w:pPr>
            <w:r w:rsidRPr="00081886">
              <w:t>Less than half (42%) of total survey respondents agr</w:t>
            </w:r>
            <w:r>
              <w:t xml:space="preserve">eed or strongly agreed that the </w:t>
            </w:r>
            <w:r w:rsidRPr="00081886">
              <w:t>linkage</w:t>
            </w:r>
            <w:r w:rsidR="009F0516">
              <w:t>s/pathways between the program</w:t>
            </w:r>
            <w:r w:rsidRPr="00081886">
              <w:t>s/services were clearly identified.</w:t>
            </w:r>
            <w:r>
              <w:t xml:space="preserve"> </w:t>
            </w:r>
            <w:r w:rsidRPr="00081886">
              <w:t>More than half (60%) agreed that there were gaps in the services provided, resulting in unmet needs of the consumer</w:t>
            </w:r>
            <w:r>
              <w:t>.</w:t>
            </w:r>
          </w:p>
        </w:tc>
      </w:tr>
      <w:tr w:rsidR="00D64972" w:rsidRPr="00904572" w14:paraId="38876B87" w14:textId="77777777" w:rsidTr="007E570D">
        <w:tc>
          <w:tcPr>
            <w:tcW w:w="1404" w:type="pct"/>
            <w:shd w:val="clear" w:color="auto" w:fill="DEEAF6" w:themeFill="accent1" w:themeFillTint="33"/>
          </w:tcPr>
          <w:p w14:paraId="707C3DC0" w14:textId="7BDECA2C" w:rsidR="00D64972" w:rsidRPr="00904572" w:rsidRDefault="00993839" w:rsidP="00C72824">
            <w:pPr>
              <w:pStyle w:val="02Tabletext"/>
            </w:pPr>
            <w:r>
              <w:t>Factors influenc</w:t>
            </w:r>
            <w:r w:rsidR="00081886">
              <w:t>ing</w:t>
            </w:r>
            <w:r>
              <w:t xml:space="preserve"> </w:t>
            </w:r>
            <w:r w:rsidR="00D64972">
              <w:t>decision making</w:t>
            </w:r>
          </w:p>
        </w:tc>
        <w:tc>
          <w:tcPr>
            <w:tcW w:w="3596" w:type="pct"/>
            <w:shd w:val="clear" w:color="auto" w:fill="DEEAF6" w:themeFill="accent1" w:themeFillTint="33"/>
          </w:tcPr>
          <w:p w14:paraId="6959E3DC" w14:textId="42C90B3D" w:rsidR="00D64972" w:rsidRPr="00904572" w:rsidRDefault="00D64972" w:rsidP="00F6579C">
            <w:pPr>
              <w:pStyle w:val="02Tabletext"/>
            </w:pPr>
            <w:r>
              <w:t>The majority of providers agreed that t</w:t>
            </w:r>
            <w:r w:rsidRPr="00394B57">
              <w:t xml:space="preserve">he consumer </w:t>
            </w:r>
            <w:r>
              <w:t xml:space="preserve">needs assistance with their medicines </w:t>
            </w:r>
            <w:r w:rsidR="00F6579C">
              <w:t xml:space="preserve">(75%) </w:t>
            </w:r>
            <w:r>
              <w:t xml:space="preserve">and </w:t>
            </w:r>
            <w:r w:rsidRPr="00394B57">
              <w:t>educating ab</w:t>
            </w:r>
            <w:r>
              <w:t>out medi</w:t>
            </w:r>
            <w:r w:rsidR="00993839">
              <w:t xml:space="preserve">cines/health conditions (78%). </w:t>
            </w:r>
            <w:r w:rsidRPr="00394B57">
              <w:t xml:space="preserve">The majority of pharmacists reported that the point </w:t>
            </w:r>
            <w:r>
              <w:t xml:space="preserve">at which they make the clinical </w:t>
            </w:r>
            <w:r w:rsidRPr="00394B57">
              <w:t>decision to provide a particular service/intervention was:</w:t>
            </w:r>
            <w:r>
              <w:t xml:space="preserve"> when a referral for service is </w:t>
            </w:r>
            <w:r w:rsidRPr="00394B57">
              <w:t>received from a GP (76%</w:t>
            </w:r>
            <w:r>
              <w:t xml:space="preserve">), or during interaction with the </w:t>
            </w:r>
            <w:r w:rsidRPr="00394B57">
              <w:t xml:space="preserve">consumer during the dispensing process (63%). </w:t>
            </w:r>
            <w:r w:rsidR="00081886">
              <w:t xml:space="preserve">None of the </w:t>
            </w:r>
            <w:r>
              <w:t xml:space="preserve">responding pharmacists </w:t>
            </w:r>
            <w:r w:rsidRPr="00394B57">
              <w:t>reported making clinical decisions about service provision</w:t>
            </w:r>
            <w:r>
              <w:t xml:space="preserve"> through delivery of </w:t>
            </w:r>
            <w:r w:rsidR="00081886">
              <w:t>SS service.</w:t>
            </w:r>
          </w:p>
        </w:tc>
      </w:tr>
      <w:tr w:rsidR="00D64972" w:rsidRPr="00904572" w14:paraId="38B45D7E"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shd w:val="clear" w:color="auto" w:fill="auto"/>
          </w:tcPr>
          <w:p w14:paraId="3E34F681" w14:textId="7398B81E" w:rsidR="00D64972" w:rsidRPr="00904572" w:rsidRDefault="00D64972" w:rsidP="00C72824">
            <w:pPr>
              <w:pStyle w:val="02Tabletext"/>
            </w:pPr>
            <w:r w:rsidRPr="00C82014">
              <w:t>Screening/diagnostic/intervention tools</w:t>
            </w:r>
          </w:p>
        </w:tc>
        <w:tc>
          <w:tcPr>
            <w:tcW w:w="3596" w:type="pct"/>
            <w:shd w:val="clear" w:color="auto" w:fill="auto"/>
          </w:tcPr>
          <w:p w14:paraId="10E19240" w14:textId="27C11C61" w:rsidR="00D64972" w:rsidRPr="00904572" w:rsidRDefault="00D64972" w:rsidP="00C72824">
            <w:pPr>
              <w:pStyle w:val="02Tabletext"/>
            </w:pPr>
            <w:r w:rsidRPr="00C80EC8">
              <w:t>SS services were viewed as being purpose specific, with the risk of intentional misuse as the main reason for recommend</w:t>
            </w:r>
            <w:r w:rsidR="00F6579C">
              <w:t xml:space="preserve">ing consumers receive SS (67%), </w:t>
            </w:r>
            <w:r w:rsidRPr="00C80EC8">
              <w:t>followed by high</w:t>
            </w:r>
            <w:r w:rsidR="00F6579C">
              <w:t>-risk medicines (</w:t>
            </w:r>
            <w:r w:rsidRPr="00C80EC8">
              <w:t>35%).</w:t>
            </w:r>
          </w:p>
        </w:tc>
      </w:tr>
      <w:tr w:rsidR="00D64972" w:rsidRPr="00904572" w14:paraId="6312DB1B" w14:textId="77777777" w:rsidTr="007E570D">
        <w:tc>
          <w:tcPr>
            <w:tcW w:w="1404" w:type="pct"/>
            <w:shd w:val="clear" w:color="auto" w:fill="DEEAF6" w:themeFill="accent1" w:themeFillTint="33"/>
          </w:tcPr>
          <w:p w14:paraId="7A73861C" w14:textId="60757B94" w:rsidR="00D64972" w:rsidRPr="00904572" w:rsidRDefault="00D64972" w:rsidP="00C72824">
            <w:pPr>
              <w:pStyle w:val="02Tabletext"/>
            </w:pPr>
            <w:r>
              <w:t>Provider satisfaction</w:t>
            </w:r>
          </w:p>
        </w:tc>
        <w:tc>
          <w:tcPr>
            <w:tcW w:w="3596" w:type="pct"/>
            <w:shd w:val="clear" w:color="auto" w:fill="DEEAF6" w:themeFill="accent1" w:themeFillTint="33"/>
          </w:tcPr>
          <w:p w14:paraId="3CECCA1F" w14:textId="6821FC66" w:rsidR="00D64972" w:rsidRPr="00904572" w:rsidRDefault="00D64972" w:rsidP="00C72824">
            <w:pPr>
              <w:pStyle w:val="02Tabletext"/>
            </w:pPr>
            <w:r>
              <w:t>More than half of providers (55%)</w:t>
            </w:r>
            <w:r w:rsidRPr="005124E3">
              <w:t xml:space="preserve"> reported being satisfi</w:t>
            </w:r>
            <w:r>
              <w:t>ed with their involvement in SS programs/services. Almost two thirds</w:t>
            </w:r>
            <w:r w:rsidRPr="00222F18">
              <w:t xml:space="preserve"> reported be</w:t>
            </w:r>
            <w:r>
              <w:t xml:space="preserve">ing satisfied with </w:t>
            </w:r>
            <w:r w:rsidRPr="00222F18">
              <w:t>the benefit their consumers rec</w:t>
            </w:r>
            <w:r>
              <w:t>eive through the SS program.</w:t>
            </w:r>
          </w:p>
        </w:tc>
      </w:tr>
      <w:tr w:rsidR="00D64972" w:rsidRPr="00904572" w14:paraId="3DFCE0E3" w14:textId="77777777" w:rsidTr="007E570D">
        <w:trPr>
          <w:cnfStyle w:val="000000010000" w:firstRow="0" w:lastRow="0" w:firstColumn="0" w:lastColumn="0" w:oddVBand="0" w:evenVBand="0" w:oddHBand="0" w:evenHBand="1" w:firstRowFirstColumn="0" w:firstRowLastColumn="0" w:lastRowFirstColumn="0" w:lastRowLastColumn="0"/>
        </w:trPr>
        <w:tc>
          <w:tcPr>
            <w:tcW w:w="1404" w:type="pct"/>
            <w:shd w:val="clear" w:color="auto" w:fill="auto"/>
          </w:tcPr>
          <w:p w14:paraId="656C7E76" w14:textId="366A8E2E" w:rsidR="00D64972" w:rsidRPr="00904572" w:rsidRDefault="00F6579C" w:rsidP="00C72824">
            <w:pPr>
              <w:pStyle w:val="02Tabletext"/>
            </w:pPr>
            <w:r>
              <w:t>Collaboration</w:t>
            </w:r>
          </w:p>
        </w:tc>
        <w:tc>
          <w:tcPr>
            <w:tcW w:w="3596" w:type="pct"/>
            <w:shd w:val="clear" w:color="auto" w:fill="auto"/>
          </w:tcPr>
          <w:p w14:paraId="0E3C650A" w14:textId="33BFB0E4" w:rsidR="00D64972" w:rsidRPr="00904572" w:rsidRDefault="00D64972" w:rsidP="00C72824">
            <w:pPr>
              <w:pStyle w:val="02Tabletext"/>
            </w:pPr>
            <w:r w:rsidRPr="00C82014">
              <w:t>There was very little</w:t>
            </w:r>
            <w:r w:rsidR="00F6579C">
              <w:t xml:space="preserve"> collaboration between GPs and p</w:t>
            </w:r>
            <w:r w:rsidRPr="00C82014">
              <w:t>harmacists</w:t>
            </w:r>
            <w:r>
              <w:t xml:space="preserve"> for SS services</w:t>
            </w:r>
            <w:r w:rsidRPr="00C82014">
              <w:t>, apart from brief phone calls or faxes to confirm a prescription or dosage</w:t>
            </w:r>
            <w:r>
              <w:t>.</w:t>
            </w:r>
          </w:p>
        </w:tc>
      </w:tr>
    </w:tbl>
    <w:p w14:paraId="100DA0C5" w14:textId="77777777" w:rsidR="00904572" w:rsidRPr="00904572" w:rsidRDefault="00904572" w:rsidP="00157E4B">
      <w:pPr>
        <w:pStyle w:val="08Tablefootnotes"/>
      </w:pPr>
      <w:r w:rsidRPr="00904572">
        <w:t>Source: PricewaterhouseCoopers Combined Review of 5CPA Medication Management Programmes (2015)</w:t>
      </w:r>
    </w:p>
    <w:p w14:paraId="6BBDCC49" w14:textId="1FEDBAF3" w:rsidR="00904572" w:rsidRPr="00904572" w:rsidRDefault="00DE4DD3" w:rsidP="00DE4DD3">
      <w:pPr>
        <w:pStyle w:val="09Tablefootnoteslast-nostick"/>
      </w:pPr>
      <w:r>
        <w:t>Abbreviations: 5CPA, F</w:t>
      </w:r>
      <w:r w:rsidR="00904572" w:rsidRPr="00904572">
        <w:t>ifth Community Pharmacy Agreemen</w:t>
      </w:r>
      <w:r w:rsidR="00C72824">
        <w:t>t;</w:t>
      </w:r>
      <w:r w:rsidR="00904572" w:rsidRPr="00904572">
        <w:t xml:space="preserve"> GP, general practitioner;  PP</w:t>
      </w:r>
      <w:r>
        <w:t>I, Pharmacy Practice Incentives</w:t>
      </w:r>
      <w:r w:rsidR="00C72824">
        <w:t>; SS, Staged Supply</w:t>
      </w:r>
      <w:r>
        <w:t>.</w:t>
      </w:r>
    </w:p>
    <w:p w14:paraId="10ABECC4" w14:textId="2CF0865A" w:rsidR="00DE4DD3" w:rsidRPr="000F48FC" w:rsidRDefault="00DE4DD3" w:rsidP="00DE4DD3">
      <w:pPr>
        <w:pStyle w:val="Bodytextbeforebullets"/>
      </w:pPr>
      <w:r w:rsidRPr="000F48FC">
        <w:t xml:space="preserve">There were a number of limitations relevant to program data analysis. </w:t>
      </w:r>
      <w:r w:rsidR="00675672">
        <w:t xml:space="preserve"> </w:t>
      </w:r>
      <w:r w:rsidRPr="000F48FC">
        <w:t>These included:</w:t>
      </w:r>
    </w:p>
    <w:p w14:paraId="099B4727" w14:textId="77777777" w:rsidR="00DE4DD3" w:rsidRPr="00DE4DD3" w:rsidRDefault="00DE4DD3" w:rsidP="004C08D3">
      <w:pPr>
        <w:pStyle w:val="Bullettext"/>
      </w:pPr>
      <w:r w:rsidRPr="00DE4DD3">
        <w:t>Data collected as part of the claims process provided limited insight on uptake and volume of programs and services since multiple services could be submitted under one claim. The authors presented service level data where possible, merging accepted, rejected and claims datasets to conduct more accurate analyses.</w:t>
      </w:r>
    </w:p>
    <w:p w14:paraId="25055FA3" w14:textId="77777777" w:rsidR="00DE4DD3" w:rsidRPr="00DE4DD3" w:rsidRDefault="00DE4DD3" w:rsidP="004C08D3">
      <w:pPr>
        <w:pStyle w:val="Bullettext"/>
      </w:pPr>
      <w:r w:rsidRPr="00DE4DD3">
        <w:t>Consumer level data was de-identified and not linked to other data sources (e.g. Medicare and hospital data); therefore, it was not possible to determine the impact of participating in specific programs on consumer outcomes, outside of that particular episode of care.</w:t>
      </w:r>
    </w:p>
    <w:p w14:paraId="5A32BA18" w14:textId="1CAEECA8" w:rsidR="00DE4DD3" w:rsidRPr="00DE4DD3" w:rsidRDefault="00DE4DD3" w:rsidP="004C08D3">
      <w:pPr>
        <w:pStyle w:val="Bullettext"/>
      </w:pPr>
      <w:r w:rsidRPr="00DE4DD3">
        <w:t>Consumer demographic data, such as age and gender, was not available for any</w:t>
      </w:r>
      <w:r w:rsidR="00E77BF3">
        <w:t xml:space="preserve"> of the PPI Program initiatives</w:t>
      </w:r>
      <w:r w:rsidRPr="00DE4DD3">
        <w:t xml:space="preserve">. Postcode was not captured at the consumer level within any </w:t>
      </w:r>
      <w:r w:rsidRPr="00DE4DD3">
        <w:lastRenderedPageBreak/>
        <w:t>program/service dataset, therefore analysis of the data could not be performed for socioeconomic indicator or remoteness.</w:t>
      </w:r>
    </w:p>
    <w:p w14:paraId="671A084D" w14:textId="77777777" w:rsidR="00DE4DD3" w:rsidRPr="00DE4DD3" w:rsidRDefault="00DE4DD3" w:rsidP="004C08D3">
      <w:pPr>
        <w:pStyle w:val="Bullettext"/>
      </w:pPr>
      <w:r w:rsidRPr="00DE4DD3">
        <w:t>The number of medicines and health conditions of consumers was not captured in the PPI Program dataset, resulting in the inability to analyse trends over time and potential investment value, including impact, for other programs and services.</w:t>
      </w:r>
    </w:p>
    <w:p w14:paraId="669F5561" w14:textId="39A1F5B8" w:rsidR="00DE4DD3" w:rsidRDefault="00DE4DD3" w:rsidP="004C08D3">
      <w:pPr>
        <w:pStyle w:val="Bullettext"/>
      </w:pPr>
      <w:r w:rsidRPr="00DE4DD3">
        <w:t>Analysis of program data beyond 28</w:t>
      </w:r>
      <w:r w:rsidRPr="00DE4DD3">
        <w:rPr>
          <w:vertAlign w:val="superscript"/>
        </w:rPr>
        <w:t>th</w:t>
      </w:r>
      <w:r w:rsidRPr="00DE4DD3">
        <w:t xml:space="preserve"> February 2014 was not performed, resulting in failure to capture the effects of administrative changes to programs and services implemented on 1st March 2014 on the uptake and volume of programs and services.</w:t>
      </w:r>
    </w:p>
    <w:p w14:paraId="4C70A8A2" w14:textId="2EA04296" w:rsidR="001E1EB8" w:rsidRPr="00C72824" w:rsidRDefault="00DE4DD3" w:rsidP="001E1EB8">
      <w:pPr>
        <w:pStyle w:val="BodyText"/>
      </w:pPr>
      <w:r w:rsidRPr="008B3C59">
        <w:t xml:space="preserve">A </w:t>
      </w:r>
      <w:r>
        <w:t>cost-benefit analysis</w:t>
      </w:r>
      <w:r w:rsidRPr="008B3C59">
        <w:t xml:space="preserve"> was not performed in this Review, thus direct and indirect benefits resulting from delivering medication management programs, such as the PPI Program, could not be inferred. </w:t>
      </w:r>
      <w:r w:rsidR="00675672">
        <w:t xml:space="preserve"> </w:t>
      </w:r>
      <w:r w:rsidRPr="008B3C59">
        <w:t xml:space="preserve">The authors recommended that a baseline benefits analysis be conducted in a future review of the Program to inform the health, social and economic benefits that result from these program implemented as part of the 6CPA and evaluate the cost-benefits as a result of the 6CPA investment. </w:t>
      </w:r>
      <w:r w:rsidR="00675672">
        <w:t xml:space="preserve"> </w:t>
      </w:r>
      <w:r w:rsidRPr="008B3C59">
        <w:t xml:space="preserve">A reliable </w:t>
      </w:r>
      <w:r w:rsidR="00BE6E89">
        <w:t>cost-benefit analysis</w:t>
      </w:r>
      <w:r w:rsidRPr="008B3C59">
        <w:t xml:space="preserve"> would require a more sophisticated approach towards collection of data, linking program data (multiple datasets, including at consumer level) combined with regular auditing and reporting requirements to enable consumer health outcomes to be more effectively monitored and measured over time</w:t>
      </w:r>
      <w:r w:rsidRPr="000F48FC">
        <w:t>.</w:t>
      </w:r>
    </w:p>
    <w:p w14:paraId="1C818BFF" w14:textId="77777777" w:rsidR="008228DE" w:rsidRDefault="008228DE" w:rsidP="008228DE">
      <w:pPr>
        <w:pStyle w:val="BodyText"/>
      </w:pPr>
      <w:bookmarkStart w:id="67" w:name="_Toc374972260"/>
      <w:bookmarkStart w:id="68" w:name="_Toc374972621"/>
      <w:bookmarkEnd w:id="38"/>
      <w:bookmarkEnd w:id="39"/>
    </w:p>
    <w:p w14:paraId="30E48789" w14:textId="50F1165E" w:rsidR="008228DE" w:rsidRPr="00B213F6" w:rsidRDefault="008228DE" w:rsidP="008228DE">
      <w:pPr>
        <w:pStyle w:val="BodyText"/>
        <w:sectPr w:rsidR="008228DE" w:rsidRPr="00B213F6" w:rsidSect="006B2FBC">
          <w:pgSz w:w="11906" w:h="16838" w:code="9"/>
          <w:pgMar w:top="1134" w:right="1134" w:bottom="1134" w:left="1134" w:header="680" w:footer="851" w:gutter="0"/>
          <w:cols w:space="708"/>
          <w:docGrid w:linePitch="360"/>
        </w:sectPr>
      </w:pPr>
    </w:p>
    <w:p w14:paraId="6B921E0A" w14:textId="77777777" w:rsidR="00CA62E1" w:rsidRDefault="00CA62E1" w:rsidP="00CA62E1">
      <w:pPr>
        <w:pStyle w:val="Heading1"/>
      </w:pPr>
      <w:bookmarkStart w:id="69" w:name="_Toc463348375"/>
      <w:bookmarkStart w:id="70" w:name="_Toc523236209"/>
      <w:bookmarkEnd w:id="67"/>
      <w:bookmarkEnd w:id="68"/>
      <w:r>
        <w:lastRenderedPageBreak/>
        <w:t>SS utilisation analysis</w:t>
      </w:r>
      <w:bookmarkEnd w:id="69"/>
      <w:bookmarkEnd w:id="70"/>
    </w:p>
    <w:p w14:paraId="5F97513A" w14:textId="77777777" w:rsidR="00CA62E1" w:rsidRPr="00AE4407" w:rsidRDefault="00CA62E1" w:rsidP="00CA62E1">
      <w:pPr>
        <w:pStyle w:val="BodyText"/>
      </w:pPr>
      <w:r>
        <w:t>This section presents utilisation analysis using data provided by the Department (Sections 5.1 and 5.3) and by the Pharmacy Guild of Australia (Section 5.2).</w:t>
      </w:r>
    </w:p>
    <w:p w14:paraId="4B1417FA" w14:textId="77777777" w:rsidR="00CA62E1" w:rsidRPr="006F1A5C" w:rsidRDefault="00CA62E1" w:rsidP="00CA62E1">
      <w:pPr>
        <w:pStyle w:val="Heading2"/>
      </w:pPr>
      <w:bookmarkStart w:id="71" w:name="_Toc463537993"/>
      <w:bookmarkStart w:id="72" w:name="_Toc463539431"/>
      <w:bookmarkStart w:id="73" w:name="_Toc523236210"/>
      <w:r w:rsidRPr="006F1A5C">
        <w:t>SS initiative participating pharmacies and claims made</w:t>
      </w:r>
      <w:bookmarkEnd w:id="71"/>
      <w:bookmarkEnd w:id="72"/>
      <w:bookmarkEnd w:id="73"/>
    </w:p>
    <w:p w14:paraId="5CE8BFF7" w14:textId="546161E4" w:rsidR="00CA62E1" w:rsidRPr="006F1A5C" w:rsidRDefault="00CA62E1" w:rsidP="00CA62E1">
      <w:pPr>
        <w:pStyle w:val="BodyText"/>
      </w:pPr>
      <w:r w:rsidRPr="006F1A5C">
        <w:t>Between 2012 and 2016, 7,</w:t>
      </w:r>
      <w:r>
        <w:t>738</w:t>
      </w:r>
      <w:r w:rsidRPr="006F1A5C">
        <w:t xml:space="preserve"> pharmacies have participated in the </w:t>
      </w:r>
      <w:r>
        <w:t>SS</w:t>
      </w:r>
      <w:r w:rsidRPr="006F1A5C">
        <w:t xml:space="preserve"> incenti</w:t>
      </w:r>
      <w:r>
        <w:t>ve program, peaking in 2015 at 4</w:t>
      </w:r>
      <w:r w:rsidRPr="006F1A5C">
        <w:t>,8</w:t>
      </w:r>
      <w:r>
        <w:t>9</w:t>
      </w:r>
      <w:r w:rsidRPr="006F1A5C">
        <w:t>7 pharmacies</w:t>
      </w:r>
      <w:r w:rsidRPr="006F1A5C">
        <w:rPr>
          <w:rStyle w:val="FootnoteReference"/>
        </w:rPr>
        <w:footnoteReference w:id="4"/>
      </w:r>
      <w:r w:rsidRPr="006F1A5C">
        <w:t xml:space="preserve">. </w:t>
      </w:r>
      <w:r>
        <w:t xml:space="preserve">The variability in number of pharmacy claims suggests that the provided data was likely missing 2013 and the first quarter of 2014. Additionally, </w:t>
      </w:r>
      <w:r w:rsidRPr="006F1A5C">
        <w:t xml:space="preserve">2016 is a part year, it is under-represented in the data and </w:t>
      </w:r>
      <w:r>
        <w:t>it, along with 2013 are</w:t>
      </w:r>
      <w:r w:rsidRPr="006F1A5C">
        <w:t xml:space="preserve"> largely excluded in the analysis (</w:t>
      </w:r>
      <w:r w:rsidR="00CC2655">
        <w:fldChar w:fldCharType="begin"/>
      </w:r>
      <w:r w:rsidR="00CC2655">
        <w:instrText xml:space="preserve"> REF _Hlk522783610 \h </w:instrText>
      </w:r>
      <w:r w:rsidR="00CC2655">
        <w:fldChar w:fldCharType="separate"/>
      </w:r>
      <w:r w:rsidR="00CC2655">
        <w:t xml:space="preserve">Table </w:t>
      </w:r>
      <w:r w:rsidR="00CC2655">
        <w:rPr>
          <w:noProof/>
        </w:rPr>
        <w:t>5</w:t>
      </w:r>
      <w:r w:rsidR="00CC2655">
        <w:t>.</w:t>
      </w:r>
      <w:r w:rsidR="00CC2655">
        <w:rPr>
          <w:noProof/>
        </w:rPr>
        <w:t>1</w:t>
      </w:r>
      <w:r w:rsidR="00CC2655">
        <w:fldChar w:fldCharType="end"/>
      </w:r>
      <w:r w:rsidR="003F0159">
        <w:t>).</w:t>
      </w:r>
    </w:p>
    <w:p w14:paraId="68194104" w14:textId="460870A6" w:rsidR="00CA62E1" w:rsidRPr="006F1A5C" w:rsidRDefault="00542F4A" w:rsidP="00542F4A">
      <w:pPr>
        <w:pStyle w:val="Caption"/>
      </w:pPr>
      <w:bookmarkStart w:id="74" w:name="_Hlk522783610"/>
      <w:bookmarkStart w:id="75" w:name="_Toc463539374"/>
      <w:bookmarkStart w:id="76" w:name="_Toc467155928"/>
      <w:r>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5</w:t>
      </w:r>
      <w:r w:rsidR="00872B71">
        <w:rPr>
          <w:noProof/>
        </w:rPr>
        <w:fldChar w:fldCharType="end"/>
      </w:r>
      <w:r>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1</w:t>
      </w:r>
      <w:r w:rsidR="00872B71">
        <w:rPr>
          <w:noProof/>
        </w:rPr>
        <w:fldChar w:fldCharType="end"/>
      </w:r>
      <w:bookmarkEnd w:id="74"/>
      <w:r w:rsidR="00CA62E1" w:rsidRPr="006F1A5C">
        <w:tab/>
        <w:t xml:space="preserve">Summary of pharmacy </w:t>
      </w:r>
      <w:r w:rsidR="00CA62E1">
        <w:t>SS</w:t>
      </w:r>
      <w:r w:rsidR="00CA62E1" w:rsidRPr="006F1A5C">
        <w:t xml:space="preserve"> claims 2012 – 2016</w:t>
      </w:r>
      <w:bookmarkEnd w:id="75"/>
      <w:bookmarkEnd w:id="76"/>
    </w:p>
    <w:tbl>
      <w:tblPr>
        <w:tblW w:w="5000" w:type="pct"/>
        <w:tblLook w:val="04A0" w:firstRow="1" w:lastRow="0" w:firstColumn="1" w:lastColumn="0" w:noHBand="0" w:noVBand="1"/>
        <w:tblCaption w:val="Table 5.1"/>
        <w:tblDescription w:val="Summary of pharmacy SS claims 2012 – 2016. Table compares Claim year against No of pharmacies with claims against Value of claims against Average claim per participating pharmacy."/>
      </w:tblPr>
      <w:tblGrid>
        <w:gridCol w:w="3636"/>
        <w:gridCol w:w="3638"/>
        <w:gridCol w:w="3638"/>
        <w:gridCol w:w="3638"/>
      </w:tblGrid>
      <w:tr w:rsidR="00CA62E1" w:rsidRPr="004E7FF0" w14:paraId="6FC9859B" w14:textId="77777777" w:rsidTr="00A15D68">
        <w:trPr>
          <w:trHeight w:val="227"/>
        </w:trPr>
        <w:tc>
          <w:tcPr>
            <w:tcW w:w="2262" w:type="dxa"/>
            <w:tcBorders>
              <w:top w:val="single" w:sz="8" w:space="0" w:color="auto"/>
              <w:left w:val="single" w:sz="8" w:space="0" w:color="auto"/>
              <w:bottom w:val="single" w:sz="8" w:space="0" w:color="auto"/>
              <w:right w:val="single" w:sz="8" w:space="0" w:color="auto"/>
            </w:tcBorders>
            <w:shd w:val="clear" w:color="000000" w:fill="366091"/>
            <w:vAlign w:val="center"/>
            <w:hideMark/>
          </w:tcPr>
          <w:p w14:paraId="2BE031F0" w14:textId="77777777" w:rsidR="00CA62E1" w:rsidRPr="004E7FF0" w:rsidRDefault="00CA62E1" w:rsidP="00A15D68">
            <w:pPr>
              <w:spacing w:after="0"/>
              <w:rPr>
                <w:rFonts w:eastAsia="Times New Roman" w:cs="Times New Roman"/>
                <w:b/>
                <w:bCs/>
                <w:color w:val="FFFFFF"/>
                <w:sz w:val="18"/>
                <w:szCs w:val="18"/>
                <w:lang w:eastAsia="en-AU"/>
              </w:rPr>
            </w:pPr>
            <w:r w:rsidRPr="004E7FF0">
              <w:rPr>
                <w:rFonts w:eastAsia="Times New Roman" w:cs="Times New Roman"/>
                <w:b/>
                <w:bCs/>
                <w:color w:val="FFFFFF"/>
                <w:sz w:val="18"/>
                <w:szCs w:val="18"/>
                <w:lang w:eastAsia="en-AU"/>
              </w:rPr>
              <w:t>Claim year</w:t>
            </w:r>
          </w:p>
        </w:tc>
        <w:tc>
          <w:tcPr>
            <w:tcW w:w="2263" w:type="dxa"/>
            <w:tcBorders>
              <w:top w:val="single" w:sz="8" w:space="0" w:color="auto"/>
              <w:left w:val="nil"/>
              <w:bottom w:val="single" w:sz="8" w:space="0" w:color="auto"/>
              <w:right w:val="single" w:sz="8" w:space="0" w:color="auto"/>
            </w:tcBorders>
            <w:shd w:val="clear" w:color="000000" w:fill="366091"/>
            <w:vAlign w:val="center"/>
            <w:hideMark/>
          </w:tcPr>
          <w:p w14:paraId="52E884DA" w14:textId="77777777" w:rsidR="00CA62E1" w:rsidRPr="004E7FF0" w:rsidRDefault="00CA62E1" w:rsidP="00A15D68">
            <w:pPr>
              <w:spacing w:after="0"/>
              <w:jc w:val="center"/>
              <w:rPr>
                <w:rFonts w:eastAsia="Times New Roman" w:cs="Times New Roman"/>
                <w:b/>
                <w:bCs/>
                <w:color w:val="FFFFFF"/>
                <w:sz w:val="18"/>
                <w:szCs w:val="18"/>
                <w:lang w:eastAsia="en-AU"/>
              </w:rPr>
            </w:pPr>
            <w:r w:rsidRPr="004E7FF0">
              <w:rPr>
                <w:rFonts w:eastAsia="Times New Roman" w:cs="Times New Roman"/>
                <w:b/>
                <w:bCs/>
                <w:color w:val="FFFFFF"/>
                <w:sz w:val="18"/>
                <w:szCs w:val="18"/>
                <w:lang w:eastAsia="en-AU"/>
              </w:rPr>
              <w:t>No of pharmacies with claims</w:t>
            </w:r>
          </w:p>
        </w:tc>
        <w:tc>
          <w:tcPr>
            <w:tcW w:w="2263" w:type="dxa"/>
            <w:tcBorders>
              <w:top w:val="single" w:sz="8" w:space="0" w:color="auto"/>
              <w:left w:val="nil"/>
              <w:bottom w:val="single" w:sz="8" w:space="0" w:color="auto"/>
              <w:right w:val="single" w:sz="8" w:space="0" w:color="auto"/>
            </w:tcBorders>
            <w:shd w:val="clear" w:color="000000" w:fill="366091"/>
            <w:vAlign w:val="center"/>
            <w:hideMark/>
          </w:tcPr>
          <w:p w14:paraId="3D3D6FAB" w14:textId="77777777" w:rsidR="00CA62E1" w:rsidRPr="004E7FF0" w:rsidRDefault="00CA62E1" w:rsidP="00A15D68">
            <w:pPr>
              <w:spacing w:after="0"/>
              <w:jc w:val="center"/>
              <w:rPr>
                <w:rFonts w:eastAsia="Times New Roman" w:cs="Times New Roman"/>
                <w:b/>
                <w:bCs/>
                <w:color w:val="FFFFFF"/>
                <w:sz w:val="18"/>
                <w:szCs w:val="18"/>
                <w:lang w:eastAsia="en-AU"/>
              </w:rPr>
            </w:pPr>
            <w:r w:rsidRPr="004E7FF0">
              <w:rPr>
                <w:rFonts w:eastAsia="Times New Roman" w:cs="Times New Roman"/>
                <w:b/>
                <w:bCs/>
                <w:color w:val="FFFFFF"/>
                <w:sz w:val="18"/>
                <w:szCs w:val="18"/>
                <w:lang w:eastAsia="en-AU"/>
              </w:rPr>
              <w:t>Value of claims</w:t>
            </w:r>
          </w:p>
        </w:tc>
        <w:tc>
          <w:tcPr>
            <w:tcW w:w="2263" w:type="dxa"/>
            <w:tcBorders>
              <w:top w:val="single" w:sz="8" w:space="0" w:color="auto"/>
              <w:left w:val="nil"/>
              <w:bottom w:val="single" w:sz="8" w:space="0" w:color="auto"/>
              <w:right w:val="single" w:sz="8" w:space="0" w:color="auto"/>
            </w:tcBorders>
            <w:shd w:val="clear" w:color="000000" w:fill="366091"/>
            <w:vAlign w:val="center"/>
            <w:hideMark/>
          </w:tcPr>
          <w:p w14:paraId="78F1D01B" w14:textId="77777777" w:rsidR="00CA62E1" w:rsidRPr="004E7FF0" w:rsidRDefault="00CA62E1" w:rsidP="00A15D68">
            <w:pPr>
              <w:spacing w:after="0"/>
              <w:jc w:val="center"/>
              <w:rPr>
                <w:rFonts w:eastAsia="Times New Roman" w:cs="Times New Roman"/>
                <w:b/>
                <w:bCs/>
                <w:color w:val="FFFFFF"/>
                <w:sz w:val="18"/>
                <w:szCs w:val="18"/>
                <w:lang w:eastAsia="en-AU"/>
              </w:rPr>
            </w:pPr>
            <w:r w:rsidRPr="004E7FF0">
              <w:rPr>
                <w:rFonts w:eastAsia="Times New Roman" w:cs="Times New Roman"/>
                <w:b/>
                <w:bCs/>
                <w:color w:val="FFFFFF"/>
                <w:sz w:val="18"/>
                <w:szCs w:val="18"/>
                <w:lang w:eastAsia="en-AU"/>
              </w:rPr>
              <w:t>Average claim per participating pharmacy</w:t>
            </w:r>
          </w:p>
        </w:tc>
      </w:tr>
      <w:tr w:rsidR="00CA62E1" w:rsidRPr="004E7FF0" w14:paraId="2A79C2F6" w14:textId="77777777" w:rsidTr="00A15D68">
        <w:trPr>
          <w:trHeight w:val="227"/>
        </w:trPr>
        <w:tc>
          <w:tcPr>
            <w:tcW w:w="2262" w:type="dxa"/>
            <w:tcBorders>
              <w:top w:val="nil"/>
              <w:left w:val="single" w:sz="8" w:space="0" w:color="auto"/>
              <w:bottom w:val="single" w:sz="8" w:space="0" w:color="auto"/>
              <w:right w:val="single" w:sz="8" w:space="0" w:color="auto"/>
            </w:tcBorders>
            <w:shd w:val="clear" w:color="auto" w:fill="auto"/>
            <w:vAlign w:val="center"/>
            <w:hideMark/>
          </w:tcPr>
          <w:p w14:paraId="2117776F" w14:textId="77777777" w:rsidR="00CA62E1" w:rsidRPr="004E7FF0" w:rsidRDefault="00CA62E1" w:rsidP="00A15D68">
            <w:pPr>
              <w:spacing w:after="0"/>
              <w:rPr>
                <w:rFonts w:eastAsia="Times New Roman" w:cs="Times New Roman"/>
                <w:color w:val="000000"/>
                <w:sz w:val="18"/>
                <w:szCs w:val="18"/>
                <w:lang w:eastAsia="en-AU"/>
              </w:rPr>
            </w:pPr>
            <w:r w:rsidRPr="004E7FF0">
              <w:rPr>
                <w:rFonts w:eastAsia="Times New Roman" w:cs="Times New Roman"/>
                <w:color w:val="000000"/>
                <w:sz w:val="18"/>
                <w:szCs w:val="18"/>
                <w:lang w:eastAsia="en-AU"/>
              </w:rPr>
              <w:t>2012</w:t>
            </w:r>
          </w:p>
        </w:tc>
        <w:tc>
          <w:tcPr>
            <w:tcW w:w="2263" w:type="dxa"/>
            <w:tcBorders>
              <w:top w:val="nil"/>
              <w:left w:val="nil"/>
              <w:bottom w:val="single" w:sz="8" w:space="0" w:color="auto"/>
              <w:right w:val="single" w:sz="8" w:space="0" w:color="auto"/>
            </w:tcBorders>
            <w:shd w:val="clear" w:color="auto" w:fill="auto"/>
            <w:vAlign w:val="center"/>
            <w:hideMark/>
          </w:tcPr>
          <w:p w14:paraId="1C4D9500"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2,456</w:t>
            </w:r>
          </w:p>
        </w:tc>
        <w:tc>
          <w:tcPr>
            <w:tcW w:w="2263" w:type="dxa"/>
            <w:tcBorders>
              <w:top w:val="nil"/>
              <w:left w:val="nil"/>
              <w:bottom w:val="single" w:sz="8" w:space="0" w:color="auto"/>
              <w:right w:val="single" w:sz="8" w:space="0" w:color="auto"/>
            </w:tcBorders>
            <w:shd w:val="clear" w:color="auto" w:fill="auto"/>
            <w:vAlign w:val="center"/>
            <w:hideMark/>
          </w:tcPr>
          <w:p w14:paraId="6759D2E6"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$2,577,634</w:t>
            </w:r>
          </w:p>
        </w:tc>
        <w:tc>
          <w:tcPr>
            <w:tcW w:w="2263" w:type="dxa"/>
            <w:tcBorders>
              <w:top w:val="nil"/>
              <w:left w:val="nil"/>
              <w:bottom w:val="single" w:sz="8" w:space="0" w:color="auto"/>
              <w:right w:val="single" w:sz="8" w:space="0" w:color="auto"/>
            </w:tcBorders>
            <w:shd w:val="clear" w:color="auto" w:fill="auto"/>
            <w:vAlign w:val="center"/>
            <w:hideMark/>
          </w:tcPr>
          <w:p w14:paraId="7BFCC0B4"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$1,050</w:t>
            </w:r>
          </w:p>
        </w:tc>
      </w:tr>
      <w:tr w:rsidR="00CA62E1" w:rsidRPr="004E7FF0" w14:paraId="2B971208" w14:textId="77777777" w:rsidTr="00A15D68">
        <w:trPr>
          <w:trHeight w:val="227"/>
        </w:trPr>
        <w:tc>
          <w:tcPr>
            <w:tcW w:w="2262" w:type="dxa"/>
            <w:tcBorders>
              <w:top w:val="nil"/>
              <w:left w:val="single" w:sz="8" w:space="0" w:color="auto"/>
              <w:bottom w:val="single" w:sz="8" w:space="0" w:color="auto"/>
              <w:right w:val="single" w:sz="8" w:space="0" w:color="auto"/>
            </w:tcBorders>
            <w:shd w:val="clear" w:color="000000" w:fill="DEEAF6"/>
            <w:vAlign w:val="center"/>
            <w:hideMark/>
          </w:tcPr>
          <w:p w14:paraId="1C391DBA" w14:textId="77777777" w:rsidR="00CA62E1" w:rsidRPr="004E7FF0" w:rsidRDefault="00CA62E1" w:rsidP="00A15D68">
            <w:pPr>
              <w:spacing w:after="0"/>
              <w:rPr>
                <w:rFonts w:eastAsia="Times New Roman" w:cs="Times New Roman"/>
                <w:color w:val="000000"/>
                <w:sz w:val="18"/>
                <w:szCs w:val="18"/>
                <w:lang w:eastAsia="en-AU"/>
              </w:rPr>
            </w:pPr>
            <w:r w:rsidRPr="004E7FF0">
              <w:rPr>
                <w:rFonts w:eastAsia="Times New Roman" w:cs="Times New Roman"/>
                <w:color w:val="000000"/>
                <w:sz w:val="18"/>
                <w:szCs w:val="18"/>
                <w:lang w:eastAsia="en-AU"/>
              </w:rPr>
              <w:t>2014</w:t>
            </w:r>
          </w:p>
        </w:tc>
        <w:tc>
          <w:tcPr>
            <w:tcW w:w="2263" w:type="dxa"/>
            <w:tcBorders>
              <w:top w:val="nil"/>
              <w:left w:val="nil"/>
              <w:bottom w:val="single" w:sz="8" w:space="0" w:color="auto"/>
              <w:right w:val="single" w:sz="8" w:space="0" w:color="auto"/>
            </w:tcBorders>
            <w:shd w:val="clear" w:color="000000" w:fill="DEEAF6"/>
            <w:vAlign w:val="center"/>
            <w:hideMark/>
          </w:tcPr>
          <w:p w14:paraId="5636318D"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4,791</w:t>
            </w:r>
          </w:p>
        </w:tc>
        <w:tc>
          <w:tcPr>
            <w:tcW w:w="2263" w:type="dxa"/>
            <w:tcBorders>
              <w:top w:val="nil"/>
              <w:left w:val="nil"/>
              <w:bottom w:val="single" w:sz="8" w:space="0" w:color="auto"/>
              <w:right w:val="single" w:sz="8" w:space="0" w:color="auto"/>
            </w:tcBorders>
            <w:shd w:val="clear" w:color="000000" w:fill="DEEAF6"/>
            <w:vAlign w:val="center"/>
            <w:hideMark/>
          </w:tcPr>
          <w:p w14:paraId="7817C4E9"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$4,825,000</w:t>
            </w:r>
          </w:p>
        </w:tc>
        <w:tc>
          <w:tcPr>
            <w:tcW w:w="2263" w:type="dxa"/>
            <w:tcBorders>
              <w:top w:val="nil"/>
              <w:left w:val="nil"/>
              <w:bottom w:val="single" w:sz="8" w:space="0" w:color="auto"/>
              <w:right w:val="single" w:sz="8" w:space="0" w:color="auto"/>
            </w:tcBorders>
            <w:shd w:val="clear" w:color="000000" w:fill="DEEAF6"/>
            <w:vAlign w:val="center"/>
            <w:hideMark/>
          </w:tcPr>
          <w:p w14:paraId="42EA24EB"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$1,007</w:t>
            </w:r>
          </w:p>
        </w:tc>
      </w:tr>
      <w:tr w:rsidR="00CA62E1" w:rsidRPr="004E7FF0" w14:paraId="520E27F2" w14:textId="77777777" w:rsidTr="00A15D68">
        <w:trPr>
          <w:trHeight w:val="227"/>
        </w:trPr>
        <w:tc>
          <w:tcPr>
            <w:tcW w:w="2262" w:type="dxa"/>
            <w:tcBorders>
              <w:top w:val="nil"/>
              <w:left w:val="single" w:sz="8" w:space="0" w:color="auto"/>
              <w:bottom w:val="single" w:sz="8" w:space="0" w:color="auto"/>
              <w:right w:val="single" w:sz="8" w:space="0" w:color="auto"/>
            </w:tcBorders>
            <w:shd w:val="clear" w:color="auto" w:fill="auto"/>
            <w:vAlign w:val="center"/>
            <w:hideMark/>
          </w:tcPr>
          <w:p w14:paraId="5D9B7B65" w14:textId="77777777" w:rsidR="00CA62E1" w:rsidRPr="004E7FF0" w:rsidRDefault="00CA62E1" w:rsidP="00A15D68">
            <w:pPr>
              <w:spacing w:after="0"/>
              <w:rPr>
                <w:rFonts w:eastAsia="Times New Roman" w:cs="Times New Roman"/>
                <w:color w:val="000000"/>
                <w:sz w:val="18"/>
                <w:szCs w:val="18"/>
                <w:lang w:eastAsia="en-AU"/>
              </w:rPr>
            </w:pPr>
            <w:r w:rsidRPr="004E7FF0">
              <w:rPr>
                <w:rFonts w:eastAsia="Times New Roman" w:cs="Times New Roman"/>
                <w:color w:val="000000"/>
                <w:sz w:val="18"/>
                <w:szCs w:val="18"/>
                <w:lang w:eastAsia="en-AU"/>
              </w:rPr>
              <w:t>2015</w:t>
            </w:r>
          </w:p>
        </w:tc>
        <w:tc>
          <w:tcPr>
            <w:tcW w:w="2263" w:type="dxa"/>
            <w:tcBorders>
              <w:top w:val="nil"/>
              <w:left w:val="nil"/>
              <w:bottom w:val="single" w:sz="8" w:space="0" w:color="auto"/>
              <w:right w:val="single" w:sz="8" w:space="0" w:color="auto"/>
            </w:tcBorders>
            <w:shd w:val="clear" w:color="auto" w:fill="auto"/>
            <w:vAlign w:val="center"/>
            <w:hideMark/>
          </w:tcPr>
          <w:p w14:paraId="30D9BE44"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4,897</w:t>
            </w:r>
          </w:p>
        </w:tc>
        <w:tc>
          <w:tcPr>
            <w:tcW w:w="2263" w:type="dxa"/>
            <w:tcBorders>
              <w:top w:val="nil"/>
              <w:left w:val="nil"/>
              <w:bottom w:val="single" w:sz="8" w:space="0" w:color="auto"/>
              <w:right w:val="single" w:sz="8" w:space="0" w:color="auto"/>
            </w:tcBorders>
            <w:shd w:val="clear" w:color="auto" w:fill="auto"/>
            <w:vAlign w:val="center"/>
            <w:hideMark/>
          </w:tcPr>
          <w:p w14:paraId="2C64F1C0"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$5,566,100</w:t>
            </w:r>
          </w:p>
        </w:tc>
        <w:tc>
          <w:tcPr>
            <w:tcW w:w="2263" w:type="dxa"/>
            <w:tcBorders>
              <w:top w:val="nil"/>
              <w:left w:val="nil"/>
              <w:bottom w:val="single" w:sz="8" w:space="0" w:color="auto"/>
              <w:right w:val="single" w:sz="8" w:space="0" w:color="auto"/>
            </w:tcBorders>
            <w:shd w:val="clear" w:color="auto" w:fill="auto"/>
            <w:vAlign w:val="center"/>
            <w:hideMark/>
          </w:tcPr>
          <w:p w14:paraId="379B0B52"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$1,137</w:t>
            </w:r>
          </w:p>
        </w:tc>
      </w:tr>
      <w:tr w:rsidR="00CA62E1" w:rsidRPr="004E7FF0" w14:paraId="34AACE90" w14:textId="77777777" w:rsidTr="00A15D68">
        <w:trPr>
          <w:trHeight w:val="227"/>
        </w:trPr>
        <w:tc>
          <w:tcPr>
            <w:tcW w:w="2262" w:type="dxa"/>
            <w:tcBorders>
              <w:top w:val="nil"/>
              <w:left w:val="single" w:sz="8" w:space="0" w:color="auto"/>
              <w:bottom w:val="single" w:sz="8" w:space="0" w:color="auto"/>
              <w:right w:val="single" w:sz="8" w:space="0" w:color="auto"/>
            </w:tcBorders>
            <w:shd w:val="clear" w:color="000000" w:fill="DEEAF6"/>
            <w:vAlign w:val="center"/>
            <w:hideMark/>
          </w:tcPr>
          <w:p w14:paraId="041F62FB" w14:textId="77777777" w:rsidR="00CA62E1" w:rsidRPr="004E7FF0" w:rsidRDefault="00CA62E1" w:rsidP="00A15D68">
            <w:pPr>
              <w:spacing w:after="0"/>
              <w:rPr>
                <w:rFonts w:eastAsia="Times New Roman" w:cs="Times New Roman"/>
                <w:color w:val="000000"/>
                <w:sz w:val="18"/>
                <w:szCs w:val="18"/>
                <w:lang w:eastAsia="en-AU"/>
              </w:rPr>
            </w:pPr>
            <w:r w:rsidRPr="004E7FF0">
              <w:rPr>
                <w:rFonts w:eastAsia="Times New Roman" w:cs="Times New Roman"/>
                <w:color w:val="000000"/>
                <w:sz w:val="18"/>
                <w:szCs w:val="18"/>
                <w:lang w:eastAsia="en-AU"/>
              </w:rPr>
              <w:t>2016</w:t>
            </w:r>
          </w:p>
        </w:tc>
        <w:tc>
          <w:tcPr>
            <w:tcW w:w="2263" w:type="dxa"/>
            <w:tcBorders>
              <w:top w:val="nil"/>
              <w:left w:val="nil"/>
              <w:bottom w:val="single" w:sz="8" w:space="0" w:color="auto"/>
              <w:right w:val="single" w:sz="8" w:space="0" w:color="auto"/>
            </w:tcBorders>
            <w:shd w:val="clear" w:color="000000" w:fill="DEEAF6"/>
            <w:vAlign w:val="center"/>
            <w:hideMark/>
          </w:tcPr>
          <w:p w14:paraId="4324F885"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1,352</w:t>
            </w:r>
          </w:p>
        </w:tc>
        <w:tc>
          <w:tcPr>
            <w:tcW w:w="2263" w:type="dxa"/>
            <w:tcBorders>
              <w:top w:val="nil"/>
              <w:left w:val="nil"/>
              <w:bottom w:val="single" w:sz="8" w:space="0" w:color="auto"/>
              <w:right w:val="single" w:sz="8" w:space="0" w:color="auto"/>
            </w:tcBorders>
            <w:shd w:val="clear" w:color="000000" w:fill="DEEAF6"/>
            <w:vAlign w:val="center"/>
            <w:hideMark/>
          </w:tcPr>
          <w:p w14:paraId="7C5EEF23"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$1,769,100</w:t>
            </w:r>
          </w:p>
        </w:tc>
        <w:tc>
          <w:tcPr>
            <w:tcW w:w="2263" w:type="dxa"/>
            <w:tcBorders>
              <w:top w:val="nil"/>
              <w:left w:val="nil"/>
              <w:bottom w:val="single" w:sz="8" w:space="0" w:color="auto"/>
              <w:right w:val="single" w:sz="8" w:space="0" w:color="auto"/>
            </w:tcBorders>
            <w:shd w:val="clear" w:color="000000" w:fill="DEEAF6"/>
            <w:vAlign w:val="center"/>
            <w:hideMark/>
          </w:tcPr>
          <w:p w14:paraId="61091656" w14:textId="77777777" w:rsidR="00CA62E1" w:rsidRPr="004E7FF0" w:rsidRDefault="00CA62E1" w:rsidP="00A15D68">
            <w:pPr>
              <w:spacing w:after="0"/>
              <w:ind w:right="624"/>
              <w:jc w:val="right"/>
              <w:rPr>
                <w:rFonts w:eastAsia="Times New Roman" w:cs="Times New Roman"/>
                <w:color w:val="000000"/>
                <w:sz w:val="18"/>
                <w:szCs w:val="18"/>
                <w:lang w:eastAsia="en-AU"/>
              </w:rPr>
            </w:pPr>
            <w:r w:rsidRPr="004E7FF0">
              <w:rPr>
                <w:rFonts w:eastAsia="Times New Roman" w:cs="Times New Roman"/>
                <w:color w:val="000000"/>
                <w:sz w:val="18"/>
                <w:szCs w:val="18"/>
                <w:lang w:eastAsia="en-AU"/>
              </w:rPr>
              <w:t>$1,309</w:t>
            </w:r>
          </w:p>
        </w:tc>
      </w:tr>
      <w:tr w:rsidR="00CA62E1" w:rsidRPr="004E7FF0" w14:paraId="05F08720" w14:textId="77777777" w:rsidTr="00A15D68">
        <w:trPr>
          <w:trHeight w:val="227"/>
        </w:trPr>
        <w:tc>
          <w:tcPr>
            <w:tcW w:w="2262" w:type="dxa"/>
            <w:tcBorders>
              <w:top w:val="nil"/>
              <w:left w:val="single" w:sz="8" w:space="0" w:color="auto"/>
              <w:bottom w:val="single" w:sz="8" w:space="0" w:color="auto"/>
              <w:right w:val="single" w:sz="8" w:space="0" w:color="auto"/>
            </w:tcBorders>
            <w:shd w:val="clear" w:color="auto" w:fill="1F4E79" w:themeFill="accent1" w:themeFillShade="80"/>
            <w:vAlign w:val="center"/>
            <w:hideMark/>
          </w:tcPr>
          <w:p w14:paraId="17C344AE" w14:textId="77777777" w:rsidR="00CA62E1" w:rsidRPr="00241383" w:rsidRDefault="00CA62E1" w:rsidP="00A15D68">
            <w:pPr>
              <w:spacing w:after="0"/>
              <w:rPr>
                <w:rFonts w:eastAsia="Times New Roman" w:cs="Times New Roman"/>
                <w:b/>
                <w:bCs/>
                <w:color w:val="FFFFFF" w:themeColor="background1"/>
                <w:sz w:val="18"/>
                <w:szCs w:val="18"/>
                <w:lang w:eastAsia="en-AU"/>
              </w:rPr>
            </w:pPr>
            <w:r w:rsidRPr="00241383">
              <w:rPr>
                <w:rFonts w:eastAsia="Times New Roman" w:cs="Times New Roman"/>
                <w:b/>
                <w:bCs/>
                <w:color w:val="FFFFFF" w:themeColor="background1"/>
                <w:sz w:val="18"/>
                <w:szCs w:val="18"/>
                <w:lang w:eastAsia="en-AU"/>
              </w:rPr>
              <w:t xml:space="preserve">Total </w:t>
            </w:r>
          </w:p>
        </w:tc>
        <w:tc>
          <w:tcPr>
            <w:tcW w:w="2263" w:type="dxa"/>
            <w:tcBorders>
              <w:top w:val="nil"/>
              <w:left w:val="nil"/>
              <w:bottom w:val="single" w:sz="8" w:space="0" w:color="auto"/>
              <w:right w:val="single" w:sz="8" w:space="0" w:color="auto"/>
            </w:tcBorders>
            <w:shd w:val="clear" w:color="auto" w:fill="1F4E79" w:themeFill="accent1" w:themeFillShade="80"/>
            <w:vAlign w:val="center"/>
            <w:hideMark/>
          </w:tcPr>
          <w:p w14:paraId="392E7CEF" w14:textId="77777777" w:rsidR="00CA62E1" w:rsidRPr="00241383" w:rsidRDefault="00CA62E1" w:rsidP="00A15D68">
            <w:pPr>
              <w:spacing w:after="0"/>
              <w:ind w:right="624"/>
              <w:jc w:val="right"/>
              <w:rPr>
                <w:rFonts w:eastAsia="Times New Roman" w:cs="Times New Roman"/>
                <w:b/>
                <w:bCs/>
                <w:color w:val="FFFFFF" w:themeColor="background1"/>
                <w:sz w:val="18"/>
                <w:szCs w:val="18"/>
                <w:lang w:eastAsia="en-AU"/>
              </w:rPr>
            </w:pPr>
            <w:r w:rsidRPr="00241383">
              <w:rPr>
                <w:rFonts w:eastAsia="Times New Roman" w:cs="Times New Roman"/>
                <w:b/>
                <w:bCs/>
                <w:color w:val="FFFFFF" w:themeColor="background1"/>
                <w:sz w:val="18"/>
                <w:szCs w:val="18"/>
                <w:lang w:eastAsia="en-AU"/>
              </w:rPr>
              <w:t>7,738</w:t>
            </w:r>
          </w:p>
        </w:tc>
        <w:tc>
          <w:tcPr>
            <w:tcW w:w="2263" w:type="dxa"/>
            <w:tcBorders>
              <w:top w:val="nil"/>
              <w:left w:val="nil"/>
              <w:bottom w:val="single" w:sz="8" w:space="0" w:color="auto"/>
              <w:right w:val="single" w:sz="8" w:space="0" w:color="auto"/>
            </w:tcBorders>
            <w:shd w:val="clear" w:color="auto" w:fill="1F4E79" w:themeFill="accent1" w:themeFillShade="80"/>
            <w:vAlign w:val="center"/>
            <w:hideMark/>
          </w:tcPr>
          <w:p w14:paraId="477BBFBB" w14:textId="77777777" w:rsidR="00CA62E1" w:rsidRPr="00241383" w:rsidRDefault="00CA62E1" w:rsidP="00A15D68">
            <w:pPr>
              <w:spacing w:after="0"/>
              <w:ind w:right="624"/>
              <w:jc w:val="right"/>
              <w:rPr>
                <w:rFonts w:eastAsia="Times New Roman" w:cs="Times New Roman"/>
                <w:b/>
                <w:bCs/>
                <w:color w:val="FFFFFF" w:themeColor="background1"/>
                <w:sz w:val="18"/>
                <w:szCs w:val="18"/>
                <w:lang w:eastAsia="en-AU"/>
              </w:rPr>
            </w:pPr>
            <w:r w:rsidRPr="00241383">
              <w:rPr>
                <w:rFonts w:eastAsia="Times New Roman" w:cs="Times New Roman"/>
                <w:b/>
                <w:bCs/>
                <w:color w:val="FFFFFF" w:themeColor="background1"/>
                <w:sz w:val="18"/>
                <w:szCs w:val="18"/>
                <w:lang w:eastAsia="en-AU"/>
              </w:rPr>
              <w:t>$14,737,834</w:t>
            </w:r>
          </w:p>
        </w:tc>
        <w:tc>
          <w:tcPr>
            <w:tcW w:w="2263" w:type="dxa"/>
            <w:tcBorders>
              <w:top w:val="nil"/>
              <w:left w:val="nil"/>
              <w:bottom w:val="single" w:sz="8" w:space="0" w:color="auto"/>
              <w:right w:val="single" w:sz="8" w:space="0" w:color="auto"/>
            </w:tcBorders>
            <w:shd w:val="clear" w:color="auto" w:fill="1F4E79" w:themeFill="accent1" w:themeFillShade="80"/>
            <w:vAlign w:val="center"/>
            <w:hideMark/>
          </w:tcPr>
          <w:p w14:paraId="717739C7" w14:textId="77777777" w:rsidR="00CA62E1" w:rsidRPr="00241383" w:rsidRDefault="00CA62E1" w:rsidP="00A15D68">
            <w:pPr>
              <w:spacing w:after="0"/>
              <w:ind w:right="624"/>
              <w:jc w:val="right"/>
              <w:rPr>
                <w:rFonts w:eastAsia="Times New Roman" w:cs="Times New Roman"/>
                <w:b/>
                <w:bCs/>
                <w:color w:val="FFFFFF" w:themeColor="background1"/>
                <w:sz w:val="18"/>
                <w:szCs w:val="18"/>
                <w:lang w:eastAsia="en-AU"/>
              </w:rPr>
            </w:pPr>
            <w:r w:rsidRPr="00241383">
              <w:rPr>
                <w:rFonts w:eastAsia="Times New Roman" w:cs="Times New Roman"/>
                <w:b/>
                <w:bCs/>
                <w:color w:val="FFFFFF" w:themeColor="background1"/>
                <w:sz w:val="18"/>
                <w:szCs w:val="18"/>
                <w:lang w:eastAsia="en-AU"/>
              </w:rPr>
              <w:t>$1,905</w:t>
            </w:r>
          </w:p>
        </w:tc>
      </w:tr>
    </w:tbl>
    <w:p w14:paraId="777C859A" w14:textId="77777777" w:rsidR="00CA62E1" w:rsidRPr="006F1A5C" w:rsidRDefault="00CA62E1" w:rsidP="00CA62E1">
      <w:pPr>
        <w:pStyle w:val="09Tablefootnoteslast-nostick"/>
      </w:pPr>
      <w:r w:rsidRPr="006F1A5C">
        <w:t>Source: Claims payment data supplied in PPI Total Data Compilation_Copy.xls</w:t>
      </w:r>
    </w:p>
    <w:p w14:paraId="7F1E60E0" w14:textId="327F0FA3" w:rsidR="00CA62E1" w:rsidRPr="004E7FF0" w:rsidRDefault="00CC2655" w:rsidP="00CA62E1">
      <w:pPr>
        <w:pStyle w:val="BodyText"/>
      </w:pPr>
      <w:r>
        <w:fldChar w:fldCharType="begin"/>
      </w:r>
      <w:r>
        <w:instrText xml:space="preserve"> REF _Hlk522783610 \h </w:instrText>
      </w:r>
      <w:r>
        <w:fldChar w:fldCharType="separate"/>
      </w:r>
      <w:r>
        <w:t xml:space="preserve">Table </w:t>
      </w:r>
      <w:r>
        <w:rPr>
          <w:noProof/>
        </w:rPr>
        <w:t>5</w:t>
      </w:r>
      <w:r>
        <w:t>.</w:t>
      </w:r>
      <w:r>
        <w:rPr>
          <w:noProof/>
        </w:rPr>
        <w:t>1</w:t>
      </w:r>
      <w:r>
        <w:fldChar w:fldCharType="end"/>
      </w:r>
      <w:r>
        <w:t xml:space="preserve"> </w:t>
      </w:r>
      <w:r w:rsidR="00CA62E1" w:rsidRPr="004E7FF0">
        <w:t xml:space="preserve">shows that </w:t>
      </w:r>
      <w:r w:rsidR="00CA62E1">
        <w:t xml:space="preserve">number of </w:t>
      </w:r>
      <w:r w:rsidR="00CA62E1" w:rsidRPr="004E7FF0">
        <w:t xml:space="preserve">participating pharmacies </w:t>
      </w:r>
      <w:r w:rsidR="00CA62E1">
        <w:t xml:space="preserve">has grown from 2,456 in 2012 to 4,897 in 2015, an increase of 99.4%. </w:t>
      </w:r>
      <w:r w:rsidR="00CA62E1" w:rsidRPr="004E7FF0">
        <w:t xml:space="preserve"> It also shows that the average amount earned by pharmacies</w:t>
      </w:r>
      <w:r w:rsidR="00CA62E1">
        <w:t>’</w:t>
      </w:r>
      <w:r w:rsidR="00CA62E1" w:rsidRPr="004E7FF0">
        <w:t xml:space="preserve"> </w:t>
      </w:r>
      <w:r w:rsidR="00CA62E1">
        <w:t xml:space="preserve">annual SS claim </w:t>
      </w:r>
      <w:r w:rsidR="00CA62E1" w:rsidRPr="004E7FF0">
        <w:t xml:space="preserve">has </w:t>
      </w:r>
      <w:r w:rsidR="00CA62E1">
        <w:t>in</w:t>
      </w:r>
      <w:r w:rsidR="00CA62E1" w:rsidRPr="004E7FF0">
        <w:t xml:space="preserve">creased by </w:t>
      </w:r>
      <w:r w:rsidR="00CA62E1">
        <w:t>8</w:t>
      </w:r>
      <w:r w:rsidR="00CA62E1" w:rsidRPr="004E7FF0">
        <w:t>.</w:t>
      </w:r>
      <w:r w:rsidR="00CA62E1">
        <w:t>3</w:t>
      </w:r>
      <w:r w:rsidR="00CA62E1" w:rsidRPr="004E7FF0">
        <w:t>%, going from $</w:t>
      </w:r>
      <w:r w:rsidR="00CA62E1">
        <w:t>1,050 per pharmacy</w:t>
      </w:r>
      <w:r w:rsidR="00CA62E1" w:rsidRPr="004E7FF0">
        <w:t xml:space="preserve"> in 2012 to $</w:t>
      </w:r>
      <w:r w:rsidR="00CA62E1">
        <w:t>1,309 in 2015</w:t>
      </w:r>
      <w:r w:rsidR="00CA62E1" w:rsidRPr="004E7FF0">
        <w:t>.</w:t>
      </w:r>
      <w:r w:rsidR="00CA62E1">
        <w:t xml:space="preserve">  The variations in the per pharmacy annual claim values are due to a combination of changes in claim rates, for example, from 19</w:t>
      </w:r>
      <w:r w:rsidR="00CA62E1" w:rsidRPr="006A5DB9">
        <w:rPr>
          <w:vertAlign w:val="superscript"/>
        </w:rPr>
        <w:t>th</w:t>
      </w:r>
      <w:r w:rsidR="00CA62E1">
        <w:t xml:space="preserve"> November, 2015 the rate at which claims were paid increased from $1,000 per pharmacy to $1,300 per pharmacy, and part payments being made to pharmacies especially in the 2012 claim year.</w:t>
      </w:r>
    </w:p>
    <w:p w14:paraId="4B775BFF" w14:textId="1F17AD7C" w:rsidR="00CA62E1" w:rsidRPr="00CA382C" w:rsidRDefault="00CC2655" w:rsidP="00CA62E1">
      <w:pPr>
        <w:pStyle w:val="BodyText"/>
      </w:pPr>
      <w:r>
        <w:fldChar w:fldCharType="begin"/>
      </w:r>
      <w:r>
        <w:instrText xml:space="preserve"> REF _Ref522784354 \h </w:instrText>
      </w:r>
      <w:r>
        <w:fldChar w:fldCharType="separate"/>
      </w:r>
      <w:r>
        <w:t xml:space="preserve">Table </w:t>
      </w:r>
      <w:r>
        <w:rPr>
          <w:noProof/>
        </w:rPr>
        <w:t>5</w:t>
      </w:r>
      <w:r>
        <w:t>.</w:t>
      </w:r>
      <w:r>
        <w:rPr>
          <w:noProof/>
        </w:rPr>
        <w:t>2</w:t>
      </w:r>
      <w:r>
        <w:fldChar w:fldCharType="end"/>
      </w:r>
      <w:r>
        <w:t xml:space="preserve"> </w:t>
      </w:r>
      <w:r w:rsidR="00CA62E1" w:rsidRPr="00CA382C">
        <w:t xml:space="preserve">deconstructs the same data by Australian Bureau of Statistics (ABS) remoteness. </w:t>
      </w:r>
      <w:r w:rsidR="00CA62E1">
        <w:t>There is very little difference in average claim values in any given year with the highest variation between highest and lowest values being 5.7% in 2015</w:t>
      </w:r>
      <w:r w:rsidR="00CA62E1" w:rsidRPr="00CA382C">
        <w:t xml:space="preserve">.  This </w:t>
      </w:r>
      <w:r w:rsidR="00CA62E1">
        <w:t xml:space="preserve">small </w:t>
      </w:r>
      <w:r w:rsidR="00CA62E1" w:rsidRPr="00CA382C">
        <w:t>variation arises as a result</w:t>
      </w:r>
      <w:r w:rsidR="00CA62E1">
        <w:t xml:space="preserve"> of timing variations in the submission of claims at the end of 2015 where the claim rate increases from $1,000 to $1,300.</w:t>
      </w:r>
    </w:p>
    <w:p w14:paraId="3D1131C2" w14:textId="19E3350B" w:rsidR="00CA62E1" w:rsidRPr="00CA382C" w:rsidRDefault="00542F4A" w:rsidP="00542F4A">
      <w:pPr>
        <w:pStyle w:val="Caption"/>
      </w:pPr>
      <w:bookmarkStart w:id="77" w:name="_Ref522784354"/>
      <w:bookmarkStart w:id="78" w:name="_Toc463539375"/>
      <w:bookmarkStart w:id="79" w:name="_Toc467155929"/>
      <w:r>
        <w:lastRenderedPageBreak/>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5</w:t>
      </w:r>
      <w:r w:rsidR="00872B71">
        <w:rPr>
          <w:noProof/>
        </w:rPr>
        <w:fldChar w:fldCharType="end"/>
      </w:r>
      <w:r>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2</w:t>
      </w:r>
      <w:r w:rsidR="00872B71">
        <w:rPr>
          <w:noProof/>
        </w:rPr>
        <w:fldChar w:fldCharType="end"/>
      </w:r>
      <w:bookmarkEnd w:id="77"/>
      <w:r w:rsidR="00CA62E1" w:rsidRPr="00CA382C">
        <w:tab/>
        <w:t xml:space="preserve">Summary of pharmacy </w:t>
      </w:r>
      <w:r w:rsidR="00CA62E1">
        <w:t>SS</w:t>
      </w:r>
      <w:r w:rsidR="00CA62E1" w:rsidRPr="00CA382C">
        <w:t xml:space="preserve"> claims 2012 – 2016 by ABS Remoteness</w:t>
      </w:r>
      <w:bookmarkEnd w:id="78"/>
      <w:bookmarkEnd w:id="79"/>
    </w:p>
    <w:tbl>
      <w:tblPr>
        <w:tblW w:w="5000" w:type="pct"/>
        <w:tblLayout w:type="fixed"/>
        <w:tblLook w:val="04A0" w:firstRow="1" w:lastRow="0" w:firstColumn="1" w:lastColumn="0" w:noHBand="0" w:noVBand="1"/>
        <w:tblCaption w:val="Table 5.2"/>
        <w:tblDescription w:val="Summary of pharmacy SS claims 2012 – 2016 by ABS Remoteness. Table compares ABF Remoteness againist Claim year against No of pharmacies with claims against Value of claims against Average claim per participating pharmacy."/>
      </w:tblPr>
      <w:tblGrid>
        <w:gridCol w:w="2909"/>
        <w:gridCol w:w="2910"/>
        <w:gridCol w:w="2910"/>
        <w:gridCol w:w="2910"/>
        <w:gridCol w:w="2911"/>
      </w:tblGrid>
      <w:tr w:rsidR="00CA62E1" w:rsidRPr="00241383" w14:paraId="6E3B60D8" w14:textId="77777777" w:rsidTr="00A15D68">
        <w:trPr>
          <w:trHeight w:val="227"/>
          <w:tblHeader/>
        </w:trPr>
        <w:tc>
          <w:tcPr>
            <w:tcW w:w="1810" w:type="dxa"/>
            <w:tcBorders>
              <w:top w:val="single" w:sz="8" w:space="0" w:color="auto"/>
              <w:left w:val="single" w:sz="8" w:space="0" w:color="auto"/>
              <w:bottom w:val="single" w:sz="8" w:space="0" w:color="auto"/>
              <w:right w:val="single" w:sz="8" w:space="0" w:color="auto"/>
            </w:tcBorders>
            <w:shd w:val="clear" w:color="000000" w:fill="366091"/>
            <w:noWrap/>
            <w:vAlign w:val="center"/>
            <w:hideMark/>
          </w:tcPr>
          <w:p w14:paraId="57AEBD6F" w14:textId="77777777" w:rsidR="00CA62E1" w:rsidRPr="00241383" w:rsidRDefault="00CA62E1" w:rsidP="00A15D68">
            <w:pPr>
              <w:spacing w:after="0"/>
              <w:rPr>
                <w:rFonts w:eastAsia="Times New Roman" w:cs="Times New Roman"/>
                <w:b/>
                <w:bCs/>
                <w:color w:val="FFFFFF"/>
                <w:sz w:val="18"/>
                <w:szCs w:val="18"/>
                <w:lang w:eastAsia="en-AU"/>
              </w:rPr>
            </w:pPr>
            <w:r w:rsidRPr="00241383">
              <w:rPr>
                <w:rFonts w:eastAsia="Times New Roman" w:cs="Times New Roman"/>
                <w:b/>
                <w:bCs/>
                <w:color w:val="FFFFFF"/>
                <w:sz w:val="18"/>
                <w:szCs w:val="18"/>
                <w:lang w:eastAsia="en-AU"/>
              </w:rPr>
              <w:t>ABF Remoteness</w:t>
            </w:r>
          </w:p>
        </w:tc>
        <w:tc>
          <w:tcPr>
            <w:tcW w:w="1810" w:type="dxa"/>
            <w:tcBorders>
              <w:top w:val="single" w:sz="8" w:space="0" w:color="auto"/>
              <w:left w:val="nil"/>
              <w:bottom w:val="single" w:sz="8" w:space="0" w:color="auto"/>
              <w:right w:val="single" w:sz="8" w:space="0" w:color="auto"/>
            </w:tcBorders>
            <w:shd w:val="clear" w:color="000000" w:fill="366091"/>
            <w:vAlign w:val="center"/>
            <w:hideMark/>
          </w:tcPr>
          <w:p w14:paraId="65A642FC" w14:textId="77777777" w:rsidR="00CA62E1" w:rsidRPr="00241383" w:rsidRDefault="00CA62E1" w:rsidP="00A15D68">
            <w:pPr>
              <w:spacing w:after="0"/>
              <w:jc w:val="center"/>
              <w:rPr>
                <w:rFonts w:eastAsia="Times New Roman" w:cs="Times New Roman"/>
                <w:b/>
                <w:bCs/>
                <w:color w:val="FFFFFF"/>
                <w:sz w:val="18"/>
                <w:szCs w:val="18"/>
                <w:lang w:eastAsia="en-AU"/>
              </w:rPr>
            </w:pPr>
            <w:r w:rsidRPr="00241383">
              <w:rPr>
                <w:rFonts w:eastAsia="Times New Roman" w:cs="Times New Roman"/>
                <w:b/>
                <w:bCs/>
                <w:color w:val="FFFFFF"/>
                <w:sz w:val="18"/>
                <w:szCs w:val="18"/>
                <w:lang w:eastAsia="en-AU"/>
              </w:rPr>
              <w:t>Claim year</w:t>
            </w:r>
          </w:p>
        </w:tc>
        <w:tc>
          <w:tcPr>
            <w:tcW w:w="1810" w:type="dxa"/>
            <w:tcBorders>
              <w:top w:val="single" w:sz="8" w:space="0" w:color="auto"/>
              <w:left w:val="nil"/>
              <w:bottom w:val="single" w:sz="8" w:space="0" w:color="auto"/>
              <w:right w:val="single" w:sz="8" w:space="0" w:color="auto"/>
            </w:tcBorders>
            <w:shd w:val="clear" w:color="000000" w:fill="366091"/>
            <w:vAlign w:val="center"/>
            <w:hideMark/>
          </w:tcPr>
          <w:p w14:paraId="36649A75" w14:textId="77777777" w:rsidR="00CA62E1" w:rsidRPr="00241383" w:rsidRDefault="00CA62E1" w:rsidP="00A15D68">
            <w:pPr>
              <w:spacing w:after="0"/>
              <w:jc w:val="center"/>
              <w:rPr>
                <w:rFonts w:eastAsia="Times New Roman" w:cs="Times New Roman"/>
                <w:b/>
                <w:bCs/>
                <w:color w:val="FFFFFF"/>
                <w:sz w:val="18"/>
                <w:szCs w:val="18"/>
                <w:lang w:eastAsia="en-AU"/>
              </w:rPr>
            </w:pPr>
            <w:r w:rsidRPr="00241383">
              <w:rPr>
                <w:rFonts w:eastAsia="Times New Roman" w:cs="Times New Roman"/>
                <w:b/>
                <w:bCs/>
                <w:color w:val="FFFFFF"/>
                <w:sz w:val="18"/>
                <w:szCs w:val="18"/>
                <w:lang w:eastAsia="en-AU"/>
              </w:rPr>
              <w:t>No of pharmacies with claims</w:t>
            </w:r>
          </w:p>
        </w:tc>
        <w:tc>
          <w:tcPr>
            <w:tcW w:w="1810" w:type="dxa"/>
            <w:tcBorders>
              <w:top w:val="single" w:sz="8" w:space="0" w:color="auto"/>
              <w:left w:val="nil"/>
              <w:bottom w:val="single" w:sz="8" w:space="0" w:color="auto"/>
              <w:right w:val="single" w:sz="8" w:space="0" w:color="auto"/>
            </w:tcBorders>
            <w:shd w:val="clear" w:color="000000" w:fill="366091"/>
            <w:vAlign w:val="center"/>
            <w:hideMark/>
          </w:tcPr>
          <w:p w14:paraId="4C865D55" w14:textId="77777777" w:rsidR="00CA62E1" w:rsidRPr="00241383" w:rsidRDefault="00CA62E1" w:rsidP="00A15D68">
            <w:pPr>
              <w:spacing w:after="0"/>
              <w:jc w:val="center"/>
              <w:rPr>
                <w:rFonts w:eastAsia="Times New Roman" w:cs="Times New Roman"/>
                <w:b/>
                <w:bCs/>
                <w:color w:val="FFFFFF"/>
                <w:sz w:val="18"/>
                <w:szCs w:val="18"/>
                <w:lang w:eastAsia="en-AU"/>
              </w:rPr>
            </w:pPr>
            <w:r w:rsidRPr="00241383">
              <w:rPr>
                <w:rFonts w:eastAsia="Times New Roman" w:cs="Times New Roman"/>
                <w:b/>
                <w:bCs/>
                <w:color w:val="FFFFFF"/>
                <w:sz w:val="18"/>
                <w:szCs w:val="18"/>
                <w:lang w:eastAsia="en-AU"/>
              </w:rPr>
              <w:t>Value of claims</w:t>
            </w:r>
          </w:p>
        </w:tc>
        <w:tc>
          <w:tcPr>
            <w:tcW w:w="1811" w:type="dxa"/>
            <w:tcBorders>
              <w:top w:val="single" w:sz="8" w:space="0" w:color="auto"/>
              <w:left w:val="nil"/>
              <w:bottom w:val="single" w:sz="8" w:space="0" w:color="auto"/>
              <w:right w:val="single" w:sz="8" w:space="0" w:color="auto"/>
            </w:tcBorders>
            <w:shd w:val="clear" w:color="000000" w:fill="366091"/>
            <w:vAlign w:val="center"/>
            <w:hideMark/>
          </w:tcPr>
          <w:p w14:paraId="59B7761F" w14:textId="77777777" w:rsidR="00CA62E1" w:rsidRPr="00241383" w:rsidRDefault="00CA62E1" w:rsidP="00A15D68">
            <w:pPr>
              <w:spacing w:after="0"/>
              <w:jc w:val="center"/>
              <w:rPr>
                <w:rFonts w:eastAsia="Times New Roman" w:cs="Times New Roman"/>
                <w:b/>
                <w:bCs/>
                <w:color w:val="FFFFFF"/>
                <w:sz w:val="18"/>
                <w:szCs w:val="18"/>
                <w:lang w:eastAsia="en-AU"/>
              </w:rPr>
            </w:pPr>
            <w:r w:rsidRPr="00241383">
              <w:rPr>
                <w:rFonts w:eastAsia="Times New Roman" w:cs="Times New Roman"/>
                <w:b/>
                <w:bCs/>
                <w:color w:val="FFFFFF"/>
                <w:sz w:val="18"/>
                <w:szCs w:val="18"/>
                <w:lang w:eastAsia="en-AU"/>
              </w:rPr>
              <w:t>Average claim per participating pharmacy</w:t>
            </w:r>
          </w:p>
        </w:tc>
      </w:tr>
      <w:tr w:rsidR="00CA62E1" w:rsidRPr="00241383" w14:paraId="4F25D787" w14:textId="77777777" w:rsidTr="00A15D68">
        <w:trPr>
          <w:trHeight w:val="227"/>
        </w:trPr>
        <w:tc>
          <w:tcPr>
            <w:tcW w:w="18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FF39A6" w14:textId="77777777" w:rsidR="00CA62E1" w:rsidRPr="00241383" w:rsidRDefault="00CA62E1" w:rsidP="00A15D68">
            <w:pPr>
              <w:spacing w:after="0"/>
              <w:rPr>
                <w:rFonts w:eastAsia="Times New Roman" w:cs="Times New Roman"/>
                <w:color w:val="363636"/>
                <w:sz w:val="18"/>
                <w:szCs w:val="18"/>
                <w:lang w:eastAsia="en-AU"/>
              </w:rPr>
            </w:pPr>
            <w:r w:rsidRPr="00241383">
              <w:rPr>
                <w:rFonts w:eastAsia="Times New Roman" w:cs="Times New Roman"/>
                <w:color w:val="363636"/>
                <w:sz w:val="18"/>
                <w:szCs w:val="18"/>
                <w:lang w:eastAsia="en-AU"/>
              </w:rPr>
              <w:t>Inner Regional Australia</w:t>
            </w:r>
          </w:p>
        </w:tc>
        <w:tc>
          <w:tcPr>
            <w:tcW w:w="1810" w:type="dxa"/>
            <w:tcBorders>
              <w:top w:val="nil"/>
              <w:left w:val="nil"/>
              <w:bottom w:val="single" w:sz="8" w:space="0" w:color="auto"/>
              <w:right w:val="single" w:sz="8" w:space="0" w:color="auto"/>
            </w:tcBorders>
            <w:shd w:val="clear" w:color="auto" w:fill="auto"/>
            <w:vAlign w:val="center"/>
            <w:hideMark/>
          </w:tcPr>
          <w:p w14:paraId="385386D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2012</w:t>
            </w:r>
          </w:p>
        </w:tc>
        <w:tc>
          <w:tcPr>
            <w:tcW w:w="1810" w:type="dxa"/>
            <w:tcBorders>
              <w:top w:val="nil"/>
              <w:left w:val="nil"/>
              <w:bottom w:val="single" w:sz="8" w:space="0" w:color="auto"/>
              <w:right w:val="single" w:sz="8" w:space="0" w:color="auto"/>
            </w:tcBorders>
            <w:shd w:val="clear" w:color="auto" w:fill="auto"/>
            <w:vAlign w:val="center"/>
            <w:hideMark/>
          </w:tcPr>
          <w:p w14:paraId="7768075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495</w:t>
            </w:r>
          </w:p>
        </w:tc>
        <w:tc>
          <w:tcPr>
            <w:tcW w:w="1810" w:type="dxa"/>
            <w:tcBorders>
              <w:top w:val="nil"/>
              <w:left w:val="nil"/>
              <w:bottom w:val="single" w:sz="8" w:space="0" w:color="auto"/>
              <w:right w:val="single" w:sz="8" w:space="0" w:color="auto"/>
            </w:tcBorders>
            <w:shd w:val="clear" w:color="auto" w:fill="auto"/>
            <w:vAlign w:val="center"/>
            <w:hideMark/>
          </w:tcPr>
          <w:p w14:paraId="6CEDB73E"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$518,626</w:t>
            </w:r>
          </w:p>
        </w:tc>
        <w:tc>
          <w:tcPr>
            <w:tcW w:w="1811" w:type="dxa"/>
            <w:tcBorders>
              <w:top w:val="nil"/>
              <w:left w:val="nil"/>
              <w:bottom w:val="single" w:sz="8" w:space="0" w:color="auto"/>
              <w:right w:val="single" w:sz="8" w:space="0" w:color="auto"/>
            </w:tcBorders>
            <w:shd w:val="clear" w:color="auto" w:fill="auto"/>
            <w:vAlign w:val="center"/>
            <w:hideMark/>
          </w:tcPr>
          <w:p w14:paraId="769BB96F"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1,048</w:t>
            </w:r>
          </w:p>
        </w:tc>
      </w:tr>
      <w:tr w:rsidR="00CA62E1" w:rsidRPr="00241383" w14:paraId="01C4A7BF"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79CA27C9"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5B6550BD"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2014</w:t>
            </w:r>
          </w:p>
        </w:tc>
        <w:tc>
          <w:tcPr>
            <w:tcW w:w="1810" w:type="dxa"/>
            <w:tcBorders>
              <w:top w:val="nil"/>
              <w:left w:val="nil"/>
              <w:bottom w:val="single" w:sz="8" w:space="0" w:color="auto"/>
              <w:right w:val="single" w:sz="8" w:space="0" w:color="auto"/>
            </w:tcBorders>
            <w:shd w:val="clear" w:color="000000" w:fill="DEEAF6"/>
            <w:vAlign w:val="center"/>
            <w:hideMark/>
          </w:tcPr>
          <w:p w14:paraId="58D7534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915</w:t>
            </w:r>
          </w:p>
        </w:tc>
        <w:tc>
          <w:tcPr>
            <w:tcW w:w="1810" w:type="dxa"/>
            <w:tcBorders>
              <w:top w:val="nil"/>
              <w:left w:val="nil"/>
              <w:bottom w:val="single" w:sz="8" w:space="0" w:color="auto"/>
              <w:right w:val="single" w:sz="8" w:space="0" w:color="auto"/>
            </w:tcBorders>
            <w:shd w:val="clear" w:color="000000" w:fill="DEEAF6"/>
            <w:vAlign w:val="center"/>
            <w:hideMark/>
          </w:tcPr>
          <w:p w14:paraId="57A2A4DB"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$919,000</w:t>
            </w:r>
          </w:p>
        </w:tc>
        <w:tc>
          <w:tcPr>
            <w:tcW w:w="1811" w:type="dxa"/>
            <w:tcBorders>
              <w:top w:val="nil"/>
              <w:left w:val="nil"/>
              <w:bottom w:val="single" w:sz="8" w:space="0" w:color="auto"/>
              <w:right w:val="single" w:sz="8" w:space="0" w:color="auto"/>
            </w:tcBorders>
            <w:shd w:val="clear" w:color="000000" w:fill="DEEAF6"/>
            <w:vAlign w:val="center"/>
            <w:hideMark/>
          </w:tcPr>
          <w:p w14:paraId="159B4C23"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1,004</w:t>
            </w:r>
          </w:p>
        </w:tc>
      </w:tr>
      <w:tr w:rsidR="00CA62E1" w:rsidRPr="00241383" w14:paraId="61762E3A"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7063F35F"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457C6B1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2015</w:t>
            </w:r>
          </w:p>
        </w:tc>
        <w:tc>
          <w:tcPr>
            <w:tcW w:w="1810" w:type="dxa"/>
            <w:tcBorders>
              <w:top w:val="nil"/>
              <w:left w:val="nil"/>
              <w:bottom w:val="single" w:sz="8" w:space="0" w:color="auto"/>
              <w:right w:val="single" w:sz="8" w:space="0" w:color="auto"/>
            </w:tcBorders>
            <w:shd w:val="clear" w:color="auto" w:fill="auto"/>
            <w:vAlign w:val="center"/>
            <w:hideMark/>
          </w:tcPr>
          <w:p w14:paraId="512436C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923</w:t>
            </w:r>
          </w:p>
        </w:tc>
        <w:tc>
          <w:tcPr>
            <w:tcW w:w="1810" w:type="dxa"/>
            <w:tcBorders>
              <w:top w:val="nil"/>
              <w:left w:val="nil"/>
              <w:bottom w:val="single" w:sz="8" w:space="0" w:color="auto"/>
              <w:right w:val="single" w:sz="8" w:space="0" w:color="auto"/>
            </w:tcBorders>
            <w:shd w:val="clear" w:color="auto" w:fill="auto"/>
            <w:vAlign w:val="center"/>
            <w:hideMark/>
          </w:tcPr>
          <w:p w14:paraId="755654B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$1,058,700</w:t>
            </w:r>
          </w:p>
        </w:tc>
        <w:tc>
          <w:tcPr>
            <w:tcW w:w="1811" w:type="dxa"/>
            <w:tcBorders>
              <w:top w:val="nil"/>
              <w:left w:val="nil"/>
              <w:bottom w:val="single" w:sz="8" w:space="0" w:color="auto"/>
              <w:right w:val="single" w:sz="8" w:space="0" w:color="auto"/>
            </w:tcBorders>
            <w:shd w:val="clear" w:color="auto" w:fill="auto"/>
            <w:vAlign w:val="center"/>
            <w:hideMark/>
          </w:tcPr>
          <w:p w14:paraId="0BFC19CB"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1,147</w:t>
            </w:r>
          </w:p>
        </w:tc>
      </w:tr>
      <w:tr w:rsidR="00CA62E1" w:rsidRPr="00241383" w14:paraId="51ED6574"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0DD84ABA"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3DB78B60"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2016</w:t>
            </w:r>
          </w:p>
        </w:tc>
        <w:tc>
          <w:tcPr>
            <w:tcW w:w="1810" w:type="dxa"/>
            <w:tcBorders>
              <w:top w:val="nil"/>
              <w:left w:val="nil"/>
              <w:bottom w:val="single" w:sz="8" w:space="0" w:color="auto"/>
              <w:right w:val="single" w:sz="8" w:space="0" w:color="auto"/>
            </w:tcBorders>
            <w:shd w:val="clear" w:color="000000" w:fill="DEEAF6"/>
            <w:vAlign w:val="center"/>
            <w:hideMark/>
          </w:tcPr>
          <w:p w14:paraId="456AB87E"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270</w:t>
            </w:r>
          </w:p>
        </w:tc>
        <w:tc>
          <w:tcPr>
            <w:tcW w:w="1810" w:type="dxa"/>
            <w:tcBorders>
              <w:top w:val="nil"/>
              <w:left w:val="nil"/>
              <w:bottom w:val="single" w:sz="8" w:space="0" w:color="auto"/>
              <w:right w:val="single" w:sz="8" w:space="0" w:color="auto"/>
            </w:tcBorders>
            <w:shd w:val="clear" w:color="000000" w:fill="DEEAF6"/>
            <w:vAlign w:val="center"/>
            <w:hideMark/>
          </w:tcPr>
          <w:p w14:paraId="2A3492B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$354,550</w:t>
            </w:r>
          </w:p>
        </w:tc>
        <w:tc>
          <w:tcPr>
            <w:tcW w:w="1811" w:type="dxa"/>
            <w:tcBorders>
              <w:top w:val="nil"/>
              <w:left w:val="nil"/>
              <w:bottom w:val="single" w:sz="8" w:space="0" w:color="auto"/>
              <w:right w:val="single" w:sz="8" w:space="0" w:color="auto"/>
            </w:tcBorders>
            <w:shd w:val="clear" w:color="000000" w:fill="DEEAF6"/>
            <w:vAlign w:val="center"/>
            <w:hideMark/>
          </w:tcPr>
          <w:p w14:paraId="3DED414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1,313</w:t>
            </w:r>
          </w:p>
        </w:tc>
      </w:tr>
      <w:tr w:rsidR="00CA62E1" w:rsidRPr="00241383" w14:paraId="05E24C98"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1B5A033C"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673AE472" w14:textId="77777777" w:rsidR="00CA62E1" w:rsidRPr="00241383" w:rsidRDefault="00CA62E1" w:rsidP="00A15D68">
            <w:pPr>
              <w:spacing w:after="0"/>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 xml:space="preserve">Total </w:t>
            </w:r>
          </w:p>
        </w:tc>
        <w:tc>
          <w:tcPr>
            <w:tcW w:w="1810" w:type="dxa"/>
            <w:tcBorders>
              <w:top w:val="nil"/>
              <w:left w:val="nil"/>
              <w:bottom w:val="single" w:sz="8" w:space="0" w:color="auto"/>
              <w:right w:val="single" w:sz="8" w:space="0" w:color="auto"/>
            </w:tcBorders>
            <w:shd w:val="clear" w:color="auto" w:fill="auto"/>
            <w:vAlign w:val="center"/>
            <w:hideMark/>
          </w:tcPr>
          <w:p w14:paraId="595AC679"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1,506</w:t>
            </w:r>
          </w:p>
        </w:tc>
        <w:tc>
          <w:tcPr>
            <w:tcW w:w="1810" w:type="dxa"/>
            <w:tcBorders>
              <w:top w:val="nil"/>
              <w:left w:val="nil"/>
              <w:bottom w:val="single" w:sz="8" w:space="0" w:color="auto"/>
              <w:right w:val="single" w:sz="8" w:space="0" w:color="auto"/>
            </w:tcBorders>
            <w:shd w:val="clear" w:color="auto" w:fill="auto"/>
            <w:vAlign w:val="center"/>
            <w:hideMark/>
          </w:tcPr>
          <w:p w14:paraId="0A7D00BA"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$2,850,876</w:t>
            </w:r>
          </w:p>
        </w:tc>
        <w:tc>
          <w:tcPr>
            <w:tcW w:w="1811" w:type="dxa"/>
            <w:tcBorders>
              <w:top w:val="nil"/>
              <w:left w:val="nil"/>
              <w:bottom w:val="single" w:sz="8" w:space="0" w:color="auto"/>
              <w:right w:val="single" w:sz="8" w:space="0" w:color="auto"/>
            </w:tcBorders>
            <w:shd w:val="clear" w:color="auto" w:fill="auto"/>
            <w:vAlign w:val="center"/>
            <w:hideMark/>
          </w:tcPr>
          <w:p w14:paraId="7891A134"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1,893</w:t>
            </w:r>
          </w:p>
        </w:tc>
      </w:tr>
      <w:tr w:rsidR="00CA62E1" w:rsidRPr="00241383" w14:paraId="4F3ADEC3" w14:textId="77777777" w:rsidTr="00A15D68">
        <w:trPr>
          <w:trHeight w:val="227"/>
        </w:trPr>
        <w:tc>
          <w:tcPr>
            <w:tcW w:w="1810" w:type="dxa"/>
            <w:vMerge w:val="restart"/>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55A10AB4" w14:textId="77777777" w:rsidR="00CA62E1" w:rsidRPr="00241383" w:rsidRDefault="00CA62E1" w:rsidP="00A15D68">
            <w:pPr>
              <w:spacing w:after="0"/>
              <w:rPr>
                <w:rFonts w:eastAsia="Times New Roman" w:cs="Times New Roman"/>
                <w:color w:val="363636"/>
                <w:sz w:val="18"/>
                <w:szCs w:val="18"/>
                <w:lang w:eastAsia="en-AU"/>
              </w:rPr>
            </w:pPr>
            <w:r w:rsidRPr="00241383">
              <w:rPr>
                <w:rFonts w:eastAsia="Times New Roman" w:cs="Times New Roman"/>
                <w:color w:val="363636"/>
                <w:sz w:val="18"/>
                <w:szCs w:val="18"/>
                <w:lang w:eastAsia="en-AU"/>
              </w:rPr>
              <w:t>Major Cities of Australia</w:t>
            </w:r>
          </w:p>
        </w:tc>
        <w:tc>
          <w:tcPr>
            <w:tcW w:w="1810" w:type="dxa"/>
            <w:tcBorders>
              <w:top w:val="nil"/>
              <w:left w:val="nil"/>
              <w:bottom w:val="single" w:sz="8" w:space="0" w:color="auto"/>
              <w:right w:val="single" w:sz="8" w:space="0" w:color="auto"/>
            </w:tcBorders>
            <w:shd w:val="clear" w:color="000000" w:fill="DEEAF6"/>
            <w:vAlign w:val="center"/>
            <w:hideMark/>
          </w:tcPr>
          <w:p w14:paraId="1E249108"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2012</w:t>
            </w:r>
          </w:p>
        </w:tc>
        <w:tc>
          <w:tcPr>
            <w:tcW w:w="1810" w:type="dxa"/>
            <w:tcBorders>
              <w:top w:val="nil"/>
              <w:left w:val="nil"/>
              <w:bottom w:val="single" w:sz="8" w:space="0" w:color="auto"/>
              <w:right w:val="single" w:sz="8" w:space="0" w:color="auto"/>
            </w:tcBorders>
            <w:shd w:val="clear" w:color="000000" w:fill="DEEAF6"/>
            <w:vAlign w:val="center"/>
            <w:hideMark/>
          </w:tcPr>
          <w:p w14:paraId="7BDC9A1F"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1,676</w:t>
            </w:r>
          </w:p>
        </w:tc>
        <w:tc>
          <w:tcPr>
            <w:tcW w:w="1810" w:type="dxa"/>
            <w:tcBorders>
              <w:top w:val="nil"/>
              <w:left w:val="nil"/>
              <w:bottom w:val="single" w:sz="8" w:space="0" w:color="auto"/>
              <w:right w:val="single" w:sz="8" w:space="0" w:color="auto"/>
            </w:tcBorders>
            <w:shd w:val="clear" w:color="000000" w:fill="DEEAF6"/>
            <w:vAlign w:val="center"/>
            <w:hideMark/>
          </w:tcPr>
          <w:p w14:paraId="59119CA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$1,761,900</w:t>
            </w:r>
          </w:p>
        </w:tc>
        <w:tc>
          <w:tcPr>
            <w:tcW w:w="1811" w:type="dxa"/>
            <w:tcBorders>
              <w:top w:val="nil"/>
              <w:left w:val="nil"/>
              <w:bottom w:val="single" w:sz="8" w:space="0" w:color="auto"/>
              <w:right w:val="single" w:sz="8" w:space="0" w:color="auto"/>
            </w:tcBorders>
            <w:shd w:val="clear" w:color="000000" w:fill="DEEAF6"/>
            <w:vAlign w:val="center"/>
            <w:hideMark/>
          </w:tcPr>
          <w:p w14:paraId="13B2D8FB"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1,051</w:t>
            </w:r>
          </w:p>
        </w:tc>
      </w:tr>
      <w:tr w:rsidR="00CA62E1" w:rsidRPr="00241383" w14:paraId="6C561E0E"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2080C6EB"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075BE45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2014</w:t>
            </w:r>
          </w:p>
        </w:tc>
        <w:tc>
          <w:tcPr>
            <w:tcW w:w="1810" w:type="dxa"/>
            <w:tcBorders>
              <w:top w:val="nil"/>
              <w:left w:val="nil"/>
              <w:bottom w:val="single" w:sz="8" w:space="0" w:color="auto"/>
              <w:right w:val="single" w:sz="8" w:space="0" w:color="auto"/>
            </w:tcBorders>
            <w:shd w:val="clear" w:color="auto" w:fill="auto"/>
            <w:vAlign w:val="center"/>
            <w:hideMark/>
          </w:tcPr>
          <w:p w14:paraId="6B529AB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3,288</w:t>
            </w:r>
          </w:p>
        </w:tc>
        <w:tc>
          <w:tcPr>
            <w:tcW w:w="1810" w:type="dxa"/>
            <w:tcBorders>
              <w:top w:val="nil"/>
              <w:left w:val="nil"/>
              <w:bottom w:val="single" w:sz="8" w:space="0" w:color="auto"/>
              <w:right w:val="single" w:sz="8" w:space="0" w:color="auto"/>
            </w:tcBorders>
            <w:shd w:val="clear" w:color="auto" w:fill="auto"/>
            <w:vAlign w:val="center"/>
            <w:hideMark/>
          </w:tcPr>
          <w:p w14:paraId="5B064D86"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$3,313,000</w:t>
            </w:r>
          </w:p>
        </w:tc>
        <w:tc>
          <w:tcPr>
            <w:tcW w:w="1811" w:type="dxa"/>
            <w:tcBorders>
              <w:top w:val="nil"/>
              <w:left w:val="nil"/>
              <w:bottom w:val="single" w:sz="8" w:space="0" w:color="auto"/>
              <w:right w:val="single" w:sz="8" w:space="0" w:color="auto"/>
            </w:tcBorders>
            <w:shd w:val="clear" w:color="auto" w:fill="auto"/>
            <w:vAlign w:val="center"/>
            <w:hideMark/>
          </w:tcPr>
          <w:p w14:paraId="1BD8EF04"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1,008</w:t>
            </w:r>
          </w:p>
        </w:tc>
      </w:tr>
      <w:tr w:rsidR="00CA62E1" w:rsidRPr="00241383" w14:paraId="7A6D99FE"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3ECBE25E"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2EB7FD8D"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2015</w:t>
            </w:r>
          </w:p>
        </w:tc>
        <w:tc>
          <w:tcPr>
            <w:tcW w:w="1810" w:type="dxa"/>
            <w:tcBorders>
              <w:top w:val="nil"/>
              <w:left w:val="nil"/>
              <w:bottom w:val="single" w:sz="8" w:space="0" w:color="auto"/>
              <w:right w:val="single" w:sz="8" w:space="0" w:color="auto"/>
            </w:tcBorders>
            <w:shd w:val="clear" w:color="000000" w:fill="DEEAF6"/>
            <w:vAlign w:val="center"/>
            <w:hideMark/>
          </w:tcPr>
          <w:p w14:paraId="6386D60C"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3,366</w:t>
            </w:r>
          </w:p>
        </w:tc>
        <w:tc>
          <w:tcPr>
            <w:tcW w:w="1810" w:type="dxa"/>
            <w:tcBorders>
              <w:top w:val="nil"/>
              <w:left w:val="nil"/>
              <w:bottom w:val="single" w:sz="8" w:space="0" w:color="auto"/>
              <w:right w:val="single" w:sz="8" w:space="0" w:color="auto"/>
            </w:tcBorders>
            <w:shd w:val="clear" w:color="000000" w:fill="DEEAF6"/>
            <w:vAlign w:val="center"/>
            <w:hideMark/>
          </w:tcPr>
          <w:p w14:paraId="46CE83AB"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$3,802,500</w:t>
            </w:r>
          </w:p>
        </w:tc>
        <w:tc>
          <w:tcPr>
            <w:tcW w:w="1811" w:type="dxa"/>
            <w:tcBorders>
              <w:top w:val="nil"/>
              <w:left w:val="nil"/>
              <w:bottom w:val="single" w:sz="8" w:space="0" w:color="auto"/>
              <w:right w:val="single" w:sz="8" w:space="0" w:color="auto"/>
            </w:tcBorders>
            <w:shd w:val="clear" w:color="000000" w:fill="DEEAF6"/>
            <w:vAlign w:val="center"/>
            <w:hideMark/>
          </w:tcPr>
          <w:p w14:paraId="7B9E13E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1,130</w:t>
            </w:r>
          </w:p>
        </w:tc>
      </w:tr>
      <w:tr w:rsidR="00CA62E1" w:rsidRPr="00241383" w14:paraId="648DEDDC"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59B99DD5"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40E8D84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2016</w:t>
            </w:r>
          </w:p>
        </w:tc>
        <w:tc>
          <w:tcPr>
            <w:tcW w:w="1810" w:type="dxa"/>
            <w:tcBorders>
              <w:top w:val="nil"/>
              <w:left w:val="nil"/>
              <w:bottom w:val="single" w:sz="8" w:space="0" w:color="auto"/>
              <w:right w:val="single" w:sz="8" w:space="0" w:color="auto"/>
            </w:tcBorders>
            <w:shd w:val="clear" w:color="auto" w:fill="auto"/>
            <w:vAlign w:val="center"/>
            <w:hideMark/>
          </w:tcPr>
          <w:p w14:paraId="3FBD3AB0"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915</w:t>
            </w:r>
          </w:p>
        </w:tc>
        <w:tc>
          <w:tcPr>
            <w:tcW w:w="1810" w:type="dxa"/>
            <w:tcBorders>
              <w:top w:val="nil"/>
              <w:left w:val="nil"/>
              <w:bottom w:val="single" w:sz="8" w:space="0" w:color="auto"/>
              <w:right w:val="single" w:sz="8" w:space="0" w:color="auto"/>
            </w:tcBorders>
            <w:shd w:val="clear" w:color="auto" w:fill="auto"/>
            <w:vAlign w:val="center"/>
            <w:hideMark/>
          </w:tcPr>
          <w:p w14:paraId="59813C3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$1,197,450</w:t>
            </w:r>
          </w:p>
        </w:tc>
        <w:tc>
          <w:tcPr>
            <w:tcW w:w="1811" w:type="dxa"/>
            <w:tcBorders>
              <w:top w:val="nil"/>
              <w:left w:val="nil"/>
              <w:bottom w:val="single" w:sz="8" w:space="0" w:color="auto"/>
              <w:right w:val="single" w:sz="8" w:space="0" w:color="auto"/>
            </w:tcBorders>
            <w:shd w:val="clear" w:color="auto" w:fill="auto"/>
            <w:vAlign w:val="center"/>
            <w:hideMark/>
          </w:tcPr>
          <w:p w14:paraId="4DEEFDDD"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1,309</w:t>
            </w:r>
          </w:p>
        </w:tc>
      </w:tr>
      <w:tr w:rsidR="00CA62E1" w:rsidRPr="00241383" w14:paraId="75FF9EA0"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33EB0450"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5A114069" w14:textId="77777777" w:rsidR="00CA62E1" w:rsidRPr="00241383" w:rsidRDefault="00CA62E1" w:rsidP="00A15D68">
            <w:pPr>
              <w:spacing w:after="0"/>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 xml:space="preserve">Total </w:t>
            </w:r>
          </w:p>
        </w:tc>
        <w:tc>
          <w:tcPr>
            <w:tcW w:w="1810" w:type="dxa"/>
            <w:tcBorders>
              <w:top w:val="nil"/>
              <w:left w:val="nil"/>
              <w:bottom w:val="single" w:sz="8" w:space="0" w:color="auto"/>
              <w:right w:val="single" w:sz="8" w:space="0" w:color="auto"/>
            </w:tcBorders>
            <w:shd w:val="clear" w:color="000000" w:fill="DEEAF6"/>
            <w:vAlign w:val="center"/>
            <w:hideMark/>
          </w:tcPr>
          <w:p w14:paraId="62E0E3B2"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5,343</w:t>
            </w:r>
          </w:p>
        </w:tc>
        <w:tc>
          <w:tcPr>
            <w:tcW w:w="1810" w:type="dxa"/>
            <w:tcBorders>
              <w:top w:val="nil"/>
              <w:left w:val="nil"/>
              <w:bottom w:val="single" w:sz="8" w:space="0" w:color="auto"/>
              <w:right w:val="single" w:sz="8" w:space="0" w:color="auto"/>
            </w:tcBorders>
            <w:shd w:val="clear" w:color="000000" w:fill="DEEAF6"/>
            <w:vAlign w:val="center"/>
            <w:hideMark/>
          </w:tcPr>
          <w:p w14:paraId="688BFE8D"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$10,074,850</w:t>
            </w:r>
          </w:p>
        </w:tc>
        <w:tc>
          <w:tcPr>
            <w:tcW w:w="1811" w:type="dxa"/>
            <w:tcBorders>
              <w:top w:val="nil"/>
              <w:left w:val="nil"/>
              <w:bottom w:val="single" w:sz="8" w:space="0" w:color="auto"/>
              <w:right w:val="single" w:sz="8" w:space="0" w:color="auto"/>
            </w:tcBorders>
            <w:shd w:val="clear" w:color="000000" w:fill="DEEAF6"/>
            <w:vAlign w:val="center"/>
            <w:hideMark/>
          </w:tcPr>
          <w:p w14:paraId="5DB14DB9"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1,886</w:t>
            </w:r>
          </w:p>
        </w:tc>
      </w:tr>
      <w:tr w:rsidR="00CA62E1" w:rsidRPr="00241383" w14:paraId="6F2C2A54" w14:textId="77777777" w:rsidTr="00A15D68">
        <w:trPr>
          <w:trHeight w:val="227"/>
        </w:trPr>
        <w:tc>
          <w:tcPr>
            <w:tcW w:w="18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7559F5" w14:textId="77777777" w:rsidR="00CA62E1" w:rsidRPr="00241383" w:rsidRDefault="00CA62E1" w:rsidP="00A15D68">
            <w:pPr>
              <w:spacing w:after="0"/>
              <w:rPr>
                <w:rFonts w:eastAsia="Times New Roman" w:cs="Times New Roman"/>
                <w:color w:val="363636"/>
                <w:sz w:val="18"/>
                <w:szCs w:val="18"/>
                <w:lang w:eastAsia="en-AU"/>
              </w:rPr>
            </w:pPr>
            <w:r w:rsidRPr="00241383">
              <w:rPr>
                <w:rFonts w:eastAsia="Times New Roman" w:cs="Times New Roman"/>
                <w:color w:val="363636"/>
                <w:sz w:val="18"/>
                <w:szCs w:val="18"/>
                <w:lang w:eastAsia="en-AU"/>
              </w:rPr>
              <w:t>Outer Regional Australia</w:t>
            </w:r>
          </w:p>
        </w:tc>
        <w:tc>
          <w:tcPr>
            <w:tcW w:w="1810" w:type="dxa"/>
            <w:tcBorders>
              <w:top w:val="nil"/>
              <w:left w:val="nil"/>
              <w:bottom w:val="single" w:sz="8" w:space="0" w:color="auto"/>
              <w:right w:val="single" w:sz="8" w:space="0" w:color="auto"/>
            </w:tcBorders>
            <w:shd w:val="clear" w:color="auto" w:fill="auto"/>
            <w:vAlign w:val="center"/>
            <w:hideMark/>
          </w:tcPr>
          <w:p w14:paraId="3308F355"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2012</w:t>
            </w:r>
          </w:p>
        </w:tc>
        <w:tc>
          <w:tcPr>
            <w:tcW w:w="1810" w:type="dxa"/>
            <w:tcBorders>
              <w:top w:val="nil"/>
              <w:left w:val="nil"/>
              <w:bottom w:val="single" w:sz="8" w:space="0" w:color="auto"/>
              <w:right w:val="single" w:sz="8" w:space="0" w:color="auto"/>
            </w:tcBorders>
            <w:shd w:val="clear" w:color="auto" w:fill="auto"/>
            <w:vAlign w:val="center"/>
            <w:hideMark/>
          </w:tcPr>
          <w:p w14:paraId="796BC9DC"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243</w:t>
            </w:r>
          </w:p>
        </w:tc>
        <w:tc>
          <w:tcPr>
            <w:tcW w:w="1810" w:type="dxa"/>
            <w:tcBorders>
              <w:top w:val="nil"/>
              <w:left w:val="nil"/>
              <w:bottom w:val="single" w:sz="8" w:space="0" w:color="auto"/>
              <w:right w:val="single" w:sz="8" w:space="0" w:color="auto"/>
            </w:tcBorders>
            <w:shd w:val="clear" w:color="auto" w:fill="auto"/>
            <w:vAlign w:val="center"/>
            <w:hideMark/>
          </w:tcPr>
          <w:p w14:paraId="372BEFCA"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$254,339</w:t>
            </w:r>
          </w:p>
        </w:tc>
        <w:tc>
          <w:tcPr>
            <w:tcW w:w="1811" w:type="dxa"/>
            <w:tcBorders>
              <w:top w:val="nil"/>
              <w:left w:val="nil"/>
              <w:bottom w:val="single" w:sz="8" w:space="0" w:color="auto"/>
              <w:right w:val="single" w:sz="8" w:space="0" w:color="auto"/>
            </w:tcBorders>
            <w:shd w:val="clear" w:color="auto" w:fill="auto"/>
            <w:vAlign w:val="center"/>
            <w:hideMark/>
          </w:tcPr>
          <w:p w14:paraId="2B9ADD65"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1,047</w:t>
            </w:r>
          </w:p>
        </w:tc>
      </w:tr>
      <w:tr w:rsidR="00CA62E1" w:rsidRPr="00241383" w14:paraId="5C0D85C2"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0C60D307"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798C666B"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2014</w:t>
            </w:r>
          </w:p>
        </w:tc>
        <w:tc>
          <w:tcPr>
            <w:tcW w:w="1810" w:type="dxa"/>
            <w:tcBorders>
              <w:top w:val="nil"/>
              <w:left w:val="nil"/>
              <w:bottom w:val="single" w:sz="8" w:space="0" w:color="auto"/>
              <w:right w:val="single" w:sz="8" w:space="0" w:color="auto"/>
            </w:tcBorders>
            <w:shd w:val="clear" w:color="000000" w:fill="DEEAF6"/>
            <w:vAlign w:val="center"/>
            <w:hideMark/>
          </w:tcPr>
          <w:p w14:paraId="1A41FD8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479</w:t>
            </w:r>
          </w:p>
        </w:tc>
        <w:tc>
          <w:tcPr>
            <w:tcW w:w="1810" w:type="dxa"/>
            <w:tcBorders>
              <w:top w:val="nil"/>
              <w:left w:val="nil"/>
              <w:bottom w:val="single" w:sz="8" w:space="0" w:color="auto"/>
              <w:right w:val="single" w:sz="8" w:space="0" w:color="auto"/>
            </w:tcBorders>
            <w:shd w:val="clear" w:color="000000" w:fill="DEEAF6"/>
            <w:vAlign w:val="center"/>
            <w:hideMark/>
          </w:tcPr>
          <w:p w14:paraId="70A7D1D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$484,000</w:t>
            </w:r>
          </w:p>
        </w:tc>
        <w:tc>
          <w:tcPr>
            <w:tcW w:w="1811" w:type="dxa"/>
            <w:tcBorders>
              <w:top w:val="nil"/>
              <w:left w:val="nil"/>
              <w:bottom w:val="single" w:sz="8" w:space="0" w:color="auto"/>
              <w:right w:val="single" w:sz="8" w:space="0" w:color="auto"/>
            </w:tcBorders>
            <w:shd w:val="clear" w:color="000000" w:fill="DEEAF6"/>
            <w:vAlign w:val="center"/>
            <w:hideMark/>
          </w:tcPr>
          <w:p w14:paraId="712964D0"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1,010</w:t>
            </w:r>
          </w:p>
        </w:tc>
      </w:tr>
      <w:tr w:rsidR="00CA62E1" w:rsidRPr="00241383" w14:paraId="70AA11A6"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0DD1499B"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310188E4"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2015</w:t>
            </w:r>
          </w:p>
        </w:tc>
        <w:tc>
          <w:tcPr>
            <w:tcW w:w="1810" w:type="dxa"/>
            <w:tcBorders>
              <w:top w:val="nil"/>
              <w:left w:val="nil"/>
              <w:bottom w:val="single" w:sz="8" w:space="0" w:color="auto"/>
              <w:right w:val="single" w:sz="8" w:space="0" w:color="auto"/>
            </w:tcBorders>
            <w:shd w:val="clear" w:color="auto" w:fill="auto"/>
            <w:vAlign w:val="center"/>
            <w:hideMark/>
          </w:tcPr>
          <w:p w14:paraId="22ED548B"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493</w:t>
            </w:r>
          </w:p>
        </w:tc>
        <w:tc>
          <w:tcPr>
            <w:tcW w:w="1810" w:type="dxa"/>
            <w:tcBorders>
              <w:top w:val="nil"/>
              <w:left w:val="nil"/>
              <w:bottom w:val="single" w:sz="8" w:space="0" w:color="auto"/>
              <w:right w:val="single" w:sz="8" w:space="0" w:color="auto"/>
            </w:tcBorders>
            <w:shd w:val="clear" w:color="auto" w:fill="auto"/>
            <w:vAlign w:val="center"/>
            <w:hideMark/>
          </w:tcPr>
          <w:p w14:paraId="05D1177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$572,300</w:t>
            </w:r>
          </w:p>
        </w:tc>
        <w:tc>
          <w:tcPr>
            <w:tcW w:w="1811" w:type="dxa"/>
            <w:tcBorders>
              <w:top w:val="nil"/>
              <w:left w:val="nil"/>
              <w:bottom w:val="single" w:sz="8" w:space="0" w:color="auto"/>
              <w:right w:val="single" w:sz="8" w:space="0" w:color="auto"/>
            </w:tcBorders>
            <w:shd w:val="clear" w:color="auto" w:fill="auto"/>
            <w:vAlign w:val="center"/>
            <w:hideMark/>
          </w:tcPr>
          <w:p w14:paraId="417CED58"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1,161</w:t>
            </w:r>
          </w:p>
        </w:tc>
      </w:tr>
      <w:tr w:rsidR="00CA62E1" w:rsidRPr="00241383" w14:paraId="5F549275"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4773EE7D"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4590FB84"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2016</w:t>
            </w:r>
          </w:p>
        </w:tc>
        <w:tc>
          <w:tcPr>
            <w:tcW w:w="1810" w:type="dxa"/>
            <w:tcBorders>
              <w:top w:val="nil"/>
              <w:left w:val="nil"/>
              <w:bottom w:val="single" w:sz="8" w:space="0" w:color="auto"/>
              <w:right w:val="single" w:sz="8" w:space="0" w:color="auto"/>
            </w:tcBorders>
            <w:shd w:val="clear" w:color="000000" w:fill="DEEAF6"/>
            <w:vAlign w:val="center"/>
            <w:hideMark/>
          </w:tcPr>
          <w:p w14:paraId="660DC314"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136</w:t>
            </w:r>
          </w:p>
        </w:tc>
        <w:tc>
          <w:tcPr>
            <w:tcW w:w="1810" w:type="dxa"/>
            <w:tcBorders>
              <w:top w:val="nil"/>
              <w:left w:val="nil"/>
              <w:bottom w:val="single" w:sz="8" w:space="0" w:color="auto"/>
              <w:right w:val="single" w:sz="8" w:space="0" w:color="auto"/>
            </w:tcBorders>
            <w:shd w:val="clear" w:color="000000" w:fill="DEEAF6"/>
            <w:vAlign w:val="center"/>
            <w:hideMark/>
          </w:tcPr>
          <w:p w14:paraId="3901C516"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$176,800</w:t>
            </w:r>
          </w:p>
        </w:tc>
        <w:tc>
          <w:tcPr>
            <w:tcW w:w="1811" w:type="dxa"/>
            <w:tcBorders>
              <w:top w:val="nil"/>
              <w:left w:val="nil"/>
              <w:bottom w:val="single" w:sz="8" w:space="0" w:color="auto"/>
              <w:right w:val="single" w:sz="8" w:space="0" w:color="auto"/>
            </w:tcBorders>
            <w:shd w:val="clear" w:color="000000" w:fill="DEEAF6"/>
            <w:vAlign w:val="center"/>
            <w:hideMark/>
          </w:tcPr>
          <w:p w14:paraId="13F2A946"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1,300</w:t>
            </w:r>
          </w:p>
        </w:tc>
      </w:tr>
      <w:tr w:rsidR="00CA62E1" w:rsidRPr="00241383" w14:paraId="58AFA4CC"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4A837CE7"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315B8110" w14:textId="77777777" w:rsidR="00CA62E1" w:rsidRPr="00241383" w:rsidRDefault="00CA62E1" w:rsidP="00A15D68">
            <w:pPr>
              <w:spacing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Total</w:t>
            </w:r>
          </w:p>
        </w:tc>
        <w:tc>
          <w:tcPr>
            <w:tcW w:w="1810" w:type="dxa"/>
            <w:tcBorders>
              <w:top w:val="nil"/>
              <w:left w:val="nil"/>
              <w:bottom w:val="single" w:sz="8" w:space="0" w:color="auto"/>
              <w:right w:val="single" w:sz="8" w:space="0" w:color="auto"/>
            </w:tcBorders>
            <w:shd w:val="clear" w:color="auto" w:fill="auto"/>
            <w:vAlign w:val="center"/>
            <w:hideMark/>
          </w:tcPr>
          <w:p w14:paraId="1E72FFCE"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766</w:t>
            </w:r>
          </w:p>
        </w:tc>
        <w:tc>
          <w:tcPr>
            <w:tcW w:w="1810" w:type="dxa"/>
            <w:tcBorders>
              <w:top w:val="nil"/>
              <w:left w:val="nil"/>
              <w:bottom w:val="single" w:sz="8" w:space="0" w:color="auto"/>
              <w:right w:val="single" w:sz="8" w:space="0" w:color="auto"/>
            </w:tcBorders>
            <w:shd w:val="clear" w:color="auto" w:fill="auto"/>
            <w:vAlign w:val="center"/>
            <w:hideMark/>
          </w:tcPr>
          <w:p w14:paraId="3CCC5621"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$1,487,439</w:t>
            </w:r>
          </w:p>
        </w:tc>
        <w:tc>
          <w:tcPr>
            <w:tcW w:w="1811" w:type="dxa"/>
            <w:tcBorders>
              <w:top w:val="nil"/>
              <w:left w:val="nil"/>
              <w:bottom w:val="single" w:sz="8" w:space="0" w:color="auto"/>
              <w:right w:val="single" w:sz="8" w:space="0" w:color="auto"/>
            </w:tcBorders>
            <w:shd w:val="clear" w:color="auto" w:fill="auto"/>
            <w:vAlign w:val="center"/>
            <w:hideMark/>
          </w:tcPr>
          <w:p w14:paraId="06111718"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1,942</w:t>
            </w:r>
          </w:p>
        </w:tc>
      </w:tr>
      <w:tr w:rsidR="00CA62E1" w:rsidRPr="00241383" w14:paraId="5F34F72F" w14:textId="77777777" w:rsidTr="00A15D68">
        <w:trPr>
          <w:trHeight w:val="227"/>
        </w:trPr>
        <w:tc>
          <w:tcPr>
            <w:tcW w:w="1810" w:type="dxa"/>
            <w:vMerge w:val="restart"/>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6551FEF9" w14:textId="77777777" w:rsidR="00CA62E1" w:rsidRPr="00241383" w:rsidRDefault="00CA62E1" w:rsidP="00A15D68">
            <w:pPr>
              <w:spacing w:after="0"/>
              <w:rPr>
                <w:rFonts w:eastAsia="Times New Roman" w:cs="Times New Roman"/>
                <w:color w:val="363636"/>
                <w:sz w:val="18"/>
                <w:szCs w:val="18"/>
                <w:lang w:eastAsia="en-AU"/>
              </w:rPr>
            </w:pPr>
            <w:r w:rsidRPr="00241383">
              <w:rPr>
                <w:rFonts w:eastAsia="Times New Roman" w:cs="Times New Roman"/>
                <w:color w:val="363636"/>
                <w:sz w:val="18"/>
                <w:szCs w:val="18"/>
                <w:lang w:eastAsia="en-AU"/>
              </w:rPr>
              <w:t>Remote Australia</w:t>
            </w:r>
          </w:p>
        </w:tc>
        <w:tc>
          <w:tcPr>
            <w:tcW w:w="1810" w:type="dxa"/>
            <w:tcBorders>
              <w:top w:val="nil"/>
              <w:left w:val="nil"/>
              <w:bottom w:val="single" w:sz="8" w:space="0" w:color="auto"/>
              <w:right w:val="single" w:sz="8" w:space="0" w:color="auto"/>
            </w:tcBorders>
            <w:shd w:val="clear" w:color="000000" w:fill="DEEAF6"/>
            <w:vAlign w:val="center"/>
            <w:hideMark/>
          </w:tcPr>
          <w:p w14:paraId="15AF80A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2012</w:t>
            </w:r>
          </w:p>
        </w:tc>
        <w:tc>
          <w:tcPr>
            <w:tcW w:w="1810" w:type="dxa"/>
            <w:tcBorders>
              <w:top w:val="nil"/>
              <w:left w:val="nil"/>
              <w:bottom w:val="single" w:sz="8" w:space="0" w:color="auto"/>
              <w:right w:val="single" w:sz="8" w:space="0" w:color="auto"/>
            </w:tcBorders>
            <w:shd w:val="clear" w:color="000000" w:fill="DEEAF6"/>
            <w:vAlign w:val="center"/>
            <w:hideMark/>
          </w:tcPr>
          <w:p w14:paraId="08E68918"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31</w:t>
            </w:r>
          </w:p>
        </w:tc>
        <w:tc>
          <w:tcPr>
            <w:tcW w:w="1810" w:type="dxa"/>
            <w:tcBorders>
              <w:top w:val="nil"/>
              <w:left w:val="nil"/>
              <w:bottom w:val="single" w:sz="8" w:space="0" w:color="auto"/>
              <w:right w:val="single" w:sz="8" w:space="0" w:color="auto"/>
            </w:tcBorders>
            <w:shd w:val="clear" w:color="000000" w:fill="DEEAF6"/>
            <w:vAlign w:val="center"/>
            <w:hideMark/>
          </w:tcPr>
          <w:p w14:paraId="0F2600B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$31,536</w:t>
            </w:r>
          </w:p>
        </w:tc>
        <w:tc>
          <w:tcPr>
            <w:tcW w:w="1811" w:type="dxa"/>
            <w:tcBorders>
              <w:top w:val="nil"/>
              <w:left w:val="nil"/>
              <w:bottom w:val="single" w:sz="8" w:space="0" w:color="auto"/>
              <w:right w:val="single" w:sz="8" w:space="0" w:color="auto"/>
            </w:tcBorders>
            <w:shd w:val="clear" w:color="000000" w:fill="DEEAF6"/>
            <w:vAlign w:val="center"/>
            <w:hideMark/>
          </w:tcPr>
          <w:p w14:paraId="3FF6194A"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1,017</w:t>
            </w:r>
          </w:p>
        </w:tc>
      </w:tr>
      <w:tr w:rsidR="00CA62E1" w:rsidRPr="00241383" w14:paraId="2C0A605A"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0DFBB4F9"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0C5A6158"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2014</w:t>
            </w:r>
          </w:p>
        </w:tc>
        <w:tc>
          <w:tcPr>
            <w:tcW w:w="1810" w:type="dxa"/>
            <w:tcBorders>
              <w:top w:val="nil"/>
              <w:left w:val="nil"/>
              <w:bottom w:val="single" w:sz="8" w:space="0" w:color="auto"/>
              <w:right w:val="single" w:sz="8" w:space="0" w:color="auto"/>
            </w:tcBorders>
            <w:shd w:val="clear" w:color="auto" w:fill="auto"/>
            <w:vAlign w:val="center"/>
            <w:hideMark/>
          </w:tcPr>
          <w:p w14:paraId="025518E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72</w:t>
            </w:r>
          </w:p>
        </w:tc>
        <w:tc>
          <w:tcPr>
            <w:tcW w:w="1810" w:type="dxa"/>
            <w:tcBorders>
              <w:top w:val="nil"/>
              <w:left w:val="nil"/>
              <w:bottom w:val="single" w:sz="8" w:space="0" w:color="auto"/>
              <w:right w:val="single" w:sz="8" w:space="0" w:color="auto"/>
            </w:tcBorders>
            <w:shd w:val="clear" w:color="auto" w:fill="auto"/>
            <w:vAlign w:val="center"/>
            <w:hideMark/>
          </w:tcPr>
          <w:p w14:paraId="15A8342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$72,000</w:t>
            </w:r>
          </w:p>
        </w:tc>
        <w:tc>
          <w:tcPr>
            <w:tcW w:w="1811" w:type="dxa"/>
            <w:tcBorders>
              <w:top w:val="nil"/>
              <w:left w:val="nil"/>
              <w:bottom w:val="single" w:sz="8" w:space="0" w:color="auto"/>
              <w:right w:val="single" w:sz="8" w:space="0" w:color="auto"/>
            </w:tcBorders>
            <w:shd w:val="clear" w:color="auto" w:fill="auto"/>
            <w:vAlign w:val="center"/>
            <w:hideMark/>
          </w:tcPr>
          <w:p w14:paraId="70E5696D"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1,000</w:t>
            </w:r>
          </w:p>
        </w:tc>
      </w:tr>
      <w:tr w:rsidR="00CA62E1" w:rsidRPr="00241383" w14:paraId="7E50258D"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251F29F3"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37990D2B"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2015</w:t>
            </w:r>
          </w:p>
        </w:tc>
        <w:tc>
          <w:tcPr>
            <w:tcW w:w="1810" w:type="dxa"/>
            <w:tcBorders>
              <w:top w:val="nil"/>
              <w:left w:val="nil"/>
              <w:bottom w:val="single" w:sz="8" w:space="0" w:color="auto"/>
              <w:right w:val="single" w:sz="8" w:space="0" w:color="auto"/>
            </w:tcBorders>
            <w:shd w:val="clear" w:color="000000" w:fill="DEEAF6"/>
            <w:vAlign w:val="center"/>
            <w:hideMark/>
          </w:tcPr>
          <w:p w14:paraId="059B05D0"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73</w:t>
            </w:r>
          </w:p>
        </w:tc>
        <w:tc>
          <w:tcPr>
            <w:tcW w:w="1810" w:type="dxa"/>
            <w:tcBorders>
              <w:top w:val="nil"/>
              <w:left w:val="nil"/>
              <w:bottom w:val="single" w:sz="8" w:space="0" w:color="auto"/>
              <w:right w:val="single" w:sz="8" w:space="0" w:color="auto"/>
            </w:tcBorders>
            <w:shd w:val="clear" w:color="000000" w:fill="DEEAF6"/>
            <w:vAlign w:val="center"/>
            <w:hideMark/>
          </w:tcPr>
          <w:p w14:paraId="273AB23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$85,900</w:t>
            </w:r>
          </w:p>
        </w:tc>
        <w:tc>
          <w:tcPr>
            <w:tcW w:w="1811" w:type="dxa"/>
            <w:tcBorders>
              <w:top w:val="nil"/>
              <w:left w:val="nil"/>
              <w:bottom w:val="single" w:sz="8" w:space="0" w:color="auto"/>
              <w:right w:val="single" w:sz="8" w:space="0" w:color="auto"/>
            </w:tcBorders>
            <w:shd w:val="clear" w:color="000000" w:fill="DEEAF6"/>
            <w:vAlign w:val="center"/>
            <w:hideMark/>
          </w:tcPr>
          <w:p w14:paraId="11D39D8F"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1,177</w:t>
            </w:r>
          </w:p>
        </w:tc>
      </w:tr>
      <w:tr w:rsidR="00CA62E1" w:rsidRPr="00241383" w14:paraId="511CCA5E"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63BD91AD"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7A8A72A2"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2016</w:t>
            </w:r>
          </w:p>
        </w:tc>
        <w:tc>
          <w:tcPr>
            <w:tcW w:w="1810" w:type="dxa"/>
            <w:tcBorders>
              <w:top w:val="nil"/>
              <w:left w:val="nil"/>
              <w:bottom w:val="single" w:sz="8" w:space="0" w:color="auto"/>
              <w:right w:val="single" w:sz="8" w:space="0" w:color="auto"/>
            </w:tcBorders>
            <w:shd w:val="clear" w:color="auto" w:fill="auto"/>
            <w:vAlign w:val="center"/>
            <w:hideMark/>
          </w:tcPr>
          <w:p w14:paraId="2C5CBA6C"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22</w:t>
            </w:r>
          </w:p>
        </w:tc>
        <w:tc>
          <w:tcPr>
            <w:tcW w:w="1810" w:type="dxa"/>
            <w:tcBorders>
              <w:top w:val="nil"/>
              <w:left w:val="nil"/>
              <w:bottom w:val="single" w:sz="8" w:space="0" w:color="auto"/>
              <w:right w:val="single" w:sz="8" w:space="0" w:color="auto"/>
            </w:tcBorders>
            <w:shd w:val="clear" w:color="auto" w:fill="auto"/>
            <w:vAlign w:val="center"/>
            <w:hideMark/>
          </w:tcPr>
          <w:p w14:paraId="7C688797"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$28,600</w:t>
            </w:r>
          </w:p>
        </w:tc>
        <w:tc>
          <w:tcPr>
            <w:tcW w:w="1811" w:type="dxa"/>
            <w:tcBorders>
              <w:top w:val="nil"/>
              <w:left w:val="nil"/>
              <w:bottom w:val="single" w:sz="8" w:space="0" w:color="auto"/>
              <w:right w:val="single" w:sz="8" w:space="0" w:color="auto"/>
            </w:tcBorders>
            <w:shd w:val="clear" w:color="auto" w:fill="auto"/>
            <w:vAlign w:val="center"/>
            <w:hideMark/>
          </w:tcPr>
          <w:p w14:paraId="51269B33"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1,300</w:t>
            </w:r>
          </w:p>
        </w:tc>
      </w:tr>
      <w:tr w:rsidR="00CA62E1" w:rsidRPr="00241383" w14:paraId="5D17703F" w14:textId="77777777" w:rsidTr="00A15D68">
        <w:trPr>
          <w:trHeight w:val="227"/>
        </w:trPr>
        <w:tc>
          <w:tcPr>
            <w:tcW w:w="1810"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588C65FE"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1D31A60E" w14:textId="77777777" w:rsidR="00CA62E1" w:rsidRPr="00241383" w:rsidRDefault="00CA62E1" w:rsidP="00A15D68">
            <w:pPr>
              <w:spacing w:after="0"/>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 xml:space="preserve">Total </w:t>
            </w:r>
          </w:p>
        </w:tc>
        <w:tc>
          <w:tcPr>
            <w:tcW w:w="1810" w:type="dxa"/>
            <w:tcBorders>
              <w:top w:val="nil"/>
              <w:left w:val="nil"/>
              <w:bottom w:val="single" w:sz="8" w:space="0" w:color="auto"/>
              <w:right w:val="single" w:sz="8" w:space="0" w:color="auto"/>
            </w:tcBorders>
            <w:shd w:val="clear" w:color="000000" w:fill="DEEAF6"/>
            <w:vAlign w:val="center"/>
            <w:hideMark/>
          </w:tcPr>
          <w:p w14:paraId="14BC2654"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115</w:t>
            </w:r>
          </w:p>
        </w:tc>
        <w:tc>
          <w:tcPr>
            <w:tcW w:w="1810" w:type="dxa"/>
            <w:tcBorders>
              <w:top w:val="nil"/>
              <w:left w:val="nil"/>
              <w:bottom w:val="single" w:sz="8" w:space="0" w:color="auto"/>
              <w:right w:val="single" w:sz="8" w:space="0" w:color="auto"/>
            </w:tcBorders>
            <w:shd w:val="clear" w:color="000000" w:fill="DEEAF6"/>
            <w:vAlign w:val="center"/>
            <w:hideMark/>
          </w:tcPr>
          <w:p w14:paraId="111723AF"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$218,036</w:t>
            </w:r>
          </w:p>
        </w:tc>
        <w:tc>
          <w:tcPr>
            <w:tcW w:w="1811" w:type="dxa"/>
            <w:tcBorders>
              <w:top w:val="nil"/>
              <w:left w:val="nil"/>
              <w:bottom w:val="single" w:sz="8" w:space="0" w:color="auto"/>
              <w:right w:val="single" w:sz="8" w:space="0" w:color="auto"/>
            </w:tcBorders>
            <w:shd w:val="clear" w:color="000000" w:fill="DEEAF6"/>
            <w:vAlign w:val="center"/>
            <w:hideMark/>
          </w:tcPr>
          <w:p w14:paraId="3FC0A8C5"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1,896</w:t>
            </w:r>
          </w:p>
        </w:tc>
      </w:tr>
      <w:tr w:rsidR="00CA62E1" w:rsidRPr="00241383" w14:paraId="1BB933A1" w14:textId="77777777" w:rsidTr="00A15D68">
        <w:trPr>
          <w:trHeight w:val="227"/>
        </w:trPr>
        <w:tc>
          <w:tcPr>
            <w:tcW w:w="18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3A0331" w14:textId="77777777" w:rsidR="00CA62E1" w:rsidRPr="00241383" w:rsidRDefault="00CA62E1" w:rsidP="00A15D68">
            <w:pPr>
              <w:spacing w:after="0"/>
              <w:rPr>
                <w:rFonts w:eastAsia="Times New Roman" w:cs="Times New Roman"/>
                <w:color w:val="363636"/>
                <w:sz w:val="18"/>
                <w:szCs w:val="18"/>
                <w:lang w:eastAsia="en-AU"/>
              </w:rPr>
            </w:pPr>
            <w:r w:rsidRPr="00241383">
              <w:rPr>
                <w:rFonts w:eastAsia="Times New Roman" w:cs="Times New Roman"/>
                <w:color w:val="363636"/>
                <w:sz w:val="18"/>
                <w:szCs w:val="18"/>
                <w:lang w:eastAsia="en-AU"/>
              </w:rPr>
              <w:t>Very Remote Australia</w:t>
            </w:r>
          </w:p>
        </w:tc>
        <w:tc>
          <w:tcPr>
            <w:tcW w:w="1810" w:type="dxa"/>
            <w:tcBorders>
              <w:top w:val="nil"/>
              <w:left w:val="nil"/>
              <w:bottom w:val="single" w:sz="8" w:space="0" w:color="auto"/>
              <w:right w:val="single" w:sz="8" w:space="0" w:color="auto"/>
            </w:tcBorders>
            <w:shd w:val="clear" w:color="auto" w:fill="auto"/>
            <w:vAlign w:val="center"/>
            <w:hideMark/>
          </w:tcPr>
          <w:p w14:paraId="379954A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2012</w:t>
            </w:r>
          </w:p>
        </w:tc>
        <w:tc>
          <w:tcPr>
            <w:tcW w:w="1810" w:type="dxa"/>
            <w:tcBorders>
              <w:top w:val="nil"/>
              <w:left w:val="nil"/>
              <w:bottom w:val="single" w:sz="8" w:space="0" w:color="auto"/>
              <w:right w:val="single" w:sz="8" w:space="0" w:color="auto"/>
            </w:tcBorders>
            <w:shd w:val="clear" w:color="auto" w:fill="auto"/>
            <w:vAlign w:val="center"/>
            <w:hideMark/>
          </w:tcPr>
          <w:p w14:paraId="10507890"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w:t>
            </w:r>
          </w:p>
        </w:tc>
        <w:tc>
          <w:tcPr>
            <w:tcW w:w="1810" w:type="dxa"/>
            <w:tcBorders>
              <w:top w:val="nil"/>
              <w:left w:val="nil"/>
              <w:bottom w:val="single" w:sz="8" w:space="0" w:color="auto"/>
              <w:right w:val="single" w:sz="8" w:space="0" w:color="auto"/>
            </w:tcBorders>
            <w:shd w:val="clear" w:color="auto" w:fill="auto"/>
            <w:vAlign w:val="center"/>
            <w:hideMark/>
          </w:tcPr>
          <w:p w14:paraId="7A2DD824"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$11,233</w:t>
            </w:r>
          </w:p>
        </w:tc>
        <w:tc>
          <w:tcPr>
            <w:tcW w:w="1811" w:type="dxa"/>
            <w:tcBorders>
              <w:top w:val="nil"/>
              <w:left w:val="nil"/>
              <w:bottom w:val="single" w:sz="8" w:space="0" w:color="auto"/>
              <w:right w:val="single" w:sz="8" w:space="0" w:color="auto"/>
            </w:tcBorders>
            <w:shd w:val="clear" w:color="auto" w:fill="auto"/>
            <w:vAlign w:val="center"/>
            <w:hideMark/>
          </w:tcPr>
          <w:p w14:paraId="4BC9E73F"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1,021</w:t>
            </w:r>
          </w:p>
        </w:tc>
      </w:tr>
      <w:tr w:rsidR="00CA62E1" w:rsidRPr="00241383" w14:paraId="07ED6317"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2AFE75DD"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7EFC78F9"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2014</w:t>
            </w:r>
          </w:p>
        </w:tc>
        <w:tc>
          <w:tcPr>
            <w:tcW w:w="1810" w:type="dxa"/>
            <w:tcBorders>
              <w:top w:val="nil"/>
              <w:left w:val="nil"/>
              <w:bottom w:val="single" w:sz="8" w:space="0" w:color="auto"/>
              <w:right w:val="single" w:sz="8" w:space="0" w:color="auto"/>
            </w:tcBorders>
            <w:shd w:val="clear" w:color="000000" w:fill="DEEAF6"/>
            <w:vAlign w:val="center"/>
            <w:hideMark/>
          </w:tcPr>
          <w:p w14:paraId="36B9D28E"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37</w:t>
            </w:r>
          </w:p>
        </w:tc>
        <w:tc>
          <w:tcPr>
            <w:tcW w:w="1810" w:type="dxa"/>
            <w:tcBorders>
              <w:top w:val="nil"/>
              <w:left w:val="nil"/>
              <w:bottom w:val="single" w:sz="8" w:space="0" w:color="auto"/>
              <w:right w:val="single" w:sz="8" w:space="0" w:color="auto"/>
            </w:tcBorders>
            <w:shd w:val="clear" w:color="000000" w:fill="DEEAF6"/>
            <w:vAlign w:val="center"/>
            <w:hideMark/>
          </w:tcPr>
          <w:p w14:paraId="11CF7338"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$37,000</w:t>
            </w:r>
          </w:p>
        </w:tc>
        <w:tc>
          <w:tcPr>
            <w:tcW w:w="1811" w:type="dxa"/>
            <w:tcBorders>
              <w:top w:val="nil"/>
              <w:left w:val="nil"/>
              <w:bottom w:val="single" w:sz="8" w:space="0" w:color="auto"/>
              <w:right w:val="single" w:sz="8" w:space="0" w:color="auto"/>
            </w:tcBorders>
            <w:shd w:val="clear" w:color="000000" w:fill="DEEAF6"/>
            <w:vAlign w:val="center"/>
            <w:hideMark/>
          </w:tcPr>
          <w:p w14:paraId="5E83F8D1"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1,000</w:t>
            </w:r>
          </w:p>
        </w:tc>
      </w:tr>
      <w:tr w:rsidR="00CA62E1" w:rsidRPr="00241383" w14:paraId="15C3A6F4"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38FF11D1"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2C5B5C10"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2015</w:t>
            </w:r>
          </w:p>
        </w:tc>
        <w:tc>
          <w:tcPr>
            <w:tcW w:w="1810" w:type="dxa"/>
            <w:tcBorders>
              <w:top w:val="nil"/>
              <w:left w:val="nil"/>
              <w:bottom w:val="single" w:sz="8" w:space="0" w:color="auto"/>
              <w:right w:val="single" w:sz="8" w:space="0" w:color="auto"/>
            </w:tcBorders>
            <w:shd w:val="clear" w:color="auto" w:fill="auto"/>
            <w:vAlign w:val="center"/>
            <w:hideMark/>
          </w:tcPr>
          <w:p w14:paraId="47E7A32F"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42</w:t>
            </w:r>
          </w:p>
        </w:tc>
        <w:tc>
          <w:tcPr>
            <w:tcW w:w="1810" w:type="dxa"/>
            <w:tcBorders>
              <w:top w:val="nil"/>
              <w:left w:val="nil"/>
              <w:bottom w:val="single" w:sz="8" w:space="0" w:color="auto"/>
              <w:right w:val="single" w:sz="8" w:space="0" w:color="auto"/>
            </w:tcBorders>
            <w:shd w:val="clear" w:color="auto" w:fill="auto"/>
            <w:vAlign w:val="center"/>
            <w:hideMark/>
          </w:tcPr>
          <w:p w14:paraId="1C6C25F5"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$46,700</w:t>
            </w:r>
          </w:p>
        </w:tc>
        <w:tc>
          <w:tcPr>
            <w:tcW w:w="1811" w:type="dxa"/>
            <w:tcBorders>
              <w:top w:val="nil"/>
              <w:left w:val="nil"/>
              <w:bottom w:val="single" w:sz="8" w:space="0" w:color="auto"/>
              <w:right w:val="single" w:sz="8" w:space="0" w:color="auto"/>
            </w:tcBorders>
            <w:shd w:val="clear" w:color="auto" w:fill="auto"/>
            <w:vAlign w:val="center"/>
            <w:hideMark/>
          </w:tcPr>
          <w:p w14:paraId="7BF8E059"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1,112</w:t>
            </w:r>
          </w:p>
        </w:tc>
      </w:tr>
      <w:tr w:rsidR="00CA62E1" w:rsidRPr="00241383" w14:paraId="18F64E68"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0DE8926B"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000000" w:fill="DEEAF6"/>
            <w:vAlign w:val="center"/>
            <w:hideMark/>
          </w:tcPr>
          <w:p w14:paraId="2E45DA0E"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2016</w:t>
            </w:r>
          </w:p>
        </w:tc>
        <w:tc>
          <w:tcPr>
            <w:tcW w:w="1810" w:type="dxa"/>
            <w:tcBorders>
              <w:top w:val="nil"/>
              <w:left w:val="nil"/>
              <w:bottom w:val="single" w:sz="8" w:space="0" w:color="auto"/>
              <w:right w:val="single" w:sz="8" w:space="0" w:color="auto"/>
            </w:tcBorders>
            <w:shd w:val="clear" w:color="000000" w:fill="DEEAF6"/>
            <w:vAlign w:val="center"/>
            <w:hideMark/>
          </w:tcPr>
          <w:p w14:paraId="48CB13FE"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9</w:t>
            </w:r>
          </w:p>
        </w:tc>
        <w:tc>
          <w:tcPr>
            <w:tcW w:w="1810" w:type="dxa"/>
            <w:tcBorders>
              <w:top w:val="nil"/>
              <w:left w:val="nil"/>
              <w:bottom w:val="single" w:sz="8" w:space="0" w:color="auto"/>
              <w:right w:val="single" w:sz="8" w:space="0" w:color="auto"/>
            </w:tcBorders>
            <w:shd w:val="clear" w:color="000000" w:fill="DEEAF6"/>
            <w:vAlign w:val="center"/>
            <w:hideMark/>
          </w:tcPr>
          <w:p w14:paraId="31CAC700"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$11,700</w:t>
            </w:r>
          </w:p>
        </w:tc>
        <w:tc>
          <w:tcPr>
            <w:tcW w:w="1811" w:type="dxa"/>
            <w:tcBorders>
              <w:top w:val="nil"/>
              <w:left w:val="nil"/>
              <w:bottom w:val="single" w:sz="8" w:space="0" w:color="auto"/>
              <w:right w:val="single" w:sz="8" w:space="0" w:color="auto"/>
            </w:tcBorders>
            <w:shd w:val="clear" w:color="000000" w:fill="DEEAF6"/>
            <w:vAlign w:val="center"/>
            <w:hideMark/>
          </w:tcPr>
          <w:p w14:paraId="4B4108AA" w14:textId="77777777" w:rsidR="00CA62E1" w:rsidRPr="00241383" w:rsidRDefault="00CA62E1" w:rsidP="00A15D68">
            <w:pPr>
              <w:spacing w:after="0"/>
              <w:jc w:val="right"/>
              <w:rPr>
                <w:rFonts w:eastAsia="Times New Roman" w:cs="Times New Roman"/>
                <w:color w:val="000000"/>
                <w:sz w:val="18"/>
                <w:szCs w:val="18"/>
                <w:lang w:eastAsia="en-AU"/>
              </w:rPr>
            </w:pPr>
            <w:r w:rsidRPr="00241383">
              <w:rPr>
                <w:rFonts w:eastAsia="Times New Roman" w:cs="Times New Roman"/>
                <w:color w:val="000000"/>
                <w:sz w:val="18"/>
                <w:szCs w:val="18"/>
                <w:lang w:eastAsia="en-AU"/>
              </w:rPr>
              <w:t>1,300</w:t>
            </w:r>
          </w:p>
        </w:tc>
      </w:tr>
      <w:tr w:rsidR="00CA62E1" w:rsidRPr="00241383" w14:paraId="3C2090F5" w14:textId="77777777" w:rsidTr="00A15D68">
        <w:trPr>
          <w:trHeight w:val="227"/>
        </w:trPr>
        <w:tc>
          <w:tcPr>
            <w:tcW w:w="1810" w:type="dxa"/>
            <w:vMerge/>
            <w:tcBorders>
              <w:top w:val="nil"/>
              <w:left w:val="single" w:sz="8" w:space="0" w:color="auto"/>
              <w:bottom w:val="single" w:sz="8" w:space="0" w:color="000000"/>
              <w:right w:val="single" w:sz="8" w:space="0" w:color="auto"/>
            </w:tcBorders>
            <w:vAlign w:val="center"/>
            <w:hideMark/>
          </w:tcPr>
          <w:p w14:paraId="3C2AADCB" w14:textId="77777777" w:rsidR="00CA62E1" w:rsidRPr="00241383" w:rsidRDefault="00CA62E1" w:rsidP="00A15D68">
            <w:pPr>
              <w:spacing w:after="0"/>
              <w:rPr>
                <w:rFonts w:eastAsia="Times New Roman" w:cs="Times New Roman"/>
                <w:color w:val="363636"/>
                <w:sz w:val="18"/>
                <w:szCs w:val="18"/>
                <w:lang w:eastAsia="en-AU"/>
              </w:rPr>
            </w:pPr>
          </w:p>
        </w:tc>
        <w:tc>
          <w:tcPr>
            <w:tcW w:w="1810" w:type="dxa"/>
            <w:tcBorders>
              <w:top w:val="nil"/>
              <w:left w:val="nil"/>
              <w:bottom w:val="single" w:sz="8" w:space="0" w:color="auto"/>
              <w:right w:val="single" w:sz="8" w:space="0" w:color="auto"/>
            </w:tcBorders>
            <w:shd w:val="clear" w:color="auto" w:fill="auto"/>
            <w:vAlign w:val="center"/>
            <w:hideMark/>
          </w:tcPr>
          <w:p w14:paraId="4C5A1F8F" w14:textId="77777777" w:rsidR="00CA62E1" w:rsidRPr="00241383" w:rsidRDefault="00CA62E1" w:rsidP="00A15D68">
            <w:pPr>
              <w:spacing w:after="0"/>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 xml:space="preserve">Total </w:t>
            </w:r>
          </w:p>
        </w:tc>
        <w:tc>
          <w:tcPr>
            <w:tcW w:w="1810" w:type="dxa"/>
            <w:tcBorders>
              <w:top w:val="nil"/>
              <w:left w:val="nil"/>
              <w:bottom w:val="single" w:sz="8" w:space="0" w:color="auto"/>
              <w:right w:val="single" w:sz="8" w:space="0" w:color="auto"/>
            </w:tcBorders>
            <w:shd w:val="clear" w:color="auto" w:fill="auto"/>
            <w:vAlign w:val="center"/>
            <w:hideMark/>
          </w:tcPr>
          <w:p w14:paraId="3879907C"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64</w:t>
            </w:r>
          </w:p>
        </w:tc>
        <w:tc>
          <w:tcPr>
            <w:tcW w:w="1810" w:type="dxa"/>
            <w:tcBorders>
              <w:top w:val="nil"/>
              <w:left w:val="nil"/>
              <w:bottom w:val="single" w:sz="8" w:space="0" w:color="auto"/>
              <w:right w:val="single" w:sz="8" w:space="0" w:color="auto"/>
            </w:tcBorders>
            <w:shd w:val="clear" w:color="auto" w:fill="auto"/>
            <w:vAlign w:val="center"/>
            <w:hideMark/>
          </w:tcPr>
          <w:p w14:paraId="2AA8AF3A"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$106,633</w:t>
            </w:r>
          </w:p>
        </w:tc>
        <w:tc>
          <w:tcPr>
            <w:tcW w:w="1811" w:type="dxa"/>
            <w:tcBorders>
              <w:top w:val="nil"/>
              <w:left w:val="nil"/>
              <w:bottom w:val="single" w:sz="8" w:space="0" w:color="auto"/>
              <w:right w:val="single" w:sz="8" w:space="0" w:color="auto"/>
            </w:tcBorders>
            <w:shd w:val="clear" w:color="auto" w:fill="auto"/>
            <w:vAlign w:val="center"/>
            <w:hideMark/>
          </w:tcPr>
          <w:p w14:paraId="2457172B" w14:textId="77777777" w:rsidR="00CA62E1" w:rsidRPr="00241383" w:rsidRDefault="00CA62E1" w:rsidP="00A15D68">
            <w:pPr>
              <w:spacing w:after="0"/>
              <w:jc w:val="right"/>
              <w:rPr>
                <w:rFonts w:eastAsia="Times New Roman" w:cs="Times New Roman"/>
                <w:b/>
                <w:bCs/>
                <w:color w:val="000000"/>
                <w:sz w:val="18"/>
                <w:szCs w:val="18"/>
                <w:lang w:eastAsia="en-AU"/>
              </w:rPr>
            </w:pPr>
            <w:r w:rsidRPr="00241383">
              <w:rPr>
                <w:rFonts w:eastAsia="Times New Roman" w:cs="Times New Roman"/>
                <w:b/>
                <w:bCs/>
                <w:color w:val="000000"/>
                <w:sz w:val="18"/>
                <w:szCs w:val="18"/>
                <w:lang w:eastAsia="en-AU"/>
              </w:rPr>
              <w:t>1,666</w:t>
            </w:r>
          </w:p>
        </w:tc>
      </w:tr>
      <w:tr w:rsidR="00F10839" w:rsidRPr="00F10839" w14:paraId="194DBD71" w14:textId="77777777" w:rsidTr="00F10839">
        <w:trPr>
          <w:trHeight w:val="227"/>
        </w:trPr>
        <w:tc>
          <w:tcPr>
            <w:tcW w:w="1810" w:type="dxa"/>
            <w:tcBorders>
              <w:top w:val="nil"/>
              <w:left w:val="single" w:sz="8" w:space="0" w:color="auto"/>
              <w:bottom w:val="single" w:sz="8" w:space="0" w:color="auto"/>
              <w:right w:val="single" w:sz="8" w:space="0" w:color="auto"/>
            </w:tcBorders>
            <w:shd w:val="clear" w:color="auto" w:fill="1F4E79" w:themeFill="accent1" w:themeFillShade="80"/>
            <w:vAlign w:val="center"/>
            <w:hideMark/>
          </w:tcPr>
          <w:p w14:paraId="4865D3A8" w14:textId="77777777" w:rsidR="00CA62E1" w:rsidRPr="00F10839" w:rsidRDefault="00CA62E1" w:rsidP="00A15D68">
            <w:pPr>
              <w:spacing w:after="0"/>
              <w:rPr>
                <w:rFonts w:eastAsia="Times New Roman" w:cs="Times New Roman"/>
                <w:b/>
                <w:bCs/>
                <w:color w:val="FFFFFF" w:themeColor="background1"/>
                <w:sz w:val="18"/>
                <w:szCs w:val="18"/>
                <w:lang w:eastAsia="en-AU"/>
              </w:rPr>
            </w:pPr>
            <w:r w:rsidRPr="00F10839">
              <w:rPr>
                <w:rFonts w:eastAsia="Times New Roman" w:cs="Times New Roman"/>
                <w:b/>
                <w:bCs/>
                <w:color w:val="FFFFFF" w:themeColor="background1"/>
                <w:sz w:val="18"/>
                <w:szCs w:val="18"/>
                <w:lang w:eastAsia="en-AU"/>
              </w:rPr>
              <w:t xml:space="preserve">Total </w:t>
            </w:r>
          </w:p>
        </w:tc>
        <w:tc>
          <w:tcPr>
            <w:tcW w:w="1810" w:type="dxa"/>
            <w:tcBorders>
              <w:top w:val="nil"/>
              <w:left w:val="nil"/>
              <w:bottom w:val="single" w:sz="8" w:space="0" w:color="auto"/>
              <w:right w:val="single" w:sz="8" w:space="0" w:color="auto"/>
            </w:tcBorders>
            <w:shd w:val="clear" w:color="auto" w:fill="1F4E79" w:themeFill="accent1" w:themeFillShade="80"/>
            <w:vAlign w:val="center"/>
            <w:hideMark/>
          </w:tcPr>
          <w:p w14:paraId="0575A6E8" w14:textId="77777777" w:rsidR="00CA62E1" w:rsidRPr="00F10839" w:rsidRDefault="00CA62E1" w:rsidP="00A15D68">
            <w:pPr>
              <w:spacing w:after="0"/>
              <w:rPr>
                <w:rFonts w:eastAsia="Times New Roman" w:cs="Times New Roman"/>
                <w:b/>
                <w:bCs/>
                <w:color w:val="FFFFFF" w:themeColor="background1"/>
                <w:sz w:val="18"/>
                <w:szCs w:val="18"/>
                <w:lang w:eastAsia="en-AU"/>
              </w:rPr>
            </w:pPr>
          </w:p>
        </w:tc>
        <w:tc>
          <w:tcPr>
            <w:tcW w:w="1810" w:type="dxa"/>
            <w:tcBorders>
              <w:top w:val="nil"/>
              <w:left w:val="nil"/>
              <w:bottom w:val="single" w:sz="8" w:space="0" w:color="auto"/>
              <w:right w:val="single" w:sz="8" w:space="0" w:color="auto"/>
            </w:tcBorders>
            <w:shd w:val="clear" w:color="auto" w:fill="1F4E79" w:themeFill="accent1" w:themeFillShade="80"/>
            <w:vAlign w:val="center"/>
            <w:hideMark/>
          </w:tcPr>
          <w:p w14:paraId="0D90C1B7" w14:textId="77777777" w:rsidR="00CA62E1" w:rsidRPr="00F10839" w:rsidRDefault="00CA62E1" w:rsidP="00A15D68">
            <w:pPr>
              <w:spacing w:after="0"/>
              <w:jc w:val="right"/>
              <w:rPr>
                <w:rFonts w:eastAsia="Times New Roman" w:cs="Times New Roman"/>
                <w:b/>
                <w:bCs/>
                <w:color w:val="FFFFFF" w:themeColor="background1"/>
                <w:sz w:val="18"/>
                <w:szCs w:val="18"/>
                <w:lang w:eastAsia="en-AU"/>
              </w:rPr>
            </w:pPr>
            <w:r w:rsidRPr="00F10839">
              <w:rPr>
                <w:rFonts w:eastAsia="Times New Roman" w:cs="Times New Roman"/>
                <w:b/>
                <w:bCs/>
                <w:color w:val="FFFFFF" w:themeColor="background1"/>
                <w:sz w:val="18"/>
                <w:szCs w:val="18"/>
                <w:lang w:eastAsia="en-AU"/>
              </w:rPr>
              <w:t>7,738</w:t>
            </w:r>
          </w:p>
        </w:tc>
        <w:tc>
          <w:tcPr>
            <w:tcW w:w="1810" w:type="dxa"/>
            <w:tcBorders>
              <w:top w:val="nil"/>
              <w:left w:val="nil"/>
              <w:bottom w:val="single" w:sz="8" w:space="0" w:color="auto"/>
              <w:right w:val="single" w:sz="8" w:space="0" w:color="auto"/>
            </w:tcBorders>
            <w:shd w:val="clear" w:color="auto" w:fill="1F4E79" w:themeFill="accent1" w:themeFillShade="80"/>
            <w:vAlign w:val="center"/>
            <w:hideMark/>
          </w:tcPr>
          <w:p w14:paraId="05643C23" w14:textId="77777777" w:rsidR="00CA62E1" w:rsidRPr="00F10839" w:rsidRDefault="00CA62E1" w:rsidP="00A15D68">
            <w:pPr>
              <w:spacing w:after="0"/>
              <w:jc w:val="right"/>
              <w:rPr>
                <w:rFonts w:eastAsia="Times New Roman" w:cs="Times New Roman"/>
                <w:b/>
                <w:bCs/>
                <w:color w:val="FFFFFF" w:themeColor="background1"/>
                <w:sz w:val="18"/>
                <w:szCs w:val="18"/>
                <w:lang w:eastAsia="en-AU"/>
              </w:rPr>
            </w:pPr>
            <w:r w:rsidRPr="00F10839">
              <w:rPr>
                <w:rFonts w:eastAsia="Times New Roman" w:cs="Times New Roman"/>
                <w:b/>
                <w:bCs/>
                <w:color w:val="FFFFFF" w:themeColor="background1"/>
                <w:sz w:val="18"/>
                <w:szCs w:val="18"/>
                <w:lang w:eastAsia="en-AU"/>
              </w:rPr>
              <w:t>$14,737,834</w:t>
            </w:r>
          </w:p>
        </w:tc>
        <w:tc>
          <w:tcPr>
            <w:tcW w:w="1811" w:type="dxa"/>
            <w:tcBorders>
              <w:top w:val="nil"/>
              <w:left w:val="nil"/>
              <w:bottom w:val="single" w:sz="8" w:space="0" w:color="auto"/>
              <w:right w:val="single" w:sz="8" w:space="0" w:color="auto"/>
            </w:tcBorders>
            <w:shd w:val="clear" w:color="auto" w:fill="1F4E79" w:themeFill="accent1" w:themeFillShade="80"/>
            <w:vAlign w:val="center"/>
            <w:hideMark/>
          </w:tcPr>
          <w:p w14:paraId="7163B618" w14:textId="77777777" w:rsidR="00CA62E1" w:rsidRPr="00F10839" w:rsidRDefault="00CA62E1" w:rsidP="00A15D68">
            <w:pPr>
              <w:spacing w:after="0"/>
              <w:jc w:val="right"/>
              <w:rPr>
                <w:rFonts w:eastAsia="Times New Roman" w:cs="Times New Roman"/>
                <w:b/>
                <w:bCs/>
                <w:color w:val="FFFFFF" w:themeColor="background1"/>
                <w:sz w:val="18"/>
                <w:szCs w:val="18"/>
                <w:lang w:eastAsia="en-AU"/>
              </w:rPr>
            </w:pPr>
            <w:r w:rsidRPr="00F10839">
              <w:rPr>
                <w:rFonts w:eastAsia="Times New Roman" w:cs="Times New Roman"/>
                <w:b/>
                <w:bCs/>
                <w:color w:val="FFFFFF" w:themeColor="background1"/>
                <w:sz w:val="18"/>
                <w:szCs w:val="18"/>
                <w:lang w:eastAsia="en-AU"/>
              </w:rPr>
              <w:t>1,905</w:t>
            </w:r>
          </w:p>
        </w:tc>
      </w:tr>
    </w:tbl>
    <w:p w14:paraId="5669624E" w14:textId="77777777" w:rsidR="00CA62E1" w:rsidRPr="005A31E7" w:rsidRDefault="00CA62E1" w:rsidP="00CA62E1">
      <w:pPr>
        <w:pStyle w:val="08Tablefootnotes"/>
        <w:rPr>
          <w:color w:val="000000" w:themeColor="text1"/>
        </w:rPr>
      </w:pPr>
      <w:r>
        <w:t>Sou</w:t>
      </w:r>
      <w:r w:rsidRPr="005A31E7">
        <w:t xml:space="preserve">rce: Claims payment data supplied in PPI Total Data Compilation_Copy.xls in conjunction with ABS postcode to remoteness.xls available from </w:t>
      </w:r>
      <w:hyperlink r:id="rId18" w:history="1">
        <w:r w:rsidRPr="005A31E7">
          <w:rPr>
            <w:rStyle w:val="Hyperlink"/>
          </w:rPr>
          <w:t>http://www.abs.gov.au/AUSSTATS/abs@.nsf/DetailsPage/1270.0.55.006July%202011?OpenDocument</w:t>
        </w:r>
      </w:hyperlink>
      <w:r w:rsidRPr="005A31E7">
        <w:rPr>
          <w:color w:val="000000" w:themeColor="text1"/>
        </w:rPr>
        <w:t xml:space="preserve">  (accessed 5</w:t>
      </w:r>
      <w:r w:rsidRPr="005A31E7">
        <w:rPr>
          <w:color w:val="000000" w:themeColor="text1"/>
          <w:vertAlign w:val="superscript"/>
        </w:rPr>
        <w:t>th</w:t>
      </w:r>
      <w:r w:rsidRPr="005A31E7">
        <w:rPr>
          <w:color w:val="000000" w:themeColor="text1"/>
        </w:rPr>
        <w:t xml:space="preserve"> October, 2016)</w:t>
      </w:r>
    </w:p>
    <w:p w14:paraId="23ED2467" w14:textId="77777777" w:rsidR="00CA62E1" w:rsidRPr="005A31E7" w:rsidRDefault="00CA62E1" w:rsidP="00CA62E1">
      <w:pPr>
        <w:pStyle w:val="09Tablefootnoteslast-nostick"/>
      </w:pPr>
      <w:r w:rsidRPr="005A31E7">
        <w:t>Abbreviations: ABS, Australian Bureau of Statistics;</w:t>
      </w:r>
      <w:r>
        <w:t xml:space="preserve"> SS, Staged Supply</w:t>
      </w:r>
    </w:p>
    <w:p w14:paraId="5B9A43A1" w14:textId="77777777" w:rsidR="00CA62E1" w:rsidRDefault="00CA62E1" w:rsidP="00CA62E1">
      <w:pPr>
        <w:pStyle w:val="BodyText"/>
      </w:pPr>
      <w:r>
        <w:t xml:space="preserve">In contrast to the low levels of variation in per pharmacy annual claim payments, the rate of pharmacy participation in the scheme has increased significantly.  </w:t>
      </w:r>
      <w:r w:rsidRPr="00FD7846">
        <w:t xml:space="preserve">The Very Remote Australia </w:t>
      </w:r>
      <w:r>
        <w:t>regions</w:t>
      </w:r>
      <w:r w:rsidRPr="00FD7846">
        <w:t xml:space="preserve"> experienced the highest relative increase in participating pharmacies, with numbers growing </w:t>
      </w:r>
      <w:r>
        <w:t>282</w:t>
      </w:r>
      <w:r w:rsidRPr="00FD7846">
        <w:t xml:space="preserve">% (from </w:t>
      </w:r>
      <w:r>
        <w:t>11</w:t>
      </w:r>
      <w:r w:rsidRPr="00FD7846">
        <w:t xml:space="preserve"> to </w:t>
      </w:r>
      <w:r>
        <w:t>42) between 2012 and 2015, but in absolute terms, the Major Cities of Australia regions added 1,690 pharmacies over the same period (101%)</w:t>
      </w:r>
      <w:r w:rsidRPr="00FD7846">
        <w:t>.</w:t>
      </w:r>
    </w:p>
    <w:p w14:paraId="48216AE1" w14:textId="0CD6AD99" w:rsidR="00CA62E1" w:rsidRPr="003E1C2F" w:rsidRDefault="00542F4A" w:rsidP="00CA62E1">
      <w:pPr>
        <w:pStyle w:val="Heading2"/>
      </w:pPr>
      <w:bookmarkStart w:id="80" w:name="_Toc523236211"/>
      <w:bookmarkStart w:id="81" w:name="_Toc463537994"/>
      <w:bookmarkStart w:id="82" w:name="_Toc463539432"/>
      <w:r>
        <w:lastRenderedPageBreak/>
        <w:t>Summary i</w:t>
      </w:r>
      <w:r w:rsidR="00CA62E1">
        <w:t xml:space="preserve">ndications of patients receiving </w:t>
      </w:r>
      <w:r w:rsidR="00CA62E1" w:rsidRPr="003E1C2F">
        <w:t xml:space="preserve">SS </w:t>
      </w:r>
      <w:r w:rsidR="00CA62E1">
        <w:t>services</w:t>
      </w:r>
      <w:bookmarkEnd w:id="80"/>
    </w:p>
    <w:p w14:paraId="450E0916" w14:textId="6A02DE42" w:rsidR="00CA62E1" w:rsidRDefault="00542F4A" w:rsidP="00CA62E1">
      <w:pPr>
        <w:pStyle w:val="BodyText"/>
      </w:pPr>
      <w:r>
        <w:fldChar w:fldCharType="begin"/>
      </w:r>
      <w:r>
        <w:instrText xml:space="preserve"> REF _Ref467155619 \h </w:instrText>
      </w:r>
      <w:r>
        <w:fldChar w:fldCharType="separate"/>
      </w:r>
      <w:r w:rsidR="006F3580">
        <w:t xml:space="preserve">Figure </w:t>
      </w:r>
      <w:r w:rsidR="006F3580">
        <w:rPr>
          <w:noProof/>
        </w:rPr>
        <w:t>5</w:t>
      </w:r>
      <w:r w:rsidR="006F3580">
        <w:t>.</w:t>
      </w:r>
      <w:r w:rsidR="006F3580">
        <w:rPr>
          <w:noProof/>
        </w:rPr>
        <w:t>1</w:t>
      </w:r>
      <w:r>
        <w:fldChar w:fldCharType="end"/>
      </w:r>
      <w:r>
        <w:t xml:space="preserve"> </w:t>
      </w:r>
      <w:r w:rsidR="00CA62E1" w:rsidRPr="00FA5F3B">
        <w:t>shows the SS services provided at individual patient level by drug, between August 2014 and October 2016, according to data held by the Pharmacy Guild of Australia.  Only the 20 most common drugs are included in the analysis, however these accounted for greater than 80% of all the patient level services provided.  Although the data was not reconcilable to the claims data provided by the Department, it does enable some descriptive data to be presented on the clinical indications (based on the medication being supplied) of the individuals accessing the SS services.</w:t>
      </w:r>
    </w:p>
    <w:p w14:paraId="467F788B" w14:textId="4A172309" w:rsidR="00CA62E1" w:rsidRPr="00CA382C" w:rsidRDefault="00542F4A" w:rsidP="00542F4A">
      <w:pPr>
        <w:pStyle w:val="Caption"/>
      </w:pPr>
      <w:bookmarkStart w:id="83" w:name="_Ref467155619"/>
      <w:bookmarkStart w:id="84" w:name="_Toc467155656"/>
      <w:r>
        <w:t xml:space="preserve">Figure </w:t>
      </w:r>
      <w:r w:rsidR="00872B71">
        <w:rPr>
          <w:noProof/>
        </w:rPr>
        <w:fldChar w:fldCharType="begin"/>
      </w:r>
      <w:r w:rsidR="00872B71">
        <w:rPr>
          <w:noProof/>
        </w:rPr>
        <w:instrText xml:space="preserve"> STYLEREF 1 \s </w:instrText>
      </w:r>
      <w:r w:rsidR="00872B71">
        <w:rPr>
          <w:noProof/>
        </w:rPr>
        <w:fldChar w:fldCharType="separate"/>
      </w:r>
      <w:r w:rsidR="006F3580">
        <w:rPr>
          <w:noProof/>
        </w:rPr>
        <w:t>5</w:t>
      </w:r>
      <w:r w:rsidR="00872B71">
        <w:rPr>
          <w:noProof/>
        </w:rPr>
        <w:fldChar w:fldCharType="end"/>
      </w:r>
      <w:r>
        <w:t>.</w:t>
      </w:r>
      <w:r w:rsidR="00872B71">
        <w:rPr>
          <w:noProof/>
        </w:rPr>
        <w:fldChar w:fldCharType="begin"/>
      </w:r>
      <w:r w:rsidR="00872B71">
        <w:rPr>
          <w:noProof/>
        </w:rPr>
        <w:instrText xml:space="preserve"> SEQ Figure \* ARABIC \s 1 </w:instrText>
      </w:r>
      <w:r w:rsidR="00872B71">
        <w:rPr>
          <w:noProof/>
        </w:rPr>
        <w:fldChar w:fldCharType="separate"/>
      </w:r>
      <w:r w:rsidR="006F3580">
        <w:rPr>
          <w:noProof/>
        </w:rPr>
        <w:t>1</w:t>
      </w:r>
      <w:r w:rsidR="00872B71">
        <w:rPr>
          <w:noProof/>
        </w:rPr>
        <w:fldChar w:fldCharType="end"/>
      </w:r>
      <w:bookmarkEnd w:id="83"/>
      <w:r w:rsidR="00CA62E1" w:rsidRPr="00CA382C">
        <w:tab/>
      </w:r>
      <w:r w:rsidR="00CA62E1">
        <w:t>Count</w:t>
      </w:r>
      <w:r w:rsidR="00CA62E1" w:rsidRPr="00CA382C">
        <w:t xml:space="preserve"> of </w:t>
      </w:r>
      <w:r w:rsidR="00CA62E1">
        <w:t>SS</w:t>
      </w:r>
      <w:r w:rsidR="00CA62E1" w:rsidRPr="00CA382C">
        <w:t xml:space="preserve"> </w:t>
      </w:r>
      <w:r w:rsidR="00CA62E1">
        <w:t>services</w:t>
      </w:r>
      <w:r w:rsidR="00CA62E1" w:rsidRPr="00CA382C">
        <w:t xml:space="preserve"> 201</w:t>
      </w:r>
      <w:r w:rsidR="00CA62E1">
        <w:t>4</w:t>
      </w:r>
      <w:r w:rsidR="00CA62E1" w:rsidRPr="00CA382C">
        <w:t xml:space="preserve"> – 2016 by </w:t>
      </w:r>
      <w:r w:rsidR="00CA62E1">
        <w:t>summary indication</w:t>
      </w:r>
      <w:bookmarkEnd w:id="84"/>
    </w:p>
    <w:p w14:paraId="23404763" w14:textId="77777777" w:rsidR="00CA62E1" w:rsidRDefault="00CA62E1" w:rsidP="00CA62E1">
      <w:pPr>
        <w:pStyle w:val="BodyText"/>
      </w:pPr>
      <w:r>
        <w:rPr>
          <w:noProof/>
          <w:lang w:eastAsia="en-AU"/>
        </w:rPr>
        <w:drawing>
          <wp:inline distT="0" distB="0" distL="0" distR="0" wp14:anchorId="6B6E19E8" wp14:editId="79EBF29D">
            <wp:extent cx="9359590" cy="3191933"/>
            <wp:effectExtent l="0" t="0" r="0" b="8890"/>
            <wp:docPr id="1" name="Picture 1" descr="Figure 5.1 is a bar graph displaying count of staged supply services 2014 to 2016 by summary indication. Indications are colour coded and displayed as cases per year and month." title="Fig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365156" cy="3193831"/>
                    </a:xfrm>
                    <a:prstGeom prst="rect">
                      <a:avLst/>
                    </a:prstGeom>
                  </pic:spPr>
                </pic:pic>
              </a:graphicData>
            </a:graphic>
          </wp:inline>
        </w:drawing>
      </w:r>
    </w:p>
    <w:p w14:paraId="73FF611A" w14:textId="77777777" w:rsidR="00CA62E1" w:rsidRPr="00913EEE" w:rsidRDefault="00CA62E1" w:rsidP="00CA62E1">
      <w:pPr>
        <w:pStyle w:val="BodyText"/>
        <w:rPr>
          <w:sz w:val="16"/>
          <w:szCs w:val="16"/>
        </w:rPr>
      </w:pPr>
      <w:r w:rsidRPr="00913EEE">
        <w:rPr>
          <w:sz w:val="16"/>
          <w:szCs w:val="16"/>
        </w:rPr>
        <w:t>Source: Staged</w:t>
      </w:r>
      <w:r>
        <w:rPr>
          <w:sz w:val="16"/>
          <w:szCs w:val="16"/>
        </w:rPr>
        <w:t xml:space="preserve"> </w:t>
      </w:r>
      <w:r w:rsidRPr="00913EEE">
        <w:rPr>
          <w:sz w:val="16"/>
          <w:szCs w:val="16"/>
        </w:rPr>
        <w:t>Supply Guild Data Provided 07_10_2016.xlsx</w:t>
      </w:r>
      <w:r>
        <w:rPr>
          <w:sz w:val="16"/>
          <w:szCs w:val="16"/>
        </w:rPr>
        <w:t xml:space="preserve"> in conjunction with </w:t>
      </w:r>
      <w:r w:rsidRPr="00913EEE">
        <w:rPr>
          <w:sz w:val="16"/>
          <w:szCs w:val="16"/>
        </w:rPr>
        <w:t>amt2_20161001.csv</w:t>
      </w:r>
      <w:r>
        <w:rPr>
          <w:sz w:val="16"/>
          <w:szCs w:val="16"/>
        </w:rPr>
        <w:t xml:space="preserve">, </w:t>
      </w:r>
      <w:r w:rsidRPr="00913EEE">
        <w:rPr>
          <w:sz w:val="16"/>
          <w:szCs w:val="16"/>
        </w:rPr>
        <w:t>RestrictionExtract_20161001.txt</w:t>
      </w:r>
      <w:r>
        <w:rPr>
          <w:sz w:val="16"/>
          <w:szCs w:val="16"/>
        </w:rPr>
        <w:t xml:space="preserve"> and </w:t>
      </w:r>
      <w:r w:rsidRPr="00913EEE">
        <w:rPr>
          <w:sz w:val="16"/>
          <w:szCs w:val="16"/>
        </w:rPr>
        <w:t>LinkExtract_20161001.txt</w:t>
      </w:r>
      <w:r>
        <w:rPr>
          <w:sz w:val="16"/>
          <w:szCs w:val="16"/>
        </w:rPr>
        <w:t xml:space="preserve"> available from </w:t>
      </w:r>
      <w:hyperlink r:id="rId20" w:history="1">
        <w:r w:rsidRPr="00005AAD">
          <w:rPr>
            <w:rStyle w:val="Hyperlink"/>
            <w:sz w:val="16"/>
            <w:szCs w:val="16"/>
          </w:rPr>
          <w:t>https://www.pbs.gov.au/downloads/2016/10/2016-10-01-xml.zip</w:t>
        </w:r>
      </w:hyperlink>
      <w:r>
        <w:rPr>
          <w:sz w:val="16"/>
          <w:szCs w:val="16"/>
        </w:rPr>
        <w:t xml:space="preserve"> (accessed 30th October, 2016)</w:t>
      </w:r>
    </w:p>
    <w:p w14:paraId="273D0EDE" w14:textId="77777777" w:rsidR="00CA62E1" w:rsidRPr="000B60C2" w:rsidRDefault="00CA62E1" w:rsidP="00CA62E1">
      <w:pPr>
        <w:pStyle w:val="BodyText"/>
      </w:pPr>
      <w:r w:rsidRPr="000B60C2">
        <w:t>A relatively steady increase in the volume of services can be observed between October 2014 with 3,892 services provided and September 2016 with 4,744 services provided (an increase of 21.9%).  Most of the drugs have multiple indications so it is not feasible to determine which indication represents the majority use.  However, Pain is the largest ‘unambiguous’ indication and it accounts for 35.2% of SS services in September 2016.</w:t>
      </w:r>
    </w:p>
    <w:p w14:paraId="6C702E31" w14:textId="11F10E25" w:rsidR="00CA62E1" w:rsidRPr="00301543" w:rsidRDefault="00542F4A" w:rsidP="00CA62E1">
      <w:pPr>
        <w:pStyle w:val="BodyText"/>
      </w:pPr>
      <w:r>
        <w:lastRenderedPageBreak/>
        <w:fldChar w:fldCharType="begin"/>
      </w:r>
      <w:r>
        <w:instrText xml:space="preserve"> REF _Ref467155609 \h </w:instrText>
      </w:r>
      <w:r>
        <w:fldChar w:fldCharType="separate"/>
      </w:r>
      <w:r w:rsidR="006F3580">
        <w:t xml:space="preserve">Figure </w:t>
      </w:r>
      <w:r w:rsidR="006F3580">
        <w:rPr>
          <w:noProof/>
        </w:rPr>
        <w:t>5</w:t>
      </w:r>
      <w:r w:rsidR="006F3580">
        <w:t>.</w:t>
      </w:r>
      <w:r w:rsidR="006F3580">
        <w:rPr>
          <w:noProof/>
        </w:rPr>
        <w:t>2</w:t>
      </w:r>
      <w:r>
        <w:fldChar w:fldCharType="end"/>
      </w:r>
      <w:r>
        <w:t xml:space="preserve"> </w:t>
      </w:r>
      <w:r w:rsidR="00CA62E1" w:rsidRPr="000B60C2">
        <w:t>shows the distribution of SS services by age.  The distributions show a slight skew towards younger patients where the summary indications include Anxiety or ADHD, and skewed towards older patients in the cases where Pain is included in the summary indications.</w:t>
      </w:r>
    </w:p>
    <w:p w14:paraId="26A8FBF2" w14:textId="7DE64AD4" w:rsidR="00CA62E1" w:rsidRPr="00CA382C" w:rsidRDefault="00542F4A" w:rsidP="00542F4A">
      <w:pPr>
        <w:pStyle w:val="Caption"/>
      </w:pPr>
      <w:bookmarkStart w:id="85" w:name="_Ref467155609"/>
      <w:bookmarkStart w:id="86" w:name="_Toc467155657"/>
      <w:r>
        <w:t xml:space="preserve">Figure </w:t>
      </w:r>
      <w:r w:rsidR="00872B71">
        <w:rPr>
          <w:noProof/>
        </w:rPr>
        <w:fldChar w:fldCharType="begin"/>
      </w:r>
      <w:r w:rsidR="00872B71">
        <w:rPr>
          <w:noProof/>
        </w:rPr>
        <w:instrText xml:space="preserve"> STYLEREF 1 \s </w:instrText>
      </w:r>
      <w:r w:rsidR="00872B71">
        <w:rPr>
          <w:noProof/>
        </w:rPr>
        <w:fldChar w:fldCharType="separate"/>
      </w:r>
      <w:r w:rsidR="006F3580">
        <w:rPr>
          <w:noProof/>
        </w:rPr>
        <w:t>5</w:t>
      </w:r>
      <w:r w:rsidR="00872B71">
        <w:rPr>
          <w:noProof/>
        </w:rPr>
        <w:fldChar w:fldCharType="end"/>
      </w:r>
      <w:r>
        <w:t>.</w:t>
      </w:r>
      <w:r w:rsidR="00872B71">
        <w:rPr>
          <w:noProof/>
        </w:rPr>
        <w:fldChar w:fldCharType="begin"/>
      </w:r>
      <w:r w:rsidR="00872B71">
        <w:rPr>
          <w:noProof/>
        </w:rPr>
        <w:instrText xml:space="preserve"> SEQ Figure \* ARABIC \s 1 </w:instrText>
      </w:r>
      <w:r w:rsidR="00872B71">
        <w:rPr>
          <w:noProof/>
        </w:rPr>
        <w:fldChar w:fldCharType="separate"/>
      </w:r>
      <w:r w:rsidR="006F3580">
        <w:rPr>
          <w:noProof/>
        </w:rPr>
        <w:t>2</w:t>
      </w:r>
      <w:r w:rsidR="00872B71">
        <w:rPr>
          <w:noProof/>
        </w:rPr>
        <w:fldChar w:fldCharType="end"/>
      </w:r>
      <w:bookmarkEnd w:id="85"/>
      <w:r w:rsidR="00CA62E1" w:rsidRPr="00CA382C">
        <w:tab/>
      </w:r>
      <w:r w:rsidR="00CA62E1">
        <w:t>Count</w:t>
      </w:r>
      <w:r w:rsidR="00CA62E1" w:rsidRPr="00CA382C">
        <w:t xml:space="preserve"> of </w:t>
      </w:r>
      <w:r w:rsidR="00CA62E1">
        <w:t>SS</w:t>
      </w:r>
      <w:r w:rsidR="00CA62E1" w:rsidRPr="00CA382C">
        <w:t xml:space="preserve"> </w:t>
      </w:r>
      <w:r w:rsidR="00CA62E1">
        <w:t>services</w:t>
      </w:r>
      <w:r w:rsidR="00CA62E1" w:rsidRPr="00CA382C">
        <w:t xml:space="preserve"> </w:t>
      </w:r>
      <w:r w:rsidR="00CA62E1">
        <w:t>(</w:t>
      </w:r>
      <w:r w:rsidR="00CA62E1" w:rsidRPr="00CA382C">
        <w:t>201</w:t>
      </w:r>
      <w:r w:rsidR="00CA62E1">
        <w:t>4</w:t>
      </w:r>
      <w:r w:rsidR="00CA62E1" w:rsidRPr="00CA382C">
        <w:t xml:space="preserve"> – 2016</w:t>
      </w:r>
      <w:r w:rsidR="00CA62E1">
        <w:t>) by age</w:t>
      </w:r>
      <w:r w:rsidR="00CA62E1" w:rsidRPr="00CA382C">
        <w:t xml:space="preserve"> </w:t>
      </w:r>
      <w:r w:rsidR="00CA62E1">
        <w:t xml:space="preserve">and </w:t>
      </w:r>
      <w:r w:rsidR="00CA62E1" w:rsidRPr="00CA382C">
        <w:t xml:space="preserve">by </w:t>
      </w:r>
      <w:r w:rsidR="00CA62E1">
        <w:t>summary indication</w:t>
      </w:r>
      <w:bookmarkEnd w:id="86"/>
    </w:p>
    <w:p w14:paraId="3BD64D5A" w14:textId="77777777" w:rsidR="00CA62E1" w:rsidRDefault="00CA62E1" w:rsidP="00CA62E1">
      <w:pPr>
        <w:pStyle w:val="BodyText"/>
      </w:pPr>
      <w:r>
        <w:rPr>
          <w:noProof/>
          <w:lang w:eastAsia="en-AU"/>
        </w:rPr>
        <w:drawing>
          <wp:inline distT="0" distB="0" distL="0" distR="0" wp14:anchorId="58F458C3" wp14:editId="51E565B9">
            <wp:extent cx="9502140" cy="3073400"/>
            <wp:effectExtent l="0" t="0" r="3810" b="0"/>
            <wp:docPr id="4" name="Picture 4" descr="Figure 5.2 is a bar graph of stages supply services 2014 to 2016 by age and by summary indication. Number of cases are displayed by major indication. " title="Fig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507161" cy="3075024"/>
                    </a:xfrm>
                    <a:prstGeom prst="rect">
                      <a:avLst/>
                    </a:prstGeom>
                  </pic:spPr>
                </pic:pic>
              </a:graphicData>
            </a:graphic>
          </wp:inline>
        </w:drawing>
      </w:r>
    </w:p>
    <w:p w14:paraId="276258C1" w14:textId="6EEEAFA5" w:rsidR="00CA62E1" w:rsidRPr="00913EEE" w:rsidRDefault="00CA62E1" w:rsidP="00CA62E1">
      <w:pPr>
        <w:pStyle w:val="BodyText"/>
        <w:rPr>
          <w:sz w:val="16"/>
          <w:szCs w:val="16"/>
        </w:rPr>
      </w:pPr>
      <w:r w:rsidRPr="00913EEE">
        <w:rPr>
          <w:sz w:val="16"/>
          <w:szCs w:val="16"/>
        </w:rPr>
        <w:t>Source: Staged</w:t>
      </w:r>
      <w:r w:rsidR="00FC2607">
        <w:rPr>
          <w:sz w:val="16"/>
          <w:szCs w:val="16"/>
        </w:rPr>
        <w:t xml:space="preserve"> </w:t>
      </w:r>
      <w:r w:rsidRPr="00913EEE">
        <w:rPr>
          <w:sz w:val="16"/>
          <w:szCs w:val="16"/>
        </w:rPr>
        <w:t>Supply Guild Data Provided 07_10_2016.xlsx</w:t>
      </w:r>
      <w:r>
        <w:rPr>
          <w:sz w:val="16"/>
          <w:szCs w:val="16"/>
        </w:rPr>
        <w:t xml:space="preserve"> in conjunction with </w:t>
      </w:r>
      <w:r w:rsidRPr="00913EEE">
        <w:rPr>
          <w:sz w:val="16"/>
          <w:szCs w:val="16"/>
        </w:rPr>
        <w:t>amt2_20161001.csv</w:t>
      </w:r>
      <w:r>
        <w:rPr>
          <w:sz w:val="16"/>
          <w:szCs w:val="16"/>
        </w:rPr>
        <w:t xml:space="preserve">, </w:t>
      </w:r>
      <w:r w:rsidRPr="00913EEE">
        <w:rPr>
          <w:sz w:val="16"/>
          <w:szCs w:val="16"/>
        </w:rPr>
        <w:t>RestrictionExtract_20161001.txt</w:t>
      </w:r>
      <w:r>
        <w:rPr>
          <w:sz w:val="16"/>
          <w:szCs w:val="16"/>
        </w:rPr>
        <w:t xml:space="preserve"> and </w:t>
      </w:r>
      <w:r w:rsidRPr="00913EEE">
        <w:rPr>
          <w:sz w:val="16"/>
          <w:szCs w:val="16"/>
        </w:rPr>
        <w:t>LinkExtract_20161001.txt</w:t>
      </w:r>
      <w:r>
        <w:rPr>
          <w:sz w:val="16"/>
          <w:szCs w:val="16"/>
        </w:rPr>
        <w:t xml:space="preserve"> available from </w:t>
      </w:r>
      <w:hyperlink r:id="rId22" w:history="1">
        <w:r w:rsidRPr="00005AAD">
          <w:rPr>
            <w:rStyle w:val="Hyperlink"/>
            <w:sz w:val="16"/>
            <w:szCs w:val="16"/>
          </w:rPr>
          <w:t>https://www.pbs.gov.au/downloads/2016/10/2016-10-01-xml.zip</w:t>
        </w:r>
      </w:hyperlink>
      <w:r>
        <w:rPr>
          <w:sz w:val="16"/>
          <w:szCs w:val="16"/>
        </w:rPr>
        <w:t xml:space="preserve"> (accessed 30th October, 2016)</w:t>
      </w:r>
    </w:p>
    <w:p w14:paraId="02F39C8A" w14:textId="4BD9FECA" w:rsidR="00CA62E1" w:rsidRDefault="00542F4A" w:rsidP="00CA62E1">
      <w:pPr>
        <w:pStyle w:val="BodyText"/>
      </w:pPr>
      <w:r>
        <w:fldChar w:fldCharType="begin"/>
      </w:r>
      <w:r>
        <w:instrText xml:space="preserve"> REF _Ref467155632 \h </w:instrText>
      </w:r>
      <w:r>
        <w:fldChar w:fldCharType="separate"/>
      </w:r>
      <w:r w:rsidR="006F3580" w:rsidRPr="00542F4A">
        <w:t xml:space="preserve">Figure </w:t>
      </w:r>
      <w:r w:rsidR="006F3580">
        <w:rPr>
          <w:noProof/>
        </w:rPr>
        <w:t>5</w:t>
      </w:r>
      <w:r w:rsidR="006F3580" w:rsidRPr="00542F4A">
        <w:t>.</w:t>
      </w:r>
      <w:r w:rsidR="006F3580">
        <w:rPr>
          <w:noProof/>
        </w:rPr>
        <w:t>3</w:t>
      </w:r>
      <w:r>
        <w:fldChar w:fldCharType="end"/>
      </w:r>
      <w:r>
        <w:t xml:space="preserve"> </w:t>
      </w:r>
      <w:r w:rsidR="00CA62E1" w:rsidRPr="000B60C2">
        <w:t xml:space="preserve">shows the proportional spread of patients by summary indication within each patient age.  Visual examination reinforces the relationships identified in </w:t>
      </w:r>
      <w:r>
        <w:fldChar w:fldCharType="begin"/>
      </w:r>
      <w:r>
        <w:instrText xml:space="preserve"> REF _Ref467155609 \h </w:instrText>
      </w:r>
      <w:r>
        <w:fldChar w:fldCharType="separate"/>
      </w:r>
      <w:r w:rsidR="006F3580">
        <w:t xml:space="preserve">Figure </w:t>
      </w:r>
      <w:r w:rsidR="006F3580">
        <w:rPr>
          <w:noProof/>
        </w:rPr>
        <w:t>5</w:t>
      </w:r>
      <w:r w:rsidR="006F3580">
        <w:t>.</w:t>
      </w:r>
      <w:r w:rsidR="006F3580">
        <w:rPr>
          <w:noProof/>
        </w:rPr>
        <w:t>2</w:t>
      </w:r>
      <w:r>
        <w:fldChar w:fldCharType="end"/>
      </w:r>
      <w:r w:rsidR="00CA62E1" w:rsidRPr="000B60C2">
        <w:t>, younger patients have a higher proportion of indications that include Anxiety and ADHD, and this steadily gives way to indications that include Pain between the ages of 13 and 80.</w:t>
      </w:r>
    </w:p>
    <w:p w14:paraId="56C904FE" w14:textId="60284531" w:rsidR="00CA62E1" w:rsidRPr="00542F4A" w:rsidRDefault="00542F4A" w:rsidP="00542F4A">
      <w:pPr>
        <w:pStyle w:val="Caption"/>
      </w:pPr>
      <w:bookmarkStart w:id="87" w:name="_Ref467155632"/>
      <w:bookmarkStart w:id="88" w:name="_Toc467155658"/>
      <w:r w:rsidRPr="00542F4A">
        <w:lastRenderedPageBreak/>
        <w:t xml:space="preserve">Figure </w:t>
      </w:r>
      <w:r w:rsidR="00872B71">
        <w:rPr>
          <w:noProof/>
        </w:rPr>
        <w:fldChar w:fldCharType="begin"/>
      </w:r>
      <w:r w:rsidR="00872B71">
        <w:rPr>
          <w:noProof/>
        </w:rPr>
        <w:instrText xml:space="preserve"> STYLEREF 1 \s </w:instrText>
      </w:r>
      <w:r w:rsidR="00872B71">
        <w:rPr>
          <w:noProof/>
        </w:rPr>
        <w:fldChar w:fldCharType="separate"/>
      </w:r>
      <w:r w:rsidR="006F3580">
        <w:rPr>
          <w:noProof/>
        </w:rPr>
        <w:t>5</w:t>
      </w:r>
      <w:r w:rsidR="00872B71">
        <w:rPr>
          <w:noProof/>
        </w:rPr>
        <w:fldChar w:fldCharType="end"/>
      </w:r>
      <w:r w:rsidRPr="00542F4A">
        <w:t>.</w:t>
      </w:r>
      <w:r w:rsidR="00872B71">
        <w:rPr>
          <w:noProof/>
        </w:rPr>
        <w:fldChar w:fldCharType="begin"/>
      </w:r>
      <w:r w:rsidR="00872B71">
        <w:rPr>
          <w:noProof/>
        </w:rPr>
        <w:instrText xml:space="preserve"> SEQ Figure \* ARABIC \s 1 </w:instrText>
      </w:r>
      <w:r w:rsidR="00872B71">
        <w:rPr>
          <w:noProof/>
        </w:rPr>
        <w:fldChar w:fldCharType="separate"/>
      </w:r>
      <w:r w:rsidR="006F3580">
        <w:rPr>
          <w:noProof/>
        </w:rPr>
        <w:t>3</w:t>
      </w:r>
      <w:r w:rsidR="00872B71">
        <w:rPr>
          <w:noProof/>
        </w:rPr>
        <w:fldChar w:fldCharType="end"/>
      </w:r>
      <w:bookmarkEnd w:id="87"/>
      <w:r w:rsidR="00CA62E1" w:rsidRPr="00542F4A">
        <w:tab/>
        <w:t>Proportion of SS services (2014 – 2016) by age and by summary indication</w:t>
      </w:r>
      <w:bookmarkEnd w:id="88"/>
    </w:p>
    <w:p w14:paraId="78D15A37" w14:textId="77777777" w:rsidR="00CA62E1" w:rsidRDefault="00CA62E1" w:rsidP="00CA62E1">
      <w:pPr>
        <w:pStyle w:val="BodyText"/>
      </w:pPr>
      <w:r>
        <w:rPr>
          <w:noProof/>
          <w:lang w:eastAsia="en-AU"/>
        </w:rPr>
        <w:drawing>
          <wp:inline distT="0" distB="0" distL="0" distR="0" wp14:anchorId="1E45775E" wp14:editId="4A9D760F">
            <wp:extent cx="9357220" cy="2633134"/>
            <wp:effectExtent l="0" t="0" r="0" b="0"/>
            <wp:docPr id="5" name="Picture 5" descr="Figure 5.3 displays proportion of staged supply services from 2014 to 2016 by age and by summary indication.  The proportional cases by age are displayed by indications. " title="Fig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375944" cy="2638403"/>
                    </a:xfrm>
                    <a:prstGeom prst="rect">
                      <a:avLst/>
                    </a:prstGeom>
                  </pic:spPr>
                </pic:pic>
              </a:graphicData>
            </a:graphic>
          </wp:inline>
        </w:drawing>
      </w:r>
    </w:p>
    <w:p w14:paraId="127EEDF0" w14:textId="5F377E21" w:rsidR="00CA62E1" w:rsidRPr="00913EEE" w:rsidRDefault="00CA62E1" w:rsidP="00CA62E1">
      <w:pPr>
        <w:pStyle w:val="BodyText"/>
        <w:rPr>
          <w:sz w:val="16"/>
          <w:szCs w:val="16"/>
        </w:rPr>
      </w:pPr>
      <w:r w:rsidRPr="00913EEE">
        <w:rPr>
          <w:sz w:val="16"/>
          <w:szCs w:val="16"/>
        </w:rPr>
        <w:t>Source: Staged</w:t>
      </w:r>
      <w:r w:rsidR="00FC2607">
        <w:rPr>
          <w:sz w:val="16"/>
          <w:szCs w:val="16"/>
        </w:rPr>
        <w:t xml:space="preserve"> </w:t>
      </w:r>
      <w:r w:rsidRPr="00913EEE">
        <w:rPr>
          <w:sz w:val="16"/>
          <w:szCs w:val="16"/>
        </w:rPr>
        <w:t>Supply Guild Data Provided 07_10_2016.xlsx</w:t>
      </w:r>
      <w:r>
        <w:rPr>
          <w:sz w:val="16"/>
          <w:szCs w:val="16"/>
        </w:rPr>
        <w:t xml:space="preserve"> in conjunction with </w:t>
      </w:r>
      <w:r w:rsidRPr="00913EEE">
        <w:rPr>
          <w:sz w:val="16"/>
          <w:szCs w:val="16"/>
        </w:rPr>
        <w:t>amt2_20161001.csv</w:t>
      </w:r>
      <w:r>
        <w:rPr>
          <w:sz w:val="16"/>
          <w:szCs w:val="16"/>
        </w:rPr>
        <w:t xml:space="preserve">, </w:t>
      </w:r>
      <w:r w:rsidRPr="00913EEE">
        <w:rPr>
          <w:sz w:val="16"/>
          <w:szCs w:val="16"/>
        </w:rPr>
        <w:t>RestrictionExtract_20161001.txt</w:t>
      </w:r>
      <w:r>
        <w:rPr>
          <w:sz w:val="16"/>
          <w:szCs w:val="16"/>
        </w:rPr>
        <w:t xml:space="preserve"> and </w:t>
      </w:r>
      <w:r w:rsidRPr="00913EEE">
        <w:rPr>
          <w:sz w:val="16"/>
          <w:szCs w:val="16"/>
        </w:rPr>
        <w:t>LinkExtract_20161001.txt</w:t>
      </w:r>
      <w:r>
        <w:rPr>
          <w:sz w:val="16"/>
          <w:szCs w:val="16"/>
        </w:rPr>
        <w:t xml:space="preserve"> available from </w:t>
      </w:r>
      <w:hyperlink r:id="rId24" w:history="1">
        <w:r w:rsidRPr="00005AAD">
          <w:rPr>
            <w:rStyle w:val="Hyperlink"/>
            <w:sz w:val="16"/>
            <w:szCs w:val="16"/>
          </w:rPr>
          <w:t>https://www.pbs.gov.au/downloads/2016/10/2016-10-01-xml.zip</w:t>
        </w:r>
      </w:hyperlink>
      <w:r>
        <w:rPr>
          <w:sz w:val="16"/>
          <w:szCs w:val="16"/>
        </w:rPr>
        <w:t xml:space="preserve"> (accessed 30th October, 2016)</w:t>
      </w:r>
    </w:p>
    <w:p w14:paraId="2A7AD0B4" w14:textId="6A3F3215" w:rsidR="00CA62E1" w:rsidRPr="00FD7846" w:rsidRDefault="00CA62E1" w:rsidP="00CA62E1">
      <w:pPr>
        <w:pStyle w:val="BodyText"/>
      </w:pPr>
      <w:r w:rsidRPr="000B60C2">
        <w:t xml:space="preserve">The claims payment data shows that the numbers of </w:t>
      </w:r>
      <w:r>
        <w:t xml:space="preserve">SS </w:t>
      </w:r>
      <w:r w:rsidRPr="000B60C2">
        <w:t xml:space="preserve">participating pharmacies has seen very substantial increases between 2012 and 2015 nationally. However due to the payment arrangements, which are not linked to activity, the claims data are not able to provide information on whether the SS services have increased.  However the data provided by the Pharmacy Guild supports that there has been an increased </w:t>
      </w:r>
      <w:r w:rsidR="004B09CC">
        <w:t>number of SS services provided</w:t>
      </w:r>
      <w:r w:rsidRPr="000B60C2">
        <w:t>.  Growth in the program suggests it is considered effective, but the available data do not allow a determination of the reasons for growth (e.g. motivation for take-up of the incentive payment, or favourable patient feedback on the program, or both).</w:t>
      </w:r>
    </w:p>
    <w:p w14:paraId="44A54BED" w14:textId="77777777" w:rsidR="00CA62E1" w:rsidRPr="003E1C2F" w:rsidRDefault="00CA62E1" w:rsidP="00CA62E1">
      <w:pPr>
        <w:pStyle w:val="Heading2"/>
      </w:pPr>
      <w:bookmarkStart w:id="89" w:name="_Toc523236212"/>
      <w:r w:rsidRPr="003E1C2F">
        <w:t>SS initiative reach to target populations</w:t>
      </w:r>
      <w:bookmarkEnd w:id="81"/>
      <w:bookmarkEnd w:id="82"/>
      <w:bookmarkEnd w:id="89"/>
    </w:p>
    <w:p w14:paraId="145EA854" w14:textId="77777777" w:rsidR="00CA62E1" w:rsidRDefault="00CA62E1" w:rsidP="00CA62E1">
      <w:pPr>
        <w:pStyle w:val="BodyText"/>
      </w:pPr>
      <w:r w:rsidRPr="003E1C2F">
        <w:t xml:space="preserve">The claims data do not include any information on the characteristics of the patients receiving the </w:t>
      </w:r>
      <w:r>
        <w:t>SS</w:t>
      </w:r>
      <w:r w:rsidRPr="003E1C2F">
        <w:t xml:space="preserve"> service such as age, or indicators of frailty, mental faculties or health status; or indeed any other data that would assist in determining whether the patient population reached by the </w:t>
      </w:r>
      <w:r>
        <w:t>SS</w:t>
      </w:r>
      <w:r w:rsidRPr="003E1C2F">
        <w:t xml:space="preserve"> program is consistent with what is intended (PSA Guidelines) and/or whether the program is effective.</w:t>
      </w:r>
    </w:p>
    <w:p w14:paraId="0E6C6135" w14:textId="288EA159" w:rsidR="00CA62E1" w:rsidRPr="003E1C2F" w:rsidRDefault="00CA62E1" w:rsidP="00CA62E1">
      <w:pPr>
        <w:pStyle w:val="BodyText"/>
      </w:pPr>
      <w:r w:rsidRPr="00CA62E1">
        <w:lastRenderedPageBreak/>
        <w:t>The provided Pharmacy Guild data on the SS program, does provide some insight into patient service provision and key indications for the most common (top 80%) of drugs prescribed to participating patients in the program, but there is no definitive relationship between often multiple indications (per PBS restrictions) and the disease they may be prescribed to treat and how many unique patients are receiving services.</w:t>
      </w:r>
    </w:p>
    <w:p w14:paraId="6ED9D4B1" w14:textId="77777777" w:rsidR="00CA62E1" w:rsidRPr="003E1C2F" w:rsidRDefault="00CA62E1" w:rsidP="00CA62E1">
      <w:pPr>
        <w:pStyle w:val="BodyText"/>
        <w:rPr>
          <w:iCs/>
        </w:rPr>
      </w:pPr>
      <w:r>
        <w:t>Nonetheless, a</w:t>
      </w:r>
      <w:r w:rsidRPr="003E1C2F">
        <w:t xml:space="preserve">ssuming that the program is reaching the intended target groups, it should be possible to observe a relationship between, for example, </w:t>
      </w:r>
      <w:r>
        <w:t>mental health</w:t>
      </w:r>
      <w:r w:rsidRPr="003E1C2F">
        <w:t xml:space="preserve"> </w:t>
      </w:r>
      <w:r>
        <w:t xml:space="preserve">issues </w:t>
      </w:r>
      <w:r w:rsidRPr="003E1C2F">
        <w:t xml:space="preserve">prevalence and the </w:t>
      </w:r>
      <w:r>
        <w:t xml:space="preserve">investment in participating pharmacies </w:t>
      </w:r>
      <w:r w:rsidRPr="003E1C2F">
        <w:t xml:space="preserve">per-capita </w:t>
      </w:r>
      <w:bookmarkStart w:id="90" w:name="_Ref463437207"/>
      <w:r w:rsidRPr="003E1C2F">
        <w:rPr>
          <w:iCs/>
        </w:rPr>
        <w:t xml:space="preserve">at geographic area level (i.e. it might be expected that areas with high </w:t>
      </w:r>
      <w:r>
        <w:rPr>
          <w:iCs/>
        </w:rPr>
        <w:t>mental health issues</w:t>
      </w:r>
      <w:r w:rsidRPr="003E1C2F">
        <w:rPr>
          <w:iCs/>
        </w:rPr>
        <w:t xml:space="preserve"> prevalence would also have a high per capita incidence of </w:t>
      </w:r>
      <w:r>
        <w:rPr>
          <w:iCs/>
        </w:rPr>
        <w:t>participating pharmacies in the SS scheme</w:t>
      </w:r>
      <w:r w:rsidRPr="003E1C2F">
        <w:rPr>
          <w:iCs/>
        </w:rPr>
        <w:t xml:space="preserve"> and </w:t>
      </w:r>
      <w:r>
        <w:rPr>
          <w:iCs/>
        </w:rPr>
        <w:t xml:space="preserve">thus higher </w:t>
      </w:r>
      <w:r w:rsidRPr="003E1C2F">
        <w:rPr>
          <w:iCs/>
        </w:rPr>
        <w:t>claims).</w:t>
      </w:r>
    </w:p>
    <w:p w14:paraId="35C16B1C" w14:textId="1948AEDA" w:rsidR="00CA62E1" w:rsidRPr="00286D49" w:rsidRDefault="00CA62E1" w:rsidP="00CA62E1">
      <w:pPr>
        <w:pStyle w:val="BodyText"/>
        <w:rPr>
          <w:iCs/>
          <w:szCs w:val="24"/>
        </w:rPr>
      </w:pPr>
      <w:r>
        <w:rPr>
          <w:iCs/>
        </w:rPr>
        <w:t>To illustrate, Table 5</w:t>
      </w:r>
      <w:r w:rsidRPr="003E1C2F">
        <w:rPr>
          <w:iCs/>
        </w:rPr>
        <w:t xml:space="preserve">.3 </w:t>
      </w:r>
      <w:r w:rsidRPr="003E1C2F">
        <w:rPr>
          <w:iCs/>
          <w:szCs w:val="24"/>
        </w:rPr>
        <w:t xml:space="preserve">looks at the distribution across PHNs areas for </w:t>
      </w:r>
      <w:r>
        <w:rPr>
          <w:iCs/>
          <w:szCs w:val="24"/>
        </w:rPr>
        <w:t>SS</w:t>
      </w:r>
      <w:r w:rsidRPr="003E1C2F">
        <w:rPr>
          <w:iCs/>
          <w:szCs w:val="24"/>
        </w:rPr>
        <w:t xml:space="preserve"> </w:t>
      </w:r>
      <w:r>
        <w:rPr>
          <w:iCs/>
          <w:szCs w:val="24"/>
        </w:rPr>
        <w:t xml:space="preserve">claims paid </w:t>
      </w:r>
      <w:r w:rsidRPr="003E1C2F">
        <w:rPr>
          <w:iCs/>
          <w:szCs w:val="24"/>
        </w:rPr>
        <w:t xml:space="preserve">against estimated </w:t>
      </w:r>
      <w:r>
        <w:rPr>
          <w:iCs/>
          <w:szCs w:val="24"/>
        </w:rPr>
        <w:t>mental health issues</w:t>
      </w:r>
      <w:r w:rsidRPr="003E1C2F">
        <w:rPr>
          <w:iCs/>
          <w:szCs w:val="24"/>
        </w:rPr>
        <w:t xml:space="preserve"> (</w:t>
      </w:r>
      <w:r w:rsidRPr="00BE643D">
        <w:rPr>
          <w:iCs/>
          <w:szCs w:val="24"/>
        </w:rPr>
        <w:t>as an indicator of p</w:t>
      </w:r>
      <w:r>
        <w:rPr>
          <w:iCs/>
          <w:szCs w:val="24"/>
        </w:rPr>
        <w:t>atients who might be disturbed or</w:t>
      </w:r>
      <w:r w:rsidRPr="00BE643D">
        <w:rPr>
          <w:iCs/>
          <w:szCs w:val="24"/>
        </w:rPr>
        <w:t xml:space="preserve"> confused</w:t>
      </w:r>
      <w:r w:rsidRPr="003E1C2F">
        <w:rPr>
          <w:iCs/>
          <w:szCs w:val="24"/>
        </w:rPr>
        <w:t xml:space="preserve">) prevalence (i.e. proportion of the population in the PHN area with </w:t>
      </w:r>
      <w:r>
        <w:rPr>
          <w:iCs/>
          <w:szCs w:val="24"/>
        </w:rPr>
        <w:t>mental health issues</w:t>
      </w:r>
      <w:r w:rsidRPr="003E1C2F">
        <w:rPr>
          <w:iCs/>
          <w:szCs w:val="24"/>
        </w:rPr>
        <w:t xml:space="preserve">).  </w:t>
      </w:r>
      <w:r w:rsidR="004B09CC">
        <w:rPr>
          <w:iCs/>
          <w:szCs w:val="24"/>
        </w:rPr>
        <w:t>N</w:t>
      </w:r>
      <w:r w:rsidRPr="003E1C2F">
        <w:rPr>
          <w:iCs/>
          <w:szCs w:val="24"/>
        </w:rPr>
        <w:t xml:space="preserve">ote that the high, medium and low groupings in </w:t>
      </w:r>
      <w:r w:rsidR="00FC2607">
        <w:rPr>
          <w:iCs/>
          <w:szCs w:val="24"/>
        </w:rPr>
        <w:fldChar w:fldCharType="begin"/>
      </w:r>
      <w:r w:rsidR="00FC2607">
        <w:rPr>
          <w:iCs/>
          <w:szCs w:val="24"/>
        </w:rPr>
        <w:instrText xml:space="preserve"> REF _Ref522784825 \h </w:instrText>
      </w:r>
      <w:r w:rsidR="00FC2607">
        <w:rPr>
          <w:iCs/>
          <w:szCs w:val="24"/>
        </w:rPr>
      </w:r>
      <w:r w:rsidR="00FC2607">
        <w:rPr>
          <w:iCs/>
          <w:szCs w:val="24"/>
        </w:rPr>
        <w:fldChar w:fldCharType="separate"/>
      </w:r>
      <w:r w:rsidR="00FC2607">
        <w:t xml:space="preserve">Table </w:t>
      </w:r>
      <w:r w:rsidR="00FC2607">
        <w:rPr>
          <w:noProof/>
        </w:rPr>
        <w:t>5</w:t>
      </w:r>
      <w:r w:rsidR="00FC2607">
        <w:t>.</w:t>
      </w:r>
      <w:r w:rsidR="00FC2607">
        <w:rPr>
          <w:noProof/>
        </w:rPr>
        <w:t>3</w:t>
      </w:r>
      <w:r w:rsidR="00FC2607">
        <w:rPr>
          <w:iCs/>
          <w:szCs w:val="24"/>
        </w:rPr>
        <w:fldChar w:fldCharType="end"/>
      </w:r>
      <w:r>
        <w:rPr>
          <w:iCs/>
          <w:szCs w:val="24"/>
        </w:rPr>
        <w:fldChar w:fldCharType="begin"/>
      </w:r>
      <w:r>
        <w:rPr>
          <w:iCs/>
          <w:szCs w:val="24"/>
        </w:rPr>
        <w:instrText xml:space="preserve"> REF _Ref463609058 \h </w:instrText>
      </w:r>
      <w:r>
        <w:rPr>
          <w:iCs/>
          <w:szCs w:val="24"/>
        </w:rPr>
      </w:r>
      <w:r>
        <w:rPr>
          <w:iCs/>
          <w:szCs w:val="24"/>
        </w:rPr>
        <w:fldChar w:fldCharType="end"/>
      </w:r>
      <w:r w:rsidRPr="003E1C2F">
        <w:rPr>
          <w:iCs/>
          <w:szCs w:val="24"/>
        </w:rPr>
        <w:t xml:space="preserve"> are calculated by dividing the values for each of the metrics into three </w:t>
      </w:r>
      <w:r w:rsidRPr="00286D49">
        <w:rPr>
          <w:iCs/>
          <w:szCs w:val="24"/>
        </w:rPr>
        <w:t>even segments between the highest and lowest values for all PHNs.  Microsoft Excel is used to apply heat map colour coding to show where the range of values for each metric fall.</w:t>
      </w:r>
    </w:p>
    <w:p w14:paraId="5836DEB9" w14:textId="2266158C" w:rsidR="00CA62E1" w:rsidRPr="00286D49" w:rsidRDefault="00542F4A" w:rsidP="00542F4A">
      <w:pPr>
        <w:pStyle w:val="Caption"/>
      </w:pPr>
      <w:bookmarkStart w:id="91" w:name="_Ref522784825"/>
      <w:bookmarkStart w:id="92" w:name="_Toc463539376"/>
      <w:bookmarkStart w:id="93" w:name="_Toc467155930"/>
      <w:r>
        <w:t xml:space="preserve">Table </w:t>
      </w:r>
      <w:r w:rsidR="00872B71">
        <w:rPr>
          <w:noProof/>
        </w:rPr>
        <w:fldChar w:fldCharType="begin"/>
      </w:r>
      <w:r w:rsidR="00872B71">
        <w:rPr>
          <w:noProof/>
        </w:rPr>
        <w:instrText xml:space="preserve"> STYLEREF 1 \s </w:instrText>
      </w:r>
      <w:r w:rsidR="00872B71">
        <w:rPr>
          <w:noProof/>
        </w:rPr>
        <w:fldChar w:fldCharType="separate"/>
      </w:r>
      <w:r w:rsidR="006F3580">
        <w:rPr>
          <w:noProof/>
        </w:rPr>
        <w:t>5</w:t>
      </w:r>
      <w:r w:rsidR="00872B71">
        <w:rPr>
          <w:noProof/>
        </w:rPr>
        <w:fldChar w:fldCharType="end"/>
      </w:r>
      <w:r>
        <w:t>.</w:t>
      </w:r>
      <w:r w:rsidR="00872B71">
        <w:rPr>
          <w:noProof/>
        </w:rPr>
        <w:fldChar w:fldCharType="begin"/>
      </w:r>
      <w:r w:rsidR="00872B71">
        <w:rPr>
          <w:noProof/>
        </w:rPr>
        <w:instrText xml:space="preserve"> SEQ Table \* ARABIC \s 1 </w:instrText>
      </w:r>
      <w:r w:rsidR="00872B71">
        <w:rPr>
          <w:noProof/>
        </w:rPr>
        <w:fldChar w:fldCharType="separate"/>
      </w:r>
      <w:r w:rsidR="006F3580">
        <w:rPr>
          <w:noProof/>
        </w:rPr>
        <w:t>3</w:t>
      </w:r>
      <w:r w:rsidR="00872B71">
        <w:rPr>
          <w:noProof/>
        </w:rPr>
        <w:fldChar w:fldCharType="end"/>
      </w:r>
      <w:bookmarkEnd w:id="91"/>
      <w:r w:rsidR="00CA62E1" w:rsidRPr="00286D49">
        <w:tab/>
        <w:t>Mental health prevalence and SS dollars claimed per capita, 2015</w:t>
      </w:r>
      <w:bookmarkEnd w:id="92"/>
      <w:bookmarkEnd w:id="93"/>
    </w:p>
    <w:tbl>
      <w:tblPr>
        <w:tblW w:w="5000" w:type="pct"/>
        <w:tblLook w:val="04A0" w:firstRow="1" w:lastRow="0" w:firstColumn="1" w:lastColumn="0" w:noHBand="0" w:noVBand="1"/>
        <w:tblCaption w:val="Table 5.3"/>
        <w:tblDescription w:val="Mental health prevalence and SS dollars claimed per capita, 2015"/>
      </w:tblPr>
      <w:tblGrid>
        <w:gridCol w:w="5908"/>
        <w:gridCol w:w="2159"/>
        <w:gridCol w:w="2161"/>
        <w:gridCol w:w="2161"/>
        <w:gridCol w:w="2161"/>
      </w:tblGrid>
      <w:tr w:rsidR="00CA62E1" w:rsidRPr="00286D49" w14:paraId="0B665236" w14:textId="77777777" w:rsidTr="00CA62E1">
        <w:trPr>
          <w:trHeight w:val="227"/>
          <w:tblHeader/>
        </w:trPr>
        <w:tc>
          <w:tcPr>
            <w:tcW w:w="3676" w:type="dxa"/>
            <w:tcBorders>
              <w:top w:val="single" w:sz="8" w:space="0" w:color="auto"/>
              <w:left w:val="single" w:sz="8" w:space="0" w:color="auto"/>
              <w:bottom w:val="single" w:sz="8" w:space="0" w:color="auto"/>
              <w:right w:val="single" w:sz="8" w:space="0" w:color="auto"/>
            </w:tcBorders>
            <w:shd w:val="clear" w:color="000000" w:fill="366091"/>
            <w:vAlign w:val="center"/>
            <w:hideMark/>
          </w:tcPr>
          <w:p w14:paraId="4C0B38F9" w14:textId="77777777" w:rsidR="00CA62E1" w:rsidRPr="00286D49" w:rsidRDefault="00CA62E1" w:rsidP="00A15D68">
            <w:pPr>
              <w:spacing w:after="0"/>
              <w:rPr>
                <w:rFonts w:eastAsia="Times New Roman" w:cs="Times New Roman"/>
                <w:b/>
                <w:bCs/>
                <w:color w:val="FFFFFF"/>
                <w:sz w:val="18"/>
                <w:szCs w:val="18"/>
                <w:lang w:eastAsia="en-AU"/>
              </w:rPr>
            </w:pPr>
            <w:r w:rsidRPr="00286D49">
              <w:rPr>
                <w:rFonts w:eastAsia="Times New Roman" w:cs="Times New Roman"/>
                <w:b/>
                <w:bCs/>
                <w:color w:val="FFFFFF"/>
                <w:sz w:val="18"/>
                <w:szCs w:val="18"/>
                <w:lang w:eastAsia="en-AU"/>
              </w:rPr>
              <w:t>Primary Health Network</w:t>
            </w:r>
          </w:p>
        </w:tc>
        <w:tc>
          <w:tcPr>
            <w:tcW w:w="1343" w:type="dxa"/>
            <w:tcBorders>
              <w:top w:val="single" w:sz="8" w:space="0" w:color="auto"/>
              <w:left w:val="nil"/>
              <w:bottom w:val="single" w:sz="8" w:space="0" w:color="auto"/>
              <w:right w:val="single" w:sz="8" w:space="0" w:color="auto"/>
            </w:tcBorders>
            <w:shd w:val="clear" w:color="000000" w:fill="366091"/>
            <w:vAlign w:val="center"/>
            <w:hideMark/>
          </w:tcPr>
          <w:p w14:paraId="65957329" w14:textId="77777777" w:rsidR="00CA62E1" w:rsidRPr="00286D49" w:rsidRDefault="00CA62E1" w:rsidP="00A15D68">
            <w:pPr>
              <w:spacing w:after="0"/>
              <w:jc w:val="center"/>
              <w:rPr>
                <w:rFonts w:eastAsia="Times New Roman" w:cs="Times New Roman"/>
                <w:b/>
                <w:bCs/>
                <w:color w:val="FFFFFF"/>
                <w:sz w:val="18"/>
                <w:szCs w:val="18"/>
                <w:lang w:eastAsia="en-AU"/>
              </w:rPr>
            </w:pPr>
            <w:r w:rsidRPr="00286D49">
              <w:rPr>
                <w:rFonts w:eastAsia="Times New Roman" w:cs="Times New Roman"/>
                <w:b/>
                <w:bCs/>
                <w:color w:val="FFFFFF"/>
                <w:sz w:val="18"/>
                <w:szCs w:val="18"/>
                <w:lang w:eastAsia="en-AU"/>
              </w:rPr>
              <w:t>Mental health prevalence</w:t>
            </w:r>
          </w:p>
        </w:tc>
        <w:tc>
          <w:tcPr>
            <w:tcW w:w="1344" w:type="dxa"/>
            <w:tcBorders>
              <w:top w:val="single" w:sz="8" w:space="0" w:color="auto"/>
              <w:left w:val="nil"/>
              <w:bottom w:val="single" w:sz="8" w:space="0" w:color="auto"/>
              <w:right w:val="single" w:sz="8" w:space="0" w:color="auto"/>
            </w:tcBorders>
            <w:shd w:val="clear" w:color="000000" w:fill="366091"/>
            <w:vAlign w:val="center"/>
            <w:hideMark/>
          </w:tcPr>
          <w:p w14:paraId="316FC968" w14:textId="77777777" w:rsidR="00CA62E1" w:rsidRPr="00286D49" w:rsidRDefault="00CA62E1" w:rsidP="00A15D68">
            <w:pPr>
              <w:spacing w:after="0"/>
              <w:jc w:val="center"/>
              <w:rPr>
                <w:rFonts w:eastAsia="Times New Roman" w:cs="Times New Roman"/>
                <w:b/>
                <w:bCs/>
                <w:color w:val="FFFFFF"/>
                <w:sz w:val="18"/>
                <w:szCs w:val="18"/>
                <w:lang w:eastAsia="en-AU"/>
              </w:rPr>
            </w:pPr>
            <w:r w:rsidRPr="00286D49">
              <w:rPr>
                <w:rFonts w:eastAsia="Times New Roman" w:cs="Times New Roman"/>
                <w:b/>
                <w:bCs/>
                <w:color w:val="FFFFFF"/>
                <w:sz w:val="18"/>
                <w:szCs w:val="18"/>
                <w:lang w:eastAsia="en-AU"/>
              </w:rPr>
              <w:t>Mental health prevalence range</w:t>
            </w:r>
          </w:p>
        </w:tc>
        <w:tc>
          <w:tcPr>
            <w:tcW w:w="1344" w:type="dxa"/>
            <w:tcBorders>
              <w:top w:val="single" w:sz="8" w:space="0" w:color="auto"/>
              <w:left w:val="nil"/>
              <w:bottom w:val="single" w:sz="8" w:space="0" w:color="auto"/>
              <w:right w:val="single" w:sz="8" w:space="0" w:color="auto"/>
            </w:tcBorders>
            <w:shd w:val="clear" w:color="000000" w:fill="366091"/>
            <w:vAlign w:val="center"/>
            <w:hideMark/>
          </w:tcPr>
          <w:p w14:paraId="288E68A2" w14:textId="77777777" w:rsidR="00CA62E1" w:rsidRPr="00286D49" w:rsidRDefault="00CA62E1" w:rsidP="00A15D68">
            <w:pPr>
              <w:spacing w:after="0"/>
              <w:jc w:val="center"/>
              <w:rPr>
                <w:rFonts w:eastAsia="Times New Roman" w:cs="Times New Roman"/>
                <w:b/>
                <w:bCs/>
                <w:color w:val="FFFFFF"/>
                <w:sz w:val="18"/>
                <w:szCs w:val="18"/>
                <w:lang w:eastAsia="en-AU"/>
              </w:rPr>
            </w:pPr>
            <w:r w:rsidRPr="00286D49">
              <w:rPr>
                <w:rFonts w:eastAsia="Times New Roman" w:cs="Times New Roman"/>
                <w:b/>
                <w:bCs/>
                <w:color w:val="FFFFFF"/>
                <w:sz w:val="18"/>
                <w:szCs w:val="18"/>
                <w:lang w:eastAsia="en-AU"/>
              </w:rPr>
              <w:t>Average SS claim per capita</w:t>
            </w:r>
          </w:p>
        </w:tc>
        <w:tc>
          <w:tcPr>
            <w:tcW w:w="1344" w:type="dxa"/>
            <w:tcBorders>
              <w:top w:val="single" w:sz="8" w:space="0" w:color="auto"/>
              <w:left w:val="nil"/>
              <w:bottom w:val="single" w:sz="8" w:space="0" w:color="auto"/>
              <w:right w:val="single" w:sz="8" w:space="0" w:color="auto"/>
            </w:tcBorders>
            <w:shd w:val="clear" w:color="000000" w:fill="366091"/>
            <w:vAlign w:val="center"/>
            <w:hideMark/>
          </w:tcPr>
          <w:p w14:paraId="7A50DE1F" w14:textId="77777777" w:rsidR="00CA62E1" w:rsidRPr="00286D49" w:rsidRDefault="00CA62E1" w:rsidP="00A15D68">
            <w:pPr>
              <w:spacing w:after="0"/>
              <w:jc w:val="center"/>
              <w:rPr>
                <w:rFonts w:eastAsia="Times New Roman" w:cs="Times New Roman"/>
                <w:b/>
                <w:bCs/>
                <w:color w:val="FFFFFF"/>
                <w:sz w:val="18"/>
                <w:szCs w:val="18"/>
                <w:lang w:eastAsia="en-AU"/>
              </w:rPr>
            </w:pPr>
            <w:r w:rsidRPr="00286D49">
              <w:rPr>
                <w:rFonts w:eastAsia="Times New Roman" w:cs="Times New Roman"/>
                <w:b/>
                <w:bCs/>
                <w:color w:val="FFFFFF"/>
                <w:sz w:val="18"/>
                <w:szCs w:val="18"/>
                <w:lang w:eastAsia="en-AU"/>
              </w:rPr>
              <w:t>SS claim /capita range</w:t>
            </w:r>
          </w:p>
        </w:tc>
      </w:tr>
      <w:tr w:rsidR="00CA62E1" w:rsidRPr="00286D49" w14:paraId="7CA5E7AC"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F6C9A56"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Northern Territory</w:t>
            </w:r>
          </w:p>
        </w:tc>
        <w:tc>
          <w:tcPr>
            <w:tcW w:w="1343" w:type="dxa"/>
            <w:tcBorders>
              <w:top w:val="nil"/>
              <w:left w:val="nil"/>
              <w:bottom w:val="single" w:sz="8" w:space="0" w:color="auto"/>
              <w:right w:val="single" w:sz="8" w:space="0" w:color="auto"/>
            </w:tcBorders>
            <w:shd w:val="clear" w:color="000000" w:fill="5A8AC6"/>
            <w:vAlign w:val="center"/>
            <w:hideMark/>
          </w:tcPr>
          <w:p w14:paraId="3469C257"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7.9%</w:t>
            </w:r>
          </w:p>
        </w:tc>
        <w:tc>
          <w:tcPr>
            <w:tcW w:w="1344" w:type="dxa"/>
            <w:tcBorders>
              <w:top w:val="nil"/>
              <w:left w:val="nil"/>
              <w:bottom w:val="single" w:sz="8" w:space="0" w:color="auto"/>
              <w:right w:val="single" w:sz="8" w:space="0" w:color="auto"/>
            </w:tcBorders>
            <w:shd w:val="clear" w:color="auto" w:fill="auto"/>
            <w:vAlign w:val="center"/>
            <w:hideMark/>
          </w:tcPr>
          <w:p w14:paraId="58514910"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c>
          <w:tcPr>
            <w:tcW w:w="1344" w:type="dxa"/>
            <w:tcBorders>
              <w:top w:val="nil"/>
              <w:left w:val="nil"/>
              <w:bottom w:val="single" w:sz="8" w:space="0" w:color="auto"/>
              <w:right w:val="single" w:sz="8" w:space="0" w:color="auto"/>
            </w:tcBorders>
            <w:shd w:val="clear" w:color="000000" w:fill="5A8AC6"/>
            <w:vAlign w:val="center"/>
            <w:hideMark/>
          </w:tcPr>
          <w:p w14:paraId="416CD343"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0.190</w:t>
            </w:r>
          </w:p>
        </w:tc>
        <w:tc>
          <w:tcPr>
            <w:tcW w:w="1344" w:type="dxa"/>
            <w:tcBorders>
              <w:top w:val="nil"/>
              <w:left w:val="nil"/>
              <w:bottom w:val="single" w:sz="8" w:space="0" w:color="auto"/>
              <w:right w:val="single" w:sz="8" w:space="0" w:color="auto"/>
            </w:tcBorders>
            <w:shd w:val="clear" w:color="auto" w:fill="auto"/>
            <w:vAlign w:val="center"/>
            <w:hideMark/>
          </w:tcPr>
          <w:p w14:paraId="06F19320"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05D23B67"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3B5A268"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Western Queensland</w:t>
            </w:r>
          </w:p>
        </w:tc>
        <w:tc>
          <w:tcPr>
            <w:tcW w:w="1343" w:type="dxa"/>
            <w:tcBorders>
              <w:top w:val="nil"/>
              <w:left w:val="nil"/>
              <w:bottom w:val="single" w:sz="8" w:space="0" w:color="auto"/>
              <w:right w:val="single" w:sz="8" w:space="0" w:color="auto"/>
            </w:tcBorders>
            <w:shd w:val="clear" w:color="000000" w:fill="6390C9"/>
            <w:vAlign w:val="center"/>
            <w:hideMark/>
          </w:tcPr>
          <w:p w14:paraId="6A24191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8.2%</w:t>
            </w:r>
          </w:p>
        </w:tc>
        <w:tc>
          <w:tcPr>
            <w:tcW w:w="1344" w:type="dxa"/>
            <w:tcBorders>
              <w:top w:val="nil"/>
              <w:left w:val="nil"/>
              <w:bottom w:val="single" w:sz="8" w:space="0" w:color="auto"/>
              <w:right w:val="single" w:sz="8" w:space="0" w:color="auto"/>
            </w:tcBorders>
            <w:shd w:val="clear" w:color="auto" w:fill="auto"/>
            <w:vAlign w:val="center"/>
            <w:hideMark/>
          </w:tcPr>
          <w:p w14:paraId="05E27E3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c>
          <w:tcPr>
            <w:tcW w:w="1344" w:type="dxa"/>
            <w:tcBorders>
              <w:top w:val="nil"/>
              <w:left w:val="nil"/>
              <w:bottom w:val="single" w:sz="8" w:space="0" w:color="auto"/>
              <w:right w:val="single" w:sz="8" w:space="0" w:color="auto"/>
            </w:tcBorders>
            <w:shd w:val="clear" w:color="000000" w:fill="8FAFD8"/>
            <w:vAlign w:val="center"/>
            <w:hideMark/>
          </w:tcPr>
          <w:p w14:paraId="5D11B490"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0.210</w:t>
            </w:r>
          </w:p>
        </w:tc>
        <w:tc>
          <w:tcPr>
            <w:tcW w:w="1344" w:type="dxa"/>
            <w:tcBorders>
              <w:top w:val="nil"/>
              <w:left w:val="nil"/>
              <w:bottom w:val="single" w:sz="8" w:space="0" w:color="auto"/>
              <w:right w:val="single" w:sz="8" w:space="0" w:color="auto"/>
            </w:tcBorders>
            <w:shd w:val="clear" w:color="auto" w:fill="auto"/>
            <w:vAlign w:val="center"/>
            <w:hideMark/>
          </w:tcPr>
          <w:p w14:paraId="0B48E05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6E68D82A"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D3D85D4"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Western Sydney</w:t>
            </w:r>
          </w:p>
        </w:tc>
        <w:tc>
          <w:tcPr>
            <w:tcW w:w="1343" w:type="dxa"/>
            <w:tcBorders>
              <w:top w:val="nil"/>
              <w:left w:val="nil"/>
              <w:bottom w:val="single" w:sz="8" w:space="0" w:color="auto"/>
              <w:right w:val="single" w:sz="8" w:space="0" w:color="auto"/>
            </w:tcBorders>
            <w:shd w:val="clear" w:color="000000" w:fill="B9CDE7"/>
            <w:vAlign w:val="center"/>
            <w:hideMark/>
          </w:tcPr>
          <w:p w14:paraId="6C4404A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10.8%</w:t>
            </w:r>
          </w:p>
        </w:tc>
        <w:tc>
          <w:tcPr>
            <w:tcW w:w="1344" w:type="dxa"/>
            <w:tcBorders>
              <w:top w:val="nil"/>
              <w:left w:val="nil"/>
              <w:bottom w:val="single" w:sz="8" w:space="0" w:color="auto"/>
              <w:right w:val="single" w:sz="8" w:space="0" w:color="auto"/>
            </w:tcBorders>
            <w:shd w:val="clear" w:color="auto" w:fill="auto"/>
            <w:vAlign w:val="center"/>
            <w:hideMark/>
          </w:tcPr>
          <w:p w14:paraId="0874925B"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C6D6EC"/>
            <w:vAlign w:val="center"/>
            <w:hideMark/>
          </w:tcPr>
          <w:p w14:paraId="7B1F6C5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0.230</w:t>
            </w:r>
          </w:p>
        </w:tc>
        <w:tc>
          <w:tcPr>
            <w:tcW w:w="1344" w:type="dxa"/>
            <w:tcBorders>
              <w:top w:val="nil"/>
              <w:left w:val="nil"/>
              <w:bottom w:val="single" w:sz="8" w:space="0" w:color="auto"/>
              <w:right w:val="single" w:sz="8" w:space="0" w:color="auto"/>
            </w:tcBorders>
            <w:shd w:val="clear" w:color="auto" w:fill="auto"/>
            <w:vAlign w:val="center"/>
            <w:hideMark/>
          </w:tcPr>
          <w:p w14:paraId="7F8D650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553800EA"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4739A663"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North Western Melbourne</w:t>
            </w:r>
          </w:p>
        </w:tc>
        <w:tc>
          <w:tcPr>
            <w:tcW w:w="1343" w:type="dxa"/>
            <w:tcBorders>
              <w:top w:val="nil"/>
              <w:left w:val="nil"/>
              <w:bottom w:val="single" w:sz="8" w:space="0" w:color="auto"/>
              <w:right w:val="single" w:sz="8" w:space="0" w:color="auto"/>
            </w:tcBorders>
            <w:shd w:val="clear" w:color="000000" w:fill="C3D4EB"/>
            <w:vAlign w:val="center"/>
            <w:hideMark/>
          </w:tcPr>
          <w:p w14:paraId="09B109C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11.1%</w:t>
            </w:r>
          </w:p>
        </w:tc>
        <w:tc>
          <w:tcPr>
            <w:tcW w:w="1344" w:type="dxa"/>
            <w:tcBorders>
              <w:top w:val="nil"/>
              <w:left w:val="nil"/>
              <w:bottom w:val="single" w:sz="8" w:space="0" w:color="auto"/>
              <w:right w:val="single" w:sz="8" w:space="0" w:color="auto"/>
            </w:tcBorders>
            <w:shd w:val="clear" w:color="auto" w:fill="auto"/>
            <w:vAlign w:val="center"/>
            <w:hideMark/>
          </w:tcPr>
          <w:p w14:paraId="67D184D0"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ABC3E2"/>
            <w:vAlign w:val="center"/>
            <w:hideMark/>
          </w:tcPr>
          <w:p w14:paraId="6BE1181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0.220</w:t>
            </w:r>
          </w:p>
        </w:tc>
        <w:tc>
          <w:tcPr>
            <w:tcW w:w="1344" w:type="dxa"/>
            <w:tcBorders>
              <w:top w:val="nil"/>
              <w:left w:val="nil"/>
              <w:bottom w:val="single" w:sz="8" w:space="0" w:color="auto"/>
              <w:right w:val="single" w:sz="8" w:space="0" w:color="auto"/>
            </w:tcBorders>
            <w:shd w:val="clear" w:color="auto" w:fill="auto"/>
            <w:vAlign w:val="center"/>
            <w:hideMark/>
          </w:tcPr>
          <w:p w14:paraId="3567411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4B8D8F50"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08805BF"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Northern Queensland</w:t>
            </w:r>
          </w:p>
        </w:tc>
        <w:tc>
          <w:tcPr>
            <w:tcW w:w="1343" w:type="dxa"/>
            <w:tcBorders>
              <w:top w:val="nil"/>
              <w:left w:val="nil"/>
              <w:bottom w:val="single" w:sz="8" w:space="0" w:color="auto"/>
              <w:right w:val="single" w:sz="8" w:space="0" w:color="auto"/>
            </w:tcBorders>
            <w:shd w:val="clear" w:color="000000" w:fill="C3D4EB"/>
            <w:vAlign w:val="center"/>
            <w:hideMark/>
          </w:tcPr>
          <w:p w14:paraId="5D514A13"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11.1%</w:t>
            </w:r>
          </w:p>
        </w:tc>
        <w:tc>
          <w:tcPr>
            <w:tcW w:w="1344" w:type="dxa"/>
            <w:tcBorders>
              <w:top w:val="nil"/>
              <w:left w:val="nil"/>
              <w:bottom w:val="single" w:sz="8" w:space="0" w:color="auto"/>
              <w:right w:val="single" w:sz="8" w:space="0" w:color="auto"/>
            </w:tcBorders>
            <w:shd w:val="clear" w:color="auto" w:fill="auto"/>
            <w:vAlign w:val="center"/>
            <w:hideMark/>
          </w:tcPr>
          <w:p w14:paraId="1293A50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E0E8F5"/>
            <w:vAlign w:val="center"/>
            <w:hideMark/>
          </w:tcPr>
          <w:p w14:paraId="452DD2A2"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0.240</w:t>
            </w:r>
          </w:p>
        </w:tc>
        <w:tc>
          <w:tcPr>
            <w:tcW w:w="1344" w:type="dxa"/>
            <w:tcBorders>
              <w:top w:val="nil"/>
              <w:left w:val="nil"/>
              <w:bottom w:val="single" w:sz="8" w:space="0" w:color="auto"/>
              <w:right w:val="single" w:sz="8" w:space="0" w:color="auto"/>
            </w:tcBorders>
            <w:shd w:val="clear" w:color="auto" w:fill="auto"/>
            <w:vAlign w:val="center"/>
            <w:hideMark/>
          </w:tcPr>
          <w:p w14:paraId="09F65E55"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0679189E"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0BFBEE4"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Country WA</w:t>
            </w:r>
          </w:p>
        </w:tc>
        <w:tc>
          <w:tcPr>
            <w:tcW w:w="1343" w:type="dxa"/>
            <w:tcBorders>
              <w:top w:val="nil"/>
              <w:left w:val="nil"/>
              <w:bottom w:val="single" w:sz="8" w:space="0" w:color="auto"/>
              <w:right w:val="single" w:sz="8" w:space="0" w:color="auto"/>
            </w:tcBorders>
            <w:shd w:val="clear" w:color="000000" w:fill="CAD9ED"/>
            <w:vAlign w:val="center"/>
            <w:hideMark/>
          </w:tcPr>
          <w:p w14:paraId="270AE79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11.3%</w:t>
            </w:r>
          </w:p>
        </w:tc>
        <w:tc>
          <w:tcPr>
            <w:tcW w:w="1344" w:type="dxa"/>
            <w:tcBorders>
              <w:top w:val="nil"/>
              <w:left w:val="nil"/>
              <w:bottom w:val="single" w:sz="8" w:space="0" w:color="auto"/>
              <w:right w:val="single" w:sz="8" w:space="0" w:color="auto"/>
            </w:tcBorders>
            <w:shd w:val="clear" w:color="auto" w:fill="auto"/>
            <w:vAlign w:val="center"/>
            <w:hideMark/>
          </w:tcPr>
          <w:p w14:paraId="6863D05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FCE4E7"/>
            <w:vAlign w:val="center"/>
            <w:hideMark/>
          </w:tcPr>
          <w:p w14:paraId="583B974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0.270</w:t>
            </w:r>
          </w:p>
        </w:tc>
        <w:tc>
          <w:tcPr>
            <w:tcW w:w="1344" w:type="dxa"/>
            <w:tcBorders>
              <w:top w:val="nil"/>
              <w:left w:val="nil"/>
              <w:bottom w:val="single" w:sz="8" w:space="0" w:color="auto"/>
              <w:right w:val="single" w:sz="8" w:space="0" w:color="auto"/>
            </w:tcBorders>
            <w:shd w:val="clear" w:color="auto" w:fill="auto"/>
            <w:vAlign w:val="center"/>
            <w:hideMark/>
          </w:tcPr>
          <w:p w14:paraId="01286A0D"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195543CA"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EB21919"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Eastern Melbourne</w:t>
            </w:r>
          </w:p>
        </w:tc>
        <w:tc>
          <w:tcPr>
            <w:tcW w:w="1343" w:type="dxa"/>
            <w:tcBorders>
              <w:top w:val="nil"/>
              <w:left w:val="nil"/>
              <w:bottom w:val="single" w:sz="8" w:space="0" w:color="auto"/>
              <w:right w:val="single" w:sz="8" w:space="0" w:color="auto"/>
            </w:tcBorders>
            <w:shd w:val="clear" w:color="000000" w:fill="CDDBEE"/>
            <w:vAlign w:val="center"/>
            <w:hideMark/>
          </w:tcPr>
          <w:p w14:paraId="4179C628"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11.4%</w:t>
            </w:r>
          </w:p>
        </w:tc>
        <w:tc>
          <w:tcPr>
            <w:tcW w:w="1344" w:type="dxa"/>
            <w:tcBorders>
              <w:top w:val="nil"/>
              <w:left w:val="nil"/>
              <w:bottom w:val="single" w:sz="8" w:space="0" w:color="auto"/>
              <w:right w:val="single" w:sz="8" w:space="0" w:color="auto"/>
            </w:tcBorders>
            <w:shd w:val="clear" w:color="auto" w:fill="auto"/>
            <w:vAlign w:val="center"/>
            <w:hideMark/>
          </w:tcPr>
          <w:p w14:paraId="77B3C0A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759DCF"/>
            <w:vAlign w:val="center"/>
            <w:hideMark/>
          </w:tcPr>
          <w:p w14:paraId="45F38603"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0.200</w:t>
            </w:r>
          </w:p>
        </w:tc>
        <w:tc>
          <w:tcPr>
            <w:tcW w:w="1344" w:type="dxa"/>
            <w:tcBorders>
              <w:top w:val="nil"/>
              <w:left w:val="nil"/>
              <w:bottom w:val="single" w:sz="8" w:space="0" w:color="auto"/>
              <w:right w:val="single" w:sz="8" w:space="0" w:color="auto"/>
            </w:tcBorders>
            <w:shd w:val="clear" w:color="auto" w:fill="auto"/>
            <w:vAlign w:val="center"/>
            <w:hideMark/>
          </w:tcPr>
          <w:p w14:paraId="2A6900ED"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43E23EC7"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7165EFE"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Northern Sydney</w:t>
            </w:r>
          </w:p>
        </w:tc>
        <w:tc>
          <w:tcPr>
            <w:tcW w:w="1343" w:type="dxa"/>
            <w:tcBorders>
              <w:top w:val="nil"/>
              <w:left w:val="nil"/>
              <w:bottom w:val="single" w:sz="8" w:space="0" w:color="auto"/>
              <w:right w:val="single" w:sz="8" w:space="0" w:color="auto"/>
            </w:tcBorders>
            <w:shd w:val="clear" w:color="000000" w:fill="CDDBEE"/>
            <w:vAlign w:val="center"/>
            <w:hideMark/>
          </w:tcPr>
          <w:p w14:paraId="3047227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11.4%</w:t>
            </w:r>
          </w:p>
        </w:tc>
        <w:tc>
          <w:tcPr>
            <w:tcW w:w="1344" w:type="dxa"/>
            <w:tcBorders>
              <w:top w:val="nil"/>
              <w:left w:val="nil"/>
              <w:bottom w:val="single" w:sz="8" w:space="0" w:color="auto"/>
              <w:right w:val="single" w:sz="8" w:space="0" w:color="auto"/>
            </w:tcBorders>
            <w:shd w:val="clear" w:color="auto" w:fill="auto"/>
            <w:vAlign w:val="center"/>
            <w:hideMark/>
          </w:tcPr>
          <w:p w14:paraId="34023A8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FCF0F3"/>
            <w:vAlign w:val="center"/>
            <w:hideMark/>
          </w:tcPr>
          <w:p w14:paraId="548BF3DB"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0.260</w:t>
            </w:r>
          </w:p>
        </w:tc>
        <w:tc>
          <w:tcPr>
            <w:tcW w:w="1344" w:type="dxa"/>
            <w:tcBorders>
              <w:top w:val="nil"/>
              <w:left w:val="nil"/>
              <w:bottom w:val="single" w:sz="8" w:space="0" w:color="auto"/>
              <w:right w:val="single" w:sz="8" w:space="0" w:color="auto"/>
            </w:tcBorders>
            <w:shd w:val="clear" w:color="auto" w:fill="auto"/>
            <w:vAlign w:val="center"/>
            <w:hideMark/>
          </w:tcPr>
          <w:p w14:paraId="1816F5D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6E709C3C"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598F33EE"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South Western Sydney</w:t>
            </w:r>
          </w:p>
        </w:tc>
        <w:tc>
          <w:tcPr>
            <w:tcW w:w="1343" w:type="dxa"/>
            <w:tcBorders>
              <w:top w:val="nil"/>
              <w:left w:val="nil"/>
              <w:bottom w:val="single" w:sz="8" w:space="0" w:color="auto"/>
              <w:right w:val="single" w:sz="8" w:space="0" w:color="auto"/>
            </w:tcBorders>
            <w:shd w:val="clear" w:color="000000" w:fill="D1DDEF"/>
            <w:vAlign w:val="center"/>
            <w:hideMark/>
          </w:tcPr>
          <w:p w14:paraId="65C810EB"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11.5%</w:t>
            </w:r>
          </w:p>
        </w:tc>
        <w:tc>
          <w:tcPr>
            <w:tcW w:w="1344" w:type="dxa"/>
            <w:tcBorders>
              <w:top w:val="nil"/>
              <w:left w:val="nil"/>
              <w:bottom w:val="single" w:sz="8" w:space="0" w:color="auto"/>
              <w:right w:val="single" w:sz="8" w:space="0" w:color="auto"/>
            </w:tcBorders>
            <w:shd w:val="clear" w:color="auto" w:fill="auto"/>
            <w:vAlign w:val="center"/>
            <w:hideMark/>
          </w:tcPr>
          <w:p w14:paraId="473DF0F2"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FCFCFF"/>
            <w:vAlign w:val="center"/>
            <w:hideMark/>
          </w:tcPr>
          <w:p w14:paraId="2E514B22"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0.250</w:t>
            </w:r>
          </w:p>
        </w:tc>
        <w:tc>
          <w:tcPr>
            <w:tcW w:w="1344" w:type="dxa"/>
            <w:tcBorders>
              <w:top w:val="nil"/>
              <w:left w:val="nil"/>
              <w:bottom w:val="single" w:sz="8" w:space="0" w:color="auto"/>
              <w:right w:val="single" w:sz="8" w:space="0" w:color="auto"/>
            </w:tcBorders>
            <w:shd w:val="clear" w:color="auto" w:fill="auto"/>
            <w:vAlign w:val="center"/>
            <w:hideMark/>
          </w:tcPr>
          <w:p w14:paraId="7FBC1B4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442D2F28"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126916C"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South Eastern Melbourne</w:t>
            </w:r>
          </w:p>
        </w:tc>
        <w:tc>
          <w:tcPr>
            <w:tcW w:w="1343" w:type="dxa"/>
            <w:tcBorders>
              <w:top w:val="nil"/>
              <w:left w:val="nil"/>
              <w:bottom w:val="single" w:sz="8" w:space="0" w:color="auto"/>
              <w:right w:val="single" w:sz="8" w:space="0" w:color="auto"/>
            </w:tcBorders>
            <w:shd w:val="clear" w:color="000000" w:fill="D7E2F2"/>
            <w:vAlign w:val="center"/>
            <w:hideMark/>
          </w:tcPr>
          <w:p w14:paraId="6FA5BE2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11.7%</w:t>
            </w:r>
          </w:p>
        </w:tc>
        <w:tc>
          <w:tcPr>
            <w:tcW w:w="1344" w:type="dxa"/>
            <w:tcBorders>
              <w:top w:val="nil"/>
              <w:left w:val="nil"/>
              <w:bottom w:val="single" w:sz="8" w:space="0" w:color="auto"/>
              <w:right w:val="single" w:sz="8" w:space="0" w:color="auto"/>
            </w:tcBorders>
            <w:shd w:val="clear" w:color="auto" w:fill="auto"/>
            <w:vAlign w:val="center"/>
            <w:hideMark/>
          </w:tcPr>
          <w:p w14:paraId="447D3AA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ABC3E2"/>
            <w:vAlign w:val="center"/>
            <w:hideMark/>
          </w:tcPr>
          <w:p w14:paraId="134114E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0.220</w:t>
            </w:r>
          </w:p>
        </w:tc>
        <w:tc>
          <w:tcPr>
            <w:tcW w:w="1344" w:type="dxa"/>
            <w:tcBorders>
              <w:top w:val="nil"/>
              <w:left w:val="nil"/>
              <w:bottom w:val="single" w:sz="8" w:space="0" w:color="auto"/>
              <w:right w:val="single" w:sz="8" w:space="0" w:color="auto"/>
            </w:tcBorders>
            <w:shd w:val="clear" w:color="auto" w:fill="auto"/>
            <w:vAlign w:val="center"/>
            <w:hideMark/>
          </w:tcPr>
          <w:p w14:paraId="42CCC1A2"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69994090"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476DA11"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Central and Eastern Sydney</w:t>
            </w:r>
          </w:p>
        </w:tc>
        <w:tc>
          <w:tcPr>
            <w:tcW w:w="1343" w:type="dxa"/>
            <w:tcBorders>
              <w:top w:val="nil"/>
              <w:left w:val="nil"/>
              <w:bottom w:val="single" w:sz="8" w:space="0" w:color="auto"/>
              <w:right w:val="single" w:sz="8" w:space="0" w:color="auto"/>
            </w:tcBorders>
            <w:shd w:val="clear" w:color="000000" w:fill="DAE4F3"/>
            <w:vAlign w:val="center"/>
            <w:hideMark/>
          </w:tcPr>
          <w:p w14:paraId="2E986B0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11.8%</w:t>
            </w:r>
          </w:p>
        </w:tc>
        <w:tc>
          <w:tcPr>
            <w:tcW w:w="1344" w:type="dxa"/>
            <w:tcBorders>
              <w:top w:val="nil"/>
              <w:left w:val="nil"/>
              <w:bottom w:val="single" w:sz="8" w:space="0" w:color="auto"/>
              <w:right w:val="single" w:sz="8" w:space="0" w:color="auto"/>
            </w:tcBorders>
            <w:shd w:val="clear" w:color="auto" w:fill="auto"/>
            <w:vAlign w:val="center"/>
            <w:hideMark/>
          </w:tcPr>
          <w:p w14:paraId="284FF0B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FBD8DA"/>
            <w:vAlign w:val="center"/>
            <w:hideMark/>
          </w:tcPr>
          <w:p w14:paraId="1DD2AD9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0.280</w:t>
            </w:r>
          </w:p>
        </w:tc>
        <w:tc>
          <w:tcPr>
            <w:tcW w:w="1344" w:type="dxa"/>
            <w:tcBorders>
              <w:top w:val="nil"/>
              <w:left w:val="nil"/>
              <w:bottom w:val="single" w:sz="8" w:space="0" w:color="auto"/>
              <w:right w:val="single" w:sz="8" w:space="0" w:color="auto"/>
            </w:tcBorders>
            <w:shd w:val="clear" w:color="auto" w:fill="auto"/>
            <w:vAlign w:val="center"/>
            <w:hideMark/>
          </w:tcPr>
          <w:p w14:paraId="365B5A05"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0F8FB4AB"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74ED0D8"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Perth North</w:t>
            </w:r>
          </w:p>
        </w:tc>
        <w:tc>
          <w:tcPr>
            <w:tcW w:w="1343" w:type="dxa"/>
            <w:tcBorders>
              <w:top w:val="nil"/>
              <w:left w:val="nil"/>
              <w:bottom w:val="single" w:sz="8" w:space="0" w:color="auto"/>
              <w:right w:val="single" w:sz="8" w:space="0" w:color="auto"/>
            </w:tcBorders>
            <w:shd w:val="clear" w:color="000000" w:fill="DAE4F3"/>
            <w:vAlign w:val="center"/>
            <w:hideMark/>
          </w:tcPr>
          <w:p w14:paraId="65AEC3F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11.8%</w:t>
            </w:r>
          </w:p>
        </w:tc>
        <w:tc>
          <w:tcPr>
            <w:tcW w:w="1344" w:type="dxa"/>
            <w:tcBorders>
              <w:top w:val="nil"/>
              <w:left w:val="nil"/>
              <w:bottom w:val="single" w:sz="8" w:space="0" w:color="auto"/>
              <w:right w:val="single" w:sz="8" w:space="0" w:color="auto"/>
            </w:tcBorders>
            <w:shd w:val="clear" w:color="auto" w:fill="auto"/>
            <w:vAlign w:val="center"/>
            <w:hideMark/>
          </w:tcPr>
          <w:p w14:paraId="7CA097D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E0E8F5"/>
            <w:vAlign w:val="center"/>
            <w:hideMark/>
          </w:tcPr>
          <w:p w14:paraId="37EF283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0.240</w:t>
            </w:r>
          </w:p>
        </w:tc>
        <w:tc>
          <w:tcPr>
            <w:tcW w:w="1344" w:type="dxa"/>
            <w:tcBorders>
              <w:top w:val="nil"/>
              <w:left w:val="nil"/>
              <w:bottom w:val="single" w:sz="8" w:space="0" w:color="auto"/>
              <w:right w:val="single" w:sz="8" w:space="0" w:color="auto"/>
            </w:tcBorders>
            <w:shd w:val="clear" w:color="auto" w:fill="auto"/>
            <w:vAlign w:val="center"/>
            <w:hideMark/>
          </w:tcPr>
          <w:p w14:paraId="6CE7B175"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5B98789E"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712AB9C"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Nepean Blue Mountains</w:t>
            </w:r>
          </w:p>
        </w:tc>
        <w:tc>
          <w:tcPr>
            <w:tcW w:w="1343" w:type="dxa"/>
            <w:tcBorders>
              <w:top w:val="nil"/>
              <w:left w:val="nil"/>
              <w:bottom w:val="single" w:sz="8" w:space="0" w:color="auto"/>
              <w:right w:val="single" w:sz="8" w:space="0" w:color="auto"/>
            </w:tcBorders>
            <w:shd w:val="clear" w:color="000000" w:fill="DEE7F4"/>
            <w:vAlign w:val="center"/>
            <w:hideMark/>
          </w:tcPr>
          <w:p w14:paraId="424E4EF2"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11.9%</w:t>
            </w:r>
          </w:p>
        </w:tc>
        <w:tc>
          <w:tcPr>
            <w:tcW w:w="1344" w:type="dxa"/>
            <w:tcBorders>
              <w:top w:val="nil"/>
              <w:left w:val="nil"/>
              <w:bottom w:val="single" w:sz="8" w:space="0" w:color="auto"/>
              <w:right w:val="single" w:sz="8" w:space="0" w:color="auto"/>
            </w:tcBorders>
            <w:shd w:val="clear" w:color="auto" w:fill="auto"/>
            <w:vAlign w:val="center"/>
            <w:hideMark/>
          </w:tcPr>
          <w:p w14:paraId="51377A7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E0E8F5"/>
            <w:vAlign w:val="center"/>
            <w:hideMark/>
          </w:tcPr>
          <w:p w14:paraId="58633925"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0.240</w:t>
            </w:r>
          </w:p>
        </w:tc>
        <w:tc>
          <w:tcPr>
            <w:tcW w:w="1344" w:type="dxa"/>
            <w:tcBorders>
              <w:top w:val="nil"/>
              <w:left w:val="nil"/>
              <w:bottom w:val="single" w:sz="8" w:space="0" w:color="auto"/>
              <w:right w:val="single" w:sz="8" w:space="0" w:color="auto"/>
            </w:tcBorders>
            <w:shd w:val="clear" w:color="auto" w:fill="auto"/>
            <w:vAlign w:val="center"/>
            <w:hideMark/>
          </w:tcPr>
          <w:p w14:paraId="7194269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3209DA84"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3582DA1"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Perth South</w:t>
            </w:r>
          </w:p>
        </w:tc>
        <w:tc>
          <w:tcPr>
            <w:tcW w:w="1343" w:type="dxa"/>
            <w:tcBorders>
              <w:top w:val="nil"/>
              <w:left w:val="nil"/>
              <w:bottom w:val="single" w:sz="8" w:space="0" w:color="auto"/>
              <w:right w:val="single" w:sz="8" w:space="0" w:color="auto"/>
            </w:tcBorders>
            <w:shd w:val="clear" w:color="000000" w:fill="EEF2FA"/>
            <w:vAlign w:val="center"/>
            <w:hideMark/>
          </w:tcPr>
          <w:p w14:paraId="68DB2000"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12.4%</w:t>
            </w:r>
          </w:p>
        </w:tc>
        <w:tc>
          <w:tcPr>
            <w:tcW w:w="1344" w:type="dxa"/>
            <w:tcBorders>
              <w:top w:val="nil"/>
              <w:left w:val="nil"/>
              <w:bottom w:val="single" w:sz="8" w:space="0" w:color="auto"/>
              <w:right w:val="single" w:sz="8" w:space="0" w:color="auto"/>
            </w:tcBorders>
            <w:shd w:val="clear" w:color="auto" w:fill="auto"/>
            <w:vAlign w:val="center"/>
            <w:hideMark/>
          </w:tcPr>
          <w:p w14:paraId="396787C7"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759DCF"/>
            <w:vAlign w:val="center"/>
            <w:hideMark/>
          </w:tcPr>
          <w:p w14:paraId="53D0A6B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0.200</w:t>
            </w:r>
          </w:p>
        </w:tc>
        <w:tc>
          <w:tcPr>
            <w:tcW w:w="1344" w:type="dxa"/>
            <w:tcBorders>
              <w:top w:val="nil"/>
              <w:left w:val="nil"/>
              <w:bottom w:val="single" w:sz="8" w:space="0" w:color="auto"/>
              <w:right w:val="single" w:sz="8" w:space="0" w:color="auto"/>
            </w:tcBorders>
            <w:shd w:val="clear" w:color="auto" w:fill="auto"/>
            <w:vAlign w:val="center"/>
            <w:hideMark/>
          </w:tcPr>
          <w:p w14:paraId="0698E15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31E3D74C"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F10C2DC"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Western NSW</w:t>
            </w:r>
          </w:p>
        </w:tc>
        <w:tc>
          <w:tcPr>
            <w:tcW w:w="1343" w:type="dxa"/>
            <w:tcBorders>
              <w:top w:val="nil"/>
              <w:left w:val="nil"/>
              <w:bottom w:val="single" w:sz="8" w:space="0" w:color="auto"/>
              <w:right w:val="single" w:sz="8" w:space="0" w:color="auto"/>
            </w:tcBorders>
            <w:shd w:val="clear" w:color="000000" w:fill="F8F9FD"/>
            <w:vAlign w:val="center"/>
            <w:hideMark/>
          </w:tcPr>
          <w:p w14:paraId="011041A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12.7%</w:t>
            </w:r>
          </w:p>
        </w:tc>
        <w:tc>
          <w:tcPr>
            <w:tcW w:w="1344" w:type="dxa"/>
            <w:tcBorders>
              <w:top w:val="nil"/>
              <w:left w:val="nil"/>
              <w:bottom w:val="single" w:sz="8" w:space="0" w:color="auto"/>
              <w:right w:val="single" w:sz="8" w:space="0" w:color="auto"/>
            </w:tcBorders>
            <w:shd w:val="clear" w:color="auto" w:fill="auto"/>
            <w:vAlign w:val="center"/>
            <w:hideMark/>
          </w:tcPr>
          <w:p w14:paraId="67B33AF8"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F98E90"/>
            <w:vAlign w:val="center"/>
            <w:hideMark/>
          </w:tcPr>
          <w:p w14:paraId="61EA28BD"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0.340</w:t>
            </w:r>
          </w:p>
        </w:tc>
        <w:tc>
          <w:tcPr>
            <w:tcW w:w="1344" w:type="dxa"/>
            <w:tcBorders>
              <w:top w:val="nil"/>
              <w:left w:val="nil"/>
              <w:bottom w:val="single" w:sz="8" w:space="0" w:color="auto"/>
              <w:right w:val="single" w:sz="8" w:space="0" w:color="auto"/>
            </w:tcBorders>
            <w:shd w:val="clear" w:color="auto" w:fill="auto"/>
            <w:vAlign w:val="center"/>
            <w:hideMark/>
          </w:tcPr>
          <w:p w14:paraId="6F29CE7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r>
      <w:tr w:rsidR="00CA62E1" w:rsidRPr="00286D49" w14:paraId="1DB52322"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CC74D83"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Brisbane South</w:t>
            </w:r>
          </w:p>
        </w:tc>
        <w:tc>
          <w:tcPr>
            <w:tcW w:w="1343" w:type="dxa"/>
            <w:tcBorders>
              <w:top w:val="nil"/>
              <w:left w:val="nil"/>
              <w:bottom w:val="single" w:sz="8" w:space="0" w:color="auto"/>
              <w:right w:val="single" w:sz="8" w:space="0" w:color="auto"/>
            </w:tcBorders>
            <w:shd w:val="clear" w:color="000000" w:fill="FCFCFF"/>
            <w:vAlign w:val="center"/>
            <w:hideMark/>
          </w:tcPr>
          <w:p w14:paraId="54F55854"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12.8%</w:t>
            </w:r>
          </w:p>
        </w:tc>
        <w:tc>
          <w:tcPr>
            <w:tcW w:w="1344" w:type="dxa"/>
            <w:tcBorders>
              <w:top w:val="nil"/>
              <w:left w:val="nil"/>
              <w:bottom w:val="single" w:sz="8" w:space="0" w:color="auto"/>
              <w:right w:val="single" w:sz="8" w:space="0" w:color="auto"/>
            </w:tcBorders>
            <w:shd w:val="clear" w:color="auto" w:fill="auto"/>
            <w:vAlign w:val="center"/>
            <w:hideMark/>
          </w:tcPr>
          <w:p w14:paraId="634A822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C6D6EC"/>
            <w:vAlign w:val="center"/>
            <w:hideMark/>
          </w:tcPr>
          <w:p w14:paraId="3C6F103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0.230</w:t>
            </w:r>
          </w:p>
        </w:tc>
        <w:tc>
          <w:tcPr>
            <w:tcW w:w="1344" w:type="dxa"/>
            <w:tcBorders>
              <w:top w:val="nil"/>
              <w:left w:val="nil"/>
              <w:bottom w:val="single" w:sz="8" w:space="0" w:color="auto"/>
              <w:right w:val="single" w:sz="8" w:space="0" w:color="auto"/>
            </w:tcBorders>
            <w:shd w:val="clear" w:color="auto" w:fill="auto"/>
            <w:vAlign w:val="center"/>
            <w:hideMark/>
          </w:tcPr>
          <w:p w14:paraId="0BCEF5B7"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09ED14A7"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491184ED"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Murrumbidgee</w:t>
            </w:r>
          </w:p>
        </w:tc>
        <w:tc>
          <w:tcPr>
            <w:tcW w:w="1343" w:type="dxa"/>
            <w:tcBorders>
              <w:top w:val="nil"/>
              <w:left w:val="nil"/>
              <w:bottom w:val="single" w:sz="8" w:space="0" w:color="auto"/>
              <w:right w:val="single" w:sz="8" w:space="0" w:color="auto"/>
            </w:tcBorders>
            <w:shd w:val="clear" w:color="000000" w:fill="FCFCFF"/>
            <w:vAlign w:val="center"/>
            <w:hideMark/>
          </w:tcPr>
          <w:p w14:paraId="40254D1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12.8%</w:t>
            </w:r>
          </w:p>
        </w:tc>
        <w:tc>
          <w:tcPr>
            <w:tcW w:w="1344" w:type="dxa"/>
            <w:tcBorders>
              <w:top w:val="nil"/>
              <w:left w:val="nil"/>
              <w:bottom w:val="single" w:sz="8" w:space="0" w:color="auto"/>
              <w:right w:val="single" w:sz="8" w:space="0" w:color="auto"/>
            </w:tcBorders>
            <w:shd w:val="clear" w:color="auto" w:fill="auto"/>
            <w:vAlign w:val="center"/>
            <w:hideMark/>
          </w:tcPr>
          <w:p w14:paraId="720A5E43"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c>
          <w:tcPr>
            <w:tcW w:w="1344" w:type="dxa"/>
            <w:tcBorders>
              <w:top w:val="nil"/>
              <w:left w:val="nil"/>
              <w:bottom w:val="single" w:sz="8" w:space="0" w:color="auto"/>
              <w:right w:val="single" w:sz="8" w:space="0" w:color="auto"/>
            </w:tcBorders>
            <w:shd w:val="clear" w:color="000000" w:fill="F8696B"/>
            <w:vAlign w:val="center"/>
            <w:hideMark/>
          </w:tcPr>
          <w:p w14:paraId="12CF2F6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0.370</w:t>
            </w:r>
          </w:p>
        </w:tc>
        <w:tc>
          <w:tcPr>
            <w:tcW w:w="1344" w:type="dxa"/>
            <w:tcBorders>
              <w:top w:val="nil"/>
              <w:left w:val="nil"/>
              <w:bottom w:val="single" w:sz="8" w:space="0" w:color="auto"/>
              <w:right w:val="single" w:sz="8" w:space="0" w:color="auto"/>
            </w:tcBorders>
            <w:shd w:val="clear" w:color="auto" w:fill="auto"/>
            <w:vAlign w:val="center"/>
            <w:hideMark/>
          </w:tcPr>
          <w:p w14:paraId="315AF81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r>
      <w:tr w:rsidR="00CA62E1" w:rsidRPr="00286D49" w14:paraId="5B34DC9D"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73E1345"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Brisbane North</w:t>
            </w:r>
          </w:p>
        </w:tc>
        <w:tc>
          <w:tcPr>
            <w:tcW w:w="1343" w:type="dxa"/>
            <w:tcBorders>
              <w:top w:val="nil"/>
              <w:left w:val="nil"/>
              <w:bottom w:val="single" w:sz="8" w:space="0" w:color="auto"/>
              <w:right w:val="single" w:sz="8" w:space="0" w:color="auto"/>
            </w:tcBorders>
            <w:shd w:val="clear" w:color="000000" w:fill="FCDFE2"/>
            <w:vAlign w:val="center"/>
            <w:hideMark/>
          </w:tcPr>
          <w:p w14:paraId="53763EA4"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13.3%</w:t>
            </w:r>
          </w:p>
        </w:tc>
        <w:tc>
          <w:tcPr>
            <w:tcW w:w="1344" w:type="dxa"/>
            <w:tcBorders>
              <w:top w:val="nil"/>
              <w:left w:val="nil"/>
              <w:bottom w:val="single" w:sz="8" w:space="0" w:color="auto"/>
              <w:right w:val="single" w:sz="8" w:space="0" w:color="auto"/>
            </w:tcBorders>
            <w:shd w:val="clear" w:color="auto" w:fill="auto"/>
            <w:vAlign w:val="center"/>
            <w:hideMark/>
          </w:tcPr>
          <w:p w14:paraId="7A4E0E17"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ABC3E2"/>
            <w:vAlign w:val="center"/>
            <w:hideMark/>
          </w:tcPr>
          <w:p w14:paraId="1F7F738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0.220</w:t>
            </w:r>
          </w:p>
        </w:tc>
        <w:tc>
          <w:tcPr>
            <w:tcW w:w="1344" w:type="dxa"/>
            <w:tcBorders>
              <w:top w:val="nil"/>
              <w:left w:val="nil"/>
              <w:bottom w:val="single" w:sz="8" w:space="0" w:color="auto"/>
              <w:right w:val="single" w:sz="8" w:space="0" w:color="auto"/>
            </w:tcBorders>
            <w:shd w:val="clear" w:color="auto" w:fill="auto"/>
            <w:vAlign w:val="center"/>
            <w:hideMark/>
          </w:tcPr>
          <w:p w14:paraId="777EEC1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0C22F0D5"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600695A"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lastRenderedPageBreak/>
              <w:t>South Eastern NSW</w:t>
            </w:r>
          </w:p>
        </w:tc>
        <w:tc>
          <w:tcPr>
            <w:tcW w:w="1343" w:type="dxa"/>
            <w:tcBorders>
              <w:top w:val="nil"/>
              <w:left w:val="nil"/>
              <w:bottom w:val="single" w:sz="8" w:space="0" w:color="auto"/>
              <w:right w:val="single" w:sz="8" w:space="0" w:color="auto"/>
            </w:tcBorders>
            <w:shd w:val="clear" w:color="000000" w:fill="FCDFE2"/>
            <w:vAlign w:val="center"/>
            <w:hideMark/>
          </w:tcPr>
          <w:p w14:paraId="28D64DE8"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13.3%</w:t>
            </w:r>
          </w:p>
        </w:tc>
        <w:tc>
          <w:tcPr>
            <w:tcW w:w="1344" w:type="dxa"/>
            <w:tcBorders>
              <w:top w:val="nil"/>
              <w:left w:val="nil"/>
              <w:bottom w:val="single" w:sz="8" w:space="0" w:color="auto"/>
              <w:right w:val="single" w:sz="8" w:space="0" w:color="auto"/>
            </w:tcBorders>
            <w:shd w:val="clear" w:color="auto" w:fill="auto"/>
            <w:vAlign w:val="center"/>
            <w:hideMark/>
          </w:tcPr>
          <w:p w14:paraId="40777733"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CFCFF"/>
            <w:vAlign w:val="center"/>
            <w:hideMark/>
          </w:tcPr>
          <w:p w14:paraId="4224C907"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0.250</w:t>
            </w:r>
          </w:p>
        </w:tc>
        <w:tc>
          <w:tcPr>
            <w:tcW w:w="1344" w:type="dxa"/>
            <w:tcBorders>
              <w:top w:val="nil"/>
              <w:left w:val="nil"/>
              <w:bottom w:val="single" w:sz="8" w:space="0" w:color="auto"/>
              <w:right w:val="single" w:sz="8" w:space="0" w:color="auto"/>
            </w:tcBorders>
            <w:shd w:val="clear" w:color="auto" w:fill="auto"/>
            <w:vAlign w:val="center"/>
            <w:hideMark/>
          </w:tcPr>
          <w:p w14:paraId="1840E1CB"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2956AE2E"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37DC4D1"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Western Victoria</w:t>
            </w:r>
          </w:p>
        </w:tc>
        <w:tc>
          <w:tcPr>
            <w:tcW w:w="1343" w:type="dxa"/>
            <w:tcBorders>
              <w:top w:val="nil"/>
              <w:left w:val="nil"/>
              <w:bottom w:val="single" w:sz="8" w:space="0" w:color="auto"/>
              <w:right w:val="single" w:sz="8" w:space="0" w:color="auto"/>
            </w:tcBorders>
            <w:shd w:val="clear" w:color="000000" w:fill="FCDFE2"/>
            <w:vAlign w:val="center"/>
            <w:hideMark/>
          </w:tcPr>
          <w:p w14:paraId="7AF44A8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13.3%</w:t>
            </w:r>
          </w:p>
        </w:tc>
        <w:tc>
          <w:tcPr>
            <w:tcW w:w="1344" w:type="dxa"/>
            <w:tcBorders>
              <w:top w:val="nil"/>
              <w:left w:val="nil"/>
              <w:bottom w:val="single" w:sz="8" w:space="0" w:color="auto"/>
              <w:right w:val="single" w:sz="8" w:space="0" w:color="auto"/>
            </w:tcBorders>
            <w:shd w:val="clear" w:color="auto" w:fill="auto"/>
            <w:vAlign w:val="center"/>
            <w:hideMark/>
          </w:tcPr>
          <w:p w14:paraId="08DD387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CE4E7"/>
            <w:vAlign w:val="center"/>
            <w:hideMark/>
          </w:tcPr>
          <w:p w14:paraId="29CC62C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0.270</w:t>
            </w:r>
          </w:p>
        </w:tc>
        <w:tc>
          <w:tcPr>
            <w:tcW w:w="1344" w:type="dxa"/>
            <w:tcBorders>
              <w:top w:val="nil"/>
              <w:left w:val="nil"/>
              <w:bottom w:val="single" w:sz="8" w:space="0" w:color="auto"/>
              <w:right w:val="single" w:sz="8" w:space="0" w:color="auto"/>
            </w:tcBorders>
            <w:shd w:val="clear" w:color="auto" w:fill="auto"/>
            <w:vAlign w:val="center"/>
            <w:hideMark/>
          </w:tcPr>
          <w:p w14:paraId="20F670EB"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00112F3C"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D64E722"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Murray</w:t>
            </w:r>
          </w:p>
        </w:tc>
        <w:tc>
          <w:tcPr>
            <w:tcW w:w="1343" w:type="dxa"/>
            <w:tcBorders>
              <w:top w:val="nil"/>
              <w:left w:val="nil"/>
              <w:bottom w:val="single" w:sz="8" w:space="0" w:color="auto"/>
              <w:right w:val="single" w:sz="8" w:space="0" w:color="auto"/>
            </w:tcBorders>
            <w:shd w:val="clear" w:color="000000" w:fill="FCD9DC"/>
            <w:vAlign w:val="center"/>
            <w:hideMark/>
          </w:tcPr>
          <w:p w14:paraId="23040E0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13.4%</w:t>
            </w:r>
          </w:p>
        </w:tc>
        <w:tc>
          <w:tcPr>
            <w:tcW w:w="1344" w:type="dxa"/>
            <w:tcBorders>
              <w:top w:val="nil"/>
              <w:left w:val="nil"/>
              <w:bottom w:val="single" w:sz="8" w:space="0" w:color="auto"/>
              <w:right w:val="single" w:sz="8" w:space="0" w:color="auto"/>
            </w:tcBorders>
            <w:shd w:val="clear" w:color="auto" w:fill="auto"/>
            <w:vAlign w:val="center"/>
            <w:hideMark/>
          </w:tcPr>
          <w:p w14:paraId="6D9B9E3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BD8DA"/>
            <w:vAlign w:val="center"/>
            <w:hideMark/>
          </w:tcPr>
          <w:p w14:paraId="0611F5E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0.280</w:t>
            </w:r>
          </w:p>
        </w:tc>
        <w:tc>
          <w:tcPr>
            <w:tcW w:w="1344" w:type="dxa"/>
            <w:tcBorders>
              <w:top w:val="nil"/>
              <w:left w:val="nil"/>
              <w:bottom w:val="single" w:sz="8" w:space="0" w:color="auto"/>
              <w:right w:val="single" w:sz="8" w:space="0" w:color="auto"/>
            </w:tcBorders>
            <w:shd w:val="clear" w:color="auto" w:fill="auto"/>
            <w:vAlign w:val="center"/>
            <w:hideMark/>
          </w:tcPr>
          <w:p w14:paraId="7A1483C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285F31D1"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2E4DC9AB"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Darling Downs and West Moreton</w:t>
            </w:r>
          </w:p>
        </w:tc>
        <w:tc>
          <w:tcPr>
            <w:tcW w:w="1343" w:type="dxa"/>
            <w:tcBorders>
              <w:top w:val="nil"/>
              <w:left w:val="nil"/>
              <w:bottom w:val="single" w:sz="8" w:space="0" w:color="auto"/>
              <w:right w:val="single" w:sz="8" w:space="0" w:color="auto"/>
            </w:tcBorders>
            <w:shd w:val="clear" w:color="000000" w:fill="FBC8CA"/>
            <w:vAlign w:val="center"/>
            <w:hideMark/>
          </w:tcPr>
          <w:p w14:paraId="793E79C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13.7%</w:t>
            </w:r>
          </w:p>
        </w:tc>
        <w:tc>
          <w:tcPr>
            <w:tcW w:w="1344" w:type="dxa"/>
            <w:tcBorders>
              <w:top w:val="nil"/>
              <w:left w:val="nil"/>
              <w:bottom w:val="single" w:sz="8" w:space="0" w:color="auto"/>
              <w:right w:val="single" w:sz="8" w:space="0" w:color="auto"/>
            </w:tcBorders>
            <w:shd w:val="clear" w:color="auto" w:fill="auto"/>
            <w:vAlign w:val="center"/>
            <w:hideMark/>
          </w:tcPr>
          <w:p w14:paraId="6CD32B9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CFCFF"/>
            <w:vAlign w:val="center"/>
            <w:hideMark/>
          </w:tcPr>
          <w:p w14:paraId="7C3C781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0.250</w:t>
            </w:r>
          </w:p>
        </w:tc>
        <w:tc>
          <w:tcPr>
            <w:tcW w:w="1344" w:type="dxa"/>
            <w:tcBorders>
              <w:top w:val="nil"/>
              <w:left w:val="nil"/>
              <w:bottom w:val="single" w:sz="8" w:space="0" w:color="auto"/>
              <w:right w:val="single" w:sz="8" w:space="0" w:color="auto"/>
            </w:tcBorders>
            <w:shd w:val="clear" w:color="auto" w:fill="auto"/>
            <w:vAlign w:val="center"/>
            <w:hideMark/>
          </w:tcPr>
          <w:p w14:paraId="36D8707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71C693DC"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706D552"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Gold Coast</w:t>
            </w:r>
          </w:p>
        </w:tc>
        <w:tc>
          <w:tcPr>
            <w:tcW w:w="1343" w:type="dxa"/>
            <w:tcBorders>
              <w:top w:val="nil"/>
              <w:left w:val="nil"/>
              <w:bottom w:val="single" w:sz="8" w:space="0" w:color="auto"/>
              <w:right w:val="single" w:sz="8" w:space="0" w:color="auto"/>
            </w:tcBorders>
            <w:shd w:val="clear" w:color="000000" w:fill="FBC8CA"/>
            <w:vAlign w:val="center"/>
            <w:hideMark/>
          </w:tcPr>
          <w:p w14:paraId="0C32A60D"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13.7%</w:t>
            </w:r>
          </w:p>
        </w:tc>
        <w:tc>
          <w:tcPr>
            <w:tcW w:w="1344" w:type="dxa"/>
            <w:tcBorders>
              <w:top w:val="nil"/>
              <w:left w:val="nil"/>
              <w:bottom w:val="single" w:sz="8" w:space="0" w:color="auto"/>
              <w:right w:val="single" w:sz="8" w:space="0" w:color="auto"/>
            </w:tcBorders>
            <w:shd w:val="clear" w:color="auto" w:fill="auto"/>
            <w:vAlign w:val="center"/>
            <w:hideMark/>
          </w:tcPr>
          <w:p w14:paraId="0E18EC7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E0E8F5"/>
            <w:vAlign w:val="center"/>
            <w:hideMark/>
          </w:tcPr>
          <w:p w14:paraId="6D350784"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0.240</w:t>
            </w:r>
          </w:p>
        </w:tc>
        <w:tc>
          <w:tcPr>
            <w:tcW w:w="1344" w:type="dxa"/>
            <w:tcBorders>
              <w:top w:val="nil"/>
              <w:left w:val="nil"/>
              <w:bottom w:val="single" w:sz="8" w:space="0" w:color="auto"/>
              <w:right w:val="single" w:sz="8" w:space="0" w:color="auto"/>
            </w:tcBorders>
            <w:shd w:val="clear" w:color="auto" w:fill="auto"/>
            <w:vAlign w:val="center"/>
            <w:hideMark/>
          </w:tcPr>
          <w:p w14:paraId="266E552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76B8C3A8"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A234A11"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Hunter New England and Central Coast</w:t>
            </w:r>
          </w:p>
        </w:tc>
        <w:tc>
          <w:tcPr>
            <w:tcW w:w="1343" w:type="dxa"/>
            <w:tcBorders>
              <w:top w:val="nil"/>
              <w:left w:val="nil"/>
              <w:bottom w:val="single" w:sz="8" w:space="0" w:color="auto"/>
              <w:right w:val="single" w:sz="8" w:space="0" w:color="auto"/>
            </w:tcBorders>
            <w:shd w:val="clear" w:color="000000" w:fill="FBC8CA"/>
            <w:vAlign w:val="center"/>
            <w:hideMark/>
          </w:tcPr>
          <w:p w14:paraId="66DD64C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13.7%</w:t>
            </w:r>
          </w:p>
        </w:tc>
        <w:tc>
          <w:tcPr>
            <w:tcW w:w="1344" w:type="dxa"/>
            <w:tcBorders>
              <w:top w:val="nil"/>
              <w:left w:val="nil"/>
              <w:bottom w:val="single" w:sz="8" w:space="0" w:color="auto"/>
              <w:right w:val="single" w:sz="8" w:space="0" w:color="auto"/>
            </w:tcBorders>
            <w:shd w:val="clear" w:color="auto" w:fill="auto"/>
            <w:vAlign w:val="center"/>
            <w:hideMark/>
          </w:tcPr>
          <w:p w14:paraId="5670617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CE4E7"/>
            <w:vAlign w:val="center"/>
            <w:hideMark/>
          </w:tcPr>
          <w:p w14:paraId="3057E208"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0.270</w:t>
            </w:r>
          </w:p>
        </w:tc>
        <w:tc>
          <w:tcPr>
            <w:tcW w:w="1344" w:type="dxa"/>
            <w:tcBorders>
              <w:top w:val="nil"/>
              <w:left w:val="nil"/>
              <w:bottom w:val="single" w:sz="8" w:space="0" w:color="auto"/>
              <w:right w:val="single" w:sz="8" w:space="0" w:color="auto"/>
            </w:tcBorders>
            <w:shd w:val="clear" w:color="auto" w:fill="auto"/>
            <w:vAlign w:val="center"/>
            <w:hideMark/>
          </w:tcPr>
          <w:p w14:paraId="3687118B"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1168D194"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2936ECC8"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Adelaide</w:t>
            </w:r>
          </w:p>
        </w:tc>
        <w:tc>
          <w:tcPr>
            <w:tcW w:w="1343" w:type="dxa"/>
            <w:tcBorders>
              <w:top w:val="nil"/>
              <w:left w:val="nil"/>
              <w:bottom w:val="single" w:sz="8" w:space="0" w:color="auto"/>
              <w:right w:val="single" w:sz="8" w:space="0" w:color="auto"/>
            </w:tcBorders>
            <w:shd w:val="clear" w:color="000000" w:fill="FBB6B8"/>
            <w:vAlign w:val="center"/>
            <w:hideMark/>
          </w:tcPr>
          <w:p w14:paraId="3B268C1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14.0%</w:t>
            </w:r>
          </w:p>
        </w:tc>
        <w:tc>
          <w:tcPr>
            <w:tcW w:w="1344" w:type="dxa"/>
            <w:tcBorders>
              <w:top w:val="nil"/>
              <w:left w:val="nil"/>
              <w:bottom w:val="single" w:sz="8" w:space="0" w:color="auto"/>
              <w:right w:val="single" w:sz="8" w:space="0" w:color="auto"/>
            </w:tcBorders>
            <w:shd w:val="clear" w:color="auto" w:fill="auto"/>
            <w:vAlign w:val="center"/>
            <w:hideMark/>
          </w:tcPr>
          <w:p w14:paraId="50D973F2"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CF0F3"/>
            <w:vAlign w:val="center"/>
            <w:hideMark/>
          </w:tcPr>
          <w:p w14:paraId="4141F51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0.260</w:t>
            </w:r>
          </w:p>
        </w:tc>
        <w:tc>
          <w:tcPr>
            <w:tcW w:w="1344" w:type="dxa"/>
            <w:tcBorders>
              <w:top w:val="nil"/>
              <w:left w:val="nil"/>
              <w:bottom w:val="single" w:sz="8" w:space="0" w:color="auto"/>
              <w:right w:val="single" w:sz="8" w:space="0" w:color="auto"/>
            </w:tcBorders>
            <w:shd w:val="clear" w:color="auto" w:fill="auto"/>
            <w:vAlign w:val="center"/>
            <w:hideMark/>
          </w:tcPr>
          <w:p w14:paraId="1A643598"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39FF79EF"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D3CC792"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Australian Capital Territory</w:t>
            </w:r>
          </w:p>
        </w:tc>
        <w:tc>
          <w:tcPr>
            <w:tcW w:w="1343" w:type="dxa"/>
            <w:tcBorders>
              <w:top w:val="nil"/>
              <w:left w:val="nil"/>
              <w:bottom w:val="single" w:sz="8" w:space="0" w:color="auto"/>
              <w:right w:val="single" w:sz="8" w:space="0" w:color="auto"/>
            </w:tcBorders>
            <w:shd w:val="clear" w:color="000000" w:fill="FBB6B8"/>
            <w:vAlign w:val="center"/>
            <w:hideMark/>
          </w:tcPr>
          <w:p w14:paraId="1FC11DB5"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14.0%</w:t>
            </w:r>
          </w:p>
        </w:tc>
        <w:tc>
          <w:tcPr>
            <w:tcW w:w="1344" w:type="dxa"/>
            <w:tcBorders>
              <w:top w:val="nil"/>
              <w:left w:val="nil"/>
              <w:bottom w:val="single" w:sz="8" w:space="0" w:color="auto"/>
              <w:right w:val="single" w:sz="8" w:space="0" w:color="auto"/>
            </w:tcBorders>
            <w:shd w:val="clear" w:color="auto" w:fill="auto"/>
            <w:vAlign w:val="center"/>
            <w:hideMark/>
          </w:tcPr>
          <w:p w14:paraId="4E9D715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8FAFD8"/>
            <w:vAlign w:val="center"/>
            <w:hideMark/>
          </w:tcPr>
          <w:p w14:paraId="0912B0A4"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0.210</w:t>
            </w:r>
          </w:p>
        </w:tc>
        <w:tc>
          <w:tcPr>
            <w:tcW w:w="1344" w:type="dxa"/>
            <w:tcBorders>
              <w:top w:val="nil"/>
              <w:left w:val="nil"/>
              <w:bottom w:val="single" w:sz="8" w:space="0" w:color="auto"/>
              <w:right w:val="single" w:sz="8" w:space="0" w:color="auto"/>
            </w:tcBorders>
            <w:shd w:val="clear" w:color="auto" w:fill="auto"/>
            <w:vAlign w:val="center"/>
            <w:hideMark/>
          </w:tcPr>
          <w:p w14:paraId="2D0F2B5E"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459FA38D"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8F595ED"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Country SA</w:t>
            </w:r>
          </w:p>
        </w:tc>
        <w:tc>
          <w:tcPr>
            <w:tcW w:w="1343" w:type="dxa"/>
            <w:tcBorders>
              <w:top w:val="nil"/>
              <w:left w:val="nil"/>
              <w:bottom w:val="single" w:sz="8" w:space="0" w:color="auto"/>
              <w:right w:val="single" w:sz="8" w:space="0" w:color="auto"/>
            </w:tcBorders>
            <w:shd w:val="clear" w:color="000000" w:fill="FBB6B8"/>
            <w:vAlign w:val="center"/>
            <w:hideMark/>
          </w:tcPr>
          <w:p w14:paraId="20855F3F"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14.0%</w:t>
            </w:r>
          </w:p>
        </w:tc>
        <w:tc>
          <w:tcPr>
            <w:tcW w:w="1344" w:type="dxa"/>
            <w:tcBorders>
              <w:top w:val="nil"/>
              <w:left w:val="nil"/>
              <w:bottom w:val="single" w:sz="8" w:space="0" w:color="auto"/>
              <w:right w:val="single" w:sz="8" w:space="0" w:color="auto"/>
            </w:tcBorders>
            <w:shd w:val="clear" w:color="auto" w:fill="auto"/>
            <w:vAlign w:val="center"/>
            <w:hideMark/>
          </w:tcPr>
          <w:p w14:paraId="37A3A59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98E90"/>
            <w:vAlign w:val="center"/>
            <w:hideMark/>
          </w:tcPr>
          <w:p w14:paraId="1C136F90"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0.340</w:t>
            </w:r>
          </w:p>
        </w:tc>
        <w:tc>
          <w:tcPr>
            <w:tcW w:w="1344" w:type="dxa"/>
            <w:tcBorders>
              <w:top w:val="nil"/>
              <w:left w:val="nil"/>
              <w:bottom w:val="single" w:sz="8" w:space="0" w:color="auto"/>
              <w:right w:val="single" w:sz="8" w:space="0" w:color="auto"/>
            </w:tcBorders>
            <w:shd w:val="clear" w:color="auto" w:fill="auto"/>
            <w:vAlign w:val="center"/>
            <w:hideMark/>
          </w:tcPr>
          <w:p w14:paraId="30ABB085"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r>
      <w:tr w:rsidR="00CA62E1" w:rsidRPr="00286D49" w14:paraId="138A19C1"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8522BC5"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Gippsland</w:t>
            </w:r>
          </w:p>
        </w:tc>
        <w:tc>
          <w:tcPr>
            <w:tcW w:w="1343" w:type="dxa"/>
            <w:tcBorders>
              <w:top w:val="nil"/>
              <w:left w:val="nil"/>
              <w:bottom w:val="single" w:sz="8" w:space="0" w:color="auto"/>
              <w:right w:val="single" w:sz="8" w:space="0" w:color="auto"/>
            </w:tcBorders>
            <w:shd w:val="clear" w:color="000000" w:fill="FAAAAD"/>
            <w:vAlign w:val="center"/>
            <w:hideMark/>
          </w:tcPr>
          <w:p w14:paraId="2365EC5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14.2%</w:t>
            </w:r>
          </w:p>
        </w:tc>
        <w:tc>
          <w:tcPr>
            <w:tcW w:w="1344" w:type="dxa"/>
            <w:tcBorders>
              <w:top w:val="nil"/>
              <w:left w:val="nil"/>
              <w:bottom w:val="single" w:sz="8" w:space="0" w:color="auto"/>
              <w:right w:val="single" w:sz="8" w:space="0" w:color="auto"/>
            </w:tcBorders>
            <w:shd w:val="clear" w:color="auto" w:fill="auto"/>
            <w:vAlign w:val="center"/>
            <w:hideMark/>
          </w:tcPr>
          <w:p w14:paraId="1828ECA0"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E0E8F5"/>
            <w:vAlign w:val="center"/>
            <w:hideMark/>
          </w:tcPr>
          <w:p w14:paraId="750A64E1"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0.240</w:t>
            </w:r>
          </w:p>
        </w:tc>
        <w:tc>
          <w:tcPr>
            <w:tcW w:w="1344" w:type="dxa"/>
            <w:tcBorders>
              <w:top w:val="nil"/>
              <w:left w:val="nil"/>
              <w:bottom w:val="single" w:sz="8" w:space="0" w:color="auto"/>
              <w:right w:val="single" w:sz="8" w:space="0" w:color="auto"/>
            </w:tcBorders>
            <w:shd w:val="clear" w:color="auto" w:fill="auto"/>
            <w:vAlign w:val="center"/>
            <w:hideMark/>
          </w:tcPr>
          <w:p w14:paraId="2ACCF2C4"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Low</w:t>
            </w:r>
          </w:p>
        </w:tc>
      </w:tr>
      <w:tr w:rsidR="00CA62E1" w:rsidRPr="00286D49" w14:paraId="2B76310A"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40ABEB5"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Central Queensland, Wide Bay, Sunshine Coast</w:t>
            </w:r>
          </w:p>
        </w:tc>
        <w:tc>
          <w:tcPr>
            <w:tcW w:w="1343" w:type="dxa"/>
            <w:tcBorders>
              <w:top w:val="nil"/>
              <w:left w:val="nil"/>
              <w:bottom w:val="single" w:sz="8" w:space="0" w:color="auto"/>
              <w:right w:val="single" w:sz="8" w:space="0" w:color="auto"/>
            </w:tcBorders>
            <w:shd w:val="clear" w:color="000000" w:fill="FA999B"/>
            <w:vAlign w:val="center"/>
            <w:hideMark/>
          </w:tcPr>
          <w:p w14:paraId="1B42E512"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14.5%</w:t>
            </w:r>
          </w:p>
        </w:tc>
        <w:tc>
          <w:tcPr>
            <w:tcW w:w="1344" w:type="dxa"/>
            <w:tcBorders>
              <w:top w:val="nil"/>
              <w:left w:val="nil"/>
              <w:bottom w:val="single" w:sz="8" w:space="0" w:color="auto"/>
              <w:right w:val="single" w:sz="8" w:space="0" w:color="auto"/>
            </w:tcBorders>
            <w:shd w:val="clear" w:color="auto" w:fill="auto"/>
            <w:vAlign w:val="center"/>
            <w:hideMark/>
          </w:tcPr>
          <w:p w14:paraId="705AA9AB"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BD8DA"/>
            <w:vAlign w:val="center"/>
            <w:hideMark/>
          </w:tcPr>
          <w:p w14:paraId="612C05EC"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0.280</w:t>
            </w:r>
          </w:p>
        </w:tc>
        <w:tc>
          <w:tcPr>
            <w:tcW w:w="1344" w:type="dxa"/>
            <w:tcBorders>
              <w:top w:val="nil"/>
              <w:left w:val="nil"/>
              <w:bottom w:val="single" w:sz="8" w:space="0" w:color="auto"/>
              <w:right w:val="single" w:sz="8" w:space="0" w:color="auto"/>
            </w:tcBorders>
            <w:shd w:val="clear" w:color="auto" w:fill="auto"/>
            <w:vAlign w:val="center"/>
            <w:hideMark/>
          </w:tcPr>
          <w:p w14:paraId="70EC11DD"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29B870FC"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04419E2"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Tasmania</w:t>
            </w:r>
          </w:p>
        </w:tc>
        <w:tc>
          <w:tcPr>
            <w:tcW w:w="1343" w:type="dxa"/>
            <w:tcBorders>
              <w:top w:val="nil"/>
              <w:left w:val="nil"/>
              <w:bottom w:val="single" w:sz="8" w:space="0" w:color="auto"/>
              <w:right w:val="single" w:sz="8" w:space="0" w:color="auto"/>
            </w:tcBorders>
            <w:shd w:val="clear" w:color="000000" w:fill="FA999B"/>
            <w:vAlign w:val="center"/>
            <w:hideMark/>
          </w:tcPr>
          <w:p w14:paraId="7FA1D75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14.5%</w:t>
            </w:r>
          </w:p>
        </w:tc>
        <w:tc>
          <w:tcPr>
            <w:tcW w:w="1344" w:type="dxa"/>
            <w:tcBorders>
              <w:top w:val="nil"/>
              <w:left w:val="nil"/>
              <w:bottom w:val="single" w:sz="8" w:space="0" w:color="auto"/>
              <w:right w:val="single" w:sz="8" w:space="0" w:color="auto"/>
            </w:tcBorders>
            <w:shd w:val="clear" w:color="auto" w:fill="auto"/>
            <w:vAlign w:val="center"/>
            <w:hideMark/>
          </w:tcPr>
          <w:p w14:paraId="7ECF9965"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BD8DA"/>
            <w:vAlign w:val="center"/>
            <w:hideMark/>
          </w:tcPr>
          <w:p w14:paraId="7D3CA1B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0.280</w:t>
            </w:r>
          </w:p>
        </w:tc>
        <w:tc>
          <w:tcPr>
            <w:tcW w:w="1344" w:type="dxa"/>
            <w:tcBorders>
              <w:top w:val="nil"/>
              <w:left w:val="nil"/>
              <w:bottom w:val="single" w:sz="8" w:space="0" w:color="auto"/>
              <w:right w:val="single" w:sz="8" w:space="0" w:color="auto"/>
            </w:tcBorders>
            <w:shd w:val="clear" w:color="auto" w:fill="auto"/>
            <w:vAlign w:val="center"/>
            <w:hideMark/>
          </w:tcPr>
          <w:p w14:paraId="1A14C439"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30BB5C5E"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23D348D1" w14:textId="77777777" w:rsidR="00CA62E1" w:rsidRPr="00286D49" w:rsidRDefault="00CA62E1" w:rsidP="00A15D68">
            <w:pPr>
              <w:spacing w:after="0"/>
              <w:rPr>
                <w:rFonts w:eastAsia="Times New Roman" w:cs="Times New Roman"/>
                <w:color w:val="000000"/>
                <w:sz w:val="18"/>
                <w:szCs w:val="18"/>
                <w:lang w:eastAsia="en-AU"/>
              </w:rPr>
            </w:pPr>
            <w:r w:rsidRPr="00286D49">
              <w:rPr>
                <w:rFonts w:eastAsia="Times New Roman" w:cs="Times New Roman"/>
                <w:color w:val="000000"/>
                <w:sz w:val="18"/>
                <w:szCs w:val="18"/>
                <w:lang w:eastAsia="en-AU"/>
              </w:rPr>
              <w:t>North Coast</w:t>
            </w:r>
          </w:p>
        </w:tc>
        <w:tc>
          <w:tcPr>
            <w:tcW w:w="1343" w:type="dxa"/>
            <w:tcBorders>
              <w:top w:val="nil"/>
              <w:left w:val="nil"/>
              <w:bottom w:val="single" w:sz="8" w:space="0" w:color="auto"/>
              <w:right w:val="single" w:sz="8" w:space="0" w:color="auto"/>
            </w:tcBorders>
            <w:shd w:val="clear" w:color="000000" w:fill="F8696B"/>
            <w:vAlign w:val="center"/>
            <w:hideMark/>
          </w:tcPr>
          <w:p w14:paraId="7B9D488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15.3%</w:t>
            </w:r>
          </w:p>
        </w:tc>
        <w:tc>
          <w:tcPr>
            <w:tcW w:w="1344" w:type="dxa"/>
            <w:tcBorders>
              <w:top w:val="nil"/>
              <w:left w:val="nil"/>
              <w:bottom w:val="single" w:sz="8" w:space="0" w:color="auto"/>
              <w:right w:val="single" w:sz="8" w:space="0" w:color="auto"/>
            </w:tcBorders>
            <w:shd w:val="clear" w:color="auto" w:fill="auto"/>
            <w:vAlign w:val="center"/>
            <w:hideMark/>
          </w:tcPr>
          <w:p w14:paraId="5BF42B46"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High</w:t>
            </w:r>
          </w:p>
        </w:tc>
        <w:tc>
          <w:tcPr>
            <w:tcW w:w="1344" w:type="dxa"/>
            <w:tcBorders>
              <w:top w:val="nil"/>
              <w:left w:val="nil"/>
              <w:bottom w:val="single" w:sz="8" w:space="0" w:color="auto"/>
              <w:right w:val="single" w:sz="8" w:space="0" w:color="auto"/>
            </w:tcBorders>
            <w:shd w:val="clear" w:color="000000" w:fill="FCE4E7"/>
            <w:vAlign w:val="center"/>
            <w:hideMark/>
          </w:tcPr>
          <w:p w14:paraId="412CFA2A"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0.270</w:t>
            </w:r>
          </w:p>
        </w:tc>
        <w:tc>
          <w:tcPr>
            <w:tcW w:w="1344" w:type="dxa"/>
            <w:tcBorders>
              <w:top w:val="nil"/>
              <w:left w:val="nil"/>
              <w:bottom w:val="single" w:sz="8" w:space="0" w:color="auto"/>
              <w:right w:val="single" w:sz="8" w:space="0" w:color="auto"/>
            </w:tcBorders>
            <w:shd w:val="clear" w:color="auto" w:fill="auto"/>
            <w:vAlign w:val="center"/>
            <w:hideMark/>
          </w:tcPr>
          <w:p w14:paraId="75860003" w14:textId="77777777" w:rsidR="00CA62E1" w:rsidRPr="00286D49" w:rsidRDefault="00CA62E1" w:rsidP="00A15D68">
            <w:pPr>
              <w:spacing w:after="0"/>
              <w:jc w:val="center"/>
              <w:rPr>
                <w:rFonts w:eastAsia="Times New Roman" w:cs="Times New Roman"/>
                <w:color w:val="000000"/>
                <w:sz w:val="18"/>
                <w:szCs w:val="18"/>
                <w:lang w:eastAsia="en-AU"/>
              </w:rPr>
            </w:pPr>
            <w:r w:rsidRPr="00286D49">
              <w:rPr>
                <w:rFonts w:eastAsia="Times New Roman" w:cs="Times New Roman"/>
                <w:color w:val="000000"/>
                <w:sz w:val="18"/>
                <w:szCs w:val="18"/>
                <w:lang w:eastAsia="en-AU"/>
              </w:rPr>
              <w:t>Mid</w:t>
            </w:r>
          </w:p>
        </w:tc>
      </w:tr>
      <w:tr w:rsidR="00CA62E1" w:rsidRPr="00286D49" w14:paraId="0F5DCE38" w14:textId="77777777" w:rsidTr="00A15D68">
        <w:trPr>
          <w:trHeight w:val="227"/>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ED33D92" w14:textId="77777777" w:rsidR="00CA62E1" w:rsidRPr="00286D49" w:rsidRDefault="00CA62E1" w:rsidP="00A15D68">
            <w:pPr>
              <w:spacing w:after="0"/>
              <w:rPr>
                <w:rFonts w:eastAsia="Times New Roman" w:cs="Times New Roman"/>
                <w:b/>
                <w:bCs/>
                <w:color w:val="000000"/>
                <w:sz w:val="18"/>
                <w:szCs w:val="18"/>
                <w:lang w:eastAsia="en-AU"/>
              </w:rPr>
            </w:pPr>
            <w:r w:rsidRPr="00286D49">
              <w:rPr>
                <w:rFonts w:eastAsia="Times New Roman" w:cs="Times New Roman"/>
                <w:b/>
                <w:bCs/>
                <w:color w:val="000000"/>
                <w:sz w:val="18"/>
                <w:szCs w:val="18"/>
                <w:lang w:eastAsia="en-AU"/>
              </w:rPr>
              <w:t>Total</w:t>
            </w:r>
          </w:p>
        </w:tc>
        <w:tc>
          <w:tcPr>
            <w:tcW w:w="1343" w:type="dxa"/>
            <w:tcBorders>
              <w:top w:val="nil"/>
              <w:left w:val="nil"/>
              <w:bottom w:val="single" w:sz="8" w:space="0" w:color="auto"/>
              <w:right w:val="single" w:sz="8" w:space="0" w:color="auto"/>
            </w:tcBorders>
            <w:shd w:val="clear" w:color="auto" w:fill="auto"/>
            <w:vAlign w:val="center"/>
            <w:hideMark/>
          </w:tcPr>
          <w:p w14:paraId="28EDBF17" w14:textId="77777777" w:rsidR="00CA62E1" w:rsidRPr="00286D49" w:rsidRDefault="00CA62E1" w:rsidP="00A15D68">
            <w:pPr>
              <w:spacing w:after="0"/>
              <w:jc w:val="center"/>
              <w:rPr>
                <w:rFonts w:eastAsia="Times New Roman" w:cs="Times New Roman"/>
                <w:b/>
                <w:bCs/>
                <w:color w:val="000000"/>
                <w:sz w:val="18"/>
                <w:szCs w:val="18"/>
                <w:lang w:eastAsia="en-AU"/>
              </w:rPr>
            </w:pPr>
            <w:r w:rsidRPr="00286D49">
              <w:rPr>
                <w:rFonts w:eastAsia="Times New Roman" w:cs="Times New Roman"/>
                <w:b/>
                <w:bCs/>
                <w:color w:val="000000"/>
                <w:sz w:val="18"/>
                <w:szCs w:val="18"/>
                <w:lang w:eastAsia="en-AU"/>
              </w:rPr>
              <w:t>12.5%</w:t>
            </w:r>
          </w:p>
        </w:tc>
        <w:tc>
          <w:tcPr>
            <w:tcW w:w="1344" w:type="dxa"/>
            <w:tcBorders>
              <w:top w:val="nil"/>
              <w:left w:val="nil"/>
              <w:bottom w:val="single" w:sz="8" w:space="0" w:color="auto"/>
              <w:right w:val="single" w:sz="8" w:space="0" w:color="auto"/>
            </w:tcBorders>
            <w:shd w:val="clear" w:color="auto" w:fill="auto"/>
            <w:vAlign w:val="center"/>
            <w:hideMark/>
          </w:tcPr>
          <w:p w14:paraId="43C89FE9" w14:textId="77777777" w:rsidR="00CA62E1" w:rsidRPr="00286D49" w:rsidRDefault="00CA62E1" w:rsidP="00A15D68">
            <w:pPr>
              <w:spacing w:after="0"/>
              <w:jc w:val="center"/>
              <w:rPr>
                <w:rFonts w:eastAsia="Times New Roman" w:cs="Times New Roman"/>
                <w:b/>
                <w:bCs/>
                <w:color w:val="000000"/>
                <w:sz w:val="18"/>
                <w:szCs w:val="18"/>
                <w:lang w:eastAsia="en-AU"/>
              </w:rPr>
            </w:pPr>
          </w:p>
        </w:tc>
        <w:tc>
          <w:tcPr>
            <w:tcW w:w="1344" w:type="dxa"/>
            <w:tcBorders>
              <w:top w:val="nil"/>
              <w:left w:val="nil"/>
              <w:bottom w:val="single" w:sz="8" w:space="0" w:color="auto"/>
              <w:right w:val="single" w:sz="8" w:space="0" w:color="auto"/>
            </w:tcBorders>
            <w:shd w:val="clear" w:color="auto" w:fill="auto"/>
            <w:vAlign w:val="center"/>
            <w:hideMark/>
          </w:tcPr>
          <w:p w14:paraId="02AB7D39" w14:textId="77777777" w:rsidR="00CA62E1" w:rsidRPr="00286D49" w:rsidRDefault="00CA62E1" w:rsidP="00A15D68">
            <w:pPr>
              <w:spacing w:after="0"/>
              <w:jc w:val="center"/>
              <w:rPr>
                <w:rFonts w:eastAsia="Times New Roman" w:cs="Times New Roman"/>
                <w:b/>
                <w:bCs/>
                <w:color w:val="000000"/>
                <w:sz w:val="18"/>
                <w:szCs w:val="18"/>
                <w:lang w:eastAsia="en-AU"/>
              </w:rPr>
            </w:pPr>
            <w:r w:rsidRPr="00286D49">
              <w:rPr>
                <w:rFonts w:eastAsia="Times New Roman" w:cs="Times New Roman"/>
                <w:b/>
                <w:bCs/>
                <w:color w:val="000000"/>
                <w:sz w:val="18"/>
                <w:szCs w:val="18"/>
                <w:lang w:eastAsia="en-AU"/>
              </w:rPr>
              <w:t>0.230</w:t>
            </w:r>
          </w:p>
        </w:tc>
        <w:tc>
          <w:tcPr>
            <w:tcW w:w="1344" w:type="dxa"/>
            <w:tcBorders>
              <w:top w:val="nil"/>
              <w:left w:val="nil"/>
              <w:bottom w:val="single" w:sz="8" w:space="0" w:color="auto"/>
              <w:right w:val="single" w:sz="8" w:space="0" w:color="auto"/>
            </w:tcBorders>
            <w:shd w:val="clear" w:color="auto" w:fill="auto"/>
            <w:vAlign w:val="center"/>
            <w:hideMark/>
          </w:tcPr>
          <w:p w14:paraId="07EFA371" w14:textId="77777777" w:rsidR="00CA62E1" w:rsidRPr="00286D49" w:rsidRDefault="00CA62E1" w:rsidP="00A15D68">
            <w:pPr>
              <w:spacing w:after="0"/>
              <w:jc w:val="center"/>
              <w:rPr>
                <w:rFonts w:eastAsia="Times New Roman" w:cs="Times New Roman"/>
                <w:b/>
                <w:bCs/>
                <w:color w:val="000000"/>
                <w:sz w:val="18"/>
                <w:szCs w:val="18"/>
                <w:lang w:eastAsia="en-AU"/>
              </w:rPr>
            </w:pPr>
          </w:p>
        </w:tc>
      </w:tr>
    </w:tbl>
    <w:p w14:paraId="1CBCEC3D" w14:textId="77777777" w:rsidR="00CA62E1" w:rsidRPr="00286D49" w:rsidRDefault="00CA62E1" w:rsidP="00CA62E1">
      <w:pPr>
        <w:pStyle w:val="08Tablefootnotes"/>
      </w:pPr>
      <w:r w:rsidRPr="00286D49">
        <w:t xml:space="preserve">Source: Claims payment data supplied in PPI Total Data Compilation_Copy.xls in conjunction with Phidu_data_pha_aust.xls available from </w:t>
      </w:r>
      <w:hyperlink r:id="rId25" w:anchor="population-projections" w:history="1">
        <w:r w:rsidRPr="00286D49">
          <w:rPr>
            <w:rStyle w:val="Hyperlink"/>
          </w:rPr>
          <w:t>http://www.phidu.torrens.edu.au/social-health-atlases/indicators-and-notes-on-the-data/social-health-atlases-of-australia-contents#population-projections</w:t>
        </w:r>
      </w:hyperlink>
      <w:r w:rsidRPr="00286D49">
        <w:rPr>
          <w:color w:val="1F497D"/>
        </w:rPr>
        <w:t xml:space="preserve"> </w:t>
      </w:r>
      <w:r w:rsidRPr="00286D49">
        <w:t>(accessed 5</w:t>
      </w:r>
      <w:r w:rsidRPr="00286D49">
        <w:rPr>
          <w:vertAlign w:val="superscript"/>
        </w:rPr>
        <w:t>th</w:t>
      </w:r>
      <w:r w:rsidRPr="00286D49">
        <w:t xml:space="preserve"> October, 2016)</w:t>
      </w:r>
    </w:p>
    <w:p w14:paraId="16BFA9B5" w14:textId="77777777" w:rsidR="00CA62E1" w:rsidRPr="00286D49" w:rsidRDefault="00CA62E1" w:rsidP="00CA62E1">
      <w:pPr>
        <w:pStyle w:val="09Tablefootnoteslast-nostick"/>
      </w:pPr>
      <w:r w:rsidRPr="00286D49">
        <w:t xml:space="preserve">Abbreviations: </w:t>
      </w:r>
      <w:r>
        <w:t>SS</w:t>
      </w:r>
      <w:r w:rsidRPr="00286D49">
        <w:t xml:space="preserve">, </w:t>
      </w:r>
      <w:r>
        <w:t>Staged Supply</w:t>
      </w:r>
      <w:r w:rsidRPr="00286D49">
        <w:t>.</w:t>
      </w:r>
    </w:p>
    <w:p w14:paraId="51DE2FCD" w14:textId="7093552C" w:rsidR="00CA62E1" w:rsidRPr="00BE643D" w:rsidRDefault="00CA62E1" w:rsidP="00CA62E1">
      <w:pPr>
        <w:pStyle w:val="BodyText"/>
        <w:rPr>
          <w:iCs/>
          <w:szCs w:val="24"/>
        </w:rPr>
      </w:pPr>
      <w:r w:rsidRPr="00BE643D">
        <w:rPr>
          <w:iCs/>
          <w:szCs w:val="24"/>
        </w:rPr>
        <w:t xml:space="preserve">Visual examination of </w:t>
      </w:r>
      <w:r w:rsidR="00FC2607">
        <w:rPr>
          <w:iCs/>
          <w:szCs w:val="24"/>
        </w:rPr>
        <w:fldChar w:fldCharType="begin"/>
      </w:r>
      <w:r w:rsidR="00FC2607">
        <w:rPr>
          <w:iCs/>
          <w:szCs w:val="24"/>
        </w:rPr>
        <w:instrText xml:space="preserve"> REF _Ref522784825 \h </w:instrText>
      </w:r>
      <w:r w:rsidR="00FC2607">
        <w:rPr>
          <w:iCs/>
          <w:szCs w:val="24"/>
        </w:rPr>
      </w:r>
      <w:r w:rsidR="00FC2607">
        <w:rPr>
          <w:iCs/>
          <w:szCs w:val="24"/>
        </w:rPr>
        <w:fldChar w:fldCharType="separate"/>
      </w:r>
      <w:r w:rsidR="00FC2607">
        <w:t xml:space="preserve">Table </w:t>
      </w:r>
      <w:r w:rsidR="00FC2607">
        <w:rPr>
          <w:noProof/>
        </w:rPr>
        <w:t>5</w:t>
      </w:r>
      <w:r w:rsidR="00FC2607">
        <w:t>.</w:t>
      </w:r>
      <w:r w:rsidR="00FC2607">
        <w:rPr>
          <w:noProof/>
        </w:rPr>
        <w:t>3</w:t>
      </w:r>
      <w:r w:rsidR="00FC2607">
        <w:rPr>
          <w:iCs/>
          <w:szCs w:val="24"/>
        </w:rPr>
        <w:fldChar w:fldCharType="end"/>
      </w:r>
      <w:r>
        <w:rPr>
          <w:iCs/>
          <w:szCs w:val="24"/>
        </w:rPr>
        <w:fldChar w:fldCharType="begin"/>
      </w:r>
      <w:r>
        <w:rPr>
          <w:iCs/>
          <w:szCs w:val="24"/>
        </w:rPr>
        <w:instrText xml:space="preserve"> REF _Ref463609058 \h </w:instrText>
      </w:r>
      <w:r>
        <w:rPr>
          <w:iCs/>
          <w:szCs w:val="24"/>
        </w:rPr>
      </w:r>
      <w:r>
        <w:rPr>
          <w:iCs/>
          <w:szCs w:val="24"/>
        </w:rPr>
        <w:fldChar w:fldCharType="end"/>
      </w:r>
      <w:r>
        <w:rPr>
          <w:iCs/>
          <w:szCs w:val="24"/>
        </w:rPr>
        <w:t xml:space="preserve"> </w:t>
      </w:r>
      <w:r w:rsidRPr="00BE643D">
        <w:rPr>
          <w:iCs/>
          <w:szCs w:val="24"/>
        </w:rPr>
        <w:t xml:space="preserve">reveals that there is little relationship between </w:t>
      </w:r>
      <w:r>
        <w:rPr>
          <w:iCs/>
          <w:szCs w:val="24"/>
        </w:rPr>
        <w:t>mental health issues</w:t>
      </w:r>
      <w:r w:rsidRPr="00BE643D">
        <w:rPr>
          <w:iCs/>
          <w:szCs w:val="24"/>
        </w:rPr>
        <w:t xml:space="preserve"> prevalence and </w:t>
      </w:r>
      <w:r>
        <w:rPr>
          <w:iCs/>
          <w:szCs w:val="24"/>
        </w:rPr>
        <w:t>SS</w:t>
      </w:r>
      <w:r w:rsidRPr="00BE643D">
        <w:rPr>
          <w:iCs/>
          <w:szCs w:val="24"/>
        </w:rPr>
        <w:t xml:space="preserve"> resources applied.  It shows that only </w:t>
      </w:r>
      <w:r>
        <w:rPr>
          <w:iCs/>
          <w:szCs w:val="24"/>
        </w:rPr>
        <w:t>7</w:t>
      </w:r>
      <w:r w:rsidRPr="00BE643D">
        <w:rPr>
          <w:iCs/>
          <w:szCs w:val="24"/>
        </w:rPr>
        <w:t xml:space="preserve"> of 31 PHNs have the same banding for both </w:t>
      </w:r>
      <w:r>
        <w:rPr>
          <w:iCs/>
          <w:szCs w:val="24"/>
        </w:rPr>
        <w:t>mental health issues</w:t>
      </w:r>
      <w:r w:rsidRPr="00BE643D">
        <w:rPr>
          <w:iCs/>
          <w:szCs w:val="24"/>
        </w:rPr>
        <w:t xml:space="preserve"> prevalence, and average </w:t>
      </w:r>
      <w:r>
        <w:rPr>
          <w:iCs/>
          <w:szCs w:val="24"/>
        </w:rPr>
        <w:t>SS</w:t>
      </w:r>
      <w:r w:rsidRPr="00BE643D">
        <w:rPr>
          <w:iCs/>
          <w:szCs w:val="24"/>
        </w:rPr>
        <w:t xml:space="preserve"> resources (claims) per capita.  In fact, </w:t>
      </w:r>
      <w:r>
        <w:rPr>
          <w:iCs/>
          <w:szCs w:val="24"/>
        </w:rPr>
        <w:t>only</w:t>
      </w:r>
      <w:r w:rsidRPr="00BE643D">
        <w:rPr>
          <w:iCs/>
          <w:szCs w:val="24"/>
        </w:rPr>
        <w:t xml:space="preserve"> </w:t>
      </w:r>
      <w:r>
        <w:rPr>
          <w:iCs/>
          <w:szCs w:val="24"/>
        </w:rPr>
        <w:t xml:space="preserve">one </w:t>
      </w:r>
      <w:r w:rsidRPr="00BE643D">
        <w:rPr>
          <w:iCs/>
          <w:szCs w:val="24"/>
        </w:rPr>
        <w:t xml:space="preserve">of the five highest prevalence </w:t>
      </w:r>
      <w:r>
        <w:rPr>
          <w:iCs/>
          <w:szCs w:val="24"/>
        </w:rPr>
        <w:t>mental health issues</w:t>
      </w:r>
      <w:r w:rsidRPr="00BE643D">
        <w:rPr>
          <w:iCs/>
          <w:szCs w:val="24"/>
        </w:rPr>
        <w:t xml:space="preserve"> PHNs feature as high </w:t>
      </w:r>
      <w:r>
        <w:rPr>
          <w:iCs/>
          <w:szCs w:val="24"/>
        </w:rPr>
        <w:t>SS resource invested</w:t>
      </w:r>
      <w:r w:rsidRPr="00BE643D">
        <w:rPr>
          <w:iCs/>
          <w:szCs w:val="24"/>
        </w:rPr>
        <w:t xml:space="preserve"> PHN. The degree of similarity in the heat map coloration of each column is negligible.</w:t>
      </w:r>
      <w:r>
        <w:rPr>
          <w:iCs/>
          <w:szCs w:val="24"/>
        </w:rPr>
        <w:t xml:space="preserve">  It is important to note that due to the SS incentive payment not being linked to volume of SS services, the interpretation of this analysis is problematic.  </w:t>
      </w:r>
    </w:p>
    <w:p w14:paraId="53DC9FA7" w14:textId="77777777" w:rsidR="00CA62E1" w:rsidRPr="00BE643D" w:rsidRDefault="00CA62E1" w:rsidP="00CA62E1">
      <w:pPr>
        <w:pStyle w:val="BodyText"/>
        <w:rPr>
          <w:iCs/>
          <w:szCs w:val="24"/>
        </w:rPr>
      </w:pPr>
      <w:r w:rsidRPr="00BE643D">
        <w:rPr>
          <w:iCs/>
          <w:szCs w:val="24"/>
        </w:rPr>
        <w:t xml:space="preserve">Overall, these results are insufficient to demonstrate a clear relationship between the factors that describe the target population according to the PSA Guidelines and the take up rates for the </w:t>
      </w:r>
      <w:r>
        <w:rPr>
          <w:iCs/>
          <w:szCs w:val="24"/>
        </w:rPr>
        <w:t>SS</w:t>
      </w:r>
      <w:r w:rsidRPr="00BE643D">
        <w:rPr>
          <w:iCs/>
          <w:szCs w:val="24"/>
        </w:rPr>
        <w:t xml:space="preserve"> services.  To shed further light on the issue, parametric statistical analysis using correlation coefficients was attempted, but this work was similarly inconclusive, and therefore is not presented here.</w:t>
      </w:r>
    </w:p>
    <w:p w14:paraId="04768922" w14:textId="4D2482CB" w:rsidR="008228DE" w:rsidRDefault="00CA62E1" w:rsidP="00F10839">
      <w:bookmarkStart w:id="94" w:name="_Ref463437244"/>
      <w:bookmarkEnd w:id="90"/>
      <w:r w:rsidRPr="00BE643D">
        <w:t xml:space="preserve">It is clear that to make a more robust assessment of the impact of the </w:t>
      </w:r>
      <w:r>
        <w:t>SS</w:t>
      </w:r>
      <w:r w:rsidRPr="00BE643D">
        <w:t xml:space="preserve"> program, more comprehensive data are required.  Such data should include the characteristics of patients receiving the </w:t>
      </w:r>
      <w:r>
        <w:t>SS</w:t>
      </w:r>
      <w:r w:rsidRPr="00BE643D">
        <w:t xml:space="preserve"> services to enable funders and providers to be confident that the initiative is applying resources to the intended target populations.</w:t>
      </w:r>
      <w:r w:rsidR="00F10839">
        <w:t xml:space="preserve">  </w:t>
      </w:r>
      <w:r w:rsidRPr="00BE643D">
        <w:t xml:space="preserve">Ideally the additional data collected should also include measures of interim and final clinical outcomes, as well as patient reported measures of experience with the program, to enable an assessment of clinical and cost effectiveness.  It is acknowledged that this type\s of data could probably only be collected in the context of a structured trial of the </w:t>
      </w:r>
      <w:r>
        <w:t>SS</w:t>
      </w:r>
      <w:r w:rsidRPr="00BE643D">
        <w:t xml:space="preserve"> program.</w:t>
      </w:r>
      <w:bookmarkEnd w:id="94"/>
    </w:p>
    <w:p w14:paraId="52779386" w14:textId="77777777" w:rsidR="008228DE" w:rsidRPr="00B11C20" w:rsidRDefault="008228DE" w:rsidP="008228DE">
      <w:pPr>
        <w:pStyle w:val="BodyText"/>
        <w:sectPr w:rsidR="008228DE" w:rsidRPr="00B11C20" w:rsidSect="00F10839">
          <w:footerReference w:type="default" r:id="rId26"/>
          <w:pgSz w:w="16838" w:h="11906" w:orient="landscape" w:code="9"/>
          <w:pgMar w:top="1134" w:right="1134" w:bottom="1134" w:left="1134" w:header="680" w:footer="851" w:gutter="0"/>
          <w:cols w:space="708"/>
          <w:docGrid w:linePitch="360"/>
        </w:sectPr>
      </w:pPr>
    </w:p>
    <w:p w14:paraId="4B071BDA" w14:textId="4F92B61E" w:rsidR="00377F87" w:rsidRDefault="00F66163" w:rsidP="00F66163">
      <w:pPr>
        <w:pStyle w:val="Heading1"/>
        <w:numPr>
          <w:ilvl w:val="0"/>
          <w:numId w:val="0"/>
        </w:numPr>
        <w:ind w:left="510" w:hanging="510"/>
      </w:pPr>
      <w:bookmarkStart w:id="95" w:name="_Toc523236213"/>
      <w:r>
        <w:lastRenderedPageBreak/>
        <w:t>Appendix 1</w:t>
      </w:r>
      <w:bookmarkEnd w:id="95"/>
    </w:p>
    <w:p w14:paraId="0E9C82D4" w14:textId="6F460DC1" w:rsidR="00377F87" w:rsidRDefault="00377F87" w:rsidP="00377F87">
      <w:pPr>
        <w:pStyle w:val="Heading2"/>
        <w:numPr>
          <w:ilvl w:val="0"/>
          <w:numId w:val="0"/>
        </w:numPr>
        <w:ind w:left="680" w:hanging="680"/>
      </w:pPr>
      <w:bookmarkStart w:id="96" w:name="_Toc523236214"/>
      <w:r>
        <w:t>References</w:t>
      </w:r>
      <w:bookmarkEnd w:id="96"/>
    </w:p>
    <w:p w14:paraId="2379D3F3" w14:textId="4400ADE9" w:rsidR="006B6FB0" w:rsidRDefault="008260BF" w:rsidP="006B6FB0">
      <w:pPr>
        <w:pStyle w:val="BodyText"/>
      </w:pPr>
      <w:r>
        <w:t xml:space="preserve">NOVA Public Policy Pty Ltd. Review of the Staged Supply of PBS Medicines. Final Report. 2 February 2010. Retrieved from </w:t>
      </w:r>
      <w:hyperlink r:id="rId27" w:history="1">
        <w:r w:rsidRPr="00E94A57">
          <w:rPr>
            <w:rStyle w:val="Hyperlink"/>
          </w:rPr>
          <w:t>http://www.guild.org.au/docs/default-source/member-documents/news-and-events/guild-publications/other-publications/staged-supply-final-report.pdf</w:t>
        </w:r>
      </w:hyperlink>
      <w:r>
        <w:t xml:space="preserve"> </w:t>
      </w:r>
    </w:p>
    <w:p w14:paraId="60B66678" w14:textId="77777777" w:rsidR="008260BF" w:rsidRDefault="008260BF" w:rsidP="008260BF">
      <w:pPr>
        <w:pStyle w:val="BodyText"/>
      </w:pPr>
      <w:r>
        <w:t xml:space="preserve">Pharmaceutical Society of Australia (PSA). Standard and guidelines for pharmacists providing a staged supply service for prescribed medicines. March 2011. Retrieved from </w:t>
      </w:r>
      <w:hyperlink r:id="rId28" w:history="1">
        <w:r w:rsidRPr="00E94A57">
          <w:rPr>
            <w:rStyle w:val="Hyperlink"/>
          </w:rPr>
          <w:t>http://www.psa.org.au/downloads/practice-guidelines/staged-supply-guideline.pdf</w:t>
        </w:r>
      </w:hyperlink>
      <w:r>
        <w:t xml:space="preserve"> </w:t>
      </w:r>
    </w:p>
    <w:p w14:paraId="0FA8FB1E" w14:textId="3C3F01D1" w:rsidR="008260BF" w:rsidRPr="006B6FB0" w:rsidRDefault="008260BF" w:rsidP="006B6FB0">
      <w:pPr>
        <w:pStyle w:val="BodyText"/>
      </w:pPr>
      <w:r>
        <w:t xml:space="preserve">PricewaterhouseCoopers (2015). Combined Review of Fifth Community Pharmacy Agreement Medication Management Programmes (Final Report). Retrieved from </w:t>
      </w:r>
      <w:hyperlink r:id="rId29" w:history="1">
        <w:r w:rsidRPr="00674105">
          <w:rPr>
            <w:rStyle w:val="Hyperlink"/>
          </w:rPr>
          <w:t>https://www.health.gov.au/internet/main/publishing.nsf/Content/6EF022DE87761986CA257EC80013198B/$File/combined-review-5cpa-medication-management-programmes-final-report-and-appendices.pdf</w:t>
        </w:r>
      </w:hyperlink>
    </w:p>
    <w:p w14:paraId="480D2366" w14:textId="09E55DF7" w:rsidR="00F66163" w:rsidRDefault="00F66163" w:rsidP="00F66163">
      <w:pPr>
        <w:pStyle w:val="Heading1"/>
        <w:numPr>
          <w:ilvl w:val="0"/>
          <w:numId w:val="0"/>
        </w:numPr>
        <w:ind w:left="510" w:hanging="510"/>
      </w:pPr>
      <w:bookmarkStart w:id="97" w:name="_Toc523236215"/>
      <w:r>
        <w:lastRenderedPageBreak/>
        <w:t>Appendix 2</w:t>
      </w:r>
      <w:bookmarkEnd w:id="97"/>
    </w:p>
    <w:p w14:paraId="3F52792A" w14:textId="670FA489" w:rsidR="00F66163" w:rsidRPr="00F66163" w:rsidRDefault="00F66163" w:rsidP="00F66163">
      <w:pPr>
        <w:pStyle w:val="Heading2"/>
        <w:numPr>
          <w:ilvl w:val="0"/>
          <w:numId w:val="0"/>
        </w:numPr>
        <w:ind w:left="680" w:hanging="680"/>
      </w:pPr>
      <w:bookmarkStart w:id="98" w:name="_Toc523236216"/>
      <w:r>
        <w:t>Working Group Members</w:t>
      </w:r>
      <w:bookmarkEnd w:id="98"/>
    </w:p>
    <w:p w14:paraId="2F4CBD15" w14:textId="3AF952AC" w:rsidR="00F66163" w:rsidRDefault="00F66163" w:rsidP="00F66163">
      <w:pPr>
        <w:pStyle w:val="BodyText"/>
      </w:pPr>
      <w:r>
        <w:t>The</w:t>
      </w:r>
      <w:r w:rsidRPr="008B6E37">
        <w:t xml:space="preserve"> Department of Health established a Working Group of nominated representatives to provide advice to the Department </w:t>
      </w:r>
      <w:r>
        <w:t xml:space="preserve">and the Assessment Group </w:t>
      </w:r>
      <w:r w:rsidRPr="008B6E37">
        <w:t xml:space="preserve">on the </w:t>
      </w:r>
      <w:r>
        <w:t>research questions and PICO criteria for the literature review, the literature search terms, utilisation data and analysis</w:t>
      </w:r>
      <w:r w:rsidRPr="008B6E37">
        <w:t>.</w:t>
      </w:r>
    </w:p>
    <w:p w14:paraId="2DFE93DD" w14:textId="77777777" w:rsidR="00F66163" w:rsidRDefault="00F66163" w:rsidP="00F66163">
      <w:pPr>
        <w:pStyle w:val="Caption"/>
      </w:pPr>
      <w:bookmarkStart w:id="99" w:name="_Toc420583470"/>
      <w:bookmarkStart w:id="100" w:name="_Toc467155750"/>
      <w:r>
        <w:t>Table A-</w:t>
      </w:r>
      <w:r w:rsidR="00872B71">
        <w:rPr>
          <w:noProof/>
        </w:rPr>
        <w:fldChar w:fldCharType="begin"/>
      </w:r>
      <w:r w:rsidR="00872B71">
        <w:rPr>
          <w:noProof/>
        </w:rPr>
        <w:instrText xml:space="preserve"> STYLEREF 7 \s </w:instrText>
      </w:r>
      <w:r w:rsidR="00872B71">
        <w:rPr>
          <w:noProof/>
        </w:rPr>
        <w:fldChar w:fldCharType="separate"/>
      </w:r>
      <w:r>
        <w:rPr>
          <w:noProof/>
        </w:rPr>
        <w:t>2</w:t>
      </w:r>
      <w:r w:rsidR="00872B71">
        <w:rPr>
          <w:noProof/>
        </w:rPr>
        <w:fldChar w:fldCharType="end"/>
      </w:r>
      <w:r>
        <w:t>.</w:t>
      </w:r>
      <w:r w:rsidR="00872B71">
        <w:rPr>
          <w:noProof/>
        </w:rPr>
        <w:fldChar w:fldCharType="begin"/>
      </w:r>
      <w:r w:rsidR="00872B71">
        <w:rPr>
          <w:noProof/>
        </w:rPr>
        <w:instrText xml:space="preserve"> SEQ Table_A- \* ARABIC \s 7 </w:instrText>
      </w:r>
      <w:r w:rsidR="00872B71">
        <w:rPr>
          <w:noProof/>
        </w:rPr>
        <w:fldChar w:fldCharType="separate"/>
      </w:r>
      <w:r>
        <w:rPr>
          <w:noProof/>
        </w:rPr>
        <w:t>1</w:t>
      </w:r>
      <w:r w:rsidR="00872B71">
        <w:rPr>
          <w:noProof/>
        </w:rPr>
        <w:fldChar w:fldCharType="end"/>
      </w:r>
      <w:r>
        <w:tab/>
      </w:r>
      <w:bookmarkEnd w:id="99"/>
      <w:r>
        <w:t xml:space="preserve">Members of the </w:t>
      </w:r>
      <w:r>
        <w:rPr>
          <w:noProof/>
        </w:rPr>
        <w:t>Working Group for the evaluation of the medication adherence PPIPs</w:t>
      </w:r>
      <w:bookmarkEnd w:id="100"/>
    </w:p>
    <w:tbl>
      <w:tblPr>
        <w:tblStyle w:val="TableGrid"/>
        <w:tblW w:w="5000" w:type="pct"/>
        <w:tblLook w:val="04A0" w:firstRow="1" w:lastRow="0" w:firstColumn="1" w:lastColumn="0" w:noHBand="0" w:noVBand="1"/>
        <w:tblCaption w:val="Table A-2.1"/>
        <w:tblDescription w:val="Members of the Working Group for the evaluation of the medication adherence PPIPs"/>
      </w:tblPr>
      <w:tblGrid>
        <w:gridCol w:w="2405"/>
        <w:gridCol w:w="7223"/>
      </w:tblGrid>
      <w:tr w:rsidR="00F66163" w14:paraId="1FB21E2F" w14:textId="77777777" w:rsidTr="00CC2655">
        <w:trPr>
          <w:cnfStyle w:val="100000000000" w:firstRow="1" w:lastRow="0" w:firstColumn="0" w:lastColumn="0" w:oddVBand="0" w:evenVBand="0" w:oddHBand="0" w:evenHBand="0" w:firstRowFirstColumn="0" w:firstRowLastColumn="0" w:lastRowFirstColumn="0" w:lastRowLastColumn="0"/>
        </w:trPr>
        <w:tc>
          <w:tcPr>
            <w:tcW w:w="1249" w:type="pct"/>
            <w:vAlign w:val="center"/>
          </w:tcPr>
          <w:p w14:paraId="1A7B58D5" w14:textId="77777777" w:rsidR="00F66163" w:rsidRDefault="00F66163" w:rsidP="00CC2655">
            <w:pPr>
              <w:pStyle w:val="01Tableheadingorsubheading"/>
            </w:pPr>
            <w:r w:rsidRPr="002F32AE">
              <w:t>Name</w:t>
            </w:r>
          </w:p>
        </w:tc>
        <w:tc>
          <w:tcPr>
            <w:tcW w:w="3751" w:type="pct"/>
            <w:vAlign w:val="center"/>
          </w:tcPr>
          <w:p w14:paraId="090BAB2A" w14:textId="77777777" w:rsidR="00F66163" w:rsidRDefault="00F66163" w:rsidP="00CC2655">
            <w:pPr>
              <w:pStyle w:val="01Tableheadingorsubheading"/>
            </w:pPr>
            <w:r w:rsidRPr="002F32AE">
              <w:t>Representing</w:t>
            </w:r>
          </w:p>
        </w:tc>
      </w:tr>
      <w:tr w:rsidR="00F66163" w14:paraId="01A0917E" w14:textId="77777777" w:rsidTr="00CC2655">
        <w:tc>
          <w:tcPr>
            <w:tcW w:w="1249" w:type="pct"/>
          </w:tcPr>
          <w:p w14:paraId="0F3CC632" w14:textId="77777777" w:rsidR="00F66163" w:rsidRDefault="00F66163" w:rsidP="00CC2655">
            <w:pPr>
              <w:pStyle w:val="02Tabletext"/>
            </w:pPr>
          </w:p>
        </w:tc>
        <w:tc>
          <w:tcPr>
            <w:tcW w:w="3751" w:type="pct"/>
          </w:tcPr>
          <w:p w14:paraId="298C2CD4" w14:textId="77777777" w:rsidR="00F66163" w:rsidRDefault="00F66163" w:rsidP="00CC2655">
            <w:pPr>
              <w:pStyle w:val="02Tabletext"/>
            </w:pPr>
          </w:p>
        </w:tc>
      </w:tr>
      <w:tr w:rsidR="00F66163" w14:paraId="21893C09" w14:textId="77777777" w:rsidTr="00CC2655">
        <w:trPr>
          <w:cnfStyle w:val="000000010000" w:firstRow="0" w:lastRow="0" w:firstColumn="0" w:lastColumn="0" w:oddVBand="0" w:evenVBand="0" w:oddHBand="0" w:evenHBand="1" w:firstRowFirstColumn="0" w:firstRowLastColumn="0" w:lastRowFirstColumn="0" w:lastRowLastColumn="0"/>
        </w:trPr>
        <w:tc>
          <w:tcPr>
            <w:tcW w:w="1249" w:type="pct"/>
          </w:tcPr>
          <w:p w14:paraId="07FA4566" w14:textId="77777777" w:rsidR="00F66163" w:rsidRDefault="00F66163" w:rsidP="00CC2655">
            <w:pPr>
              <w:pStyle w:val="02Tabletext"/>
            </w:pPr>
          </w:p>
        </w:tc>
        <w:tc>
          <w:tcPr>
            <w:tcW w:w="3751" w:type="pct"/>
          </w:tcPr>
          <w:p w14:paraId="27451D7E" w14:textId="77777777" w:rsidR="00F66163" w:rsidRDefault="00F66163" w:rsidP="00CC2655">
            <w:pPr>
              <w:pStyle w:val="02Tabletext"/>
            </w:pPr>
          </w:p>
        </w:tc>
      </w:tr>
      <w:tr w:rsidR="00F66163" w14:paraId="6B3B5B73" w14:textId="77777777" w:rsidTr="00CC2655">
        <w:tc>
          <w:tcPr>
            <w:tcW w:w="1249" w:type="pct"/>
          </w:tcPr>
          <w:p w14:paraId="28D0EB84" w14:textId="77777777" w:rsidR="00F66163" w:rsidRDefault="00F66163" w:rsidP="00CC2655">
            <w:pPr>
              <w:pStyle w:val="02Tabletext"/>
            </w:pPr>
          </w:p>
        </w:tc>
        <w:tc>
          <w:tcPr>
            <w:tcW w:w="3751" w:type="pct"/>
          </w:tcPr>
          <w:p w14:paraId="71E7F8A9" w14:textId="77777777" w:rsidR="00F66163" w:rsidRDefault="00F66163" w:rsidP="00CC2655">
            <w:pPr>
              <w:pStyle w:val="02Tabletext"/>
            </w:pPr>
          </w:p>
        </w:tc>
      </w:tr>
      <w:tr w:rsidR="00F66163" w14:paraId="65E96EB5" w14:textId="77777777" w:rsidTr="00CC2655">
        <w:trPr>
          <w:cnfStyle w:val="000000010000" w:firstRow="0" w:lastRow="0" w:firstColumn="0" w:lastColumn="0" w:oddVBand="0" w:evenVBand="0" w:oddHBand="0" w:evenHBand="1" w:firstRowFirstColumn="0" w:firstRowLastColumn="0" w:lastRowFirstColumn="0" w:lastRowLastColumn="0"/>
        </w:trPr>
        <w:tc>
          <w:tcPr>
            <w:tcW w:w="1249" w:type="pct"/>
          </w:tcPr>
          <w:p w14:paraId="5F302A29" w14:textId="77777777" w:rsidR="00F66163" w:rsidRDefault="00F66163" w:rsidP="00CC2655">
            <w:pPr>
              <w:pStyle w:val="02Tabletext"/>
            </w:pPr>
          </w:p>
        </w:tc>
        <w:tc>
          <w:tcPr>
            <w:tcW w:w="3751" w:type="pct"/>
          </w:tcPr>
          <w:p w14:paraId="55CE4993" w14:textId="77777777" w:rsidR="00F66163" w:rsidRDefault="00F66163" w:rsidP="00CC2655">
            <w:pPr>
              <w:pStyle w:val="02Tabletext"/>
            </w:pPr>
          </w:p>
        </w:tc>
      </w:tr>
    </w:tbl>
    <w:p w14:paraId="067AD6C2" w14:textId="0E9CC560" w:rsidR="00F66163" w:rsidRDefault="00F66163" w:rsidP="00F66163">
      <w:pPr>
        <w:pStyle w:val="BodyText"/>
      </w:pPr>
    </w:p>
    <w:p w14:paraId="71932B32" w14:textId="4F64EDE2" w:rsidR="00F66163" w:rsidRDefault="00F66163" w:rsidP="00F66163">
      <w:pPr>
        <w:pStyle w:val="BodyText"/>
      </w:pPr>
    </w:p>
    <w:p w14:paraId="6E06D92E" w14:textId="77777777" w:rsidR="00F66163" w:rsidRPr="00F66163" w:rsidRDefault="00F66163" w:rsidP="00F66163">
      <w:pPr>
        <w:pStyle w:val="BodyText"/>
      </w:pPr>
    </w:p>
    <w:p w14:paraId="270F04F0" w14:textId="77777777" w:rsidR="003A4EF0" w:rsidRDefault="003A4EF0" w:rsidP="006B6FB0">
      <w:pPr>
        <w:pStyle w:val="BodyText"/>
        <w:sectPr w:rsidR="003A4EF0" w:rsidSect="00F535A9">
          <w:footerReference w:type="default" r:id="rId30"/>
          <w:pgSz w:w="11906" w:h="16838" w:code="9"/>
          <w:pgMar w:top="1134" w:right="1134" w:bottom="1134" w:left="1134" w:header="680" w:footer="851" w:gutter="0"/>
          <w:cols w:space="708"/>
          <w:docGrid w:linePitch="360"/>
        </w:sectPr>
      </w:pPr>
    </w:p>
    <w:p w14:paraId="52EEAC11" w14:textId="211BD440" w:rsidR="00F66163" w:rsidRDefault="00F66163" w:rsidP="00F66163">
      <w:pPr>
        <w:pStyle w:val="Heading1"/>
        <w:numPr>
          <w:ilvl w:val="0"/>
          <w:numId w:val="0"/>
        </w:numPr>
        <w:ind w:left="510" w:hanging="510"/>
      </w:pPr>
      <w:bookmarkStart w:id="101" w:name="_Toc523236217"/>
      <w:r>
        <w:lastRenderedPageBreak/>
        <w:t>A</w:t>
      </w:r>
      <w:r w:rsidR="0059670E">
        <w:t>ppendix</w:t>
      </w:r>
      <w:r>
        <w:t xml:space="preserve"> 3</w:t>
      </w:r>
      <w:bookmarkEnd w:id="101"/>
    </w:p>
    <w:p w14:paraId="43AA5971" w14:textId="092F6846" w:rsidR="0059670E" w:rsidRPr="0059670E" w:rsidRDefault="0059670E" w:rsidP="0059670E">
      <w:pPr>
        <w:pStyle w:val="Heading2"/>
        <w:numPr>
          <w:ilvl w:val="0"/>
          <w:numId w:val="0"/>
        </w:numPr>
        <w:ind w:left="680" w:hanging="680"/>
      </w:pPr>
      <w:bookmarkStart w:id="102" w:name="_Toc523236218"/>
      <w:r>
        <w:t>Search Strategy</w:t>
      </w:r>
      <w:bookmarkEnd w:id="102"/>
    </w:p>
    <w:p w14:paraId="53128C73" w14:textId="512D7B0A" w:rsidR="003A69C6" w:rsidRDefault="0059629F" w:rsidP="00103385">
      <w:pPr>
        <w:pStyle w:val="BodyText"/>
      </w:pPr>
      <w:r>
        <w:t xml:space="preserve">The </w:t>
      </w:r>
      <w:r w:rsidR="002C5E3D">
        <w:t>SS</w:t>
      </w:r>
      <w:r w:rsidR="00143449">
        <w:t xml:space="preserve"> search strategies</w:t>
      </w:r>
      <w:r w:rsidR="00B56E96">
        <w:t xml:space="preserve"> for each database are outlined below</w:t>
      </w:r>
      <w:r>
        <w:t>.</w:t>
      </w:r>
    </w:p>
    <w:p w14:paraId="282185F1" w14:textId="6FCF5D53" w:rsidR="00143449" w:rsidRDefault="00143449" w:rsidP="00143449">
      <w:pPr>
        <w:pStyle w:val="Caption"/>
      </w:pPr>
      <w:bookmarkStart w:id="103" w:name="_Toc467155751"/>
      <w:r>
        <w:t>Table A-</w:t>
      </w:r>
      <w:r w:rsidR="00872B71">
        <w:rPr>
          <w:noProof/>
        </w:rPr>
        <w:fldChar w:fldCharType="begin"/>
      </w:r>
      <w:r w:rsidR="00872B71">
        <w:rPr>
          <w:noProof/>
        </w:rPr>
        <w:instrText xml:space="preserve"> STYLEREF 7 \s </w:instrText>
      </w:r>
      <w:r w:rsidR="00872B71">
        <w:rPr>
          <w:noProof/>
        </w:rPr>
        <w:fldChar w:fldCharType="separate"/>
      </w:r>
      <w:r w:rsidR="006F3580">
        <w:rPr>
          <w:noProof/>
        </w:rPr>
        <w:t>3</w:t>
      </w:r>
      <w:r w:rsidR="00872B71">
        <w:rPr>
          <w:noProof/>
        </w:rPr>
        <w:fldChar w:fldCharType="end"/>
      </w:r>
      <w:r>
        <w:t>.</w:t>
      </w:r>
      <w:r w:rsidR="00872B71">
        <w:rPr>
          <w:noProof/>
        </w:rPr>
        <w:fldChar w:fldCharType="begin"/>
      </w:r>
      <w:r w:rsidR="00872B71">
        <w:rPr>
          <w:noProof/>
        </w:rPr>
        <w:instrText xml:space="preserve"> SEQ Table_A- \* ARABIC \s 7 </w:instrText>
      </w:r>
      <w:r w:rsidR="00872B71">
        <w:rPr>
          <w:noProof/>
        </w:rPr>
        <w:fldChar w:fldCharType="separate"/>
      </w:r>
      <w:r w:rsidR="006F3580">
        <w:rPr>
          <w:noProof/>
        </w:rPr>
        <w:t>1</w:t>
      </w:r>
      <w:r w:rsidR="00872B71">
        <w:rPr>
          <w:noProof/>
        </w:rPr>
        <w:fldChar w:fldCharType="end"/>
      </w:r>
      <w:r>
        <w:tab/>
      </w:r>
      <w:proofErr w:type="spellStart"/>
      <w:r w:rsidR="007151D9">
        <w:t>Embase</w:t>
      </w:r>
      <w:proofErr w:type="spellEnd"/>
      <w:r w:rsidR="007151D9">
        <w:t xml:space="preserve"> search strategy</w:t>
      </w:r>
      <w:r w:rsidR="00C35A33">
        <w:t xml:space="preserve"> (23</w:t>
      </w:r>
      <w:r w:rsidR="00C35A33" w:rsidRPr="00C35A33">
        <w:rPr>
          <w:vertAlign w:val="superscript"/>
        </w:rPr>
        <w:t>rd</w:t>
      </w:r>
      <w:r w:rsidR="00C35A33">
        <w:t xml:space="preserve"> August 2016)</w:t>
      </w:r>
      <w:bookmarkEnd w:id="103"/>
    </w:p>
    <w:tbl>
      <w:tblPr>
        <w:tblStyle w:val="TableGrid"/>
        <w:tblW w:w="5000" w:type="pct"/>
        <w:tblLook w:val="04A0" w:firstRow="1" w:lastRow="0" w:firstColumn="1" w:lastColumn="0" w:noHBand="0" w:noVBand="1"/>
        <w:tblCaption w:val="Table A-3.1"/>
        <w:tblDescription w:val="Embase search strategy (23rd August 2016)"/>
      </w:tblPr>
      <w:tblGrid>
        <w:gridCol w:w="447"/>
        <w:gridCol w:w="7681"/>
        <w:gridCol w:w="1500"/>
      </w:tblGrid>
      <w:tr w:rsidR="0049208F" w14:paraId="1CD6B0FA" w14:textId="77777777" w:rsidTr="00F535A9">
        <w:trPr>
          <w:cnfStyle w:val="100000000000" w:firstRow="1" w:lastRow="0" w:firstColumn="0" w:lastColumn="0" w:oddVBand="0" w:evenVBand="0" w:oddHBand="0" w:evenHBand="0" w:firstRowFirstColumn="0" w:firstRowLastColumn="0" w:lastRowFirstColumn="0" w:lastRowLastColumn="0"/>
        </w:trPr>
        <w:tc>
          <w:tcPr>
            <w:tcW w:w="232" w:type="pct"/>
          </w:tcPr>
          <w:p w14:paraId="56C126E1" w14:textId="6FA98C5D" w:rsidR="0049208F" w:rsidRDefault="00B7109E" w:rsidP="00143449">
            <w:pPr>
              <w:pStyle w:val="01Tableheaderrow"/>
              <w:keepNext w:val="0"/>
            </w:pPr>
            <w:r>
              <w:t>#</w:t>
            </w:r>
          </w:p>
        </w:tc>
        <w:tc>
          <w:tcPr>
            <w:tcW w:w="3989" w:type="pct"/>
          </w:tcPr>
          <w:p w14:paraId="4AFD6E0A" w14:textId="737B17B8" w:rsidR="0049208F" w:rsidRDefault="00B7109E" w:rsidP="00143449">
            <w:pPr>
              <w:pStyle w:val="01Tableheaderrow"/>
              <w:keepNext w:val="0"/>
            </w:pPr>
            <w:r>
              <w:t>Search term</w:t>
            </w:r>
          </w:p>
        </w:tc>
        <w:tc>
          <w:tcPr>
            <w:tcW w:w="779" w:type="pct"/>
          </w:tcPr>
          <w:p w14:paraId="77734979" w14:textId="5E8D5959" w:rsidR="0049208F" w:rsidRDefault="00B7109E" w:rsidP="00143449">
            <w:pPr>
              <w:pStyle w:val="01Tableheaderrow"/>
              <w:keepNext w:val="0"/>
            </w:pPr>
            <w:r>
              <w:t>Number of citations</w:t>
            </w:r>
          </w:p>
        </w:tc>
      </w:tr>
      <w:tr w:rsidR="0049208F" w14:paraId="4560DBA8" w14:textId="77777777" w:rsidTr="00F535A9">
        <w:tc>
          <w:tcPr>
            <w:tcW w:w="232" w:type="pct"/>
          </w:tcPr>
          <w:p w14:paraId="735030C6" w14:textId="26E27BEF" w:rsidR="0049208F" w:rsidRDefault="001F1646" w:rsidP="00143449">
            <w:pPr>
              <w:pStyle w:val="02Tabletext"/>
              <w:keepNext w:val="0"/>
            </w:pPr>
            <w:r>
              <w:t>1</w:t>
            </w:r>
          </w:p>
        </w:tc>
        <w:tc>
          <w:tcPr>
            <w:tcW w:w="3989" w:type="pct"/>
          </w:tcPr>
          <w:p w14:paraId="666C007B" w14:textId="48235F03" w:rsidR="0049208F" w:rsidRDefault="0083205D" w:rsidP="00143449">
            <w:pPr>
              <w:pStyle w:val="02Tabletext"/>
              <w:keepNext w:val="0"/>
            </w:pPr>
            <w:proofErr w:type="spellStart"/>
            <w:proofErr w:type="gramStart"/>
            <w:r>
              <w:t>pharmac</w:t>
            </w:r>
            <w:proofErr w:type="spellEnd"/>
            <w:proofErr w:type="gramEnd"/>
            <w:r>
              <w:t>*.</w:t>
            </w:r>
            <w:proofErr w:type="spellStart"/>
            <w:r>
              <w:t>mp</w:t>
            </w:r>
            <w:proofErr w:type="spellEnd"/>
            <w:r>
              <w:t>.</w:t>
            </w:r>
          </w:p>
        </w:tc>
        <w:tc>
          <w:tcPr>
            <w:tcW w:w="779" w:type="pct"/>
          </w:tcPr>
          <w:p w14:paraId="585B65E5" w14:textId="74E2C141" w:rsidR="0049208F" w:rsidRDefault="002C5E3D" w:rsidP="00143449">
            <w:pPr>
              <w:pStyle w:val="02Tabletext"/>
              <w:keepNext w:val="0"/>
            </w:pPr>
            <w:r w:rsidRPr="002C5E3D">
              <w:t xml:space="preserve">1199299  </w:t>
            </w:r>
          </w:p>
        </w:tc>
      </w:tr>
      <w:tr w:rsidR="00B7109E" w14:paraId="56F696AB"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6693CB8A" w14:textId="59B936D2" w:rsidR="00B7109E" w:rsidRDefault="001F1646" w:rsidP="00143449">
            <w:pPr>
              <w:pStyle w:val="02Tabletext"/>
              <w:keepNext w:val="0"/>
            </w:pPr>
            <w:r>
              <w:t>2</w:t>
            </w:r>
          </w:p>
        </w:tc>
        <w:tc>
          <w:tcPr>
            <w:tcW w:w="3989" w:type="pct"/>
          </w:tcPr>
          <w:p w14:paraId="4EF457E8" w14:textId="0994B661" w:rsidR="00B7109E" w:rsidRPr="00B7109E" w:rsidRDefault="0083205D" w:rsidP="00143449">
            <w:pPr>
              <w:pStyle w:val="02Tabletext"/>
              <w:keepNext w:val="0"/>
            </w:pPr>
            <w:proofErr w:type="gramStart"/>
            <w:r>
              <w:t>community</w:t>
            </w:r>
            <w:proofErr w:type="gramEnd"/>
            <w:r>
              <w:t xml:space="preserve"> </w:t>
            </w:r>
            <w:proofErr w:type="spellStart"/>
            <w:r>
              <w:t>pharmac</w:t>
            </w:r>
            <w:proofErr w:type="spellEnd"/>
            <w:r>
              <w:t>*.</w:t>
            </w:r>
            <w:proofErr w:type="spellStart"/>
            <w:r>
              <w:t>mp</w:t>
            </w:r>
            <w:proofErr w:type="spellEnd"/>
            <w:r>
              <w:t>.</w:t>
            </w:r>
          </w:p>
        </w:tc>
        <w:tc>
          <w:tcPr>
            <w:tcW w:w="779" w:type="pct"/>
          </w:tcPr>
          <w:p w14:paraId="0EDD32E8" w14:textId="55620498" w:rsidR="00B7109E" w:rsidRDefault="002C5E3D" w:rsidP="00143449">
            <w:pPr>
              <w:pStyle w:val="02Tabletext"/>
              <w:keepNext w:val="0"/>
            </w:pPr>
            <w:r w:rsidRPr="002C5E3D">
              <w:t xml:space="preserve">9142  </w:t>
            </w:r>
          </w:p>
        </w:tc>
      </w:tr>
      <w:tr w:rsidR="002C5E3D" w14:paraId="20CC0100" w14:textId="77777777" w:rsidTr="00F535A9">
        <w:tc>
          <w:tcPr>
            <w:tcW w:w="232" w:type="pct"/>
          </w:tcPr>
          <w:p w14:paraId="286335F1" w14:textId="71179D5F" w:rsidR="002C5E3D" w:rsidRDefault="002C5E3D" w:rsidP="00143449">
            <w:pPr>
              <w:pStyle w:val="02Tabletext"/>
              <w:keepNext w:val="0"/>
            </w:pPr>
            <w:r>
              <w:t>3</w:t>
            </w:r>
          </w:p>
        </w:tc>
        <w:tc>
          <w:tcPr>
            <w:tcW w:w="3989" w:type="pct"/>
          </w:tcPr>
          <w:p w14:paraId="011935EC" w14:textId="4D4F2A53" w:rsidR="002C5E3D" w:rsidRDefault="002C5E3D" w:rsidP="00143449">
            <w:pPr>
              <w:pStyle w:val="02Tabletext"/>
              <w:keepNext w:val="0"/>
            </w:pPr>
            <w:r>
              <w:t>1 or 2</w:t>
            </w:r>
          </w:p>
        </w:tc>
        <w:tc>
          <w:tcPr>
            <w:tcW w:w="779" w:type="pct"/>
          </w:tcPr>
          <w:p w14:paraId="3F364A45" w14:textId="32F87602" w:rsidR="002C5E3D" w:rsidRPr="002C5E3D" w:rsidRDefault="002C5E3D" w:rsidP="00143449">
            <w:pPr>
              <w:pStyle w:val="02Tabletext"/>
              <w:keepNext w:val="0"/>
            </w:pPr>
            <w:r>
              <w:t>1199299</w:t>
            </w:r>
          </w:p>
        </w:tc>
      </w:tr>
      <w:tr w:rsidR="0049208F" w14:paraId="60CAF475"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2FD7913A" w14:textId="5BFDF416" w:rsidR="0049208F" w:rsidRDefault="002C5E3D" w:rsidP="00143449">
            <w:pPr>
              <w:pStyle w:val="02Tabletext"/>
              <w:keepNext w:val="0"/>
            </w:pPr>
            <w:r>
              <w:t>4</w:t>
            </w:r>
          </w:p>
        </w:tc>
        <w:tc>
          <w:tcPr>
            <w:tcW w:w="3989" w:type="pct"/>
          </w:tcPr>
          <w:p w14:paraId="7BEB25B3" w14:textId="784D649D" w:rsidR="0049208F" w:rsidRDefault="002C5E3D" w:rsidP="00143449">
            <w:pPr>
              <w:pStyle w:val="02Tabletext"/>
              <w:keepNext w:val="0"/>
            </w:pPr>
            <w:proofErr w:type="gramStart"/>
            <w:r w:rsidRPr="002C5E3D">
              <w:t>staged</w:t>
            </w:r>
            <w:proofErr w:type="gramEnd"/>
            <w:r w:rsidRPr="002C5E3D">
              <w:t xml:space="preserve"> supply.mp.</w:t>
            </w:r>
          </w:p>
        </w:tc>
        <w:tc>
          <w:tcPr>
            <w:tcW w:w="779" w:type="pct"/>
          </w:tcPr>
          <w:p w14:paraId="071236BF" w14:textId="1516BAD7" w:rsidR="0049208F" w:rsidRDefault="002C5E3D" w:rsidP="00143449">
            <w:pPr>
              <w:pStyle w:val="02Tabletext"/>
              <w:keepNext w:val="0"/>
            </w:pPr>
            <w:r>
              <w:t>0</w:t>
            </w:r>
          </w:p>
        </w:tc>
      </w:tr>
      <w:tr w:rsidR="0049208F" w14:paraId="4D343FD6" w14:textId="77777777" w:rsidTr="00F535A9">
        <w:tc>
          <w:tcPr>
            <w:tcW w:w="232" w:type="pct"/>
          </w:tcPr>
          <w:p w14:paraId="651119BF" w14:textId="1AF0CC75" w:rsidR="0049208F" w:rsidRDefault="002C5E3D" w:rsidP="00143449">
            <w:pPr>
              <w:pStyle w:val="02Tabletext"/>
              <w:keepNext w:val="0"/>
            </w:pPr>
            <w:r>
              <w:t>5</w:t>
            </w:r>
          </w:p>
        </w:tc>
        <w:tc>
          <w:tcPr>
            <w:tcW w:w="3989" w:type="pct"/>
          </w:tcPr>
          <w:p w14:paraId="5C15AE25" w14:textId="29255ADE" w:rsidR="0049208F" w:rsidRDefault="002C5E3D" w:rsidP="00143449">
            <w:pPr>
              <w:pStyle w:val="02Tabletext"/>
              <w:keepNext w:val="0"/>
            </w:pPr>
            <w:r w:rsidRPr="002C5E3D">
              <w:t>(</w:t>
            </w:r>
            <w:proofErr w:type="gramStart"/>
            <w:r w:rsidRPr="002C5E3D">
              <w:t>staged</w:t>
            </w:r>
            <w:proofErr w:type="gramEnd"/>
            <w:r w:rsidRPr="002C5E3D">
              <w:t xml:space="preserve"> adj2 supply).</w:t>
            </w:r>
            <w:proofErr w:type="spellStart"/>
            <w:r w:rsidRPr="002C5E3D">
              <w:t>mp</w:t>
            </w:r>
            <w:proofErr w:type="spellEnd"/>
            <w:r w:rsidR="0083205D">
              <w:t>.</w:t>
            </w:r>
          </w:p>
        </w:tc>
        <w:tc>
          <w:tcPr>
            <w:tcW w:w="779" w:type="pct"/>
          </w:tcPr>
          <w:p w14:paraId="46C6A1A6" w14:textId="220BDCF9" w:rsidR="0049208F" w:rsidRDefault="002C5E3D" w:rsidP="00143449">
            <w:pPr>
              <w:pStyle w:val="02Tabletext"/>
              <w:keepNext w:val="0"/>
            </w:pPr>
            <w:r>
              <w:t>6</w:t>
            </w:r>
          </w:p>
        </w:tc>
      </w:tr>
      <w:tr w:rsidR="0049208F" w14:paraId="1A26CDB6"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6881C91C" w14:textId="13E3E6A0" w:rsidR="0049208F" w:rsidRDefault="002C5E3D" w:rsidP="00143449">
            <w:pPr>
              <w:pStyle w:val="02Tabletext"/>
              <w:keepNext w:val="0"/>
            </w:pPr>
            <w:r>
              <w:t>6</w:t>
            </w:r>
          </w:p>
        </w:tc>
        <w:tc>
          <w:tcPr>
            <w:tcW w:w="3989" w:type="pct"/>
          </w:tcPr>
          <w:p w14:paraId="560D253E" w14:textId="36706359" w:rsidR="0049208F" w:rsidRDefault="002C5E3D" w:rsidP="00143449">
            <w:pPr>
              <w:pStyle w:val="02Tabletext"/>
              <w:keepNext w:val="0"/>
            </w:pPr>
            <w:proofErr w:type="gramStart"/>
            <w:r w:rsidRPr="002C5E3D">
              <w:t>staged</w:t>
            </w:r>
            <w:proofErr w:type="gramEnd"/>
            <w:r w:rsidRPr="002C5E3D">
              <w:t xml:space="preserve"> dispensing.mp.</w:t>
            </w:r>
          </w:p>
        </w:tc>
        <w:tc>
          <w:tcPr>
            <w:tcW w:w="779" w:type="pct"/>
          </w:tcPr>
          <w:p w14:paraId="515A8ED8" w14:textId="69736705" w:rsidR="0049208F" w:rsidRDefault="002C5E3D" w:rsidP="00143449">
            <w:pPr>
              <w:pStyle w:val="02Tabletext"/>
              <w:keepNext w:val="0"/>
            </w:pPr>
            <w:r>
              <w:t>0</w:t>
            </w:r>
          </w:p>
        </w:tc>
      </w:tr>
      <w:tr w:rsidR="0049208F" w14:paraId="3B5DCB3E" w14:textId="77777777" w:rsidTr="00F535A9">
        <w:tc>
          <w:tcPr>
            <w:tcW w:w="232" w:type="pct"/>
          </w:tcPr>
          <w:p w14:paraId="5DAE7F67" w14:textId="639FE092" w:rsidR="0049208F" w:rsidRDefault="002C5E3D" w:rsidP="00143449">
            <w:pPr>
              <w:pStyle w:val="02Tabletext"/>
              <w:keepNext w:val="0"/>
            </w:pPr>
            <w:r>
              <w:t>7</w:t>
            </w:r>
          </w:p>
        </w:tc>
        <w:tc>
          <w:tcPr>
            <w:tcW w:w="3989" w:type="pct"/>
          </w:tcPr>
          <w:p w14:paraId="0A5A8CC8" w14:textId="5DA8B3D1" w:rsidR="0049208F" w:rsidRDefault="002C5E3D" w:rsidP="00143449">
            <w:pPr>
              <w:pStyle w:val="02Tabletext"/>
              <w:keepNext w:val="0"/>
            </w:pPr>
            <w:proofErr w:type="gramStart"/>
            <w:r w:rsidRPr="002C5E3D">
              <w:t>periodic</w:t>
            </w:r>
            <w:proofErr w:type="gramEnd"/>
            <w:r w:rsidRPr="002C5E3D">
              <w:t xml:space="preserve"> dispensing.mp</w:t>
            </w:r>
            <w:r w:rsidR="0083205D">
              <w:t>.</w:t>
            </w:r>
          </w:p>
        </w:tc>
        <w:tc>
          <w:tcPr>
            <w:tcW w:w="779" w:type="pct"/>
          </w:tcPr>
          <w:p w14:paraId="4ED77985" w14:textId="07FA0087" w:rsidR="0049208F" w:rsidRDefault="002C5E3D" w:rsidP="00143449">
            <w:pPr>
              <w:pStyle w:val="02Tabletext"/>
              <w:keepNext w:val="0"/>
            </w:pPr>
            <w:r>
              <w:t>0</w:t>
            </w:r>
          </w:p>
        </w:tc>
      </w:tr>
      <w:tr w:rsidR="0049208F" w14:paraId="2614FDBA"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184AE0E4" w14:textId="0F0E458C" w:rsidR="0049208F" w:rsidRDefault="002C5E3D" w:rsidP="00143449">
            <w:pPr>
              <w:pStyle w:val="02Tabletext"/>
              <w:keepNext w:val="0"/>
            </w:pPr>
            <w:r>
              <w:t>8</w:t>
            </w:r>
          </w:p>
        </w:tc>
        <w:tc>
          <w:tcPr>
            <w:tcW w:w="3989" w:type="pct"/>
          </w:tcPr>
          <w:p w14:paraId="0BA25CBA" w14:textId="2C074B45" w:rsidR="0049208F" w:rsidRDefault="002C5E3D" w:rsidP="00143449">
            <w:pPr>
              <w:pStyle w:val="02Tabletext"/>
              <w:keepNext w:val="0"/>
            </w:pPr>
            <w:proofErr w:type="gramStart"/>
            <w:r w:rsidRPr="002C5E3D">
              <w:t>periodic</w:t>
            </w:r>
            <w:proofErr w:type="gramEnd"/>
            <w:r w:rsidRPr="002C5E3D">
              <w:t xml:space="preserve"> instal$ment.mp</w:t>
            </w:r>
            <w:r w:rsidR="0083205D">
              <w:t>.</w:t>
            </w:r>
          </w:p>
        </w:tc>
        <w:tc>
          <w:tcPr>
            <w:tcW w:w="779" w:type="pct"/>
          </w:tcPr>
          <w:p w14:paraId="6ECC1380" w14:textId="32F15B6F" w:rsidR="0049208F" w:rsidRDefault="002C5E3D" w:rsidP="00143449">
            <w:pPr>
              <w:pStyle w:val="02Tabletext"/>
              <w:keepNext w:val="0"/>
            </w:pPr>
            <w:r>
              <w:t>0</w:t>
            </w:r>
          </w:p>
        </w:tc>
      </w:tr>
      <w:tr w:rsidR="0083205D" w14:paraId="787DDE36" w14:textId="77777777" w:rsidTr="00F535A9">
        <w:tc>
          <w:tcPr>
            <w:tcW w:w="232" w:type="pct"/>
          </w:tcPr>
          <w:p w14:paraId="3A9A6E9C" w14:textId="7AB202F4" w:rsidR="0083205D" w:rsidRDefault="0083205D" w:rsidP="00143449">
            <w:pPr>
              <w:pStyle w:val="02Tabletext"/>
              <w:keepNext w:val="0"/>
            </w:pPr>
            <w:r>
              <w:t>9</w:t>
            </w:r>
          </w:p>
        </w:tc>
        <w:tc>
          <w:tcPr>
            <w:tcW w:w="3989" w:type="pct"/>
          </w:tcPr>
          <w:p w14:paraId="5192323C" w14:textId="1EC8781F" w:rsidR="0083205D" w:rsidRPr="002C5E3D" w:rsidRDefault="0083205D" w:rsidP="00143449">
            <w:pPr>
              <w:pStyle w:val="02Tabletext"/>
              <w:keepNext w:val="0"/>
            </w:pPr>
            <w:proofErr w:type="gramStart"/>
            <w:r>
              <w:t>staged</w:t>
            </w:r>
            <w:proofErr w:type="gramEnd"/>
            <w:r>
              <w:t xml:space="preserve"> instal$ment.mp.</w:t>
            </w:r>
          </w:p>
        </w:tc>
        <w:tc>
          <w:tcPr>
            <w:tcW w:w="779" w:type="pct"/>
          </w:tcPr>
          <w:p w14:paraId="709E0049" w14:textId="619DB83E" w:rsidR="0083205D" w:rsidRDefault="0083205D" w:rsidP="00143449">
            <w:pPr>
              <w:pStyle w:val="02Tabletext"/>
              <w:keepNext w:val="0"/>
            </w:pPr>
            <w:r>
              <w:t>0</w:t>
            </w:r>
          </w:p>
        </w:tc>
      </w:tr>
      <w:tr w:rsidR="0049208F" w14:paraId="5E058CC6"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0E569586" w14:textId="157BC16D" w:rsidR="0049208F" w:rsidRDefault="0083205D" w:rsidP="00143449">
            <w:pPr>
              <w:pStyle w:val="02Tabletext"/>
              <w:keepNext w:val="0"/>
            </w:pPr>
            <w:r>
              <w:t>10</w:t>
            </w:r>
          </w:p>
        </w:tc>
        <w:tc>
          <w:tcPr>
            <w:tcW w:w="3989" w:type="pct"/>
          </w:tcPr>
          <w:p w14:paraId="2AB2FE10" w14:textId="507CC544" w:rsidR="0049208F" w:rsidRDefault="002C5E3D" w:rsidP="00143449">
            <w:pPr>
              <w:pStyle w:val="02Tabletext"/>
              <w:keepNext w:val="0"/>
            </w:pPr>
            <w:r w:rsidRPr="002C5E3D">
              <w:t>((periodic or staged) adj2 (</w:t>
            </w:r>
            <w:proofErr w:type="spellStart"/>
            <w:r w:rsidRPr="002C5E3D">
              <w:t>installment</w:t>
            </w:r>
            <w:proofErr w:type="spellEnd"/>
            <w:r w:rsidRPr="002C5E3D">
              <w:t xml:space="preserve"> </w:t>
            </w:r>
            <w:r w:rsidR="0083205D">
              <w:t>or instalment or dispensing)).</w:t>
            </w:r>
            <w:proofErr w:type="spellStart"/>
            <w:r w:rsidR="0083205D">
              <w:t>mp</w:t>
            </w:r>
            <w:proofErr w:type="spellEnd"/>
            <w:r w:rsidR="0083205D">
              <w:t>.</w:t>
            </w:r>
          </w:p>
        </w:tc>
        <w:tc>
          <w:tcPr>
            <w:tcW w:w="779" w:type="pct"/>
          </w:tcPr>
          <w:p w14:paraId="2FC9711F" w14:textId="36DC0D56" w:rsidR="0049208F" w:rsidRDefault="002C5E3D" w:rsidP="00143449">
            <w:pPr>
              <w:pStyle w:val="02Tabletext"/>
              <w:keepNext w:val="0"/>
            </w:pPr>
            <w:r>
              <w:t>1</w:t>
            </w:r>
          </w:p>
        </w:tc>
      </w:tr>
      <w:tr w:rsidR="00B7109E" w14:paraId="65DBF425" w14:textId="77777777" w:rsidTr="00F535A9">
        <w:tc>
          <w:tcPr>
            <w:tcW w:w="232" w:type="pct"/>
          </w:tcPr>
          <w:p w14:paraId="32BE078F" w14:textId="7E239DE0" w:rsidR="00B7109E" w:rsidRDefault="0083205D" w:rsidP="00143449">
            <w:pPr>
              <w:pStyle w:val="02Tabletext"/>
              <w:keepNext w:val="0"/>
            </w:pPr>
            <w:r>
              <w:t>11</w:t>
            </w:r>
          </w:p>
        </w:tc>
        <w:tc>
          <w:tcPr>
            <w:tcW w:w="3989" w:type="pct"/>
          </w:tcPr>
          <w:p w14:paraId="3F34CE38" w14:textId="208B6E8E" w:rsidR="00B7109E" w:rsidRDefault="0083205D" w:rsidP="00143449">
            <w:pPr>
              <w:pStyle w:val="02Tabletext"/>
              <w:keepNext w:val="0"/>
            </w:pPr>
            <w:r>
              <w:t>4 or 5 or 6 or 7 or 8 or 9</w:t>
            </w:r>
          </w:p>
        </w:tc>
        <w:tc>
          <w:tcPr>
            <w:tcW w:w="779" w:type="pct"/>
          </w:tcPr>
          <w:p w14:paraId="67D808F1" w14:textId="124A39A0" w:rsidR="00B7109E" w:rsidRDefault="0083205D" w:rsidP="00143449">
            <w:pPr>
              <w:pStyle w:val="02Tabletext"/>
              <w:keepNext w:val="0"/>
            </w:pPr>
            <w:r>
              <w:t>7</w:t>
            </w:r>
          </w:p>
        </w:tc>
      </w:tr>
      <w:tr w:rsidR="00B7109E" w14:paraId="7CDF784E"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6A3FF48C" w14:textId="58F4F9A8" w:rsidR="00B7109E" w:rsidRDefault="0083205D" w:rsidP="00143449">
            <w:pPr>
              <w:pStyle w:val="02Tabletext"/>
              <w:keepNext w:val="0"/>
            </w:pPr>
            <w:r>
              <w:t>12</w:t>
            </w:r>
          </w:p>
        </w:tc>
        <w:tc>
          <w:tcPr>
            <w:tcW w:w="3989" w:type="pct"/>
          </w:tcPr>
          <w:p w14:paraId="329599AB" w14:textId="184CC1F3" w:rsidR="00B7109E" w:rsidRDefault="0083205D" w:rsidP="00143449">
            <w:pPr>
              <w:pStyle w:val="02Tabletext"/>
              <w:keepNext w:val="0"/>
            </w:pPr>
            <w:r>
              <w:t>3 and 10</w:t>
            </w:r>
          </w:p>
        </w:tc>
        <w:tc>
          <w:tcPr>
            <w:tcW w:w="779" w:type="pct"/>
          </w:tcPr>
          <w:p w14:paraId="303503CC" w14:textId="039CD4F6" w:rsidR="00B7109E" w:rsidRDefault="0083205D" w:rsidP="00143449">
            <w:pPr>
              <w:pStyle w:val="02Tabletext"/>
              <w:keepNext w:val="0"/>
            </w:pPr>
            <w:r>
              <w:t>1</w:t>
            </w:r>
          </w:p>
        </w:tc>
      </w:tr>
      <w:tr w:rsidR="00B7109E" w14:paraId="732685AF" w14:textId="77777777" w:rsidTr="00F535A9">
        <w:tc>
          <w:tcPr>
            <w:tcW w:w="232" w:type="pct"/>
          </w:tcPr>
          <w:p w14:paraId="24174851" w14:textId="1A56716F" w:rsidR="00B7109E" w:rsidRDefault="0083205D" w:rsidP="00143449">
            <w:pPr>
              <w:pStyle w:val="02Tabletext"/>
              <w:keepNext w:val="0"/>
            </w:pPr>
            <w:r>
              <w:t>13</w:t>
            </w:r>
          </w:p>
        </w:tc>
        <w:tc>
          <w:tcPr>
            <w:tcW w:w="3989" w:type="pct"/>
          </w:tcPr>
          <w:p w14:paraId="2C3E0832" w14:textId="45263B23" w:rsidR="00B7109E" w:rsidRDefault="0083205D" w:rsidP="00143449">
            <w:pPr>
              <w:pStyle w:val="02Tabletext"/>
              <w:keepNext w:val="0"/>
            </w:pPr>
            <w:r>
              <w:t>limit 11</w:t>
            </w:r>
            <w:r w:rsidRPr="0083205D">
              <w:t xml:space="preserve"> to (human and </w:t>
            </w:r>
            <w:proofErr w:type="spellStart"/>
            <w:r w:rsidRPr="0083205D">
              <w:t>english</w:t>
            </w:r>
            <w:proofErr w:type="spellEnd"/>
            <w:r w:rsidRPr="0083205D">
              <w:t xml:space="preserve"> language</w:t>
            </w:r>
            <w:r>
              <w:t>)</w:t>
            </w:r>
          </w:p>
        </w:tc>
        <w:tc>
          <w:tcPr>
            <w:tcW w:w="779" w:type="pct"/>
          </w:tcPr>
          <w:p w14:paraId="62CD258D" w14:textId="2ABB0CB3" w:rsidR="00B7109E" w:rsidRDefault="0083205D" w:rsidP="00143449">
            <w:pPr>
              <w:pStyle w:val="02Tabletext"/>
              <w:keepNext w:val="0"/>
            </w:pPr>
            <w:r>
              <w:t>0</w:t>
            </w:r>
          </w:p>
        </w:tc>
      </w:tr>
    </w:tbl>
    <w:p w14:paraId="3DA09633" w14:textId="58BD2A93" w:rsidR="00103385" w:rsidRDefault="001272D4" w:rsidP="001272D4">
      <w:pPr>
        <w:pStyle w:val="08Tablefootnotes"/>
      </w:pPr>
      <w:proofErr w:type="spellStart"/>
      <w:r>
        <w:t>m</w:t>
      </w:r>
      <w:r w:rsidRPr="001272D4">
        <w:t>p</w:t>
      </w:r>
      <w:proofErr w:type="spellEnd"/>
      <w:r>
        <w:t xml:space="preserve"> </w:t>
      </w:r>
      <w:r w:rsidRPr="001272D4">
        <w:t>=</w:t>
      </w:r>
      <w:r>
        <w:t xml:space="preserve"> </w:t>
      </w:r>
      <w:r w:rsidRPr="001272D4">
        <w:t>title, abstract, heading word, drug trade name, original title, device manufacturer, drug manufacturer, device trade name, keyword</w:t>
      </w:r>
    </w:p>
    <w:p w14:paraId="54AEF77F" w14:textId="77777777" w:rsidR="00103385" w:rsidRDefault="00103385" w:rsidP="00103385">
      <w:pPr>
        <w:pStyle w:val="BodyText"/>
      </w:pPr>
    </w:p>
    <w:p w14:paraId="51480E6E" w14:textId="14CEDA5B" w:rsidR="007151D9" w:rsidRDefault="007151D9" w:rsidP="007151D9">
      <w:pPr>
        <w:pStyle w:val="Caption"/>
      </w:pPr>
      <w:bookmarkStart w:id="104" w:name="_Toc467155752"/>
      <w:r>
        <w:t>Table A-</w:t>
      </w:r>
      <w:r w:rsidR="00872B71">
        <w:rPr>
          <w:noProof/>
        </w:rPr>
        <w:fldChar w:fldCharType="begin"/>
      </w:r>
      <w:r w:rsidR="00872B71">
        <w:rPr>
          <w:noProof/>
        </w:rPr>
        <w:instrText xml:space="preserve"> STYLEREF 7 \s </w:instrText>
      </w:r>
      <w:r w:rsidR="00872B71">
        <w:rPr>
          <w:noProof/>
        </w:rPr>
        <w:fldChar w:fldCharType="separate"/>
      </w:r>
      <w:r w:rsidR="006F3580">
        <w:rPr>
          <w:noProof/>
        </w:rPr>
        <w:t>3</w:t>
      </w:r>
      <w:r w:rsidR="00872B71">
        <w:rPr>
          <w:noProof/>
        </w:rPr>
        <w:fldChar w:fldCharType="end"/>
      </w:r>
      <w:r>
        <w:t>.</w:t>
      </w:r>
      <w:r w:rsidR="00872B71">
        <w:rPr>
          <w:noProof/>
        </w:rPr>
        <w:fldChar w:fldCharType="begin"/>
      </w:r>
      <w:r w:rsidR="00872B71">
        <w:rPr>
          <w:noProof/>
        </w:rPr>
        <w:instrText xml:space="preserve"> SEQ Table_A- \* ARABIC \s 7 </w:instrText>
      </w:r>
      <w:r w:rsidR="00872B71">
        <w:rPr>
          <w:noProof/>
        </w:rPr>
        <w:fldChar w:fldCharType="separate"/>
      </w:r>
      <w:r w:rsidR="006F3580">
        <w:rPr>
          <w:noProof/>
        </w:rPr>
        <w:t>2</w:t>
      </w:r>
      <w:r w:rsidR="00872B71">
        <w:rPr>
          <w:noProof/>
        </w:rPr>
        <w:fldChar w:fldCharType="end"/>
      </w:r>
      <w:r>
        <w:tab/>
        <w:t>Medline search strategy</w:t>
      </w:r>
      <w:r w:rsidR="00C35A33">
        <w:t xml:space="preserve"> (23</w:t>
      </w:r>
      <w:r w:rsidR="00C35A33" w:rsidRPr="00C35A33">
        <w:rPr>
          <w:vertAlign w:val="superscript"/>
        </w:rPr>
        <w:t>rd</w:t>
      </w:r>
      <w:r w:rsidR="00C35A33">
        <w:t xml:space="preserve"> August 2016)</w:t>
      </w:r>
      <w:bookmarkEnd w:id="104"/>
    </w:p>
    <w:tbl>
      <w:tblPr>
        <w:tblStyle w:val="TableGrid"/>
        <w:tblW w:w="5000" w:type="pct"/>
        <w:tblLook w:val="04A0" w:firstRow="1" w:lastRow="0" w:firstColumn="1" w:lastColumn="0" w:noHBand="0" w:noVBand="1"/>
        <w:tblCaption w:val="Table A-3.2"/>
        <w:tblDescription w:val="Medline search strategy (23rd August 2016)"/>
      </w:tblPr>
      <w:tblGrid>
        <w:gridCol w:w="447"/>
        <w:gridCol w:w="7681"/>
        <w:gridCol w:w="1500"/>
      </w:tblGrid>
      <w:tr w:rsidR="003426F4" w14:paraId="6E3BADD9" w14:textId="77777777" w:rsidTr="00F535A9">
        <w:trPr>
          <w:cnfStyle w:val="100000000000" w:firstRow="1" w:lastRow="0" w:firstColumn="0" w:lastColumn="0" w:oddVBand="0" w:evenVBand="0" w:oddHBand="0" w:evenHBand="0" w:firstRowFirstColumn="0" w:firstRowLastColumn="0" w:lastRowFirstColumn="0" w:lastRowLastColumn="0"/>
        </w:trPr>
        <w:tc>
          <w:tcPr>
            <w:tcW w:w="232" w:type="pct"/>
          </w:tcPr>
          <w:p w14:paraId="5F4FCFA8" w14:textId="77777777" w:rsidR="003426F4" w:rsidRDefault="003426F4" w:rsidP="006B6FB0">
            <w:pPr>
              <w:pStyle w:val="01Tableheaderrow"/>
              <w:keepNext w:val="0"/>
            </w:pPr>
            <w:r>
              <w:t>#</w:t>
            </w:r>
          </w:p>
        </w:tc>
        <w:tc>
          <w:tcPr>
            <w:tcW w:w="3989" w:type="pct"/>
          </w:tcPr>
          <w:p w14:paraId="13DE5140" w14:textId="77777777" w:rsidR="003426F4" w:rsidRDefault="003426F4" w:rsidP="006B6FB0">
            <w:pPr>
              <w:pStyle w:val="01Tableheaderrow"/>
              <w:keepNext w:val="0"/>
            </w:pPr>
            <w:r>
              <w:t>Search term</w:t>
            </w:r>
          </w:p>
        </w:tc>
        <w:tc>
          <w:tcPr>
            <w:tcW w:w="779" w:type="pct"/>
          </w:tcPr>
          <w:p w14:paraId="52DFC955" w14:textId="77777777" w:rsidR="003426F4" w:rsidRDefault="003426F4" w:rsidP="006B6FB0">
            <w:pPr>
              <w:pStyle w:val="01Tableheaderrow"/>
              <w:keepNext w:val="0"/>
            </w:pPr>
            <w:r>
              <w:t>Number of citations</w:t>
            </w:r>
          </w:p>
        </w:tc>
      </w:tr>
      <w:tr w:rsidR="003426F4" w14:paraId="71B12637" w14:textId="77777777" w:rsidTr="00F535A9">
        <w:tc>
          <w:tcPr>
            <w:tcW w:w="232" w:type="pct"/>
          </w:tcPr>
          <w:p w14:paraId="02895439" w14:textId="77777777" w:rsidR="003426F4" w:rsidRDefault="003426F4" w:rsidP="006B6FB0">
            <w:pPr>
              <w:pStyle w:val="02Tabletext"/>
              <w:keepNext w:val="0"/>
            </w:pPr>
            <w:r>
              <w:t>1</w:t>
            </w:r>
          </w:p>
        </w:tc>
        <w:tc>
          <w:tcPr>
            <w:tcW w:w="3989" w:type="pct"/>
          </w:tcPr>
          <w:p w14:paraId="6970C1E1" w14:textId="77777777" w:rsidR="003426F4" w:rsidRDefault="003426F4" w:rsidP="006B6FB0">
            <w:pPr>
              <w:pStyle w:val="02Tabletext"/>
              <w:keepNext w:val="0"/>
            </w:pPr>
            <w:proofErr w:type="spellStart"/>
            <w:proofErr w:type="gramStart"/>
            <w:r>
              <w:t>pharmac</w:t>
            </w:r>
            <w:proofErr w:type="spellEnd"/>
            <w:proofErr w:type="gramEnd"/>
            <w:r>
              <w:t>*.</w:t>
            </w:r>
            <w:proofErr w:type="spellStart"/>
            <w:r>
              <w:t>mp</w:t>
            </w:r>
            <w:proofErr w:type="spellEnd"/>
            <w:r>
              <w:t>.</w:t>
            </w:r>
          </w:p>
        </w:tc>
        <w:tc>
          <w:tcPr>
            <w:tcW w:w="779" w:type="pct"/>
          </w:tcPr>
          <w:p w14:paraId="25CAD745" w14:textId="070A1F47" w:rsidR="003426F4" w:rsidRDefault="001D6BDC" w:rsidP="006B6FB0">
            <w:pPr>
              <w:pStyle w:val="02Tabletext"/>
              <w:keepNext w:val="0"/>
            </w:pPr>
            <w:r>
              <w:t>694696</w:t>
            </w:r>
          </w:p>
        </w:tc>
      </w:tr>
      <w:tr w:rsidR="003426F4" w14:paraId="60DCDE8A"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3413F601" w14:textId="77777777" w:rsidR="003426F4" w:rsidRDefault="003426F4" w:rsidP="006B6FB0">
            <w:pPr>
              <w:pStyle w:val="02Tabletext"/>
              <w:keepNext w:val="0"/>
            </w:pPr>
            <w:r>
              <w:t>2</w:t>
            </w:r>
          </w:p>
        </w:tc>
        <w:tc>
          <w:tcPr>
            <w:tcW w:w="3989" w:type="pct"/>
          </w:tcPr>
          <w:p w14:paraId="7CD15F19" w14:textId="77777777" w:rsidR="003426F4" w:rsidRPr="00B7109E" w:rsidRDefault="003426F4" w:rsidP="006B6FB0">
            <w:pPr>
              <w:pStyle w:val="02Tabletext"/>
              <w:keepNext w:val="0"/>
            </w:pPr>
            <w:proofErr w:type="gramStart"/>
            <w:r>
              <w:t>community</w:t>
            </w:r>
            <w:proofErr w:type="gramEnd"/>
            <w:r>
              <w:t xml:space="preserve"> </w:t>
            </w:r>
            <w:proofErr w:type="spellStart"/>
            <w:r>
              <w:t>pharmac</w:t>
            </w:r>
            <w:proofErr w:type="spellEnd"/>
            <w:r>
              <w:t>*.</w:t>
            </w:r>
            <w:proofErr w:type="spellStart"/>
            <w:r>
              <w:t>mp</w:t>
            </w:r>
            <w:proofErr w:type="spellEnd"/>
            <w:r>
              <w:t>.</w:t>
            </w:r>
          </w:p>
        </w:tc>
        <w:tc>
          <w:tcPr>
            <w:tcW w:w="779" w:type="pct"/>
          </w:tcPr>
          <w:p w14:paraId="073A4104" w14:textId="0CDD9D62" w:rsidR="003426F4" w:rsidRDefault="001D6BDC" w:rsidP="006B6FB0">
            <w:pPr>
              <w:pStyle w:val="02Tabletext"/>
              <w:keepNext w:val="0"/>
            </w:pPr>
            <w:r>
              <w:t>4989</w:t>
            </w:r>
          </w:p>
        </w:tc>
      </w:tr>
      <w:tr w:rsidR="003426F4" w14:paraId="2C0E2BEB" w14:textId="77777777" w:rsidTr="00F535A9">
        <w:tc>
          <w:tcPr>
            <w:tcW w:w="232" w:type="pct"/>
          </w:tcPr>
          <w:p w14:paraId="145234CB" w14:textId="77777777" w:rsidR="003426F4" w:rsidRDefault="003426F4" w:rsidP="006B6FB0">
            <w:pPr>
              <w:pStyle w:val="02Tabletext"/>
              <w:keepNext w:val="0"/>
            </w:pPr>
            <w:r>
              <w:t>3</w:t>
            </w:r>
          </w:p>
        </w:tc>
        <w:tc>
          <w:tcPr>
            <w:tcW w:w="3989" w:type="pct"/>
          </w:tcPr>
          <w:p w14:paraId="30C00F5D" w14:textId="77777777" w:rsidR="003426F4" w:rsidRDefault="003426F4" w:rsidP="006B6FB0">
            <w:pPr>
              <w:pStyle w:val="02Tabletext"/>
              <w:keepNext w:val="0"/>
            </w:pPr>
            <w:r>
              <w:t>1 or 2</w:t>
            </w:r>
          </w:p>
        </w:tc>
        <w:tc>
          <w:tcPr>
            <w:tcW w:w="779" w:type="pct"/>
          </w:tcPr>
          <w:p w14:paraId="531A1E6D" w14:textId="43B4759C" w:rsidR="003426F4" w:rsidRPr="002C5E3D" w:rsidRDefault="001D6BDC" w:rsidP="006B6FB0">
            <w:pPr>
              <w:pStyle w:val="02Tabletext"/>
              <w:keepNext w:val="0"/>
            </w:pPr>
            <w:r>
              <w:t>694696</w:t>
            </w:r>
          </w:p>
        </w:tc>
      </w:tr>
      <w:tr w:rsidR="003426F4" w14:paraId="6CF041D5"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36B79490" w14:textId="77777777" w:rsidR="003426F4" w:rsidRDefault="003426F4" w:rsidP="006B6FB0">
            <w:pPr>
              <w:pStyle w:val="02Tabletext"/>
              <w:keepNext w:val="0"/>
            </w:pPr>
            <w:r>
              <w:t>4</w:t>
            </w:r>
          </w:p>
        </w:tc>
        <w:tc>
          <w:tcPr>
            <w:tcW w:w="3989" w:type="pct"/>
          </w:tcPr>
          <w:p w14:paraId="3BCB2903" w14:textId="77777777" w:rsidR="003426F4" w:rsidRDefault="003426F4" w:rsidP="006B6FB0">
            <w:pPr>
              <w:pStyle w:val="02Tabletext"/>
              <w:keepNext w:val="0"/>
            </w:pPr>
            <w:proofErr w:type="gramStart"/>
            <w:r w:rsidRPr="002C5E3D">
              <w:t>staged</w:t>
            </w:r>
            <w:proofErr w:type="gramEnd"/>
            <w:r w:rsidRPr="002C5E3D">
              <w:t xml:space="preserve"> supply.mp.</w:t>
            </w:r>
          </w:p>
        </w:tc>
        <w:tc>
          <w:tcPr>
            <w:tcW w:w="779" w:type="pct"/>
          </w:tcPr>
          <w:p w14:paraId="7BF1239D" w14:textId="77777777" w:rsidR="003426F4" w:rsidRDefault="003426F4" w:rsidP="006B6FB0">
            <w:pPr>
              <w:pStyle w:val="02Tabletext"/>
              <w:keepNext w:val="0"/>
            </w:pPr>
            <w:r>
              <w:t>0</w:t>
            </w:r>
          </w:p>
        </w:tc>
      </w:tr>
      <w:tr w:rsidR="003426F4" w14:paraId="075CC54F" w14:textId="77777777" w:rsidTr="00F535A9">
        <w:tc>
          <w:tcPr>
            <w:tcW w:w="232" w:type="pct"/>
          </w:tcPr>
          <w:p w14:paraId="581A75B3" w14:textId="77777777" w:rsidR="003426F4" w:rsidRDefault="003426F4" w:rsidP="006B6FB0">
            <w:pPr>
              <w:pStyle w:val="02Tabletext"/>
              <w:keepNext w:val="0"/>
            </w:pPr>
            <w:r>
              <w:t>5</w:t>
            </w:r>
          </w:p>
        </w:tc>
        <w:tc>
          <w:tcPr>
            <w:tcW w:w="3989" w:type="pct"/>
          </w:tcPr>
          <w:p w14:paraId="0A222E78" w14:textId="77777777" w:rsidR="003426F4" w:rsidRDefault="003426F4" w:rsidP="006B6FB0">
            <w:pPr>
              <w:pStyle w:val="02Tabletext"/>
              <w:keepNext w:val="0"/>
            </w:pPr>
            <w:r w:rsidRPr="002C5E3D">
              <w:t>(</w:t>
            </w:r>
            <w:proofErr w:type="gramStart"/>
            <w:r w:rsidRPr="002C5E3D">
              <w:t>staged</w:t>
            </w:r>
            <w:proofErr w:type="gramEnd"/>
            <w:r w:rsidRPr="002C5E3D">
              <w:t xml:space="preserve"> adj2 supply).</w:t>
            </w:r>
            <w:proofErr w:type="spellStart"/>
            <w:r w:rsidRPr="002C5E3D">
              <w:t>mp</w:t>
            </w:r>
            <w:proofErr w:type="spellEnd"/>
            <w:r>
              <w:t>.</w:t>
            </w:r>
          </w:p>
        </w:tc>
        <w:tc>
          <w:tcPr>
            <w:tcW w:w="779" w:type="pct"/>
          </w:tcPr>
          <w:p w14:paraId="5C5D6E49" w14:textId="621644F9" w:rsidR="003426F4" w:rsidRDefault="001D6BDC" w:rsidP="006B6FB0">
            <w:pPr>
              <w:pStyle w:val="02Tabletext"/>
              <w:keepNext w:val="0"/>
            </w:pPr>
            <w:r>
              <w:t>3</w:t>
            </w:r>
          </w:p>
        </w:tc>
      </w:tr>
      <w:tr w:rsidR="003426F4" w14:paraId="0369E42A"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0D0A1290" w14:textId="77777777" w:rsidR="003426F4" w:rsidRDefault="003426F4" w:rsidP="006B6FB0">
            <w:pPr>
              <w:pStyle w:val="02Tabletext"/>
              <w:keepNext w:val="0"/>
            </w:pPr>
            <w:r>
              <w:t>6</w:t>
            </w:r>
          </w:p>
        </w:tc>
        <w:tc>
          <w:tcPr>
            <w:tcW w:w="3989" w:type="pct"/>
          </w:tcPr>
          <w:p w14:paraId="5676CDE4" w14:textId="77777777" w:rsidR="003426F4" w:rsidRDefault="003426F4" w:rsidP="006B6FB0">
            <w:pPr>
              <w:pStyle w:val="02Tabletext"/>
              <w:keepNext w:val="0"/>
            </w:pPr>
            <w:proofErr w:type="gramStart"/>
            <w:r w:rsidRPr="002C5E3D">
              <w:t>staged</w:t>
            </w:r>
            <w:proofErr w:type="gramEnd"/>
            <w:r w:rsidRPr="002C5E3D">
              <w:t xml:space="preserve"> dispensing.mp.</w:t>
            </w:r>
          </w:p>
        </w:tc>
        <w:tc>
          <w:tcPr>
            <w:tcW w:w="779" w:type="pct"/>
          </w:tcPr>
          <w:p w14:paraId="26C58AC8" w14:textId="77777777" w:rsidR="003426F4" w:rsidRDefault="003426F4" w:rsidP="006B6FB0">
            <w:pPr>
              <w:pStyle w:val="02Tabletext"/>
              <w:keepNext w:val="0"/>
            </w:pPr>
            <w:r>
              <w:t>0</w:t>
            </w:r>
          </w:p>
        </w:tc>
      </w:tr>
      <w:tr w:rsidR="003426F4" w14:paraId="1D9C9CF1" w14:textId="77777777" w:rsidTr="00F535A9">
        <w:tc>
          <w:tcPr>
            <w:tcW w:w="232" w:type="pct"/>
          </w:tcPr>
          <w:p w14:paraId="1062DA01" w14:textId="77777777" w:rsidR="003426F4" w:rsidRDefault="003426F4" w:rsidP="006B6FB0">
            <w:pPr>
              <w:pStyle w:val="02Tabletext"/>
              <w:keepNext w:val="0"/>
            </w:pPr>
            <w:r>
              <w:t>7</w:t>
            </w:r>
          </w:p>
        </w:tc>
        <w:tc>
          <w:tcPr>
            <w:tcW w:w="3989" w:type="pct"/>
          </w:tcPr>
          <w:p w14:paraId="3B521B6D" w14:textId="77777777" w:rsidR="003426F4" w:rsidRDefault="003426F4" w:rsidP="006B6FB0">
            <w:pPr>
              <w:pStyle w:val="02Tabletext"/>
              <w:keepNext w:val="0"/>
            </w:pPr>
            <w:proofErr w:type="gramStart"/>
            <w:r w:rsidRPr="002C5E3D">
              <w:t>periodic</w:t>
            </w:r>
            <w:proofErr w:type="gramEnd"/>
            <w:r w:rsidRPr="002C5E3D">
              <w:t xml:space="preserve"> dispensing.mp</w:t>
            </w:r>
            <w:r>
              <w:t>.</w:t>
            </w:r>
          </w:p>
        </w:tc>
        <w:tc>
          <w:tcPr>
            <w:tcW w:w="779" w:type="pct"/>
          </w:tcPr>
          <w:p w14:paraId="57F2EDE0" w14:textId="77777777" w:rsidR="003426F4" w:rsidRDefault="003426F4" w:rsidP="006B6FB0">
            <w:pPr>
              <w:pStyle w:val="02Tabletext"/>
              <w:keepNext w:val="0"/>
            </w:pPr>
            <w:r>
              <w:t>0</w:t>
            </w:r>
          </w:p>
        </w:tc>
      </w:tr>
      <w:tr w:rsidR="003426F4" w14:paraId="1C040060"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1C3D98FA" w14:textId="77777777" w:rsidR="003426F4" w:rsidRDefault="003426F4" w:rsidP="006B6FB0">
            <w:pPr>
              <w:pStyle w:val="02Tabletext"/>
              <w:keepNext w:val="0"/>
            </w:pPr>
            <w:r>
              <w:t>8</w:t>
            </w:r>
          </w:p>
        </w:tc>
        <w:tc>
          <w:tcPr>
            <w:tcW w:w="3989" w:type="pct"/>
          </w:tcPr>
          <w:p w14:paraId="022276FB" w14:textId="77777777" w:rsidR="003426F4" w:rsidRDefault="003426F4" w:rsidP="006B6FB0">
            <w:pPr>
              <w:pStyle w:val="02Tabletext"/>
              <w:keepNext w:val="0"/>
            </w:pPr>
            <w:proofErr w:type="gramStart"/>
            <w:r w:rsidRPr="002C5E3D">
              <w:t>periodic</w:t>
            </w:r>
            <w:proofErr w:type="gramEnd"/>
            <w:r w:rsidRPr="002C5E3D">
              <w:t xml:space="preserve"> instal$ment.mp</w:t>
            </w:r>
            <w:r>
              <w:t>.</w:t>
            </w:r>
          </w:p>
        </w:tc>
        <w:tc>
          <w:tcPr>
            <w:tcW w:w="779" w:type="pct"/>
          </w:tcPr>
          <w:p w14:paraId="7F3B2B95" w14:textId="77777777" w:rsidR="003426F4" w:rsidRDefault="003426F4" w:rsidP="006B6FB0">
            <w:pPr>
              <w:pStyle w:val="02Tabletext"/>
              <w:keepNext w:val="0"/>
            </w:pPr>
            <w:r>
              <w:t>0</w:t>
            </w:r>
          </w:p>
        </w:tc>
      </w:tr>
      <w:tr w:rsidR="003426F4" w14:paraId="196BBAA0" w14:textId="77777777" w:rsidTr="00F535A9">
        <w:tc>
          <w:tcPr>
            <w:tcW w:w="232" w:type="pct"/>
          </w:tcPr>
          <w:p w14:paraId="608F160D" w14:textId="77777777" w:rsidR="003426F4" w:rsidRDefault="003426F4" w:rsidP="006B6FB0">
            <w:pPr>
              <w:pStyle w:val="02Tabletext"/>
              <w:keepNext w:val="0"/>
            </w:pPr>
            <w:r>
              <w:t>9</w:t>
            </w:r>
          </w:p>
        </w:tc>
        <w:tc>
          <w:tcPr>
            <w:tcW w:w="3989" w:type="pct"/>
          </w:tcPr>
          <w:p w14:paraId="6C4DCCE2" w14:textId="77777777" w:rsidR="003426F4" w:rsidRPr="002C5E3D" w:rsidRDefault="003426F4" w:rsidP="006B6FB0">
            <w:pPr>
              <w:pStyle w:val="02Tabletext"/>
              <w:keepNext w:val="0"/>
            </w:pPr>
            <w:proofErr w:type="gramStart"/>
            <w:r>
              <w:t>staged</w:t>
            </w:r>
            <w:proofErr w:type="gramEnd"/>
            <w:r>
              <w:t xml:space="preserve"> instal$ment.mp.</w:t>
            </w:r>
          </w:p>
        </w:tc>
        <w:tc>
          <w:tcPr>
            <w:tcW w:w="779" w:type="pct"/>
          </w:tcPr>
          <w:p w14:paraId="7FB9E3F9" w14:textId="77777777" w:rsidR="003426F4" w:rsidRDefault="003426F4" w:rsidP="006B6FB0">
            <w:pPr>
              <w:pStyle w:val="02Tabletext"/>
              <w:keepNext w:val="0"/>
            </w:pPr>
            <w:r>
              <w:t>0</w:t>
            </w:r>
          </w:p>
        </w:tc>
      </w:tr>
      <w:tr w:rsidR="003426F4" w14:paraId="62413CAB"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54E346A5" w14:textId="77777777" w:rsidR="003426F4" w:rsidRDefault="003426F4" w:rsidP="006B6FB0">
            <w:pPr>
              <w:pStyle w:val="02Tabletext"/>
              <w:keepNext w:val="0"/>
            </w:pPr>
            <w:r>
              <w:t>10</w:t>
            </w:r>
          </w:p>
        </w:tc>
        <w:tc>
          <w:tcPr>
            <w:tcW w:w="3989" w:type="pct"/>
          </w:tcPr>
          <w:p w14:paraId="2E19FC76" w14:textId="77777777" w:rsidR="003426F4" w:rsidRDefault="003426F4" w:rsidP="006B6FB0">
            <w:pPr>
              <w:pStyle w:val="02Tabletext"/>
              <w:keepNext w:val="0"/>
            </w:pPr>
            <w:r w:rsidRPr="002C5E3D">
              <w:t>((periodic or staged) adj2 (</w:t>
            </w:r>
            <w:proofErr w:type="spellStart"/>
            <w:r w:rsidRPr="002C5E3D">
              <w:t>installment</w:t>
            </w:r>
            <w:proofErr w:type="spellEnd"/>
            <w:r w:rsidRPr="002C5E3D">
              <w:t xml:space="preserve"> </w:t>
            </w:r>
            <w:r>
              <w:t>or instalment or dispensing)).</w:t>
            </w:r>
            <w:proofErr w:type="spellStart"/>
            <w:r>
              <w:t>mp</w:t>
            </w:r>
            <w:proofErr w:type="spellEnd"/>
            <w:r>
              <w:t>.</w:t>
            </w:r>
          </w:p>
        </w:tc>
        <w:tc>
          <w:tcPr>
            <w:tcW w:w="779" w:type="pct"/>
          </w:tcPr>
          <w:p w14:paraId="35F71083" w14:textId="22CEC6A6" w:rsidR="003426F4" w:rsidRDefault="001D6BDC" w:rsidP="006B6FB0">
            <w:pPr>
              <w:pStyle w:val="02Tabletext"/>
              <w:keepNext w:val="0"/>
            </w:pPr>
            <w:r>
              <w:t>0</w:t>
            </w:r>
          </w:p>
        </w:tc>
      </w:tr>
      <w:tr w:rsidR="003426F4" w14:paraId="77F669CF" w14:textId="77777777" w:rsidTr="00F535A9">
        <w:tc>
          <w:tcPr>
            <w:tcW w:w="232" w:type="pct"/>
          </w:tcPr>
          <w:p w14:paraId="7BC1461B" w14:textId="77777777" w:rsidR="003426F4" w:rsidRDefault="003426F4" w:rsidP="006B6FB0">
            <w:pPr>
              <w:pStyle w:val="02Tabletext"/>
              <w:keepNext w:val="0"/>
            </w:pPr>
            <w:r>
              <w:t>11</w:t>
            </w:r>
          </w:p>
        </w:tc>
        <w:tc>
          <w:tcPr>
            <w:tcW w:w="3989" w:type="pct"/>
          </w:tcPr>
          <w:p w14:paraId="40AB7FC8" w14:textId="77777777" w:rsidR="003426F4" w:rsidRDefault="003426F4" w:rsidP="006B6FB0">
            <w:pPr>
              <w:pStyle w:val="02Tabletext"/>
              <w:keepNext w:val="0"/>
            </w:pPr>
            <w:r>
              <w:t>4 or 5 or 6 or 7 or 8 or 9</w:t>
            </w:r>
          </w:p>
        </w:tc>
        <w:tc>
          <w:tcPr>
            <w:tcW w:w="779" w:type="pct"/>
          </w:tcPr>
          <w:p w14:paraId="0E51ECCF" w14:textId="0788D029" w:rsidR="003426F4" w:rsidRDefault="001D6BDC" w:rsidP="006B6FB0">
            <w:pPr>
              <w:pStyle w:val="02Tabletext"/>
              <w:keepNext w:val="0"/>
            </w:pPr>
            <w:r>
              <w:t>3</w:t>
            </w:r>
          </w:p>
        </w:tc>
      </w:tr>
      <w:tr w:rsidR="003426F4" w14:paraId="0AC79853"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43461546" w14:textId="77777777" w:rsidR="003426F4" w:rsidRDefault="003426F4" w:rsidP="006B6FB0">
            <w:pPr>
              <w:pStyle w:val="02Tabletext"/>
              <w:keepNext w:val="0"/>
            </w:pPr>
            <w:r>
              <w:t>12</w:t>
            </w:r>
          </w:p>
        </w:tc>
        <w:tc>
          <w:tcPr>
            <w:tcW w:w="3989" w:type="pct"/>
          </w:tcPr>
          <w:p w14:paraId="72AAE7A2" w14:textId="77777777" w:rsidR="003426F4" w:rsidRDefault="003426F4" w:rsidP="006B6FB0">
            <w:pPr>
              <w:pStyle w:val="02Tabletext"/>
              <w:keepNext w:val="0"/>
            </w:pPr>
            <w:r>
              <w:t>3 and 10</w:t>
            </w:r>
          </w:p>
        </w:tc>
        <w:tc>
          <w:tcPr>
            <w:tcW w:w="779" w:type="pct"/>
          </w:tcPr>
          <w:p w14:paraId="21851D73" w14:textId="58B9D949" w:rsidR="003426F4" w:rsidRDefault="001D6BDC" w:rsidP="006B6FB0">
            <w:pPr>
              <w:pStyle w:val="02Tabletext"/>
              <w:keepNext w:val="0"/>
            </w:pPr>
            <w:r>
              <w:t>0</w:t>
            </w:r>
          </w:p>
        </w:tc>
      </w:tr>
    </w:tbl>
    <w:p w14:paraId="02466D3C" w14:textId="21D9D22E" w:rsidR="002B50CD" w:rsidRDefault="00A810B4" w:rsidP="00103385">
      <w:pPr>
        <w:pStyle w:val="BodyText"/>
        <w:rPr>
          <w:sz w:val="16"/>
          <w:szCs w:val="16"/>
        </w:rPr>
      </w:pPr>
      <w:proofErr w:type="spellStart"/>
      <w:r w:rsidRPr="00A810B4">
        <w:rPr>
          <w:sz w:val="16"/>
          <w:szCs w:val="16"/>
        </w:rPr>
        <w:t>mp</w:t>
      </w:r>
      <w:proofErr w:type="spellEnd"/>
      <w:r w:rsidRPr="00A810B4">
        <w:rPr>
          <w:sz w:val="16"/>
          <w:szCs w:val="16"/>
        </w:rPr>
        <w:t>=title, abstract, original title, name of substance word, subject heading word, keyword heading word, protocol supplementary concept word, rare disease supplementary concept word, unique identifier</w:t>
      </w:r>
    </w:p>
    <w:p w14:paraId="75C0D5EF" w14:textId="414E3E41" w:rsidR="00A810B4" w:rsidRDefault="00A810B4" w:rsidP="00A810B4">
      <w:pPr>
        <w:pStyle w:val="Caption"/>
      </w:pPr>
      <w:bookmarkStart w:id="105" w:name="_Toc467155753"/>
      <w:r>
        <w:t>Table A-</w:t>
      </w:r>
      <w:r w:rsidR="00872B71">
        <w:rPr>
          <w:noProof/>
        </w:rPr>
        <w:fldChar w:fldCharType="begin"/>
      </w:r>
      <w:r w:rsidR="00872B71">
        <w:rPr>
          <w:noProof/>
        </w:rPr>
        <w:instrText xml:space="preserve"> STYLEREF 7 \s </w:instrText>
      </w:r>
      <w:r w:rsidR="00872B71">
        <w:rPr>
          <w:noProof/>
        </w:rPr>
        <w:fldChar w:fldCharType="separate"/>
      </w:r>
      <w:r w:rsidR="006F3580">
        <w:rPr>
          <w:noProof/>
        </w:rPr>
        <w:t>3</w:t>
      </w:r>
      <w:r w:rsidR="00872B71">
        <w:rPr>
          <w:noProof/>
        </w:rPr>
        <w:fldChar w:fldCharType="end"/>
      </w:r>
      <w:r>
        <w:t>.</w:t>
      </w:r>
      <w:r w:rsidR="00872B71">
        <w:rPr>
          <w:noProof/>
        </w:rPr>
        <w:fldChar w:fldCharType="begin"/>
      </w:r>
      <w:r w:rsidR="00872B71">
        <w:rPr>
          <w:noProof/>
        </w:rPr>
        <w:instrText xml:space="preserve"> SEQ Table_A- \* ARABIC \s 7 </w:instrText>
      </w:r>
      <w:r w:rsidR="00872B71">
        <w:rPr>
          <w:noProof/>
        </w:rPr>
        <w:fldChar w:fldCharType="separate"/>
      </w:r>
      <w:r w:rsidR="006F3580">
        <w:rPr>
          <w:noProof/>
        </w:rPr>
        <w:t>3</w:t>
      </w:r>
      <w:r w:rsidR="00872B71">
        <w:rPr>
          <w:noProof/>
        </w:rPr>
        <w:fldChar w:fldCharType="end"/>
      </w:r>
      <w:r>
        <w:tab/>
        <w:t>International Pharmaceutical Abstracts (IPA) search strategy</w:t>
      </w:r>
      <w:r w:rsidR="00C35A33">
        <w:t xml:space="preserve"> (23</w:t>
      </w:r>
      <w:r w:rsidR="00C35A33" w:rsidRPr="00C35A33">
        <w:rPr>
          <w:vertAlign w:val="superscript"/>
        </w:rPr>
        <w:t>rd</w:t>
      </w:r>
      <w:r w:rsidR="00C35A33">
        <w:t xml:space="preserve"> August 2016)</w:t>
      </w:r>
      <w:bookmarkEnd w:id="105"/>
    </w:p>
    <w:tbl>
      <w:tblPr>
        <w:tblStyle w:val="TableGrid"/>
        <w:tblW w:w="5000" w:type="pct"/>
        <w:tblLook w:val="04A0" w:firstRow="1" w:lastRow="0" w:firstColumn="1" w:lastColumn="0" w:noHBand="0" w:noVBand="1"/>
        <w:tblCaption w:val="Table A-3.3"/>
        <w:tblDescription w:val="International Pharmaceutical Abstracts (IPA) search strategy (23rd August 2016)"/>
      </w:tblPr>
      <w:tblGrid>
        <w:gridCol w:w="447"/>
        <w:gridCol w:w="7681"/>
        <w:gridCol w:w="1500"/>
      </w:tblGrid>
      <w:tr w:rsidR="001D6BDC" w14:paraId="529C8052" w14:textId="77777777" w:rsidTr="00F535A9">
        <w:trPr>
          <w:cnfStyle w:val="100000000000" w:firstRow="1" w:lastRow="0" w:firstColumn="0" w:lastColumn="0" w:oddVBand="0" w:evenVBand="0" w:oddHBand="0" w:evenHBand="0" w:firstRowFirstColumn="0" w:firstRowLastColumn="0" w:lastRowFirstColumn="0" w:lastRowLastColumn="0"/>
        </w:trPr>
        <w:tc>
          <w:tcPr>
            <w:tcW w:w="232" w:type="pct"/>
          </w:tcPr>
          <w:p w14:paraId="657FCB7A" w14:textId="77777777" w:rsidR="001D6BDC" w:rsidRDefault="001D6BDC" w:rsidP="006B6FB0">
            <w:pPr>
              <w:pStyle w:val="01Tableheaderrow"/>
              <w:keepNext w:val="0"/>
            </w:pPr>
            <w:r>
              <w:t>#</w:t>
            </w:r>
          </w:p>
        </w:tc>
        <w:tc>
          <w:tcPr>
            <w:tcW w:w="3989" w:type="pct"/>
          </w:tcPr>
          <w:p w14:paraId="72ADF22A" w14:textId="77777777" w:rsidR="001D6BDC" w:rsidRDefault="001D6BDC" w:rsidP="006B6FB0">
            <w:pPr>
              <w:pStyle w:val="01Tableheaderrow"/>
              <w:keepNext w:val="0"/>
            </w:pPr>
            <w:r>
              <w:t>Search term</w:t>
            </w:r>
          </w:p>
        </w:tc>
        <w:tc>
          <w:tcPr>
            <w:tcW w:w="779" w:type="pct"/>
          </w:tcPr>
          <w:p w14:paraId="16303636" w14:textId="77777777" w:rsidR="001D6BDC" w:rsidRDefault="001D6BDC" w:rsidP="006B6FB0">
            <w:pPr>
              <w:pStyle w:val="01Tableheaderrow"/>
              <w:keepNext w:val="0"/>
            </w:pPr>
            <w:r>
              <w:t>Number of citations</w:t>
            </w:r>
          </w:p>
        </w:tc>
      </w:tr>
      <w:tr w:rsidR="001D6BDC" w14:paraId="76138FAD" w14:textId="77777777" w:rsidTr="00F535A9">
        <w:tc>
          <w:tcPr>
            <w:tcW w:w="232" w:type="pct"/>
          </w:tcPr>
          <w:p w14:paraId="58F3A74C" w14:textId="77777777" w:rsidR="001D6BDC" w:rsidRDefault="001D6BDC" w:rsidP="006B6FB0">
            <w:pPr>
              <w:pStyle w:val="02Tabletext"/>
              <w:keepNext w:val="0"/>
            </w:pPr>
            <w:r>
              <w:t>1</w:t>
            </w:r>
          </w:p>
        </w:tc>
        <w:tc>
          <w:tcPr>
            <w:tcW w:w="3989" w:type="pct"/>
          </w:tcPr>
          <w:p w14:paraId="166602D3" w14:textId="77777777" w:rsidR="001D6BDC" w:rsidRDefault="001D6BDC" w:rsidP="006B6FB0">
            <w:pPr>
              <w:pStyle w:val="02Tabletext"/>
              <w:keepNext w:val="0"/>
            </w:pPr>
            <w:proofErr w:type="spellStart"/>
            <w:proofErr w:type="gramStart"/>
            <w:r>
              <w:t>pharmac</w:t>
            </w:r>
            <w:proofErr w:type="spellEnd"/>
            <w:proofErr w:type="gramEnd"/>
            <w:r>
              <w:t>*.</w:t>
            </w:r>
            <w:proofErr w:type="spellStart"/>
            <w:r>
              <w:t>mp</w:t>
            </w:r>
            <w:proofErr w:type="spellEnd"/>
            <w:r>
              <w:t>.</w:t>
            </w:r>
          </w:p>
        </w:tc>
        <w:tc>
          <w:tcPr>
            <w:tcW w:w="779" w:type="pct"/>
          </w:tcPr>
          <w:p w14:paraId="628727ED" w14:textId="553BEFF8" w:rsidR="001D6BDC" w:rsidRDefault="001D6BDC" w:rsidP="006B6FB0">
            <w:pPr>
              <w:pStyle w:val="02Tabletext"/>
              <w:keepNext w:val="0"/>
            </w:pPr>
            <w:r w:rsidRPr="001D6BDC">
              <w:t>195014</w:t>
            </w:r>
          </w:p>
        </w:tc>
      </w:tr>
      <w:tr w:rsidR="001D6BDC" w14:paraId="4CEB61D8"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677BE538" w14:textId="77777777" w:rsidR="001D6BDC" w:rsidRDefault="001D6BDC" w:rsidP="006B6FB0">
            <w:pPr>
              <w:pStyle w:val="02Tabletext"/>
              <w:keepNext w:val="0"/>
            </w:pPr>
            <w:r>
              <w:t>2</w:t>
            </w:r>
          </w:p>
        </w:tc>
        <w:tc>
          <w:tcPr>
            <w:tcW w:w="3989" w:type="pct"/>
          </w:tcPr>
          <w:p w14:paraId="17157B79" w14:textId="77777777" w:rsidR="001D6BDC" w:rsidRPr="00B7109E" w:rsidRDefault="001D6BDC" w:rsidP="006B6FB0">
            <w:pPr>
              <w:pStyle w:val="02Tabletext"/>
              <w:keepNext w:val="0"/>
            </w:pPr>
            <w:proofErr w:type="gramStart"/>
            <w:r>
              <w:t>community</w:t>
            </w:r>
            <w:proofErr w:type="gramEnd"/>
            <w:r>
              <w:t xml:space="preserve"> </w:t>
            </w:r>
            <w:proofErr w:type="spellStart"/>
            <w:r>
              <w:t>pharmac</w:t>
            </w:r>
            <w:proofErr w:type="spellEnd"/>
            <w:r>
              <w:t>*.</w:t>
            </w:r>
            <w:proofErr w:type="spellStart"/>
            <w:r>
              <w:t>mp</w:t>
            </w:r>
            <w:proofErr w:type="spellEnd"/>
            <w:r>
              <w:t>.</w:t>
            </w:r>
          </w:p>
        </w:tc>
        <w:tc>
          <w:tcPr>
            <w:tcW w:w="779" w:type="pct"/>
          </w:tcPr>
          <w:p w14:paraId="2E2E9A8A" w14:textId="04F43973" w:rsidR="001D6BDC" w:rsidRDefault="004B4D00" w:rsidP="006B6FB0">
            <w:pPr>
              <w:pStyle w:val="02Tabletext"/>
              <w:keepNext w:val="0"/>
            </w:pPr>
            <w:r w:rsidRPr="004B4D00">
              <w:t>9583</w:t>
            </w:r>
          </w:p>
        </w:tc>
      </w:tr>
      <w:tr w:rsidR="001D6BDC" w14:paraId="67FA0D09" w14:textId="77777777" w:rsidTr="00F535A9">
        <w:tc>
          <w:tcPr>
            <w:tcW w:w="232" w:type="pct"/>
          </w:tcPr>
          <w:p w14:paraId="7D1580C5" w14:textId="77777777" w:rsidR="001D6BDC" w:rsidRDefault="001D6BDC" w:rsidP="006B6FB0">
            <w:pPr>
              <w:pStyle w:val="02Tabletext"/>
              <w:keepNext w:val="0"/>
            </w:pPr>
            <w:r>
              <w:t>3</w:t>
            </w:r>
          </w:p>
        </w:tc>
        <w:tc>
          <w:tcPr>
            <w:tcW w:w="3989" w:type="pct"/>
          </w:tcPr>
          <w:p w14:paraId="3CF9F596" w14:textId="77777777" w:rsidR="001D6BDC" w:rsidRDefault="001D6BDC" w:rsidP="006B6FB0">
            <w:pPr>
              <w:pStyle w:val="02Tabletext"/>
              <w:keepNext w:val="0"/>
            </w:pPr>
            <w:r>
              <w:t>1 or 2</w:t>
            </w:r>
          </w:p>
        </w:tc>
        <w:tc>
          <w:tcPr>
            <w:tcW w:w="779" w:type="pct"/>
          </w:tcPr>
          <w:p w14:paraId="5C4F443F" w14:textId="3F4220C6" w:rsidR="001D6BDC" w:rsidRPr="002C5E3D" w:rsidRDefault="004B4D00" w:rsidP="006B6FB0">
            <w:pPr>
              <w:pStyle w:val="02Tabletext"/>
              <w:keepNext w:val="0"/>
            </w:pPr>
            <w:r w:rsidRPr="004B4D00">
              <w:t xml:space="preserve">195014  </w:t>
            </w:r>
          </w:p>
        </w:tc>
      </w:tr>
      <w:tr w:rsidR="001D6BDC" w14:paraId="2F2ACA1B"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7ED2FE8A" w14:textId="77777777" w:rsidR="001D6BDC" w:rsidRDefault="001D6BDC" w:rsidP="006B6FB0">
            <w:pPr>
              <w:pStyle w:val="02Tabletext"/>
              <w:keepNext w:val="0"/>
            </w:pPr>
            <w:r>
              <w:t>4</w:t>
            </w:r>
          </w:p>
        </w:tc>
        <w:tc>
          <w:tcPr>
            <w:tcW w:w="3989" w:type="pct"/>
          </w:tcPr>
          <w:p w14:paraId="7F7BE007" w14:textId="77777777" w:rsidR="001D6BDC" w:rsidRDefault="001D6BDC" w:rsidP="006B6FB0">
            <w:pPr>
              <w:pStyle w:val="02Tabletext"/>
              <w:keepNext w:val="0"/>
            </w:pPr>
            <w:proofErr w:type="gramStart"/>
            <w:r w:rsidRPr="002C5E3D">
              <w:t>staged</w:t>
            </w:r>
            <w:proofErr w:type="gramEnd"/>
            <w:r w:rsidRPr="002C5E3D">
              <w:t xml:space="preserve"> supply.mp.</w:t>
            </w:r>
          </w:p>
        </w:tc>
        <w:tc>
          <w:tcPr>
            <w:tcW w:w="779" w:type="pct"/>
          </w:tcPr>
          <w:p w14:paraId="4E4E5BF6" w14:textId="77777777" w:rsidR="001D6BDC" w:rsidRDefault="001D6BDC" w:rsidP="006B6FB0">
            <w:pPr>
              <w:pStyle w:val="02Tabletext"/>
              <w:keepNext w:val="0"/>
            </w:pPr>
            <w:r>
              <w:t>0</w:t>
            </w:r>
          </w:p>
        </w:tc>
      </w:tr>
      <w:tr w:rsidR="001D6BDC" w14:paraId="09CB3229" w14:textId="77777777" w:rsidTr="00F535A9">
        <w:tc>
          <w:tcPr>
            <w:tcW w:w="232" w:type="pct"/>
          </w:tcPr>
          <w:p w14:paraId="17982A34" w14:textId="77777777" w:rsidR="001D6BDC" w:rsidRDefault="001D6BDC" w:rsidP="006B6FB0">
            <w:pPr>
              <w:pStyle w:val="02Tabletext"/>
              <w:keepNext w:val="0"/>
            </w:pPr>
            <w:r>
              <w:t>5</w:t>
            </w:r>
          </w:p>
        </w:tc>
        <w:tc>
          <w:tcPr>
            <w:tcW w:w="3989" w:type="pct"/>
          </w:tcPr>
          <w:p w14:paraId="4397CFCD" w14:textId="77777777" w:rsidR="001D6BDC" w:rsidRDefault="001D6BDC" w:rsidP="006B6FB0">
            <w:pPr>
              <w:pStyle w:val="02Tabletext"/>
              <w:keepNext w:val="0"/>
            </w:pPr>
            <w:r w:rsidRPr="002C5E3D">
              <w:t>(</w:t>
            </w:r>
            <w:proofErr w:type="gramStart"/>
            <w:r w:rsidRPr="002C5E3D">
              <w:t>staged</w:t>
            </w:r>
            <w:proofErr w:type="gramEnd"/>
            <w:r w:rsidRPr="002C5E3D">
              <w:t xml:space="preserve"> adj2 supply).</w:t>
            </w:r>
            <w:proofErr w:type="spellStart"/>
            <w:r w:rsidRPr="002C5E3D">
              <w:t>mp</w:t>
            </w:r>
            <w:proofErr w:type="spellEnd"/>
            <w:r>
              <w:t>.</w:t>
            </w:r>
          </w:p>
        </w:tc>
        <w:tc>
          <w:tcPr>
            <w:tcW w:w="779" w:type="pct"/>
          </w:tcPr>
          <w:p w14:paraId="320BCD2E" w14:textId="23AF81B8" w:rsidR="001D6BDC" w:rsidRDefault="004B4D00" w:rsidP="006B6FB0">
            <w:pPr>
              <w:pStyle w:val="02Tabletext"/>
              <w:keepNext w:val="0"/>
            </w:pPr>
            <w:r>
              <w:t>0</w:t>
            </w:r>
          </w:p>
        </w:tc>
      </w:tr>
      <w:tr w:rsidR="001D6BDC" w14:paraId="7579D13E"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534FF735" w14:textId="77777777" w:rsidR="001D6BDC" w:rsidRDefault="001D6BDC" w:rsidP="006B6FB0">
            <w:pPr>
              <w:pStyle w:val="02Tabletext"/>
              <w:keepNext w:val="0"/>
            </w:pPr>
            <w:r>
              <w:lastRenderedPageBreak/>
              <w:t>6</w:t>
            </w:r>
          </w:p>
        </w:tc>
        <w:tc>
          <w:tcPr>
            <w:tcW w:w="3989" w:type="pct"/>
          </w:tcPr>
          <w:p w14:paraId="3DCB7B74" w14:textId="77777777" w:rsidR="001D6BDC" w:rsidRDefault="001D6BDC" w:rsidP="006B6FB0">
            <w:pPr>
              <w:pStyle w:val="02Tabletext"/>
              <w:keepNext w:val="0"/>
            </w:pPr>
            <w:proofErr w:type="gramStart"/>
            <w:r w:rsidRPr="002C5E3D">
              <w:t>staged</w:t>
            </w:r>
            <w:proofErr w:type="gramEnd"/>
            <w:r w:rsidRPr="002C5E3D">
              <w:t xml:space="preserve"> dispensing.mp.</w:t>
            </w:r>
          </w:p>
        </w:tc>
        <w:tc>
          <w:tcPr>
            <w:tcW w:w="779" w:type="pct"/>
          </w:tcPr>
          <w:p w14:paraId="424BEAC1" w14:textId="77777777" w:rsidR="001D6BDC" w:rsidRDefault="001D6BDC" w:rsidP="006B6FB0">
            <w:pPr>
              <w:pStyle w:val="02Tabletext"/>
              <w:keepNext w:val="0"/>
            </w:pPr>
            <w:r>
              <w:t>0</w:t>
            </w:r>
          </w:p>
        </w:tc>
      </w:tr>
      <w:tr w:rsidR="001D6BDC" w14:paraId="7328DE6F" w14:textId="77777777" w:rsidTr="00F535A9">
        <w:tc>
          <w:tcPr>
            <w:tcW w:w="232" w:type="pct"/>
          </w:tcPr>
          <w:p w14:paraId="5D5D1D46" w14:textId="77777777" w:rsidR="001D6BDC" w:rsidRDefault="001D6BDC" w:rsidP="006B6FB0">
            <w:pPr>
              <w:pStyle w:val="02Tabletext"/>
              <w:keepNext w:val="0"/>
            </w:pPr>
            <w:r>
              <w:t>7</w:t>
            </w:r>
          </w:p>
        </w:tc>
        <w:tc>
          <w:tcPr>
            <w:tcW w:w="3989" w:type="pct"/>
          </w:tcPr>
          <w:p w14:paraId="5838FA0B" w14:textId="77777777" w:rsidR="001D6BDC" w:rsidRDefault="001D6BDC" w:rsidP="006B6FB0">
            <w:pPr>
              <w:pStyle w:val="02Tabletext"/>
              <w:keepNext w:val="0"/>
            </w:pPr>
            <w:proofErr w:type="gramStart"/>
            <w:r w:rsidRPr="002C5E3D">
              <w:t>periodic</w:t>
            </w:r>
            <w:proofErr w:type="gramEnd"/>
            <w:r w:rsidRPr="002C5E3D">
              <w:t xml:space="preserve"> dispensing.mp</w:t>
            </w:r>
            <w:r>
              <w:t>.</w:t>
            </w:r>
          </w:p>
        </w:tc>
        <w:tc>
          <w:tcPr>
            <w:tcW w:w="779" w:type="pct"/>
          </w:tcPr>
          <w:p w14:paraId="1CDD5C41" w14:textId="77777777" w:rsidR="001D6BDC" w:rsidRDefault="001D6BDC" w:rsidP="006B6FB0">
            <w:pPr>
              <w:pStyle w:val="02Tabletext"/>
              <w:keepNext w:val="0"/>
            </w:pPr>
            <w:r>
              <w:t>0</w:t>
            </w:r>
          </w:p>
        </w:tc>
      </w:tr>
      <w:tr w:rsidR="001D6BDC" w14:paraId="63544B1E"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01EA4AB4" w14:textId="77777777" w:rsidR="001D6BDC" w:rsidRDefault="001D6BDC" w:rsidP="006B6FB0">
            <w:pPr>
              <w:pStyle w:val="02Tabletext"/>
              <w:keepNext w:val="0"/>
            </w:pPr>
            <w:r>
              <w:t>8</w:t>
            </w:r>
          </w:p>
        </w:tc>
        <w:tc>
          <w:tcPr>
            <w:tcW w:w="3989" w:type="pct"/>
          </w:tcPr>
          <w:p w14:paraId="144090F8" w14:textId="77777777" w:rsidR="001D6BDC" w:rsidRDefault="001D6BDC" w:rsidP="006B6FB0">
            <w:pPr>
              <w:pStyle w:val="02Tabletext"/>
              <w:keepNext w:val="0"/>
            </w:pPr>
            <w:proofErr w:type="gramStart"/>
            <w:r w:rsidRPr="002C5E3D">
              <w:t>periodic</w:t>
            </w:r>
            <w:proofErr w:type="gramEnd"/>
            <w:r w:rsidRPr="002C5E3D">
              <w:t xml:space="preserve"> instal$ment.mp</w:t>
            </w:r>
            <w:r>
              <w:t>.</w:t>
            </w:r>
          </w:p>
        </w:tc>
        <w:tc>
          <w:tcPr>
            <w:tcW w:w="779" w:type="pct"/>
          </w:tcPr>
          <w:p w14:paraId="0C0628B4" w14:textId="77777777" w:rsidR="001D6BDC" w:rsidRDefault="001D6BDC" w:rsidP="006B6FB0">
            <w:pPr>
              <w:pStyle w:val="02Tabletext"/>
              <w:keepNext w:val="0"/>
            </w:pPr>
            <w:r>
              <w:t>0</w:t>
            </w:r>
          </w:p>
        </w:tc>
      </w:tr>
      <w:tr w:rsidR="001D6BDC" w14:paraId="24B2A689" w14:textId="77777777" w:rsidTr="00F535A9">
        <w:tc>
          <w:tcPr>
            <w:tcW w:w="232" w:type="pct"/>
          </w:tcPr>
          <w:p w14:paraId="33D2B3E9" w14:textId="77777777" w:rsidR="001D6BDC" w:rsidRDefault="001D6BDC" w:rsidP="006B6FB0">
            <w:pPr>
              <w:pStyle w:val="02Tabletext"/>
              <w:keepNext w:val="0"/>
            </w:pPr>
            <w:r>
              <w:t>9</w:t>
            </w:r>
          </w:p>
        </w:tc>
        <w:tc>
          <w:tcPr>
            <w:tcW w:w="3989" w:type="pct"/>
          </w:tcPr>
          <w:p w14:paraId="354CCEB5" w14:textId="77777777" w:rsidR="001D6BDC" w:rsidRPr="002C5E3D" w:rsidRDefault="001D6BDC" w:rsidP="006B6FB0">
            <w:pPr>
              <w:pStyle w:val="02Tabletext"/>
              <w:keepNext w:val="0"/>
            </w:pPr>
            <w:proofErr w:type="gramStart"/>
            <w:r>
              <w:t>staged</w:t>
            </w:r>
            <w:proofErr w:type="gramEnd"/>
            <w:r>
              <w:t xml:space="preserve"> instal$ment.mp.</w:t>
            </w:r>
          </w:p>
        </w:tc>
        <w:tc>
          <w:tcPr>
            <w:tcW w:w="779" w:type="pct"/>
          </w:tcPr>
          <w:p w14:paraId="5EA2C028" w14:textId="77777777" w:rsidR="001D6BDC" w:rsidRDefault="001D6BDC" w:rsidP="006B6FB0">
            <w:pPr>
              <w:pStyle w:val="02Tabletext"/>
              <w:keepNext w:val="0"/>
            </w:pPr>
            <w:r>
              <w:t>0</w:t>
            </w:r>
          </w:p>
        </w:tc>
      </w:tr>
      <w:tr w:rsidR="001D6BDC" w14:paraId="7995ADCF"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74AB8DBD" w14:textId="77777777" w:rsidR="001D6BDC" w:rsidRDefault="001D6BDC" w:rsidP="006B6FB0">
            <w:pPr>
              <w:pStyle w:val="02Tabletext"/>
              <w:keepNext w:val="0"/>
            </w:pPr>
            <w:r>
              <w:t>10</w:t>
            </w:r>
          </w:p>
        </w:tc>
        <w:tc>
          <w:tcPr>
            <w:tcW w:w="3989" w:type="pct"/>
          </w:tcPr>
          <w:p w14:paraId="74697FCC" w14:textId="77777777" w:rsidR="001D6BDC" w:rsidRDefault="001D6BDC" w:rsidP="006B6FB0">
            <w:pPr>
              <w:pStyle w:val="02Tabletext"/>
              <w:keepNext w:val="0"/>
            </w:pPr>
            <w:r w:rsidRPr="002C5E3D">
              <w:t>((periodic or staged) adj2 (</w:t>
            </w:r>
            <w:proofErr w:type="spellStart"/>
            <w:r w:rsidRPr="002C5E3D">
              <w:t>installment</w:t>
            </w:r>
            <w:proofErr w:type="spellEnd"/>
            <w:r w:rsidRPr="002C5E3D">
              <w:t xml:space="preserve"> </w:t>
            </w:r>
            <w:r>
              <w:t>or instalment or dispensing)).</w:t>
            </w:r>
            <w:proofErr w:type="spellStart"/>
            <w:r>
              <w:t>mp</w:t>
            </w:r>
            <w:proofErr w:type="spellEnd"/>
            <w:r>
              <w:t>.</w:t>
            </w:r>
          </w:p>
        </w:tc>
        <w:tc>
          <w:tcPr>
            <w:tcW w:w="779" w:type="pct"/>
          </w:tcPr>
          <w:p w14:paraId="0E58A3EF" w14:textId="4A052881" w:rsidR="001D6BDC" w:rsidRDefault="004B4D00" w:rsidP="006B6FB0">
            <w:pPr>
              <w:pStyle w:val="02Tabletext"/>
              <w:keepNext w:val="0"/>
            </w:pPr>
            <w:r>
              <w:t>1</w:t>
            </w:r>
          </w:p>
        </w:tc>
      </w:tr>
      <w:tr w:rsidR="001D6BDC" w14:paraId="1D8678CC" w14:textId="77777777" w:rsidTr="00F535A9">
        <w:tc>
          <w:tcPr>
            <w:tcW w:w="232" w:type="pct"/>
          </w:tcPr>
          <w:p w14:paraId="7E39E1EB" w14:textId="77777777" w:rsidR="001D6BDC" w:rsidRDefault="001D6BDC" w:rsidP="006B6FB0">
            <w:pPr>
              <w:pStyle w:val="02Tabletext"/>
              <w:keepNext w:val="0"/>
            </w:pPr>
            <w:r>
              <w:t>11</w:t>
            </w:r>
          </w:p>
        </w:tc>
        <w:tc>
          <w:tcPr>
            <w:tcW w:w="3989" w:type="pct"/>
          </w:tcPr>
          <w:p w14:paraId="0D9D012A" w14:textId="77777777" w:rsidR="001D6BDC" w:rsidRDefault="001D6BDC" w:rsidP="006B6FB0">
            <w:pPr>
              <w:pStyle w:val="02Tabletext"/>
              <w:keepNext w:val="0"/>
            </w:pPr>
            <w:r>
              <w:t>4 or 5 or 6 or 7 or 8 or 9</w:t>
            </w:r>
          </w:p>
        </w:tc>
        <w:tc>
          <w:tcPr>
            <w:tcW w:w="779" w:type="pct"/>
          </w:tcPr>
          <w:p w14:paraId="5B42676C" w14:textId="7FA01BD0" w:rsidR="001D6BDC" w:rsidRDefault="004B4D00" w:rsidP="006B6FB0">
            <w:pPr>
              <w:pStyle w:val="02Tabletext"/>
              <w:keepNext w:val="0"/>
            </w:pPr>
            <w:r>
              <w:t>1</w:t>
            </w:r>
          </w:p>
        </w:tc>
      </w:tr>
      <w:tr w:rsidR="001D6BDC" w14:paraId="4941B775"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4AD4E66D" w14:textId="77777777" w:rsidR="001D6BDC" w:rsidRDefault="001D6BDC" w:rsidP="006B6FB0">
            <w:pPr>
              <w:pStyle w:val="02Tabletext"/>
              <w:keepNext w:val="0"/>
            </w:pPr>
            <w:r>
              <w:t>12</w:t>
            </w:r>
          </w:p>
        </w:tc>
        <w:tc>
          <w:tcPr>
            <w:tcW w:w="3989" w:type="pct"/>
          </w:tcPr>
          <w:p w14:paraId="6498C5E7" w14:textId="77777777" w:rsidR="001D6BDC" w:rsidRDefault="001D6BDC" w:rsidP="006B6FB0">
            <w:pPr>
              <w:pStyle w:val="02Tabletext"/>
              <w:keepNext w:val="0"/>
            </w:pPr>
            <w:r>
              <w:t>3 and 10</w:t>
            </w:r>
          </w:p>
        </w:tc>
        <w:tc>
          <w:tcPr>
            <w:tcW w:w="779" w:type="pct"/>
          </w:tcPr>
          <w:p w14:paraId="53ED14BF" w14:textId="13BAFFB8" w:rsidR="001D6BDC" w:rsidRDefault="004B4D00" w:rsidP="006B6FB0">
            <w:pPr>
              <w:pStyle w:val="02Tabletext"/>
              <w:keepNext w:val="0"/>
            </w:pPr>
            <w:r>
              <w:t>1</w:t>
            </w:r>
          </w:p>
        </w:tc>
      </w:tr>
    </w:tbl>
    <w:p w14:paraId="650A1971" w14:textId="7882783C" w:rsidR="007151D9" w:rsidRDefault="001E13CD" w:rsidP="006B6FB0">
      <w:pPr>
        <w:pStyle w:val="09Tablefootnoteslast-nostick"/>
      </w:pPr>
      <w:proofErr w:type="spellStart"/>
      <w:proofErr w:type="gramStart"/>
      <w:r>
        <w:t>m</w:t>
      </w:r>
      <w:r w:rsidRPr="001E13CD">
        <w:t>p</w:t>
      </w:r>
      <w:proofErr w:type="spellEnd"/>
      <w:proofErr w:type="gramEnd"/>
      <w:r>
        <w:t xml:space="preserve"> </w:t>
      </w:r>
      <w:r w:rsidRPr="001E13CD">
        <w:t>=</w:t>
      </w:r>
      <w:r>
        <w:t xml:space="preserve"> </w:t>
      </w:r>
      <w:r w:rsidRPr="001E13CD">
        <w:t>title, subject heading word, registry word, abstract, trade name/generic name</w:t>
      </w:r>
      <w:r>
        <w:t>.</w:t>
      </w:r>
    </w:p>
    <w:p w14:paraId="44D30AE9" w14:textId="33F2F5A4" w:rsidR="00821FA1" w:rsidRDefault="00821FA1" w:rsidP="00821FA1">
      <w:pPr>
        <w:pStyle w:val="Caption"/>
      </w:pPr>
      <w:bookmarkStart w:id="106" w:name="_Toc467155754"/>
      <w:r>
        <w:t>Table A-</w:t>
      </w:r>
      <w:r w:rsidR="00872B71">
        <w:rPr>
          <w:noProof/>
        </w:rPr>
        <w:fldChar w:fldCharType="begin"/>
      </w:r>
      <w:r w:rsidR="00872B71">
        <w:rPr>
          <w:noProof/>
        </w:rPr>
        <w:instrText xml:space="preserve"> STYLEREF 7 \s </w:instrText>
      </w:r>
      <w:r w:rsidR="00872B71">
        <w:rPr>
          <w:noProof/>
        </w:rPr>
        <w:fldChar w:fldCharType="separate"/>
      </w:r>
      <w:r w:rsidR="006F3580">
        <w:rPr>
          <w:noProof/>
        </w:rPr>
        <w:t>3</w:t>
      </w:r>
      <w:r w:rsidR="00872B71">
        <w:rPr>
          <w:noProof/>
        </w:rPr>
        <w:fldChar w:fldCharType="end"/>
      </w:r>
      <w:r>
        <w:t>.</w:t>
      </w:r>
      <w:r w:rsidR="00872B71">
        <w:rPr>
          <w:noProof/>
        </w:rPr>
        <w:fldChar w:fldCharType="begin"/>
      </w:r>
      <w:r w:rsidR="00872B71">
        <w:rPr>
          <w:noProof/>
        </w:rPr>
        <w:instrText xml:space="preserve"> SEQ Table_A- \* ARABIC \s 7 </w:instrText>
      </w:r>
      <w:r w:rsidR="00872B71">
        <w:rPr>
          <w:noProof/>
        </w:rPr>
        <w:fldChar w:fldCharType="separate"/>
      </w:r>
      <w:r w:rsidR="006F3580">
        <w:rPr>
          <w:noProof/>
        </w:rPr>
        <w:t>4</w:t>
      </w:r>
      <w:r w:rsidR="00872B71">
        <w:rPr>
          <w:noProof/>
        </w:rPr>
        <w:fldChar w:fldCharType="end"/>
      </w:r>
      <w:r>
        <w:tab/>
        <w:t>Cochrane Library search strategy</w:t>
      </w:r>
      <w:r w:rsidR="00C35A33">
        <w:t xml:space="preserve"> (23</w:t>
      </w:r>
      <w:r w:rsidR="00C35A33" w:rsidRPr="00C35A33">
        <w:rPr>
          <w:vertAlign w:val="superscript"/>
        </w:rPr>
        <w:t>rd</w:t>
      </w:r>
      <w:r w:rsidR="00C35A33">
        <w:t xml:space="preserve"> August 2016)</w:t>
      </w:r>
      <w:bookmarkEnd w:id="106"/>
    </w:p>
    <w:tbl>
      <w:tblPr>
        <w:tblStyle w:val="TableGrid"/>
        <w:tblW w:w="5000" w:type="pct"/>
        <w:tblLook w:val="04A0" w:firstRow="1" w:lastRow="0" w:firstColumn="1" w:lastColumn="0" w:noHBand="0" w:noVBand="1"/>
        <w:tblCaption w:val="Table A-3.4"/>
        <w:tblDescription w:val="Cochrane Library search strategy (23rd August 2016)"/>
      </w:tblPr>
      <w:tblGrid>
        <w:gridCol w:w="447"/>
        <w:gridCol w:w="7681"/>
        <w:gridCol w:w="1500"/>
      </w:tblGrid>
      <w:tr w:rsidR="00821FA1" w14:paraId="48A6FC22" w14:textId="77777777" w:rsidTr="00F535A9">
        <w:trPr>
          <w:cnfStyle w:val="100000000000" w:firstRow="1" w:lastRow="0" w:firstColumn="0" w:lastColumn="0" w:oddVBand="0" w:evenVBand="0" w:oddHBand="0" w:evenHBand="0" w:firstRowFirstColumn="0" w:firstRowLastColumn="0" w:lastRowFirstColumn="0" w:lastRowLastColumn="0"/>
        </w:trPr>
        <w:tc>
          <w:tcPr>
            <w:tcW w:w="232" w:type="pct"/>
          </w:tcPr>
          <w:p w14:paraId="6F565ACB" w14:textId="77777777" w:rsidR="00821FA1" w:rsidRDefault="00821FA1" w:rsidP="006B6FB0">
            <w:pPr>
              <w:pStyle w:val="01Tableheaderrow"/>
              <w:keepNext w:val="0"/>
            </w:pPr>
            <w:r>
              <w:t>#</w:t>
            </w:r>
          </w:p>
        </w:tc>
        <w:tc>
          <w:tcPr>
            <w:tcW w:w="3989" w:type="pct"/>
          </w:tcPr>
          <w:p w14:paraId="5EE608E4" w14:textId="77777777" w:rsidR="00821FA1" w:rsidRDefault="00821FA1" w:rsidP="006B6FB0">
            <w:pPr>
              <w:pStyle w:val="01Tableheaderrow"/>
              <w:keepNext w:val="0"/>
            </w:pPr>
            <w:r>
              <w:t>Search term</w:t>
            </w:r>
          </w:p>
        </w:tc>
        <w:tc>
          <w:tcPr>
            <w:tcW w:w="779" w:type="pct"/>
          </w:tcPr>
          <w:p w14:paraId="39F00971" w14:textId="77777777" w:rsidR="00821FA1" w:rsidRDefault="00821FA1" w:rsidP="006B6FB0">
            <w:pPr>
              <w:pStyle w:val="01Tableheaderrow"/>
              <w:keepNext w:val="0"/>
            </w:pPr>
            <w:r>
              <w:t>Number of citations</w:t>
            </w:r>
          </w:p>
        </w:tc>
      </w:tr>
      <w:tr w:rsidR="00821FA1" w14:paraId="12E5FF77" w14:textId="77777777" w:rsidTr="00F535A9">
        <w:tc>
          <w:tcPr>
            <w:tcW w:w="232" w:type="pct"/>
          </w:tcPr>
          <w:p w14:paraId="49237426" w14:textId="77777777" w:rsidR="00821FA1" w:rsidRDefault="00821FA1" w:rsidP="006B6FB0">
            <w:pPr>
              <w:pStyle w:val="02Tabletext"/>
              <w:keepNext w:val="0"/>
            </w:pPr>
            <w:r>
              <w:t>1</w:t>
            </w:r>
          </w:p>
        </w:tc>
        <w:tc>
          <w:tcPr>
            <w:tcW w:w="3989" w:type="pct"/>
          </w:tcPr>
          <w:p w14:paraId="702BC0CD" w14:textId="6BEEA3F9" w:rsidR="00821FA1" w:rsidRDefault="006B6FB0" w:rsidP="006B6FB0">
            <w:pPr>
              <w:pStyle w:val="02Tabletext"/>
              <w:keepNext w:val="0"/>
            </w:pPr>
            <w:proofErr w:type="spellStart"/>
            <w:r>
              <w:t>pharmac</w:t>
            </w:r>
            <w:proofErr w:type="spellEnd"/>
            <w:r>
              <w:t>*</w:t>
            </w:r>
          </w:p>
        </w:tc>
        <w:tc>
          <w:tcPr>
            <w:tcW w:w="779" w:type="pct"/>
          </w:tcPr>
          <w:p w14:paraId="599060FF" w14:textId="7128F94A" w:rsidR="00821FA1" w:rsidRDefault="00734A99" w:rsidP="006B6FB0">
            <w:pPr>
              <w:pStyle w:val="02Tabletext"/>
              <w:keepNext w:val="0"/>
            </w:pPr>
            <w:r>
              <w:t>164972</w:t>
            </w:r>
          </w:p>
        </w:tc>
      </w:tr>
      <w:tr w:rsidR="00821FA1" w14:paraId="7BB6FA18"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1C863021" w14:textId="77777777" w:rsidR="00821FA1" w:rsidRDefault="00821FA1" w:rsidP="006B6FB0">
            <w:pPr>
              <w:pStyle w:val="02Tabletext"/>
              <w:keepNext w:val="0"/>
            </w:pPr>
            <w:r>
              <w:t>2</w:t>
            </w:r>
          </w:p>
        </w:tc>
        <w:tc>
          <w:tcPr>
            <w:tcW w:w="3989" w:type="pct"/>
          </w:tcPr>
          <w:p w14:paraId="62F128CB" w14:textId="7961E56C" w:rsidR="00821FA1" w:rsidRPr="00B7109E" w:rsidRDefault="006B6FB0" w:rsidP="006B6FB0">
            <w:pPr>
              <w:pStyle w:val="02Tabletext"/>
              <w:keepNext w:val="0"/>
            </w:pPr>
            <w:r>
              <w:t xml:space="preserve">community </w:t>
            </w:r>
            <w:proofErr w:type="spellStart"/>
            <w:r>
              <w:t>pharmac</w:t>
            </w:r>
            <w:proofErr w:type="spellEnd"/>
            <w:r>
              <w:t>*</w:t>
            </w:r>
          </w:p>
        </w:tc>
        <w:tc>
          <w:tcPr>
            <w:tcW w:w="779" w:type="pct"/>
          </w:tcPr>
          <w:p w14:paraId="58B6E689" w14:textId="4BF07083" w:rsidR="00821FA1" w:rsidRDefault="00734A99" w:rsidP="006B6FB0">
            <w:pPr>
              <w:pStyle w:val="02Tabletext"/>
              <w:keepNext w:val="0"/>
            </w:pPr>
            <w:r>
              <w:t>4807</w:t>
            </w:r>
          </w:p>
        </w:tc>
      </w:tr>
      <w:tr w:rsidR="00821FA1" w14:paraId="19184C80" w14:textId="77777777" w:rsidTr="00F535A9">
        <w:tc>
          <w:tcPr>
            <w:tcW w:w="232" w:type="pct"/>
          </w:tcPr>
          <w:p w14:paraId="35A5733D" w14:textId="77777777" w:rsidR="00821FA1" w:rsidRDefault="00821FA1" w:rsidP="006B6FB0">
            <w:pPr>
              <w:pStyle w:val="02Tabletext"/>
              <w:keepNext w:val="0"/>
            </w:pPr>
            <w:r>
              <w:t>3</w:t>
            </w:r>
          </w:p>
        </w:tc>
        <w:tc>
          <w:tcPr>
            <w:tcW w:w="3989" w:type="pct"/>
          </w:tcPr>
          <w:p w14:paraId="2742C334" w14:textId="7A537040" w:rsidR="00821FA1" w:rsidRDefault="00734A99" w:rsidP="006B6FB0">
            <w:pPr>
              <w:pStyle w:val="02Tabletext"/>
              <w:keepNext w:val="0"/>
            </w:pPr>
            <w:r>
              <w:t>#</w:t>
            </w:r>
            <w:r w:rsidR="00821FA1">
              <w:t xml:space="preserve">1 or </w:t>
            </w:r>
            <w:r>
              <w:t>#</w:t>
            </w:r>
            <w:r w:rsidR="00821FA1">
              <w:t>2</w:t>
            </w:r>
          </w:p>
        </w:tc>
        <w:tc>
          <w:tcPr>
            <w:tcW w:w="779" w:type="pct"/>
          </w:tcPr>
          <w:p w14:paraId="474765C7" w14:textId="69D79BF3" w:rsidR="00821FA1" w:rsidRPr="002C5E3D" w:rsidRDefault="006E5D98" w:rsidP="006B6FB0">
            <w:pPr>
              <w:pStyle w:val="02Tabletext"/>
              <w:keepNext w:val="0"/>
            </w:pPr>
            <w:r>
              <w:t>164972</w:t>
            </w:r>
          </w:p>
        </w:tc>
      </w:tr>
      <w:tr w:rsidR="00821FA1" w14:paraId="1076418B"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543B8FBC" w14:textId="77777777" w:rsidR="00821FA1" w:rsidRDefault="00821FA1" w:rsidP="006B6FB0">
            <w:pPr>
              <w:pStyle w:val="02Tabletext"/>
              <w:keepNext w:val="0"/>
            </w:pPr>
            <w:r>
              <w:t>4</w:t>
            </w:r>
          </w:p>
        </w:tc>
        <w:tc>
          <w:tcPr>
            <w:tcW w:w="3989" w:type="pct"/>
          </w:tcPr>
          <w:p w14:paraId="0C05F2D8" w14:textId="35554067" w:rsidR="00821FA1" w:rsidRDefault="006B6FB0" w:rsidP="006B6FB0">
            <w:pPr>
              <w:pStyle w:val="02Tabletext"/>
              <w:keepNext w:val="0"/>
            </w:pPr>
            <w:proofErr w:type="gramStart"/>
            <w:r>
              <w:t>staged</w:t>
            </w:r>
            <w:proofErr w:type="gramEnd"/>
            <w:r>
              <w:t xml:space="preserve"> supply.</w:t>
            </w:r>
          </w:p>
        </w:tc>
        <w:tc>
          <w:tcPr>
            <w:tcW w:w="779" w:type="pct"/>
          </w:tcPr>
          <w:p w14:paraId="5B421040" w14:textId="3D55C311" w:rsidR="00821FA1" w:rsidRDefault="006E5D98" w:rsidP="006B6FB0">
            <w:pPr>
              <w:pStyle w:val="02Tabletext"/>
              <w:keepNext w:val="0"/>
            </w:pPr>
            <w:r>
              <w:t>47</w:t>
            </w:r>
          </w:p>
        </w:tc>
      </w:tr>
      <w:tr w:rsidR="00821FA1" w14:paraId="2334BFB1" w14:textId="77777777" w:rsidTr="00F535A9">
        <w:tc>
          <w:tcPr>
            <w:tcW w:w="232" w:type="pct"/>
          </w:tcPr>
          <w:p w14:paraId="23BD2041" w14:textId="77777777" w:rsidR="00821FA1" w:rsidRDefault="00821FA1" w:rsidP="006B6FB0">
            <w:pPr>
              <w:pStyle w:val="02Tabletext"/>
              <w:keepNext w:val="0"/>
            </w:pPr>
            <w:r>
              <w:t>5</w:t>
            </w:r>
          </w:p>
        </w:tc>
        <w:tc>
          <w:tcPr>
            <w:tcW w:w="3989" w:type="pct"/>
          </w:tcPr>
          <w:p w14:paraId="298B1E47" w14:textId="018D3B6E" w:rsidR="00821FA1" w:rsidRDefault="006B6FB0" w:rsidP="006B6FB0">
            <w:pPr>
              <w:pStyle w:val="02Tabletext"/>
              <w:keepNext w:val="0"/>
            </w:pPr>
            <w:r>
              <w:t>(</w:t>
            </w:r>
            <w:proofErr w:type="gramStart"/>
            <w:r>
              <w:t>staged</w:t>
            </w:r>
            <w:proofErr w:type="gramEnd"/>
            <w:r>
              <w:t xml:space="preserve"> adj2 supply).</w:t>
            </w:r>
          </w:p>
        </w:tc>
        <w:tc>
          <w:tcPr>
            <w:tcW w:w="779" w:type="pct"/>
          </w:tcPr>
          <w:p w14:paraId="59155A44" w14:textId="2B7EBD83" w:rsidR="00821FA1" w:rsidRDefault="006E5D98" w:rsidP="006B6FB0">
            <w:pPr>
              <w:pStyle w:val="02Tabletext"/>
              <w:keepNext w:val="0"/>
            </w:pPr>
            <w:r>
              <w:t>47</w:t>
            </w:r>
          </w:p>
        </w:tc>
      </w:tr>
      <w:tr w:rsidR="00821FA1" w14:paraId="0B817EAE"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39AAACBD" w14:textId="77777777" w:rsidR="00821FA1" w:rsidRDefault="00821FA1" w:rsidP="006B6FB0">
            <w:pPr>
              <w:pStyle w:val="02Tabletext"/>
              <w:keepNext w:val="0"/>
            </w:pPr>
            <w:r>
              <w:t>6</w:t>
            </w:r>
          </w:p>
        </w:tc>
        <w:tc>
          <w:tcPr>
            <w:tcW w:w="3989" w:type="pct"/>
          </w:tcPr>
          <w:p w14:paraId="63B1946B" w14:textId="4A270BBE" w:rsidR="00821FA1" w:rsidRDefault="006B6FB0" w:rsidP="006B6FB0">
            <w:pPr>
              <w:pStyle w:val="02Tabletext"/>
              <w:keepNext w:val="0"/>
            </w:pPr>
            <w:proofErr w:type="gramStart"/>
            <w:r>
              <w:t>staged</w:t>
            </w:r>
            <w:proofErr w:type="gramEnd"/>
            <w:r>
              <w:t xml:space="preserve"> dispensing.</w:t>
            </w:r>
          </w:p>
        </w:tc>
        <w:tc>
          <w:tcPr>
            <w:tcW w:w="779" w:type="pct"/>
          </w:tcPr>
          <w:p w14:paraId="2E97AAD5" w14:textId="7F8E4BCA" w:rsidR="00821FA1" w:rsidRDefault="006E5D98" w:rsidP="006B6FB0">
            <w:pPr>
              <w:pStyle w:val="02Tabletext"/>
              <w:keepNext w:val="0"/>
            </w:pPr>
            <w:r>
              <w:t>3</w:t>
            </w:r>
          </w:p>
        </w:tc>
      </w:tr>
      <w:tr w:rsidR="00821FA1" w14:paraId="71DB6A5A" w14:textId="77777777" w:rsidTr="00F535A9">
        <w:tc>
          <w:tcPr>
            <w:tcW w:w="232" w:type="pct"/>
          </w:tcPr>
          <w:p w14:paraId="01E58FC3" w14:textId="77777777" w:rsidR="00821FA1" w:rsidRDefault="00821FA1" w:rsidP="006B6FB0">
            <w:pPr>
              <w:pStyle w:val="02Tabletext"/>
              <w:keepNext w:val="0"/>
            </w:pPr>
            <w:r>
              <w:t>7</w:t>
            </w:r>
          </w:p>
        </w:tc>
        <w:tc>
          <w:tcPr>
            <w:tcW w:w="3989" w:type="pct"/>
          </w:tcPr>
          <w:p w14:paraId="5EC8E84E" w14:textId="40419DD1" w:rsidR="00821FA1" w:rsidRDefault="006B6FB0" w:rsidP="006B6FB0">
            <w:pPr>
              <w:pStyle w:val="02Tabletext"/>
              <w:keepNext w:val="0"/>
            </w:pPr>
            <w:proofErr w:type="gramStart"/>
            <w:r>
              <w:t>periodic</w:t>
            </w:r>
            <w:proofErr w:type="gramEnd"/>
            <w:r>
              <w:t xml:space="preserve"> dispensing.</w:t>
            </w:r>
          </w:p>
        </w:tc>
        <w:tc>
          <w:tcPr>
            <w:tcW w:w="779" w:type="pct"/>
          </w:tcPr>
          <w:p w14:paraId="5C84E894" w14:textId="0F3CBFBA" w:rsidR="00821FA1" w:rsidRDefault="006E5D98" w:rsidP="006B6FB0">
            <w:pPr>
              <w:pStyle w:val="02Tabletext"/>
              <w:keepNext w:val="0"/>
            </w:pPr>
            <w:r>
              <w:t>24</w:t>
            </w:r>
          </w:p>
        </w:tc>
      </w:tr>
      <w:tr w:rsidR="00821FA1" w14:paraId="46DA69DD"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098BF0D1" w14:textId="77777777" w:rsidR="00821FA1" w:rsidRDefault="00821FA1" w:rsidP="006B6FB0">
            <w:pPr>
              <w:pStyle w:val="02Tabletext"/>
              <w:keepNext w:val="0"/>
            </w:pPr>
            <w:r>
              <w:t>8</w:t>
            </w:r>
          </w:p>
        </w:tc>
        <w:tc>
          <w:tcPr>
            <w:tcW w:w="3989" w:type="pct"/>
          </w:tcPr>
          <w:p w14:paraId="58A2279D" w14:textId="02D0D530" w:rsidR="00821FA1" w:rsidRDefault="006B6FB0" w:rsidP="006B6FB0">
            <w:pPr>
              <w:pStyle w:val="02Tabletext"/>
              <w:keepNext w:val="0"/>
            </w:pPr>
            <w:proofErr w:type="gramStart"/>
            <w:r>
              <w:t>periodic</w:t>
            </w:r>
            <w:proofErr w:type="gramEnd"/>
            <w:r>
              <w:t xml:space="preserve"> </w:t>
            </w:r>
            <w:proofErr w:type="spellStart"/>
            <w:r>
              <w:t>instal$ment</w:t>
            </w:r>
            <w:proofErr w:type="spellEnd"/>
            <w:r>
              <w:t>.</w:t>
            </w:r>
          </w:p>
        </w:tc>
        <w:tc>
          <w:tcPr>
            <w:tcW w:w="779" w:type="pct"/>
          </w:tcPr>
          <w:p w14:paraId="5FD699E2" w14:textId="77777777" w:rsidR="00821FA1" w:rsidRDefault="00821FA1" w:rsidP="006B6FB0">
            <w:pPr>
              <w:pStyle w:val="02Tabletext"/>
              <w:keepNext w:val="0"/>
            </w:pPr>
            <w:r>
              <w:t>0</w:t>
            </w:r>
          </w:p>
        </w:tc>
      </w:tr>
      <w:tr w:rsidR="00821FA1" w14:paraId="7AA6D2E1" w14:textId="77777777" w:rsidTr="00F535A9">
        <w:tc>
          <w:tcPr>
            <w:tcW w:w="232" w:type="pct"/>
          </w:tcPr>
          <w:p w14:paraId="441C194E" w14:textId="77777777" w:rsidR="00821FA1" w:rsidRDefault="00821FA1" w:rsidP="006B6FB0">
            <w:pPr>
              <w:pStyle w:val="02Tabletext"/>
              <w:keepNext w:val="0"/>
            </w:pPr>
            <w:r>
              <w:t>9</w:t>
            </w:r>
          </w:p>
        </w:tc>
        <w:tc>
          <w:tcPr>
            <w:tcW w:w="3989" w:type="pct"/>
          </w:tcPr>
          <w:p w14:paraId="05038CE5" w14:textId="3329774E" w:rsidR="00821FA1" w:rsidRPr="002C5E3D" w:rsidRDefault="006B6FB0" w:rsidP="006B6FB0">
            <w:pPr>
              <w:pStyle w:val="02Tabletext"/>
              <w:keepNext w:val="0"/>
            </w:pPr>
            <w:proofErr w:type="gramStart"/>
            <w:r>
              <w:t>staged</w:t>
            </w:r>
            <w:proofErr w:type="gramEnd"/>
            <w:r>
              <w:t xml:space="preserve"> </w:t>
            </w:r>
            <w:proofErr w:type="spellStart"/>
            <w:r>
              <w:t>instal$ment</w:t>
            </w:r>
            <w:proofErr w:type="spellEnd"/>
            <w:r>
              <w:t>.</w:t>
            </w:r>
          </w:p>
        </w:tc>
        <w:tc>
          <w:tcPr>
            <w:tcW w:w="779" w:type="pct"/>
          </w:tcPr>
          <w:p w14:paraId="7440F292" w14:textId="77777777" w:rsidR="00821FA1" w:rsidRDefault="00821FA1" w:rsidP="006B6FB0">
            <w:pPr>
              <w:pStyle w:val="02Tabletext"/>
              <w:keepNext w:val="0"/>
            </w:pPr>
            <w:r>
              <w:t>0</w:t>
            </w:r>
          </w:p>
        </w:tc>
      </w:tr>
      <w:tr w:rsidR="00821FA1" w14:paraId="4AB197EB"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6CF50E14" w14:textId="77777777" w:rsidR="00821FA1" w:rsidRDefault="00821FA1" w:rsidP="006B6FB0">
            <w:pPr>
              <w:pStyle w:val="02Tabletext"/>
              <w:keepNext w:val="0"/>
            </w:pPr>
            <w:r>
              <w:t>10</w:t>
            </w:r>
          </w:p>
        </w:tc>
        <w:tc>
          <w:tcPr>
            <w:tcW w:w="3989" w:type="pct"/>
          </w:tcPr>
          <w:p w14:paraId="1029F75A" w14:textId="0186F6D8" w:rsidR="00821FA1" w:rsidRDefault="00821FA1" w:rsidP="006B6FB0">
            <w:pPr>
              <w:pStyle w:val="02Tabletext"/>
              <w:keepNext w:val="0"/>
            </w:pPr>
            <w:r w:rsidRPr="002C5E3D">
              <w:t>((periodic or staged) adj2 (</w:t>
            </w:r>
            <w:proofErr w:type="spellStart"/>
            <w:r w:rsidRPr="002C5E3D">
              <w:t>installment</w:t>
            </w:r>
            <w:proofErr w:type="spellEnd"/>
            <w:r w:rsidRPr="002C5E3D">
              <w:t xml:space="preserve"> </w:t>
            </w:r>
            <w:r w:rsidR="006B6FB0">
              <w:t>or instalment or dispensing)).</w:t>
            </w:r>
          </w:p>
        </w:tc>
        <w:tc>
          <w:tcPr>
            <w:tcW w:w="779" w:type="pct"/>
          </w:tcPr>
          <w:p w14:paraId="3502E255" w14:textId="4DD4AD3B" w:rsidR="00821FA1" w:rsidRDefault="006E5D98" w:rsidP="006B6FB0">
            <w:pPr>
              <w:pStyle w:val="02Tabletext"/>
              <w:keepNext w:val="0"/>
            </w:pPr>
            <w:r>
              <w:t>0</w:t>
            </w:r>
          </w:p>
        </w:tc>
      </w:tr>
      <w:tr w:rsidR="00821FA1" w14:paraId="3A8925C8" w14:textId="77777777" w:rsidTr="00F535A9">
        <w:tc>
          <w:tcPr>
            <w:tcW w:w="232" w:type="pct"/>
          </w:tcPr>
          <w:p w14:paraId="1A1DDF53" w14:textId="77777777" w:rsidR="00821FA1" w:rsidRDefault="00821FA1" w:rsidP="006B6FB0">
            <w:pPr>
              <w:pStyle w:val="02Tabletext"/>
              <w:keepNext w:val="0"/>
            </w:pPr>
            <w:r>
              <w:t>11</w:t>
            </w:r>
          </w:p>
        </w:tc>
        <w:tc>
          <w:tcPr>
            <w:tcW w:w="3989" w:type="pct"/>
          </w:tcPr>
          <w:p w14:paraId="070D3B89" w14:textId="6C6B5982" w:rsidR="00821FA1" w:rsidRDefault="006E5D98" w:rsidP="006B6FB0">
            <w:pPr>
              <w:pStyle w:val="02Tabletext"/>
              <w:keepNext w:val="0"/>
            </w:pPr>
            <w:r>
              <w:t>#</w:t>
            </w:r>
            <w:r w:rsidR="00821FA1">
              <w:t xml:space="preserve">4 or </w:t>
            </w:r>
            <w:r>
              <w:t>#</w:t>
            </w:r>
            <w:r w:rsidR="00821FA1">
              <w:t xml:space="preserve">5 or </w:t>
            </w:r>
            <w:r>
              <w:t>#</w:t>
            </w:r>
            <w:r w:rsidR="00821FA1">
              <w:t xml:space="preserve">6 or </w:t>
            </w:r>
            <w:r>
              <w:t>#</w:t>
            </w:r>
            <w:r w:rsidR="00821FA1">
              <w:t>7 or</w:t>
            </w:r>
            <w:r>
              <w:t>#</w:t>
            </w:r>
            <w:r w:rsidR="00821FA1">
              <w:t xml:space="preserve"> 8 or </w:t>
            </w:r>
            <w:r>
              <w:t>#</w:t>
            </w:r>
            <w:r w:rsidR="00821FA1">
              <w:t>9</w:t>
            </w:r>
            <w:r w:rsidR="009137D2">
              <w:t xml:space="preserve"> or #10</w:t>
            </w:r>
          </w:p>
        </w:tc>
        <w:tc>
          <w:tcPr>
            <w:tcW w:w="779" w:type="pct"/>
          </w:tcPr>
          <w:p w14:paraId="21B1BC15" w14:textId="46D1BFE9" w:rsidR="00821FA1" w:rsidRDefault="009C04C1" w:rsidP="006B6FB0">
            <w:pPr>
              <w:pStyle w:val="02Tabletext"/>
              <w:keepNext w:val="0"/>
            </w:pPr>
            <w:r>
              <w:t>74</w:t>
            </w:r>
          </w:p>
        </w:tc>
      </w:tr>
      <w:tr w:rsidR="00821FA1" w14:paraId="0CC10911" w14:textId="77777777" w:rsidTr="00F535A9">
        <w:trPr>
          <w:cnfStyle w:val="000000010000" w:firstRow="0" w:lastRow="0" w:firstColumn="0" w:lastColumn="0" w:oddVBand="0" w:evenVBand="0" w:oddHBand="0" w:evenHBand="1" w:firstRowFirstColumn="0" w:firstRowLastColumn="0" w:lastRowFirstColumn="0" w:lastRowLastColumn="0"/>
        </w:trPr>
        <w:tc>
          <w:tcPr>
            <w:tcW w:w="232" w:type="pct"/>
          </w:tcPr>
          <w:p w14:paraId="3A7B2D51" w14:textId="77777777" w:rsidR="00821FA1" w:rsidRDefault="00821FA1" w:rsidP="006B6FB0">
            <w:pPr>
              <w:pStyle w:val="02Tabletext"/>
              <w:keepNext w:val="0"/>
            </w:pPr>
            <w:r>
              <w:t>12</w:t>
            </w:r>
          </w:p>
        </w:tc>
        <w:tc>
          <w:tcPr>
            <w:tcW w:w="3989" w:type="pct"/>
          </w:tcPr>
          <w:p w14:paraId="22865717" w14:textId="059C77AF" w:rsidR="00821FA1" w:rsidRDefault="006E5D98" w:rsidP="006B6FB0">
            <w:pPr>
              <w:pStyle w:val="02Tabletext"/>
              <w:keepNext w:val="0"/>
            </w:pPr>
            <w:r>
              <w:t>#</w:t>
            </w:r>
            <w:r w:rsidR="00821FA1">
              <w:t xml:space="preserve">3 and </w:t>
            </w:r>
            <w:r>
              <w:t>#11</w:t>
            </w:r>
          </w:p>
        </w:tc>
        <w:tc>
          <w:tcPr>
            <w:tcW w:w="779" w:type="pct"/>
          </w:tcPr>
          <w:p w14:paraId="16C7DEF5" w14:textId="096D8066" w:rsidR="00821FA1" w:rsidRDefault="009C04C1" w:rsidP="006B6FB0">
            <w:pPr>
              <w:pStyle w:val="02Tabletext"/>
              <w:keepNext w:val="0"/>
            </w:pPr>
            <w:r>
              <w:t>46</w:t>
            </w:r>
          </w:p>
        </w:tc>
      </w:tr>
    </w:tbl>
    <w:p w14:paraId="0968E62C" w14:textId="77777777" w:rsidR="00BF16D8" w:rsidRPr="00C35A33" w:rsidRDefault="00BF16D8" w:rsidP="00C35A33">
      <w:pPr>
        <w:pStyle w:val="09Tablefootnoteslast-nostick"/>
      </w:pPr>
    </w:p>
    <w:sectPr w:rsidR="00BF16D8" w:rsidRPr="00C35A33" w:rsidSect="00F535A9">
      <w:pgSz w:w="11906" w:h="16838" w:code="9"/>
      <w:pgMar w:top="1134" w:right="1134" w:bottom="1134" w:left="1134"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377D" w14:textId="77777777" w:rsidR="00B84C4F" w:rsidRDefault="00B84C4F" w:rsidP="00C5297B">
      <w:pPr>
        <w:spacing w:after="0"/>
      </w:pPr>
      <w:r>
        <w:separator/>
      </w:r>
    </w:p>
  </w:endnote>
  <w:endnote w:type="continuationSeparator" w:id="0">
    <w:p w14:paraId="16025984" w14:textId="77777777" w:rsidR="00B84C4F" w:rsidRDefault="00B84C4F" w:rsidP="00C52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C9B3" w14:textId="77777777" w:rsidR="00B84C4F" w:rsidRDefault="00B84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83FB" w14:textId="55B4BDF9" w:rsidR="00B84C4F" w:rsidRPr="001D5C19" w:rsidRDefault="00B84C4F" w:rsidP="00853838">
    <w:pPr>
      <w:pStyle w:val="Footerforportraitorientation"/>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4166" w14:textId="77777777" w:rsidR="00B84C4F" w:rsidRDefault="00B84C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E484" w14:textId="63FFB43F" w:rsidR="00B84C4F" w:rsidRDefault="00B84C4F" w:rsidP="003E4EFA">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FC0578">
      <w:rPr>
        <w:rStyle w:val="PageNumber"/>
        <w:noProof/>
      </w:rPr>
      <w:t>i</w:t>
    </w:r>
    <w:r w:rsidRPr="00E43606">
      <w:rPr>
        <w:rStyle w:val="PageNumber"/>
      </w:rPr>
      <w:fldChar w:fldCharType="end"/>
    </w:r>
  </w:p>
  <w:p w14:paraId="392B8CA5" w14:textId="77777777" w:rsidR="00B84C4F" w:rsidRPr="001D5C19" w:rsidRDefault="00B84C4F" w:rsidP="002B29BB">
    <w:pPr>
      <w:pStyle w:val="Footerforportraitorientation"/>
    </w:pPr>
    <w:r>
      <w:rPr>
        <w:rStyle w:val="PageNumber"/>
      </w:rPr>
      <w:t>Evaluation of 6CPA PPI Program: Staged Supply</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9D1A" w14:textId="6DB036D1" w:rsidR="00B84C4F" w:rsidRDefault="00B84C4F" w:rsidP="006B2FBC">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FC0578">
      <w:rPr>
        <w:rStyle w:val="PageNumber"/>
        <w:noProof/>
      </w:rPr>
      <w:t>6</w:t>
    </w:r>
    <w:r w:rsidRPr="00E43606">
      <w:rPr>
        <w:rStyle w:val="PageNumber"/>
      </w:rPr>
      <w:fldChar w:fldCharType="end"/>
    </w:r>
  </w:p>
  <w:p w14:paraId="0D13C98F" w14:textId="41CEE816" w:rsidR="00B84C4F" w:rsidRPr="001D5C19" w:rsidRDefault="00B84C4F" w:rsidP="002B29BB">
    <w:pPr>
      <w:pStyle w:val="Footerforportraitorientation"/>
    </w:pPr>
    <w:r>
      <w:rPr>
        <w:rStyle w:val="PageNumber"/>
      </w:rPr>
      <w:t>Evaluation of 6CPA PPI Program: Staged Supply</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924A" w14:textId="754EDF26" w:rsidR="00B84C4F" w:rsidRDefault="00B84C4F" w:rsidP="006B6FB0">
    <w:pPr>
      <w:pStyle w:val="Footerforportraitorientation"/>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FC0578">
      <w:rPr>
        <w:rStyle w:val="PageNumber"/>
        <w:noProof/>
      </w:rPr>
      <w:t>18</w:t>
    </w:r>
    <w:r w:rsidRPr="00E43606">
      <w:rPr>
        <w:rStyle w:val="PageNumber"/>
      </w:rPr>
      <w:fldChar w:fldCharType="end"/>
    </w:r>
  </w:p>
  <w:p w14:paraId="6674F938" w14:textId="58250E7E" w:rsidR="00B84C4F" w:rsidRPr="001D5C19" w:rsidRDefault="00B84C4F" w:rsidP="002B29BB">
    <w:pPr>
      <w:pStyle w:val="Footerforportraitorientation"/>
    </w:pPr>
    <w:r>
      <w:rPr>
        <w:rStyle w:val="PageNumber"/>
      </w:rPr>
      <w:t>Evaluation of 6CPA PPI Program: Staged Supply</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63785" w14:textId="7CC4263F" w:rsidR="00B84C4F" w:rsidRDefault="00B84C4F" w:rsidP="004B09CC">
    <w:pPr>
      <w:pStyle w:val="Footerforportraitorientation"/>
      <w:tabs>
        <w:tab w:val="clear" w:pos="9072"/>
        <w:tab w:val="right" w:pos="14459"/>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FC0578">
      <w:rPr>
        <w:rStyle w:val="PageNumber"/>
        <w:noProof/>
      </w:rPr>
      <w:t>21</w:t>
    </w:r>
    <w:r w:rsidRPr="00E43606">
      <w:rPr>
        <w:rStyle w:val="PageNumber"/>
      </w:rPr>
      <w:fldChar w:fldCharType="end"/>
    </w:r>
  </w:p>
  <w:p w14:paraId="4B19902D" w14:textId="3112A9E1" w:rsidR="00B84C4F" w:rsidRPr="001D5C19" w:rsidRDefault="00B84C4F" w:rsidP="00635882">
    <w:pPr>
      <w:pStyle w:val="Footerforportraitorientation"/>
    </w:pPr>
    <w:r>
      <w:rPr>
        <w:rStyle w:val="PageNumber"/>
      </w:rPr>
      <w:t>Evaluation of 6CPA PPI Program: Staged Supply</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6CF61" w14:textId="15DEACAC" w:rsidR="00B84C4F" w:rsidRDefault="00B84C4F" w:rsidP="00F535A9">
    <w:pPr>
      <w:pStyle w:val="Footerforportraitorientation"/>
      <w:tabs>
        <w:tab w:val="clear" w:pos="9072"/>
        <w:tab w:val="right" w:pos="9639"/>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FC0578">
      <w:rPr>
        <w:rStyle w:val="PageNumber"/>
        <w:noProof/>
      </w:rPr>
      <w:t>29</w:t>
    </w:r>
    <w:r w:rsidRPr="00E43606">
      <w:rPr>
        <w:rStyle w:val="PageNumber"/>
      </w:rPr>
      <w:fldChar w:fldCharType="end"/>
    </w:r>
  </w:p>
  <w:p w14:paraId="725046CB" w14:textId="2F879270" w:rsidR="00B84C4F" w:rsidRPr="001D5C19" w:rsidRDefault="00B84C4F" w:rsidP="002B29BB">
    <w:pPr>
      <w:pStyle w:val="Footerforportraitorientation"/>
    </w:pPr>
    <w:r>
      <w:rPr>
        <w:rStyle w:val="PageNumber"/>
      </w:rPr>
      <w:t>Evaluation of 6CPA PPI Program: Staged Supply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2FC13" w14:textId="77777777" w:rsidR="00B84C4F" w:rsidRDefault="00B84C4F" w:rsidP="00C5297B">
      <w:pPr>
        <w:spacing w:after="0"/>
      </w:pPr>
      <w:r>
        <w:separator/>
      </w:r>
    </w:p>
  </w:footnote>
  <w:footnote w:type="continuationSeparator" w:id="0">
    <w:p w14:paraId="2818C668" w14:textId="77777777" w:rsidR="00B84C4F" w:rsidRDefault="00B84C4F" w:rsidP="00C5297B">
      <w:pPr>
        <w:spacing w:after="0"/>
      </w:pPr>
      <w:r>
        <w:continuationSeparator/>
      </w:r>
    </w:p>
  </w:footnote>
  <w:footnote w:id="1">
    <w:p w14:paraId="6F8E6236" w14:textId="3033FBD4" w:rsidR="00B84C4F" w:rsidRPr="007E570D" w:rsidRDefault="00B84C4F">
      <w:pPr>
        <w:pStyle w:val="FootnoteText"/>
        <w:rPr>
          <w:sz w:val="16"/>
          <w:szCs w:val="16"/>
        </w:rPr>
      </w:pPr>
      <w:r w:rsidRPr="007E570D">
        <w:rPr>
          <w:rStyle w:val="FootnoteReference"/>
          <w:sz w:val="16"/>
          <w:szCs w:val="16"/>
        </w:rPr>
        <w:footnoteRef/>
      </w:r>
      <w:r w:rsidRPr="007E570D">
        <w:rPr>
          <w:sz w:val="16"/>
          <w:szCs w:val="16"/>
        </w:rPr>
        <w:t xml:space="preserve"> </w:t>
      </w:r>
      <w:r w:rsidRPr="007E570D">
        <w:rPr>
          <w:rFonts w:eastAsia="Calibri" w:cs="Times New Roman"/>
          <w:sz w:val="16"/>
          <w:szCs w:val="16"/>
          <w:lang w:eastAsia="en-AU"/>
        </w:rPr>
        <w:t xml:space="preserve">Agency for Healthcare Research and Quality (AHRQ) at </w:t>
      </w:r>
      <w:hyperlink r:id="rId1" w:tooltip="This link goes to the Agency for Healthcare Research and Quality website" w:history="1">
        <w:r w:rsidRPr="007E570D">
          <w:rPr>
            <w:rFonts w:eastAsia="Calibri" w:cs="Times New Roman"/>
            <w:color w:val="0563C1"/>
            <w:sz w:val="16"/>
            <w:szCs w:val="16"/>
            <w:u w:val="single"/>
            <w:lang w:eastAsia="en-AU"/>
          </w:rPr>
          <w:t>AHRQ</w:t>
        </w:r>
      </w:hyperlink>
      <w:r w:rsidRPr="007E570D">
        <w:rPr>
          <w:rFonts w:eastAsia="Calibri" w:cs="Times New Roman"/>
          <w:sz w:val="16"/>
          <w:szCs w:val="16"/>
          <w:lang w:eastAsia="en-AU"/>
        </w:rPr>
        <w:t xml:space="preserve">; Canadian Agency for Drugs and Technologies in Health (CADTH) at </w:t>
      </w:r>
      <w:hyperlink r:id="rId2" w:tooltip="This link goes to the Canadian Agency for Drugs and Technologies in Health website" w:history="1">
        <w:r w:rsidRPr="007E570D">
          <w:rPr>
            <w:rFonts w:eastAsia="Calibri" w:cs="Times New Roman"/>
            <w:color w:val="0563C1"/>
            <w:sz w:val="16"/>
            <w:szCs w:val="16"/>
            <w:u w:val="single"/>
            <w:lang w:eastAsia="en-AU"/>
          </w:rPr>
          <w:t>CADTH Reports</w:t>
        </w:r>
      </w:hyperlink>
      <w:r w:rsidRPr="007E570D">
        <w:rPr>
          <w:rFonts w:eastAsia="Calibri" w:cs="Times New Roman"/>
          <w:sz w:val="16"/>
          <w:szCs w:val="16"/>
          <w:lang w:eastAsia="en-AU"/>
        </w:rPr>
        <w:t xml:space="preserve">; National Institute for Health and Care Excellence (NICE) at </w:t>
      </w:r>
      <w:hyperlink r:id="rId3" w:tooltip="This link goes to the National Institute for Health and Care Excellence website" w:history="1">
        <w:r w:rsidRPr="007E570D">
          <w:rPr>
            <w:rFonts w:eastAsia="Calibri" w:cs="Times New Roman"/>
            <w:color w:val="0563C1"/>
            <w:sz w:val="16"/>
            <w:szCs w:val="16"/>
            <w:u w:val="single"/>
            <w:lang w:eastAsia="en-AU"/>
          </w:rPr>
          <w:t>NICE, UK</w:t>
        </w:r>
      </w:hyperlink>
    </w:p>
  </w:footnote>
  <w:footnote w:id="2">
    <w:p w14:paraId="28ED86A8" w14:textId="773DAA88" w:rsidR="00B84C4F" w:rsidRPr="007E570D" w:rsidRDefault="00B84C4F">
      <w:pPr>
        <w:pStyle w:val="FootnoteText"/>
        <w:rPr>
          <w:sz w:val="16"/>
          <w:szCs w:val="16"/>
        </w:rPr>
      </w:pPr>
      <w:r w:rsidRPr="007E570D">
        <w:rPr>
          <w:rStyle w:val="FootnoteReference"/>
          <w:sz w:val="16"/>
          <w:szCs w:val="16"/>
        </w:rPr>
        <w:footnoteRef/>
      </w:r>
      <w:r w:rsidRPr="007E570D">
        <w:rPr>
          <w:sz w:val="16"/>
          <w:szCs w:val="16"/>
        </w:rPr>
        <w:t xml:space="preserve"> </w:t>
      </w:r>
      <w:r w:rsidRPr="007E570D">
        <w:rPr>
          <w:rFonts w:eastAsia="Calibri" w:cs="Times New Roman"/>
          <w:sz w:val="16"/>
          <w:szCs w:val="16"/>
          <w:lang w:eastAsia="en-AU"/>
        </w:rPr>
        <w:t>Including Pharmacy Guild of Australia; Pharmaceutical Society of Australia; and Australian Association of Consultant Pharmacy.</w:t>
      </w:r>
    </w:p>
  </w:footnote>
  <w:footnote w:id="3">
    <w:p w14:paraId="65D159CE" w14:textId="77777777" w:rsidR="00B84C4F" w:rsidRPr="006B2FBC" w:rsidRDefault="00B84C4F" w:rsidP="00745FE6">
      <w:pPr>
        <w:pStyle w:val="FootnoteText"/>
        <w:rPr>
          <w:sz w:val="16"/>
          <w:szCs w:val="16"/>
        </w:rPr>
      </w:pPr>
      <w:r w:rsidRPr="006B2FBC">
        <w:rPr>
          <w:rStyle w:val="FootnoteReference"/>
          <w:sz w:val="16"/>
          <w:szCs w:val="16"/>
        </w:rPr>
        <w:footnoteRef/>
      </w:r>
      <w:r w:rsidRPr="006B2FBC">
        <w:rPr>
          <w:sz w:val="16"/>
          <w:szCs w:val="16"/>
        </w:rPr>
        <w:t xml:space="preserve"> ABS postcode to remoteness.xls available from </w:t>
      </w:r>
      <w:r w:rsidRPr="006B2FBC">
        <w:rPr>
          <w:color w:val="FF0000"/>
          <w:sz w:val="16"/>
          <w:szCs w:val="16"/>
        </w:rPr>
        <w:t xml:space="preserve"> </w:t>
      </w:r>
      <w:hyperlink r:id="rId4" w:history="1">
        <w:r w:rsidRPr="006B2FBC">
          <w:rPr>
            <w:rStyle w:val="Hyperlink"/>
            <w:sz w:val="16"/>
            <w:szCs w:val="16"/>
          </w:rPr>
          <w:t>http://www.abs.gov.au/AUSSTATS/abs@.nsf/DetailsPage/1270.0.55.006July%202011?OpenDocument</w:t>
        </w:r>
      </w:hyperlink>
      <w:r w:rsidRPr="006B2FBC">
        <w:rPr>
          <w:color w:val="000000" w:themeColor="text1"/>
          <w:sz w:val="16"/>
          <w:szCs w:val="16"/>
        </w:rPr>
        <w:t xml:space="preserve">  (accessed 5</w:t>
      </w:r>
      <w:r w:rsidRPr="006B2FBC">
        <w:rPr>
          <w:color w:val="000000" w:themeColor="text1"/>
          <w:sz w:val="16"/>
          <w:szCs w:val="16"/>
          <w:vertAlign w:val="superscript"/>
        </w:rPr>
        <w:t>th</w:t>
      </w:r>
      <w:r w:rsidRPr="006B2FBC">
        <w:rPr>
          <w:color w:val="000000" w:themeColor="text1"/>
          <w:sz w:val="16"/>
          <w:szCs w:val="16"/>
        </w:rPr>
        <w:t xml:space="preserve"> October, 2016)</w:t>
      </w:r>
    </w:p>
  </w:footnote>
  <w:footnote w:id="4">
    <w:p w14:paraId="44AAF955" w14:textId="77777777" w:rsidR="00B84C4F" w:rsidRDefault="00B84C4F" w:rsidP="00CA62E1">
      <w:pPr>
        <w:pStyle w:val="FootnoteText"/>
      </w:pPr>
      <w:r>
        <w:rPr>
          <w:rStyle w:val="FootnoteReference"/>
        </w:rPr>
        <w:footnoteRef/>
      </w:r>
      <w:r>
        <w:t xml:space="preserve"> Pharmacies are counted according to unique S90 and /or Organisation Number identifiers.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2F8C" w14:textId="77777777" w:rsidR="00B84C4F" w:rsidRDefault="00B84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569D" w14:textId="11E8CC68" w:rsidR="00B84C4F" w:rsidRPr="00C5297B" w:rsidRDefault="00B84C4F" w:rsidP="00853838">
    <w:pPr>
      <w:tabs>
        <w:tab w:val="right" w:pos="9072"/>
      </w:tabs>
      <w:jc w:val="righ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A157" w14:textId="77777777" w:rsidR="00B84C4F" w:rsidRDefault="00B84C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9AE68" w14:textId="6427AC24" w:rsidR="00B84C4F" w:rsidRPr="00C5297B" w:rsidRDefault="00B84C4F" w:rsidP="00C5297B">
    <w:pPr>
      <w:pBdr>
        <w:bottom w:val="single" w:sz="4" w:space="1" w:color="auto"/>
      </w:pBdr>
      <w:tabs>
        <w:tab w:val="right" w:pos="9072"/>
      </w:tabs>
      <w:jc w:val="right"/>
      <w:rPr>
        <w:b/>
        <w:sz w:val="18"/>
        <w:szCs w:val="18"/>
      </w:rPr>
    </w:pPr>
    <w:r>
      <w:rPr>
        <w:b/>
        <w:sz w:val="18"/>
        <w:szCs w:val="18"/>
      </w:rPr>
      <w:t xml:space="preserve">November </w:t>
    </w:r>
    <w:r w:rsidRPr="00B56392">
      <w:rPr>
        <w:b/>
        <w:sz w:val="18"/>
        <w:szCs w:val="18"/>
      </w:rPr>
      <w:t>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F883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980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04B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343B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AC7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322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F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81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7EA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44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276D"/>
    <w:multiLevelType w:val="hybridMultilevel"/>
    <w:tmpl w:val="53AC73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E71C1B"/>
    <w:multiLevelType w:val="hybridMultilevel"/>
    <w:tmpl w:val="618A7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A7477D"/>
    <w:multiLevelType w:val="hybridMultilevel"/>
    <w:tmpl w:val="8BBAE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5F2F5D"/>
    <w:multiLevelType w:val="hybridMultilevel"/>
    <w:tmpl w:val="DA4AD2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204BE1"/>
    <w:multiLevelType w:val="multilevel"/>
    <w:tmpl w:val="67ACA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952DE4"/>
    <w:multiLevelType w:val="hybridMultilevel"/>
    <w:tmpl w:val="89C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907928"/>
    <w:multiLevelType w:val="hybridMultilevel"/>
    <w:tmpl w:val="8EBA1896"/>
    <w:lvl w:ilvl="0" w:tplc="9984D050">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F85190"/>
    <w:multiLevelType w:val="hybridMultilevel"/>
    <w:tmpl w:val="99B4317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E06A69"/>
    <w:multiLevelType w:val="hybridMultilevel"/>
    <w:tmpl w:val="E56E6B5C"/>
    <w:lvl w:ilvl="0" w:tplc="43C68F0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12045FD"/>
    <w:multiLevelType w:val="hybridMultilevel"/>
    <w:tmpl w:val="3F504AF8"/>
    <w:lvl w:ilvl="0" w:tplc="0C090019">
      <w:start w:val="1"/>
      <w:numFmt w:val="lowerLetter"/>
      <w:lvlText w:val="%1."/>
      <w:lvlJc w:val="left"/>
      <w:pPr>
        <w:ind w:left="644"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18164AD"/>
    <w:multiLevelType w:val="hybridMultilevel"/>
    <w:tmpl w:val="2230F3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65169D"/>
    <w:multiLevelType w:val="hybridMultilevel"/>
    <w:tmpl w:val="EAA2D388"/>
    <w:lvl w:ilvl="0" w:tplc="A0C2E54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A73DCA"/>
    <w:multiLevelType w:val="hybridMultilevel"/>
    <w:tmpl w:val="7B4C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E26DBA"/>
    <w:multiLevelType w:val="hybridMultilevel"/>
    <w:tmpl w:val="76925566"/>
    <w:lvl w:ilvl="0" w:tplc="B55403A6">
      <w:start w:val="1"/>
      <w:numFmt w:val="bullet"/>
      <w:pStyle w:val="06Table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4" w15:restartNumberingAfterBreak="0">
    <w:nsid w:val="3D4E1EE4"/>
    <w:multiLevelType w:val="hybridMultilevel"/>
    <w:tmpl w:val="A372EFF8"/>
    <w:lvl w:ilvl="0" w:tplc="D2DCCE9A">
      <w:start w:val="1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50BE7"/>
    <w:multiLevelType w:val="hybridMultilevel"/>
    <w:tmpl w:val="3CF6256C"/>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76F4384"/>
    <w:multiLevelType w:val="hybridMultilevel"/>
    <w:tmpl w:val="17DCCA54"/>
    <w:lvl w:ilvl="0" w:tplc="04090001">
      <w:start w:val="1"/>
      <w:numFmt w:val="bullet"/>
      <w:lvlText w:val=""/>
      <w:lvlJc w:val="left"/>
      <w:pPr>
        <w:ind w:left="717" w:hanging="360"/>
      </w:pPr>
      <w:rPr>
        <w:rFonts w:ascii="Wingdings" w:hAnsi="Wingdings" w:hint="default"/>
        <w:sz w:val="16"/>
        <w:szCs w:val="16"/>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48F70287"/>
    <w:multiLevelType w:val="hybridMultilevel"/>
    <w:tmpl w:val="61A2DAB6"/>
    <w:lvl w:ilvl="0" w:tplc="AB1C00EA">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85349D"/>
    <w:multiLevelType w:val="hybridMultilevel"/>
    <w:tmpl w:val="B79A2E16"/>
    <w:lvl w:ilvl="0" w:tplc="5E6CC460">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EF5454"/>
    <w:multiLevelType w:val="hybridMultilevel"/>
    <w:tmpl w:val="C77691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8DF3C06"/>
    <w:multiLevelType w:val="hybridMultilevel"/>
    <w:tmpl w:val="33EEB0CE"/>
    <w:lvl w:ilvl="0" w:tplc="754A2E36">
      <w:start w:val="1"/>
      <w:numFmt w:val="bullet"/>
      <w:pStyle w:val="Table10ptbullet"/>
      <w:lvlText w:val=""/>
      <w:lvlJc w:val="left"/>
      <w:pPr>
        <w:ind w:left="234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2C35D1"/>
    <w:multiLevelType w:val="hybridMultilevel"/>
    <w:tmpl w:val="97D8A95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947048B"/>
    <w:multiLevelType w:val="hybridMultilevel"/>
    <w:tmpl w:val="043A6E92"/>
    <w:lvl w:ilvl="0" w:tplc="6F0C90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295A7B"/>
    <w:multiLevelType w:val="multilevel"/>
    <w:tmpl w:val="1E98030E"/>
    <w:styleLink w:val="Headings"/>
    <w:lvl w:ilvl="0">
      <w:start w:val="1"/>
      <w:numFmt w:val="decimal"/>
      <w:pStyle w:val="Heading1"/>
      <w:lvlText w:val="%1"/>
      <w:lvlJc w:val="left"/>
      <w:pPr>
        <w:tabs>
          <w:tab w:val="num" w:pos="510"/>
        </w:tabs>
        <w:ind w:left="510" w:hanging="51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decimal"/>
      <w:lvlRestart w:val="0"/>
      <w:pStyle w:val="Heading7"/>
      <w:lvlText w:val="APPENDIX %7"/>
      <w:lvlJc w:val="left"/>
      <w:pPr>
        <w:tabs>
          <w:tab w:val="num" w:pos="1985"/>
        </w:tabs>
        <w:ind w:left="1985" w:hanging="1985"/>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decimal"/>
      <w:pStyle w:val="Heading9"/>
      <w:lvlText w:val="%7.%8.%9"/>
      <w:lvlJc w:val="left"/>
      <w:pPr>
        <w:tabs>
          <w:tab w:val="num" w:pos="680"/>
        </w:tabs>
        <w:ind w:left="680" w:hanging="680"/>
      </w:pPr>
      <w:rPr>
        <w:rFonts w:hint="default"/>
      </w:rPr>
    </w:lvl>
  </w:abstractNum>
  <w:abstractNum w:abstractNumId="34" w15:restartNumberingAfterBreak="0">
    <w:nsid w:val="702A4266"/>
    <w:multiLevelType w:val="hybridMultilevel"/>
    <w:tmpl w:val="03B44BE6"/>
    <w:lvl w:ilvl="0" w:tplc="AC9A41F6">
      <w:start w:val="1"/>
      <w:numFmt w:val="bullet"/>
      <w:pStyle w:val="Bullettextlastspaceafter"/>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6673AE"/>
    <w:multiLevelType w:val="hybridMultilevel"/>
    <w:tmpl w:val="6A34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6B38F3"/>
    <w:multiLevelType w:val="hybridMultilevel"/>
    <w:tmpl w:val="A340369C"/>
    <w:lvl w:ilvl="0" w:tplc="5816A32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1243F"/>
    <w:multiLevelType w:val="multilevel"/>
    <w:tmpl w:val="1E98030E"/>
    <w:numStyleLink w:val="Headings"/>
  </w:abstractNum>
  <w:abstractNum w:abstractNumId="38" w15:restartNumberingAfterBreak="0">
    <w:nsid w:val="76877C27"/>
    <w:multiLevelType w:val="hybridMultilevel"/>
    <w:tmpl w:val="DB38A372"/>
    <w:lvl w:ilvl="0" w:tplc="FE92D46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A03C1A"/>
    <w:multiLevelType w:val="hybridMultilevel"/>
    <w:tmpl w:val="6A804A64"/>
    <w:lvl w:ilvl="0" w:tplc="62BE763A">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7E4E2F"/>
    <w:multiLevelType w:val="hybridMultilevel"/>
    <w:tmpl w:val="4FB0A816"/>
    <w:lvl w:ilvl="0" w:tplc="CB447D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4"/>
  </w:num>
  <w:num w:numId="3">
    <w:abstractNumId w:val="29"/>
  </w:num>
  <w:num w:numId="4">
    <w:abstractNumId w:val="18"/>
  </w:num>
  <w:num w:numId="5">
    <w:abstractNumId w:val="26"/>
  </w:num>
  <w:num w:numId="6">
    <w:abstractNumId w:val="35"/>
  </w:num>
  <w:num w:numId="7">
    <w:abstractNumId w:val="22"/>
  </w:num>
  <w:num w:numId="8">
    <w:abstractNumId w:val="12"/>
  </w:num>
  <w:num w:numId="9">
    <w:abstractNumId w:val="40"/>
  </w:num>
  <w:num w:numId="10">
    <w:abstractNumId w:val="32"/>
  </w:num>
  <w:num w:numId="11">
    <w:abstractNumId w:val="19"/>
  </w:num>
  <w:num w:numId="12">
    <w:abstractNumId w:val="36"/>
  </w:num>
  <w:num w:numId="13">
    <w:abstractNumId w:val="25"/>
  </w:num>
  <w:num w:numId="14">
    <w:abstractNumId w:val="39"/>
  </w:num>
  <w:num w:numId="15">
    <w:abstractNumId w:val="39"/>
    <w:lvlOverride w:ilvl="0">
      <w:startOverride w:val="1"/>
    </w:lvlOverride>
  </w:num>
  <w:num w:numId="16">
    <w:abstractNumId w:val="28"/>
  </w:num>
  <w:num w:numId="17">
    <w:abstractNumId w:val="33"/>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9186"/>
          </w:tabs>
          <w:ind w:left="9186"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3"/>
  </w:num>
  <w:num w:numId="31">
    <w:abstractNumId w:val="27"/>
  </w:num>
  <w:num w:numId="32">
    <w:abstractNumId w:val="16"/>
  </w:num>
  <w:num w:numId="33">
    <w:abstractNumId w:val="30"/>
  </w:num>
  <w:num w:numId="34">
    <w:abstractNumId w:val="33"/>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680"/>
          </w:tabs>
          <w:ind w:left="680"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 w:numId="35">
    <w:abstractNumId w:val="24"/>
  </w:num>
  <w:num w:numId="36">
    <w:abstractNumId w:val="10"/>
  </w:num>
  <w:num w:numId="37">
    <w:abstractNumId w:val="31"/>
  </w:num>
  <w:num w:numId="38">
    <w:abstractNumId w:val="33"/>
  </w:num>
  <w:num w:numId="39">
    <w:abstractNumId w:val="38"/>
  </w:num>
  <w:num w:numId="40">
    <w:abstractNumId w:val="21"/>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0"/>
  </w:num>
  <w:num w:numId="44">
    <w:abstractNumId w:val="17"/>
  </w:num>
  <w:num w:numId="45">
    <w:abstractNumId w:val="15"/>
  </w:num>
  <w:num w:numId="46">
    <w:abstractNumId w:val="33"/>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9186"/>
          </w:tabs>
          <w:ind w:left="9186"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03"/>
    <w:rsid w:val="0000175A"/>
    <w:rsid w:val="00003A84"/>
    <w:rsid w:val="0001141B"/>
    <w:rsid w:val="00014AD9"/>
    <w:rsid w:val="00016030"/>
    <w:rsid w:val="00016D1D"/>
    <w:rsid w:val="00016ECC"/>
    <w:rsid w:val="000172DE"/>
    <w:rsid w:val="00020383"/>
    <w:rsid w:val="00032469"/>
    <w:rsid w:val="000375D5"/>
    <w:rsid w:val="0004157E"/>
    <w:rsid w:val="000415C4"/>
    <w:rsid w:val="00041620"/>
    <w:rsid w:val="0004245D"/>
    <w:rsid w:val="00042925"/>
    <w:rsid w:val="00043646"/>
    <w:rsid w:val="0004488B"/>
    <w:rsid w:val="0005292D"/>
    <w:rsid w:val="00055B4A"/>
    <w:rsid w:val="00055E21"/>
    <w:rsid w:val="00055FD9"/>
    <w:rsid w:val="00062DEA"/>
    <w:rsid w:val="00063572"/>
    <w:rsid w:val="00072044"/>
    <w:rsid w:val="00072D53"/>
    <w:rsid w:val="00073283"/>
    <w:rsid w:val="00073EDD"/>
    <w:rsid w:val="00081886"/>
    <w:rsid w:val="00082B77"/>
    <w:rsid w:val="00082D00"/>
    <w:rsid w:val="00083E3F"/>
    <w:rsid w:val="00090F12"/>
    <w:rsid w:val="000947F1"/>
    <w:rsid w:val="000B02FC"/>
    <w:rsid w:val="000C6169"/>
    <w:rsid w:val="000C6396"/>
    <w:rsid w:val="000D28A8"/>
    <w:rsid w:val="000D3F03"/>
    <w:rsid w:val="000F1909"/>
    <w:rsid w:val="000F5965"/>
    <w:rsid w:val="001018F0"/>
    <w:rsid w:val="00103385"/>
    <w:rsid w:val="00107387"/>
    <w:rsid w:val="0011080A"/>
    <w:rsid w:val="00111B14"/>
    <w:rsid w:val="001169E4"/>
    <w:rsid w:val="00120D9F"/>
    <w:rsid w:val="00123D76"/>
    <w:rsid w:val="001251D7"/>
    <w:rsid w:val="001254B3"/>
    <w:rsid w:val="001272D4"/>
    <w:rsid w:val="001276CE"/>
    <w:rsid w:val="001301B5"/>
    <w:rsid w:val="00133561"/>
    <w:rsid w:val="001354B3"/>
    <w:rsid w:val="001426C9"/>
    <w:rsid w:val="00143449"/>
    <w:rsid w:val="00151289"/>
    <w:rsid w:val="00156507"/>
    <w:rsid w:val="00157E4B"/>
    <w:rsid w:val="001609FE"/>
    <w:rsid w:val="00162EB9"/>
    <w:rsid w:val="00165A92"/>
    <w:rsid w:val="00176BE3"/>
    <w:rsid w:val="00176DC4"/>
    <w:rsid w:val="00177627"/>
    <w:rsid w:val="00191EA2"/>
    <w:rsid w:val="0019207D"/>
    <w:rsid w:val="00193651"/>
    <w:rsid w:val="001979B2"/>
    <w:rsid w:val="001A0B25"/>
    <w:rsid w:val="001A23B3"/>
    <w:rsid w:val="001A3DAC"/>
    <w:rsid w:val="001A605D"/>
    <w:rsid w:val="001A65B5"/>
    <w:rsid w:val="001B06DC"/>
    <w:rsid w:val="001B08E0"/>
    <w:rsid w:val="001B2F71"/>
    <w:rsid w:val="001C1866"/>
    <w:rsid w:val="001C6328"/>
    <w:rsid w:val="001C7E3A"/>
    <w:rsid w:val="001D03D5"/>
    <w:rsid w:val="001D2F39"/>
    <w:rsid w:val="001D5C19"/>
    <w:rsid w:val="001D6BDC"/>
    <w:rsid w:val="001E13CD"/>
    <w:rsid w:val="001E1B37"/>
    <w:rsid w:val="001E1EB8"/>
    <w:rsid w:val="001E4E5B"/>
    <w:rsid w:val="001E519D"/>
    <w:rsid w:val="001E7EF4"/>
    <w:rsid w:val="001F1646"/>
    <w:rsid w:val="001F2E1D"/>
    <w:rsid w:val="001F32EB"/>
    <w:rsid w:val="001F695C"/>
    <w:rsid w:val="00200EC3"/>
    <w:rsid w:val="00205C7B"/>
    <w:rsid w:val="002122B2"/>
    <w:rsid w:val="002139E3"/>
    <w:rsid w:val="0021496B"/>
    <w:rsid w:val="00215B6C"/>
    <w:rsid w:val="002164C8"/>
    <w:rsid w:val="00220F86"/>
    <w:rsid w:val="0023397E"/>
    <w:rsid w:val="00237CB7"/>
    <w:rsid w:val="00241383"/>
    <w:rsid w:val="00246725"/>
    <w:rsid w:val="00253E80"/>
    <w:rsid w:val="00254E8A"/>
    <w:rsid w:val="00254F8B"/>
    <w:rsid w:val="00255A94"/>
    <w:rsid w:val="00263EEB"/>
    <w:rsid w:val="002825A7"/>
    <w:rsid w:val="00283276"/>
    <w:rsid w:val="00286D49"/>
    <w:rsid w:val="00293E27"/>
    <w:rsid w:val="002A0DE8"/>
    <w:rsid w:val="002A1D1C"/>
    <w:rsid w:val="002A6EB4"/>
    <w:rsid w:val="002A731E"/>
    <w:rsid w:val="002B2874"/>
    <w:rsid w:val="002B29BB"/>
    <w:rsid w:val="002B2DC3"/>
    <w:rsid w:val="002B50CD"/>
    <w:rsid w:val="002B6777"/>
    <w:rsid w:val="002C58FC"/>
    <w:rsid w:val="002C5E3D"/>
    <w:rsid w:val="002C7F8B"/>
    <w:rsid w:val="002D67BB"/>
    <w:rsid w:val="002D7C63"/>
    <w:rsid w:val="002E0E18"/>
    <w:rsid w:val="002E79EE"/>
    <w:rsid w:val="002F32AE"/>
    <w:rsid w:val="002F48F4"/>
    <w:rsid w:val="0030288E"/>
    <w:rsid w:val="00312031"/>
    <w:rsid w:val="00315B9D"/>
    <w:rsid w:val="00317F78"/>
    <w:rsid w:val="0032066A"/>
    <w:rsid w:val="003228FD"/>
    <w:rsid w:val="00326005"/>
    <w:rsid w:val="00327F8F"/>
    <w:rsid w:val="0033030D"/>
    <w:rsid w:val="003341BD"/>
    <w:rsid w:val="00337066"/>
    <w:rsid w:val="003426F4"/>
    <w:rsid w:val="00344F45"/>
    <w:rsid w:val="00350631"/>
    <w:rsid w:val="0035268E"/>
    <w:rsid w:val="00352CED"/>
    <w:rsid w:val="00353FF4"/>
    <w:rsid w:val="003545FC"/>
    <w:rsid w:val="0035629F"/>
    <w:rsid w:val="0036343B"/>
    <w:rsid w:val="003703AB"/>
    <w:rsid w:val="00370CEA"/>
    <w:rsid w:val="00372205"/>
    <w:rsid w:val="00375A5E"/>
    <w:rsid w:val="00377F87"/>
    <w:rsid w:val="00380B9B"/>
    <w:rsid w:val="00387049"/>
    <w:rsid w:val="003905F1"/>
    <w:rsid w:val="003A4EF0"/>
    <w:rsid w:val="003A69C6"/>
    <w:rsid w:val="003B11D3"/>
    <w:rsid w:val="003B7D49"/>
    <w:rsid w:val="003C1BA3"/>
    <w:rsid w:val="003C240C"/>
    <w:rsid w:val="003C53AB"/>
    <w:rsid w:val="003C625E"/>
    <w:rsid w:val="003D4A10"/>
    <w:rsid w:val="003E16F3"/>
    <w:rsid w:val="003E1B8A"/>
    <w:rsid w:val="003E1C2F"/>
    <w:rsid w:val="003E213C"/>
    <w:rsid w:val="003E3832"/>
    <w:rsid w:val="003E4EFA"/>
    <w:rsid w:val="003E54D0"/>
    <w:rsid w:val="003E65DF"/>
    <w:rsid w:val="003F0159"/>
    <w:rsid w:val="003F2CC8"/>
    <w:rsid w:val="003F31B6"/>
    <w:rsid w:val="003F53EF"/>
    <w:rsid w:val="003F566C"/>
    <w:rsid w:val="00407F1B"/>
    <w:rsid w:val="00414F46"/>
    <w:rsid w:val="00417A41"/>
    <w:rsid w:val="00421F91"/>
    <w:rsid w:val="00423397"/>
    <w:rsid w:val="004237EE"/>
    <w:rsid w:val="00427C49"/>
    <w:rsid w:val="00432976"/>
    <w:rsid w:val="00434559"/>
    <w:rsid w:val="00435A2B"/>
    <w:rsid w:val="0044138A"/>
    <w:rsid w:val="00444C05"/>
    <w:rsid w:val="004512F4"/>
    <w:rsid w:val="00453847"/>
    <w:rsid w:val="00461063"/>
    <w:rsid w:val="004641D5"/>
    <w:rsid w:val="00467575"/>
    <w:rsid w:val="00472DD7"/>
    <w:rsid w:val="0048057F"/>
    <w:rsid w:val="0048197C"/>
    <w:rsid w:val="004822C1"/>
    <w:rsid w:val="00482B25"/>
    <w:rsid w:val="00484A8F"/>
    <w:rsid w:val="0049208F"/>
    <w:rsid w:val="004962FE"/>
    <w:rsid w:val="00496F03"/>
    <w:rsid w:val="0049738C"/>
    <w:rsid w:val="004A1E1B"/>
    <w:rsid w:val="004A4D90"/>
    <w:rsid w:val="004A6A8D"/>
    <w:rsid w:val="004B09CC"/>
    <w:rsid w:val="004B15B1"/>
    <w:rsid w:val="004B4374"/>
    <w:rsid w:val="004B4D00"/>
    <w:rsid w:val="004B5B68"/>
    <w:rsid w:val="004B62B5"/>
    <w:rsid w:val="004B6DC6"/>
    <w:rsid w:val="004B7BC4"/>
    <w:rsid w:val="004C08D3"/>
    <w:rsid w:val="004C35DD"/>
    <w:rsid w:val="004C71D2"/>
    <w:rsid w:val="004C7541"/>
    <w:rsid w:val="004D616C"/>
    <w:rsid w:val="004E4D12"/>
    <w:rsid w:val="004E50D1"/>
    <w:rsid w:val="004E7FF0"/>
    <w:rsid w:val="004F66F1"/>
    <w:rsid w:val="004F6B59"/>
    <w:rsid w:val="004F6EE2"/>
    <w:rsid w:val="00505526"/>
    <w:rsid w:val="005244A7"/>
    <w:rsid w:val="0052614F"/>
    <w:rsid w:val="00527B53"/>
    <w:rsid w:val="00530192"/>
    <w:rsid w:val="00531210"/>
    <w:rsid w:val="0053297A"/>
    <w:rsid w:val="00535CA9"/>
    <w:rsid w:val="00542B01"/>
    <w:rsid w:val="00542F4A"/>
    <w:rsid w:val="00550139"/>
    <w:rsid w:val="005513B6"/>
    <w:rsid w:val="00553372"/>
    <w:rsid w:val="00554598"/>
    <w:rsid w:val="00565D21"/>
    <w:rsid w:val="00567B9E"/>
    <w:rsid w:val="005728E8"/>
    <w:rsid w:val="00572CCE"/>
    <w:rsid w:val="00574EED"/>
    <w:rsid w:val="00580755"/>
    <w:rsid w:val="00581B9D"/>
    <w:rsid w:val="00586E60"/>
    <w:rsid w:val="00587B61"/>
    <w:rsid w:val="005923E5"/>
    <w:rsid w:val="00593B41"/>
    <w:rsid w:val="00594E35"/>
    <w:rsid w:val="0059629F"/>
    <w:rsid w:val="0059670E"/>
    <w:rsid w:val="005A31E7"/>
    <w:rsid w:val="005B2F15"/>
    <w:rsid w:val="005B7A4E"/>
    <w:rsid w:val="005C0769"/>
    <w:rsid w:val="005C7195"/>
    <w:rsid w:val="005C7539"/>
    <w:rsid w:val="005D037D"/>
    <w:rsid w:val="005D3929"/>
    <w:rsid w:val="005D4750"/>
    <w:rsid w:val="005D713B"/>
    <w:rsid w:val="005D7297"/>
    <w:rsid w:val="005D7695"/>
    <w:rsid w:val="005E31F9"/>
    <w:rsid w:val="005E40E8"/>
    <w:rsid w:val="005F0452"/>
    <w:rsid w:val="005F5229"/>
    <w:rsid w:val="006002B7"/>
    <w:rsid w:val="00601211"/>
    <w:rsid w:val="00603F99"/>
    <w:rsid w:val="0061108F"/>
    <w:rsid w:val="0061220B"/>
    <w:rsid w:val="00631866"/>
    <w:rsid w:val="00632B38"/>
    <w:rsid w:val="00632F6D"/>
    <w:rsid w:val="00633852"/>
    <w:rsid w:val="00635074"/>
    <w:rsid w:val="00635882"/>
    <w:rsid w:val="00645732"/>
    <w:rsid w:val="00651237"/>
    <w:rsid w:val="00651B53"/>
    <w:rsid w:val="006520A0"/>
    <w:rsid w:val="006560E3"/>
    <w:rsid w:val="00657A78"/>
    <w:rsid w:val="00664A38"/>
    <w:rsid w:val="00671164"/>
    <w:rsid w:val="0067506C"/>
    <w:rsid w:val="00675672"/>
    <w:rsid w:val="006759E3"/>
    <w:rsid w:val="006806D4"/>
    <w:rsid w:val="00687061"/>
    <w:rsid w:val="00691B24"/>
    <w:rsid w:val="00692B37"/>
    <w:rsid w:val="0069418E"/>
    <w:rsid w:val="006A0652"/>
    <w:rsid w:val="006A31B7"/>
    <w:rsid w:val="006A37D4"/>
    <w:rsid w:val="006A51F0"/>
    <w:rsid w:val="006A5DB9"/>
    <w:rsid w:val="006B13E0"/>
    <w:rsid w:val="006B2FBC"/>
    <w:rsid w:val="006B6FB0"/>
    <w:rsid w:val="006B7BC7"/>
    <w:rsid w:val="006C0853"/>
    <w:rsid w:val="006C1BAE"/>
    <w:rsid w:val="006C551D"/>
    <w:rsid w:val="006C6C73"/>
    <w:rsid w:val="006C6DCD"/>
    <w:rsid w:val="006D08A8"/>
    <w:rsid w:val="006D54E5"/>
    <w:rsid w:val="006D57BB"/>
    <w:rsid w:val="006E4FD3"/>
    <w:rsid w:val="006E5D98"/>
    <w:rsid w:val="006F1A5C"/>
    <w:rsid w:val="006F2A41"/>
    <w:rsid w:val="006F3580"/>
    <w:rsid w:val="006F4FEB"/>
    <w:rsid w:val="006F73FE"/>
    <w:rsid w:val="00700B94"/>
    <w:rsid w:val="007046DF"/>
    <w:rsid w:val="00705D4A"/>
    <w:rsid w:val="00706A86"/>
    <w:rsid w:val="007113EA"/>
    <w:rsid w:val="007151D9"/>
    <w:rsid w:val="00717B19"/>
    <w:rsid w:val="007235AF"/>
    <w:rsid w:val="00724311"/>
    <w:rsid w:val="00724DB3"/>
    <w:rsid w:val="00727F55"/>
    <w:rsid w:val="007317E4"/>
    <w:rsid w:val="00734A99"/>
    <w:rsid w:val="00736706"/>
    <w:rsid w:val="00736997"/>
    <w:rsid w:val="00736FDC"/>
    <w:rsid w:val="007404ED"/>
    <w:rsid w:val="00741C17"/>
    <w:rsid w:val="00745FE6"/>
    <w:rsid w:val="007504CA"/>
    <w:rsid w:val="00756FA1"/>
    <w:rsid w:val="007606CE"/>
    <w:rsid w:val="00763913"/>
    <w:rsid w:val="0076660A"/>
    <w:rsid w:val="007754AC"/>
    <w:rsid w:val="00781524"/>
    <w:rsid w:val="00782B61"/>
    <w:rsid w:val="00791F43"/>
    <w:rsid w:val="007930A6"/>
    <w:rsid w:val="007A3848"/>
    <w:rsid w:val="007B31D6"/>
    <w:rsid w:val="007C7CB3"/>
    <w:rsid w:val="007D0C82"/>
    <w:rsid w:val="007D1EF7"/>
    <w:rsid w:val="007D2C7A"/>
    <w:rsid w:val="007D5790"/>
    <w:rsid w:val="007D7FA4"/>
    <w:rsid w:val="007E0D55"/>
    <w:rsid w:val="007E22D6"/>
    <w:rsid w:val="007E22E0"/>
    <w:rsid w:val="007E45B2"/>
    <w:rsid w:val="007E570D"/>
    <w:rsid w:val="007E7B3F"/>
    <w:rsid w:val="007F2118"/>
    <w:rsid w:val="007F5A3F"/>
    <w:rsid w:val="00801B01"/>
    <w:rsid w:val="00802724"/>
    <w:rsid w:val="0080695D"/>
    <w:rsid w:val="00807008"/>
    <w:rsid w:val="00811103"/>
    <w:rsid w:val="00813E97"/>
    <w:rsid w:val="0081618E"/>
    <w:rsid w:val="00821FA1"/>
    <w:rsid w:val="008228DE"/>
    <w:rsid w:val="00822B36"/>
    <w:rsid w:val="00825048"/>
    <w:rsid w:val="008260BF"/>
    <w:rsid w:val="0083205D"/>
    <w:rsid w:val="00836C03"/>
    <w:rsid w:val="008420DD"/>
    <w:rsid w:val="008424EC"/>
    <w:rsid w:val="00844A0F"/>
    <w:rsid w:val="00846537"/>
    <w:rsid w:val="008526C8"/>
    <w:rsid w:val="008535F4"/>
    <w:rsid w:val="00853838"/>
    <w:rsid w:val="00865B8A"/>
    <w:rsid w:val="00871BB3"/>
    <w:rsid w:val="00872B71"/>
    <w:rsid w:val="008767B2"/>
    <w:rsid w:val="00880CDD"/>
    <w:rsid w:val="00883756"/>
    <w:rsid w:val="00885956"/>
    <w:rsid w:val="00887727"/>
    <w:rsid w:val="00891166"/>
    <w:rsid w:val="0089140E"/>
    <w:rsid w:val="00892AE8"/>
    <w:rsid w:val="0089665E"/>
    <w:rsid w:val="008A7B0F"/>
    <w:rsid w:val="008B6E37"/>
    <w:rsid w:val="008C0BE2"/>
    <w:rsid w:val="008C1A4C"/>
    <w:rsid w:val="008C4995"/>
    <w:rsid w:val="008C6132"/>
    <w:rsid w:val="008C73F6"/>
    <w:rsid w:val="008D5DEC"/>
    <w:rsid w:val="008F16F4"/>
    <w:rsid w:val="00900D4B"/>
    <w:rsid w:val="009026B2"/>
    <w:rsid w:val="00904572"/>
    <w:rsid w:val="00910C19"/>
    <w:rsid w:val="009137D2"/>
    <w:rsid w:val="00914308"/>
    <w:rsid w:val="009147C1"/>
    <w:rsid w:val="009148A8"/>
    <w:rsid w:val="00915830"/>
    <w:rsid w:val="00916297"/>
    <w:rsid w:val="00916BCE"/>
    <w:rsid w:val="00917853"/>
    <w:rsid w:val="00925A2B"/>
    <w:rsid w:val="009354E2"/>
    <w:rsid w:val="00936B69"/>
    <w:rsid w:val="00936F6E"/>
    <w:rsid w:val="0094215B"/>
    <w:rsid w:val="00946675"/>
    <w:rsid w:val="00947BF2"/>
    <w:rsid w:val="00961C36"/>
    <w:rsid w:val="0096359E"/>
    <w:rsid w:val="00963645"/>
    <w:rsid w:val="00966BAA"/>
    <w:rsid w:val="00970B87"/>
    <w:rsid w:val="0097411D"/>
    <w:rsid w:val="009759EC"/>
    <w:rsid w:val="00976B7C"/>
    <w:rsid w:val="00981ADC"/>
    <w:rsid w:val="009836F7"/>
    <w:rsid w:val="00985527"/>
    <w:rsid w:val="009929D9"/>
    <w:rsid w:val="00993839"/>
    <w:rsid w:val="00994E95"/>
    <w:rsid w:val="0099511F"/>
    <w:rsid w:val="009952C7"/>
    <w:rsid w:val="009979F2"/>
    <w:rsid w:val="009A24E8"/>
    <w:rsid w:val="009A2FDB"/>
    <w:rsid w:val="009A4CB6"/>
    <w:rsid w:val="009B4803"/>
    <w:rsid w:val="009C04C1"/>
    <w:rsid w:val="009C12D4"/>
    <w:rsid w:val="009C16BE"/>
    <w:rsid w:val="009C20D1"/>
    <w:rsid w:val="009C4D03"/>
    <w:rsid w:val="009C577A"/>
    <w:rsid w:val="009D43BA"/>
    <w:rsid w:val="009D56DD"/>
    <w:rsid w:val="009D69DA"/>
    <w:rsid w:val="009D7AFD"/>
    <w:rsid w:val="009E0FDD"/>
    <w:rsid w:val="009E1D9B"/>
    <w:rsid w:val="009E34BE"/>
    <w:rsid w:val="009E4516"/>
    <w:rsid w:val="009E4E0B"/>
    <w:rsid w:val="009E4E9F"/>
    <w:rsid w:val="009F0516"/>
    <w:rsid w:val="009F1C77"/>
    <w:rsid w:val="009F5B47"/>
    <w:rsid w:val="00A02350"/>
    <w:rsid w:val="00A023D7"/>
    <w:rsid w:val="00A051D6"/>
    <w:rsid w:val="00A1007E"/>
    <w:rsid w:val="00A11F74"/>
    <w:rsid w:val="00A15D68"/>
    <w:rsid w:val="00A16894"/>
    <w:rsid w:val="00A21679"/>
    <w:rsid w:val="00A21C53"/>
    <w:rsid w:val="00A3153C"/>
    <w:rsid w:val="00A31D1F"/>
    <w:rsid w:val="00A31F07"/>
    <w:rsid w:val="00A446E5"/>
    <w:rsid w:val="00A47029"/>
    <w:rsid w:val="00A47FFB"/>
    <w:rsid w:val="00A50DAC"/>
    <w:rsid w:val="00A516A6"/>
    <w:rsid w:val="00A5455E"/>
    <w:rsid w:val="00A5471D"/>
    <w:rsid w:val="00A60A15"/>
    <w:rsid w:val="00A60B83"/>
    <w:rsid w:val="00A63317"/>
    <w:rsid w:val="00A64155"/>
    <w:rsid w:val="00A65BFC"/>
    <w:rsid w:val="00A664D5"/>
    <w:rsid w:val="00A71288"/>
    <w:rsid w:val="00A73ABE"/>
    <w:rsid w:val="00A76982"/>
    <w:rsid w:val="00A810B4"/>
    <w:rsid w:val="00A81D99"/>
    <w:rsid w:val="00A82782"/>
    <w:rsid w:val="00A8293E"/>
    <w:rsid w:val="00A91742"/>
    <w:rsid w:val="00A91BFC"/>
    <w:rsid w:val="00A9216D"/>
    <w:rsid w:val="00A92AD7"/>
    <w:rsid w:val="00A97BE1"/>
    <w:rsid w:val="00AA0555"/>
    <w:rsid w:val="00AA07C1"/>
    <w:rsid w:val="00AA145E"/>
    <w:rsid w:val="00AB1577"/>
    <w:rsid w:val="00AB2C9B"/>
    <w:rsid w:val="00AB6D10"/>
    <w:rsid w:val="00AB7612"/>
    <w:rsid w:val="00AB76CF"/>
    <w:rsid w:val="00AC1334"/>
    <w:rsid w:val="00AC2006"/>
    <w:rsid w:val="00AC3A3D"/>
    <w:rsid w:val="00AD543C"/>
    <w:rsid w:val="00AD5B83"/>
    <w:rsid w:val="00AD77DC"/>
    <w:rsid w:val="00AE1860"/>
    <w:rsid w:val="00AE530A"/>
    <w:rsid w:val="00AE6174"/>
    <w:rsid w:val="00AE66D1"/>
    <w:rsid w:val="00AF241D"/>
    <w:rsid w:val="00AF2BEC"/>
    <w:rsid w:val="00B04953"/>
    <w:rsid w:val="00B05DAD"/>
    <w:rsid w:val="00B11C20"/>
    <w:rsid w:val="00B20EBF"/>
    <w:rsid w:val="00B213F6"/>
    <w:rsid w:val="00B22EC7"/>
    <w:rsid w:val="00B2326B"/>
    <w:rsid w:val="00B246C0"/>
    <w:rsid w:val="00B25E47"/>
    <w:rsid w:val="00B2607B"/>
    <w:rsid w:val="00B3455E"/>
    <w:rsid w:val="00B37726"/>
    <w:rsid w:val="00B4127D"/>
    <w:rsid w:val="00B4724D"/>
    <w:rsid w:val="00B527D7"/>
    <w:rsid w:val="00B52BD0"/>
    <w:rsid w:val="00B56392"/>
    <w:rsid w:val="00B56E96"/>
    <w:rsid w:val="00B57214"/>
    <w:rsid w:val="00B57FBF"/>
    <w:rsid w:val="00B6296D"/>
    <w:rsid w:val="00B7109E"/>
    <w:rsid w:val="00B74472"/>
    <w:rsid w:val="00B77FB0"/>
    <w:rsid w:val="00B80551"/>
    <w:rsid w:val="00B84C4F"/>
    <w:rsid w:val="00B911FC"/>
    <w:rsid w:val="00B92026"/>
    <w:rsid w:val="00B926F3"/>
    <w:rsid w:val="00B93038"/>
    <w:rsid w:val="00B94F22"/>
    <w:rsid w:val="00B97116"/>
    <w:rsid w:val="00B97C50"/>
    <w:rsid w:val="00BA1B24"/>
    <w:rsid w:val="00BA5047"/>
    <w:rsid w:val="00BA6102"/>
    <w:rsid w:val="00BA7081"/>
    <w:rsid w:val="00BB24F3"/>
    <w:rsid w:val="00BB39E5"/>
    <w:rsid w:val="00BB3C76"/>
    <w:rsid w:val="00BB3F0F"/>
    <w:rsid w:val="00BB6577"/>
    <w:rsid w:val="00BB667B"/>
    <w:rsid w:val="00BB6857"/>
    <w:rsid w:val="00BC0399"/>
    <w:rsid w:val="00BC55C3"/>
    <w:rsid w:val="00BC6C69"/>
    <w:rsid w:val="00BD28E2"/>
    <w:rsid w:val="00BE4366"/>
    <w:rsid w:val="00BE4A3A"/>
    <w:rsid w:val="00BE643D"/>
    <w:rsid w:val="00BE6E89"/>
    <w:rsid w:val="00BF0990"/>
    <w:rsid w:val="00BF1006"/>
    <w:rsid w:val="00BF16D8"/>
    <w:rsid w:val="00BF390E"/>
    <w:rsid w:val="00BF76E6"/>
    <w:rsid w:val="00C01E20"/>
    <w:rsid w:val="00C03E77"/>
    <w:rsid w:val="00C07795"/>
    <w:rsid w:val="00C10E34"/>
    <w:rsid w:val="00C12778"/>
    <w:rsid w:val="00C14107"/>
    <w:rsid w:val="00C14622"/>
    <w:rsid w:val="00C168FB"/>
    <w:rsid w:val="00C236B9"/>
    <w:rsid w:val="00C24781"/>
    <w:rsid w:val="00C2603E"/>
    <w:rsid w:val="00C27832"/>
    <w:rsid w:val="00C35125"/>
    <w:rsid w:val="00C357AE"/>
    <w:rsid w:val="00C35A33"/>
    <w:rsid w:val="00C36C1E"/>
    <w:rsid w:val="00C413FC"/>
    <w:rsid w:val="00C41C77"/>
    <w:rsid w:val="00C460B2"/>
    <w:rsid w:val="00C46EC3"/>
    <w:rsid w:val="00C5297B"/>
    <w:rsid w:val="00C53D57"/>
    <w:rsid w:val="00C55077"/>
    <w:rsid w:val="00C55A50"/>
    <w:rsid w:val="00C55D78"/>
    <w:rsid w:val="00C632ED"/>
    <w:rsid w:val="00C66DD9"/>
    <w:rsid w:val="00C709FE"/>
    <w:rsid w:val="00C70C8E"/>
    <w:rsid w:val="00C71CE8"/>
    <w:rsid w:val="00C72645"/>
    <w:rsid w:val="00C72824"/>
    <w:rsid w:val="00C72F3A"/>
    <w:rsid w:val="00C74F18"/>
    <w:rsid w:val="00C814BE"/>
    <w:rsid w:val="00C827D3"/>
    <w:rsid w:val="00C85A17"/>
    <w:rsid w:val="00C87250"/>
    <w:rsid w:val="00C94585"/>
    <w:rsid w:val="00C974BD"/>
    <w:rsid w:val="00CA15A6"/>
    <w:rsid w:val="00CA1D14"/>
    <w:rsid w:val="00CA3459"/>
    <w:rsid w:val="00CA382C"/>
    <w:rsid w:val="00CA62E1"/>
    <w:rsid w:val="00CA7F50"/>
    <w:rsid w:val="00CB286C"/>
    <w:rsid w:val="00CB4718"/>
    <w:rsid w:val="00CB48B7"/>
    <w:rsid w:val="00CB574E"/>
    <w:rsid w:val="00CC2655"/>
    <w:rsid w:val="00CC3D1F"/>
    <w:rsid w:val="00CC3D36"/>
    <w:rsid w:val="00CC6D1B"/>
    <w:rsid w:val="00CD4869"/>
    <w:rsid w:val="00CE1741"/>
    <w:rsid w:val="00CF2796"/>
    <w:rsid w:val="00D01587"/>
    <w:rsid w:val="00D035E0"/>
    <w:rsid w:val="00D04C7E"/>
    <w:rsid w:val="00D0789D"/>
    <w:rsid w:val="00D27678"/>
    <w:rsid w:val="00D34406"/>
    <w:rsid w:val="00D40FA9"/>
    <w:rsid w:val="00D41205"/>
    <w:rsid w:val="00D441C7"/>
    <w:rsid w:val="00D5060A"/>
    <w:rsid w:val="00D513FB"/>
    <w:rsid w:val="00D5338F"/>
    <w:rsid w:val="00D55998"/>
    <w:rsid w:val="00D62446"/>
    <w:rsid w:val="00D64972"/>
    <w:rsid w:val="00D651C2"/>
    <w:rsid w:val="00D704E0"/>
    <w:rsid w:val="00D72300"/>
    <w:rsid w:val="00D83840"/>
    <w:rsid w:val="00D86F9C"/>
    <w:rsid w:val="00D9592A"/>
    <w:rsid w:val="00D96076"/>
    <w:rsid w:val="00D97462"/>
    <w:rsid w:val="00DA14ED"/>
    <w:rsid w:val="00DA2970"/>
    <w:rsid w:val="00DA6219"/>
    <w:rsid w:val="00DB29AE"/>
    <w:rsid w:val="00DB2AF3"/>
    <w:rsid w:val="00DB3B66"/>
    <w:rsid w:val="00DC1F92"/>
    <w:rsid w:val="00DC2A36"/>
    <w:rsid w:val="00DC48EE"/>
    <w:rsid w:val="00DD36D0"/>
    <w:rsid w:val="00DD3EA5"/>
    <w:rsid w:val="00DD7036"/>
    <w:rsid w:val="00DE1AB9"/>
    <w:rsid w:val="00DE4DD3"/>
    <w:rsid w:val="00DE7F45"/>
    <w:rsid w:val="00DF66BD"/>
    <w:rsid w:val="00E05E0A"/>
    <w:rsid w:val="00E10567"/>
    <w:rsid w:val="00E1122A"/>
    <w:rsid w:val="00E16CE2"/>
    <w:rsid w:val="00E220F6"/>
    <w:rsid w:val="00E25C96"/>
    <w:rsid w:val="00E30B4D"/>
    <w:rsid w:val="00E31223"/>
    <w:rsid w:val="00E444E0"/>
    <w:rsid w:val="00E45853"/>
    <w:rsid w:val="00E47013"/>
    <w:rsid w:val="00E62468"/>
    <w:rsid w:val="00E70A15"/>
    <w:rsid w:val="00E77BF3"/>
    <w:rsid w:val="00E80D31"/>
    <w:rsid w:val="00E87B49"/>
    <w:rsid w:val="00E906D5"/>
    <w:rsid w:val="00E91A7C"/>
    <w:rsid w:val="00E92F43"/>
    <w:rsid w:val="00E93195"/>
    <w:rsid w:val="00E937EE"/>
    <w:rsid w:val="00EA12CA"/>
    <w:rsid w:val="00EB00CE"/>
    <w:rsid w:val="00EB28FE"/>
    <w:rsid w:val="00EB7CA4"/>
    <w:rsid w:val="00EC06AD"/>
    <w:rsid w:val="00EC2EE9"/>
    <w:rsid w:val="00EC3172"/>
    <w:rsid w:val="00EC74E2"/>
    <w:rsid w:val="00EC75B6"/>
    <w:rsid w:val="00EC7BD1"/>
    <w:rsid w:val="00ED4515"/>
    <w:rsid w:val="00ED5ECF"/>
    <w:rsid w:val="00EE226E"/>
    <w:rsid w:val="00EF35E5"/>
    <w:rsid w:val="00F03A7D"/>
    <w:rsid w:val="00F059E5"/>
    <w:rsid w:val="00F10839"/>
    <w:rsid w:val="00F1334B"/>
    <w:rsid w:val="00F13A53"/>
    <w:rsid w:val="00F1607C"/>
    <w:rsid w:val="00F16A99"/>
    <w:rsid w:val="00F171A2"/>
    <w:rsid w:val="00F25900"/>
    <w:rsid w:val="00F25CE6"/>
    <w:rsid w:val="00F3010C"/>
    <w:rsid w:val="00F32B0E"/>
    <w:rsid w:val="00F3612B"/>
    <w:rsid w:val="00F36657"/>
    <w:rsid w:val="00F40CCC"/>
    <w:rsid w:val="00F47F0A"/>
    <w:rsid w:val="00F535A9"/>
    <w:rsid w:val="00F573E0"/>
    <w:rsid w:val="00F621C2"/>
    <w:rsid w:val="00F65797"/>
    <w:rsid w:val="00F6579C"/>
    <w:rsid w:val="00F66163"/>
    <w:rsid w:val="00F7798D"/>
    <w:rsid w:val="00F802EA"/>
    <w:rsid w:val="00F90DAD"/>
    <w:rsid w:val="00F92E71"/>
    <w:rsid w:val="00FA35CF"/>
    <w:rsid w:val="00FA5DF3"/>
    <w:rsid w:val="00FA754B"/>
    <w:rsid w:val="00FB050C"/>
    <w:rsid w:val="00FC0578"/>
    <w:rsid w:val="00FC2607"/>
    <w:rsid w:val="00FC266E"/>
    <w:rsid w:val="00FC650D"/>
    <w:rsid w:val="00FD30FA"/>
    <w:rsid w:val="00FD47B1"/>
    <w:rsid w:val="00FD6860"/>
    <w:rsid w:val="00FD7846"/>
    <w:rsid w:val="00FE06CD"/>
    <w:rsid w:val="00FE28FD"/>
    <w:rsid w:val="00FF1892"/>
    <w:rsid w:val="00FF4C6F"/>
    <w:rsid w:val="00FF5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FA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08F"/>
    <w:pPr>
      <w:spacing w:after="240" w:line="240" w:lineRule="auto"/>
    </w:pPr>
    <w:rPr>
      <w:rFonts w:ascii="Times New Roman" w:hAnsi="Times New Roman"/>
      <w:sz w:val="24"/>
    </w:rPr>
  </w:style>
  <w:style w:type="paragraph" w:styleId="Heading1">
    <w:name w:val="heading 1"/>
    <w:next w:val="BodyText"/>
    <w:link w:val="Heading1Char"/>
    <w:uiPriority w:val="9"/>
    <w:qFormat/>
    <w:rsid w:val="00AF2BEC"/>
    <w:pPr>
      <w:keepNext/>
      <w:pageBreakBefore/>
      <w:numPr>
        <w:numId w:val="17"/>
      </w:numPr>
      <w:spacing w:before="240" w:after="360"/>
      <w:outlineLvl w:val="0"/>
    </w:pPr>
    <w:rPr>
      <w:rFonts w:ascii="Cambria" w:eastAsiaTheme="majorEastAsia" w:hAnsi="Cambria" w:cstheme="majorBidi"/>
      <w:b/>
      <w:caps/>
      <w:color w:val="2E74B5" w:themeColor="accent1" w:themeShade="BF"/>
      <w:sz w:val="28"/>
      <w:szCs w:val="32"/>
    </w:rPr>
  </w:style>
  <w:style w:type="paragraph" w:styleId="Heading2">
    <w:name w:val="heading 2"/>
    <w:next w:val="BodyText"/>
    <w:link w:val="Heading2Char"/>
    <w:uiPriority w:val="9"/>
    <w:unhideWhenUsed/>
    <w:qFormat/>
    <w:rsid w:val="00F66163"/>
    <w:pPr>
      <w:keepNext/>
      <w:numPr>
        <w:ilvl w:val="1"/>
        <w:numId w:val="17"/>
      </w:numPr>
      <w:tabs>
        <w:tab w:val="clear" w:pos="9186"/>
        <w:tab w:val="num" w:pos="680"/>
      </w:tabs>
      <w:spacing w:after="120"/>
      <w:ind w:left="680"/>
      <w:outlineLvl w:val="1"/>
    </w:pPr>
    <w:rPr>
      <w:rFonts w:ascii="Cambria" w:eastAsiaTheme="majorEastAsia" w:hAnsi="Cambria" w:cstheme="majorBidi"/>
      <w:b/>
      <w:caps/>
      <w:color w:val="2E74B5" w:themeColor="accent1" w:themeShade="BF"/>
      <w:sz w:val="28"/>
      <w:szCs w:val="26"/>
    </w:rPr>
  </w:style>
  <w:style w:type="paragraph" w:styleId="Heading3">
    <w:name w:val="heading 3"/>
    <w:next w:val="Normal"/>
    <w:link w:val="Heading3Char"/>
    <w:uiPriority w:val="9"/>
    <w:unhideWhenUsed/>
    <w:qFormat/>
    <w:rsid w:val="00312031"/>
    <w:pPr>
      <w:keepNext/>
      <w:numPr>
        <w:ilvl w:val="2"/>
        <w:numId w:val="17"/>
      </w:numPr>
      <w:spacing w:before="240" w:after="120" w:line="240" w:lineRule="auto"/>
      <w:outlineLvl w:val="2"/>
    </w:pPr>
    <w:rPr>
      <w:rFonts w:ascii="Cambria" w:eastAsiaTheme="majorEastAsia" w:hAnsi="Cambria" w:cstheme="majorBidi"/>
      <w:b/>
      <w:sz w:val="24"/>
      <w:szCs w:val="24"/>
    </w:rPr>
  </w:style>
  <w:style w:type="paragraph" w:styleId="Heading4">
    <w:name w:val="heading 4"/>
    <w:aliases w:val="ExecSumm Lvl 1"/>
    <w:next w:val="BodyText"/>
    <w:link w:val="Heading4Char"/>
    <w:uiPriority w:val="9"/>
    <w:unhideWhenUsed/>
    <w:qFormat/>
    <w:rsid w:val="00AF2BEC"/>
    <w:pPr>
      <w:keepNext/>
      <w:spacing w:before="200" w:after="0"/>
      <w:outlineLvl w:val="3"/>
    </w:pPr>
    <w:rPr>
      <w:rFonts w:asciiTheme="majorHAnsi" w:eastAsiaTheme="majorEastAsia" w:hAnsiTheme="majorHAnsi" w:cstheme="majorBidi"/>
      <w:b/>
      <w:bCs/>
      <w:iCs/>
      <w:color w:val="2E74B5" w:themeColor="accent1" w:themeShade="BF"/>
      <w:sz w:val="24"/>
      <w:szCs w:val="24"/>
    </w:rPr>
  </w:style>
  <w:style w:type="paragraph" w:styleId="Heading5">
    <w:name w:val="heading 5"/>
    <w:aliases w:val="ExecSumm Lvl 2"/>
    <w:next w:val="BodyText"/>
    <w:link w:val="Heading5Char"/>
    <w:uiPriority w:val="9"/>
    <w:unhideWhenUsed/>
    <w:qFormat/>
    <w:rsid w:val="0048057F"/>
    <w:pPr>
      <w:keepNext/>
      <w:spacing w:before="120" w:after="0"/>
      <w:outlineLvl w:val="4"/>
    </w:pPr>
    <w:rPr>
      <w:rFonts w:asciiTheme="majorHAnsi" w:eastAsiaTheme="majorEastAsia" w:hAnsiTheme="majorHAnsi" w:cstheme="majorBidi"/>
      <w:i/>
      <w:color w:val="2E74B5" w:themeColor="accent1" w:themeShade="BF"/>
      <w:sz w:val="24"/>
    </w:rPr>
  </w:style>
  <w:style w:type="paragraph" w:styleId="Heading6">
    <w:name w:val="heading 6"/>
    <w:aliases w:val="ExecSumm Lvl 3"/>
    <w:next w:val="BodyText"/>
    <w:link w:val="Heading6Char"/>
    <w:uiPriority w:val="9"/>
    <w:unhideWhenUsed/>
    <w:qFormat/>
    <w:rsid w:val="00AF2BEC"/>
    <w:pPr>
      <w:keepNext/>
      <w:spacing w:before="40" w:after="0"/>
      <w:outlineLvl w:val="5"/>
    </w:pPr>
    <w:rPr>
      <w:rFonts w:asciiTheme="majorHAnsi" w:eastAsiaTheme="majorEastAsia" w:hAnsiTheme="majorHAnsi" w:cstheme="majorBidi"/>
      <w:color w:val="1F4D78" w:themeColor="accent1" w:themeShade="7F"/>
      <w:sz w:val="24"/>
    </w:rPr>
  </w:style>
  <w:style w:type="paragraph" w:styleId="Heading7">
    <w:name w:val="heading 7"/>
    <w:aliases w:val="App Lvl 1,Appendix Lvl one"/>
    <w:next w:val="BodyText"/>
    <w:link w:val="Heading7Char"/>
    <w:uiPriority w:val="9"/>
    <w:unhideWhenUsed/>
    <w:qFormat/>
    <w:rsid w:val="00AF2BEC"/>
    <w:pPr>
      <w:keepNext/>
      <w:pageBreakBefore/>
      <w:numPr>
        <w:ilvl w:val="6"/>
        <w:numId w:val="17"/>
      </w:numPr>
      <w:spacing w:before="240" w:after="360"/>
      <w:outlineLvl w:val="6"/>
    </w:pPr>
    <w:rPr>
      <w:rFonts w:ascii="Cambria" w:eastAsiaTheme="majorEastAsia" w:hAnsi="Cambria" w:cstheme="majorBidi"/>
      <w:b/>
      <w:iCs/>
      <w:color w:val="2E74B5" w:themeColor="accent1" w:themeShade="BF"/>
      <w:sz w:val="28"/>
    </w:rPr>
  </w:style>
  <w:style w:type="paragraph" w:styleId="Heading8">
    <w:name w:val="heading 8"/>
    <w:aliases w:val="App Lvl 2,Appendix Lvl two"/>
    <w:next w:val="BodyText"/>
    <w:link w:val="Heading8Char"/>
    <w:uiPriority w:val="9"/>
    <w:unhideWhenUsed/>
    <w:qFormat/>
    <w:rsid w:val="00AF2BEC"/>
    <w:pPr>
      <w:keepNext/>
      <w:numPr>
        <w:ilvl w:val="7"/>
        <w:numId w:val="17"/>
      </w:numPr>
      <w:spacing w:after="120"/>
      <w:outlineLvl w:val="7"/>
    </w:pPr>
    <w:rPr>
      <w:rFonts w:ascii="Cambria" w:eastAsiaTheme="majorEastAsia" w:hAnsi="Cambria" w:cstheme="majorBidi"/>
      <w:b/>
      <w:iCs/>
      <w:color w:val="2E74B5" w:themeColor="accent1" w:themeShade="BF"/>
      <w:sz w:val="28"/>
      <w:szCs w:val="21"/>
    </w:rPr>
  </w:style>
  <w:style w:type="paragraph" w:styleId="Heading9">
    <w:name w:val="heading 9"/>
    <w:aliases w:val="App Lvl 3,Appendix Lvl three"/>
    <w:next w:val="BodyText"/>
    <w:link w:val="Heading9Char"/>
    <w:uiPriority w:val="9"/>
    <w:unhideWhenUsed/>
    <w:qFormat/>
    <w:rsid w:val="00AF2BEC"/>
    <w:pPr>
      <w:keepNext/>
      <w:numPr>
        <w:ilvl w:val="8"/>
        <w:numId w:val="17"/>
      </w:numPr>
      <w:spacing w:before="40" w:after="0"/>
      <w:outlineLvl w:val="8"/>
    </w:pPr>
    <w:rPr>
      <w:rFonts w:asciiTheme="majorHAnsi" w:eastAsiaTheme="majorEastAsia" w:hAnsiTheme="majorHAnsi" w:cstheme="majorBidi"/>
      <w:b/>
      <w: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6C"/>
    <w:rPr>
      <w:rFonts w:ascii="Cambria" w:eastAsiaTheme="majorEastAsia" w:hAnsi="Cambria" w:cstheme="majorBidi"/>
      <w:b/>
      <w:caps/>
      <w:color w:val="2E74B5" w:themeColor="accent1" w:themeShade="BF"/>
      <w:sz w:val="28"/>
      <w:szCs w:val="32"/>
    </w:rPr>
  </w:style>
  <w:style w:type="character" w:customStyle="1" w:styleId="Heading2Char">
    <w:name w:val="Heading 2 Char"/>
    <w:basedOn w:val="DefaultParagraphFont"/>
    <w:link w:val="Heading2"/>
    <w:uiPriority w:val="9"/>
    <w:rsid w:val="00F66163"/>
    <w:rPr>
      <w:rFonts w:ascii="Cambria" w:eastAsiaTheme="majorEastAsia" w:hAnsi="Cambria" w:cstheme="majorBidi"/>
      <w:b/>
      <w:caps/>
      <w:color w:val="2E74B5" w:themeColor="accent1" w:themeShade="BF"/>
      <w:sz w:val="28"/>
      <w:szCs w:val="26"/>
    </w:rPr>
  </w:style>
  <w:style w:type="character" w:customStyle="1" w:styleId="Heading3Char">
    <w:name w:val="Heading 3 Char"/>
    <w:basedOn w:val="DefaultParagraphFont"/>
    <w:link w:val="Heading3"/>
    <w:uiPriority w:val="9"/>
    <w:rsid w:val="00312031"/>
    <w:rPr>
      <w:rFonts w:ascii="Cambria" w:eastAsiaTheme="majorEastAsia" w:hAnsi="Cambria" w:cstheme="majorBidi"/>
      <w:b/>
      <w:sz w:val="24"/>
      <w:szCs w:val="24"/>
    </w:rPr>
  </w:style>
  <w:style w:type="character" w:customStyle="1" w:styleId="Heading4Char">
    <w:name w:val="Heading 4 Char"/>
    <w:aliases w:val="ExecSumm Lvl 1 Char"/>
    <w:basedOn w:val="DefaultParagraphFont"/>
    <w:link w:val="Heading4"/>
    <w:uiPriority w:val="9"/>
    <w:rsid w:val="00215B6C"/>
    <w:rPr>
      <w:rFonts w:asciiTheme="majorHAnsi" w:eastAsiaTheme="majorEastAsia" w:hAnsiTheme="majorHAnsi" w:cstheme="majorBidi"/>
      <w:b/>
      <w:bCs/>
      <w:iCs/>
      <w:color w:val="2E74B5" w:themeColor="accent1" w:themeShade="BF"/>
      <w:sz w:val="24"/>
      <w:szCs w:val="24"/>
    </w:rPr>
  </w:style>
  <w:style w:type="table" w:styleId="TableGrid">
    <w:name w:val="Table Grid"/>
    <w:basedOn w:val="TableNormal"/>
    <w:uiPriority w:val="39"/>
    <w:rsid w:val="002122B2"/>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EEAF6" w:themeFill="accent1" w:themeFillTint="33"/>
      </w:tcPr>
    </w:tblStylePr>
  </w:style>
  <w:style w:type="paragraph" w:styleId="Caption">
    <w:name w:val="caption"/>
    <w:basedOn w:val="Normal"/>
    <w:next w:val="02Tabletext"/>
    <w:uiPriority w:val="35"/>
    <w:unhideWhenUsed/>
    <w:qFormat/>
    <w:rsid w:val="00FD6860"/>
    <w:pPr>
      <w:keepNext/>
      <w:spacing w:after="40"/>
      <w:ind w:left="1191" w:hanging="1191"/>
    </w:pPr>
    <w:rPr>
      <w:b/>
      <w:iCs/>
      <w:sz w:val="20"/>
      <w:szCs w:val="18"/>
    </w:rPr>
  </w:style>
  <w:style w:type="paragraph" w:styleId="ListParagraph">
    <w:name w:val="List Paragraph"/>
    <w:basedOn w:val="Normal"/>
    <w:link w:val="ListParagraphChar"/>
    <w:uiPriority w:val="34"/>
    <w:qFormat/>
    <w:rsid w:val="009836F7"/>
    <w:pPr>
      <w:ind w:left="720"/>
      <w:contextualSpacing/>
    </w:pPr>
  </w:style>
  <w:style w:type="character" w:customStyle="1" w:styleId="ListParagraphChar">
    <w:name w:val="List Paragraph Char"/>
    <w:basedOn w:val="DefaultParagraphFont"/>
    <w:link w:val="ListParagraph"/>
    <w:uiPriority w:val="34"/>
    <w:rsid w:val="001B06DC"/>
    <w:rPr>
      <w:rFonts w:ascii="Times New Roman" w:hAnsi="Times New Roman"/>
      <w:sz w:val="24"/>
    </w:rPr>
  </w:style>
  <w:style w:type="paragraph" w:customStyle="1" w:styleId="02Tabletext">
    <w:name w:val="02. Table text"/>
    <w:next w:val="03Tabletextspacebefore"/>
    <w:link w:val="02TabletextChar"/>
    <w:qFormat/>
    <w:rsid w:val="009354E2"/>
    <w:pPr>
      <w:keepNext/>
      <w:spacing w:before="20" w:after="0" w:line="240" w:lineRule="auto"/>
    </w:pPr>
    <w:rPr>
      <w:rFonts w:ascii="Times New Roman" w:hAnsi="Times New Roman" w:cs="Times New Roman"/>
      <w:sz w:val="18"/>
    </w:rPr>
  </w:style>
  <w:style w:type="character" w:customStyle="1" w:styleId="02TabletextChar">
    <w:name w:val="02. Table text Char"/>
    <w:basedOn w:val="DefaultParagraphFont"/>
    <w:link w:val="02Tabletext"/>
    <w:rsid w:val="009354E2"/>
    <w:rPr>
      <w:rFonts w:ascii="Times New Roman" w:hAnsi="Times New Roman" w:cs="Times New Roman"/>
      <w:sz w:val="18"/>
    </w:rPr>
  </w:style>
  <w:style w:type="paragraph" w:customStyle="1" w:styleId="01Tableheadingorsubheading">
    <w:name w:val="01. Table heading or subheading"/>
    <w:link w:val="01TableheadingorsubheadingChar"/>
    <w:qFormat/>
    <w:rsid w:val="000C6169"/>
    <w:pPr>
      <w:keepNext/>
      <w:spacing w:before="40" w:after="0" w:line="240" w:lineRule="auto"/>
    </w:pPr>
    <w:rPr>
      <w:rFonts w:ascii="Times New Roman" w:hAnsi="Times New Roman" w:cs="Times New Roman"/>
      <w:b/>
      <w:color w:val="FFFFFF" w:themeColor="background1"/>
      <w:sz w:val="18"/>
    </w:rPr>
  </w:style>
  <w:style w:type="character" w:customStyle="1" w:styleId="01TableheadingorsubheadingChar">
    <w:name w:val="01. Table heading or subheading Char"/>
    <w:basedOn w:val="02TabletextChar"/>
    <w:link w:val="01Tableheadingorsubheading"/>
    <w:rsid w:val="000C6169"/>
    <w:rPr>
      <w:rFonts w:ascii="Times New Roman" w:hAnsi="Times New Roman" w:cs="Times New Roman"/>
      <w:b/>
      <w:color w:val="FFFFFF" w:themeColor="background1"/>
      <w:sz w:val="18"/>
    </w:rPr>
  </w:style>
  <w:style w:type="paragraph" w:styleId="TOC1">
    <w:name w:val="toc 1"/>
    <w:basedOn w:val="Normal"/>
    <w:next w:val="Normal"/>
    <w:autoRedefine/>
    <w:uiPriority w:val="39"/>
    <w:unhideWhenUsed/>
    <w:rsid w:val="003E4EFA"/>
    <w:pPr>
      <w:keepNext/>
      <w:tabs>
        <w:tab w:val="right" w:pos="9639"/>
      </w:tabs>
      <w:spacing w:before="360" w:after="60"/>
      <w:ind w:left="567" w:right="-1" w:hanging="567"/>
    </w:pPr>
    <w:rPr>
      <w:b/>
      <w:bCs/>
      <w:caps/>
      <w:sz w:val="22"/>
    </w:rPr>
  </w:style>
  <w:style w:type="paragraph" w:styleId="TOC2">
    <w:name w:val="toc 2"/>
    <w:basedOn w:val="Normal"/>
    <w:next w:val="Normal"/>
    <w:autoRedefine/>
    <w:uiPriority w:val="39"/>
    <w:unhideWhenUsed/>
    <w:rsid w:val="009D69DA"/>
    <w:pPr>
      <w:spacing w:after="0"/>
      <w:ind w:left="567" w:right="567" w:hanging="567"/>
    </w:pPr>
    <w:rPr>
      <w:bCs/>
      <w:smallCaps/>
      <w:sz w:val="22"/>
    </w:rPr>
  </w:style>
  <w:style w:type="paragraph" w:styleId="TOC3">
    <w:name w:val="toc 3"/>
    <w:basedOn w:val="Normal"/>
    <w:next w:val="Normal"/>
    <w:autoRedefine/>
    <w:uiPriority w:val="39"/>
    <w:unhideWhenUsed/>
    <w:rsid w:val="009D69DA"/>
    <w:pPr>
      <w:spacing w:after="0"/>
      <w:ind w:left="1247" w:right="567" w:hanging="567"/>
    </w:pPr>
    <w:rPr>
      <w:smallCaps/>
      <w:sz w:val="22"/>
    </w:rPr>
  </w:style>
  <w:style w:type="paragraph" w:styleId="TOC4">
    <w:name w:val="toc 4"/>
    <w:basedOn w:val="Normal"/>
    <w:next w:val="Normal"/>
    <w:autoRedefine/>
    <w:uiPriority w:val="39"/>
    <w:unhideWhenUsed/>
    <w:rsid w:val="009D69DA"/>
    <w:pPr>
      <w:spacing w:after="0"/>
      <w:ind w:left="567" w:right="284" w:hanging="567"/>
    </w:pPr>
    <w:rPr>
      <w:rFonts w:asciiTheme="minorHAnsi" w:hAnsiTheme="minorHAnsi"/>
      <w:sz w:val="22"/>
    </w:rPr>
  </w:style>
  <w:style w:type="paragraph" w:styleId="TOC5">
    <w:name w:val="toc 5"/>
    <w:basedOn w:val="Normal"/>
    <w:next w:val="Normal"/>
    <w:autoRedefine/>
    <w:uiPriority w:val="39"/>
    <w:unhideWhenUsed/>
    <w:rsid w:val="0097411D"/>
    <w:pPr>
      <w:spacing w:after="0"/>
    </w:pPr>
    <w:rPr>
      <w:rFonts w:asciiTheme="minorHAnsi" w:hAnsiTheme="minorHAnsi"/>
      <w:sz w:val="22"/>
    </w:rPr>
  </w:style>
  <w:style w:type="paragraph" w:styleId="TOC6">
    <w:name w:val="toc 6"/>
    <w:basedOn w:val="Normal"/>
    <w:next w:val="Normal"/>
    <w:autoRedefine/>
    <w:uiPriority w:val="39"/>
    <w:unhideWhenUsed/>
    <w:rsid w:val="009D69DA"/>
    <w:pPr>
      <w:spacing w:after="0"/>
      <w:ind w:left="567" w:right="567" w:hanging="567"/>
    </w:pPr>
    <w:rPr>
      <w:rFonts w:asciiTheme="minorHAnsi" w:hAnsiTheme="minorHAnsi"/>
      <w:sz w:val="22"/>
    </w:rPr>
  </w:style>
  <w:style w:type="paragraph" w:styleId="TOC7">
    <w:name w:val="toc 7"/>
    <w:basedOn w:val="Normal"/>
    <w:next w:val="Normal"/>
    <w:autoRedefine/>
    <w:uiPriority w:val="39"/>
    <w:unhideWhenUsed/>
    <w:rsid w:val="0097411D"/>
    <w:pPr>
      <w:spacing w:after="0"/>
    </w:pPr>
    <w:rPr>
      <w:rFonts w:asciiTheme="minorHAnsi" w:hAnsiTheme="minorHAnsi"/>
      <w:sz w:val="22"/>
    </w:rPr>
  </w:style>
  <w:style w:type="paragraph" w:styleId="TOC8">
    <w:name w:val="toc 8"/>
    <w:basedOn w:val="Normal"/>
    <w:next w:val="Normal"/>
    <w:autoRedefine/>
    <w:uiPriority w:val="39"/>
    <w:unhideWhenUsed/>
    <w:rsid w:val="0097411D"/>
    <w:pPr>
      <w:spacing w:after="0"/>
    </w:pPr>
    <w:rPr>
      <w:rFonts w:asciiTheme="minorHAnsi" w:hAnsiTheme="minorHAnsi"/>
      <w:sz w:val="22"/>
    </w:rPr>
  </w:style>
  <w:style w:type="paragraph" w:styleId="TOC9">
    <w:name w:val="toc 9"/>
    <w:basedOn w:val="Normal"/>
    <w:next w:val="Normal"/>
    <w:autoRedefine/>
    <w:uiPriority w:val="39"/>
    <w:unhideWhenUsed/>
    <w:rsid w:val="0097411D"/>
    <w:pPr>
      <w:spacing w:after="0"/>
    </w:pPr>
    <w:rPr>
      <w:rFonts w:asciiTheme="minorHAnsi" w:hAnsiTheme="minorHAnsi"/>
      <w:sz w:val="22"/>
    </w:rPr>
  </w:style>
  <w:style w:type="character" w:styleId="Hyperlink">
    <w:name w:val="Hyperlink"/>
    <w:basedOn w:val="DefaultParagraphFont"/>
    <w:uiPriority w:val="99"/>
    <w:unhideWhenUsed/>
    <w:rsid w:val="0097411D"/>
    <w:rPr>
      <w:color w:val="0563C1" w:themeColor="hyperlink"/>
      <w:u w:val="single"/>
    </w:rPr>
  </w:style>
  <w:style w:type="paragraph" w:styleId="TOCHeading">
    <w:name w:val="TOC Heading"/>
    <w:basedOn w:val="Heading1"/>
    <w:next w:val="Normal"/>
    <w:uiPriority w:val="39"/>
    <w:unhideWhenUsed/>
    <w:qFormat/>
    <w:rsid w:val="001F2E1D"/>
    <w:pPr>
      <w:numPr>
        <w:numId w:val="0"/>
      </w:numPr>
      <w:outlineLvl w:val="9"/>
    </w:pPr>
    <w:rPr>
      <w:caps w:val="0"/>
      <w:color w:val="auto"/>
      <w:sz w:val="44"/>
      <w:lang w:val="en-US"/>
    </w:rPr>
  </w:style>
  <w:style w:type="paragraph" w:styleId="Footer">
    <w:name w:val="footer"/>
    <w:basedOn w:val="Normal"/>
    <w:link w:val="FooterChar"/>
    <w:uiPriority w:val="99"/>
    <w:unhideWhenUsed/>
    <w:rsid w:val="00C5297B"/>
    <w:pPr>
      <w:tabs>
        <w:tab w:val="center" w:pos="4513"/>
        <w:tab w:val="right" w:pos="9026"/>
      </w:tabs>
      <w:spacing w:after="0"/>
    </w:pPr>
  </w:style>
  <w:style w:type="character" w:customStyle="1" w:styleId="FooterChar">
    <w:name w:val="Footer Char"/>
    <w:basedOn w:val="DefaultParagraphFont"/>
    <w:link w:val="Footer"/>
    <w:uiPriority w:val="99"/>
    <w:rsid w:val="00C5297B"/>
    <w:rPr>
      <w:rFonts w:ascii="Times New Roman" w:hAnsi="Times New Roman"/>
      <w:sz w:val="24"/>
    </w:rPr>
  </w:style>
  <w:style w:type="character" w:styleId="PageNumber">
    <w:name w:val="page number"/>
    <w:basedOn w:val="DefaultParagraphFont"/>
    <w:rsid w:val="00C5297B"/>
  </w:style>
  <w:style w:type="paragraph" w:customStyle="1" w:styleId="TitlePageLowercase">
    <w:name w:val="Title Page Lowercase"/>
    <w:basedOn w:val="Normal"/>
    <w:link w:val="TitlePageLowercaseChar"/>
    <w:qFormat/>
    <w:rsid w:val="00756FA1"/>
    <w:pPr>
      <w:tabs>
        <w:tab w:val="left" w:pos="885"/>
      </w:tabs>
      <w:jc w:val="center"/>
    </w:pPr>
    <w:rPr>
      <w:b/>
      <w:sz w:val="36"/>
      <w:szCs w:val="36"/>
    </w:rPr>
  </w:style>
  <w:style w:type="character" w:customStyle="1" w:styleId="TitlePageLowercaseChar">
    <w:name w:val="Title Page Lowercase Char"/>
    <w:basedOn w:val="DefaultParagraphFont"/>
    <w:link w:val="TitlePageLowercase"/>
    <w:rsid w:val="00756FA1"/>
    <w:rPr>
      <w:rFonts w:ascii="Times New Roman" w:hAnsi="Times New Roman"/>
      <w:b/>
      <w:sz w:val="36"/>
      <w:szCs w:val="36"/>
    </w:rPr>
  </w:style>
  <w:style w:type="paragraph" w:customStyle="1" w:styleId="TITLEPAGECAPS">
    <w:name w:val="TITLE PAGE CAPS"/>
    <w:basedOn w:val="Normal"/>
    <w:link w:val="TITLEPAGECAPSChar"/>
    <w:qFormat/>
    <w:rsid w:val="00756FA1"/>
    <w:pPr>
      <w:tabs>
        <w:tab w:val="left" w:pos="885"/>
      </w:tabs>
      <w:jc w:val="center"/>
    </w:pPr>
    <w:rPr>
      <w:rFonts w:ascii="Times New Roman Bold" w:hAnsi="Times New Roman Bold"/>
      <w:b/>
      <w:caps/>
      <w:sz w:val="36"/>
      <w:szCs w:val="36"/>
    </w:rPr>
  </w:style>
  <w:style w:type="character" w:customStyle="1" w:styleId="TITLEPAGECAPSChar">
    <w:name w:val="TITLE PAGE CAPS Char"/>
    <w:basedOn w:val="DefaultParagraphFont"/>
    <w:link w:val="TITLEPAGECAPS"/>
    <w:rsid w:val="00756FA1"/>
    <w:rPr>
      <w:rFonts w:ascii="Times New Roman Bold" w:hAnsi="Times New Roman Bold"/>
      <w:b/>
      <w:caps/>
      <w:sz w:val="36"/>
      <w:szCs w:val="36"/>
    </w:rPr>
  </w:style>
  <w:style w:type="paragraph" w:styleId="BalloonText">
    <w:name w:val="Balloon Text"/>
    <w:basedOn w:val="Normal"/>
    <w:link w:val="BalloonTextChar"/>
    <w:uiPriority w:val="99"/>
    <w:semiHidden/>
    <w:unhideWhenUsed/>
    <w:rsid w:val="000D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8A8"/>
    <w:rPr>
      <w:rFonts w:ascii="Tahoma" w:hAnsi="Tahoma" w:cs="Tahoma"/>
      <w:sz w:val="16"/>
      <w:szCs w:val="16"/>
    </w:rPr>
  </w:style>
  <w:style w:type="paragraph" w:customStyle="1" w:styleId="09Tablefootnoteslast-nostick">
    <w:name w:val="09. Table footnotes last - no stick"/>
    <w:next w:val="BodyText"/>
    <w:qFormat/>
    <w:rsid w:val="00687061"/>
    <w:pPr>
      <w:spacing w:after="360" w:line="240" w:lineRule="auto"/>
    </w:pPr>
    <w:rPr>
      <w:rFonts w:ascii="Times New Roman" w:hAnsi="Times New Roman"/>
      <w:sz w:val="16"/>
      <w:szCs w:val="16"/>
    </w:rPr>
  </w:style>
  <w:style w:type="paragraph" w:customStyle="1" w:styleId="08Tablefootnotes">
    <w:name w:val="08. Table footnotes"/>
    <w:link w:val="08TablefootnotesChar"/>
    <w:qFormat/>
    <w:rsid w:val="00687061"/>
    <w:pPr>
      <w:keepNext/>
      <w:spacing w:after="0" w:line="240" w:lineRule="auto"/>
    </w:pPr>
    <w:rPr>
      <w:rFonts w:ascii="Times New Roman" w:hAnsi="Times New Roman"/>
      <w:sz w:val="16"/>
      <w:szCs w:val="16"/>
    </w:rPr>
  </w:style>
  <w:style w:type="character" w:customStyle="1" w:styleId="08TablefootnotesChar">
    <w:name w:val="08. Table footnotes Char"/>
    <w:basedOn w:val="DefaultParagraphFont"/>
    <w:link w:val="08Tablefootnotes"/>
    <w:rsid w:val="00687061"/>
    <w:rPr>
      <w:rFonts w:ascii="Times New Roman" w:hAnsi="Times New Roman"/>
      <w:sz w:val="16"/>
      <w:szCs w:val="16"/>
    </w:rPr>
  </w:style>
  <w:style w:type="paragraph" w:customStyle="1" w:styleId="03Tabletextspacebefore">
    <w:name w:val="03. Table text space before"/>
    <w:qFormat/>
    <w:rsid w:val="000C6169"/>
    <w:pPr>
      <w:spacing w:before="60" w:after="0" w:line="240" w:lineRule="auto"/>
    </w:pPr>
    <w:rPr>
      <w:rFonts w:ascii="Times New Roman" w:hAnsi="Times New Roman"/>
      <w:sz w:val="18"/>
      <w:szCs w:val="16"/>
    </w:rPr>
  </w:style>
  <w:style w:type="paragraph" w:customStyle="1" w:styleId="04Tabletextspaceitalics">
    <w:name w:val="04. Table text space italics"/>
    <w:qFormat/>
    <w:rsid w:val="00AE1860"/>
    <w:pPr>
      <w:keepNext/>
      <w:spacing w:before="120" w:after="0" w:line="240" w:lineRule="auto"/>
    </w:pPr>
    <w:rPr>
      <w:rFonts w:ascii="Times New Roman" w:hAnsi="Times New Roman" w:cs="Times New Roman"/>
      <w:i/>
      <w:sz w:val="18"/>
    </w:rPr>
  </w:style>
  <w:style w:type="character" w:styleId="CommentReference">
    <w:name w:val="annotation reference"/>
    <w:basedOn w:val="DefaultParagraphFont"/>
    <w:uiPriority w:val="99"/>
    <w:semiHidden/>
    <w:unhideWhenUsed/>
    <w:rsid w:val="00BB667B"/>
    <w:rPr>
      <w:sz w:val="16"/>
      <w:szCs w:val="16"/>
    </w:rPr>
  </w:style>
  <w:style w:type="paragraph" w:styleId="CommentText">
    <w:name w:val="annotation text"/>
    <w:basedOn w:val="Normal"/>
    <w:link w:val="CommentTextChar"/>
    <w:uiPriority w:val="99"/>
    <w:unhideWhenUsed/>
    <w:rsid w:val="00BB667B"/>
    <w:rPr>
      <w:sz w:val="20"/>
      <w:szCs w:val="20"/>
    </w:rPr>
  </w:style>
  <w:style w:type="character" w:customStyle="1" w:styleId="CommentTextChar">
    <w:name w:val="Comment Text Char"/>
    <w:basedOn w:val="DefaultParagraphFont"/>
    <w:link w:val="CommentText"/>
    <w:uiPriority w:val="99"/>
    <w:rsid w:val="00BB66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667B"/>
    <w:rPr>
      <w:b/>
      <w:bCs/>
    </w:rPr>
  </w:style>
  <w:style w:type="character" w:customStyle="1" w:styleId="CommentSubjectChar">
    <w:name w:val="Comment Subject Char"/>
    <w:basedOn w:val="CommentTextChar"/>
    <w:link w:val="CommentSubject"/>
    <w:uiPriority w:val="99"/>
    <w:semiHidden/>
    <w:rsid w:val="00BB667B"/>
    <w:rPr>
      <w:rFonts w:ascii="Times New Roman" w:hAnsi="Times New Roman"/>
      <w:b/>
      <w:bCs/>
      <w:sz w:val="20"/>
      <w:szCs w:val="20"/>
    </w:rPr>
  </w:style>
  <w:style w:type="paragraph" w:customStyle="1" w:styleId="05Tablebold">
    <w:name w:val="05. Table bold"/>
    <w:next w:val="02Tabletext"/>
    <w:qFormat/>
    <w:rsid w:val="00FD6860"/>
    <w:pPr>
      <w:keepNext/>
      <w:spacing w:before="20" w:after="0" w:line="240" w:lineRule="auto"/>
    </w:pPr>
    <w:rPr>
      <w:rFonts w:ascii="Times New Roman" w:hAnsi="Times New Roman" w:cs="Times New Roman"/>
      <w:b/>
      <w:sz w:val="18"/>
    </w:rPr>
  </w:style>
  <w:style w:type="paragraph" w:customStyle="1" w:styleId="06Tablebullet">
    <w:name w:val="06. Table bullet"/>
    <w:qFormat/>
    <w:rsid w:val="000C6169"/>
    <w:pPr>
      <w:numPr>
        <w:numId w:val="30"/>
      </w:numPr>
      <w:spacing w:after="0" w:line="240" w:lineRule="auto"/>
      <w:ind w:left="284" w:hanging="227"/>
    </w:pPr>
    <w:rPr>
      <w:rFonts w:ascii="Times New Roman" w:hAnsi="Times New Roman" w:cs="Times New Roman"/>
      <w:sz w:val="18"/>
    </w:rPr>
  </w:style>
  <w:style w:type="paragraph" w:customStyle="1" w:styleId="07Tableright-aligned">
    <w:name w:val="07. Table $ right-aligned"/>
    <w:qFormat/>
    <w:rsid w:val="000C6169"/>
    <w:pPr>
      <w:spacing w:before="20" w:after="0" w:line="240" w:lineRule="auto"/>
      <w:ind w:right="113"/>
      <w:jc w:val="right"/>
    </w:pPr>
    <w:rPr>
      <w:rFonts w:ascii="Times New Roman" w:hAnsi="Times New Roman" w:cs="Times New Roman"/>
      <w:sz w:val="18"/>
    </w:rPr>
  </w:style>
  <w:style w:type="character" w:customStyle="1" w:styleId="Heading5Char">
    <w:name w:val="Heading 5 Char"/>
    <w:aliases w:val="ExecSumm Lvl 2 Char"/>
    <w:basedOn w:val="DefaultParagraphFont"/>
    <w:link w:val="Heading5"/>
    <w:uiPriority w:val="9"/>
    <w:rsid w:val="0048057F"/>
    <w:rPr>
      <w:rFonts w:asciiTheme="majorHAnsi" w:eastAsiaTheme="majorEastAsia" w:hAnsiTheme="majorHAnsi" w:cstheme="majorBidi"/>
      <w:i/>
      <w:color w:val="2E74B5" w:themeColor="accent1" w:themeShade="BF"/>
      <w:sz w:val="24"/>
    </w:rPr>
  </w:style>
  <w:style w:type="character" w:customStyle="1" w:styleId="Heading6Char">
    <w:name w:val="Heading 6 Char"/>
    <w:aliases w:val="ExecSumm Lvl 3 Char"/>
    <w:basedOn w:val="DefaultParagraphFont"/>
    <w:link w:val="Heading6"/>
    <w:uiPriority w:val="9"/>
    <w:rsid w:val="00215B6C"/>
    <w:rPr>
      <w:rFonts w:asciiTheme="majorHAnsi" w:eastAsiaTheme="majorEastAsia" w:hAnsiTheme="majorHAnsi" w:cstheme="majorBidi"/>
      <w:color w:val="1F4D78" w:themeColor="accent1" w:themeShade="7F"/>
      <w:sz w:val="24"/>
    </w:rPr>
  </w:style>
  <w:style w:type="character" w:customStyle="1" w:styleId="Heading7Char">
    <w:name w:val="Heading 7 Char"/>
    <w:aliases w:val="App Lvl 1 Char,Appendix Lvl one Char"/>
    <w:basedOn w:val="DefaultParagraphFont"/>
    <w:link w:val="Heading7"/>
    <w:uiPriority w:val="9"/>
    <w:rsid w:val="00AF2BEC"/>
    <w:rPr>
      <w:rFonts w:ascii="Cambria" w:eastAsiaTheme="majorEastAsia" w:hAnsi="Cambria" w:cstheme="majorBidi"/>
      <w:b/>
      <w:iCs/>
      <w:color w:val="2E74B5" w:themeColor="accent1" w:themeShade="BF"/>
      <w:sz w:val="28"/>
    </w:rPr>
  </w:style>
  <w:style w:type="character" w:customStyle="1" w:styleId="Heading8Char">
    <w:name w:val="Heading 8 Char"/>
    <w:aliases w:val="App Lvl 2 Char,Appendix Lvl two Char"/>
    <w:basedOn w:val="DefaultParagraphFont"/>
    <w:link w:val="Heading8"/>
    <w:uiPriority w:val="9"/>
    <w:rsid w:val="00215B6C"/>
    <w:rPr>
      <w:rFonts w:ascii="Cambria" w:eastAsiaTheme="majorEastAsia" w:hAnsi="Cambria" w:cstheme="majorBidi"/>
      <w:b/>
      <w:iCs/>
      <w:color w:val="2E74B5" w:themeColor="accent1" w:themeShade="BF"/>
      <w:sz w:val="28"/>
      <w:szCs w:val="21"/>
    </w:rPr>
  </w:style>
  <w:style w:type="paragraph" w:customStyle="1" w:styleId="ESHeading1">
    <w:name w:val="ES Heading 1"/>
    <w:qFormat/>
    <w:rsid w:val="00215B6C"/>
    <w:pPr>
      <w:keepNext/>
      <w:spacing w:before="240" w:after="360" w:line="240" w:lineRule="auto"/>
      <w:outlineLvl w:val="0"/>
    </w:pPr>
    <w:rPr>
      <w:rFonts w:ascii="Cambria" w:eastAsiaTheme="majorEastAsia" w:hAnsi="Cambria" w:cstheme="majorBidi"/>
      <w:b/>
      <w:caps/>
      <w:color w:val="2E74B5" w:themeColor="accent1" w:themeShade="BF"/>
      <w:sz w:val="28"/>
      <w:szCs w:val="32"/>
    </w:rPr>
  </w:style>
  <w:style w:type="paragraph" w:customStyle="1" w:styleId="ESHeading2">
    <w:name w:val="ES Heading 2"/>
    <w:basedOn w:val="ESHeading1"/>
    <w:qFormat/>
    <w:rsid w:val="00215B6C"/>
    <w:pPr>
      <w:spacing w:before="40" w:after="120"/>
      <w:outlineLvl w:val="1"/>
    </w:pPr>
    <w:rPr>
      <w:caps w:val="0"/>
    </w:rPr>
  </w:style>
  <w:style w:type="paragraph" w:styleId="BodyText">
    <w:name w:val="Body Text"/>
    <w:basedOn w:val="Normal"/>
    <w:link w:val="BodyTextChar"/>
    <w:uiPriority w:val="99"/>
    <w:unhideWhenUsed/>
    <w:rsid w:val="00A051D6"/>
  </w:style>
  <w:style w:type="character" w:customStyle="1" w:styleId="BodyTextChar">
    <w:name w:val="Body Text Char"/>
    <w:basedOn w:val="DefaultParagraphFont"/>
    <w:link w:val="BodyText"/>
    <w:uiPriority w:val="99"/>
    <w:rsid w:val="00A051D6"/>
    <w:rPr>
      <w:rFonts w:ascii="Times New Roman" w:hAnsi="Times New Roman"/>
      <w:sz w:val="24"/>
    </w:rPr>
  </w:style>
  <w:style w:type="paragraph" w:customStyle="1" w:styleId="Bodytextbeforebullets">
    <w:name w:val="Body text before bullets"/>
    <w:basedOn w:val="BodyText"/>
    <w:next w:val="Bullettext"/>
    <w:qFormat/>
    <w:rsid w:val="00A051D6"/>
    <w:pPr>
      <w:keepNext/>
      <w:spacing w:after="120"/>
    </w:pPr>
  </w:style>
  <w:style w:type="paragraph" w:customStyle="1" w:styleId="Bullettext">
    <w:name w:val="Bullet text"/>
    <w:basedOn w:val="BodyText"/>
    <w:link w:val="BullettextChar"/>
    <w:qFormat/>
    <w:rsid w:val="006B2FBC"/>
    <w:pPr>
      <w:numPr>
        <w:numId w:val="16"/>
      </w:numPr>
      <w:ind w:left="357" w:hanging="357"/>
      <w:contextualSpacing/>
    </w:pPr>
  </w:style>
  <w:style w:type="numbering" w:customStyle="1" w:styleId="Headings">
    <w:name w:val="Headings"/>
    <w:uiPriority w:val="99"/>
    <w:rsid w:val="00AF2BEC"/>
    <w:pPr>
      <w:numPr>
        <w:numId w:val="38"/>
      </w:numPr>
    </w:pPr>
  </w:style>
  <w:style w:type="character" w:customStyle="1" w:styleId="Heading9Char">
    <w:name w:val="Heading 9 Char"/>
    <w:aliases w:val="App Lvl 3 Char,Appendix Lvl three Char"/>
    <w:basedOn w:val="DefaultParagraphFont"/>
    <w:link w:val="Heading9"/>
    <w:uiPriority w:val="9"/>
    <w:rsid w:val="00215B6C"/>
    <w:rPr>
      <w:rFonts w:asciiTheme="majorHAnsi" w:eastAsiaTheme="majorEastAsia" w:hAnsiTheme="majorHAnsi" w:cstheme="majorBidi"/>
      <w:b/>
      <w:i/>
      <w:color w:val="272727" w:themeColor="text1" w:themeTint="D8"/>
      <w:sz w:val="21"/>
      <w:szCs w:val="21"/>
    </w:rPr>
  </w:style>
  <w:style w:type="paragraph" w:customStyle="1" w:styleId="ESHeading3">
    <w:name w:val="ES Heading 3"/>
    <w:next w:val="BodyText"/>
    <w:qFormat/>
    <w:rsid w:val="00370CEA"/>
    <w:pPr>
      <w:keepNext/>
      <w:spacing w:before="240" w:after="60"/>
      <w:ind w:left="851" w:hanging="851"/>
    </w:pPr>
    <w:rPr>
      <w:rFonts w:ascii="Cambria" w:eastAsiaTheme="majorEastAsia" w:hAnsi="Cambria" w:cstheme="majorBidi"/>
      <w:b/>
      <w:sz w:val="24"/>
      <w:szCs w:val="24"/>
    </w:rPr>
  </w:style>
  <w:style w:type="paragraph" w:customStyle="1" w:styleId="References">
    <w:name w:val="References"/>
    <w:qFormat/>
    <w:rsid w:val="004B4374"/>
    <w:pPr>
      <w:spacing w:before="120" w:after="0" w:line="240" w:lineRule="auto"/>
      <w:ind w:left="567" w:hanging="567"/>
    </w:pPr>
    <w:rPr>
      <w:rFonts w:ascii="Times New Roman" w:hAnsi="Times New Roman"/>
      <w:sz w:val="18"/>
    </w:rPr>
  </w:style>
  <w:style w:type="paragraph" w:customStyle="1" w:styleId="Pic">
    <w:name w:val="Pic"/>
    <w:basedOn w:val="Normal"/>
    <w:next w:val="08Tablefootnotes"/>
    <w:qFormat/>
    <w:rsid w:val="00AE1860"/>
    <w:pPr>
      <w:keepNext/>
      <w:spacing w:after="0"/>
      <w:jc w:val="center"/>
    </w:pPr>
  </w:style>
  <w:style w:type="paragraph" w:styleId="Header">
    <w:name w:val="header"/>
    <w:basedOn w:val="Normal"/>
    <w:link w:val="HeaderChar"/>
    <w:unhideWhenUsed/>
    <w:rsid w:val="00A051D6"/>
    <w:pPr>
      <w:tabs>
        <w:tab w:val="center" w:pos="4513"/>
        <w:tab w:val="right" w:pos="9026"/>
      </w:tabs>
      <w:spacing w:after="0"/>
    </w:pPr>
  </w:style>
  <w:style w:type="character" w:customStyle="1" w:styleId="HeaderChar">
    <w:name w:val="Header Char"/>
    <w:basedOn w:val="DefaultParagraphFont"/>
    <w:link w:val="Header"/>
    <w:rsid w:val="00A051D6"/>
    <w:rPr>
      <w:rFonts w:ascii="Times New Roman" w:hAnsi="Times New Roman"/>
      <w:sz w:val="24"/>
    </w:rPr>
  </w:style>
  <w:style w:type="paragraph" w:styleId="FootnoteText">
    <w:name w:val="footnote text"/>
    <w:basedOn w:val="Normal"/>
    <w:link w:val="FootnoteTextChar"/>
    <w:unhideWhenUsed/>
    <w:rsid w:val="00F32B0E"/>
    <w:pPr>
      <w:spacing w:after="0"/>
    </w:pPr>
    <w:rPr>
      <w:sz w:val="20"/>
      <w:szCs w:val="20"/>
    </w:rPr>
  </w:style>
  <w:style w:type="character" w:customStyle="1" w:styleId="FootnoteTextChar">
    <w:name w:val="Footnote Text Char"/>
    <w:basedOn w:val="DefaultParagraphFont"/>
    <w:link w:val="FootnoteText"/>
    <w:rsid w:val="00F32B0E"/>
    <w:rPr>
      <w:rFonts w:ascii="Times New Roman" w:hAnsi="Times New Roman"/>
      <w:sz w:val="20"/>
      <w:szCs w:val="20"/>
    </w:rPr>
  </w:style>
  <w:style w:type="character" w:styleId="FootnoteReference">
    <w:name w:val="footnote reference"/>
    <w:basedOn w:val="DefaultParagraphFont"/>
    <w:semiHidden/>
    <w:unhideWhenUsed/>
    <w:rsid w:val="00F32B0E"/>
    <w:rPr>
      <w:vertAlign w:val="superscript"/>
    </w:rPr>
  </w:style>
  <w:style w:type="paragraph" w:customStyle="1" w:styleId="BodyTextspacebefore">
    <w:name w:val="Body Text space before"/>
    <w:basedOn w:val="Normal"/>
    <w:rsid w:val="00AA145E"/>
    <w:pPr>
      <w:spacing w:before="240"/>
      <w:jc w:val="both"/>
    </w:pPr>
    <w:rPr>
      <w:rFonts w:ascii="Garamond" w:hAnsi="Garamond" w:cs="Times New Roman"/>
      <w:szCs w:val="24"/>
    </w:rPr>
  </w:style>
  <w:style w:type="paragraph" w:styleId="TableofFigures">
    <w:name w:val="table of figures"/>
    <w:basedOn w:val="Normal"/>
    <w:next w:val="Normal"/>
    <w:uiPriority w:val="99"/>
    <w:unhideWhenUsed/>
    <w:rsid w:val="00601211"/>
    <w:pPr>
      <w:tabs>
        <w:tab w:val="left" w:pos="1418"/>
        <w:tab w:val="right" w:leader="dot" w:pos="9072"/>
      </w:tabs>
      <w:spacing w:after="0"/>
      <w:ind w:left="1418" w:hanging="1418"/>
    </w:pPr>
    <w:rPr>
      <w:sz w:val="22"/>
    </w:rPr>
  </w:style>
  <w:style w:type="paragraph" w:customStyle="1" w:styleId="05Tableboldspace">
    <w:name w:val="05. Table bold space"/>
    <w:basedOn w:val="02Tabletext"/>
    <w:qFormat/>
    <w:rsid w:val="00FD6860"/>
    <w:pPr>
      <w:spacing w:before="60"/>
    </w:pPr>
  </w:style>
  <w:style w:type="paragraph" w:customStyle="1" w:styleId="Footerforportraitorientation">
    <w:name w:val="Footer for portrait orientation"/>
    <w:basedOn w:val="Normal"/>
    <w:qFormat/>
    <w:rsid w:val="002B29BB"/>
    <w:pPr>
      <w:pBdr>
        <w:top w:val="single" w:sz="6" w:space="3" w:color="auto"/>
      </w:pBdr>
      <w:tabs>
        <w:tab w:val="right" w:pos="9072"/>
      </w:tabs>
    </w:pPr>
    <w:rPr>
      <w:b/>
      <w:sz w:val="18"/>
      <w:szCs w:val="18"/>
    </w:rPr>
  </w:style>
  <w:style w:type="paragraph" w:customStyle="1" w:styleId="Footerforlandscapeorientation">
    <w:name w:val="Footer for landscape orientation"/>
    <w:basedOn w:val="Footerforportraitorientation"/>
    <w:qFormat/>
    <w:rsid w:val="00176DC4"/>
    <w:pPr>
      <w:tabs>
        <w:tab w:val="clear" w:pos="9072"/>
        <w:tab w:val="right" w:pos="13948"/>
      </w:tabs>
    </w:pPr>
  </w:style>
  <w:style w:type="paragraph" w:customStyle="1" w:styleId="Picwithbox">
    <w:name w:val="Pic with box"/>
    <w:basedOn w:val="Pic"/>
    <w:next w:val="08Tablefootnotes"/>
    <w:qFormat/>
    <w:rsid w:val="009354E2"/>
    <w:pPr>
      <w:pBdr>
        <w:top w:val="single" w:sz="4" w:space="1" w:color="auto"/>
        <w:left w:val="single" w:sz="4" w:space="4" w:color="auto"/>
        <w:bottom w:val="single" w:sz="4" w:space="1" w:color="auto"/>
        <w:right w:val="single" w:sz="4" w:space="4" w:color="auto"/>
      </w:pBdr>
    </w:pPr>
  </w:style>
  <w:style w:type="paragraph" w:customStyle="1" w:styleId="01Tableheaderrow">
    <w:name w:val="01. Table header row"/>
    <w:link w:val="01TableheaderrowChar"/>
    <w:qFormat/>
    <w:rsid w:val="006B2FBC"/>
    <w:pPr>
      <w:keepNext/>
      <w:spacing w:after="0" w:line="240" w:lineRule="auto"/>
    </w:pPr>
    <w:rPr>
      <w:rFonts w:ascii="Times New Roman" w:eastAsia="Calibri" w:hAnsi="Times New Roman" w:cs="Times New Roman"/>
      <w:b/>
      <w:color w:val="FFFFFF"/>
      <w:sz w:val="18"/>
    </w:rPr>
  </w:style>
  <w:style w:type="character" w:customStyle="1" w:styleId="01TableheaderrowChar">
    <w:name w:val="01. Table header row Char"/>
    <w:link w:val="01Tableheaderrow"/>
    <w:rsid w:val="006B2FBC"/>
    <w:rPr>
      <w:rFonts w:ascii="Times New Roman" w:eastAsia="Calibri" w:hAnsi="Times New Roman" w:cs="Times New Roman"/>
      <w:b/>
      <w:color w:val="FFFFFF"/>
      <w:sz w:val="18"/>
    </w:rPr>
  </w:style>
  <w:style w:type="paragraph" w:customStyle="1" w:styleId="TableHeading">
    <w:name w:val="TableHeading"/>
    <w:basedOn w:val="Normal"/>
    <w:link w:val="TableHeadingChar"/>
    <w:qFormat/>
    <w:rsid w:val="003B11D3"/>
    <w:pPr>
      <w:keepNext/>
      <w:spacing w:before="40" w:after="40"/>
    </w:pPr>
    <w:rPr>
      <w:rFonts w:ascii="Arial Narrow" w:eastAsia="Times New Roman" w:hAnsi="Arial Narrow" w:cs="Tahoma"/>
      <w:b/>
      <w:sz w:val="20"/>
      <w:szCs w:val="20"/>
      <w:lang w:eastAsia="en-AU"/>
    </w:rPr>
  </w:style>
  <w:style w:type="character" w:customStyle="1" w:styleId="TableHeadingChar">
    <w:name w:val="TableHeading Char"/>
    <w:link w:val="TableHeading"/>
    <w:rsid w:val="003B11D3"/>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3B11D3"/>
    <w:pPr>
      <w:spacing w:before="40" w:after="40"/>
    </w:pPr>
    <w:rPr>
      <w:rFonts w:ascii="Arial Narrow" w:eastAsia="Times New Roman" w:hAnsi="Arial Narrow" w:cs="Tahoma"/>
      <w:sz w:val="20"/>
      <w:szCs w:val="20"/>
      <w:lang w:eastAsia="en-AU"/>
    </w:rPr>
  </w:style>
  <w:style w:type="character" w:customStyle="1" w:styleId="TabletextChar">
    <w:name w:val="Table text Char"/>
    <w:link w:val="Tabletext"/>
    <w:rsid w:val="003B11D3"/>
    <w:rPr>
      <w:rFonts w:ascii="Arial Narrow" w:eastAsia="Times New Roman" w:hAnsi="Arial Narrow" w:cs="Tahoma"/>
      <w:sz w:val="20"/>
      <w:szCs w:val="20"/>
      <w:lang w:eastAsia="en-AU"/>
    </w:rPr>
  </w:style>
  <w:style w:type="paragraph" w:customStyle="1" w:styleId="Tabletextbullets">
    <w:name w:val="Table text bullets"/>
    <w:basedOn w:val="Normal"/>
    <w:qFormat/>
    <w:rsid w:val="003B11D3"/>
    <w:pPr>
      <w:numPr>
        <w:numId w:val="32"/>
      </w:numPr>
      <w:spacing w:before="40" w:after="40"/>
      <w:ind w:left="227" w:hanging="227"/>
    </w:pPr>
    <w:rPr>
      <w:rFonts w:ascii="Arial Narrow" w:eastAsia="Times New Roman" w:hAnsi="Arial Narrow" w:cs="Tahoma"/>
      <w:sz w:val="20"/>
      <w:szCs w:val="20"/>
      <w:lang w:eastAsia="en-AU"/>
    </w:rPr>
  </w:style>
  <w:style w:type="paragraph" w:customStyle="1" w:styleId="Table10ptalignedleftspaceafter">
    <w:name w:val="Table 10pt aligned left space after"/>
    <w:qFormat/>
    <w:rsid w:val="00D01587"/>
    <w:pPr>
      <w:spacing w:after="120" w:line="240" w:lineRule="auto"/>
    </w:pPr>
    <w:rPr>
      <w:rFonts w:ascii="Garamond" w:eastAsia="Calibri" w:hAnsi="Garamond" w:cs="Times New Roman"/>
      <w:sz w:val="20"/>
    </w:rPr>
  </w:style>
  <w:style w:type="paragraph" w:customStyle="1" w:styleId="Table10ptalignedleft">
    <w:name w:val="Table 10pt aligned left"/>
    <w:qFormat/>
    <w:rsid w:val="00D01587"/>
    <w:pPr>
      <w:spacing w:after="0" w:line="240" w:lineRule="auto"/>
    </w:pPr>
    <w:rPr>
      <w:rFonts w:ascii="Garamond" w:eastAsia="Calibri" w:hAnsi="Garamond" w:cs="Times New Roman"/>
      <w:sz w:val="20"/>
    </w:rPr>
  </w:style>
  <w:style w:type="paragraph" w:customStyle="1" w:styleId="Table10ptbullet">
    <w:name w:val="Table 10pt bullet"/>
    <w:qFormat/>
    <w:rsid w:val="00D01587"/>
    <w:pPr>
      <w:numPr>
        <w:numId w:val="33"/>
      </w:numPr>
      <w:tabs>
        <w:tab w:val="left" w:pos="227"/>
      </w:tabs>
      <w:spacing w:after="0" w:line="240" w:lineRule="auto"/>
      <w:ind w:left="227" w:hanging="227"/>
    </w:pPr>
    <w:rPr>
      <w:rFonts w:ascii="Garamond" w:eastAsia="Calibri" w:hAnsi="Garamond" w:cs="Times New Roman"/>
      <w:sz w:val="20"/>
    </w:rPr>
  </w:style>
  <w:style w:type="paragraph" w:styleId="Revision">
    <w:name w:val="Revision"/>
    <w:hidden/>
    <w:uiPriority w:val="99"/>
    <w:semiHidden/>
    <w:rsid w:val="00700B94"/>
    <w:pPr>
      <w:spacing w:after="0" w:line="240" w:lineRule="auto"/>
    </w:pPr>
    <w:rPr>
      <w:rFonts w:ascii="Times New Roman" w:hAnsi="Times New Roman"/>
      <w:sz w:val="24"/>
    </w:rPr>
  </w:style>
  <w:style w:type="numbering" w:customStyle="1" w:styleId="Headings1">
    <w:name w:val="Headings1"/>
    <w:uiPriority w:val="99"/>
    <w:rsid w:val="00B93038"/>
  </w:style>
  <w:style w:type="numbering" w:customStyle="1" w:styleId="Headings2">
    <w:name w:val="Headings2"/>
    <w:uiPriority w:val="99"/>
    <w:rsid w:val="00AC3A3D"/>
  </w:style>
  <w:style w:type="numbering" w:customStyle="1" w:styleId="Headings3">
    <w:name w:val="Headings3"/>
    <w:uiPriority w:val="99"/>
    <w:rsid w:val="00904572"/>
  </w:style>
  <w:style w:type="character" w:customStyle="1" w:styleId="BullettextChar">
    <w:name w:val="Bullet text Char"/>
    <w:link w:val="Bullettext"/>
    <w:rsid w:val="006B2FBC"/>
    <w:rPr>
      <w:rFonts w:ascii="Times New Roman" w:hAnsi="Times New Roman"/>
      <w:sz w:val="24"/>
    </w:rPr>
  </w:style>
  <w:style w:type="paragraph" w:customStyle="1" w:styleId="Bullettextlastspaceafter">
    <w:name w:val="Bullet text last (space after)"/>
    <w:next w:val="BodyText"/>
    <w:qFormat/>
    <w:rsid w:val="002F48F4"/>
    <w:pPr>
      <w:numPr>
        <w:numId w:val="42"/>
      </w:numPr>
      <w:spacing w:after="240" w:line="240" w:lineRule="auto"/>
      <w:ind w:left="357" w:hanging="357"/>
      <w:jc w:val="both"/>
    </w:pPr>
    <w:rPr>
      <w:rFonts w:ascii="Garamond" w:eastAsia="Calibri" w:hAnsi="Garamond" w:cs="Times New Roman"/>
      <w:sz w:val="24"/>
    </w:rPr>
  </w:style>
  <w:style w:type="paragraph" w:customStyle="1" w:styleId="Bodytextbeforebulletlist">
    <w:name w:val="Body text before bullet list"/>
    <w:next w:val="Bullettext"/>
    <w:qFormat/>
    <w:rsid w:val="00A21679"/>
    <w:pPr>
      <w:keepNext/>
      <w:spacing w:after="120" w:line="240" w:lineRule="auto"/>
      <w:jc w:val="both"/>
    </w:pPr>
    <w:rPr>
      <w:rFonts w:ascii="Times New Roman" w:eastAsia="Calibri" w:hAnsi="Times New Roman" w:cs="Times New Roman"/>
      <w:sz w:val="24"/>
    </w:rPr>
  </w:style>
  <w:style w:type="table" w:customStyle="1" w:styleId="TableGrid1">
    <w:name w:val="Table Grid1"/>
    <w:basedOn w:val="TableNormal"/>
    <w:next w:val="TableGrid"/>
    <w:uiPriority w:val="39"/>
    <w:rsid w:val="00745FE6"/>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EEAF6" w:themeFill="accent1" w:themeFillTint="33"/>
      </w:tcPr>
    </w:tblStylePr>
  </w:style>
  <w:style w:type="table" w:customStyle="1" w:styleId="TableGrid2">
    <w:name w:val="Table Grid2"/>
    <w:basedOn w:val="TableNormal"/>
    <w:next w:val="TableGrid"/>
    <w:uiPriority w:val="39"/>
    <w:rsid w:val="00745FE6"/>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Wingdings 2" w:hAnsi="Wingdings 2"/>
        <w:b w:val="0"/>
        <w:i w:val="0"/>
        <w:color w:val="FFFFFF" w:themeColor="background1"/>
        <w:sz w:val="18"/>
      </w:rPr>
      <w:tblPr/>
      <w:tcPr>
        <w:shd w:val="clear" w:color="auto" w:fill="366091"/>
      </w:tcPr>
    </w:tblStylePr>
    <w:tblStylePr w:type="band2Horz">
      <w:tblPr/>
      <w:tcPr>
        <w:shd w:val="clear" w:color="auto" w:fill="DEEAF6" w:themeFill="accent1" w:themeFillTint="33"/>
      </w:tcPr>
    </w:tblStylePr>
  </w:style>
  <w:style w:type="numbering" w:customStyle="1" w:styleId="NoList1">
    <w:name w:val="No List1"/>
    <w:next w:val="NoList"/>
    <w:uiPriority w:val="99"/>
    <w:semiHidden/>
    <w:unhideWhenUsed/>
    <w:rsid w:val="00745FE6"/>
  </w:style>
  <w:style w:type="table" w:customStyle="1" w:styleId="TableGrid3">
    <w:name w:val="Table Grid3"/>
    <w:basedOn w:val="TableNormal"/>
    <w:next w:val="TableGrid"/>
    <w:uiPriority w:val="39"/>
    <w:rsid w:val="00745FE6"/>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EEAF6" w:themeFill="accent1" w:themeFillTint="33"/>
      </w:tcPr>
    </w:tblStylePr>
  </w:style>
  <w:style w:type="numbering" w:customStyle="1" w:styleId="Headings11">
    <w:name w:val="Headings11"/>
    <w:uiPriority w:val="99"/>
    <w:rsid w:val="00745FE6"/>
  </w:style>
  <w:style w:type="numbering" w:customStyle="1" w:styleId="Headings21">
    <w:name w:val="Headings21"/>
    <w:uiPriority w:val="99"/>
    <w:rsid w:val="00745FE6"/>
  </w:style>
  <w:style w:type="numbering" w:customStyle="1" w:styleId="Headings31">
    <w:name w:val="Headings31"/>
    <w:uiPriority w:val="99"/>
    <w:rsid w:val="00745FE6"/>
  </w:style>
  <w:style w:type="character" w:styleId="FollowedHyperlink">
    <w:name w:val="FollowedHyperlink"/>
    <w:basedOn w:val="DefaultParagraphFont"/>
    <w:uiPriority w:val="99"/>
    <w:semiHidden/>
    <w:unhideWhenUsed/>
    <w:rsid w:val="00745FE6"/>
    <w:rPr>
      <w:color w:val="954F72" w:themeColor="followedHyperlink"/>
      <w:u w:val="single"/>
    </w:rPr>
  </w:style>
  <w:style w:type="table" w:styleId="TableGridLight">
    <w:name w:val="Grid Table Light"/>
    <w:basedOn w:val="TableNormal"/>
    <w:uiPriority w:val="40"/>
    <w:rsid w:val="001C18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1C1866"/>
    <w:pPr>
      <w:spacing w:after="0" w:line="240" w:lineRule="auto"/>
    </w:pPr>
    <w:tblPr/>
  </w:style>
  <w:style w:type="table" w:customStyle="1" w:styleId="Style2">
    <w:name w:val="Style2"/>
    <w:basedOn w:val="TableNormal"/>
    <w:uiPriority w:val="99"/>
    <w:rsid w:val="001C1866"/>
    <w:pPr>
      <w:spacing w:after="0" w:line="240" w:lineRule="auto"/>
    </w:pPr>
    <w:tblPr/>
  </w:style>
  <w:style w:type="table" w:customStyle="1" w:styleId="Style3">
    <w:name w:val="Style3"/>
    <w:basedOn w:val="TableNormal"/>
    <w:uiPriority w:val="99"/>
    <w:rsid w:val="001C1866"/>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75560">
      <w:bodyDiv w:val="1"/>
      <w:marLeft w:val="0"/>
      <w:marRight w:val="0"/>
      <w:marTop w:val="0"/>
      <w:marBottom w:val="0"/>
      <w:divBdr>
        <w:top w:val="none" w:sz="0" w:space="0" w:color="auto"/>
        <w:left w:val="none" w:sz="0" w:space="0" w:color="auto"/>
        <w:bottom w:val="none" w:sz="0" w:space="0" w:color="auto"/>
        <w:right w:val="none" w:sz="0" w:space="0" w:color="auto"/>
      </w:divBdr>
    </w:div>
    <w:div w:id="1187865696">
      <w:bodyDiv w:val="1"/>
      <w:marLeft w:val="0"/>
      <w:marRight w:val="0"/>
      <w:marTop w:val="0"/>
      <w:marBottom w:val="0"/>
      <w:divBdr>
        <w:top w:val="none" w:sz="0" w:space="0" w:color="auto"/>
        <w:left w:val="none" w:sz="0" w:space="0" w:color="auto"/>
        <w:bottom w:val="none" w:sz="0" w:space="0" w:color="auto"/>
        <w:right w:val="none" w:sz="0" w:space="0" w:color="auto"/>
      </w:divBdr>
    </w:div>
    <w:div w:id="1195777041">
      <w:bodyDiv w:val="1"/>
      <w:marLeft w:val="0"/>
      <w:marRight w:val="0"/>
      <w:marTop w:val="0"/>
      <w:marBottom w:val="0"/>
      <w:divBdr>
        <w:top w:val="none" w:sz="0" w:space="0" w:color="auto"/>
        <w:left w:val="none" w:sz="0" w:space="0" w:color="auto"/>
        <w:bottom w:val="none" w:sz="0" w:space="0" w:color="auto"/>
        <w:right w:val="none" w:sz="0" w:space="0" w:color="auto"/>
      </w:divBdr>
    </w:div>
    <w:div w:id="1704668685">
      <w:bodyDiv w:val="1"/>
      <w:marLeft w:val="0"/>
      <w:marRight w:val="0"/>
      <w:marTop w:val="0"/>
      <w:marBottom w:val="0"/>
      <w:divBdr>
        <w:top w:val="none" w:sz="0" w:space="0" w:color="auto"/>
        <w:left w:val="none" w:sz="0" w:space="0" w:color="auto"/>
        <w:bottom w:val="none" w:sz="0" w:space="0" w:color="auto"/>
        <w:right w:val="none" w:sz="0" w:space="0" w:color="auto"/>
      </w:divBdr>
    </w:div>
    <w:div w:id="18715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bs.gov.au/AUSSTATS/abs@.nsf/DetailsPage/1270.0.55.006July%202011?OpenDocument"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www.phidu.torrens.edu.au/social-health-atlases/indicators-and-notes-on-the-data/social-health-atlases-of-australia-contents"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pbs.gov.au/downloads/2016/10/2016-10-01-xml.zip" TargetMode="External"/><Relationship Id="rId29" Type="http://schemas.openxmlformats.org/officeDocument/2006/relationships/hyperlink" Target="https://www.health.gov.au/internet/main/publishing.nsf/Content/6EF022DE87761986CA257EC80013198B/$File/combined-review-5cpa-medication-management-programmes-final-report-and-appendic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pbs.gov.au/downloads/2016/10/2016-10-01-xml.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www.psa.org.au/downloads/practice-guidelines/staged-supply-guideline.pdf"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pbs.gov.au/downloads/2016/10/2016-10-01-xml.zip" TargetMode="External"/><Relationship Id="rId27" Type="http://schemas.openxmlformats.org/officeDocument/2006/relationships/hyperlink" Target="http://www.guild.org.au/docs/default-source/member-documents/news-and-events/guild-publications/other-publications/staged-supply-final-report.pdf" TargetMode="Externa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www.nice.org.uk/" TargetMode="External"/><Relationship Id="rId2" Type="http://schemas.openxmlformats.org/officeDocument/2006/relationships/hyperlink" Target="https://www.cadth.ca/reports" TargetMode="External"/><Relationship Id="rId1" Type="http://schemas.openxmlformats.org/officeDocument/2006/relationships/hyperlink" Target="http://www.ahrq.gov/" TargetMode="External"/><Relationship Id="rId4" Type="http://schemas.openxmlformats.org/officeDocument/2006/relationships/hyperlink" Target="http://www.abs.gov.au/AUSSTATS/abs@.nsf/DetailsPage/1270.0.55.006July%20201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10594</Words>
  <Characters>61663</Characters>
  <Application>Microsoft Office Word</Application>
  <DocSecurity>0</DocSecurity>
  <Lines>1503</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2019-03-26T05:55:00Z</dcterms:created>
  <dcterms:modified xsi:type="dcterms:W3CDTF">2019-04-12T04:07:00Z</dcterms:modified>
</cp:coreProperties>
</file>