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A1" w:rsidRDefault="00B65D67" w:rsidP="00014AD9">
      <w:pPr>
        <w:spacing w:before="360"/>
      </w:pPr>
      <w:r w:rsidRPr="00A9234C">
        <w:rPr>
          <w:noProof/>
          <w:lang w:eastAsia="en-AU"/>
        </w:rPr>
        <w:drawing>
          <wp:inline distT="0" distB="0" distL="0" distR="0" wp14:anchorId="77DA364C" wp14:editId="09620C3B">
            <wp:extent cx="4562475" cy="1704975"/>
            <wp:effectExtent l="0" t="0" r="9525" b="9525"/>
            <wp:docPr id="3" name="Picture 287" descr="HealthConsult logo. HealthConsult. Better thinking. Better advice. " title="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1704975"/>
                    </a:xfrm>
                    <a:prstGeom prst="rect">
                      <a:avLst/>
                    </a:prstGeom>
                    <a:noFill/>
                    <a:ln>
                      <a:noFill/>
                    </a:ln>
                  </pic:spPr>
                </pic:pic>
              </a:graphicData>
            </a:graphic>
          </wp:inline>
        </w:drawing>
      </w:r>
    </w:p>
    <w:p w:rsidR="000A1AFA" w:rsidRPr="00014AD9" w:rsidRDefault="000A1AFA" w:rsidP="0056792C">
      <w:pPr>
        <w:spacing w:before="360" w:after="1080"/>
      </w:pPr>
    </w:p>
    <w:p w:rsidR="00DE7F63" w:rsidRDefault="00DE7F63" w:rsidP="00DE7F63">
      <w:pPr>
        <w:pStyle w:val="TITLEPAGECAPS"/>
        <w:spacing w:before="480" w:after="480"/>
        <w:rPr>
          <w:caps w:val="0"/>
        </w:rPr>
      </w:pPr>
    </w:p>
    <w:p w:rsidR="00B65D67" w:rsidRPr="00DE7F63" w:rsidRDefault="00B65D67" w:rsidP="00DE7F63">
      <w:pPr>
        <w:pStyle w:val="TITLEPAGECAPS"/>
        <w:spacing w:before="480" w:after="480"/>
        <w:rPr>
          <w:caps w:val="0"/>
        </w:rPr>
      </w:pPr>
      <w:r w:rsidRPr="00DE7F63">
        <w:rPr>
          <w:caps w:val="0"/>
        </w:rPr>
        <w:t>Commonwealth Department of Health</w:t>
      </w:r>
    </w:p>
    <w:p w:rsidR="00E67AC6" w:rsidRPr="00DE7F63" w:rsidRDefault="004F49C0" w:rsidP="00DE7F63">
      <w:pPr>
        <w:pStyle w:val="TITLEPAGECAPS"/>
        <w:spacing w:after="0"/>
        <w:rPr>
          <w:caps w:val="0"/>
          <w:sz w:val="52"/>
          <w:szCs w:val="52"/>
        </w:rPr>
      </w:pPr>
      <w:r w:rsidRPr="00DE7F63">
        <w:rPr>
          <w:caps w:val="0"/>
          <w:sz w:val="52"/>
          <w:szCs w:val="52"/>
        </w:rPr>
        <w:t>Sixth Community Pharmacy Agreem</w:t>
      </w:r>
      <w:r w:rsidR="000A1AFA" w:rsidRPr="00DE7F63">
        <w:rPr>
          <w:caps w:val="0"/>
          <w:sz w:val="52"/>
          <w:szCs w:val="52"/>
        </w:rPr>
        <w:t>ent Pharmacy Practice Incentive</w:t>
      </w:r>
      <w:r w:rsidRPr="00DE7F63">
        <w:rPr>
          <w:caps w:val="0"/>
          <w:sz w:val="52"/>
          <w:szCs w:val="52"/>
        </w:rPr>
        <w:t xml:space="preserve"> Program: </w:t>
      </w:r>
    </w:p>
    <w:p w:rsidR="004F49C0" w:rsidRPr="00DE7F63" w:rsidRDefault="004F49C0" w:rsidP="004F49C0">
      <w:pPr>
        <w:pStyle w:val="TITLEPAGECAPS"/>
        <w:rPr>
          <w:caps w:val="0"/>
          <w:sz w:val="52"/>
          <w:szCs w:val="52"/>
        </w:rPr>
      </w:pPr>
      <w:r w:rsidRPr="00DE7F63">
        <w:rPr>
          <w:caps w:val="0"/>
          <w:sz w:val="52"/>
          <w:szCs w:val="52"/>
        </w:rPr>
        <w:t>Dose Administration Aids</w:t>
      </w:r>
    </w:p>
    <w:p w:rsidR="00756FA1" w:rsidRPr="00014AD9" w:rsidRDefault="00756FA1" w:rsidP="00014AD9">
      <w:pPr>
        <w:spacing w:before="360"/>
      </w:pPr>
    </w:p>
    <w:p w:rsidR="00756FA1" w:rsidRDefault="006B5A2E" w:rsidP="006B5A2E">
      <w:pPr>
        <w:pStyle w:val="TitlePageLowercase"/>
      </w:pPr>
      <w:r>
        <w:t>Initial Evaluation</w:t>
      </w:r>
      <w:r w:rsidR="004418C8">
        <w:t xml:space="preserve"> - Final</w:t>
      </w:r>
      <w:r w:rsidR="00E67AC6">
        <w:t xml:space="preserve"> Report</w:t>
      </w:r>
    </w:p>
    <w:p w:rsidR="00014AD9" w:rsidRPr="00014AD9" w:rsidRDefault="00014AD9" w:rsidP="00014AD9">
      <w:pPr>
        <w:spacing w:before="2880"/>
        <w:rPr>
          <w:highlight w:val="yellow"/>
        </w:rPr>
      </w:pPr>
      <w:bookmarkStart w:id="0" w:name="_Toc374972251"/>
      <w:bookmarkStart w:id="1" w:name="_Toc374972612"/>
    </w:p>
    <w:p w:rsidR="00756FA1" w:rsidRDefault="00982A19" w:rsidP="006B5A2E">
      <w:pPr>
        <w:pStyle w:val="TitlePageLowercase"/>
      </w:pPr>
      <w:r>
        <w:t>17</w:t>
      </w:r>
      <w:r w:rsidRPr="00982A19">
        <w:rPr>
          <w:vertAlign w:val="superscript"/>
        </w:rPr>
        <w:t>th</w:t>
      </w:r>
      <w:r>
        <w:t xml:space="preserve"> November</w:t>
      </w:r>
      <w:r w:rsidR="00DA6219" w:rsidRPr="00E67AC6">
        <w:t xml:space="preserve"> 2016</w:t>
      </w:r>
    </w:p>
    <w:p w:rsidR="00756FA1" w:rsidRDefault="00756FA1" w:rsidP="00756FA1">
      <w:pPr>
        <w:tabs>
          <w:tab w:val="left" w:pos="885"/>
        </w:tabs>
        <w:jc w:val="center"/>
        <w:sectPr w:rsidR="00756FA1" w:rsidSect="00DE7F6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680" w:footer="680" w:gutter="0"/>
          <w:cols w:space="708"/>
          <w:titlePg/>
          <w:docGrid w:linePitch="360"/>
        </w:sectPr>
      </w:pPr>
    </w:p>
    <w:sdt>
      <w:sdtPr>
        <w:rPr>
          <w:rFonts w:ascii="Times New Roman" w:eastAsiaTheme="minorHAnsi" w:hAnsi="Times New Roman" w:cstheme="minorBidi"/>
          <w:b w:val="0"/>
          <w:sz w:val="24"/>
          <w:szCs w:val="22"/>
          <w:lang w:val="en-AU"/>
        </w:rPr>
        <w:id w:val="-677731107"/>
        <w:docPartObj>
          <w:docPartGallery w:val="Table of Contents"/>
          <w:docPartUnique/>
        </w:docPartObj>
      </w:sdtPr>
      <w:sdtEndPr>
        <w:rPr>
          <w:bCs/>
          <w:noProof/>
        </w:rPr>
      </w:sdtEndPr>
      <w:sdtContent>
        <w:p w:rsidR="00BB667B" w:rsidRPr="009F5B47" w:rsidRDefault="00BB667B" w:rsidP="00257216">
          <w:pPr>
            <w:pStyle w:val="TOCHeading"/>
            <w:ind w:right="-143"/>
            <w:rPr>
              <w:b w:val="0"/>
            </w:rPr>
          </w:pPr>
          <w:r w:rsidRPr="009F5B47">
            <w:t>Table of Contents</w:t>
          </w:r>
        </w:p>
        <w:p w:rsidR="00964233" w:rsidRDefault="006B7BC7">
          <w:pPr>
            <w:pStyle w:val="TOC1"/>
            <w:rPr>
              <w:rFonts w:asciiTheme="minorHAnsi" w:eastAsiaTheme="minorEastAsia" w:hAnsiTheme="minorHAnsi"/>
              <w:b w:val="0"/>
              <w:bCs w:val="0"/>
              <w:caps w:val="0"/>
              <w:noProof/>
              <w:lang w:eastAsia="en-AU"/>
            </w:rPr>
          </w:pPr>
          <w:r>
            <w:fldChar w:fldCharType="begin"/>
          </w:r>
          <w:r>
            <w:instrText xml:space="preserve"> TOC \o "1-3" \h \z \t "Heading 7,1,Heading 8,2,Heading 9,3,ES Heading 1,1,ES Heading 2,2" </w:instrText>
          </w:r>
          <w:r>
            <w:fldChar w:fldCharType="separate"/>
          </w:r>
          <w:hyperlink w:anchor="_Toc523230258" w:history="1">
            <w:r w:rsidR="00964233" w:rsidRPr="0057123F">
              <w:rPr>
                <w:rStyle w:val="Hyperlink"/>
                <w:noProof/>
              </w:rPr>
              <w:t>Executive summary</w:t>
            </w:r>
            <w:r w:rsidR="00964233">
              <w:rPr>
                <w:noProof/>
                <w:webHidden/>
              </w:rPr>
              <w:tab/>
            </w:r>
            <w:r w:rsidR="00964233">
              <w:rPr>
                <w:noProof/>
                <w:webHidden/>
              </w:rPr>
              <w:fldChar w:fldCharType="begin"/>
            </w:r>
            <w:r w:rsidR="00964233">
              <w:rPr>
                <w:noProof/>
                <w:webHidden/>
              </w:rPr>
              <w:instrText xml:space="preserve"> PAGEREF _Toc523230258 \h </w:instrText>
            </w:r>
            <w:r w:rsidR="00964233">
              <w:rPr>
                <w:noProof/>
                <w:webHidden/>
              </w:rPr>
            </w:r>
            <w:r w:rsidR="00964233">
              <w:rPr>
                <w:noProof/>
                <w:webHidden/>
              </w:rPr>
              <w:fldChar w:fldCharType="separate"/>
            </w:r>
            <w:r w:rsidR="00964233">
              <w:rPr>
                <w:noProof/>
                <w:webHidden/>
              </w:rPr>
              <w:t>1</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59" w:history="1">
            <w:r w:rsidR="00964233" w:rsidRPr="0057123F">
              <w:rPr>
                <w:rStyle w:val="Hyperlink"/>
                <w:noProof/>
              </w:rPr>
              <w:t>Background</w:t>
            </w:r>
            <w:r w:rsidR="00964233">
              <w:rPr>
                <w:noProof/>
                <w:webHidden/>
              </w:rPr>
              <w:tab/>
            </w:r>
            <w:r w:rsidR="00964233">
              <w:rPr>
                <w:noProof/>
                <w:webHidden/>
              </w:rPr>
              <w:fldChar w:fldCharType="begin"/>
            </w:r>
            <w:r w:rsidR="00964233">
              <w:rPr>
                <w:noProof/>
                <w:webHidden/>
              </w:rPr>
              <w:instrText xml:space="preserve"> PAGEREF _Toc523230259 \h </w:instrText>
            </w:r>
            <w:r w:rsidR="00964233">
              <w:rPr>
                <w:noProof/>
                <w:webHidden/>
              </w:rPr>
            </w:r>
            <w:r w:rsidR="00964233">
              <w:rPr>
                <w:noProof/>
                <w:webHidden/>
              </w:rPr>
              <w:fldChar w:fldCharType="separate"/>
            </w:r>
            <w:r w:rsidR="00964233">
              <w:rPr>
                <w:noProof/>
                <w:webHidden/>
              </w:rPr>
              <w:t>1</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0" w:history="1">
            <w:r w:rsidR="00964233" w:rsidRPr="0057123F">
              <w:rPr>
                <w:rStyle w:val="Hyperlink"/>
                <w:noProof/>
              </w:rPr>
              <w:t>Methodology</w:t>
            </w:r>
            <w:r w:rsidR="00964233">
              <w:rPr>
                <w:noProof/>
                <w:webHidden/>
              </w:rPr>
              <w:tab/>
            </w:r>
            <w:r w:rsidR="00964233">
              <w:rPr>
                <w:noProof/>
                <w:webHidden/>
              </w:rPr>
              <w:fldChar w:fldCharType="begin"/>
            </w:r>
            <w:r w:rsidR="00964233">
              <w:rPr>
                <w:noProof/>
                <w:webHidden/>
              </w:rPr>
              <w:instrText xml:space="preserve"> PAGEREF _Toc523230260 \h </w:instrText>
            </w:r>
            <w:r w:rsidR="00964233">
              <w:rPr>
                <w:noProof/>
                <w:webHidden/>
              </w:rPr>
            </w:r>
            <w:r w:rsidR="00964233">
              <w:rPr>
                <w:noProof/>
                <w:webHidden/>
              </w:rPr>
              <w:fldChar w:fldCharType="separate"/>
            </w:r>
            <w:r w:rsidR="00964233">
              <w:rPr>
                <w:noProof/>
                <w:webHidden/>
              </w:rPr>
              <w:t>2</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1" w:history="1">
            <w:r w:rsidR="00964233" w:rsidRPr="0057123F">
              <w:rPr>
                <w:rStyle w:val="Hyperlink"/>
                <w:noProof/>
              </w:rPr>
              <w:t>Results of the literature review</w:t>
            </w:r>
            <w:r w:rsidR="00964233">
              <w:rPr>
                <w:noProof/>
                <w:webHidden/>
              </w:rPr>
              <w:tab/>
            </w:r>
            <w:r w:rsidR="00964233">
              <w:rPr>
                <w:noProof/>
                <w:webHidden/>
              </w:rPr>
              <w:fldChar w:fldCharType="begin"/>
            </w:r>
            <w:r w:rsidR="00964233">
              <w:rPr>
                <w:noProof/>
                <w:webHidden/>
              </w:rPr>
              <w:instrText xml:space="preserve"> PAGEREF _Toc523230261 \h </w:instrText>
            </w:r>
            <w:r w:rsidR="00964233">
              <w:rPr>
                <w:noProof/>
                <w:webHidden/>
              </w:rPr>
            </w:r>
            <w:r w:rsidR="00964233">
              <w:rPr>
                <w:noProof/>
                <w:webHidden/>
              </w:rPr>
              <w:fldChar w:fldCharType="separate"/>
            </w:r>
            <w:r w:rsidR="00964233">
              <w:rPr>
                <w:noProof/>
                <w:webHidden/>
              </w:rPr>
              <w:t>4</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2" w:history="1">
            <w:r w:rsidR="00964233" w:rsidRPr="0057123F">
              <w:rPr>
                <w:rStyle w:val="Hyperlink"/>
                <w:noProof/>
              </w:rPr>
              <w:t>Results of the utilisation analysis</w:t>
            </w:r>
            <w:r w:rsidR="00964233">
              <w:rPr>
                <w:noProof/>
                <w:webHidden/>
              </w:rPr>
              <w:tab/>
            </w:r>
            <w:r w:rsidR="00964233">
              <w:rPr>
                <w:noProof/>
                <w:webHidden/>
              </w:rPr>
              <w:fldChar w:fldCharType="begin"/>
            </w:r>
            <w:r w:rsidR="00964233">
              <w:rPr>
                <w:noProof/>
                <w:webHidden/>
              </w:rPr>
              <w:instrText xml:space="preserve"> PAGEREF _Toc523230262 \h </w:instrText>
            </w:r>
            <w:r w:rsidR="00964233">
              <w:rPr>
                <w:noProof/>
                <w:webHidden/>
              </w:rPr>
            </w:r>
            <w:r w:rsidR="00964233">
              <w:rPr>
                <w:noProof/>
                <w:webHidden/>
              </w:rPr>
              <w:fldChar w:fldCharType="separate"/>
            </w:r>
            <w:r w:rsidR="00964233">
              <w:rPr>
                <w:noProof/>
                <w:webHidden/>
              </w:rPr>
              <w:t>6</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3" w:history="1">
            <w:r w:rsidR="00964233" w:rsidRPr="0057123F">
              <w:rPr>
                <w:rStyle w:val="Hyperlink"/>
                <w:noProof/>
              </w:rPr>
              <w:t>Conclusions</w:t>
            </w:r>
            <w:r w:rsidR="00964233">
              <w:rPr>
                <w:noProof/>
                <w:webHidden/>
              </w:rPr>
              <w:tab/>
            </w:r>
            <w:r w:rsidR="00964233">
              <w:rPr>
                <w:noProof/>
                <w:webHidden/>
              </w:rPr>
              <w:fldChar w:fldCharType="begin"/>
            </w:r>
            <w:r w:rsidR="00964233">
              <w:rPr>
                <w:noProof/>
                <w:webHidden/>
              </w:rPr>
              <w:instrText xml:space="preserve"> PAGEREF _Toc523230263 \h </w:instrText>
            </w:r>
            <w:r w:rsidR="00964233">
              <w:rPr>
                <w:noProof/>
                <w:webHidden/>
              </w:rPr>
            </w:r>
            <w:r w:rsidR="00964233">
              <w:rPr>
                <w:noProof/>
                <w:webHidden/>
              </w:rPr>
              <w:fldChar w:fldCharType="separate"/>
            </w:r>
            <w:r w:rsidR="00964233">
              <w:rPr>
                <w:noProof/>
                <w:webHidden/>
              </w:rPr>
              <w:t>7</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264" w:history="1">
            <w:r w:rsidR="00964233" w:rsidRPr="0057123F">
              <w:rPr>
                <w:rStyle w:val="Hyperlink"/>
                <w:noProof/>
              </w:rPr>
              <w:t>1</w:t>
            </w:r>
            <w:r w:rsidR="00964233">
              <w:rPr>
                <w:rFonts w:asciiTheme="minorHAnsi" w:eastAsiaTheme="minorEastAsia" w:hAnsiTheme="minorHAnsi"/>
                <w:b w:val="0"/>
                <w:bCs w:val="0"/>
                <w:caps w:val="0"/>
                <w:noProof/>
                <w:lang w:eastAsia="en-AU"/>
              </w:rPr>
              <w:tab/>
            </w:r>
            <w:r w:rsidR="00964233" w:rsidRPr="0057123F">
              <w:rPr>
                <w:rStyle w:val="Hyperlink"/>
                <w:noProof/>
              </w:rPr>
              <w:t>Introduction</w:t>
            </w:r>
            <w:r w:rsidR="00964233">
              <w:rPr>
                <w:noProof/>
                <w:webHidden/>
              </w:rPr>
              <w:tab/>
            </w:r>
            <w:r w:rsidR="00964233">
              <w:rPr>
                <w:noProof/>
                <w:webHidden/>
              </w:rPr>
              <w:fldChar w:fldCharType="begin"/>
            </w:r>
            <w:r w:rsidR="00964233">
              <w:rPr>
                <w:noProof/>
                <w:webHidden/>
              </w:rPr>
              <w:instrText xml:space="preserve"> PAGEREF _Toc523230264 \h </w:instrText>
            </w:r>
            <w:r w:rsidR="00964233">
              <w:rPr>
                <w:noProof/>
                <w:webHidden/>
              </w:rPr>
            </w:r>
            <w:r w:rsidR="00964233">
              <w:rPr>
                <w:noProof/>
                <w:webHidden/>
              </w:rPr>
              <w:fldChar w:fldCharType="separate"/>
            </w:r>
            <w:r w:rsidR="00964233">
              <w:rPr>
                <w:noProof/>
                <w:webHidden/>
              </w:rPr>
              <w:t>8</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5" w:history="1">
            <w:r w:rsidR="00964233" w:rsidRPr="0057123F">
              <w:rPr>
                <w:rStyle w:val="Hyperlink"/>
                <w:noProof/>
              </w:rPr>
              <w:t>1.1</w:t>
            </w:r>
            <w:r w:rsidR="00964233">
              <w:rPr>
                <w:rFonts w:asciiTheme="minorHAnsi" w:eastAsiaTheme="minorEastAsia" w:hAnsiTheme="minorHAnsi"/>
                <w:bCs w:val="0"/>
                <w:smallCaps w:val="0"/>
                <w:noProof/>
                <w:lang w:eastAsia="en-AU"/>
              </w:rPr>
              <w:tab/>
            </w:r>
            <w:r w:rsidR="00964233" w:rsidRPr="0057123F">
              <w:rPr>
                <w:rStyle w:val="Hyperlink"/>
                <w:noProof/>
              </w:rPr>
              <w:t>Sixth Community Pharmacy Agreement</w:t>
            </w:r>
            <w:r w:rsidR="00964233">
              <w:rPr>
                <w:noProof/>
                <w:webHidden/>
              </w:rPr>
              <w:tab/>
            </w:r>
            <w:r w:rsidR="00964233">
              <w:rPr>
                <w:noProof/>
                <w:webHidden/>
              </w:rPr>
              <w:fldChar w:fldCharType="begin"/>
            </w:r>
            <w:r w:rsidR="00964233">
              <w:rPr>
                <w:noProof/>
                <w:webHidden/>
              </w:rPr>
              <w:instrText xml:space="preserve"> PAGEREF _Toc523230265 \h </w:instrText>
            </w:r>
            <w:r w:rsidR="00964233">
              <w:rPr>
                <w:noProof/>
                <w:webHidden/>
              </w:rPr>
            </w:r>
            <w:r w:rsidR="00964233">
              <w:rPr>
                <w:noProof/>
                <w:webHidden/>
              </w:rPr>
              <w:fldChar w:fldCharType="separate"/>
            </w:r>
            <w:r w:rsidR="00964233">
              <w:rPr>
                <w:noProof/>
                <w:webHidden/>
              </w:rPr>
              <w:t>8</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6" w:history="1">
            <w:r w:rsidR="00964233" w:rsidRPr="0057123F">
              <w:rPr>
                <w:rStyle w:val="Hyperlink"/>
                <w:noProof/>
              </w:rPr>
              <w:t>1.2</w:t>
            </w:r>
            <w:r w:rsidR="00964233">
              <w:rPr>
                <w:rFonts w:asciiTheme="minorHAnsi" w:eastAsiaTheme="minorEastAsia" w:hAnsiTheme="minorHAnsi"/>
                <w:bCs w:val="0"/>
                <w:smallCaps w:val="0"/>
                <w:noProof/>
                <w:lang w:eastAsia="en-AU"/>
              </w:rPr>
              <w:tab/>
            </w:r>
            <w:r w:rsidR="00964233" w:rsidRPr="0057123F">
              <w:rPr>
                <w:rStyle w:val="Hyperlink"/>
                <w:noProof/>
              </w:rPr>
              <w:t>Pharmacy Practice Incentives Program</w:t>
            </w:r>
            <w:r w:rsidR="00964233">
              <w:rPr>
                <w:noProof/>
                <w:webHidden/>
              </w:rPr>
              <w:tab/>
            </w:r>
            <w:r w:rsidR="00964233">
              <w:rPr>
                <w:noProof/>
                <w:webHidden/>
              </w:rPr>
              <w:fldChar w:fldCharType="begin"/>
            </w:r>
            <w:r w:rsidR="00964233">
              <w:rPr>
                <w:noProof/>
                <w:webHidden/>
              </w:rPr>
              <w:instrText xml:space="preserve"> PAGEREF _Toc523230266 \h </w:instrText>
            </w:r>
            <w:r w:rsidR="00964233">
              <w:rPr>
                <w:noProof/>
                <w:webHidden/>
              </w:rPr>
            </w:r>
            <w:r w:rsidR="00964233">
              <w:rPr>
                <w:noProof/>
                <w:webHidden/>
              </w:rPr>
              <w:fldChar w:fldCharType="separate"/>
            </w:r>
            <w:r w:rsidR="00964233">
              <w:rPr>
                <w:noProof/>
                <w:webHidden/>
              </w:rPr>
              <w:t>8</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267" w:history="1">
            <w:r w:rsidR="00964233" w:rsidRPr="0057123F">
              <w:rPr>
                <w:rStyle w:val="Hyperlink"/>
                <w:noProof/>
              </w:rPr>
              <w:t>2</w:t>
            </w:r>
            <w:r w:rsidR="00964233">
              <w:rPr>
                <w:rFonts w:asciiTheme="minorHAnsi" w:eastAsiaTheme="minorEastAsia" w:hAnsiTheme="minorHAnsi"/>
                <w:b w:val="0"/>
                <w:bCs w:val="0"/>
                <w:caps w:val="0"/>
                <w:noProof/>
                <w:lang w:eastAsia="en-AU"/>
              </w:rPr>
              <w:tab/>
            </w:r>
            <w:r w:rsidR="00964233" w:rsidRPr="0057123F">
              <w:rPr>
                <w:rStyle w:val="Hyperlink"/>
                <w:noProof/>
              </w:rPr>
              <w:t>Dose Administration Aids</w:t>
            </w:r>
            <w:r w:rsidR="00964233">
              <w:rPr>
                <w:noProof/>
                <w:webHidden/>
              </w:rPr>
              <w:tab/>
            </w:r>
            <w:r w:rsidR="00964233">
              <w:rPr>
                <w:noProof/>
                <w:webHidden/>
              </w:rPr>
              <w:fldChar w:fldCharType="begin"/>
            </w:r>
            <w:r w:rsidR="00964233">
              <w:rPr>
                <w:noProof/>
                <w:webHidden/>
              </w:rPr>
              <w:instrText xml:space="preserve"> PAGEREF _Toc523230267 \h </w:instrText>
            </w:r>
            <w:r w:rsidR="00964233">
              <w:rPr>
                <w:noProof/>
                <w:webHidden/>
              </w:rPr>
            </w:r>
            <w:r w:rsidR="00964233">
              <w:rPr>
                <w:noProof/>
                <w:webHidden/>
              </w:rPr>
              <w:fldChar w:fldCharType="separate"/>
            </w:r>
            <w:r w:rsidR="00964233">
              <w:rPr>
                <w:noProof/>
                <w:webHidden/>
              </w:rPr>
              <w:t>10</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8" w:history="1">
            <w:r w:rsidR="00964233" w:rsidRPr="0057123F">
              <w:rPr>
                <w:rStyle w:val="Hyperlink"/>
                <w:noProof/>
              </w:rPr>
              <w:t>2.1</w:t>
            </w:r>
            <w:r w:rsidR="00964233">
              <w:rPr>
                <w:rFonts w:asciiTheme="minorHAnsi" w:eastAsiaTheme="minorEastAsia" w:hAnsiTheme="minorHAnsi"/>
                <w:bCs w:val="0"/>
                <w:smallCaps w:val="0"/>
                <w:noProof/>
                <w:lang w:eastAsia="en-AU"/>
              </w:rPr>
              <w:tab/>
            </w:r>
            <w:r w:rsidR="00964233" w:rsidRPr="0057123F">
              <w:rPr>
                <w:rStyle w:val="Hyperlink"/>
                <w:noProof/>
              </w:rPr>
              <w:t>DAA initiative</w:t>
            </w:r>
            <w:r w:rsidR="00964233">
              <w:rPr>
                <w:noProof/>
                <w:webHidden/>
              </w:rPr>
              <w:tab/>
            </w:r>
            <w:r w:rsidR="00964233">
              <w:rPr>
                <w:noProof/>
                <w:webHidden/>
              </w:rPr>
              <w:fldChar w:fldCharType="begin"/>
            </w:r>
            <w:r w:rsidR="00964233">
              <w:rPr>
                <w:noProof/>
                <w:webHidden/>
              </w:rPr>
              <w:instrText xml:space="preserve"> PAGEREF _Toc523230268 \h </w:instrText>
            </w:r>
            <w:r w:rsidR="00964233">
              <w:rPr>
                <w:noProof/>
                <w:webHidden/>
              </w:rPr>
            </w:r>
            <w:r w:rsidR="00964233">
              <w:rPr>
                <w:noProof/>
                <w:webHidden/>
              </w:rPr>
              <w:fldChar w:fldCharType="separate"/>
            </w:r>
            <w:r w:rsidR="00964233">
              <w:rPr>
                <w:noProof/>
                <w:webHidden/>
              </w:rPr>
              <w:t>10</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69" w:history="1">
            <w:r w:rsidR="00964233" w:rsidRPr="0057123F">
              <w:rPr>
                <w:rStyle w:val="Hyperlink"/>
                <w:noProof/>
              </w:rPr>
              <w:t>2.2</w:t>
            </w:r>
            <w:r w:rsidR="00964233">
              <w:rPr>
                <w:rFonts w:asciiTheme="minorHAnsi" w:eastAsiaTheme="minorEastAsia" w:hAnsiTheme="minorHAnsi"/>
                <w:bCs w:val="0"/>
                <w:smallCaps w:val="0"/>
                <w:noProof/>
                <w:lang w:eastAsia="en-AU"/>
              </w:rPr>
              <w:tab/>
            </w:r>
            <w:r w:rsidR="00964233" w:rsidRPr="0057123F">
              <w:rPr>
                <w:rStyle w:val="Hyperlink"/>
                <w:noProof/>
              </w:rPr>
              <w:t>Objectives of the DAA initiative</w:t>
            </w:r>
            <w:r w:rsidR="00964233">
              <w:rPr>
                <w:noProof/>
                <w:webHidden/>
              </w:rPr>
              <w:tab/>
            </w:r>
            <w:r w:rsidR="00964233">
              <w:rPr>
                <w:noProof/>
                <w:webHidden/>
              </w:rPr>
              <w:fldChar w:fldCharType="begin"/>
            </w:r>
            <w:r w:rsidR="00964233">
              <w:rPr>
                <w:noProof/>
                <w:webHidden/>
              </w:rPr>
              <w:instrText xml:space="preserve"> PAGEREF _Toc523230269 \h </w:instrText>
            </w:r>
            <w:r w:rsidR="00964233">
              <w:rPr>
                <w:noProof/>
                <w:webHidden/>
              </w:rPr>
            </w:r>
            <w:r w:rsidR="00964233">
              <w:rPr>
                <w:noProof/>
                <w:webHidden/>
              </w:rPr>
              <w:fldChar w:fldCharType="separate"/>
            </w:r>
            <w:r w:rsidR="00964233">
              <w:rPr>
                <w:noProof/>
                <w:webHidden/>
              </w:rPr>
              <w:t>10</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70" w:history="1">
            <w:r w:rsidR="00964233" w:rsidRPr="0057123F">
              <w:rPr>
                <w:rStyle w:val="Hyperlink"/>
                <w:noProof/>
              </w:rPr>
              <w:t>2.3</w:t>
            </w:r>
            <w:r w:rsidR="00964233">
              <w:rPr>
                <w:rFonts w:asciiTheme="minorHAnsi" w:eastAsiaTheme="minorEastAsia" w:hAnsiTheme="minorHAnsi"/>
                <w:bCs w:val="0"/>
                <w:smallCaps w:val="0"/>
                <w:noProof/>
                <w:lang w:eastAsia="en-AU"/>
              </w:rPr>
              <w:tab/>
            </w:r>
            <w:r w:rsidR="00964233" w:rsidRPr="0057123F">
              <w:rPr>
                <w:rStyle w:val="Hyperlink"/>
                <w:noProof/>
              </w:rPr>
              <w:t>Participation in the DAA initiative</w:t>
            </w:r>
            <w:r w:rsidR="00964233">
              <w:rPr>
                <w:noProof/>
                <w:webHidden/>
              </w:rPr>
              <w:tab/>
            </w:r>
            <w:r w:rsidR="00964233">
              <w:rPr>
                <w:noProof/>
                <w:webHidden/>
              </w:rPr>
              <w:fldChar w:fldCharType="begin"/>
            </w:r>
            <w:r w:rsidR="00964233">
              <w:rPr>
                <w:noProof/>
                <w:webHidden/>
              </w:rPr>
              <w:instrText xml:space="preserve"> PAGEREF _Toc523230270 \h </w:instrText>
            </w:r>
            <w:r w:rsidR="00964233">
              <w:rPr>
                <w:noProof/>
                <w:webHidden/>
              </w:rPr>
            </w:r>
            <w:r w:rsidR="00964233">
              <w:rPr>
                <w:noProof/>
                <w:webHidden/>
              </w:rPr>
              <w:fldChar w:fldCharType="separate"/>
            </w:r>
            <w:r w:rsidR="00964233">
              <w:rPr>
                <w:noProof/>
                <w:webHidden/>
              </w:rPr>
              <w:t>10</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71" w:history="1">
            <w:r w:rsidR="00964233" w:rsidRPr="0057123F">
              <w:rPr>
                <w:rStyle w:val="Hyperlink"/>
                <w:noProof/>
              </w:rPr>
              <w:t>2.4</w:t>
            </w:r>
            <w:r w:rsidR="00964233">
              <w:rPr>
                <w:rFonts w:asciiTheme="minorHAnsi" w:eastAsiaTheme="minorEastAsia" w:hAnsiTheme="minorHAnsi"/>
                <w:bCs w:val="0"/>
                <w:smallCaps w:val="0"/>
                <w:noProof/>
                <w:lang w:eastAsia="en-AU"/>
              </w:rPr>
              <w:tab/>
            </w:r>
            <w:r w:rsidR="00964233" w:rsidRPr="0057123F">
              <w:rPr>
                <w:rStyle w:val="Hyperlink"/>
                <w:noProof/>
              </w:rPr>
              <w:t>Patient groups most likely to benefit from DAA services</w:t>
            </w:r>
            <w:r w:rsidR="00964233">
              <w:rPr>
                <w:noProof/>
                <w:webHidden/>
              </w:rPr>
              <w:tab/>
            </w:r>
            <w:r w:rsidR="00964233">
              <w:rPr>
                <w:noProof/>
                <w:webHidden/>
              </w:rPr>
              <w:fldChar w:fldCharType="begin"/>
            </w:r>
            <w:r w:rsidR="00964233">
              <w:rPr>
                <w:noProof/>
                <w:webHidden/>
              </w:rPr>
              <w:instrText xml:space="preserve"> PAGEREF _Toc523230271 \h </w:instrText>
            </w:r>
            <w:r w:rsidR="00964233">
              <w:rPr>
                <w:noProof/>
                <w:webHidden/>
              </w:rPr>
            </w:r>
            <w:r w:rsidR="00964233">
              <w:rPr>
                <w:noProof/>
                <w:webHidden/>
              </w:rPr>
              <w:fldChar w:fldCharType="separate"/>
            </w:r>
            <w:r w:rsidR="00964233">
              <w:rPr>
                <w:noProof/>
                <w:webHidden/>
              </w:rPr>
              <w:t>11</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72" w:history="1">
            <w:r w:rsidR="00964233" w:rsidRPr="0057123F">
              <w:rPr>
                <w:rStyle w:val="Hyperlink"/>
                <w:noProof/>
              </w:rPr>
              <w:t>2.5</w:t>
            </w:r>
            <w:r w:rsidR="00964233">
              <w:rPr>
                <w:rFonts w:asciiTheme="minorHAnsi" w:eastAsiaTheme="minorEastAsia" w:hAnsiTheme="minorHAnsi"/>
                <w:bCs w:val="0"/>
                <w:smallCaps w:val="0"/>
                <w:noProof/>
                <w:lang w:eastAsia="en-AU"/>
              </w:rPr>
              <w:tab/>
            </w:r>
            <w:r w:rsidR="00964233" w:rsidRPr="0057123F">
              <w:rPr>
                <w:rStyle w:val="Hyperlink"/>
                <w:noProof/>
              </w:rPr>
              <w:t>Types of medicines suitable for DAAs</w:t>
            </w:r>
            <w:r w:rsidR="00964233">
              <w:rPr>
                <w:noProof/>
                <w:webHidden/>
              </w:rPr>
              <w:tab/>
            </w:r>
            <w:r w:rsidR="00964233">
              <w:rPr>
                <w:noProof/>
                <w:webHidden/>
              </w:rPr>
              <w:fldChar w:fldCharType="begin"/>
            </w:r>
            <w:r w:rsidR="00964233">
              <w:rPr>
                <w:noProof/>
                <w:webHidden/>
              </w:rPr>
              <w:instrText xml:space="preserve"> PAGEREF _Toc523230272 \h </w:instrText>
            </w:r>
            <w:r w:rsidR="00964233">
              <w:rPr>
                <w:noProof/>
                <w:webHidden/>
              </w:rPr>
            </w:r>
            <w:r w:rsidR="00964233">
              <w:rPr>
                <w:noProof/>
                <w:webHidden/>
              </w:rPr>
              <w:fldChar w:fldCharType="separate"/>
            </w:r>
            <w:r w:rsidR="00964233">
              <w:rPr>
                <w:noProof/>
                <w:webHidden/>
              </w:rPr>
              <w:t>12</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273" w:history="1">
            <w:r w:rsidR="00964233" w:rsidRPr="0057123F">
              <w:rPr>
                <w:rStyle w:val="Hyperlink"/>
                <w:noProof/>
              </w:rPr>
              <w:t>3</w:t>
            </w:r>
            <w:r w:rsidR="00964233">
              <w:rPr>
                <w:rFonts w:asciiTheme="minorHAnsi" w:eastAsiaTheme="minorEastAsia" w:hAnsiTheme="minorHAnsi"/>
                <w:b w:val="0"/>
                <w:bCs w:val="0"/>
                <w:caps w:val="0"/>
                <w:noProof/>
                <w:lang w:eastAsia="en-AU"/>
              </w:rPr>
              <w:tab/>
            </w:r>
            <w:r w:rsidR="00964233" w:rsidRPr="0057123F">
              <w:rPr>
                <w:rStyle w:val="Hyperlink"/>
                <w:noProof/>
              </w:rPr>
              <w:t>Review methodology</w:t>
            </w:r>
            <w:r w:rsidR="00964233">
              <w:rPr>
                <w:noProof/>
                <w:webHidden/>
              </w:rPr>
              <w:tab/>
            </w:r>
            <w:r w:rsidR="00964233">
              <w:rPr>
                <w:noProof/>
                <w:webHidden/>
              </w:rPr>
              <w:fldChar w:fldCharType="begin"/>
            </w:r>
            <w:r w:rsidR="00964233">
              <w:rPr>
                <w:noProof/>
                <w:webHidden/>
              </w:rPr>
              <w:instrText xml:space="preserve"> PAGEREF _Toc523230273 \h </w:instrText>
            </w:r>
            <w:r w:rsidR="00964233">
              <w:rPr>
                <w:noProof/>
                <w:webHidden/>
              </w:rPr>
            </w:r>
            <w:r w:rsidR="00964233">
              <w:rPr>
                <w:noProof/>
                <w:webHidden/>
              </w:rPr>
              <w:fldChar w:fldCharType="separate"/>
            </w:r>
            <w:r w:rsidR="00964233">
              <w:rPr>
                <w:noProof/>
                <w:webHidden/>
              </w:rPr>
              <w:t>13</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74" w:history="1">
            <w:r w:rsidR="00964233" w:rsidRPr="0057123F">
              <w:rPr>
                <w:rStyle w:val="Hyperlink"/>
                <w:noProof/>
              </w:rPr>
              <w:t>3.1</w:t>
            </w:r>
            <w:r w:rsidR="00964233">
              <w:rPr>
                <w:rFonts w:asciiTheme="minorHAnsi" w:eastAsiaTheme="minorEastAsia" w:hAnsiTheme="minorHAnsi"/>
                <w:bCs w:val="0"/>
                <w:smallCaps w:val="0"/>
                <w:noProof/>
                <w:lang w:eastAsia="en-AU"/>
              </w:rPr>
              <w:tab/>
            </w:r>
            <w:r w:rsidR="00964233" w:rsidRPr="0057123F">
              <w:rPr>
                <w:rStyle w:val="Hyperlink"/>
                <w:noProof/>
              </w:rPr>
              <w:t>Systematic literature review</w:t>
            </w:r>
            <w:r w:rsidR="00964233">
              <w:rPr>
                <w:noProof/>
                <w:webHidden/>
              </w:rPr>
              <w:tab/>
            </w:r>
            <w:r w:rsidR="00964233">
              <w:rPr>
                <w:noProof/>
                <w:webHidden/>
              </w:rPr>
              <w:fldChar w:fldCharType="begin"/>
            </w:r>
            <w:r w:rsidR="00964233">
              <w:rPr>
                <w:noProof/>
                <w:webHidden/>
              </w:rPr>
              <w:instrText xml:space="preserve"> PAGEREF _Toc523230274 \h </w:instrText>
            </w:r>
            <w:r w:rsidR="00964233">
              <w:rPr>
                <w:noProof/>
                <w:webHidden/>
              </w:rPr>
            </w:r>
            <w:r w:rsidR="00964233">
              <w:rPr>
                <w:noProof/>
                <w:webHidden/>
              </w:rPr>
              <w:fldChar w:fldCharType="separate"/>
            </w:r>
            <w:r w:rsidR="00964233">
              <w:rPr>
                <w:noProof/>
                <w:webHidden/>
              </w:rPr>
              <w:t>13</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75" w:history="1">
            <w:r w:rsidR="00964233" w:rsidRPr="0057123F">
              <w:rPr>
                <w:rStyle w:val="Hyperlink"/>
                <w:noProof/>
              </w:rPr>
              <w:t>3.1.1</w:t>
            </w:r>
            <w:r w:rsidR="00964233">
              <w:rPr>
                <w:rFonts w:asciiTheme="minorHAnsi" w:eastAsiaTheme="minorEastAsia" w:hAnsiTheme="minorHAnsi"/>
                <w:smallCaps w:val="0"/>
                <w:noProof/>
                <w:lang w:eastAsia="en-AU"/>
              </w:rPr>
              <w:tab/>
            </w:r>
            <w:r w:rsidR="00964233" w:rsidRPr="0057123F">
              <w:rPr>
                <w:rStyle w:val="Hyperlink"/>
                <w:noProof/>
              </w:rPr>
              <w:t>Research questions and PICO criteria</w:t>
            </w:r>
            <w:r w:rsidR="00964233">
              <w:rPr>
                <w:noProof/>
                <w:webHidden/>
              </w:rPr>
              <w:tab/>
            </w:r>
            <w:r w:rsidR="00964233">
              <w:rPr>
                <w:noProof/>
                <w:webHidden/>
              </w:rPr>
              <w:fldChar w:fldCharType="begin"/>
            </w:r>
            <w:r w:rsidR="00964233">
              <w:rPr>
                <w:noProof/>
                <w:webHidden/>
              </w:rPr>
              <w:instrText xml:space="preserve"> PAGEREF _Toc523230275 \h </w:instrText>
            </w:r>
            <w:r w:rsidR="00964233">
              <w:rPr>
                <w:noProof/>
                <w:webHidden/>
              </w:rPr>
            </w:r>
            <w:r w:rsidR="00964233">
              <w:rPr>
                <w:noProof/>
                <w:webHidden/>
              </w:rPr>
              <w:fldChar w:fldCharType="separate"/>
            </w:r>
            <w:r w:rsidR="00964233">
              <w:rPr>
                <w:noProof/>
                <w:webHidden/>
              </w:rPr>
              <w:t>13</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76" w:history="1">
            <w:r w:rsidR="00964233" w:rsidRPr="0057123F">
              <w:rPr>
                <w:rStyle w:val="Hyperlink"/>
                <w:noProof/>
              </w:rPr>
              <w:t>3.1.2</w:t>
            </w:r>
            <w:r w:rsidR="00964233">
              <w:rPr>
                <w:rFonts w:asciiTheme="minorHAnsi" w:eastAsiaTheme="minorEastAsia" w:hAnsiTheme="minorHAnsi"/>
                <w:smallCaps w:val="0"/>
                <w:noProof/>
                <w:lang w:eastAsia="en-AU"/>
              </w:rPr>
              <w:tab/>
            </w:r>
            <w:r w:rsidR="00964233" w:rsidRPr="0057123F">
              <w:rPr>
                <w:rStyle w:val="Hyperlink"/>
                <w:noProof/>
              </w:rPr>
              <w:t>Search strategy</w:t>
            </w:r>
            <w:r w:rsidR="00964233">
              <w:rPr>
                <w:noProof/>
                <w:webHidden/>
              </w:rPr>
              <w:tab/>
            </w:r>
            <w:r w:rsidR="00964233">
              <w:rPr>
                <w:noProof/>
                <w:webHidden/>
              </w:rPr>
              <w:fldChar w:fldCharType="begin"/>
            </w:r>
            <w:r w:rsidR="00964233">
              <w:rPr>
                <w:noProof/>
                <w:webHidden/>
              </w:rPr>
              <w:instrText xml:space="preserve"> PAGEREF _Toc523230276 \h </w:instrText>
            </w:r>
            <w:r w:rsidR="00964233">
              <w:rPr>
                <w:noProof/>
                <w:webHidden/>
              </w:rPr>
            </w:r>
            <w:r w:rsidR="00964233">
              <w:rPr>
                <w:noProof/>
                <w:webHidden/>
              </w:rPr>
              <w:fldChar w:fldCharType="separate"/>
            </w:r>
            <w:r w:rsidR="00964233">
              <w:rPr>
                <w:noProof/>
                <w:webHidden/>
              </w:rPr>
              <w:t>14</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77" w:history="1">
            <w:r w:rsidR="00964233" w:rsidRPr="0057123F">
              <w:rPr>
                <w:rStyle w:val="Hyperlink"/>
                <w:noProof/>
              </w:rPr>
              <w:t>3.1.3</w:t>
            </w:r>
            <w:r w:rsidR="00964233">
              <w:rPr>
                <w:rFonts w:asciiTheme="minorHAnsi" w:eastAsiaTheme="minorEastAsia" w:hAnsiTheme="minorHAnsi"/>
                <w:smallCaps w:val="0"/>
                <w:noProof/>
                <w:lang w:eastAsia="en-AU"/>
              </w:rPr>
              <w:tab/>
            </w:r>
            <w:r w:rsidR="00964233" w:rsidRPr="0057123F">
              <w:rPr>
                <w:rStyle w:val="Hyperlink"/>
                <w:noProof/>
              </w:rPr>
              <w:t>Selection of relevant evidence</w:t>
            </w:r>
            <w:r w:rsidR="00964233">
              <w:rPr>
                <w:noProof/>
                <w:webHidden/>
              </w:rPr>
              <w:tab/>
            </w:r>
            <w:r w:rsidR="00964233">
              <w:rPr>
                <w:noProof/>
                <w:webHidden/>
              </w:rPr>
              <w:fldChar w:fldCharType="begin"/>
            </w:r>
            <w:r w:rsidR="00964233">
              <w:rPr>
                <w:noProof/>
                <w:webHidden/>
              </w:rPr>
              <w:instrText xml:space="preserve"> PAGEREF _Toc523230277 \h </w:instrText>
            </w:r>
            <w:r w:rsidR="00964233">
              <w:rPr>
                <w:noProof/>
                <w:webHidden/>
              </w:rPr>
            </w:r>
            <w:r w:rsidR="00964233">
              <w:rPr>
                <w:noProof/>
                <w:webHidden/>
              </w:rPr>
              <w:fldChar w:fldCharType="separate"/>
            </w:r>
            <w:r w:rsidR="00964233">
              <w:rPr>
                <w:noProof/>
                <w:webHidden/>
              </w:rPr>
              <w:t>15</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78" w:history="1">
            <w:r w:rsidR="00964233" w:rsidRPr="0057123F">
              <w:rPr>
                <w:rStyle w:val="Hyperlink"/>
                <w:noProof/>
              </w:rPr>
              <w:t>3.1.4</w:t>
            </w:r>
            <w:r w:rsidR="00964233">
              <w:rPr>
                <w:rFonts w:asciiTheme="minorHAnsi" w:eastAsiaTheme="minorEastAsia" w:hAnsiTheme="minorHAnsi"/>
                <w:smallCaps w:val="0"/>
                <w:noProof/>
                <w:lang w:eastAsia="en-AU"/>
              </w:rPr>
              <w:tab/>
            </w:r>
            <w:r w:rsidR="00964233" w:rsidRPr="0057123F">
              <w:rPr>
                <w:rStyle w:val="Hyperlink"/>
                <w:noProof/>
              </w:rPr>
              <w:t>List of included studies</w:t>
            </w:r>
            <w:r w:rsidR="00964233">
              <w:rPr>
                <w:noProof/>
                <w:webHidden/>
              </w:rPr>
              <w:tab/>
            </w:r>
            <w:r w:rsidR="00964233">
              <w:rPr>
                <w:noProof/>
                <w:webHidden/>
              </w:rPr>
              <w:fldChar w:fldCharType="begin"/>
            </w:r>
            <w:r w:rsidR="00964233">
              <w:rPr>
                <w:noProof/>
                <w:webHidden/>
              </w:rPr>
              <w:instrText xml:space="preserve"> PAGEREF _Toc523230278 \h </w:instrText>
            </w:r>
            <w:r w:rsidR="00964233">
              <w:rPr>
                <w:noProof/>
                <w:webHidden/>
              </w:rPr>
            </w:r>
            <w:r w:rsidR="00964233">
              <w:rPr>
                <w:noProof/>
                <w:webHidden/>
              </w:rPr>
              <w:fldChar w:fldCharType="separate"/>
            </w:r>
            <w:r w:rsidR="00964233">
              <w:rPr>
                <w:noProof/>
                <w:webHidden/>
              </w:rPr>
              <w:t>16</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79" w:history="1">
            <w:r w:rsidR="00964233" w:rsidRPr="0057123F">
              <w:rPr>
                <w:rStyle w:val="Hyperlink"/>
                <w:noProof/>
              </w:rPr>
              <w:t>3.2</w:t>
            </w:r>
            <w:r w:rsidR="00964233">
              <w:rPr>
                <w:rFonts w:asciiTheme="minorHAnsi" w:eastAsiaTheme="minorEastAsia" w:hAnsiTheme="minorHAnsi"/>
                <w:bCs w:val="0"/>
                <w:smallCaps w:val="0"/>
                <w:noProof/>
                <w:lang w:eastAsia="en-AU"/>
              </w:rPr>
              <w:tab/>
            </w:r>
            <w:r w:rsidR="00964233" w:rsidRPr="0057123F">
              <w:rPr>
                <w:rStyle w:val="Hyperlink"/>
                <w:noProof/>
              </w:rPr>
              <w:t>DAA utilisation analysis</w:t>
            </w:r>
            <w:r w:rsidR="00964233">
              <w:rPr>
                <w:noProof/>
                <w:webHidden/>
              </w:rPr>
              <w:tab/>
            </w:r>
            <w:r w:rsidR="00964233">
              <w:rPr>
                <w:noProof/>
                <w:webHidden/>
              </w:rPr>
              <w:fldChar w:fldCharType="begin"/>
            </w:r>
            <w:r w:rsidR="00964233">
              <w:rPr>
                <w:noProof/>
                <w:webHidden/>
              </w:rPr>
              <w:instrText xml:space="preserve"> PAGEREF _Toc523230279 \h </w:instrText>
            </w:r>
            <w:r w:rsidR="00964233">
              <w:rPr>
                <w:noProof/>
                <w:webHidden/>
              </w:rPr>
            </w:r>
            <w:r w:rsidR="00964233">
              <w:rPr>
                <w:noProof/>
                <w:webHidden/>
              </w:rPr>
              <w:fldChar w:fldCharType="separate"/>
            </w:r>
            <w:r w:rsidR="00964233">
              <w:rPr>
                <w:noProof/>
                <w:webHidden/>
              </w:rPr>
              <w:t>19</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280" w:history="1">
            <w:r w:rsidR="00964233" w:rsidRPr="0057123F">
              <w:rPr>
                <w:rStyle w:val="Hyperlink"/>
                <w:noProof/>
              </w:rPr>
              <w:t>4</w:t>
            </w:r>
            <w:r w:rsidR="00964233">
              <w:rPr>
                <w:rFonts w:asciiTheme="minorHAnsi" w:eastAsiaTheme="minorEastAsia" w:hAnsiTheme="minorHAnsi"/>
                <w:b w:val="0"/>
                <w:bCs w:val="0"/>
                <w:caps w:val="0"/>
                <w:noProof/>
                <w:lang w:eastAsia="en-AU"/>
              </w:rPr>
              <w:tab/>
            </w:r>
            <w:r w:rsidR="00964233" w:rsidRPr="0057123F">
              <w:rPr>
                <w:rStyle w:val="Hyperlink"/>
                <w:noProof/>
              </w:rPr>
              <w:t>Previous evaluations of the PPI Program</w:t>
            </w:r>
            <w:r w:rsidR="00964233">
              <w:rPr>
                <w:noProof/>
                <w:webHidden/>
              </w:rPr>
              <w:tab/>
            </w:r>
            <w:r w:rsidR="00964233">
              <w:rPr>
                <w:noProof/>
                <w:webHidden/>
              </w:rPr>
              <w:fldChar w:fldCharType="begin"/>
            </w:r>
            <w:r w:rsidR="00964233">
              <w:rPr>
                <w:noProof/>
                <w:webHidden/>
              </w:rPr>
              <w:instrText xml:space="preserve"> PAGEREF _Toc523230280 \h </w:instrText>
            </w:r>
            <w:r w:rsidR="00964233">
              <w:rPr>
                <w:noProof/>
                <w:webHidden/>
              </w:rPr>
            </w:r>
            <w:r w:rsidR="00964233">
              <w:rPr>
                <w:noProof/>
                <w:webHidden/>
              </w:rPr>
              <w:fldChar w:fldCharType="separate"/>
            </w:r>
            <w:r w:rsidR="00964233">
              <w:rPr>
                <w:noProof/>
                <w:webHidden/>
              </w:rPr>
              <w:t>20</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81" w:history="1">
            <w:r w:rsidR="00964233" w:rsidRPr="0057123F">
              <w:rPr>
                <w:rStyle w:val="Hyperlink"/>
                <w:noProof/>
              </w:rPr>
              <w:t>4.1</w:t>
            </w:r>
            <w:r w:rsidR="00964233">
              <w:rPr>
                <w:rFonts w:asciiTheme="minorHAnsi" w:eastAsiaTheme="minorEastAsia" w:hAnsiTheme="minorHAnsi"/>
                <w:bCs w:val="0"/>
                <w:smallCaps w:val="0"/>
                <w:noProof/>
                <w:lang w:eastAsia="en-AU"/>
              </w:rPr>
              <w:tab/>
            </w:r>
            <w:r w:rsidR="00964233" w:rsidRPr="0057123F">
              <w:rPr>
                <w:rStyle w:val="Hyperlink"/>
                <w:noProof/>
              </w:rPr>
              <w:t>3CPA DAA Project by University of Queensland 2006</w:t>
            </w:r>
            <w:r w:rsidR="00964233">
              <w:rPr>
                <w:noProof/>
                <w:webHidden/>
              </w:rPr>
              <w:tab/>
            </w:r>
            <w:r w:rsidR="00964233">
              <w:rPr>
                <w:noProof/>
                <w:webHidden/>
              </w:rPr>
              <w:fldChar w:fldCharType="begin"/>
            </w:r>
            <w:r w:rsidR="00964233">
              <w:rPr>
                <w:noProof/>
                <w:webHidden/>
              </w:rPr>
              <w:instrText xml:space="preserve"> PAGEREF _Toc523230281 \h </w:instrText>
            </w:r>
            <w:r w:rsidR="00964233">
              <w:rPr>
                <w:noProof/>
                <w:webHidden/>
              </w:rPr>
            </w:r>
            <w:r w:rsidR="00964233">
              <w:rPr>
                <w:noProof/>
                <w:webHidden/>
              </w:rPr>
              <w:fldChar w:fldCharType="separate"/>
            </w:r>
            <w:r w:rsidR="00964233">
              <w:rPr>
                <w:noProof/>
                <w:webHidden/>
              </w:rPr>
              <w:t>20</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2" w:history="1">
            <w:r w:rsidR="00964233" w:rsidRPr="0057123F">
              <w:rPr>
                <w:rStyle w:val="Hyperlink"/>
                <w:noProof/>
              </w:rPr>
              <w:t>4.1.1</w:t>
            </w:r>
            <w:r w:rsidR="00964233">
              <w:rPr>
                <w:rFonts w:asciiTheme="minorHAnsi" w:eastAsiaTheme="minorEastAsia" w:hAnsiTheme="minorHAnsi"/>
                <w:smallCaps w:val="0"/>
                <w:noProof/>
                <w:lang w:eastAsia="en-AU"/>
              </w:rPr>
              <w:tab/>
            </w:r>
            <w:r w:rsidR="00964233" w:rsidRPr="0057123F">
              <w:rPr>
                <w:rStyle w:val="Hyperlink"/>
                <w:noProof/>
              </w:rPr>
              <w:t>Conclusions relating to DAA use, patient satisfaction, and safety</w:t>
            </w:r>
            <w:r w:rsidR="00964233">
              <w:rPr>
                <w:noProof/>
                <w:webHidden/>
              </w:rPr>
              <w:tab/>
            </w:r>
            <w:r w:rsidR="00964233">
              <w:rPr>
                <w:noProof/>
                <w:webHidden/>
              </w:rPr>
              <w:fldChar w:fldCharType="begin"/>
            </w:r>
            <w:r w:rsidR="00964233">
              <w:rPr>
                <w:noProof/>
                <w:webHidden/>
              </w:rPr>
              <w:instrText xml:space="preserve"> PAGEREF _Toc523230282 \h </w:instrText>
            </w:r>
            <w:r w:rsidR="00964233">
              <w:rPr>
                <w:noProof/>
                <w:webHidden/>
              </w:rPr>
            </w:r>
            <w:r w:rsidR="00964233">
              <w:rPr>
                <w:noProof/>
                <w:webHidden/>
              </w:rPr>
              <w:fldChar w:fldCharType="separate"/>
            </w:r>
            <w:r w:rsidR="00964233">
              <w:rPr>
                <w:noProof/>
                <w:webHidden/>
              </w:rPr>
              <w:t>21</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3" w:history="1">
            <w:r w:rsidR="00964233" w:rsidRPr="0057123F">
              <w:rPr>
                <w:rStyle w:val="Hyperlink"/>
                <w:noProof/>
              </w:rPr>
              <w:t>4.1.2</w:t>
            </w:r>
            <w:r w:rsidR="00964233">
              <w:rPr>
                <w:rFonts w:asciiTheme="minorHAnsi" w:eastAsiaTheme="minorEastAsia" w:hAnsiTheme="minorHAnsi"/>
                <w:smallCaps w:val="0"/>
                <w:noProof/>
                <w:lang w:eastAsia="en-AU"/>
              </w:rPr>
              <w:tab/>
            </w:r>
            <w:r w:rsidR="00964233" w:rsidRPr="0057123F">
              <w:rPr>
                <w:rStyle w:val="Hyperlink"/>
                <w:noProof/>
              </w:rPr>
              <w:t>Cost of supplying DAAs</w:t>
            </w:r>
            <w:r w:rsidR="00964233">
              <w:rPr>
                <w:noProof/>
                <w:webHidden/>
              </w:rPr>
              <w:tab/>
            </w:r>
            <w:r w:rsidR="00964233">
              <w:rPr>
                <w:noProof/>
                <w:webHidden/>
              </w:rPr>
              <w:fldChar w:fldCharType="begin"/>
            </w:r>
            <w:r w:rsidR="00964233">
              <w:rPr>
                <w:noProof/>
                <w:webHidden/>
              </w:rPr>
              <w:instrText xml:space="preserve"> PAGEREF _Toc523230283 \h </w:instrText>
            </w:r>
            <w:r w:rsidR="00964233">
              <w:rPr>
                <w:noProof/>
                <w:webHidden/>
              </w:rPr>
            </w:r>
            <w:r w:rsidR="00964233">
              <w:rPr>
                <w:noProof/>
                <w:webHidden/>
              </w:rPr>
              <w:fldChar w:fldCharType="separate"/>
            </w:r>
            <w:r w:rsidR="00964233">
              <w:rPr>
                <w:noProof/>
                <w:webHidden/>
              </w:rPr>
              <w:t>21</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4" w:history="1">
            <w:r w:rsidR="00964233" w:rsidRPr="0057123F">
              <w:rPr>
                <w:rStyle w:val="Hyperlink"/>
                <w:noProof/>
              </w:rPr>
              <w:t>4.1.3</w:t>
            </w:r>
            <w:r w:rsidR="00964233">
              <w:rPr>
                <w:rFonts w:asciiTheme="minorHAnsi" w:eastAsiaTheme="minorEastAsia" w:hAnsiTheme="minorHAnsi"/>
                <w:smallCaps w:val="0"/>
                <w:noProof/>
                <w:lang w:eastAsia="en-AU"/>
              </w:rPr>
              <w:tab/>
            </w:r>
            <w:r w:rsidR="00964233" w:rsidRPr="0057123F">
              <w:rPr>
                <w:rStyle w:val="Hyperlink"/>
                <w:noProof/>
              </w:rPr>
              <w:t>Cost-effectiveness of DAA services</w:t>
            </w:r>
            <w:r w:rsidR="00964233">
              <w:rPr>
                <w:noProof/>
                <w:webHidden/>
              </w:rPr>
              <w:tab/>
            </w:r>
            <w:r w:rsidR="00964233">
              <w:rPr>
                <w:noProof/>
                <w:webHidden/>
              </w:rPr>
              <w:fldChar w:fldCharType="begin"/>
            </w:r>
            <w:r w:rsidR="00964233">
              <w:rPr>
                <w:noProof/>
                <w:webHidden/>
              </w:rPr>
              <w:instrText xml:space="preserve"> PAGEREF _Toc523230284 \h </w:instrText>
            </w:r>
            <w:r w:rsidR="00964233">
              <w:rPr>
                <w:noProof/>
                <w:webHidden/>
              </w:rPr>
            </w:r>
            <w:r w:rsidR="00964233">
              <w:rPr>
                <w:noProof/>
                <w:webHidden/>
              </w:rPr>
              <w:fldChar w:fldCharType="separate"/>
            </w:r>
            <w:r w:rsidR="00964233">
              <w:rPr>
                <w:noProof/>
                <w:webHidden/>
              </w:rPr>
              <w:t>22</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5" w:history="1">
            <w:r w:rsidR="00964233" w:rsidRPr="0057123F">
              <w:rPr>
                <w:rStyle w:val="Hyperlink"/>
                <w:noProof/>
              </w:rPr>
              <w:t>4.1.4</w:t>
            </w:r>
            <w:r w:rsidR="00964233">
              <w:rPr>
                <w:rFonts w:asciiTheme="minorHAnsi" w:eastAsiaTheme="minorEastAsia" w:hAnsiTheme="minorHAnsi"/>
                <w:smallCaps w:val="0"/>
                <w:noProof/>
                <w:lang w:eastAsia="en-AU"/>
              </w:rPr>
              <w:tab/>
            </w:r>
            <w:r w:rsidR="00964233" w:rsidRPr="0057123F">
              <w:rPr>
                <w:rStyle w:val="Hyperlink"/>
                <w:noProof/>
              </w:rPr>
              <w:t>Cost-benefit analysis of DAAs based on decrease in ADRs</w:t>
            </w:r>
            <w:r w:rsidR="00964233">
              <w:rPr>
                <w:noProof/>
                <w:webHidden/>
              </w:rPr>
              <w:tab/>
            </w:r>
            <w:r w:rsidR="00964233">
              <w:rPr>
                <w:noProof/>
                <w:webHidden/>
              </w:rPr>
              <w:fldChar w:fldCharType="begin"/>
            </w:r>
            <w:r w:rsidR="00964233">
              <w:rPr>
                <w:noProof/>
                <w:webHidden/>
              </w:rPr>
              <w:instrText xml:space="preserve"> PAGEREF _Toc523230285 \h </w:instrText>
            </w:r>
            <w:r w:rsidR="00964233">
              <w:rPr>
                <w:noProof/>
                <w:webHidden/>
              </w:rPr>
            </w:r>
            <w:r w:rsidR="00964233">
              <w:rPr>
                <w:noProof/>
                <w:webHidden/>
              </w:rPr>
              <w:fldChar w:fldCharType="separate"/>
            </w:r>
            <w:r w:rsidR="00964233">
              <w:rPr>
                <w:noProof/>
                <w:webHidden/>
              </w:rPr>
              <w:t>23</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6" w:history="1">
            <w:r w:rsidR="00964233" w:rsidRPr="0057123F">
              <w:rPr>
                <w:rStyle w:val="Hyperlink"/>
                <w:noProof/>
              </w:rPr>
              <w:t>4.1.5</w:t>
            </w:r>
            <w:r w:rsidR="00964233">
              <w:rPr>
                <w:rFonts w:asciiTheme="minorHAnsi" w:eastAsiaTheme="minorEastAsia" w:hAnsiTheme="minorHAnsi"/>
                <w:smallCaps w:val="0"/>
                <w:noProof/>
                <w:lang w:eastAsia="en-AU"/>
              </w:rPr>
              <w:tab/>
            </w:r>
            <w:r w:rsidR="00964233" w:rsidRPr="0057123F">
              <w:rPr>
                <w:rStyle w:val="Hyperlink"/>
                <w:noProof/>
              </w:rPr>
              <w:t>Financial impact of DAA services</w:t>
            </w:r>
            <w:r w:rsidR="00964233">
              <w:rPr>
                <w:noProof/>
                <w:webHidden/>
              </w:rPr>
              <w:tab/>
            </w:r>
            <w:r w:rsidR="00964233">
              <w:rPr>
                <w:noProof/>
                <w:webHidden/>
              </w:rPr>
              <w:fldChar w:fldCharType="begin"/>
            </w:r>
            <w:r w:rsidR="00964233">
              <w:rPr>
                <w:noProof/>
                <w:webHidden/>
              </w:rPr>
              <w:instrText xml:space="preserve"> PAGEREF _Toc523230286 \h </w:instrText>
            </w:r>
            <w:r w:rsidR="00964233">
              <w:rPr>
                <w:noProof/>
                <w:webHidden/>
              </w:rPr>
            </w:r>
            <w:r w:rsidR="00964233">
              <w:rPr>
                <w:noProof/>
                <w:webHidden/>
              </w:rPr>
              <w:fldChar w:fldCharType="separate"/>
            </w:r>
            <w:r w:rsidR="00964233">
              <w:rPr>
                <w:noProof/>
                <w:webHidden/>
              </w:rPr>
              <w:t>23</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7" w:history="1">
            <w:r w:rsidR="00964233" w:rsidRPr="0057123F">
              <w:rPr>
                <w:rStyle w:val="Hyperlink"/>
                <w:noProof/>
              </w:rPr>
              <w:t>4.1.6</w:t>
            </w:r>
            <w:r w:rsidR="00964233">
              <w:rPr>
                <w:rFonts w:asciiTheme="minorHAnsi" w:eastAsiaTheme="minorEastAsia" w:hAnsiTheme="minorHAnsi"/>
                <w:smallCaps w:val="0"/>
                <w:noProof/>
                <w:lang w:eastAsia="en-AU"/>
              </w:rPr>
              <w:tab/>
            </w:r>
            <w:r w:rsidR="00964233" w:rsidRPr="0057123F">
              <w:rPr>
                <w:rStyle w:val="Hyperlink"/>
                <w:noProof/>
              </w:rPr>
              <w:t>Cost-benefit analysis of DAAs using health system data</w:t>
            </w:r>
            <w:r w:rsidR="00964233">
              <w:rPr>
                <w:noProof/>
                <w:webHidden/>
              </w:rPr>
              <w:tab/>
            </w:r>
            <w:r w:rsidR="00964233">
              <w:rPr>
                <w:noProof/>
                <w:webHidden/>
              </w:rPr>
              <w:fldChar w:fldCharType="begin"/>
            </w:r>
            <w:r w:rsidR="00964233">
              <w:rPr>
                <w:noProof/>
                <w:webHidden/>
              </w:rPr>
              <w:instrText xml:space="preserve"> PAGEREF _Toc523230287 \h </w:instrText>
            </w:r>
            <w:r w:rsidR="00964233">
              <w:rPr>
                <w:noProof/>
                <w:webHidden/>
              </w:rPr>
            </w:r>
            <w:r w:rsidR="00964233">
              <w:rPr>
                <w:noProof/>
                <w:webHidden/>
              </w:rPr>
              <w:fldChar w:fldCharType="separate"/>
            </w:r>
            <w:r w:rsidR="00964233">
              <w:rPr>
                <w:noProof/>
                <w:webHidden/>
              </w:rPr>
              <w:t>24</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88" w:history="1">
            <w:r w:rsidR="00964233" w:rsidRPr="0057123F">
              <w:rPr>
                <w:rStyle w:val="Hyperlink"/>
                <w:noProof/>
              </w:rPr>
              <w:t>4.1.7</w:t>
            </w:r>
            <w:r w:rsidR="00964233">
              <w:rPr>
                <w:rFonts w:asciiTheme="minorHAnsi" w:eastAsiaTheme="minorEastAsia" w:hAnsiTheme="minorHAnsi"/>
                <w:smallCaps w:val="0"/>
                <w:noProof/>
                <w:lang w:eastAsia="en-AU"/>
              </w:rPr>
              <w:tab/>
            </w:r>
            <w:r w:rsidR="00964233" w:rsidRPr="0057123F">
              <w:rPr>
                <w:rStyle w:val="Hyperlink"/>
                <w:noProof/>
              </w:rPr>
              <w:t>Summary of main findings of the economic evaluation</w:t>
            </w:r>
            <w:r w:rsidR="00964233">
              <w:rPr>
                <w:noProof/>
                <w:webHidden/>
              </w:rPr>
              <w:tab/>
            </w:r>
            <w:r w:rsidR="00964233">
              <w:rPr>
                <w:noProof/>
                <w:webHidden/>
              </w:rPr>
              <w:fldChar w:fldCharType="begin"/>
            </w:r>
            <w:r w:rsidR="00964233">
              <w:rPr>
                <w:noProof/>
                <w:webHidden/>
              </w:rPr>
              <w:instrText xml:space="preserve"> PAGEREF _Toc523230288 \h </w:instrText>
            </w:r>
            <w:r w:rsidR="00964233">
              <w:rPr>
                <w:noProof/>
                <w:webHidden/>
              </w:rPr>
            </w:r>
            <w:r w:rsidR="00964233">
              <w:rPr>
                <w:noProof/>
                <w:webHidden/>
              </w:rPr>
              <w:fldChar w:fldCharType="separate"/>
            </w:r>
            <w:r w:rsidR="00964233">
              <w:rPr>
                <w:noProof/>
                <w:webHidden/>
              </w:rPr>
              <w:t>25</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89" w:history="1">
            <w:r w:rsidR="00964233" w:rsidRPr="0057123F">
              <w:rPr>
                <w:rStyle w:val="Hyperlink"/>
                <w:noProof/>
              </w:rPr>
              <w:t>4.2</w:t>
            </w:r>
            <w:r w:rsidR="00964233">
              <w:rPr>
                <w:rFonts w:asciiTheme="minorHAnsi" w:eastAsiaTheme="minorEastAsia" w:hAnsiTheme="minorHAnsi"/>
                <w:bCs w:val="0"/>
                <w:smallCaps w:val="0"/>
                <w:noProof/>
                <w:lang w:eastAsia="en-AU"/>
              </w:rPr>
              <w:tab/>
            </w:r>
            <w:r w:rsidR="00964233" w:rsidRPr="0057123F">
              <w:rPr>
                <w:rStyle w:val="Hyperlink"/>
                <w:noProof/>
              </w:rPr>
              <w:t>4CPA DAA/PMP Evaluation by PricewaterhouseCoopers 2010</w:t>
            </w:r>
            <w:r w:rsidR="00964233">
              <w:rPr>
                <w:noProof/>
                <w:webHidden/>
              </w:rPr>
              <w:tab/>
            </w:r>
            <w:r w:rsidR="00964233">
              <w:rPr>
                <w:noProof/>
                <w:webHidden/>
              </w:rPr>
              <w:fldChar w:fldCharType="begin"/>
            </w:r>
            <w:r w:rsidR="00964233">
              <w:rPr>
                <w:noProof/>
                <w:webHidden/>
              </w:rPr>
              <w:instrText xml:space="preserve"> PAGEREF _Toc523230289 \h </w:instrText>
            </w:r>
            <w:r w:rsidR="00964233">
              <w:rPr>
                <w:noProof/>
                <w:webHidden/>
              </w:rPr>
            </w:r>
            <w:r w:rsidR="00964233">
              <w:rPr>
                <w:noProof/>
                <w:webHidden/>
              </w:rPr>
              <w:fldChar w:fldCharType="separate"/>
            </w:r>
            <w:r w:rsidR="00964233">
              <w:rPr>
                <w:noProof/>
                <w:webHidden/>
              </w:rPr>
              <w:t>25</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90" w:history="1">
            <w:r w:rsidR="00964233" w:rsidRPr="0057123F">
              <w:rPr>
                <w:rStyle w:val="Hyperlink"/>
                <w:noProof/>
              </w:rPr>
              <w:t>4.2.1</w:t>
            </w:r>
            <w:r w:rsidR="00964233">
              <w:rPr>
                <w:rFonts w:asciiTheme="minorHAnsi" w:eastAsiaTheme="minorEastAsia" w:hAnsiTheme="minorHAnsi"/>
                <w:smallCaps w:val="0"/>
                <w:noProof/>
                <w:lang w:eastAsia="en-AU"/>
              </w:rPr>
              <w:tab/>
            </w:r>
            <w:r w:rsidR="00964233" w:rsidRPr="0057123F">
              <w:rPr>
                <w:rStyle w:val="Hyperlink"/>
                <w:noProof/>
              </w:rPr>
              <w:t>Medication-related incidents in Australia</w:t>
            </w:r>
            <w:r w:rsidR="00964233">
              <w:rPr>
                <w:noProof/>
                <w:webHidden/>
              </w:rPr>
              <w:tab/>
            </w:r>
            <w:r w:rsidR="00964233">
              <w:rPr>
                <w:noProof/>
                <w:webHidden/>
              </w:rPr>
              <w:fldChar w:fldCharType="begin"/>
            </w:r>
            <w:r w:rsidR="00964233">
              <w:rPr>
                <w:noProof/>
                <w:webHidden/>
              </w:rPr>
              <w:instrText xml:space="preserve"> PAGEREF _Toc523230290 \h </w:instrText>
            </w:r>
            <w:r w:rsidR="00964233">
              <w:rPr>
                <w:noProof/>
                <w:webHidden/>
              </w:rPr>
            </w:r>
            <w:r w:rsidR="00964233">
              <w:rPr>
                <w:noProof/>
                <w:webHidden/>
              </w:rPr>
              <w:fldChar w:fldCharType="separate"/>
            </w:r>
            <w:r w:rsidR="00964233">
              <w:rPr>
                <w:noProof/>
                <w:webHidden/>
              </w:rPr>
              <w:t>26</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91" w:history="1">
            <w:r w:rsidR="00964233" w:rsidRPr="0057123F">
              <w:rPr>
                <w:rStyle w:val="Hyperlink"/>
                <w:noProof/>
              </w:rPr>
              <w:t>4.2.2</w:t>
            </w:r>
            <w:r w:rsidR="00964233">
              <w:rPr>
                <w:rFonts w:asciiTheme="minorHAnsi" w:eastAsiaTheme="minorEastAsia" w:hAnsiTheme="minorHAnsi"/>
                <w:smallCaps w:val="0"/>
                <w:noProof/>
                <w:lang w:eastAsia="en-AU"/>
              </w:rPr>
              <w:tab/>
            </w:r>
            <w:r w:rsidR="00964233" w:rsidRPr="0057123F">
              <w:rPr>
                <w:rStyle w:val="Hyperlink"/>
                <w:noProof/>
              </w:rPr>
              <w:t>Key findings relating to the DAA program</w:t>
            </w:r>
            <w:r w:rsidR="00964233">
              <w:rPr>
                <w:noProof/>
                <w:webHidden/>
              </w:rPr>
              <w:tab/>
            </w:r>
            <w:r w:rsidR="00964233">
              <w:rPr>
                <w:noProof/>
                <w:webHidden/>
              </w:rPr>
              <w:fldChar w:fldCharType="begin"/>
            </w:r>
            <w:r w:rsidR="00964233">
              <w:rPr>
                <w:noProof/>
                <w:webHidden/>
              </w:rPr>
              <w:instrText xml:space="preserve"> PAGEREF _Toc523230291 \h </w:instrText>
            </w:r>
            <w:r w:rsidR="00964233">
              <w:rPr>
                <w:noProof/>
                <w:webHidden/>
              </w:rPr>
            </w:r>
            <w:r w:rsidR="00964233">
              <w:rPr>
                <w:noProof/>
                <w:webHidden/>
              </w:rPr>
              <w:fldChar w:fldCharType="separate"/>
            </w:r>
            <w:r w:rsidR="00964233">
              <w:rPr>
                <w:noProof/>
                <w:webHidden/>
              </w:rPr>
              <w:t>27</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92" w:history="1">
            <w:r w:rsidR="00964233" w:rsidRPr="0057123F">
              <w:rPr>
                <w:rStyle w:val="Hyperlink"/>
                <w:noProof/>
              </w:rPr>
              <w:t>4.2.3</w:t>
            </w:r>
            <w:r w:rsidR="00964233">
              <w:rPr>
                <w:rFonts w:asciiTheme="minorHAnsi" w:eastAsiaTheme="minorEastAsia" w:hAnsiTheme="minorHAnsi"/>
                <w:smallCaps w:val="0"/>
                <w:noProof/>
                <w:lang w:eastAsia="en-AU"/>
              </w:rPr>
              <w:tab/>
            </w:r>
            <w:r w:rsidR="00964233" w:rsidRPr="0057123F">
              <w:rPr>
                <w:rStyle w:val="Hyperlink"/>
                <w:noProof/>
              </w:rPr>
              <w:t>Cost of the DAA service</w:t>
            </w:r>
            <w:r w:rsidR="00964233">
              <w:rPr>
                <w:noProof/>
                <w:webHidden/>
              </w:rPr>
              <w:tab/>
            </w:r>
            <w:r w:rsidR="00964233">
              <w:rPr>
                <w:noProof/>
                <w:webHidden/>
              </w:rPr>
              <w:fldChar w:fldCharType="begin"/>
            </w:r>
            <w:r w:rsidR="00964233">
              <w:rPr>
                <w:noProof/>
                <w:webHidden/>
              </w:rPr>
              <w:instrText xml:space="preserve"> PAGEREF _Toc523230292 \h </w:instrText>
            </w:r>
            <w:r w:rsidR="00964233">
              <w:rPr>
                <w:noProof/>
                <w:webHidden/>
              </w:rPr>
            </w:r>
            <w:r w:rsidR="00964233">
              <w:rPr>
                <w:noProof/>
                <w:webHidden/>
              </w:rPr>
              <w:fldChar w:fldCharType="separate"/>
            </w:r>
            <w:r w:rsidR="00964233">
              <w:rPr>
                <w:noProof/>
                <w:webHidden/>
              </w:rPr>
              <w:t>29</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93" w:history="1">
            <w:r w:rsidR="00964233" w:rsidRPr="0057123F">
              <w:rPr>
                <w:rStyle w:val="Hyperlink"/>
                <w:noProof/>
              </w:rPr>
              <w:t>4.2.4</w:t>
            </w:r>
            <w:r w:rsidR="00964233">
              <w:rPr>
                <w:rFonts w:asciiTheme="minorHAnsi" w:eastAsiaTheme="minorEastAsia" w:hAnsiTheme="minorHAnsi"/>
                <w:smallCaps w:val="0"/>
                <w:noProof/>
                <w:lang w:eastAsia="en-AU"/>
              </w:rPr>
              <w:tab/>
            </w:r>
            <w:r w:rsidR="00964233" w:rsidRPr="0057123F">
              <w:rPr>
                <w:rStyle w:val="Hyperlink"/>
                <w:noProof/>
              </w:rPr>
              <w:t>Impact on health outcomes</w:t>
            </w:r>
            <w:r w:rsidR="00964233">
              <w:rPr>
                <w:noProof/>
                <w:webHidden/>
              </w:rPr>
              <w:tab/>
            </w:r>
            <w:r w:rsidR="00964233">
              <w:rPr>
                <w:noProof/>
                <w:webHidden/>
              </w:rPr>
              <w:fldChar w:fldCharType="begin"/>
            </w:r>
            <w:r w:rsidR="00964233">
              <w:rPr>
                <w:noProof/>
                <w:webHidden/>
              </w:rPr>
              <w:instrText xml:space="preserve"> PAGEREF _Toc523230293 \h </w:instrText>
            </w:r>
            <w:r w:rsidR="00964233">
              <w:rPr>
                <w:noProof/>
                <w:webHidden/>
              </w:rPr>
            </w:r>
            <w:r w:rsidR="00964233">
              <w:rPr>
                <w:noProof/>
                <w:webHidden/>
              </w:rPr>
              <w:fldChar w:fldCharType="separate"/>
            </w:r>
            <w:r w:rsidR="00964233">
              <w:rPr>
                <w:noProof/>
                <w:webHidden/>
              </w:rPr>
              <w:t>29</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94" w:history="1">
            <w:r w:rsidR="00964233" w:rsidRPr="0057123F">
              <w:rPr>
                <w:rStyle w:val="Hyperlink"/>
                <w:noProof/>
              </w:rPr>
              <w:t>4.3</w:t>
            </w:r>
            <w:r w:rsidR="00964233">
              <w:rPr>
                <w:rFonts w:asciiTheme="minorHAnsi" w:eastAsiaTheme="minorEastAsia" w:hAnsiTheme="minorHAnsi"/>
                <w:bCs w:val="0"/>
                <w:smallCaps w:val="0"/>
                <w:noProof/>
                <w:lang w:eastAsia="en-AU"/>
              </w:rPr>
              <w:tab/>
            </w:r>
            <w:r w:rsidR="00964233" w:rsidRPr="0057123F">
              <w:rPr>
                <w:rStyle w:val="Hyperlink"/>
                <w:noProof/>
              </w:rPr>
              <w:t>5CPA Program Combined Review by PricewaterhouseCoopers 2015</w:t>
            </w:r>
            <w:r w:rsidR="00964233">
              <w:rPr>
                <w:noProof/>
                <w:webHidden/>
              </w:rPr>
              <w:tab/>
            </w:r>
            <w:r w:rsidR="00964233">
              <w:rPr>
                <w:noProof/>
                <w:webHidden/>
              </w:rPr>
              <w:fldChar w:fldCharType="begin"/>
            </w:r>
            <w:r w:rsidR="00964233">
              <w:rPr>
                <w:noProof/>
                <w:webHidden/>
              </w:rPr>
              <w:instrText xml:space="preserve"> PAGEREF _Toc523230294 \h </w:instrText>
            </w:r>
            <w:r w:rsidR="00964233">
              <w:rPr>
                <w:noProof/>
                <w:webHidden/>
              </w:rPr>
            </w:r>
            <w:r w:rsidR="00964233">
              <w:rPr>
                <w:noProof/>
                <w:webHidden/>
              </w:rPr>
              <w:fldChar w:fldCharType="separate"/>
            </w:r>
            <w:r w:rsidR="00964233">
              <w:rPr>
                <w:noProof/>
                <w:webHidden/>
              </w:rPr>
              <w:t>29</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295" w:history="1">
            <w:r w:rsidR="00964233" w:rsidRPr="0057123F">
              <w:rPr>
                <w:rStyle w:val="Hyperlink"/>
                <w:noProof/>
              </w:rPr>
              <w:t>5</w:t>
            </w:r>
            <w:r w:rsidR="00964233">
              <w:rPr>
                <w:rFonts w:asciiTheme="minorHAnsi" w:eastAsiaTheme="minorEastAsia" w:hAnsiTheme="minorHAnsi"/>
                <w:b w:val="0"/>
                <w:bCs w:val="0"/>
                <w:caps w:val="0"/>
                <w:noProof/>
                <w:lang w:eastAsia="en-AU"/>
              </w:rPr>
              <w:tab/>
            </w:r>
            <w:r w:rsidR="00964233" w:rsidRPr="0057123F">
              <w:rPr>
                <w:rStyle w:val="Hyperlink"/>
                <w:noProof/>
              </w:rPr>
              <w:t>Published evidence relating to effectiveness and safety</w:t>
            </w:r>
            <w:r w:rsidR="00964233">
              <w:rPr>
                <w:noProof/>
                <w:webHidden/>
              </w:rPr>
              <w:tab/>
            </w:r>
            <w:r w:rsidR="00964233">
              <w:rPr>
                <w:noProof/>
                <w:webHidden/>
              </w:rPr>
              <w:fldChar w:fldCharType="begin"/>
            </w:r>
            <w:r w:rsidR="00964233">
              <w:rPr>
                <w:noProof/>
                <w:webHidden/>
              </w:rPr>
              <w:instrText xml:space="preserve"> PAGEREF _Toc523230295 \h </w:instrText>
            </w:r>
            <w:r w:rsidR="00964233">
              <w:rPr>
                <w:noProof/>
                <w:webHidden/>
              </w:rPr>
            </w:r>
            <w:r w:rsidR="00964233">
              <w:rPr>
                <w:noProof/>
                <w:webHidden/>
              </w:rPr>
              <w:fldChar w:fldCharType="separate"/>
            </w:r>
            <w:r w:rsidR="00964233">
              <w:rPr>
                <w:noProof/>
                <w:webHidden/>
              </w:rPr>
              <w:t>32</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96" w:history="1">
            <w:r w:rsidR="00964233" w:rsidRPr="0057123F">
              <w:rPr>
                <w:rStyle w:val="Hyperlink"/>
                <w:noProof/>
              </w:rPr>
              <w:t>5.1</w:t>
            </w:r>
            <w:r w:rsidR="00964233">
              <w:rPr>
                <w:rFonts w:asciiTheme="minorHAnsi" w:eastAsiaTheme="minorEastAsia" w:hAnsiTheme="minorHAnsi"/>
                <w:bCs w:val="0"/>
                <w:smallCaps w:val="0"/>
                <w:noProof/>
                <w:lang w:eastAsia="en-AU"/>
              </w:rPr>
              <w:tab/>
            </w:r>
            <w:r w:rsidR="00964233" w:rsidRPr="0057123F">
              <w:rPr>
                <w:rStyle w:val="Hyperlink"/>
                <w:noProof/>
              </w:rPr>
              <w:t>Evidence from systematic reviews</w:t>
            </w:r>
            <w:r w:rsidR="00964233">
              <w:rPr>
                <w:noProof/>
                <w:webHidden/>
              </w:rPr>
              <w:tab/>
            </w:r>
            <w:r w:rsidR="00964233">
              <w:rPr>
                <w:noProof/>
                <w:webHidden/>
              </w:rPr>
              <w:fldChar w:fldCharType="begin"/>
            </w:r>
            <w:r w:rsidR="00964233">
              <w:rPr>
                <w:noProof/>
                <w:webHidden/>
              </w:rPr>
              <w:instrText xml:space="preserve"> PAGEREF _Toc523230296 \h </w:instrText>
            </w:r>
            <w:r w:rsidR="00964233">
              <w:rPr>
                <w:noProof/>
                <w:webHidden/>
              </w:rPr>
            </w:r>
            <w:r w:rsidR="00964233">
              <w:rPr>
                <w:noProof/>
                <w:webHidden/>
              </w:rPr>
              <w:fldChar w:fldCharType="separate"/>
            </w:r>
            <w:r w:rsidR="00964233">
              <w:rPr>
                <w:noProof/>
                <w:webHidden/>
              </w:rPr>
              <w:t>32</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297" w:history="1">
            <w:r w:rsidR="00964233" w:rsidRPr="0057123F">
              <w:rPr>
                <w:rStyle w:val="Hyperlink"/>
                <w:noProof/>
              </w:rPr>
              <w:t>5.2</w:t>
            </w:r>
            <w:r w:rsidR="00964233">
              <w:rPr>
                <w:rFonts w:asciiTheme="minorHAnsi" w:eastAsiaTheme="minorEastAsia" w:hAnsiTheme="minorHAnsi"/>
                <w:bCs w:val="0"/>
                <w:smallCaps w:val="0"/>
                <w:noProof/>
                <w:lang w:eastAsia="en-AU"/>
              </w:rPr>
              <w:tab/>
            </w:r>
            <w:r w:rsidR="00964233" w:rsidRPr="0057123F">
              <w:rPr>
                <w:rStyle w:val="Hyperlink"/>
                <w:noProof/>
              </w:rPr>
              <w:t>Evidence from primary studies</w:t>
            </w:r>
            <w:r w:rsidR="00964233">
              <w:rPr>
                <w:noProof/>
                <w:webHidden/>
              </w:rPr>
              <w:tab/>
            </w:r>
            <w:r w:rsidR="00964233">
              <w:rPr>
                <w:noProof/>
                <w:webHidden/>
              </w:rPr>
              <w:fldChar w:fldCharType="begin"/>
            </w:r>
            <w:r w:rsidR="00964233">
              <w:rPr>
                <w:noProof/>
                <w:webHidden/>
              </w:rPr>
              <w:instrText xml:space="preserve"> PAGEREF _Toc523230297 \h </w:instrText>
            </w:r>
            <w:r w:rsidR="00964233">
              <w:rPr>
                <w:noProof/>
                <w:webHidden/>
              </w:rPr>
            </w:r>
            <w:r w:rsidR="00964233">
              <w:rPr>
                <w:noProof/>
                <w:webHidden/>
              </w:rPr>
              <w:fldChar w:fldCharType="separate"/>
            </w:r>
            <w:r w:rsidR="00964233">
              <w:rPr>
                <w:noProof/>
                <w:webHidden/>
              </w:rPr>
              <w:t>38</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98" w:history="1">
            <w:r w:rsidR="00964233" w:rsidRPr="0057123F">
              <w:rPr>
                <w:rStyle w:val="Hyperlink"/>
                <w:noProof/>
              </w:rPr>
              <w:t>5.2.1</w:t>
            </w:r>
            <w:r w:rsidR="00964233">
              <w:rPr>
                <w:rFonts w:asciiTheme="minorHAnsi" w:eastAsiaTheme="minorEastAsia" w:hAnsiTheme="minorHAnsi"/>
                <w:smallCaps w:val="0"/>
                <w:noProof/>
                <w:lang w:eastAsia="en-AU"/>
              </w:rPr>
              <w:tab/>
            </w:r>
            <w:r w:rsidR="00964233" w:rsidRPr="0057123F">
              <w:rPr>
                <w:rStyle w:val="Hyperlink"/>
                <w:noProof/>
              </w:rPr>
              <w:t>Adherence</w:t>
            </w:r>
            <w:r w:rsidR="00964233">
              <w:rPr>
                <w:noProof/>
                <w:webHidden/>
              </w:rPr>
              <w:tab/>
            </w:r>
            <w:r w:rsidR="00964233">
              <w:rPr>
                <w:noProof/>
                <w:webHidden/>
              </w:rPr>
              <w:fldChar w:fldCharType="begin"/>
            </w:r>
            <w:r w:rsidR="00964233">
              <w:rPr>
                <w:noProof/>
                <w:webHidden/>
              </w:rPr>
              <w:instrText xml:space="preserve"> PAGEREF _Toc523230298 \h </w:instrText>
            </w:r>
            <w:r w:rsidR="00964233">
              <w:rPr>
                <w:noProof/>
                <w:webHidden/>
              </w:rPr>
            </w:r>
            <w:r w:rsidR="00964233">
              <w:rPr>
                <w:noProof/>
                <w:webHidden/>
              </w:rPr>
              <w:fldChar w:fldCharType="separate"/>
            </w:r>
            <w:r w:rsidR="00964233">
              <w:rPr>
                <w:noProof/>
                <w:webHidden/>
              </w:rPr>
              <w:t>45</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299" w:history="1">
            <w:r w:rsidR="00964233" w:rsidRPr="0057123F">
              <w:rPr>
                <w:rStyle w:val="Hyperlink"/>
                <w:noProof/>
              </w:rPr>
              <w:t>5.2.2</w:t>
            </w:r>
            <w:r w:rsidR="00964233">
              <w:rPr>
                <w:rFonts w:asciiTheme="minorHAnsi" w:eastAsiaTheme="minorEastAsia" w:hAnsiTheme="minorHAnsi"/>
                <w:smallCaps w:val="0"/>
                <w:noProof/>
                <w:lang w:eastAsia="en-AU"/>
              </w:rPr>
              <w:tab/>
            </w:r>
            <w:r w:rsidR="00964233" w:rsidRPr="0057123F">
              <w:rPr>
                <w:rStyle w:val="Hyperlink"/>
                <w:noProof/>
              </w:rPr>
              <w:t>Clinical outcomes</w:t>
            </w:r>
            <w:r w:rsidR="00964233">
              <w:rPr>
                <w:noProof/>
                <w:webHidden/>
              </w:rPr>
              <w:tab/>
            </w:r>
            <w:r w:rsidR="00964233">
              <w:rPr>
                <w:noProof/>
                <w:webHidden/>
              </w:rPr>
              <w:fldChar w:fldCharType="begin"/>
            </w:r>
            <w:r w:rsidR="00964233">
              <w:rPr>
                <w:noProof/>
                <w:webHidden/>
              </w:rPr>
              <w:instrText xml:space="preserve"> PAGEREF _Toc523230299 \h </w:instrText>
            </w:r>
            <w:r w:rsidR="00964233">
              <w:rPr>
                <w:noProof/>
                <w:webHidden/>
              </w:rPr>
            </w:r>
            <w:r w:rsidR="00964233">
              <w:rPr>
                <w:noProof/>
                <w:webHidden/>
              </w:rPr>
              <w:fldChar w:fldCharType="separate"/>
            </w:r>
            <w:r w:rsidR="00964233">
              <w:rPr>
                <w:noProof/>
                <w:webHidden/>
              </w:rPr>
              <w:t>47</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300" w:history="1">
            <w:r w:rsidR="00964233" w:rsidRPr="0057123F">
              <w:rPr>
                <w:rStyle w:val="Hyperlink"/>
                <w:noProof/>
              </w:rPr>
              <w:t>5.2.3</w:t>
            </w:r>
            <w:r w:rsidR="00964233">
              <w:rPr>
                <w:rFonts w:asciiTheme="minorHAnsi" w:eastAsiaTheme="minorEastAsia" w:hAnsiTheme="minorHAnsi"/>
                <w:smallCaps w:val="0"/>
                <w:noProof/>
                <w:lang w:eastAsia="en-AU"/>
              </w:rPr>
              <w:tab/>
            </w:r>
            <w:r w:rsidR="00964233" w:rsidRPr="0057123F">
              <w:rPr>
                <w:rStyle w:val="Hyperlink"/>
                <w:noProof/>
              </w:rPr>
              <w:t>Adverse drug reactions</w:t>
            </w:r>
            <w:r w:rsidR="00964233">
              <w:rPr>
                <w:noProof/>
                <w:webHidden/>
              </w:rPr>
              <w:tab/>
            </w:r>
            <w:r w:rsidR="00964233">
              <w:rPr>
                <w:noProof/>
                <w:webHidden/>
              </w:rPr>
              <w:fldChar w:fldCharType="begin"/>
            </w:r>
            <w:r w:rsidR="00964233">
              <w:rPr>
                <w:noProof/>
                <w:webHidden/>
              </w:rPr>
              <w:instrText xml:space="preserve"> PAGEREF _Toc523230300 \h </w:instrText>
            </w:r>
            <w:r w:rsidR="00964233">
              <w:rPr>
                <w:noProof/>
                <w:webHidden/>
              </w:rPr>
            </w:r>
            <w:r w:rsidR="00964233">
              <w:rPr>
                <w:noProof/>
                <w:webHidden/>
              </w:rPr>
              <w:fldChar w:fldCharType="separate"/>
            </w:r>
            <w:r w:rsidR="00964233">
              <w:rPr>
                <w:noProof/>
                <w:webHidden/>
              </w:rPr>
              <w:t>49</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301" w:history="1">
            <w:r w:rsidR="00964233" w:rsidRPr="0057123F">
              <w:rPr>
                <w:rStyle w:val="Hyperlink"/>
                <w:noProof/>
              </w:rPr>
              <w:t>5.2.4</w:t>
            </w:r>
            <w:r w:rsidR="00964233">
              <w:rPr>
                <w:rFonts w:asciiTheme="minorHAnsi" w:eastAsiaTheme="minorEastAsia" w:hAnsiTheme="minorHAnsi"/>
                <w:smallCaps w:val="0"/>
                <w:noProof/>
                <w:lang w:eastAsia="en-AU"/>
              </w:rPr>
              <w:tab/>
            </w:r>
            <w:r w:rsidR="00964233" w:rsidRPr="0057123F">
              <w:rPr>
                <w:rStyle w:val="Hyperlink"/>
                <w:noProof/>
              </w:rPr>
              <w:t>Mortality</w:t>
            </w:r>
            <w:r w:rsidR="00964233">
              <w:rPr>
                <w:noProof/>
                <w:webHidden/>
              </w:rPr>
              <w:tab/>
            </w:r>
            <w:r w:rsidR="00964233">
              <w:rPr>
                <w:noProof/>
                <w:webHidden/>
              </w:rPr>
              <w:fldChar w:fldCharType="begin"/>
            </w:r>
            <w:r w:rsidR="00964233">
              <w:rPr>
                <w:noProof/>
                <w:webHidden/>
              </w:rPr>
              <w:instrText xml:space="preserve"> PAGEREF _Toc523230301 \h </w:instrText>
            </w:r>
            <w:r w:rsidR="00964233">
              <w:rPr>
                <w:noProof/>
                <w:webHidden/>
              </w:rPr>
            </w:r>
            <w:r w:rsidR="00964233">
              <w:rPr>
                <w:noProof/>
                <w:webHidden/>
              </w:rPr>
              <w:fldChar w:fldCharType="separate"/>
            </w:r>
            <w:r w:rsidR="00964233">
              <w:rPr>
                <w:noProof/>
                <w:webHidden/>
              </w:rPr>
              <w:t>49</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302" w:history="1">
            <w:r w:rsidR="00964233" w:rsidRPr="0057123F">
              <w:rPr>
                <w:rStyle w:val="Hyperlink"/>
                <w:noProof/>
              </w:rPr>
              <w:t>5.2.5</w:t>
            </w:r>
            <w:r w:rsidR="00964233">
              <w:rPr>
                <w:rFonts w:asciiTheme="minorHAnsi" w:eastAsiaTheme="minorEastAsia" w:hAnsiTheme="minorHAnsi"/>
                <w:smallCaps w:val="0"/>
                <w:noProof/>
                <w:lang w:eastAsia="en-AU"/>
              </w:rPr>
              <w:tab/>
            </w:r>
            <w:r w:rsidR="00964233" w:rsidRPr="0057123F">
              <w:rPr>
                <w:rStyle w:val="Hyperlink"/>
                <w:noProof/>
              </w:rPr>
              <w:t>Health care resource use</w:t>
            </w:r>
            <w:r w:rsidR="00964233">
              <w:rPr>
                <w:noProof/>
                <w:webHidden/>
              </w:rPr>
              <w:tab/>
            </w:r>
            <w:r w:rsidR="00964233">
              <w:rPr>
                <w:noProof/>
                <w:webHidden/>
              </w:rPr>
              <w:fldChar w:fldCharType="begin"/>
            </w:r>
            <w:r w:rsidR="00964233">
              <w:rPr>
                <w:noProof/>
                <w:webHidden/>
              </w:rPr>
              <w:instrText xml:space="preserve"> PAGEREF _Toc523230302 \h </w:instrText>
            </w:r>
            <w:r w:rsidR="00964233">
              <w:rPr>
                <w:noProof/>
                <w:webHidden/>
              </w:rPr>
            </w:r>
            <w:r w:rsidR="00964233">
              <w:rPr>
                <w:noProof/>
                <w:webHidden/>
              </w:rPr>
              <w:fldChar w:fldCharType="separate"/>
            </w:r>
            <w:r w:rsidR="00964233">
              <w:rPr>
                <w:noProof/>
                <w:webHidden/>
              </w:rPr>
              <w:t>49</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303" w:history="1">
            <w:r w:rsidR="00964233" w:rsidRPr="0057123F">
              <w:rPr>
                <w:rStyle w:val="Hyperlink"/>
                <w:noProof/>
              </w:rPr>
              <w:t>5.2.6</w:t>
            </w:r>
            <w:r w:rsidR="00964233">
              <w:rPr>
                <w:rFonts w:asciiTheme="minorHAnsi" w:eastAsiaTheme="minorEastAsia" w:hAnsiTheme="minorHAnsi"/>
                <w:smallCaps w:val="0"/>
                <w:noProof/>
                <w:lang w:eastAsia="en-AU"/>
              </w:rPr>
              <w:tab/>
            </w:r>
            <w:r w:rsidR="00964233" w:rsidRPr="0057123F">
              <w:rPr>
                <w:rStyle w:val="Hyperlink"/>
                <w:noProof/>
              </w:rPr>
              <w:t>Patient satisfaction</w:t>
            </w:r>
            <w:r w:rsidR="00964233">
              <w:rPr>
                <w:noProof/>
                <w:webHidden/>
              </w:rPr>
              <w:tab/>
            </w:r>
            <w:r w:rsidR="00964233">
              <w:rPr>
                <w:noProof/>
                <w:webHidden/>
              </w:rPr>
              <w:fldChar w:fldCharType="begin"/>
            </w:r>
            <w:r w:rsidR="00964233">
              <w:rPr>
                <w:noProof/>
                <w:webHidden/>
              </w:rPr>
              <w:instrText xml:space="preserve"> PAGEREF _Toc523230303 \h </w:instrText>
            </w:r>
            <w:r w:rsidR="00964233">
              <w:rPr>
                <w:noProof/>
                <w:webHidden/>
              </w:rPr>
            </w:r>
            <w:r w:rsidR="00964233">
              <w:rPr>
                <w:noProof/>
                <w:webHidden/>
              </w:rPr>
              <w:fldChar w:fldCharType="separate"/>
            </w:r>
            <w:r w:rsidR="00964233">
              <w:rPr>
                <w:noProof/>
                <w:webHidden/>
              </w:rPr>
              <w:t>49</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304" w:history="1">
            <w:r w:rsidR="00964233" w:rsidRPr="0057123F">
              <w:rPr>
                <w:rStyle w:val="Hyperlink"/>
                <w:noProof/>
              </w:rPr>
              <w:t>5.2.7</w:t>
            </w:r>
            <w:r w:rsidR="00964233">
              <w:rPr>
                <w:rFonts w:asciiTheme="minorHAnsi" w:eastAsiaTheme="minorEastAsia" w:hAnsiTheme="minorHAnsi"/>
                <w:smallCaps w:val="0"/>
                <w:noProof/>
                <w:lang w:eastAsia="en-AU"/>
              </w:rPr>
              <w:tab/>
            </w:r>
            <w:r w:rsidR="00964233" w:rsidRPr="0057123F">
              <w:rPr>
                <w:rStyle w:val="Hyperlink"/>
                <w:noProof/>
              </w:rPr>
              <w:t>Health-related quality of life</w:t>
            </w:r>
            <w:r w:rsidR="00964233">
              <w:rPr>
                <w:noProof/>
                <w:webHidden/>
              </w:rPr>
              <w:tab/>
            </w:r>
            <w:r w:rsidR="00964233">
              <w:rPr>
                <w:noProof/>
                <w:webHidden/>
              </w:rPr>
              <w:fldChar w:fldCharType="begin"/>
            </w:r>
            <w:r w:rsidR="00964233">
              <w:rPr>
                <w:noProof/>
                <w:webHidden/>
              </w:rPr>
              <w:instrText xml:space="preserve"> PAGEREF _Toc523230304 \h </w:instrText>
            </w:r>
            <w:r w:rsidR="00964233">
              <w:rPr>
                <w:noProof/>
                <w:webHidden/>
              </w:rPr>
            </w:r>
            <w:r w:rsidR="00964233">
              <w:rPr>
                <w:noProof/>
                <w:webHidden/>
              </w:rPr>
              <w:fldChar w:fldCharType="separate"/>
            </w:r>
            <w:r w:rsidR="00964233">
              <w:rPr>
                <w:noProof/>
                <w:webHidden/>
              </w:rPr>
              <w:t>50</w:t>
            </w:r>
            <w:r w:rsidR="00964233">
              <w:rPr>
                <w:noProof/>
                <w:webHidden/>
              </w:rPr>
              <w:fldChar w:fldCharType="end"/>
            </w:r>
          </w:hyperlink>
        </w:p>
        <w:p w:rsidR="00964233" w:rsidRDefault="00633747">
          <w:pPr>
            <w:pStyle w:val="TOC3"/>
            <w:tabs>
              <w:tab w:val="left" w:pos="1340"/>
              <w:tab w:val="right" w:leader="dot" w:pos="9628"/>
            </w:tabs>
            <w:rPr>
              <w:rFonts w:asciiTheme="minorHAnsi" w:eastAsiaTheme="minorEastAsia" w:hAnsiTheme="minorHAnsi"/>
              <w:smallCaps w:val="0"/>
              <w:noProof/>
              <w:lang w:eastAsia="en-AU"/>
            </w:rPr>
          </w:pPr>
          <w:hyperlink w:anchor="_Toc523230305" w:history="1">
            <w:r w:rsidR="00964233" w:rsidRPr="0057123F">
              <w:rPr>
                <w:rStyle w:val="Hyperlink"/>
                <w:noProof/>
              </w:rPr>
              <w:t>5.2.8</w:t>
            </w:r>
            <w:r w:rsidR="00964233">
              <w:rPr>
                <w:rFonts w:asciiTheme="minorHAnsi" w:eastAsiaTheme="minorEastAsia" w:hAnsiTheme="minorHAnsi"/>
                <w:smallCaps w:val="0"/>
                <w:noProof/>
                <w:lang w:eastAsia="en-AU"/>
              </w:rPr>
              <w:tab/>
            </w:r>
            <w:r w:rsidR="00964233" w:rsidRPr="0057123F">
              <w:rPr>
                <w:rStyle w:val="Hyperlink"/>
                <w:noProof/>
              </w:rPr>
              <w:t>Safety</w:t>
            </w:r>
            <w:r w:rsidR="00964233">
              <w:rPr>
                <w:noProof/>
                <w:webHidden/>
              </w:rPr>
              <w:tab/>
            </w:r>
            <w:r w:rsidR="00964233">
              <w:rPr>
                <w:noProof/>
                <w:webHidden/>
              </w:rPr>
              <w:fldChar w:fldCharType="begin"/>
            </w:r>
            <w:r w:rsidR="00964233">
              <w:rPr>
                <w:noProof/>
                <w:webHidden/>
              </w:rPr>
              <w:instrText xml:space="preserve"> PAGEREF _Toc523230305 \h </w:instrText>
            </w:r>
            <w:r w:rsidR="00964233">
              <w:rPr>
                <w:noProof/>
                <w:webHidden/>
              </w:rPr>
            </w:r>
            <w:r w:rsidR="00964233">
              <w:rPr>
                <w:noProof/>
                <w:webHidden/>
              </w:rPr>
              <w:fldChar w:fldCharType="separate"/>
            </w:r>
            <w:r w:rsidR="00964233">
              <w:rPr>
                <w:noProof/>
                <w:webHidden/>
              </w:rPr>
              <w:t>50</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06" w:history="1">
            <w:r w:rsidR="00964233" w:rsidRPr="0057123F">
              <w:rPr>
                <w:rStyle w:val="Hyperlink"/>
                <w:noProof/>
              </w:rPr>
              <w:t>6</w:t>
            </w:r>
            <w:r w:rsidR="00964233">
              <w:rPr>
                <w:rFonts w:asciiTheme="minorHAnsi" w:eastAsiaTheme="minorEastAsia" w:hAnsiTheme="minorHAnsi"/>
                <w:b w:val="0"/>
                <w:bCs w:val="0"/>
                <w:caps w:val="0"/>
                <w:noProof/>
                <w:lang w:eastAsia="en-AU"/>
              </w:rPr>
              <w:tab/>
            </w:r>
            <w:r w:rsidR="00964233" w:rsidRPr="0057123F">
              <w:rPr>
                <w:rStyle w:val="Hyperlink"/>
                <w:noProof/>
              </w:rPr>
              <w:t>Published evidence relating to cost and cost-effectiveness</w:t>
            </w:r>
            <w:r w:rsidR="00964233">
              <w:rPr>
                <w:noProof/>
                <w:webHidden/>
              </w:rPr>
              <w:tab/>
            </w:r>
            <w:r w:rsidR="00964233">
              <w:rPr>
                <w:noProof/>
                <w:webHidden/>
              </w:rPr>
              <w:fldChar w:fldCharType="begin"/>
            </w:r>
            <w:r w:rsidR="00964233">
              <w:rPr>
                <w:noProof/>
                <w:webHidden/>
              </w:rPr>
              <w:instrText xml:space="preserve"> PAGEREF _Toc523230306 \h </w:instrText>
            </w:r>
            <w:r w:rsidR="00964233">
              <w:rPr>
                <w:noProof/>
                <w:webHidden/>
              </w:rPr>
            </w:r>
            <w:r w:rsidR="00964233">
              <w:rPr>
                <w:noProof/>
                <w:webHidden/>
              </w:rPr>
              <w:fldChar w:fldCharType="separate"/>
            </w:r>
            <w:r w:rsidR="00964233">
              <w:rPr>
                <w:noProof/>
                <w:webHidden/>
              </w:rPr>
              <w:t>51</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307" w:history="1">
            <w:r w:rsidR="00964233" w:rsidRPr="0057123F">
              <w:rPr>
                <w:rStyle w:val="Hyperlink"/>
                <w:noProof/>
              </w:rPr>
              <w:t>6.1</w:t>
            </w:r>
            <w:r w:rsidR="00964233">
              <w:rPr>
                <w:rFonts w:asciiTheme="minorHAnsi" w:eastAsiaTheme="minorEastAsia" w:hAnsiTheme="minorHAnsi"/>
                <w:bCs w:val="0"/>
                <w:smallCaps w:val="0"/>
                <w:noProof/>
                <w:lang w:eastAsia="en-AU"/>
              </w:rPr>
              <w:tab/>
            </w:r>
            <w:r w:rsidR="00964233" w:rsidRPr="0057123F">
              <w:rPr>
                <w:rStyle w:val="Hyperlink"/>
                <w:noProof/>
              </w:rPr>
              <w:t>Evidence for impact of medicine compliance aids on health care expenditure</w:t>
            </w:r>
            <w:r w:rsidR="00964233">
              <w:rPr>
                <w:noProof/>
                <w:webHidden/>
              </w:rPr>
              <w:tab/>
            </w:r>
            <w:r w:rsidR="00964233">
              <w:rPr>
                <w:noProof/>
                <w:webHidden/>
              </w:rPr>
              <w:fldChar w:fldCharType="begin"/>
            </w:r>
            <w:r w:rsidR="00964233">
              <w:rPr>
                <w:noProof/>
                <w:webHidden/>
              </w:rPr>
              <w:instrText xml:space="preserve"> PAGEREF _Toc523230307 \h </w:instrText>
            </w:r>
            <w:r w:rsidR="00964233">
              <w:rPr>
                <w:noProof/>
                <w:webHidden/>
              </w:rPr>
            </w:r>
            <w:r w:rsidR="00964233">
              <w:rPr>
                <w:noProof/>
                <w:webHidden/>
              </w:rPr>
              <w:fldChar w:fldCharType="separate"/>
            </w:r>
            <w:r w:rsidR="00964233">
              <w:rPr>
                <w:noProof/>
                <w:webHidden/>
              </w:rPr>
              <w:t>51</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308" w:history="1">
            <w:r w:rsidR="00964233" w:rsidRPr="0057123F">
              <w:rPr>
                <w:rStyle w:val="Hyperlink"/>
                <w:noProof/>
              </w:rPr>
              <w:t>6.2</w:t>
            </w:r>
            <w:r w:rsidR="00964233">
              <w:rPr>
                <w:rFonts w:asciiTheme="minorHAnsi" w:eastAsiaTheme="minorEastAsia" w:hAnsiTheme="minorHAnsi"/>
                <w:bCs w:val="0"/>
                <w:smallCaps w:val="0"/>
                <w:noProof/>
                <w:lang w:eastAsia="en-AU"/>
              </w:rPr>
              <w:tab/>
            </w:r>
            <w:r w:rsidR="00964233" w:rsidRPr="0057123F">
              <w:rPr>
                <w:rStyle w:val="Hyperlink"/>
                <w:noProof/>
              </w:rPr>
              <w:t>Evidence for cost-effectiveness of medicine compliance aids</w:t>
            </w:r>
            <w:r w:rsidR="00964233">
              <w:rPr>
                <w:noProof/>
                <w:webHidden/>
              </w:rPr>
              <w:tab/>
            </w:r>
            <w:r w:rsidR="00964233">
              <w:rPr>
                <w:noProof/>
                <w:webHidden/>
              </w:rPr>
              <w:fldChar w:fldCharType="begin"/>
            </w:r>
            <w:r w:rsidR="00964233">
              <w:rPr>
                <w:noProof/>
                <w:webHidden/>
              </w:rPr>
              <w:instrText xml:space="preserve"> PAGEREF _Toc523230308 \h </w:instrText>
            </w:r>
            <w:r w:rsidR="00964233">
              <w:rPr>
                <w:noProof/>
                <w:webHidden/>
              </w:rPr>
            </w:r>
            <w:r w:rsidR="00964233">
              <w:rPr>
                <w:noProof/>
                <w:webHidden/>
              </w:rPr>
              <w:fldChar w:fldCharType="separate"/>
            </w:r>
            <w:r w:rsidR="00964233">
              <w:rPr>
                <w:noProof/>
                <w:webHidden/>
              </w:rPr>
              <w:t>54</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09" w:history="1">
            <w:r w:rsidR="00964233" w:rsidRPr="0057123F">
              <w:rPr>
                <w:rStyle w:val="Hyperlink"/>
                <w:noProof/>
              </w:rPr>
              <w:t>7</w:t>
            </w:r>
            <w:r w:rsidR="00964233">
              <w:rPr>
                <w:rFonts w:asciiTheme="minorHAnsi" w:eastAsiaTheme="minorEastAsia" w:hAnsiTheme="minorHAnsi"/>
                <w:b w:val="0"/>
                <w:bCs w:val="0"/>
                <w:caps w:val="0"/>
                <w:noProof/>
                <w:lang w:eastAsia="en-AU"/>
              </w:rPr>
              <w:tab/>
            </w:r>
            <w:r w:rsidR="00964233" w:rsidRPr="0057123F">
              <w:rPr>
                <w:rStyle w:val="Hyperlink"/>
                <w:noProof/>
              </w:rPr>
              <w:t>DAA utilisation analysis</w:t>
            </w:r>
            <w:r w:rsidR="00964233">
              <w:rPr>
                <w:noProof/>
                <w:webHidden/>
              </w:rPr>
              <w:tab/>
            </w:r>
            <w:r w:rsidR="00964233">
              <w:rPr>
                <w:noProof/>
                <w:webHidden/>
              </w:rPr>
              <w:fldChar w:fldCharType="begin"/>
            </w:r>
            <w:r w:rsidR="00964233">
              <w:rPr>
                <w:noProof/>
                <w:webHidden/>
              </w:rPr>
              <w:instrText xml:space="preserve"> PAGEREF _Toc523230309 \h </w:instrText>
            </w:r>
            <w:r w:rsidR="00964233">
              <w:rPr>
                <w:noProof/>
                <w:webHidden/>
              </w:rPr>
            </w:r>
            <w:r w:rsidR="00964233">
              <w:rPr>
                <w:noProof/>
                <w:webHidden/>
              </w:rPr>
              <w:fldChar w:fldCharType="separate"/>
            </w:r>
            <w:r w:rsidR="00964233">
              <w:rPr>
                <w:noProof/>
                <w:webHidden/>
              </w:rPr>
              <w:t>55</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310" w:history="1">
            <w:r w:rsidR="00964233" w:rsidRPr="0057123F">
              <w:rPr>
                <w:rStyle w:val="Hyperlink"/>
                <w:noProof/>
              </w:rPr>
              <w:t>7.1</w:t>
            </w:r>
            <w:r w:rsidR="00964233">
              <w:rPr>
                <w:rFonts w:asciiTheme="minorHAnsi" w:eastAsiaTheme="minorEastAsia" w:hAnsiTheme="minorHAnsi"/>
                <w:bCs w:val="0"/>
                <w:smallCaps w:val="0"/>
                <w:noProof/>
                <w:lang w:eastAsia="en-AU"/>
              </w:rPr>
              <w:tab/>
            </w:r>
            <w:r w:rsidR="00964233" w:rsidRPr="0057123F">
              <w:rPr>
                <w:rStyle w:val="Hyperlink"/>
                <w:noProof/>
              </w:rPr>
              <w:t>DAA initiative participating pharmacies and claims made</w:t>
            </w:r>
            <w:r w:rsidR="00964233">
              <w:rPr>
                <w:noProof/>
                <w:webHidden/>
              </w:rPr>
              <w:tab/>
            </w:r>
            <w:r w:rsidR="00964233">
              <w:rPr>
                <w:noProof/>
                <w:webHidden/>
              </w:rPr>
              <w:fldChar w:fldCharType="begin"/>
            </w:r>
            <w:r w:rsidR="00964233">
              <w:rPr>
                <w:noProof/>
                <w:webHidden/>
              </w:rPr>
              <w:instrText xml:space="preserve"> PAGEREF _Toc523230310 \h </w:instrText>
            </w:r>
            <w:r w:rsidR="00964233">
              <w:rPr>
                <w:noProof/>
                <w:webHidden/>
              </w:rPr>
            </w:r>
            <w:r w:rsidR="00964233">
              <w:rPr>
                <w:noProof/>
                <w:webHidden/>
              </w:rPr>
              <w:fldChar w:fldCharType="separate"/>
            </w:r>
            <w:r w:rsidR="00964233">
              <w:rPr>
                <w:noProof/>
                <w:webHidden/>
              </w:rPr>
              <w:t>55</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311" w:history="1">
            <w:r w:rsidR="00964233" w:rsidRPr="0057123F">
              <w:rPr>
                <w:rStyle w:val="Hyperlink"/>
                <w:noProof/>
              </w:rPr>
              <w:t>7.2</w:t>
            </w:r>
            <w:r w:rsidR="00964233">
              <w:rPr>
                <w:rFonts w:asciiTheme="minorHAnsi" w:eastAsiaTheme="minorEastAsia" w:hAnsiTheme="minorHAnsi"/>
                <w:bCs w:val="0"/>
                <w:smallCaps w:val="0"/>
                <w:noProof/>
                <w:lang w:eastAsia="en-AU"/>
              </w:rPr>
              <w:tab/>
            </w:r>
            <w:r w:rsidR="00964233" w:rsidRPr="0057123F">
              <w:rPr>
                <w:rStyle w:val="Hyperlink"/>
                <w:noProof/>
              </w:rPr>
              <w:t>DAA initiative reach to target populations</w:t>
            </w:r>
            <w:r w:rsidR="00964233">
              <w:rPr>
                <w:noProof/>
                <w:webHidden/>
              </w:rPr>
              <w:tab/>
            </w:r>
            <w:r w:rsidR="00964233">
              <w:rPr>
                <w:noProof/>
                <w:webHidden/>
              </w:rPr>
              <w:fldChar w:fldCharType="begin"/>
            </w:r>
            <w:r w:rsidR="00964233">
              <w:rPr>
                <w:noProof/>
                <w:webHidden/>
              </w:rPr>
              <w:instrText xml:space="preserve"> PAGEREF _Toc523230311 \h </w:instrText>
            </w:r>
            <w:r w:rsidR="00964233">
              <w:rPr>
                <w:noProof/>
                <w:webHidden/>
              </w:rPr>
            </w:r>
            <w:r w:rsidR="00964233">
              <w:rPr>
                <w:noProof/>
                <w:webHidden/>
              </w:rPr>
              <w:fldChar w:fldCharType="separate"/>
            </w:r>
            <w:r w:rsidR="00964233">
              <w:rPr>
                <w:noProof/>
                <w:webHidden/>
              </w:rPr>
              <w:t>56</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12" w:history="1">
            <w:r w:rsidR="00964233" w:rsidRPr="0057123F">
              <w:rPr>
                <w:rStyle w:val="Hyperlink"/>
                <w:noProof/>
              </w:rPr>
              <w:t>APPENDIX 1 References</w:t>
            </w:r>
            <w:r w:rsidR="00964233">
              <w:rPr>
                <w:noProof/>
                <w:webHidden/>
              </w:rPr>
              <w:tab/>
            </w:r>
            <w:r w:rsidR="00964233">
              <w:rPr>
                <w:noProof/>
                <w:webHidden/>
              </w:rPr>
              <w:fldChar w:fldCharType="begin"/>
            </w:r>
            <w:r w:rsidR="00964233">
              <w:rPr>
                <w:noProof/>
                <w:webHidden/>
              </w:rPr>
              <w:instrText xml:space="preserve"> PAGEREF _Toc523230312 \h </w:instrText>
            </w:r>
            <w:r w:rsidR="00964233">
              <w:rPr>
                <w:noProof/>
                <w:webHidden/>
              </w:rPr>
            </w:r>
            <w:r w:rsidR="00964233">
              <w:rPr>
                <w:noProof/>
                <w:webHidden/>
              </w:rPr>
              <w:fldChar w:fldCharType="separate"/>
            </w:r>
            <w:r w:rsidR="00964233">
              <w:rPr>
                <w:noProof/>
                <w:webHidden/>
              </w:rPr>
              <w:t>61</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13" w:history="1">
            <w:r w:rsidR="00964233" w:rsidRPr="0057123F">
              <w:rPr>
                <w:rStyle w:val="Hyperlink"/>
                <w:noProof/>
              </w:rPr>
              <w:t>APPENDIX 2 Working Group Members</w:t>
            </w:r>
            <w:r w:rsidR="00964233">
              <w:rPr>
                <w:noProof/>
                <w:webHidden/>
              </w:rPr>
              <w:tab/>
            </w:r>
            <w:r w:rsidR="00964233">
              <w:rPr>
                <w:noProof/>
                <w:webHidden/>
              </w:rPr>
              <w:fldChar w:fldCharType="begin"/>
            </w:r>
            <w:r w:rsidR="00964233">
              <w:rPr>
                <w:noProof/>
                <w:webHidden/>
              </w:rPr>
              <w:instrText xml:space="preserve"> PAGEREF _Toc523230313 \h </w:instrText>
            </w:r>
            <w:r w:rsidR="00964233">
              <w:rPr>
                <w:noProof/>
                <w:webHidden/>
              </w:rPr>
            </w:r>
            <w:r w:rsidR="00964233">
              <w:rPr>
                <w:noProof/>
                <w:webHidden/>
              </w:rPr>
              <w:fldChar w:fldCharType="separate"/>
            </w:r>
            <w:r w:rsidR="00964233">
              <w:rPr>
                <w:noProof/>
                <w:webHidden/>
              </w:rPr>
              <w:t>63</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14" w:history="1">
            <w:r w:rsidR="00964233" w:rsidRPr="0057123F">
              <w:rPr>
                <w:rStyle w:val="Hyperlink"/>
                <w:noProof/>
              </w:rPr>
              <w:t>APPENDIX 3 Search strategy</w:t>
            </w:r>
            <w:r w:rsidR="00964233">
              <w:rPr>
                <w:noProof/>
                <w:webHidden/>
              </w:rPr>
              <w:tab/>
            </w:r>
            <w:r w:rsidR="00964233">
              <w:rPr>
                <w:noProof/>
                <w:webHidden/>
              </w:rPr>
              <w:fldChar w:fldCharType="begin"/>
            </w:r>
            <w:r w:rsidR="00964233">
              <w:rPr>
                <w:noProof/>
                <w:webHidden/>
              </w:rPr>
              <w:instrText xml:space="preserve"> PAGEREF _Toc523230314 \h </w:instrText>
            </w:r>
            <w:r w:rsidR="00964233">
              <w:rPr>
                <w:noProof/>
                <w:webHidden/>
              </w:rPr>
            </w:r>
            <w:r w:rsidR="00964233">
              <w:rPr>
                <w:noProof/>
                <w:webHidden/>
              </w:rPr>
              <w:fldChar w:fldCharType="separate"/>
            </w:r>
            <w:r w:rsidR="00964233">
              <w:rPr>
                <w:noProof/>
                <w:webHidden/>
              </w:rPr>
              <w:t>64</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15" w:history="1">
            <w:r w:rsidR="00964233" w:rsidRPr="0057123F">
              <w:rPr>
                <w:rStyle w:val="Hyperlink"/>
                <w:noProof/>
              </w:rPr>
              <w:t>APPENDIX 4 Excluded publications</w:t>
            </w:r>
            <w:r w:rsidR="00964233">
              <w:rPr>
                <w:noProof/>
                <w:webHidden/>
              </w:rPr>
              <w:tab/>
            </w:r>
            <w:r w:rsidR="00964233">
              <w:rPr>
                <w:noProof/>
                <w:webHidden/>
              </w:rPr>
              <w:fldChar w:fldCharType="begin"/>
            </w:r>
            <w:r w:rsidR="00964233">
              <w:rPr>
                <w:noProof/>
                <w:webHidden/>
              </w:rPr>
              <w:instrText xml:space="preserve"> PAGEREF _Toc523230315 \h </w:instrText>
            </w:r>
            <w:r w:rsidR="00964233">
              <w:rPr>
                <w:noProof/>
                <w:webHidden/>
              </w:rPr>
            </w:r>
            <w:r w:rsidR="00964233">
              <w:rPr>
                <w:noProof/>
                <w:webHidden/>
              </w:rPr>
              <w:fldChar w:fldCharType="separate"/>
            </w:r>
            <w:r w:rsidR="00964233">
              <w:rPr>
                <w:noProof/>
                <w:webHidden/>
              </w:rPr>
              <w:t>70</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16" w:history="1">
            <w:r w:rsidR="00964233" w:rsidRPr="0057123F">
              <w:rPr>
                <w:rStyle w:val="Hyperlink"/>
                <w:noProof/>
              </w:rPr>
              <w:t>APPENDIX 5 Medication adherence measures</w:t>
            </w:r>
            <w:r w:rsidR="00964233">
              <w:rPr>
                <w:noProof/>
                <w:webHidden/>
              </w:rPr>
              <w:tab/>
            </w:r>
            <w:r w:rsidR="00964233">
              <w:rPr>
                <w:noProof/>
                <w:webHidden/>
              </w:rPr>
              <w:fldChar w:fldCharType="begin"/>
            </w:r>
            <w:r w:rsidR="00964233">
              <w:rPr>
                <w:noProof/>
                <w:webHidden/>
              </w:rPr>
              <w:instrText xml:space="preserve"> PAGEREF _Toc523230316 \h </w:instrText>
            </w:r>
            <w:r w:rsidR="00964233">
              <w:rPr>
                <w:noProof/>
                <w:webHidden/>
              </w:rPr>
            </w:r>
            <w:r w:rsidR="00964233">
              <w:rPr>
                <w:noProof/>
                <w:webHidden/>
              </w:rPr>
              <w:fldChar w:fldCharType="separate"/>
            </w:r>
            <w:r w:rsidR="00964233">
              <w:rPr>
                <w:noProof/>
                <w:webHidden/>
              </w:rPr>
              <w:t>73</w:t>
            </w:r>
            <w:r w:rsidR="00964233">
              <w:rPr>
                <w:noProof/>
                <w:webHidden/>
              </w:rPr>
              <w:fldChar w:fldCharType="end"/>
            </w:r>
          </w:hyperlink>
        </w:p>
        <w:p w:rsidR="00964233" w:rsidRDefault="00633747">
          <w:pPr>
            <w:pStyle w:val="TOC1"/>
            <w:rPr>
              <w:rFonts w:asciiTheme="minorHAnsi" w:eastAsiaTheme="minorEastAsia" w:hAnsiTheme="minorHAnsi"/>
              <w:b w:val="0"/>
              <w:bCs w:val="0"/>
              <w:caps w:val="0"/>
              <w:noProof/>
              <w:lang w:eastAsia="en-AU"/>
            </w:rPr>
          </w:pPr>
          <w:hyperlink w:anchor="_Toc523230317" w:history="1">
            <w:r w:rsidR="00964233" w:rsidRPr="0057123F">
              <w:rPr>
                <w:rStyle w:val="Hyperlink"/>
                <w:noProof/>
              </w:rPr>
              <w:t>APPENDIX 6 Quality Assessment</w:t>
            </w:r>
            <w:r w:rsidR="00964233">
              <w:rPr>
                <w:noProof/>
                <w:webHidden/>
              </w:rPr>
              <w:tab/>
            </w:r>
            <w:r w:rsidR="00964233">
              <w:rPr>
                <w:noProof/>
                <w:webHidden/>
              </w:rPr>
              <w:fldChar w:fldCharType="begin"/>
            </w:r>
            <w:r w:rsidR="00964233">
              <w:rPr>
                <w:noProof/>
                <w:webHidden/>
              </w:rPr>
              <w:instrText xml:space="preserve"> PAGEREF _Toc523230317 \h </w:instrText>
            </w:r>
            <w:r w:rsidR="00964233">
              <w:rPr>
                <w:noProof/>
                <w:webHidden/>
              </w:rPr>
            </w:r>
            <w:r w:rsidR="00964233">
              <w:rPr>
                <w:noProof/>
                <w:webHidden/>
              </w:rPr>
              <w:fldChar w:fldCharType="separate"/>
            </w:r>
            <w:r w:rsidR="00964233">
              <w:rPr>
                <w:noProof/>
                <w:webHidden/>
              </w:rPr>
              <w:t>75</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318" w:history="1">
            <w:r w:rsidR="00964233" w:rsidRPr="0057123F">
              <w:rPr>
                <w:rStyle w:val="Hyperlink"/>
                <w:noProof/>
              </w:rPr>
              <w:t>Systematic reviews</w:t>
            </w:r>
            <w:r w:rsidR="00964233">
              <w:rPr>
                <w:noProof/>
                <w:webHidden/>
              </w:rPr>
              <w:tab/>
            </w:r>
            <w:r w:rsidR="00964233">
              <w:rPr>
                <w:noProof/>
                <w:webHidden/>
              </w:rPr>
              <w:fldChar w:fldCharType="begin"/>
            </w:r>
            <w:r w:rsidR="00964233">
              <w:rPr>
                <w:noProof/>
                <w:webHidden/>
              </w:rPr>
              <w:instrText xml:space="preserve"> PAGEREF _Toc523230318 \h </w:instrText>
            </w:r>
            <w:r w:rsidR="00964233">
              <w:rPr>
                <w:noProof/>
                <w:webHidden/>
              </w:rPr>
            </w:r>
            <w:r w:rsidR="00964233">
              <w:rPr>
                <w:noProof/>
                <w:webHidden/>
              </w:rPr>
              <w:fldChar w:fldCharType="separate"/>
            </w:r>
            <w:r w:rsidR="00964233">
              <w:rPr>
                <w:noProof/>
                <w:webHidden/>
              </w:rPr>
              <w:t>75</w:t>
            </w:r>
            <w:r w:rsidR="00964233">
              <w:rPr>
                <w:noProof/>
                <w:webHidden/>
              </w:rPr>
              <w:fldChar w:fldCharType="end"/>
            </w:r>
          </w:hyperlink>
        </w:p>
        <w:p w:rsidR="00964233" w:rsidRDefault="00633747">
          <w:pPr>
            <w:pStyle w:val="TOC2"/>
            <w:rPr>
              <w:rFonts w:asciiTheme="minorHAnsi" w:eastAsiaTheme="minorEastAsia" w:hAnsiTheme="minorHAnsi"/>
              <w:bCs w:val="0"/>
              <w:smallCaps w:val="0"/>
              <w:noProof/>
              <w:lang w:eastAsia="en-AU"/>
            </w:rPr>
          </w:pPr>
          <w:hyperlink w:anchor="_Toc523230319" w:history="1">
            <w:r w:rsidR="00964233" w:rsidRPr="0057123F">
              <w:rPr>
                <w:rStyle w:val="Hyperlink"/>
                <w:noProof/>
              </w:rPr>
              <w:t>Primary studies</w:t>
            </w:r>
            <w:r w:rsidR="00964233">
              <w:rPr>
                <w:noProof/>
                <w:webHidden/>
              </w:rPr>
              <w:tab/>
            </w:r>
            <w:r w:rsidR="00964233">
              <w:rPr>
                <w:noProof/>
                <w:webHidden/>
              </w:rPr>
              <w:fldChar w:fldCharType="begin"/>
            </w:r>
            <w:r w:rsidR="00964233">
              <w:rPr>
                <w:noProof/>
                <w:webHidden/>
              </w:rPr>
              <w:instrText xml:space="preserve"> PAGEREF _Toc523230319 \h </w:instrText>
            </w:r>
            <w:r w:rsidR="00964233">
              <w:rPr>
                <w:noProof/>
                <w:webHidden/>
              </w:rPr>
            </w:r>
            <w:r w:rsidR="00964233">
              <w:rPr>
                <w:noProof/>
                <w:webHidden/>
              </w:rPr>
              <w:fldChar w:fldCharType="separate"/>
            </w:r>
            <w:r w:rsidR="00964233">
              <w:rPr>
                <w:noProof/>
                <w:webHidden/>
              </w:rPr>
              <w:t>78</w:t>
            </w:r>
            <w:r w:rsidR="00964233">
              <w:rPr>
                <w:noProof/>
                <w:webHidden/>
              </w:rPr>
              <w:fldChar w:fldCharType="end"/>
            </w:r>
          </w:hyperlink>
        </w:p>
        <w:p w:rsidR="00BB667B" w:rsidRDefault="006B7BC7" w:rsidP="00257216">
          <w:pPr>
            <w:ind w:right="-143"/>
          </w:pPr>
          <w:r>
            <w:rPr>
              <w:rFonts w:asciiTheme="minorHAnsi" w:hAnsiTheme="minorHAnsi"/>
              <w:b/>
              <w:bCs/>
              <w:caps/>
              <w:sz w:val="22"/>
              <w:u w:val="single"/>
            </w:rPr>
            <w:fldChar w:fldCharType="end"/>
          </w:r>
        </w:p>
      </w:sdtContent>
    </w:sdt>
    <w:p w:rsidR="00B4127D" w:rsidRDefault="00B4127D" w:rsidP="00B4127D">
      <w:pPr>
        <w:sectPr w:rsidR="00B4127D" w:rsidSect="00982A19">
          <w:headerReference w:type="default" r:id="rId14"/>
          <w:footerReference w:type="default" r:id="rId15"/>
          <w:pgSz w:w="11906" w:h="16838" w:code="9"/>
          <w:pgMar w:top="1134" w:right="1134" w:bottom="1134" w:left="1134" w:header="680" w:footer="851" w:gutter="0"/>
          <w:pgNumType w:fmt="lowerRoman" w:start="1"/>
          <w:cols w:space="708"/>
          <w:docGrid w:linePitch="360"/>
        </w:sectPr>
      </w:pPr>
    </w:p>
    <w:p w:rsidR="00082B77" w:rsidRDefault="006B5A2E" w:rsidP="001F2E1D">
      <w:pPr>
        <w:pStyle w:val="TOCHeading"/>
      </w:pPr>
      <w:r>
        <w:lastRenderedPageBreak/>
        <w:t>List</w:t>
      </w:r>
      <w:r w:rsidR="00C05167">
        <w:t xml:space="preserve"> of T</w:t>
      </w:r>
      <w:r w:rsidR="00082B77" w:rsidRPr="00601211">
        <w:t>ables</w:t>
      </w:r>
    </w:p>
    <w:p w:rsidR="00964233" w:rsidRDefault="004A1E1B">
      <w:pPr>
        <w:pStyle w:val="TableofFigures"/>
        <w:rPr>
          <w:rFonts w:asciiTheme="minorHAnsi" w:eastAsiaTheme="minorEastAsia" w:hAnsiTheme="minorHAnsi"/>
          <w:noProof/>
          <w:lang w:eastAsia="en-AU"/>
        </w:rPr>
      </w:pPr>
      <w:r>
        <w:rPr>
          <w:rFonts w:ascii="Cambria" w:hAnsi="Cambria"/>
        </w:rPr>
        <w:fldChar w:fldCharType="begin"/>
      </w:r>
      <w:r>
        <w:rPr>
          <w:rFonts w:ascii="Cambria" w:hAnsi="Cambria"/>
        </w:rPr>
        <w:instrText xml:space="preserve"> TOC \h \z \c "Table" </w:instrText>
      </w:r>
      <w:r>
        <w:rPr>
          <w:rFonts w:ascii="Cambria" w:hAnsi="Cambria"/>
        </w:rPr>
        <w:fldChar w:fldCharType="separate"/>
      </w:r>
      <w:hyperlink w:anchor="_Toc523230320" w:history="1">
        <w:r w:rsidR="00964233" w:rsidRPr="00133DA6">
          <w:rPr>
            <w:rStyle w:val="Hyperlink"/>
            <w:noProof/>
          </w:rPr>
          <w:t>Table 3.1</w:t>
        </w:r>
        <w:r w:rsidR="00964233">
          <w:rPr>
            <w:rFonts w:asciiTheme="minorHAnsi" w:eastAsiaTheme="minorEastAsia" w:hAnsiTheme="minorHAnsi"/>
            <w:noProof/>
            <w:lang w:eastAsia="en-AU"/>
          </w:rPr>
          <w:tab/>
        </w:r>
        <w:r w:rsidR="00964233" w:rsidRPr="00133DA6">
          <w:rPr>
            <w:rStyle w:val="Hyperlink"/>
            <w:noProof/>
          </w:rPr>
          <w:t>Selection criteria for evidence relating to DAA services provided by community pharmacies</w:t>
        </w:r>
        <w:r w:rsidR="00964233">
          <w:rPr>
            <w:noProof/>
            <w:webHidden/>
          </w:rPr>
          <w:tab/>
        </w:r>
        <w:r w:rsidR="00964233">
          <w:rPr>
            <w:noProof/>
            <w:webHidden/>
          </w:rPr>
          <w:fldChar w:fldCharType="begin"/>
        </w:r>
        <w:r w:rsidR="00964233">
          <w:rPr>
            <w:noProof/>
            <w:webHidden/>
          </w:rPr>
          <w:instrText xml:space="preserve"> PAGEREF _Toc523230320 \h </w:instrText>
        </w:r>
        <w:r w:rsidR="00964233">
          <w:rPr>
            <w:noProof/>
            <w:webHidden/>
          </w:rPr>
        </w:r>
        <w:r w:rsidR="00964233">
          <w:rPr>
            <w:noProof/>
            <w:webHidden/>
          </w:rPr>
          <w:fldChar w:fldCharType="separate"/>
        </w:r>
        <w:r w:rsidR="00964233">
          <w:rPr>
            <w:noProof/>
            <w:webHidden/>
          </w:rPr>
          <w:t>13</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1" w:history="1">
        <w:r w:rsidR="00964233" w:rsidRPr="00133DA6">
          <w:rPr>
            <w:rStyle w:val="Hyperlink"/>
            <w:noProof/>
          </w:rPr>
          <w:t>Table 3.2</w:t>
        </w:r>
        <w:r w:rsidR="00964233">
          <w:rPr>
            <w:rFonts w:asciiTheme="minorHAnsi" w:eastAsiaTheme="minorEastAsia" w:hAnsiTheme="minorHAnsi"/>
            <w:noProof/>
            <w:lang w:eastAsia="en-AU"/>
          </w:rPr>
          <w:tab/>
        </w:r>
        <w:r w:rsidR="00964233" w:rsidRPr="00133DA6">
          <w:rPr>
            <w:rStyle w:val="Hyperlink"/>
            <w:noProof/>
          </w:rPr>
          <w:t>Data bases searched</w:t>
        </w:r>
        <w:r w:rsidR="00964233">
          <w:rPr>
            <w:noProof/>
            <w:webHidden/>
          </w:rPr>
          <w:tab/>
        </w:r>
        <w:r w:rsidR="00964233">
          <w:rPr>
            <w:noProof/>
            <w:webHidden/>
          </w:rPr>
          <w:fldChar w:fldCharType="begin"/>
        </w:r>
        <w:r w:rsidR="00964233">
          <w:rPr>
            <w:noProof/>
            <w:webHidden/>
          </w:rPr>
          <w:instrText xml:space="preserve"> PAGEREF _Toc523230321 \h </w:instrText>
        </w:r>
        <w:r w:rsidR="00964233">
          <w:rPr>
            <w:noProof/>
            <w:webHidden/>
          </w:rPr>
        </w:r>
        <w:r w:rsidR="00964233">
          <w:rPr>
            <w:noProof/>
            <w:webHidden/>
          </w:rPr>
          <w:fldChar w:fldCharType="separate"/>
        </w:r>
        <w:r w:rsidR="00964233">
          <w:rPr>
            <w:noProof/>
            <w:webHidden/>
          </w:rPr>
          <w:t>15</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2" w:history="1">
        <w:r w:rsidR="00964233" w:rsidRPr="00133DA6">
          <w:rPr>
            <w:rStyle w:val="Hyperlink"/>
            <w:noProof/>
          </w:rPr>
          <w:t>Table 3.3</w:t>
        </w:r>
        <w:r w:rsidR="00964233">
          <w:rPr>
            <w:rFonts w:asciiTheme="minorHAnsi" w:eastAsiaTheme="minorEastAsia" w:hAnsiTheme="minorHAnsi"/>
            <w:noProof/>
            <w:lang w:eastAsia="en-AU"/>
          </w:rPr>
          <w:tab/>
        </w:r>
        <w:r w:rsidR="00964233" w:rsidRPr="00133DA6">
          <w:rPr>
            <w:rStyle w:val="Hyperlink"/>
            <w:noProof/>
          </w:rPr>
          <w:t>Summary of the process used to identify relevant studies and reports</w:t>
        </w:r>
        <w:r w:rsidR="00964233">
          <w:rPr>
            <w:noProof/>
            <w:webHidden/>
          </w:rPr>
          <w:tab/>
        </w:r>
        <w:r w:rsidR="00964233">
          <w:rPr>
            <w:noProof/>
            <w:webHidden/>
          </w:rPr>
          <w:fldChar w:fldCharType="begin"/>
        </w:r>
        <w:r w:rsidR="00964233">
          <w:rPr>
            <w:noProof/>
            <w:webHidden/>
          </w:rPr>
          <w:instrText xml:space="preserve"> PAGEREF _Toc523230322 \h </w:instrText>
        </w:r>
        <w:r w:rsidR="00964233">
          <w:rPr>
            <w:noProof/>
            <w:webHidden/>
          </w:rPr>
        </w:r>
        <w:r w:rsidR="00964233">
          <w:rPr>
            <w:noProof/>
            <w:webHidden/>
          </w:rPr>
          <w:fldChar w:fldCharType="separate"/>
        </w:r>
        <w:r w:rsidR="00964233">
          <w:rPr>
            <w:noProof/>
            <w:webHidden/>
          </w:rPr>
          <w:t>16</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3" w:history="1">
        <w:r w:rsidR="00964233" w:rsidRPr="00133DA6">
          <w:rPr>
            <w:rStyle w:val="Hyperlink"/>
            <w:noProof/>
          </w:rPr>
          <w:t>Table 3.4</w:t>
        </w:r>
        <w:r w:rsidR="00964233">
          <w:rPr>
            <w:rFonts w:asciiTheme="minorHAnsi" w:eastAsiaTheme="minorEastAsia" w:hAnsiTheme="minorHAnsi"/>
            <w:noProof/>
            <w:lang w:eastAsia="en-AU"/>
          </w:rPr>
          <w:tab/>
        </w:r>
        <w:r w:rsidR="00964233" w:rsidRPr="00133DA6">
          <w:rPr>
            <w:rStyle w:val="Hyperlink"/>
            <w:noProof/>
          </w:rPr>
          <w:t>Citation details for projects and evaluations funded under a CPA</w:t>
        </w:r>
        <w:r w:rsidR="00964233">
          <w:rPr>
            <w:noProof/>
            <w:webHidden/>
          </w:rPr>
          <w:tab/>
        </w:r>
        <w:r w:rsidR="00964233">
          <w:rPr>
            <w:noProof/>
            <w:webHidden/>
          </w:rPr>
          <w:fldChar w:fldCharType="begin"/>
        </w:r>
        <w:r w:rsidR="00964233">
          <w:rPr>
            <w:noProof/>
            <w:webHidden/>
          </w:rPr>
          <w:instrText xml:space="preserve"> PAGEREF _Toc523230323 \h </w:instrText>
        </w:r>
        <w:r w:rsidR="00964233">
          <w:rPr>
            <w:noProof/>
            <w:webHidden/>
          </w:rPr>
        </w:r>
        <w:r w:rsidR="00964233">
          <w:rPr>
            <w:noProof/>
            <w:webHidden/>
          </w:rPr>
          <w:fldChar w:fldCharType="separate"/>
        </w:r>
        <w:r w:rsidR="00964233">
          <w:rPr>
            <w:noProof/>
            <w:webHidden/>
          </w:rPr>
          <w:t>17</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4" w:history="1">
        <w:r w:rsidR="00964233" w:rsidRPr="00133DA6">
          <w:rPr>
            <w:rStyle w:val="Hyperlink"/>
            <w:noProof/>
          </w:rPr>
          <w:t>Table 3.5</w:t>
        </w:r>
        <w:r w:rsidR="00964233">
          <w:rPr>
            <w:rFonts w:asciiTheme="minorHAnsi" w:eastAsiaTheme="minorEastAsia" w:hAnsiTheme="minorHAnsi"/>
            <w:noProof/>
            <w:lang w:eastAsia="en-AU"/>
          </w:rPr>
          <w:tab/>
        </w:r>
        <w:r w:rsidR="00964233" w:rsidRPr="00133DA6">
          <w:rPr>
            <w:rStyle w:val="Hyperlink"/>
            <w:noProof/>
          </w:rPr>
          <w:t>Citation details for included systematic reviews</w:t>
        </w:r>
        <w:r w:rsidR="00964233">
          <w:rPr>
            <w:noProof/>
            <w:webHidden/>
          </w:rPr>
          <w:tab/>
        </w:r>
        <w:r w:rsidR="00964233">
          <w:rPr>
            <w:noProof/>
            <w:webHidden/>
          </w:rPr>
          <w:fldChar w:fldCharType="begin"/>
        </w:r>
        <w:r w:rsidR="00964233">
          <w:rPr>
            <w:noProof/>
            <w:webHidden/>
          </w:rPr>
          <w:instrText xml:space="preserve"> PAGEREF _Toc523230324 \h </w:instrText>
        </w:r>
        <w:r w:rsidR="00964233">
          <w:rPr>
            <w:noProof/>
            <w:webHidden/>
          </w:rPr>
        </w:r>
        <w:r w:rsidR="00964233">
          <w:rPr>
            <w:noProof/>
            <w:webHidden/>
          </w:rPr>
          <w:fldChar w:fldCharType="separate"/>
        </w:r>
        <w:r w:rsidR="00964233">
          <w:rPr>
            <w:noProof/>
            <w:webHidden/>
          </w:rPr>
          <w:t>17</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5" w:history="1">
        <w:r w:rsidR="00964233" w:rsidRPr="00133DA6">
          <w:rPr>
            <w:rStyle w:val="Hyperlink"/>
            <w:noProof/>
          </w:rPr>
          <w:t>Table 3.6</w:t>
        </w:r>
        <w:r w:rsidR="00964233">
          <w:rPr>
            <w:rFonts w:asciiTheme="minorHAnsi" w:eastAsiaTheme="minorEastAsia" w:hAnsiTheme="minorHAnsi"/>
            <w:noProof/>
            <w:lang w:eastAsia="en-AU"/>
          </w:rPr>
          <w:tab/>
        </w:r>
        <w:r w:rsidR="00964233" w:rsidRPr="00133DA6">
          <w:rPr>
            <w:rStyle w:val="Hyperlink"/>
            <w:noProof/>
          </w:rPr>
          <w:t>Citation details for included studies of DAAs</w:t>
        </w:r>
        <w:r w:rsidR="00964233">
          <w:rPr>
            <w:noProof/>
            <w:webHidden/>
          </w:rPr>
          <w:tab/>
        </w:r>
        <w:r w:rsidR="00964233">
          <w:rPr>
            <w:noProof/>
            <w:webHidden/>
          </w:rPr>
          <w:fldChar w:fldCharType="begin"/>
        </w:r>
        <w:r w:rsidR="00964233">
          <w:rPr>
            <w:noProof/>
            <w:webHidden/>
          </w:rPr>
          <w:instrText xml:space="preserve"> PAGEREF _Toc523230325 \h </w:instrText>
        </w:r>
        <w:r w:rsidR="00964233">
          <w:rPr>
            <w:noProof/>
            <w:webHidden/>
          </w:rPr>
        </w:r>
        <w:r w:rsidR="00964233">
          <w:rPr>
            <w:noProof/>
            <w:webHidden/>
          </w:rPr>
          <w:fldChar w:fldCharType="separate"/>
        </w:r>
        <w:r w:rsidR="00964233">
          <w:rPr>
            <w:noProof/>
            <w:webHidden/>
          </w:rPr>
          <w:t>18</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6" w:history="1">
        <w:r w:rsidR="00964233" w:rsidRPr="00133DA6">
          <w:rPr>
            <w:rStyle w:val="Hyperlink"/>
            <w:noProof/>
          </w:rPr>
          <w:t>Table 4.1</w:t>
        </w:r>
        <w:r w:rsidR="00964233">
          <w:rPr>
            <w:rFonts w:asciiTheme="minorHAnsi" w:eastAsiaTheme="minorEastAsia" w:hAnsiTheme="minorHAnsi"/>
            <w:noProof/>
            <w:lang w:eastAsia="en-AU"/>
          </w:rPr>
          <w:tab/>
        </w:r>
        <w:r w:rsidR="00964233" w:rsidRPr="00133DA6">
          <w:rPr>
            <w:rStyle w:val="Hyperlink"/>
            <w:noProof/>
          </w:rPr>
          <w:t>Summary of DAA and OP costs</w:t>
        </w:r>
        <w:r w:rsidR="00964233">
          <w:rPr>
            <w:noProof/>
            <w:webHidden/>
          </w:rPr>
          <w:tab/>
        </w:r>
        <w:r w:rsidR="00964233">
          <w:rPr>
            <w:noProof/>
            <w:webHidden/>
          </w:rPr>
          <w:fldChar w:fldCharType="begin"/>
        </w:r>
        <w:r w:rsidR="00964233">
          <w:rPr>
            <w:noProof/>
            <w:webHidden/>
          </w:rPr>
          <w:instrText xml:space="preserve"> PAGEREF _Toc523230326 \h </w:instrText>
        </w:r>
        <w:r w:rsidR="00964233">
          <w:rPr>
            <w:noProof/>
            <w:webHidden/>
          </w:rPr>
        </w:r>
        <w:r w:rsidR="00964233">
          <w:rPr>
            <w:noProof/>
            <w:webHidden/>
          </w:rPr>
          <w:fldChar w:fldCharType="separate"/>
        </w:r>
        <w:r w:rsidR="00964233">
          <w:rPr>
            <w:noProof/>
            <w:webHidden/>
          </w:rPr>
          <w:t>21</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7" w:history="1">
        <w:r w:rsidR="00964233" w:rsidRPr="00133DA6">
          <w:rPr>
            <w:rStyle w:val="Hyperlink"/>
            <w:noProof/>
          </w:rPr>
          <w:t>Table 4.2</w:t>
        </w:r>
        <w:r w:rsidR="00964233">
          <w:rPr>
            <w:rFonts w:asciiTheme="minorHAnsi" w:eastAsiaTheme="minorEastAsia" w:hAnsiTheme="minorHAnsi"/>
            <w:noProof/>
            <w:lang w:eastAsia="en-AU"/>
          </w:rPr>
          <w:tab/>
        </w:r>
        <w:r w:rsidR="00964233" w:rsidRPr="00133DA6">
          <w:rPr>
            <w:rStyle w:val="Hyperlink"/>
            <w:noProof/>
          </w:rPr>
          <w:t>Results of cost-effectiveness analysis comparing 30 DAAs customers to 30 OP customers based on the frequency of ADRs and deaths avoided</w:t>
        </w:r>
        <w:r w:rsidR="00964233">
          <w:rPr>
            <w:noProof/>
            <w:webHidden/>
          </w:rPr>
          <w:tab/>
        </w:r>
        <w:r w:rsidR="00964233">
          <w:rPr>
            <w:noProof/>
            <w:webHidden/>
          </w:rPr>
          <w:fldChar w:fldCharType="begin"/>
        </w:r>
        <w:r w:rsidR="00964233">
          <w:rPr>
            <w:noProof/>
            <w:webHidden/>
          </w:rPr>
          <w:instrText xml:space="preserve"> PAGEREF _Toc523230327 \h </w:instrText>
        </w:r>
        <w:r w:rsidR="00964233">
          <w:rPr>
            <w:noProof/>
            <w:webHidden/>
          </w:rPr>
        </w:r>
        <w:r w:rsidR="00964233">
          <w:rPr>
            <w:noProof/>
            <w:webHidden/>
          </w:rPr>
          <w:fldChar w:fldCharType="separate"/>
        </w:r>
        <w:r w:rsidR="00964233">
          <w:rPr>
            <w:noProof/>
            <w:webHidden/>
          </w:rPr>
          <w:t>23</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8" w:history="1">
        <w:r w:rsidR="00964233" w:rsidRPr="00133DA6">
          <w:rPr>
            <w:rStyle w:val="Hyperlink"/>
            <w:noProof/>
          </w:rPr>
          <w:t>Table 4.3</w:t>
        </w:r>
        <w:r w:rsidR="00964233">
          <w:rPr>
            <w:rFonts w:asciiTheme="minorHAnsi" w:eastAsiaTheme="minorEastAsia" w:hAnsiTheme="minorHAnsi"/>
            <w:noProof/>
            <w:lang w:eastAsia="en-AU"/>
          </w:rPr>
          <w:tab/>
        </w:r>
        <w:r w:rsidR="00964233" w:rsidRPr="00133DA6">
          <w:rPr>
            <w:rStyle w:val="Hyperlink"/>
            <w:noProof/>
          </w:rPr>
          <w:t>Costs and benefits of DAAs and OPs, based on 30 customers</w:t>
        </w:r>
        <w:r w:rsidR="00964233">
          <w:rPr>
            <w:noProof/>
            <w:webHidden/>
          </w:rPr>
          <w:tab/>
        </w:r>
        <w:r w:rsidR="00964233">
          <w:rPr>
            <w:noProof/>
            <w:webHidden/>
          </w:rPr>
          <w:fldChar w:fldCharType="begin"/>
        </w:r>
        <w:r w:rsidR="00964233">
          <w:rPr>
            <w:noProof/>
            <w:webHidden/>
          </w:rPr>
          <w:instrText xml:space="preserve"> PAGEREF _Toc523230328 \h </w:instrText>
        </w:r>
        <w:r w:rsidR="00964233">
          <w:rPr>
            <w:noProof/>
            <w:webHidden/>
          </w:rPr>
        </w:r>
        <w:r w:rsidR="00964233">
          <w:rPr>
            <w:noProof/>
            <w:webHidden/>
          </w:rPr>
          <w:fldChar w:fldCharType="separate"/>
        </w:r>
        <w:r w:rsidR="00964233">
          <w:rPr>
            <w:noProof/>
            <w:webHidden/>
          </w:rPr>
          <w:t>23</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29" w:history="1">
        <w:r w:rsidR="00964233" w:rsidRPr="00133DA6">
          <w:rPr>
            <w:rStyle w:val="Hyperlink"/>
            <w:noProof/>
          </w:rPr>
          <w:t>Table 4.4</w:t>
        </w:r>
        <w:r w:rsidR="00964233">
          <w:rPr>
            <w:rFonts w:asciiTheme="minorHAnsi" w:eastAsiaTheme="minorEastAsia" w:hAnsiTheme="minorHAnsi"/>
            <w:noProof/>
            <w:lang w:eastAsia="en-AU"/>
          </w:rPr>
          <w:tab/>
        </w:r>
        <w:r w:rsidR="00964233" w:rsidRPr="00133DA6">
          <w:rPr>
            <w:rStyle w:val="Hyperlink"/>
            <w:noProof/>
          </w:rPr>
          <w:t>Financial impact of DAA use to OP with 30 patients in each arm</w:t>
        </w:r>
        <w:r w:rsidR="00964233">
          <w:rPr>
            <w:noProof/>
            <w:webHidden/>
          </w:rPr>
          <w:tab/>
        </w:r>
        <w:r w:rsidR="00964233">
          <w:rPr>
            <w:noProof/>
            <w:webHidden/>
          </w:rPr>
          <w:fldChar w:fldCharType="begin"/>
        </w:r>
        <w:r w:rsidR="00964233">
          <w:rPr>
            <w:noProof/>
            <w:webHidden/>
          </w:rPr>
          <w:instrText xml:space="preserve"> PAGEREF _Toc523230329 \h </w:instrText>
        </w:r>
        <w:r w:rsidR="00964233">
          <w:rPr>
            <w:noProof/>
            <w:webHidden/>
          </w:rPr>
        </w:r>
        <w:r w:rsidR="00964233">
          <w:rPr>
            <w:noProof/>
            <w:webHidden/>
          </w:rPr>
          <w:fldChar w:fldCharType="separate"/>
        </w:r>
        <w:r w:rsidR="00964233">
          <w:rPr>
            <w:noProof/>
            <w:webHidden/>
          </w:rPr>
          <w:t>24</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0" w:history="1">
        <w:r w:rsidR="00964233" w:rsidRPr="00133DA6">
          <w:rPr>
            <w:rStyle w:val="Hyperlink"/>
            <w:noProof/>
          </w:rPr>
          <w:t>Table 4.5</w:t>
        </w:r>
        <w:r w:rsidR="00964233">
          <w:rPr>
            <w:rFonts w:asciiTheme="minorHAnsi" w:eastAsiaTheme="minorEastAsia" w:hAnsiTheme="minorHAnsi"/>
            <w:noProof/>
            <w:lang w:eastAsia="en-AU"/>
          </w:rPr>
          <w:tab/>
        </w:r>
        <w:r w:rsidR="00964233" w:rsidRPr="00133DA6">
          <w:rPr>
            <w:rStyle w:val="Hyperlink"/>
            <w:noProof/>
          </w:rPr>
          <w:t>Results of cost-benefit analysis utilising HIC data and patient outcomes</w:t>
        </w:r>
        <w:r w:rsidR="00964233">
          <w:rPr>
            <w:noProof/>
            <w:webHidden/>
          </w:rPr>
          <w:tab/>
        </w:r>
        <w:r w:rsidR="00964233">
          <w:rPr>
            <w:noProof/>
            <w:webHidden/>
          </w:rPr>
          <w:fldChar w:fldCharType="begin"/>
        </w:r>
        <w:r w:rsidR="00964233">
          <w:rPr>
            <w:noProof/>
            <w:webHidden/>
          </w:rPr>
          <w:instrText xml:space="preserve"> PAGEREF _Toc523230330 \h </w:instrText>
        </w:r>
        <w:r w:rsidR="00964233">
          <w:rPr>
            <w:noProof/>
            <w:webHidden/>
          </w:rPr>
        </w:r>
        <w:r w:rsidR="00964233">
          <w:rPr>
            <w:noProof/>
            <w:webHidden/>
          </w:rPr>
          <w:fldChar w:fldCharType="separate"/>
        </w:r>
        <w:r w:rsidR="00964233">
          <w:rPr>
            <w:noProof/>
            <w:webHidden/>
          </w:rPr>
          <w:t>25</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1" w:history="1">
        <w:r w:rsidR="00964233" w:rsidRPr="00133DA6">
          <w:rPr>
            <w:rStyle w:val="Hyperlink"/>
            <w:noProof/>
          </w:rPr>
          <w:t>Table 4.6</w:t>
        </w:r>
        <w:r w:rsidR="00964233">
          <w:rPr>
            <w:rFonts w:asciiTheme="minorHAnsi" w:eastAsiaTheme="minorEastAsia" w:hAnsiTheme="minorHAnsi"/>
            <w:noProof/>
            <w:lang w:eastAsia="en-AU"/>
          </w:rPr>
          <w:tab/>
        </w:r>
        <w:r w:rsidR="00964233" w:rsidRPr="00133DA6">
          <w:rPr>
            <w:rStyle w:val="Hyperlink"/>
            <w:noProof/>
          </w:rPr>
          <w:t>Main findings of the PwC 2010 evaluation-DAAs</w:t>
        </w:r>
        <w:r w:rsidR="00964233">
          <w:rPr>
            <w:noProof/>
            <w:webHidden/>
          </w:rPr>
          <w:tab/>
        </w:r>
        <w:r w:rsidR="00964233">
          <w:rPr>
            <w:noProof/>
            <w:webHidden/>
          </w:rPr>
          <w:fldChar w:fldCharType="begin"/>
        </w:r>
        <w:r w:rsidR="00964233">
          <w:rPr>
            <w:noProof/>
            <w:webHidden/>
          </w:rPr>
          <w:instrText xml:space="preserve"> PAGEREF _Toc523230331 \h </w:instrText>
        </w:r>
        <w:r w:rsidR="00964233">
          <w:rPr>
            <w:noProof/>
            <w:webHidden/>
          </w:rPr>
        </w:r>
        <w:r w:rsidR="00964233">
          <w:rPr>
            <w:noProof/>
            <w:webHidden/>
          </w:rPr>
          <w:fldChar w:fldCharType="separate"/>
        </w:r>
        <w:r w:rsidR="00964233">
          <w:rPr>
            <w:noProof/>
            <w:webHidden/>
          </w:rPr>
          <w:t>27</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2" w:history="1">
        <w:r w:rsidR="00964233" w:rsidRPr="00133DA6">
          <w:rPr>
            <w:rStyle w:val="Hyperlink"/>
            <w:noProof/>
          </w:rPr>
          <w:t>Table 4.7</w:t>
        </w:r>
        <w:r w:rsidR="00964233">
          <w:rPr>
            <w:rFonts w:asciiTheme="minorHAnsi" w:eastAsiaTheme="minorEastAsia" w:hAnsiTheme="minorHAnsi"/>
            <w:noProof/>
            <w:lang w:eastAsia="en-AU"/>
          </w:rPr>
          <w:tab/>
        </w:r>
        <w:r w:rsidR="00964233" w:rsidRPr="00133DA6">
          <w:rPr>
            <w:rStyle w:val="Hyperlink"/>
            <w:noProof/>
          </w:rPr>
          <w:t>Main findings of the 2015 5CPA combined review, 2011-2014</w:t>
        </w:r>
        <w:r w:rsidR="00964233">
          <w:rPr>
            <w:noProof/>
            <w:webHidden/>
          </w:rPr>
          <w:tab/>
        </w:r>
        <w:r w:rsidR="00964233">
          <w:rPr>
            <w:noProof/>
            <w:webHidden/>
          </w:rPr>
          <w:fldChar w:fldCharType="begin"/>
        </w:r>
        <w:r w:rsidR="00964233">
          <w:rPr>
            <w:noProof/>
            <w:webHidden/>
          </w:rPr>
          <w:instrText xml:space="preserve"> PAGEREF _Toc523230332 \h </w:instrText>
        </w:r>
        <w:r w:rsidR="00964233">
          <w:rPr>
            <w:noProof/>
            <w:webHidden/>
          </w:rPr>
        </w:r>
        <w:r w:rsidR="00964233">
          <w:rPr>
            <w:noProof/>
            <w:webHidden/>
          </w:rPr>
          <w:fldChar w:fldCharType="separate"/>
        </w:r>
        <w:r w:rsidR="00964233">
          <w:rPr>
            <w:noProof/>
            <w:webHidden/>
          </w:rPr>
          <w:t>30</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3" w:history="1">
        <w:r w:rsidR="00964233" w:rsidRPr="00133DA6">
          <w:rPr>
            <w:rStyle w:val="Hyperlink"/>
            <w:noProof/>
          </w:rPr>
          <w:t>Table 5.1</w:t>
        </w:r>
        <w:r w:rsidR="00964233">
          <w:rPr>
            <w:rFonts w:asciiTheme="minorHAnsi" w:eastAsiaTheme="minorEastAsia" w:hAnsiTheme="minorHAnsi"/>
            <w:noProof/>
            <w:lang w:eastAsia="en-AU"/>
          </w:rPr>
          <w:tab/>
        </w:r>
        <w:r w:rsidR="00964233" w:rsidRPr="00133DA6">
          <w:rPr>
            <w:rStyle w:val="Hyperlink"/>
            <w:noProof/>
          </w:rPr>
          <w:t>Summary of the included systematic reviews</w:t>
        </w:r>
        <w:r w:rsidR="00964233">
          <w:rPr>
            <w:noProof/>
            <w:webHidden/>
          </w:rPr>
          <w:tab/>
        </w:r>
        <w:r w:rsidR="00964233">
          <w:rPr>
            <w:noProof/>
            <w:webHidden/>
          </w:rPr>
          <w:fldChar w:fldCharType="begin"/>
        </w:r>
        <w:r w:rsidR="00964233">
          <w:rPr>
            <w:noProof/>
            <w:webHidden/>
          </w:rPr>
          <w:instrText xml:space="preserve"> PAGEREF _Toc523230333 \h </w:instrText>
        </w:r>
        <w:r w:rsidR="00964233">
          <w:rPr>
            <w:noProof/>
            <w:webHidden/>
          </w:rPr>
        </w:r>
        <w:r w:rsidR="00964233">
          <w:rPr>
            <w:noProof/>
            <w:webHidden/>
          </w:rPr>
          <w:fldChar w:fldCharType="separate"/>
        </w:r>
        <w:r w:rsidR="00964233">
          <w:rPr>
            <w:noProof/>
            <w:webHidden/>
          </w:rPr>
          <w:t>33</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4" w:history="1">
        <w:r w:rsidR="00964233" w:rsidRPr="00133DA6">
          <w:rPr>
            <w:rStyle w:val="Hyperlink"/>
            <w:noProof/>
          </w:rPr>
          <w:t>Table 5.2</w:t>
        </w:r>
        <w:r w:rsidR="00964233">
          <w:rPr>
            <w:rFonts w:asciiTheme="minorHAnsi" w:eastAsiaTheme="minorEastAsia" w:hAnsiTheme="minorHAnsi"/>
            <w:noProof/>
            <w:lang w:eastAsia="en-AU"/>
          </w:rPr>
          <w:tab/>
        </w:r>
        <w:r w:rsidR="00964233" w:rsidRPr="00133DA6">
          <w:rPr>
            <w:rStyle w:val="Hyperlink"/>
            <w:noProof/>
          </w:rPr>
          <w:t>Studies included in the three systematic reviews</w:t>
        </w:r>
        <w:r w:rsidR="00964233">
          <w:rPr>
            <w:noProof/>
            <w:webHidden/>
          </w:rPr>
          <w:tab/>
        </w:r>
        <w:r w:rsidR="00964233">
          <w:rPr>
            <w:noProof/>
            <w:webHidden/>
          </w:rPr>
          <w:fldChar w:fldCharType="begin"/>
        </w:r>
        <w:r w:rsidR="00964233">
          <w:rPr>
            <w:noProof/>
            <w:webHidden/>
          </w:rPr>
          <w:instrText xml:space="preserve"> PAGEREF _Toc523230334 \h </w:instrText>
        </w:r>
        <w:r w:rsidR="00964233">
          <w:rPr>
            <w:noProof/>
            <w:webHidden/>
          </w:rPr>
        </w:r>
        <w:r w:rsidR="00964233">
          <w:rPr>
            <w:noProof/>
            <w:webHidden/>
          </w:rPr>
          <w:fldChar w:fldCharType="separate"/>
        </w:r>
        <w:r w:rsidR="00964233">
          <w:rPr>
            <w:noProof/>
            <w:webHidden/>
          </w:rPr>
          <w:t>35</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5" w:history="1">
        <w:r w:rsidR="00964233" w:rsidRPr="00133DA6">
          <w:rPr>
            <w:rStyle w:val="Hyperlink"/>
            <w:noProof/>
          </w:rPr>
          <w:t>Table 5.3</w:t>
        </w:r>
        <w:r w:rsidR="00964233">
          <w:rPr>
            <w:rFonts w:asciiTheme="minorHAnsi" w:eastAsiaTheme="minorEastAsia" w:hAnsiTheme="minorHAnsi"/>
            <w:noProof/>
            <w:lang w:eastAsia="en-AU"/>
          </w:rPr>
          <w:tab/>
        </w:r>
        <w:r w:rsidR="00964233" w:rsidRPr="00133DA6">
          <w:rPr>
            <w:rStyle w:val="Hyperlink"/>
            <w:noProof/>
          </w:rPr>
          <w:t>Characteristics of the included studies</w:t>
        </w:r>
        <w:r w:rsidR="00964233">
          <w:rPr>
            <w:noProof/>
            <w:webHidden/>
          </w:rPr>
          <w:tab/>
        </w:r>
        <w:r w:rsidR="00964233">
          <w:rPr>
            <w:noProof/>
            <w:webHidden/>
          </w:rPr>
          <w:fldChar w:fldCharType="begin"/>
        </w:r>
        <w:r w:rsidR="00964233">
          <w:rPr>
            <w:noProof/>
            <w:webHidden/>
          </w:rPr>
          <w:instrText xml:space="preserve"> PAGEREF _Toc523230335 \h </w:instrText>
        </w:r>
        <w:r w:rsidR="00964233">
          <w:rPr>
            <w:noProof/>
            <w:webHidden/>
          </w:rPr>
        </w:r>
        <w:r w:rsidR="00964233">
          <w:rPr>
            <w:noProof/>
            <w:webHidden/>
          </w:rPr>
          <w:fldChar w:fldCharType="separate"/>
        </w:r>
        <w:r w:rsidR="00964233">
          <w:rPr>
            <w:noProof/>
            <w:webHidden/>
          </w:rPr>
          <w:t>39</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6" w:history="1">
        <w:r w:rsidR="00964233" w:rsidRPr="00133DA6">
          <w:rPr>
            <w:rStyle w:val="Hyperlink"/>
            <w:noProof/>
          </w:rPr>
          <w:t>Table 5.4</w:t>
        </w:r>
        <w:r w:rsidR="00964233">
          <w:rPr>
            <w:rFonts w:asciiTheme="minorHAnsi" w:eastAsiaTheme="minorEastAsia" w:hAnsiTheme="minorHAnsi"/>
            <w:noProof/>
            <w:lang w:eastAsia="en-AU"/>
          </w:rPr>
          <w:tab/>
        </w:r>
        <w:r w:rsidR="00964233" w:rsidRPr="00133DA6">
          <w:rPr>
            <w:rStyle w:val="Hyperlink"/>
            <w:noProof/>
          </w:rPr>
          <w:t>Summary of results of the included studies</w:t>
        </w:r>
        <w:r w:rsidR="00964233">
          <w:rPr>
            <w:noProof/>
            <w:webHidden/>
          </w:rPr>
          <w:tab/>
        </w:r>
        <w:r w:rsidR="00964233">
          <w:rPr>
            <w:noProof/>
            <w:webHidden/>
          </w:rPr>
          <w:fldChar w:fldCharType="begin"/>
        </w:r>
        <w:r w:rsidR="00964233">
          <w:rPr>
            <w:noProof/>
            <w:webHidden/>
          </w:rPr>
          <w:instrText xml:space="preserve"> PAGEREF _Toc523230336 \h </w:instrText>
        </w:r>
        <w:r w:rsidR="00964233">
          <w:rPr>
            <w:noProof/>
            <w:webHidden/>
          </w:rPr>
        </w:r>
        <w:r w:rsidR="00964233">
          <w:rPr>
            <w:noProof/>
            <w:webHidden/>
          </w:rPr>
          <w:fldChar w:fldCharType="separate"/>
        </w:r>
        <w:r w:rsidR="00964233">
          <w:rPr>
            <w:noProof/>
            <w:webHidden/>
          </w:rPr>
          <w:t>41</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7" w:history="1">
        <w:r w:rsidR="00964233" w:rsidRPr="00133DA6">
          <w:rPr>
            <w:rStyle w:val="Hyperlink"/>
            <w:noProof/>
          </w:rPr>
          <w:t>Table 5.5</w:t>
        </w:r>
        <w:r w:rsidR="00964233">
          <w:rPr>
            <w:rFonts w:asciiTheme="minorHAnsi" w:eastAsiaTheme="minorEastAsia" w:hAnsiTheme="minorHAnsi"/>
            <w:noProof/>
            <w:lang w:eastAsia="en-AU"/>
          </w:rPr>
          <w:tab/>
        </w:r>
        <w:r w:rsidR="00964233" w:rsidRPr="00133DA6">
          <w:rPr>
            <w:rStyle w:val="Hyperlink"/>
            <w:noProof/>
          </w:rPr>
          <w:t>Summary of adherence outcomes from included primary studies</w:t>
        </w:r>
        <w:r w:rsidR="00964233">
          <w:rPr>
            <w:noProof/>
            <w:webHidden/>
          </w:rPr>
          <w:tab/>
        </w:r>
        <w:r w:rsidR="00964233">
          <w:rPr>
            <w:noProof/>
            <w:webHidden/>
          </w:rPr>
          <w:fldChar w:fldCharType="begin"/>
        </w:r>
        <w:r w:rsidR="00964233">
          <w:rPr>
            <w:noProof/>
            <w:webHidden/>
          </w:rPr>
          <w:instrText xml:space="preserve"> PAGEREF _Toc523230337 \h </w:instrText>
        </w:r>
        <w:r w:rsidR="00964233">
          <w:rPr>
            <w:noProof/>
            <w:webHidden/>
          </w:rPr>
        </w:r>
        <w:r w:rsidR="00964233">
          <w:rPr>
            <w:noProof/>
            <w:webHidden/>
          </w:rPr>
          <w:fldChar w:fldCharType="separate"/>
        </w:r>
        <w:r w:rsidR="00964233">
          <w:rPr>
            <w:noProof/>
            <w:webHidden/>
          </w:rPr>
          <w:t>45</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8" w:history="1">
        <w:r w:rsidR="00964233" w:rsidRPr="00133DA6">
          <w:rPr>
            <w:rStyle w:val="Hyperlink"/>
            <w:noProof/>
          </w:rPr>
          <w:t>Table 5.6</w:t>
        </w:r>
        <w:r w:rsidR="00964233">
          <w:rPr>
            <w:rFonts w:asciiTheme="minorHAnsi" w:eastAsiaTheme="minorEastAsia" w:hAnsiTheme="minorHAnsi"/>
            <w:noProof/>
            <w:lang w:eastAsia="en-AU"/>
          </w:rPr>
          <w:tab/>
        </w:r>
        <w:r w:rsidR="00964233" w:rsidRPr="00133DA6">
          <w:rPr>
            <w:rStyle w:val="Hyperlink"/>
            <w:noProof/>
          </w:rPr>
          <w:t>Association between pillbox use for warfarin and TTR &lt;60%</w:t>
        </w:r>
        <w:r w:rsidR="00964233">
          <w:rPr>
            <w:noProof/>
            <w:webHidden/>
          </w:rPr>
          <w:tab/>
        </w:r>
        <w:r w:rsidR="00964233">
          <w:rPr>
            <w:noProof/>
            <w:webHidden/>
          </w:rPr>
          <w:fldChar w:fldCharType="begin"/>
        </w:r>
        <w:r w:rsidR="00964233">
          <w:rPr>
            <w:noProof/>
            <w:webHidden/>
          </w:rPr>
          <w:instrText xml:space="preserve"> PAGEREF _Toc523230338 \h </w:instrText>
        </w:r>
        <w:r w:rsidR="00964233">
          <w:rPr>
            <w:noProof/>
            <w:webHidden/>
          </w:rPr>
        </w:r>
        <w:r w:rsidR="00964233">
          <w:rPr>
            <w:noProof/>
            <w:webHidden/>
          </w:rPr>
          <w:fldChar w:fldCharType="separate"/>
        </w:r>
        <w:r w:rsidR="00964233">
          <w:rPr>
            <w:noProof/>
            <w:webHidden/>
          </w:rPr>
          <w:t>47</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39" w:history="1">
        <w:r w:rsidR="00964233" w:rsidRPr="00133DA6">
          <w:rPr>
            <w:rStyle w:val="Hyperlink"/>
            <w:noProof/>
          </w:rPr>
          <w:t>Table 6.1</w:t>
        </w:r>
        <w:r w:rsidR="00964233">
          <w:rPr>
            <w:rFonts w:asciiTheme="minorHAnsi" w:eastAsiaTheme="minorEastAsia" w:hAnsiTheme="minorHAnsi"/>
            <w:noProof/>
            <w:lang w:eastAsia="en-AU"/>
          </w:rPr>
          <w:tab/>
        </w:r>
        <w:r w:rsidR="00964233" w:rsidRPr="00133DA6">
          <w:rPr>
            <w:rStyle w:val="Hyperlink"/>
            <w:noProof/>
          </w:rPr>
          <w:t>Summary of included studies that examined health care expenditure</w:t>
        </w:r>
        <w:r w:rsidR="00964233">
          <w:rPr>
            <w:noProof/>
            <w:webHidden/>
          </w:rPr>
          <w:tab/>
        </w:r>
        <w:r w:rsidR="00964233">
          <w:rPr>
            <w:noProof/>
            <w:webHidden/>
          </w:rPr>
          <w:fldChar w:fldCharType="begin"/>
        </w:r>
        <w:r w:rsidR="00964233">
          <w:rPr>
            <w:noProof/>
            <w:webHidden/>
          </w:rPr>
          <w:instrText xml:space="preserve"> PAGEREF _Toc523230339 \h </w:instrText>
        </w:r>
        <w:r w:rsidR="00964233">
          <w:rPr>
            <w:noProof/>
            <w:webHidden/>
          </w:rPr>
        </w:r>
        <w:r w:rsidR="00964233">
          <w:rPr>
            <w:noProof/>
            <w:webHidden/>
          </w:rPr>
          <w:fldChar w:fldCharType="separate"/>
        </w:r>
        <w:r w:rsidR="00964233">
          <w:rPr>
            <w:noProof/>
            <w:webHidden/>
          </w:rPr>
          <w:t>52</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40" w:history="1">
        <w:r w:rsidR="00964233" w:rsidRPr="00133DA6">
          <w:rPr>
            <w:rStyle w:val="Hyperlink"/>
            <w:noProof/>
          </w:rPr>
          <w:t>Table 7.1</w:t>
        </w:r>
        <w:r w:rsidR="00964233">
          <w:rPr>
            <w:rFonts w:asciiTheme="minorHAnsi" w:eastAsiaTheme="minorEastAsia" w:hAnsiTheme="minorHAnsi"/>
            <w:noProof/>
            <w:lang w:eastAsia="en-AU"/>
          </w:rPr>
          <w:tab/>
        </w:r>
        <w:r w:rsidR="00964233" w:rsidRPr="00133DA6">
          <w:rPr>
            <w:rStyle w:val="Hyperlink"/>
            <w:noProof/>
          </w:rPr>
          <w:t>Summary of pharmacy DAA claims 2012 – 2016</w:t>
        </w:r>
        <w:r w:rsidR="00964233">
          <w:rPr>
            <w:noProof/>
            <w:webHidden/>
          </w:rPr>
          <w:tab/>
        </w:r>
        <w:r w:rsidR="00964233">
          <w:rPr>
            <w:noProof/>
            <w:webHidden/>
          </w:rPr>
          <w:fldChar w:fldCharType="begin"/>
        </w:r>
        <w:r w:rsidR="00964233">
          <w:rPr>
            <w:noProof/>
            <w:webHidden/>
          </w:rPr>
          <w:instrText xml:space="preserve"> PAGEREF _Toc523230340 \h </w:instrText>
        </w:r>
        <w:r w:rsidR="00964233">
          <w:rPr>
            <w:noProof/>
            <w:webHidden/>
          </w:rPr>
        </w:r>
        <w:r w:rsidR="00964233">
          <w:rPr>
            <w:noProof/>
            <w:webHidden/>
          </w:rPr>
          <w:fldChar w:fldCharType="separate"/>
        </w:r>
        <w:r w:rsidR="00964233">
          <w:rPr>
            <w:noProof/>
            <w:webHidden/>
          </w:rPr>
          <w:t>55</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41" w:history="1">
        <w:r w:rsidR="00964233" w:rsidRPr="00133DA6">
          <w:rPr>
            <w:rStyle w:val="Hyperlink"/>
            <w:noProof/>
          </w:rPr>
          <w:t>Table 7.2</w:t>
        </w:r>
        <w:r w:rsidR="00964233">
          <w:rPr>
            <w:rFonts w:asciiTheme="minorHAnsi" w:eastAsiaTheme="minorEastAsia" w:hAnsiTheme="minorHAnsi"/>
            <w:noProof/>
            <w:lang w:eastAsia="en-AU"/>
          </w:rPr>
          <w:tab/>
        </w:r>
        <w:r w:rsidR="00964233" w:rsidRPr="00133DA6">
          <w:rPr>
            <w:rStyle w:val="Hyperlink"/>
            <w:noProof/>
          </w:rPr>
          <w:t>Summary of pharmacy DAA claims 2012 – 2016 by ABS Remoteness</w:t>
        </w:r>
        <w:r w:rsidR="00964233">
          <w:rPr>
            <w:noProof/>
            <w:webHidden/>
          </w:rPr>
          <w:tab/>
        </w:r>
        <w:r w:rsidR="00964233">
          <w:rPr>
            <w:noProof/>
            <w:webHidden/>
          </w:rPr>
          <w:fldChar w:fldCharType="begin"/>
        </w:r>
        <w:r w:rsidR="00964233">
          <w:rPr>
            <w:noProof/>
            <w:webHidden/>
          </w:rPr>
          <w:instrText xml:space="preserve"> PAGEREF _Toc523230341 \h </w:instrText>
        </w:r>
        <w:r w:rsidR="00964233">
          <w:rPr>
            <w:noProof/>
            <w:webHidden/>
          </w:rPr>
        </w:r>
        <w:r w:rsidR="00964233">
          <w:rPr>
            <w:noProof/>
            <w:webHidden/>
          </w:rPr>
          <w:fldChar w:fldCharType="separate"/>
        </w:r>
        <w:r w:rsidR="00964233">
          <w:rPr>
            <w:noProof/>
            <w:webHidden/>
          </w:rPr>
          <w:t>55</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42" w:history="1">
        <w:r w:rsidR="00964233" w:rsidRPr="00133DA6">
          <w:rPr>
            <w:rStyle w:val="Hyperlink"/>
            <w:noProof/>
          </w:rPr>
          <w:t>Table 7.3</w:t>
        </w:r>
        <w:r w:rsidR="00964233">
          <w:rPr>
            <w:rFonts w:asciiTheme="minorHAnsi" w:eastAsiaTheme="minorEastAsia" w:hAnsiTheme="minorHAnsi"/>
            <w:noProof/>
            <w:lang w:eastAsia="en-AU"/>
          </w:rPr>
          <w:tab/>
        </w:r>
        <w:r w:rsidR="00964233" w:rsidRPr="00133DA6">
          <w:rPr>
            <w:rStyle w:val="Hyperlink"/>
            <w:noProof/>
          </w:rPr>
          <w:t>Diabetes prevalence and DAA service volumes and dollars claimed per capita, 2015</w:t>
        </w:r>
        <w:r w:rsidR="00964233">
          <w:rPr>
            <w:noProof/>
            <w:webHidden/>
          </w:rPr>
          <w:tab/>
        </w:r>
        <w:r w:rsidR="00964233">
          <w:rPr>
            <w:noProof/>
            <w:webHidden/>
          </w:rPr>
          <w:fldChar w:fldCharType="begin"/>
        </w:r>
        <w:r w:rsidR="00964233">
          <w:rPr>
            <w:noProof/>
            <w:webHidden/>
          </w:rPr>
          <w:instrText xml:space="preserve"> PAGEREF _Toc523230342 \h </w:instrText>
        </w:r>
        <w:r w:rsidR="00964233">
          <w:rPr>
            <w:noProof/>
            <w:webHidden/>
          </w:rPr>
        </w:r>
        <w:r w:rsidR="00964233">
          <w:rPr>
            <w:noProof/>
            <w:webHidden/>
          </w:rPr>
          <w:fldChar w:fldCharType="separate"/>
        </w:r>
        <w:r w:rsidR="00964233">
          <w:rPr>
            <w:noProof/>
            <w:webHidden/>
          </w:rPr>
          <w:t>57</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43" w:history="1">
        <w:r w:rsidR="00964233" w:rsidRPr="00133DA6">
          <w:rPr>
            <w:rStyle w:val="Hyperlink"/>
            <w:noProof/>
          </w:rPr>
          <w:t>Table 7.4</w:t>
        </w:r>
        <w:r w:rsidR="00964233">
          <w:rPr>
            <w:rFonts w:asciiTheme="minorHAnsi" w:eastAsiaTheme="minorEastAsia" w:hAnsiTheme="minorHAnsi"/>
            <w:noProof/>
            <w:lang w:eastAsia="en-AU"/>
          </w:rPr>
          <w:tab/>
        </w:r>
        <w:r w:rsidR="00964233" w:rsidRPr="00133DA6">
          <w:rPr>
            <w:rStyle w:val="Hyperlink"/>
            <w:noProof/>
          </w:rPr>
          <w:t>Mental health prevalence and DAA service volumes and dollars claimed per capita, 2015</w:t>
        </w:r>
        <w:r w:rsidR="00964233">
          <w:rPr>
            <w:noProof/>
            <w:webHidden/>
          </w:rPr>
          <w:tab/>
        </w:r>
        <w:r w:rsidR="00964233">
          <w:rPr>
            <w:noProof/>
            <w:webHidden/>
          </w:rPr>
          <w:fldChar w:fldCharType="begin"/>
        </w:r>
        <w:r w:rsidR="00964233">
          <w:rPr>
            <w:noProof/>
            <w:webHidden/>
          </w:rPr>
          <w:instrText xml:space="preserve"> PAGEREF _Toc523230343 \h </w:instrText>
        </w:r>
        <w:r w:rsidR="00964233">
          <w:rPr>
            <w:noProof/>
            <w:webHidden/>
          </w:rPr>
        </w:r>
        <w:r w:rsidR="00964233">
          <w:rPr>
            <w:noProof/>
            <w:webHidden/>
          </w:rPr>
          <w:fldChar w:fldCharType="separate"/>
        </w:r>
        <w:r w:rsidR="00964233">
          <w:rPr>
            <w:noProof/>
            <w:webHidden/>
          </w:rPr>
          <w:t>58</w:t>
        </w:r>
        <w:r w:rsidR="00964233">
          <w:rPr>
            <w:noProof/>
            <w:webHidden/>
          </w:rPr>
          <w:fldChar w:fldCharType="end"/>
        </w:r>
      </w:hyperlink>
    </w:p>
    <w:p w:rsidR="00964233" w:rsidRDefault="00633747">
      <w:pPr>
        <w:pStyle w:val="TableofFigures"/>
        <w:rPr>
          <w:rFonts w:asciiTheme="minorHAnsi" w:eastAsiaTheme="minorEastAsia" w:hAnsiTheme="minorHAnsi"/>
          <w:noProof/>
          <w:lang w:eastAsia="en-AU"/>
        </w:rPr>
      </w:pPr>
      <w:hyperlink w:anchor="_Toc523230344" w:history="1">
        <w:r w:rsidR="00964233" w:rsidRPr="00133DA6">
          <w:rPr>
            <w:rStyle w:val="Hyperlink"/>
            <w:noProof/>
          </w:rPr>
          <w:t>Table 7.5</w:t>
        </w:r>
        <w:r w:rsidR="00964233">
          <w:rPr>
            <w:rFonts w:asciiTheme="minorHAnsi" w:eastAsiaTheme="minorEastAsia" w:hAnsiTheme="minorHAnsi"/>
            <w:noProof/>
            <w:lang w:eastAsia="en-AU"/>
          </w:rPr>
          <w:tab/>
        </w:r>
        <w:r w:rsidR="00964233" w:rsidRPr="00133DA6">
          <w:rPr>
            <w:rStyle w:val="Hyperlink"/>
            <w:noProof/>
          </w:rPr>
          <w:t>Proportion of population over 65 and DAA service volumes and dollars claimed per capita (age over 65), 2015</w:t>
        </w:r>
        <w:r w:rsidR="00964233">
          <w:rPr>
            <w:noProof/>
            <w:webHidden/>
          </w:rPr>
          <w:tab/>
        </w:r>
        <w:r w:rsidR="00964233">
          <w:rPr>
            <w:noProof/>
            <w:webHidden/>
          </w:rPr>
          <w:fldChar w:fldCharType="begin"/>
        </w:r>
        <w:r w:rsidR="00964233">
          <w:rPr>
            <w:noProof/>
            <w:webHidden/>
          </w:rPr>
          <w:instrText xml:space="preserve"> PAGEREF _Toc523230344 \h </w:instrText>
        </w:r>
        <w:r w:rsidR="00964233">
          <w:rPr>
            <w:noProof/>
            <w:webHidden/>
          </w:rPr>
        </w:r>
        <w:r w:rsidR="00964233">
          <w:rPr>
            <w:noProof/>
            <w:webHidden/>
          </w:rPr>
          <w:fldChar w:fldCharType="separate"/>
        </w:r>
        <w:r w:rsidR="00964233">
          <w:rPr>
            <w:noProof/>
            <w:webHidden/>
          </w:rPr>
          <w:t>59</w:t>
        </w:r>
        <w:r w:rsidR="00964233">
          <w:rPr>
            <w:noProof/>
            <w:webHidden/>
          </w:rPr>
          <w:fldChar w:fldCharType="end"/>
        </w:r>
      </w:hyperlink>
    </w:p>
    <w:p w:rsidR="00964233" w:rsidRDefault="004A1E1B" w:rsidP="00643B8B">
      <w:pPr>
        <w:pStyle w:val="TableofFigures"/>
        <w:ind w:left="0" w:firstLine="0"/>
        <w:rPr>
          <w:noProof/>
        </w:rPr>
      </w:pPr>
      <w:r>
        <w:fldChar w:fldCharType="end"/>
      </w:r>
      <w:r w:rsidRPr="004A1E1B">
        <w:fldChar w:fldCharType="begin"/>
      </w:r>
      <w:r w:rsidRPr="004A1E1B">
        <w:instrText xml:space="preserve"> TOC \h \z \c "Table A-" </w:instrText>
      </w:r>
      <w:r w:rsidRPr="004A1E1B">
        <w:fldChar w:fldCharType="separate"/>
      </w:r>
    </w:p>
    <w:p w:rsidR="004A1E1B" w:rsidRPr="00601211" w:rsidRDefault="00964233" w:rsidP="004A1E1B">
      <w:pPr>
        <w:pStyle w:val="TableofFigures"/>
      </w:pPr>
      <w:r>
        <w:rPr>
          <w:b/>
          <w:bCs/>
          <w:noProof/>
          <w:lang w:val="en-US"/>
        </w:rPr>
        <w:t>No table of figures entries found.</w:t>
      </w:r>
      <w:r w:rsidR="004A1E1B" w:rsidRPr="004A1E1B">
        <w:fldChar w:fldCharType="end"/>
      </w:r>
    </w:p>
    <w:p w:rsidR="004A1E1B" w:rsidRPr="004A1E1B" w:rsidRDefault="004A1E1B" w:rsidP="004A1E1B">
      <w:pPr>
        <w:pStyle w:val="BodyText"/>
      </w:pPr>
      <w:r w:rsidRPr="004A1E1B">
        <w:br w:type="page"/>
      </w:r>
    </w:p>
    <w:p w:rsidR="00B4127D" w:rsidRDefault="00B4127D" w:rsidP="00156F7B">
      <w:pPr>
        <w:pStyle w:val="TOCHeading"/>
      </w:pPr>
      <w:r>
        <w:lastRenderedPageBreak/>
        <w:t>Abbreviations</w:t>
      </w:r>
    </w:p>
    <w:tbl>
      <w:tblPr>
        <w:tblStyle w:val="TableGridLight"/>
        <w:tblW w:w="0" w:type="auto"/>
        <w:tblLook w:val="04A0" w:firstRow="1" w:lastRow="0" w:firstColumn="1" w:lastColumn="0" w:noHBand="0" w:noVBand="1"/>
        <w:tblCaption w:val="Abbreviations"/>
        <w:tblDescription w:val="A list of abbreviations used in the report"/>
      </w:tblPr>
      <w:tblGrid>
        <w:gridCol w:w="1577"/>
        <w:gridCol w:w="7677"/>
      </w:tblGrid>
      <w:tr w:rsidR="00633747" w:rsidTr="00633747">
        <w:trPr>
          <w:tblHeader/>
        </w:trPr>
        <w:tc>
          <w:tcPr>
            <w:tcW w:w="1384" w:type="dxa"/>
          </w:tcPr>
          <w:p w:rsidR="00633747" w:rsidRPr="00633747" w:rsidRDefault="00633747" w:rsidP="00F077E4">
            <w:pPr>
              <w:pStyle w:val="BodyText"/>
              <w:spacing w:after="200"/>
              <w:rPr>
                <w:b/>
              </w:rPr>
            </w:pPr>
            <w:r w:rsidRPr="00633747">
              <w:rPr>
                <w:b/>
              </w:rPr>
              <w:t>Abbreviation</w:t>
            </w:r>
          </w:p>
        </w:tc>
        <w:tc>
          <w:tcPr>
            <w:tcW w:w="7677" w:type="dxa"/>
          </w:tcPr>
          <w:p w:rsidR="00633747" w:rsidRPr="00633747" w:rsidRDefault="00633747" w:rsidP="00F077E4">
            <w:pPr>
              <w:pStyle w:val="BodyText"/>
              <w:spacing w:after="200"/>
              <w:rPr>
                <w:b/>
              </w:rPr>
            </w:pPr>
            <w:r w:rsidRPr="00633747">
              <w:rPr>
                <w:b/>
              </w:rPr>
              <w:t>Expanded Text</w:t>
            </w:r>
            <w:bookmarkStart w:id="2" w:name="_GoBack"/>
            <w:bookmarkEnd w:id="2"/>
          </w:p>
        </w:tc>
      </w:tr>
      <w:tr w:rsidR="00CB3B86" w:rsidTr="003C65AE">
        <w:tc>
          <w:tcPr>
            <w:tcW w:w="1384" w:type="dxa"/>
          </w:tcPr>
          <w:p w:rsidR="00CB3B86" w:rsidRDefault="00CB3B86" w:rsidP="00F077E4">
            <w:pPr>
              <w:pStyle w:val="BodyText"/>
              <w:spacing w:after="200"/>
              <w:rPr>
                <w:b/>
              </w:rPr>
            </w:pPr>
            <w:r>
              <w:rPr>
                <w:b/>
              </w:rPr>
              <w:t>3CPA</w:t>
            </w:r>
          </w:p>
        </w:tc>
        <w:tc>
          <w:tcPr>
            <w:tcW w:w="7677" w:type="dxa"/>
          </w:tcPr>
          <w:p w:rsidR="00CB3B86" w:rsidRDefault="00CB3B86" w:rsidP="00F077E4">
            <w:pPr>
              <w:pStyle w:val="BodyText"/>
              <w:spacing w:after="200"/>
            </w:pPr>
            <w:r>
              <w:t>Third Community Pharmacy Agreement</w:t>
            </w:r>
          </w:p>
        </w:tc>
      </w:tr>
      <w:tr w:rsidR="00CB3B86" w:rsidTr="003C65AE">
        <w:tc>
          <w:tcPr>
            <w:tcW w:w="1384" w:type="dxa"/>
          </w:tcPr>
          <w:p w:rsidR="00CB3B86" w:rsidRDefault="00CB3B86" w:rsidP="00F077E4">
            <w:pPr>
              <w:pStyle w:val="BodyText"/>
              <w:spacing w:after="200"/>
              <w:rPr>
                <w:b/>
              </w:rPr>
            </w:pPr>
            <w:r>
              <w:rPr>
                <w:b/>
              </w:rPr>
              <w:t>4CPA</w:t>
            </w:r>
          </w:p>
        </w:tc>
        <w:tc>
          <w:tcPr>
            <w:tcW w:w="7677" w:type="dxa"/>
          </w:tcPr>
          <w:p w:rsidR="00CB3B86" w:rsidRDefault="00CB3B86" w:rsidP="00F077E4">
            <w:pPr>
              <w:pStyle w:val="BodyText"/>
              <w:spacing w:after="200"/>
            </w:pPr>
            <w:r>
              <w:t>Fourth Community Pharmacy Agreement</w:t>
            </w:r>
          </w:p>
        </w:tc>
      </w:tr>
      <w:tr w:rsidR="00CB3B86" w:rsidTr="003C65AE">
        <w:tc>
          <w:tcPr>
            <w:tcW w:w="1384" w:type="dxa"/>
          </w:tcPr>
          <w:p w:rsidR="00CB3B86" w:rsidRDefault="00CB3B86" w:rsidP="00F077E4">
            <w:pPr>
              <w:pStyle w:val="BodyText"/>
              <w:spacing w:after="200"/>
              <w:rPr>
                <w:b/>
              </w:rPr>
            </w:pPr>
            <w:r>
              <w:rPr>
                <w:b/>
              </w:rPr>
              <w:t>5CPA</w:t>
            </w:r>
          </w:p>
        </w:tc>
        <w:tc>
          <w:tcPr>
            <w:tcW w:w="7677" w:type="dxa"/>
          </w:tcPr>
          <w:p w:rsidR="00CB3B86" w:rsidRDefault="00CB3B86" w:rsidP="00F077E4">
            <w:pPr>
              <w:pStyle w:val="BodyText"/>
              <w:spacing w:after="200"/>
            </w:pPr>
            <w:r>
              <w:t>Fifth Community Pharmacy Agreement</w:t>
            </w:r>
          </w:p>
        </w:tc>
      </w:tr>
      <w:tr w:rsidR="00BF0990" w:rsidTr="003C65AE">
        <w:tc>
          <w:tcPr>
            <w:tcW w:w="1384" w:type="dxa"/>
          </w:tcPr>
          <w:p w:rsidR="00BF0990" w:rsidRDefault="00BF0990" w:rsidP="00F077E4">
            <w:pPr>
              <w:pStyle w:val="BodyText"/>
              <w:spacing w:after="200"/>
              <w:rPr>
                <w:b/>
              </w:rPr>
            </w:pPr>
            <w:r>
              <w:rPr>
                <w:b/>
              </w:rPr>
              <w:t>6CPA</w:t>
            </w:r>
          </w:p>
        </w:tc>
        <w:tc>
          <w:tcPr>
            <w:tcW w:w="7677" w:type="dxa"/>
          </w:tcPr>
          <w:p w:rsidR="00BF0990" w:rsidRDefault="00BF0990" w:rsidP="00F077E4">
            <w:pPr>
              <w:pStyle w:val="BodyText"/>
              <w:spacing w:after="200"/>
            </w:pPr>
            <w:r>
              <w:t>Sixth Community Pharmacy Agreement</w:t>
            </w:r>
          </w:p>
        </w:tc>
      </w:tr>
      <w:tr w:rsidR="00C269C0" w:rsidTr="003C65AE">
        <w:tc>
          <w:tcPr>
            <w:tcW w:w="1384" w:type="dxa"/>
          </w:tcPr>
          <w:p w:rsidR="00C269C0" w:rsidRDefault="00C269C0" w:rsidP="00F077E4">
            <w:pPr>
              <w:pStyle w:val="BodyText"/>
              <w:spacing w:after="200"/>
              <w:rPr>
                <w:b/>
              </w:rPr>
            </w:pPr>
            <w:r>
              <w:rPr>
                <w:b/>
              </w:rPr>
              <w:t>ABS</w:t>
            </w:r>
          </w:p>
        </w:tc>
        <w:tc>
          <w:tcPr>
            <w:tcW w:w="7677" w:type="dxa"/>
          </w:tcPr>
          <w:p w:rsidR="00C269C0" w:rsidRDefault="00C269C0" w:rsidP="00F077E4">
            <w:pPr>
              <w:pStyle w:val="BodyText"/>
              <w:spacing w:after="200"/>
            </w:pPr>
            <w:r>
              <w:t>Australian Bureau of Statistics</w:t>
            </w:r>
          </w:p>
        </w:tc>
      </w:tr>
      <w:tr w:rsidR="00E83CB8" w:rsidTr="003C65AE">
        <w:tc>
          <w:tcPr>
            <w:tcW w:w="1384" w:type="dxa"/>
          </w:tcPr>
          <w:p w:rsidR="00E83CB8" w:rsidRDefault="00E83CB8" w:rsidP="00F077E4">
            <w:pPr>
              <w:pStyle w:val="BodyText"/>
              <w:spacing w:after="200"/>
              <w:rPr>
                <w:b/>
              </w:rPr>
            </w:pPr>
            <w:r>
              <w:rPr>
                <w:b/>
              </w:rPr>
              <w:t>ADR</w:t>
            </w:r>
          </w:p>
        </w:tc>
        <w:tc>
          <w:tcPr>
            <w:tcW w:w="7677" w:type="dxa"/>
          </w:tcPr>
          <w:p w:rsidR="00E83CB8" w:rsidRPr="00B93038" w:rsidRDefault="00E83CB8" w:rsidP="00F077E4">
            <w:pPr>
              <w:pStyle w:val="BodyText"/>
              <w:spacing w:after="200"/>
            </w:pPr>
            <w:r>
              <w:t>Adverse Drug Reaction</w:t>
            </w:r>
          </w:p>
        </w:tc>
      </w:tr>
      <w:tr w:rsidR="00602795" w:rsidTr="003C65AE">
        <w:tc>
          <w:tcPr>
            <w:tcW w:w="1384" w:type="dxa"/>
          </w:tcPr>
          <w:p w:rsidR="00602795" w:rsidRDefault="00602795" w:rsidP="00F077E4">
            <w:pPr>
              <w:pStyle w:val="BodyText"/>
              <w:spacing w:after="200"/>
              <w:rPr>
                <w:b/>
              </w:rPr>
            </w:pPr>
            <w:r>
              <w:rPr>
                <w:b/>
              </w:rPr>
              <w:t>ATSI</w:t>
            </w:r>
          </w:p>
        </w:tc>
        <w:tc>
          <w:tcPr>
            <w:tcW w:w="7677" w:type="dxa"/>
          </w:tcPr>
          <w:p w:rsidR="00602795" w:rsidRDefault="00602795" w:rsidP="00F077E4">
            <w:pPr>
              <w:pStyle w:val="BodyText"/>
              <w:spacing w:after="200"/>
            </w:pPr>
            <w:r w:rsidRPr="00B93038">
              <w:t>Aboriginal and Torres Strait Islander</w:t>
            </w:r>
          </w:p>
        </w:tc>
      </w:tr>
      <w:tr w:rsidR="00BF0990" w:rsidTr="003C65AE">
        <w:tc>
          <w:tcPr>
            <w:tcW w:w="1384" w:type="dxa"/>
          </w:tcPr>
          <w:p w:rsidR="00BF0990" w:rsidRDefault="00BF0990" w:rsidP="00F077E4">
            <w:pPr>
              <w:pStyle w:val="BodyText"/>
              <w:spacing w:after="200"/>
              <w:rPr>
                <w:b/>
              </w:rPr>
            </w:pPr>
            <w:r>
              <w:rPr>
                <w:b/>
              </w:rPr>
              <w:t>BP</w:t>
            </w:r>
          </w:p>
        </w:tc>
        <w:tc>
          <w:tcPr>
            <w:tcW w:w="7677" w:type="dxa"/>
          </w:tcPr>
          <w:p w:rsidR="00BF0990" w:rsidRDefault="00174D17" w:rsidP="00F077E4">
            <w:pPr>
              <w:pStyle w:val="BodyText"/>
              <w:spacing w:after="200"/>
            </w:pPr>
            <w:r>
              <w:t>Blood P</w:t>
            </w:r>
            <w:r w:rsidR="00BF0990">
              <w:t>ressure</w:t>
            </w:r>
          </w:p>
        </w:tc>
      </w:tr>
      <w:tr w:rsidR="001E77D2" w:rsidTr="003C65AE">
        <w:tc>
          <w:tcPr>
            <w:tcW w:w="1384" w:type="dxa"/>
          </w:tcPr>
          <w:p w:rsidR="001E77D2" w:rsidRDefault="001E77D2" w:rsidP="00F077E4">
            <w:pPr>
              <w:pStyle w:val="BodyText"/>
              <w:spacing w:after="200"/>
              <w:rPr>
                <w:b/>
              </w:rPr>
            </w:pPr>
            <w:r>
              <w:rPr>
                <w:b/>
              </w:rPr>
              <w:t>CALD</w:t>
            </w:r>
          </w:p>
        </w:tc>
        <w:tc>
          <w:tcPr>
            <w:tcW w:w="7677" w:type="dxa"/>
          </w:tcPr>
          <w:p w:rsidR="001E77D2" w:rsidRDefault="001E77D2" w:rsidP="00F077E4">
            <w:pPr>
              <w:pStyle w:val="BodyText"/>
              <w:spacing w:after="200"/>
            </w:pPr>
            <w:r w:rsidRPr="001E77D2">
              <w:t>Culturally and Linguistically Diverse</w:t>
            </w:r>
          </w:p>
        </w:tc>
      </w:tr>
      <w:tr w:rsidR="00B34BF2" w:rsidTr="003C65AE">
        <w:tc>
          <w:tcPr>
            <w:tcW w:w="1384" w:type="dxa"/>
          </w:tcPr>
          <w:p w:rsidR="00B34BF2" w:rsidRDefault="00B34BF2" w:rsidP="00F077E4">
            <w:pPr>
              <w:pStyle w:val="BodyText"/>
              <w:spacing w:after="200"/>
              <w:rPr>
                <w:b/>
              </w:rPr>
            </w:pPr>
            <w:r>
              <w:rPr>
                <w:b/>
              </w:rPr>
              <w:t>CBA</w:t>
            </w:r>
          </w:p>
        </w:tc>
        <w:tc>
          <w:tcPr>
            <w:tcW w:w="7677" w:type="dxa"/>
          </w:tcPr>
          <w:p w:rsidR="00B34BF2" w:rsidRPr="001E77D2" w:rsidRDefault="00B34BF2" w:rsidP="00F077E4">
            <w:pPr>
              <w:pStyle w:val="BodyText"/>
              <w:spacing w:after="200"/>
            </w:pPr>
            <w:r>
              <w:t>Cost-Benefit Analysis</w:t>
            </w:r>
          </w:p>
        </w:tc>
      </w:tr>
      <w:tr w:rsidR="00D63E22" w:rsidTr="003C65AE">
        <w:tc>
          <w:tcPr>
            <w:tcW w:w="1384" w:type="dxa"/>
          </w:tcPr>
          <w:p w:rsidR="00D63E22" w:rsidRDefault="00D63E22" w:rsidP="00F077E4">
            <w:pPr>
              <w:pStyle w:val="BodyText"/>
              <w:spacing w:after="200"/>
              <w:rPr>
                <w:b/>
              </w:rPr>
            </w:pPr>
            <w:r>
              <w:rPr>
                <w:b/>
              </w:rPr>
              <w:t>CBP</w:t>
            </w:r>
          </w:p>
        </w:tc>
        <w:tc>
          <w:tcPr>
            <w:tcW w:w="7677" w:type="dxa"/>
          </w:tcPr>
          <w:p w:rsidR="00D63E22" w:rsidRDefault="00D63E22" w:rsidP="00F077E4">
            <w:pPr>
              <w:pStyle w:val="BodyText"/>
              <w:spacing w:after="200"/>
            </w:pPr>
            <w:r>
              <w:t>Calendar Blister Pack</w:t>
            </w:r>
          </w:p>
        </w:tc>
      </w:tr>
      <w:tr w:rsidR="00B34BF2" w:rsidTr="003C65AE">
        <w:tc>
          <w:tcPr>
            <w:tcW w:w="1384" w:type="dxa"/>
          </w:tcPr>
          <w:p w:rsidR="00B34BF2" w:rsidRDefault="00B34BF2" w:rsidP="00F077E4">
            <w:pPr>
              <w:pStyle w:val="BodyText"/>
              <w:spacing w:after="200"/>
              <w:rPr>
                <w:b/>
              </w:rPr>
            </w:pPr>
            <w:r>
              <w:rPr>
                <w:b/>
              </w:rPr>
              <w:t>CEA</w:t>
            </w:r>
          </w:p>
        </w:tc>
        <w:tc>
          <w:tcPr>
            <w:tcW w:w="7677" w:type="dxa"/>
          </w:tcPr>
          <w:p w:rsidR="00B34BF2" w:rsidRDefault="00B34BF2" w:rsidP="00F077E4">
            <w:pPr>
              <w:pStyle w:val="BodyText"/>
              <w:spacing w:after="200"/>
            </w:pPr>
            <w:r>
              <w:t>Cost-Effectiveness Analysis</w:t>
            </w:r>
          </w:p>
        </w:tc>
      </w:tr>
      <w:tr w:rsidR="001E77D2" w:rsidTr="003C65AE">
        <w:tc>
          <w:tcPr>
            <w:tcW w:w="1384" w:type="dxa"/>
          </w:tcPr>
          <w:p w:rsidR="001E77D2" w:rsidRDefault="00116D53" w:rsidP="00F077E4">
            <w:pPr>
              <w:pStyle w:val="BodyText"/>
              <w:spacing w:after="200"/>
              <w:rPr>
                <w:b/>
              </w:rPr>
            </w:pPr>
            <w:r>
              <w:rPr>
                <w:b/>
              </w:rPr>
              <w:t>CI</w:t>
            </w:r>
          </w:p>
        </w:tc>
        <w:tc>
          <w:tcPr>
            <w:tcW w:w="7677" w:type="dxa"/>
          </w:tcPr>
          <w:p w:rsidR="001E77D2" w:rsidRDefault="00116D53" w:rsidP="00F077E4">
            <w:pPr>
              <w:pStyle w:val="BodyText"/>
              <w:spacing w:after="200"/>
            </w:pPr>
            <w:r>
              <w:t>Confidence Interval</w:t>
            </w:r>
          </w:p>
        </w:tc>
      </w:tr>
      <w:tr w:rsidR="00116D53" w:rsidTr="003C65AE">
        <w:tc>
          <w:tcPr>
            <w:tcW w:w="1384" w:type="dxa"/>
          </w:tcPr>
          <w:p w:rsidR="00116D53" w:rsidRDefault="00116D53" w:rsidP="00F077E4">
            <w:pPr>
              <w:pStyle w:val="BodyText"/>
              <w:spacing w:after="200"/>
              <w:rPr>
                <w:b/>
              </w:rPr>
            </w:pPr>
            <w:r>
              <w:rPr>
                <w:b/>
              </w:rPr>
              <w:t>CIs</w:t>
            </w:r>
          </w:p>
        </w:tc>
        <w:tc>
          <w:tcPr>
            <w:tcW w:w="7677" w:type="dxa"/>
          </w:tcPr>
          <w:p w:rsidR="00116D53" w:rsidRDefault="00116D53" w:rsidP="00F077E4">
            <w:pPr>
              <w:pStyle w:val="BodyText"/>
              <w:spacing w:after="200"/>
            </w:pPr>
            <w:r>
              <w:t>Clinical Interventions</w:t>
            </w:r>
          </w:p>
        </w:tc>
      </w:tr>
      <w:tr w:rsidR="00BF0990" w:rsidTr="003C65AE">
        <w:tc>
          <w:tcPr>
            <w:tcW w:w="1384" w:type="dxa"/>
          </w:tcPr>
          <w:p w:rsidR="00BF0990" w:rsidRPr="00705D4A" w:rsidRDefault="00BF0990" w:rsidP="00F077E4">
            <w:pPr>
              <w:pStyle w:val="BodyText"/>
              <w:spacing w:after="200"/>
              <w:rPr>
                <w:b/>
              </w:rPr>
            </w:pPr>
            <w:r>
              <w:rPr>
                <w:b/>
              </w:rPr>
              <w:t>DAA</w:t>
            </w:r>
          </w:p>
        </w:tc>
        <w:tc>
          <w:tcPr>
            <w:tcW w:w="7677" w:type="dxa"/>
          </w:tcPr>
          <w:p w:rsidR="00BF0990" w:rsidRPr="00705D4A" w:rsidRDefault="00BF0990" w:rsidP="00F077E4">
            <w:pPr>
              <w:pStyle w:val="BodyText"/>
              <w:spacing w:after="200"/>
            </w:pPr>
            <w:r>
              <w:t>Dose Administration Aid</w:t>
            </w:r>
          </w:p>
        </w:tc>
      </w:tr>
      <w:tr w:rsidR="00932973" w:rsidTr="003C65AE">
        <w:tc>
          <w:tcPr>
            <w:tcW w:w="1384" w:type="dxa"/>
          </w:tcPr>
          <w:p w:rsidR="00932973" w:rsidRDefault="00932973" w:rsidP="00F077E4">
            <w:pPr>
              <w:pStyle w:val="BodyText"/>
              <w:spacing w:after="200"/>
              <w:rPr>
                <w:b/>
              </w:rPr>
            </w:pPr>
            <w:r>
              <w:rPr>
                <w:b/>
              </w:rPr>
              <w:t>DVA</w:t>
            </w:r>
          </w:p>
        </w:tc>
        <w:tc>
          <w:tcPr>
            <w:tcW w:w="7677" w:type="dxa"/>
          </w:tcPr>
          <w:p w:rsidR="00932973" w:rsidRDefault="00932973" w:rsidP="00F077E4">
            <w:pPr>
              <w:pStyle w:val="BodyText"/>
              <w:spacing w:after="200"/>
            </w:pPr>
            <w:r w:rsidRPr="000F48FC">
              <w:t>Department of Veterans Affairs</w:t>
            </w:r>
          </w:p>
        </w:tc>
      </w:tr>
      <w:tr w:rsidR="00285911" w:rsidTr="003C65AE">
        <w:tc>
          <w:tcPr>
            <w:tcW w:w="1384" w:type="dxa"/>
          </w:tcPr>
          <w:p w:rsidR="00285911" w:rsidRDefault="00285911" w:rsidP="00F077E4">
            <w:pPr>
              <w:pStyle w:val="BodyText"/>
              <w:spacing w:after="200"/>
              <w:rPr>
                <w:b/>
              </w:rPr>
            </w:pPr>
            <w:r>
              <w:rPr>
                <w:b/>
              </w:rPr>
              <w:t>EQ5D</w:t>
            </w:r>
          </w:p>
        </w:tc>
        <w:tc>
          <w:tcPr>
            <w:tcW w:w="7677" w:type="dxa"/>
          </w:tcPr>
          <w:p w:rsidR="00285911" w:rsidRPr="000F48FC" w:rsidRDefault="00285911" w:rsidP="00F077E4">
            <w:pPr>
              <w:pStyle w:val="BodyText"/>
              <w:spacing w:after="200"/>
            </w:pPr>
            <w:r>
              <w:t>EuroQoL 5-dimension</w:t>
            </w:r>
          </w:p>
        </w:tc>
      </w:tr>
      <w:tr w:rsidR="009929D9" w:rsidTr="003C65AE">
        <w:tc>
          <w:tcPr>
            <w:tcW w:w="1384" w:type="dxa"/>
          </w:tcPr>
          <w:p w:rsidR="009929D9" w:rsidRDefault="009929D9" w:rsidP="00F077E4">
            <w:pPr>
              <w:pStyle w:val="BodyText"/>
              <w:spacing w:after="200"/>
              <w:rPr>
                <w:b/>
              </w:rPr>
            </w:pPr>
            <w:r>
              <w:rPr>
                <w:b/>
              </w:rPr>
              <w:t>HBA</w:t>
            </w:r>
            <w:r w:rsidRPr="009929D9">
              <w:rPr>
                <w:b/>
                <w:vertAlign w:val="subscript"/>
              </w:rPr>
              <w:t>1c</w:t>
            </w:r>
          </w:p>
        </w:tc>
        <w:tc>
          <w:tcPr>
            <w:tcW w:w="7677" w:type="dxa"/>
          </w:tcPr>
          <w:p w:rsidR="009929D9" w:rsidRDefault="00174D17" w:rsidP="00F077E4">
            <w:pPr>
              <w:pStyle w:val="BodyText"/>
              <w:spacing w:after="200"/>
            </w:pPr>
            <w:r>
              <w:t>Glycated H</w:t>
            </w:r>
            <w:r w:rsidR="009929D9">
              <w:t>aemoglobin</w:t>
            </w:r>
          </w:p>
        </w:tc>
      </w:tr>
      <w:tr w:rsidR="00B34BF2" w:rsidTr="003C65AE">
        <w:tc>
          <w:tcPr>
            <w:tcW w:w="1384" w:type="dxa"/>
          </w:tcPr>
          <w:p w:rsidR="00B34BF2" w:rsidRDefault="00B34BF2" w:rsidP="00F077E4">
            <w:pPr>
              <w:pStyle w:val="BodyText"/>
              <w:spacing w:after="200"/>
              <w:rPr>
                <w:b/>
              </w:rPr>
            </w:pPr>
            <w:r>
              <w:rPr>
                <w:b/>
              </w:rPr>
              <w:t>HIC</w:t>
            </w:r>
          </w:p>
        </w:tc>
        <w:tc>
          <w:tcPr>
            <w:tcW w:w="7677" w:type="dxa"/>
          </w:tcPr>
          <w:p w:rsidR="00B34BF2" w:rsidRDefault="00B34BF2" w:rsidP="00F077E4">
            <w:pPr>
              <w:pStyle w:val="BodyText"/>
              <w:spacing w:after="200"/>
            </w:pPr>
            <w:r>
              <w:t>Health Insurance Commission</w:t>
            </w:r>
          </w:p>
        </w:tc>
      </w:tr>
      <w:tr w:rsidR="001E77D2" w:rsidTr="003C65AE">
        <w:tc>
          <w:tcPr>
            <w:tcW w:w="1384" w:type="dxa"/>
          </w:tcPr>
          <w:p w:rsidR="001E77D2" w:rsidRDefault="001E77D2" w:rsidP="00F077E4">
            <w:pPr>
              <w:pStyle w:val="BodyText"/>
              <w:spacing w:after="200"/>
              <w:rPr>
                <w:b/>
              </w:rPr>
            </w:pPr>
            <w:r>
              <w:rPr>
                <w:b/>
              </w:rPr>
              <w:t>HMR</w:t>
            </w:r>
          </w:p>
        </w:tc>
        <w:tc>
          <w:tcPr>
            <w:tcW w:w="7677" w:type="dxa"/>
          </w:tcPr>
          <w:p w:rsidR="001E77D2" w:rsidRDefault="001E77D2" w:rsidP="00F077E4">
            <w:pPr>
              <w:pStyle w:val="BodyText"/>
              <w:spacing w:after="200"/>
            </w:pPr>
            <w:r>
              <w:t>Home Medicines Review</w:t>
            </w:r>
          </w:p>
        </w:tc>
      </w:tr>
      <w:tr w:rsidR="000172DE" w:rsidTr="003C65AE">
        <w:tc>
          <w:tcPr>
            <w:tcW w:w="1384" w:type="dxa"/>
          </w:tcPr>
          <w:p w:rsidR="000172DE" w:rsidRPr="00705D4A" w:rsidRDefault="004E4D12" w:rsidP="00F077E4">
            <w:pPr>
              <w:pStyle w:val="BodyText"/>
              <w:spacing w:after="200"/>
              <w:rPr>
                <w:b/>
              </w:rPr>
            </w:pPr>
            <w:r w:rsidRPr="00705D4A">
              <w:rPr>
                <w:b/>
              </w:rPr>
              <w:t>HTA</w:t>
            </w:r>
          </w:p>
        </w:tc>
        <w:tc>
          <w:tcPr>
            <w:tcW w:w="7677" w:type="dxa"/>
          </w:tcPr>
          <w:p w:rsidR="000172DE" w:rsidRPr="00705D4A" w:rsidRDefault="004E4D12" w:rsidP="00F077E4">
            <w:pPr>
              <w:pStyle w:val="BodyText"/>
              <w:spacing w:after="200"/>
            </w:pPr>
            <w:r w:rsidRPr="00705D4A">
              <w:t>Health Technology Assessment</w:t>
            </w:r>
          </w:p>
        </w:tc>
      </w:tr>
      <w:tr w:rsidR="00B34BF2" w:rsidTr="003C65AE">
        <w:tc>
          <w:tcPr>
            <w:tcW w:w="1384" w:type="dxa"/>
          </w:tcPr>
          <w:p w:rsidR="00B34BF2" w:rsidRPr="00705D4A" w:rsidRDefault="00B34BF2" w:rsidP="00F077E4">
            <w:pPr>
              <w:pStyle w:val="BodyText"/>
              <w:spacing w:after="200"/>
              <w:rPr>
                <w:b/>
              </w:rPr>
            </w:pPr>
            <w:r>
              <w:rPr>
                <w:b/>
              </w:rPr>
              <w:t>ICER</w:t>
            </w:r>
          </w:p>
        </w:tc>
        <w:tc>
          <w:tcPr>
            <w:tcW w:w="7677" w:type="dxa"/>
          </w:tcPr>
          <w:p w:rsidR="00B34BF2" w:rsidRPr="00705D4A" w:rsidRDefault="00B34BF2" w:rsidP="00F077E4">
            <w:pPr>
              <w:pStyle w:val="BodyText"/>
              <w:spacing w:after="200"/>
            </w:pPr>
            <w:r>
              <w:t>Incremental Cost-Effectiveness Ratio</w:t>
            </w:r>
          </w:p>
        </w:tc>
      </w:tr>
      <w:tr w:rsidR="004C62B0" w:rsidTr="003C65AE">
        <w:tc>
          <w:tcPr>
            <w:tcW w:w="1384" w:type="dxa"/>
          </w:tcPr>
          <w:p w:rsidR="004C62B0" w:rsidRDefault="004C62B0" w:rsidP="00F077E4">
            <w:pPr>
              <w:pStyle w:val="BodyText"/>
              <w:spacing w:after="200"/>
              <w:rPr>
                <w:b/>
              </w:rPr>
            </w:pPr>
            <w:r>
              <w:rPr>
                <w:b/>
              </w:rPr>
              <w:t>INR</w:t>
            </w:r>
          </w:p>
        </w:tc>
        <w:tc>
          <w:tcPr>
            <w:tcW w:w="7677" w:type="dxa"/>
          </w:tcPr>
          <w:p w:rsidR="004C62B0" w:rsidRDefault="004C62B0" w:rsidP="00F077E4">
            <w:pPr>
              <w:pStyle w:val="BodyText"/>
              <w:spacing w:after="200"/>
            </w:pPr>
            <w:r>
              <w:t>International Normalised Ratio</w:t>
            </w:r>
          </w:p>
        </w:tc>
      </w:tr>
      <w:tr w:rsidR="00B34BF2" w:rsidTr="003C65AE">
        <w:tc>
          <w:tcPr>
            <w:tcW w:w="1384" w:type="dxa"/>
          </w:tcPr>
          <w:p w:rsidR="00B34BF2" w:rsidRDefault="00B34BF2" w:rsidP="00F077E4">
            <w:pPr>
              <w:pStyle w:val="BodyText"/>
              <w:spacing w:after="200"/>
              <w:rPr>
                <w:b/>
              </w:rPr>
            </w:pPr>
            <w:r>
              <w:rPr>
                <w:b/>
              </w:rPr>
              <w:t>MBS</w:t>
            </w:r>
          </w:p>
        </w:tc>
        <w:tc>
          <w:tcPr>
            <w:tcW w:w="7677" w:type="dxa"/>
          </w:tcPr>
          <w:p w:rsidR="00B34BF2" w:rsidRPr="00B93038" w:rsidRDefault="00B34BF2" w:rsidP="00F077E4">
            <w:pPr>
              <w:pStyle w:val="BodyText"/>
              <w:spacing w:after="200"/>
            </w:pPr>
            <w:r>
              <w:t>Medical Benefits Schedule</w:t>
            </w:r>
          </w:p>
        </w:tc>
      </w:tr>
      <w:tr w:rsidR="00BF0990" w:rsidTr="003C65AE">
        <w:tc>
          <w:tcPr>
            <w:tcW w:w="1384" w:type="dxa"/>
          </w:tcPr>
          <w:p w:rsidR="00BF0990" w:rsidRPr="00705D4A" w:rsidRDefault="00BF0990" w:rsidP="00F077E4">
            <w:pPr>
              <w:pStyle w:val="BodyText"/>
              <w:spacing w:after="200"/>
              <w:rPr>
                <w:b/>
              </w:rPr>
            </w:pPr>
            <w:r>
              <w:rPr>
                <w:b/>
              </w:rPr>
              <w:t>MPR</w:t>
            </w:r>
          </w:p>
        </w:tc>
        <w:tc>
          <w:tcPr>
            <w:tcW w:w="7677" w:type="dxa"/>
          </w:tcPr>
          <w:p w:rsidR="00BF0990" w:rsidRPr="00705D4A" w:rsidRDefault="00174D17" w:rsidP="00F077E4">
            <w:pPr>
              <w:pStyle w:val="BodyText"/>
              <w:spacing w:after="200"/>
            </w:pPr>
            <w:r>
              <w:t>Medication Possession R</w:t>
            </w:r>
            <w:r w:rsidR="00BF0990">
              <w:t>atio</w:t>
            </w:r>
          </w:p>
        </w:tc>
      </w:tr>
      <w:tr w:rsidR="00602795" w:rsidTr="003C65AE">
        <w:tc>
          <w:tcPr>
            <w:tcW w:w="1384" w:type="dxa"/>
          </w:tcPr>
          <w:p w:rsidR="00602795" w:rsidRDefault="00602795" w:rsidP="00F077E4">
            <w:pPr>
              <w:pStyle w:val="BodyText"/>
              <w:spacing w:after="200"/>
              <w:rPr>
                <w:b/>
              </w:rPr>
            </w:pPr>
            <w:r>
              <w:rPr>
                <w:b/>
              </w:rPr>
              <w:t>MSAC</w:t>
            </w:r>
          </w:p>
        </w:tc>
        <w:tc>
          <w:tcPr>
            <w:tcW w:w="7677" w:type="dxa"/>
          </w:tcPr>
          <w:p w:rsidR="00602795" w:rsidRDefault="00602795" w:rsidP="00F077E4">
            <w:pPr>
              <w:pStyle w:val="BodyText"/>
              <w:spacing w:after="200"/>
            </w:pPr>
            <w:r w:rsidRPr="00B93038">
              <w:t>Medical Services Advisory Committee</w:t>
            </w:r>
          </w:p>
        </w:tc>
      </w:tr>
      <w:tr w:rsidR="00646B40" w:rsidTr="003C65AE">
        <w:tc>
          <w:tcPr>
            <w:tcW w:w="1384" w:type="dxa"/>
          </w:tcPr>
          <w:p w:rsidR="00646B40" w:rsidRDefault="00646B40" w:rsidP="00F077E4">
            <w:pPr>
              <w:pStyle w:val="BodyText"/>
              <w:spacing w:after="200"/>
              <w:rPr>
                <w:b/>
              </w:rPr>
            </w:pPr>
            <w:r>
              <w:rPr>
                <w:b/>
              </w:rPr>
              <w:lastRenderedPageBreak/>
              <w:t>NHMRC</w:t>
            </w:r>
          </w:p>
        </w:tc>
        <w:tc>
          <w:tcPr>
            <w:tcW w:w="7677" w:type="dxa"/>
          </w:tcPr>
          <w:p w:rsidR="00646B40" w:rsidRPr="00B93038" w:rsidRDefault="00646B40" w:rsidP="00F077E4">
            <w:pPr>
              <w:pStyle w:val="BodyText"/>
              <w:spacing w:after="200"/>
            </w:pPr>
            <w:r>
              <w:t>National Health and Medical Research Council</w:t>
            </w:r>
          </w:p>
        </w:tc>
      </w:tr>
      <w:tr w:rsidR="004C62B0" w:rsidTr="003C65AE">
        <w:tc>
          <w:tcPr>
            <w:tcW w:w="1384" w:type="dxa"/>
          </w:tcPr>
          <w:p w:rsidR="004C62B0" w:rsidRDefault="004C62B0" w:rsidP="00F077E4">
            <w:pPr>
              <w:pStyle w:val="BodyText"/>
              <w:spacing w:after="200"/>
              <w:rPr>
                <w:b/>
              </w:rPr>
            </w:pPr>
            <w:r>
              <w:rPr>
                <w:b/>
              </w:rPr>
              <w:t>NIDDM</w:t>
            </w:r>
          </w:p>
        </w:tc>
        <w:tc>
          <w:tcPr>
            <w:tcW w:w="7677" w:type="dxa"/>
          </w:tcPr>
          <w:p w:rsidR="004C62B0" w:rsidRDefault="004C62B0" w:rsidP="00F077E4">
            <w:pPr>
              <w:pStyle w:val="BodyText"/>
              <w:spacing w:after="200"/>
            </w:pPr>
            <w:r>
              <w:t>Non-Insulin Dependent Diabetes Mellitus</w:t>
            </w:r>
          </w:p>
        </w:tc>
      </w:tr>
      <w:tr w:rsidR="00932973" w:rsidTr="003C65AE">
        <w:tc>
          <w:tcPr>
            <w:tcW w:w="1384" w:type="dxa"/>
          </w:tcPr>
          <w:p w:rsidR="00932973" w:rsidRDefault="00932973" w:rsidP="00F077E4">
            <w:pPr>
              <w:pStyle w:val="BodyText"/>
              <w:spacing w:after="200"/>
              <w:rPr>
                <w:b/>
              </w:rPr>
            </w:pPr>
            <w:r>
              <w:rPr>
                <w:b/>
              </w:rPr>
              <w:t>OARS-IADL</w:t>
            </w:r>
          </w:p>
        </w:tc>
        <w:tc>
          <w:tcPr>
            <w:tcW w:w="7677" w:type="dxa"/>
          </w:tcPr>
          <w:p w:rsidR="00932973" w:rsidRDefault="00932973" w:rsidP="00F077E4">
            <w:pPr>
              <w:pStyle w:val="BodyText"/>
              <w:spacing w:after="200"/>
            </w:pPr>
            <w:r w:rsidRPr="000F48FC">
              <w:t>Older Americans Resource and Services Instrumental Activities of Daily Living</w:t>
            </w:r>
          </w:p>
        </w:tc>
      </w:tr>
      <w:tr w:rsidR="009929D9" w:rsidTr="003C65AE">
        <w:tc>
          <w:tcPr>
            <w:tcW w:w="1384" w:type="dxa"/>
          </w:tcPr>
          <w:p w:rsidR="009929D9" w:rsidRDefault="009929D9" w:rsidP="00F077E4">
            <w:pPr>
              <w:pStyle w:val="BodyText"/>
              <w:spacing w:after="200"/>
              <w:rPr>
                <w:b/>
              </w:rPr>
            </w:pPr>
            <w:r>
              <w:rPr>
                <w:b/>
              </w:rPr>
              <w:t>OP</w:t>
            </w:r>
          </w:p>
        </w:tc>
        <w:tc>
          <w:tcPr>
            <w:tcW w:w="7677" w:type="dxa"/>
          </w:tcPr>
          <w:p w:rsidR="009929D9" w:rsidRDefault="009929D9" w:rsidP="00F077E4">
            <w:pPr>
              <w:pStyle w:val="BodyText"/>
              <w:spacing w:after="200"/>
            </w:pPr>
            <w:r>
              <w:t>Original</w:t>
            </w:r>
            <w:r w:rsidR="00174D17">
              <w:t xml:space="preserve"> P</w:t>
            </w:r>
            <w:r>
              <w:t>ack</w:t>
            </w:r>
          </w:p>
        </w:tc>
      </w:tr>
      <w:tr w:rsidR="00BF0990" w:rsidTr="003C65AE">
        <w:tc>
          <w:tcPr>
            <w:tcW w:w="1384" w:type="dxa"/>
          </w:tcPr>
          <w:p w:rsidR="00BF0990" w:rsidRPr="00705D4A" w:rsidRDefault="00BF0990" w:rsidP="00F077E4">
            <w:pPr>
              <w:pStyle w:val="BodyText"/>
              <w:spacing w:after="200"/>
              <w:rPr>
                <w:b/>
              </w:rPr>
            </w:pPr>
            <w:r>
              <w:rPr>
                <w:b/>
              </w:rPr>
              <w:t>PBS</w:t>
            </w:r>
          </w:p>
        </w:tc>
        <w:tc>
          <w:tcPr>
            <w:tcW w:w="7677" w:type="dxa"/>
          </w:tcPr>
          <w:p w:rsidR="00BF0990" w:rsidRPr="00705D4A" w:rsidRDefault="00BF0990" w:rsidP="00F077E4">
            <w:pPr>
              <w:pStyle w:val="BodyText"/>
              <w:spacing w:after="200"/>
            </w:pPr>
            <w:r w:rsidRPr="00BF0990">
              <w:t>Pharmaceutical Benefits Scheme</w:t>
            </w:r>
          </w:p>
        </w:tc>
      </w:tr>
      <w:tr w:rsidR="00C269C0" w:rsidTr="003C65AE">
        <w:tc>
          <w:tcPr>
            <w:tcW w:w="1384" w:type="dxa"/>
          </w:tcPr>
          <w:p w:rsidR="00C269C0" w:rsidRDefault="00C269C0" w:rsidP="00F077E4">
            <w:pPr>
              <w:pStyle w:val="BodyText"/>
              <w:spacing w:after="200"/>
              <w:rPr>
                <w:b/>
              </w:rPr>
            </w:pPr>
            <w:r>
              <w:rPr>
                <w:b/>
              </w:rPr>
              <w:t>PHA</w:t>
            </w:r>
          </w:p>
        </w:tc>
        <w:tc>
          <w:tcPr>
            <w:tcW w:w="7677" w:type="dxa"/>
          </w:tcPr>
          <w:p w:rsidR="00C269C0" w:rsidRPr="00443BD6" w:rsidRDefault="00C269C0" w:rsidP="00F077E4">
            <w:pPr>
              <w:pStyle w:val="BodyText"/>
              <w:spacing w:after="200"/>
            </w:pPr>
            <w:r>
              <w:t>Population Health Area</w:t>
            </w:r>
          </w:p>
        </w:tc>
      </w:tr>
      <w:tr w:rsidR="00443BD6" w:rsidTr="003C65AE">
        <w:tc>
          <w:tcPr>
            <w:tcW w:w="1384" w:type="dxa"/>
          </w:tcPr>
          <w:p w:rsidR="00443BD6" w:rsidRDefault="00443BD6" w:rsidP="00F077E4">
            <w:pPr>
              <w:pStyle w:val="BodyText"/>
              <w:spacing w:after="200"/>
              <w:rPr>
                <w:b/>
              </w:rPr>
            </w:pPr>
            <w:r>
              <w:rPr>
                <w:b/>
              </w:rPr>
              <w:t>PhARIA</w:t>
            </w:r>
          </w:p>
        </w:tc>
        <w:tc>
          <w:tcPr>
            <w:tcW w:w="7677" w:type="dxa"/>
          </w:tcPr>
          <w:p w:rsidR="00443BD6" w:rsidRPr="00BF0990" w:rsidRDefault="00443BD6" w:rsidP="00F077E4">
            <w:pPr>
              <w:pStyle w:val="BodyText"/>
              <w:spacing w:after="200"/>
            </w:pPr>
            <w:r w:rsidRPr="00443BD6">
              <w:t>Pharmacy Access</w:t>
            </w:r>
            <w:r>
              <w:t>/Remoteness Index of Australia</w:t>
            </w:r>
          </w:p>
        </w:tc>
      </w:tr>
      <w:tr w:rsidR="009929D9" w:rsidTr="003C65AE">
        <w:tc>
          <w:tcPr>
            <w:tcW w:w="1384" w:type="dxa"/>
          </w:tcPr>
          <w:p w:rsidR="009929D9" w:rsidRDefault="009929D9" w:rsidP="00F077E4">
            <w:pPr>
              <w:pStyle w:val="BodyText"/>
              <w:spacing w:after="200"/>
              <w:rPr>
                <w:b/>
              </w:rPr>
            </w:pPr>
            <w:r>
              <w:rPr>
                <w:b/>
              </w:rPr>
              <w:t>PICO</w:t>
            </w:r>
          </w:p>
        </w:tc>
        <w:tc>
          <w:tcPr>
            <w:tcW w:w="7677" w:type="dxa"/>
          </w:tcPr>
          <w:p w:rsidR="009929D9" w:rsidRPr="00BF0990" w:rsidRDefault="00174D17" w:rsidP="00F077E4">
            <w:pPr>
              <w:pStyle w:val="BodyText"/>
              <w:spacing w:after="200"/>
            </w:pPr>
            <w:r>
              <w:t>Population, Intervention, Comparator, O</w:t>
            </w:r>
            <w:r w:rsidR="009929D9">
              <w:t>utcome</w:t>
            </w:r>
          </w:p>
        </w:tc>
      </w:tr>
      <w:tr w:rsidR="00443BD6" w:rsidTr="003C65AE">
        <w:tc>
          <w:tcPr>
            <w:tcW w:w="1384" w:type="dxa"/>
          </w:tcPr>
          <w:p w:rsidR="00443BD6" w:rsidRDefault="00443BD6" w:rsidP="00F077E4">
            <w:pPr>
              <w:pStyle w:val="BodyText"/>
              <w:spacing w:after="200"/>
              <w:rPr>
                <w:b/>
              </w:rPr>
            </w:pPr>
            <w:r>
              <w:rPr>
                <w:b/>
              </w:rPr>
              <w:t>PMP</w:t>
            </w:r>
          </w:p>
        </w:tc>
        <w:tc>
          <w:tcPr>
            <w:tcW w:w="7677" w:type="dxa"/>
          </w:tcPr>
          <w:p w:rsidR="00443BD6" w:rsidRDefault="00443BD6" w:rsidP="00F077E4">
            <w:pPr>
              <w:pStyle w:val="BodyText"/>
              <w:spacing w:after="200"/>
            </w:pPr>
            <w:r w:rsidRPr="00443BD6">
              <w:t>Patient Medication Profiling</w:t>
            </w:r>
          </w:p>
        </w:tc>
      </w:tr>
      <w:tr w:rsidR="00BF0990" w:rsidTr="003C65AE">
        <w:tc>
          <w:tcPr>
            <w:tcW w:w="1384" w:type="dxa"/>
          </w:tcPr>
          <w:p w:rsidR="00BF0990" w:rsidRPr="00705D4A" w:rsidRDefault="00BF0990" w:rsidP="00F077E4">
            <w:pPr>
              <w:pStyle w:val="BodyText"/>
              <w:spacing w:after="200"/>
              <w:rPr>
                <w:b/>
              </w:rPr>
            </w:pPr>
            <w:r>
              <w:rPr>
                <w:b/>
              </w:rPr>
              <w:t>PPI</w:t>
            </w:r>
          </w:p>
        </w:tc>
        <w:tc>
          <w:tcPr>
            <w:tcW w:w="7677" w:type="dxa"/>
          </w:tcPr>
          <w:p w:rsidR="00BF0990" w:rsidRPr="00705D4A" w:rsidRDefault="00174D17" w:rsidP="00F077E4">
            <w:pPr>
              <w:pStyle w:val="BodyText"/>
              <w:spacing w:after="200"/>
            </w:pPr>
            <w:r>
              <w:t>Pharmacy Practice Incentives</w:t>
            </w:r>
          </w:p>
        </w:tc>
      </w:tr>
      <w:tr w:rsidR="001E77D2" w:rsidTr="003C65AE">
        <w:tc>
          <w:tcPr>
            <w:tcW w:w="1384" w:type="dxa"/>
          </w:tcPr>
          <w:p w:rsidR="001E77D2" w:rsidRDefault="001E77D2" w:rsidP="00F077E4">
            <w:pPr>
              <w:pStyle w:val="BodyText"/>
              <w:spacing w:after="200"/>
              <w:rPr>
                <w:b/>
              </w:rPr>
            </w:pPr>
            <w:r>
              <w:rPr>
                <w:b/>
              </w:rPr>
              <w:t>PSA</w:t>
            </w:r>
          </w:p>
        </w:tc>
        <w:tc>
          <w:tcPr>
            <w:tcW w:w="7677" w:type="dxa"/>
          </w:tcPr>
          <w:p w:rsidR="001E77D2" w:rsidRDefault="001E77D2" w:rsidP="00F077E4">
            <w:pPr>
              <w:pStyle w:val="BodyText"/>
              <w:spacing w:after="200"/>
            </w:pPr>
            <w:r w:rsidRPr="001E77D2">
              <w:t>Pharmac</w:t>
            </w:r>
            <w:r w:rsidR="00174D17">
              <w:t>eutical</w:t>
            </w:r>
            <w:r w:rsidRPr="001E77D2">
              <w:t xml:space="preserve"> Society of Australia</w:t>
            </w:r>
          </w:p>
        </w:tc>
      </w:tr>
      <w:tr w:rsidR="00443BD6" w:rsidTr="003C65AE">
        <w:tc>
          <w:tcPr>
            <w:tcW w:w="1384" w:type="dxa"/>
          </w:tcPr>
          <w:p w:rsidR="00443BD6" w:rsidRDefault="00443BD6" w:rsidP="00F077E4">
            <w:pPr>
              <w:pStyle w:val="BodyText"/>
              <w:spacing w:after="200"/>
              <w:rPr>
                <w:b/>
              </w:rPr>
            </w:pPr>
            <w:r>
              <w:rPr>
                <w:b/>
              </w:rPr>
              <w:t>PwC</w:t>
            </w:r>
          </w:p>
        </w:tc>
        <w:tc>
          <w:tcPr>
            <w:tcW w:w="7677" w:type="dxa"/>
          </w:tcPr>
          <w:p w:rsidR="00443BD6" w:rsidRPr="001E77D2" w:rsidRDefault="00443BD6" w:rsidP="00F077E4">
            <w:pPr>
              <w:pStyle w:val="BodyText"/>
              <w:spacing w:after="200"/>
            </w:pPr>
            <w:r w:rsidRPr="00443BD6">
              <w:t>PricewaterhouseCoopers</w:t>
            </w:r>
          </w:p>
        </w:tc>
      </w:tr>
      <w:tr w:rsidR="00602795" w:rsidTr="003C65AE">
        <w:tc>
          <w:tcPr>
            <w:tcW w:w="1384" w:type="dxa"/>
          </w:tcPr>
          <w:p w:rsidR="00602795" w:rsidRDefault="00602795" w:rsidP="00F077E4">
            <w:pPr>
              <w:pStyle w:val="BodyText"/>
              <w:spacing w:after="200"/>
              <w:rPr>
                <w:b/>
              </w:rPr>
            </w:pPr>
            <w:r>
              <w:rPr>
                <w:b/>
              </w:rPr>
              <w:t>QCPP</w:t>
            </w:r>
          </w:p>
        </w:tc>
        <w:tc>
          <w:tcPr>
            <w:tcW w:w="7677" w:type="dxa"/>
          </w:tcPr>
          <w:p w:rsidR="00602795" w:rsidRPr="001E77D2" w:rsidRDefault="00602795" w:rsidP="00F077E4">
            <w:pPr>
              <w:pStyle w:val="BodyText"/>
              <w:spacing w:after="200"/>
            </w:pPr>
            <w:r w:rsidRPr="00AC3A3D">
              <w:t>Quality Care Pharmacy Program</w:t>
            </w:r>
          </w:p>
        </w:tc>
      </w:tr>
      <w:tr w:rsidR="001E77D2" w:rsidTr="003C65AE">
        <w:tc>
          <w:tcPr>
            <w:tcW w:w="1384" w:type="dxa"/>
          </w:tcPr>
          <w:p w:rsidR="001E77D2" w:rsidRDefault="001E77D2" w:rsidP="00F077E4">
            <w:pPr>
              <w:pStyle w:val="BodyText"/>
              <w:spacing w:after="200"/>
              <w:rPr>
                <w:b/>
              </w:rPr>
            </w:pPr>
            <w:r>
              <w:rPr>
                <w:b/>
              </w:rPr>
              <w:t>QUM</w:t>
            </w:r>
          </w:p>
        </w:tc>
        <w:tc>
          <w:tcPr>
            <w:tcW w:w="7677" w:type="dxa"/>
          </w:tcPr>
          <w:p w:rsidR="001E77D2" w:rsidRDefault="001E77D2" w:rsidP="00F077E4">
            <w:pPr>
              <w:pStyle w:val="BodyText"/>
              <w:spacing w:after="200"/>
            </w:pPr>
            <w:r w:rsidRPr="001E77D2">
              <w:t>Quality Use of Medicines</w:t>
            </w:r>
          </w:p>
        </w:tc>
      </w:tr>
      <w:tr w:rsidR="00602795" w:rsidTr="003C65AE">
        <w:tc>
          <w:tcPr>
            <w:tcW w:w="1384" w:type="dxa"/>
          </w:tcPr>
          <w:p w:rsidR="00602795" w:rsidRDefault="00602795" w:rsidP="00F077E4">
            <w:pPr>
              <w:pStyle w:val="BodyText"/>
              <w:spacing w:after="200"/>
              <w:rPr>
                <w:b/>
              </w:rPr>
            </w:pPr>
            <w:r>
              <w:rPr>
                <w:b/>
              </w:rPr>
              <w:t>QUMAX</w:t>
            </w:r>
          </w:p>
        </w:tc>
        <w:tc>
          <w:tcPr>
            <w:tcW w:w="7677" w:type="dxa"/>
          </w:tcPr>
          <w:p w:rsidR="00602795" w:rsidRPr="001E77D2" w:rsidRDefault="00602795" w:rsidP="00F077E4">
            <w:pPr>
              <w:pStyle w:val="BodyText"/>
              <w:spacing w:after="200"/>
            </w:pPr>
            <w:r>
              <w:t xml:space="preserve">Quality Use of Medicines Maximised (for </w:t>
            </w:r>
            <w:r w:rsidRPr="00B93038">
              <w:t>Aboriginal and Torres Strait Islander</w:t>
            </w:r>
            <w:r>
              <w:t xml:space="preserve"> People</w:t>
            </w:r>
            <w:r w:rsidR="008C5209">
              <w:t>)</w:t>
            </w:r>
          </w:p>
        </w:tc>
      </w:tr>
      <w:tr w:rsidR="001E77D2" w:rsidTr="003C65AE">
        <w:tc>
          <w:tcPr>
            <w:tcW w:w="1384" w:type="dxa"/>
          </w:tcPr>
          <w:p w:rsidR="001E77D2" w:rsidRDefault="001E77D2" w:rsidP="00F077E4">
            <w:pPr>
              <w:pStyle w:val="BodyText"/>
              <w:spacing w:after="200"/>
              <w:rPr>
                <w:b/>
              </w:rPr>
            </w:pPr>
            <w:r>
              <w:rPr>
                <w:b/>
              </w:rPr>
              <w:t>RACF</w:t>
            </w:r>
          </w:p>
        </w:tc>
        <w:tc>
          <w:tcPr>
            <w:tcW w:w="7677" w:type="dxa"/>
          </w:tcPr>
          <w:p w:rsidR="001E77D2" w:rsidRDefault="001E77D2" w:rsidP="00F077E4">
            <w:pPr>
              <w:pStyle w:val="BodyText"/>
              <w:spacing w:after="200"/>
            </w:pPr>
            <w:r w:rsidRPr="001E77D2">
              <w:t>Residential Aged Care Facility</w:t>
            </w:r>
          </w:p>
        </w:tc>
      </w:tr>
      <w:tr w:rsidR="005848A1" w:rsidTr="003C65AE">
        <w:tc>
          <w:tcPr>
            <w:tcW w:w="1384" w:type="dxa"/>
          </w:tcPr>
          <w:p w:rsidR="005848A1" w:rsidRDefault="005848A1" w:rsidP="00F077E4">
            <w:pPr>
              <w:pStyle w:val="BodyText"/>
              <w:spacing w:after="200"/>
              <w:rPr>
                <w:b/>
              </w:rPr>
            </w:pPr>
            <w:r>
              <w:rPr>
                <w:b/>
              </w:rPr>
              <w:t>RCF</w:t>
            </w:r>
          </w:p>
        </w:tc>
        <w:tc>
          <w:tcPr>
            <w:tcW w:w="7677" w:type="dxa"/>
          </w:tcPr>
          <w:p w:rsidR="005848A1" w:rsidRPr="001E77D2" w:rsidRDefault="005848A1" w:rsidP="00F077E4">
            <w:pPr>
              <w:pStyle w:val="BodyText"/>
              <w:spacing w:after="200"/>
            </w:pPr>
            <w:r>
              <w:t>Residential Care Facility</w:t>
            </w:r>
          </w:p>
        </w:tc>
      </w:tr>
      <w:tr w:rsidR="00602795" w:rsidTr="003C65AE">
        <w:tc>
          <w:tcPr>
            <w:tcW w:w="1384" w:type="dxa"/>
          </w:tcPr>
          <w:p w:rsidR="00602795" w:rsidRDefault="00602795" w:rsidP="00F077E4">
            <w:pPr>
              <w:pStyle w:val="BodyText"/>
              <w:spacing w:after="200"/>
              <w:rPr>
                <w:b/>
              </w:rPr>
            </w:pPr>
            <w:r>
              <w:rPr>
                <w:b/>
              </w:rPr>
              <w:t>RMMR</w:t>
            </w:r>
          </w:p>
        </w:tc>
        <w:tc>
          <w:tcPr>
            <w:tcW w:w="7677" w:type="dxa"/>
          </w:tcPr>
          <w:p w:rsidR="00602795" w:rsidRPr="001E77D2" w:rsidRDefault="00602795" w:rsidP="00F077E4">
            <w:pPr>
              <w:pStyle w:val="BodyText"/>
              <w:spacing w:after="200"/>
            </w:pPr>
            <w:r w:rsidRPr="00B93038">
              <w:t>Residential Medication Management Reviews</w:t>
            </w:r>
          </w:p>
        </w:tc>
      </w:tr>
      <w:tr w:rsidR="004C62B0" w:rsidTr="003C65AE">
        <w:tc>
          <w:tcPr>
            <w:tcW w:w="1384" w:type="dxa"/>
          </w:tcPr>
          <w:p w:rsidR="004C62B0" w:rsidRDefault="004C62B0" w:rsidP="00F077E4">
            <w:pPr>
              <w:pStyle w:val="BodyText"/>
              <w:spacing w:after="200"/>
              <w:rPr>
                <w:b/>
              </w:rPr>
            </w:pPr>
            <w:r>
              <w:rPr>
                <w:b/>
              </w:rPr>
              <w:t>RP</w:t>
            </w:r>
          </w:p>
        </w:tc>
        <w:tc>
          <w:tcPr>
            <w:tcW w:w="7677" w:type="dxa"/>
          </w:tcPr>
          <w:p w:rsidR="004C62B0" w:rsidRPr="00B93038" w:rsidRDefault="004C62B0" w:rsidP="00F077E4">
            <w:pPr>
              <w:pStyle w:val="BodyText"/>
              <w:spacing w:after="200"/>
            </w:pPr>
            <w:r>
              <w:t>Reminder Packaging</w:t>
            </w:r>
          </w:p>
        </w:tc>
      </w:tr>
      <w:tr w:rsidR="00116D53" w:rsidTr="003C65AE">
        <w:tc>
          <w:tcPr>
            <w:tcW w:w="1384" w:type="dxa"/>
          </w:tcPr>
          <w:p w:rsidR="00116D53" w:rsidRDefault="00116D53" w:rsidP="00F077E4">
            <w:pPr>
              <w:pStyle w:val="BodyText"/>
              <w:spacing w:after="200"/>
              <w:rPr>
                <w:b/>
              </w:rPr>
            </w:pPr>
            <w:r>
              <w:rPr>
                <w:b/>
              </w:rPr>
              <w:t>SD</w:t>
            </w:r>
          </w:p>
        </w:tc>
        <w:tc>
          <w:tcPr>
            <w:tcW w:w="7677" w:type="dxa"/>
          </w:tcPr>
          <w:p w:rsidR="00116D53" w:rsidRDefault="00116D53" w:rsidP="00F077E4">
            <w:pPr>
              <w:pStyle w:val="BodyText"/>
              <w:spacing w:after="200"/>
            </w:pPr>
            <w:r>
              <w:t>Standard Deviation</w:t>
            </w:r>
          </w:p>
        </w:tc>
      </w:tr>
      <w:tr w:rsidR="00443BD6" w:rsidTr="003C65AE">
        <w:tc>
          <w:tcPr>
            <w:tcW w:w="1384" w:type="dxa"/>
          </w:tcPr>
          <w:p w:rsidR="00443BD6" w:rsidRPr="00443BD6" w:rsidRDefault="00443BD6" w:rsidP="00F077E4">
            <w:pPr>
              <w:pStyle w:val="BodyText"/>
              <w:spacing w:after="200"/>
              <w:rPr>
                <w:b/>
              </w:rPr>
            </w:pPr>
            <w:r w:rsidRPr="00443BD6">
              <w:rPr>
                <w:b/>
              </w:rPr>
              <w:t>SEIFA</w:t>
            </w:r>
          </w:p>
        </w:tc>
        <w:tc>
          <w:tcPr>
            <w:tcW w:w="7677" w:type="dxa"/>
          </w:tcPr>
          <w:p w:rsidR="00443BD6" w:rsidRPr="001E77D2" w:rsidRDefault="00443BD6" w:rsidP="00F077E4">
            <w:pPr>
              <w:pStyle w:val="BodyText"/>
              <w:spacing w:after="200"/>
            </w:pPr>
            <w:r w:rsidRPr="00443BD6">
              <w:t>S</w:t>
            </w:r>
            <w:r>
              <w:t>ocio-Economic Indexes for Areas</w:t>
            </w:r>
          </w:p>
        </w:tc>
      </w:tr>
      <w:tr w:rsidR="001E77D2" w:rsidTr="003C65AE">
        <w:tc>
          <w:tcPr>
            <w:tcW w:w="1384" w:type="dxa"/>
          </w:tcPr>
          <w:p w:rsidR="001E77D2" w:rsidRDefault="001E77D2" w:rsidP="00F077E4">
            <w:pPr>
              <w:pStyle w:val="BodyText"/>
              <w:spacing w:after="200"/>
              <w:rPr>
                <w:b/>
              </w:rPr>
            </w:pPr>
            <w:r>
              <w:rPr>
                <w:b/>
              </w:rPr>
              <w:t>SS</w:t>
            </w:r>
          </w:p>
        </w:tc>
        <w:tc>
          <w:tcPr>
            <w:tcW w:w="7677" w:type="dxa"/>
          </w:tcPr>
          <w:p w:rsidR="001E77D2" w:rsidRPr="001E77D2" w:rsidRDefault="001E77D2" w:rsidP="00F077E4">
            <w:pPr>
              <w:pStyle w:val="BodyText"/>
              <w:spacing w:after="200"/>
            </w:pPr>
            <w:r w:rsidRPr="001E77D2">
              <w:t>Staged Supply</w:t>
            </w:r>
          </w:p>
        </w:tc>
      </w:tr>
      <w:tr w:rsidR="00B34BF2" w:rsidTr="003C65AE">
        <w:tc>
          <w:tcPr>
            <w:tcW w:w="1384" w:type="dxa"/>
          </w:tcPr>
          <w:p w:rsidR="00B34BF2" w:rsidRDefault="00B34BF2" w:rsidP="00F077E4">
            <w:pPr>
              <w:pStyle w:val="BodyText"/>
              <w:spacing w:after="200"/>
              <w:rPr>
                <w:b/>
              </w:rPr>
            </w:pPr>
            <w:r>
              <w:rPr>
                <w:b/>
              </w:rPr>
              <w:t>TGA</w:t>
            </w:r>
          </w:p>
        </w:tc>
        <w:tc>
          <w:tcPr>
            <w:tcW w:w="7677" w:type="dxa"/>
          </w:tcPr>
          <w:p w:rsidR="00B34BF2" w:rsidRPr="001E77D2" w:rsidRDefault="00B34BF2" w:rsidP="00F077E4">
            <w:pPr>
              <w:pStyle w:val="BodyText"/>
              <w:spacing w:after="200"/>
            </w:pPr>
            <w:r w:rsidRPr="000F48FC">
              <w:t>Therapeutic Goods Administration</w:t>
            </w:r>
          </w:p>
        </w:tc>
      </w:tr>
      <w:tr w:rsidR="004C62B0" w:rsidTr="003C65AE">
        <w:tc>
          <w:tcPr>
            <w:tcW w:w="1384" w:type="dxa"/>
          </w:tcPr>
          <w:p w:rsidR="004C62B0" w:rsidRDefault="004C62B0" w:rsidP="00F077E4">
            <w:pPr>
              <w:pStyle w:val="BodyText"/>
              <w:spacing w:after="200"/>
              <w:rPr>
                <w:b/>
              </w:rPr>
            </w:pPr>
            <w:r>
              <w:rPr>
                <w:b/>
              </w:rPr>
              <w:t>TTR</w:t>
            </w:r>
          </w:p>
        </w:tc>
        <w:tc>
          <w:tcPr>
            <w:tcW w:w="7677" w:type="dxa"/>
          </w:tcPr>
          <w:p w:rsidR="004C62B0" w:rsidRPr="000F48FC" w:rsidRDefault="004C62B0" w:rsidP="00F077E4">
            <w:pPr>
              <w:pStyle w:val="BodyText"/>
              <w:spacing w:after="200"/>
            </w:pPr>
            <w:r>
              <w:t>Time in Therapeutic R</w:t>
            </w:r>
            <w:r w:rsidRPr="00414F46">
              <w:t xml:space="preserve">ange </w:t>
            </w:r>
          </w:p>
        </w:tc>
      </w:tr>
    </w:tbl>
    <w:p w:rsidR="000172DE" w:rsidRPr="000172DE" w:rsidRDefault="000172DE" w:rsidP="000172DE"/>
    <w:p w:rsidR="000172DE" w:rsidRDefault="000172DE" w:rsidP="00B4127D">
      <w:pPr>
        <w:sectPr w:rsidR="000172DE" w:rsidSect="00982A19">
          <w:footerReference w:type="default" r:id="rId16"/>
          <w:pgSz w:w="11906" w:h="16838" w:code="9"/>
          <w:pgMar w:top="1134" w:right="1134" w:bottom="1134" w:left="1134" w:header="680" w:footer="851" w:gutter="0"/>
          <w:pgNumType w:fmt="lowerRoman"/>
          <w:cols w:space="708"/>
          <w:docGrid w:linePitch="360"/>
        </w:sectPr>
      </w:pPr>
    </w:p>
    <w:p w:rsidR="00BF6408" w:rsidRDefault="00BF6408" w:rsidP="00BF6408">
      <w:pPr>
        <w:pStyle w:val="ESHeading1"/>
      </w:pPr>
      <w:bookmarkStart w:id="3" w:name="_Toc463537941"/>
      <w:bookmarkStart w:id="4" w:name="_Toc523230258"/>
      <w:r>
        <w:lastRenderedPageBreak/>
        <w:t>Executive summary</w:t>
      </w:r>
      <w:bookmarkEnd w:id="3"/>
      <w:bookmarkEnd w:id="4"/>
    </w:p>
    <w:p w:rsidR="00BF6408" w:rsidRDefault="00BF6408" w:rsidP="00BF6408">
      <w:pPr>
        <w:pStyle w:val="Bodytextbeforebullets"/>
      </w:pPr>
      <w:r w:rsidRPr="00B93038">
        <w:t>On the 28</w:t>
      </w:r>
      <w:r w:rsidRPr="009C2B99">
        <w:rPr>
          <w:vertAlign w:val="superscript"/>
        </w:rPr>
        <w:t xml:space="preserve">th </w:t>
      </w:r>
      <w:r w:rsidRPr="00B93038">
        <w:t xml:space="preserve">June 2016, the Department of Health engaged HealthConsult to evaluate </w:t>
      </w:r>
      <w:r>
        <w:t xml:space="preserve">three Pharmacy Practice Incentives (PPI) </w:t>
      </w:r>
      <w:r w:rsidRPr="00B93038">
        <w:t>P</w:t>
      </w:r>
      <w:r>
        <w:t>rogram initiatives: Dose Administration Aids (DAAs), Staged Supply (SS), Clinical Interventions (CIs)</w:t>
      </w:r>
      <w:r w:rsidRPr="00B93038">
        <w:t>.</w:t>
      </w:r>
      <w:r>
        <w:t xml:space="preserve">  This report presents the </w:t>
      </w:r>
      <w:r w:rsidR="00521680">
        <w:t>initial</w:t>
      </w:r>
      <w:r>
        <w:t xml:space="preserve"> evaluation of the DAA initiative, which has involved:</w:t>
      </w:r>
    </w:p>
    <w:p w:rsidR="00BF6408" w:rsidRDefault="00BF6408" w:rsidP="00BF6408">
      <w:pPr>
        <w:pStyle w:val="Bullettext"/>
      </w:pPr>
      <w:r>
        <w:t>a literature review to identify data to inform the comparative clinical and cost-effectiveness of the DAA initiative and ‘like’ programs internationally; and</w:t>
      </w:r>
    </w:p>
    <w:p w:rsidR="00BF6408" w:rsidRDefault="00BF6408" w:rsidP="00BF6408">
      <w:pPr>
        <w:pStyle w:val="Bullettext"/>
        <w:contextualSpacing w:val="0"/>
      </w:pPr>
      <w:r>
        <w:t>an examination of the available Australian utilisation data from the DAA initiative going back to its start under earlier Community Pharmacy Agreements (CPAs).</w:t>
      </w:r>
    </w:p>
    <w:p w:rsidR="00BF6408" w:rsidRDefault="00BF6408" w:rsidP="00BF6408">
      <w:pPr>
        <w:pStyle w:val="ESHeading2"/>
      </w:pPr>
      <w:bookmarkStart w:id="5" w:name="_Toc463537942"/>
      <w:bookmarkStart w:id="6" w:name="_Toc467170325"/>
      <w:bookmarkStart w:id="7" w:name="_Toc523230259"/>
      <w:r>
        <w:t>Background</w:t>
      </w:r>
      <w:bookmarkEnd w:id="5"/>
      <w:bookmarkEnd w:id="6"/>
      <w:bookmarkEnd w:id="7"/>
    </w:p>
    <w:p w:rsidR="00BF6408" w:rsidRDefault="00BF6408" w:rsidP="00BF6408">
      <w:pPr>
        <w:pStyle w:val="BodyText"/>
      </w:pPr>
      <w:r w:rsidRPr="00F077E4">
        <w:t xml:space="preserve">The DAA </w:t>
      </w:r>
      <w:r>
        <w:t>priority area</w:t>
      </w:r>
      <w:r w:rsidRPr="00F077E4">
        <w:t xml:space="preserve"> was established under the Better Community Health Initiative of the Fourth Community Pharmacy Agreement (4CPA) and Fifth Community Pharmacy Agreement (5CPA) between the Pharmacy Guild of Australia an</w:t>
      </w:r>
      <w:r>
        <w:t xml:space="preserve">d the Commonwealth Government. The DAA initiative was continued under </w:t>
      </w:r>
      <w:r w:rsidRPr="00B93038">
        <w:t xml:space="preserve">the </w:t>
      </w:r>
      <w:r>
        <w:t>Sixth Community Pharmacy Agreement (</w:t>
      </w:r>
      <w:r w:rsidRPr="00B93038">
        <w:t>6CPA</w:t>
      </w:r>
      <w:r>
        <w:t xml:space="preserve">), as part of the PPI </w:t>
      </w:r>
      <w:r w:rsidRPr="00B93038">
        <w:t>P</w:t>
      </w:r>
      <w:r>
        <w:t xml:space="preserve">rogram </w:t>
      </w:r>
      <w:r w:rsidRPr="00B93038">
        <w:t>directed at improving medication compliance through community pharmacies in Australia</w:t>
      </w:r>
      <w:r>
        <w:t xml:space="preserve">. </w:t>
      </w:r>
      <w:r w:rsidRPr="00AC3A3D">
        <w:t xml:space="preserve">The Guild and the </w:t>
      </w:r>
      <w:r>
        <w:t>Commonwealth</w:t>
      </w:r>
      <w:r w:rsidRPr="00AC3A3D">
        <w:t xml:space="preserve"> Government jointly assess the payment amount the eligible community pharmacy is entitled to receive for the </w:t>
      </w:r>
      <w:r>
        <w:t xml:space="preserve">provision of </w:t>
      </w:r>
      <w:r w:rsidRPr="00AC3A3D">
        <w:t>DAA</w:t>
      </w:r>
      <w:r>
        <w:t>s</w:t>
      </w:r>
      <w:r w:rsidRPr="00AC3A3D">
        <w:t xml:space="preserve">. This </w:t>
      </w:r>
      <w:r>
        <w:t xml:space="preserve">amount </w:t>
      </w:r>
      <w:r w:rsidRPr="00AC3A3D">
        <w:t>is based on the number of services and pharmacy size (prescription volume</w:t>
      </w:r>
      <w:r>
        <w:t>).</w:t>
      </w:r>
    </w:p>
    <w:p w:rsidR="00BF6408" w:rsidRDefault="00BF6408" w:rsidP="00BF6408">
      <w:pPr>
        <w:pStyle w:val="BodyText"/>
      </w:pPr>
      <w:r w:rsidRPr="00B93038">
        <w:t xml:space="preserve">Under 6CPA, all </w:t>
      </w:r>
      <w:r>
        <w:t xml:space="preserve">funded </w:t>
      </w:r>
      <w:r w:rsidRPr="00B93038">
        <w:t>p</w:t>
      </w:r>
      <w:r>
        <w:t>rogram</w:t>
      </w:r>
      <w:r w:rsidRPr="00B93038">
        <w:t>s and services need to be</w:t>
      </w:r>
      <w:r>
        <w:t xml:space="preserve"> reviewed </w:t>
      </w:r>
      <w:r w:rsidRPr="00B93038">
        <w:t>by the Medical Services Advisory Committee (MSAC)</w:t>
      </w:r>
      <w:r>
        <w:t xml:space="preserve"> for clinical and cost-</w:t>
      </w:r>
      <w:r w:rsidRPr="00B93038">
        <w:t>effectiveness and the health benefits they offer to the community.</w:t>
      </w:r>
    </w:p>
    <w:p w:rsidR="00BF6408" w:rsidRDefault="00BF6408" w:rsidP="00BF6408">
      <w:pPr>
        <w:pStyle w:val="BodyText"/>
      </w:pPr>
      <w:r w:rsidRPr="00F077E4">
        <w:t xml:space="preserve">The </w:t>
      </w:r>
      <w:r>
        <w:t>current</w:t>
      </w:r>
      <w:r w:rsidRPr="00F077E4">
        <w:t xml:space="preserve"> Pharmaceutical Society of Australia (PSA) </w:t>
      </w:r>
      <w:r w:rsidRPr="00D95C9F">
        <w:rPr>
          <w:i/>
        </w:rPr>
        <w:t>Dose Administration Aids Service</w:t>
      </w:r>
      <w:r w:rsidRPr="00F077E4">
        <w:t xml:space="preserve"> </w:t>
      </w:r>
      <w:r>
        <w:t xml:space="preserve">– </w:t>
      </w:r>
      <w:r>
        <w:rPr>
          <w:i/>
        </w:rPr>
        <w:t xml:space="preserve">Guidelines and Standards for Pharmacists </w:t>
      </w:r>
      <w:r w:rsidRPr="00D460BC">
        <w:t xml:space="preserve">(2007) </w:t>
      </w:r>
      <w:r w:rsidRPr="00F077E4">
        <w:t>define</w:t>
      </w:r>
      <w:r>
        <w:t>s a</w:t>
      </w:r>
      <w:r w:rsidRPr="00F077E4">
        <w:t xml:space="preserve"> DAA</w:t>
      </w:r>
      <w:r>
        <w:t xml:space="preserve"> to be a ‘</w:t>
      </w:r>
      <w:r w:rsidRPr="00F077E4">
        <w:t xml:space="preserve">well-sealed, tamper-evident device that allows individual medicine doses to be organised according </w:t>
      </w:r>
      <w:r>
        <w:t>to the prescribed dose schedule’</w:t>
      </w:r>
      <w:r w:rsidRPr="00F077E4">
        <w:t xml:space="preserve">. </w:t>
      </w:r>
      <w:r w:rsidRPr="00AC3A3D">
        <w:t xml:space="preserve">Patient selection is based </w:t>
      </w:r>
      <w:r>
        <w:t>on the pharmacist’s assessment (</w:t>
      </w:r>
      <w:r w:rsidRPr="00AC3A3D">
        <w:t>collaboratively with the patient’</w:t>
      </w:r>
      <w:r>
        <w:t>s general practitioner, community nurse and carer)</w:t>
      </w:r>
      <w:r w:rsidRPr="00AC3A3D">
        <w:t xml:space="preserve"> of each consumer for </w:t>
      </w:r>
      <w:r>
        <w:t>his/her</w:t>
      </w:r>
      <w:r w:rsidRPr="00AC3A3D">
        <w:t xml:space="preserve"> likelihood to benefit from, and ability to use, a DAA</w:t>
      </w:r>
      <w:r>
        <w:t>.</w:t>
      </w:r>
      <w:r w:rsidRPr="00AC3A3D">
        <w:t xml:space="preserve"> </w:t>
      </w:r>
    </w:p>
    <w:p w:rsidR="00BF6408" w:rsidRDefault="00BF6408" w:rsidP="00BF6408">
      <w:pPr>
        <w:pStyle w:val="BodyText"/>
      </w:pPr>
      <w:r w:rsidRPr="00AC3A3D">
        <w:t xml:space="preserve">According to the </w:t>
      </w:r>
      <w:r>
        <w:t xml:space="preserve">PSA Guidelines (2007), the </w:t>
      </w:r>
      <w:r w:rsidRPr="00AC3A3D">
        <w:t xml:space="preserve">consumers most likely to benefit from </w:t>
      </w:r>
      <w:r>
        <w:t>DAAs include those living in the community</w:t>
      </w:r>
      <w:r w:rsidRPr="00AC3A3D">
        <w:t xml:space="preserve"> and</w:t>
      </w:r>
      <w:r>
        <w:t xml:space="preserve"> </w:t>
      </w:r>
      <w:r w:rsidRPr="00AC3A3D">
        <w:t>taking five or more medicines daily (includ</w:t>
      </w:r>
      <w:r>
        <w:t xml:space="preserve">ing non-prescription medicines); or </w:t>
      </w:r>
      <w:r w:rsidRPr="00AC3A3D">
        <w:t>with a medical history suggesting problems managing medicines (e.g. prior hospita</w:t>
      </w:r>
      <w:r>
        <w:t xml:space="preserve">lisation due to poor adherence); or </w:t>
      </w:r>
      <w:r w:rsidRPr="00AC3A3D">
        <w:t>with a complex regimen of medicines; or</w:t>
      </w:r>
      <w:r>
        <w:t xml:space="preserve"> </w:t>
      </w:r>
      <w:r w:rsidRPr="00AC3A3D">
        <w:t xml:space="preserve">with signs of cognitive or physical impairment </w:t>
      </w:r>
      <w:r>
        <w:t>that</w:t>
      </w:r>
      <w:r w:rsidRPr="00AC3A3D">
        <w:t xml:space="preserve"> may affect their ability to effectively manage medicines.</w:t>
      </w:r>
      <w:r>
        <w:t xml:space="preserve"> </w:t>
      </w:r>
      <w:r w:rsidRPr="00AC3A3D">
        <w:t>Th</w:t>
      </w:r>
      <w:r>
        <w:t>us</w:t>
      </w:r>
      <w:r w:rsidRPr="00AC3A3D">
        <w:t xml:space="preserve">, patient groups that </w:t>
      </w:r>
      <w:r>
        <w:t xml:space="preserve">commonly </w:t>
      </w:r>
      <w:r w:rsidRPr="00AC3A3D">
        <w:t>access this service</w:t>
      </w:r>
      <w:r>
        <w:t xml:space="preserve"> may </w:t>
      </w:r>
      <w:r w:rsidRPr="00AC3A3D">
        <w:t xml:space="preserve">include the elderly, who are often on </w:t>
      </w:r>
      <w:r>
        <w:t>multiple</w:t>
      </w:r>
      <w:r w:rsidRPr="00AC3A3D">
        <w:t xml:space="preserve"> medications, and patients with cognitive disabilities who may have trouble understanding or re</w:t>
      </w:r>
      <w:r>
        <w:t>membering their dosage regimes.</w:t>
      </w:r>
    </w:p>
    <w:p w:rsidR="007E74F5" w:rsidRDefault="007E74F5" w:rsidP="00BF6408">
      <w:pPr>
        <w:pStyle w:val="BodyText"/>
      </w:pPr>
      <w:r>
        <w:t>It is important to note that the DAA incentive payment calculation is based on a formula that takes into account the number of DAAs provided as well as the number of PBS scripts.  Therefore, there is only an indirect relationship between the amount of the incentive payment and the volume of DAA services provided by a given pharmacy.</w:t>
      </w:r>
    </w:p>
    <w:p w:rsidR="00BF6408" w:rsidRDefault="00BF6408" w:rsidP="00BF6408">
      <w:pPr>
        <w:pStyle w:val="ESHeading2"/>
      </w:pPr>
      <w:bookmarkStart w:id="8" w:name="_Toc463537943"/>
      <w:bookmarkStart w:id="9" w:name="_Toc467170326"/>
      <w:bookmarkStart w:id="10" w:name="_Toc523230260"/>
      <w:r>
        <w:lastRenderedPageBreak/>
        <w:t>Methodology</w:t>
      </w:r>
      <w:bookmarkEnd w:id="8"/>
      <w:bookmarkEnd w:id="9"/>
      <w:bookmarkEnd w:id="10"/>
    </w:p>
    <w:p w:rsidR="00BF6408" w:rsidRDefault="00BF6408" w:rsidP="00BF6408">
      <w:pPr>
        <w:pStyle w:val="ESHeading3"/>
      </w:pPr>
      <w:r>
        <w:t>Literature search</w:t>
      </w:r>
    </w:p>
    <w:p w:rsidR="00BF6408" w:rsidRDefault="00BF6408" w:rsidP="00BF6408">
      <w:pPr>
        <w:pStyle w:val="BodyText"/>
      </w:pPr>
      <w:r>
        <w:t xml:space="preserve">A systematic literature review was undertaken in August 2016 to identify studies that provide evidence relating to the safety, effectiveness, costs and cost-effectiveness of DAAs or similar medicine compliance aids provided by pharmacists to individuals living in the community. The grey literature was also searched, as were the reference lists of included studies. </w:t>
      </w:r>
    </w:p>
    <w:p w:rsidR="00BF6408" w:rsidRDefault="00BF6408" w:rsidP="00BF6408">
      <w:pPr>
        <w:pStyle w:val="BodyText"/>
      </w:pPr>
      <w:r>
        <w:t xml:space="preserve">Table ES.1 </w:t>
      </w:r>
      <w:r w:rsidRPr="00D01587">
        <w:t xml:space="preserve">presents the </w:t>
      </w:r>
      <w:r>
        <w:t xml:space="preserve">evidence </w:t>
      </w:r>
      <w:r w:rsidRPr="00D01587">
        <w:t>selection criteria.</w:t>
      </w:r>
      <w:r>
        <w:t xml:space="preserve"> </w:t>
      </w:r>
      <w:r w:rsidRPr="00D85886">
        <w:t xml:space="preserve">Studies that </w:t>
      </w:r>
      <w:r>
        <w:t>assessed</w:t>
      </w:r>
      <w:r w:rsidRPr="00D85886">
        <w:t xml:space="preserve"> the use of DAAs that are packed by the pa</w:t>
      </w:r>
      <w:r>
        <w:t xml:space="preserve">tient were </w:t>
      </w:r>
      <w:r w:rsidRPr="00D85886">
        <w:t>excluded</w:t>
      </w:r>
      <w:r>
        <w:t>, as were studies that examined the use of</w:t>
      </w:r>
      <w:r w:rsidRPr="00BC55C3">
        <w:t xml:space="preserve"> DAA</w:t>
      </w:r>
      <w:r>
        <w:t xml:space="preserve">s </w:t>
      </w:r>
      <w:r w:rsidRPr="00BC55C3">
        <w:t xml:space="preserve">as part of a more comprehensive pharmacy care program or </w:t>
      </w:r>
      <w:r>
        <w:t xml:space="preserve">as </w:t>
      </w:r>
      <w:r w:rsidRPr="00BC55C3">
        <w:t>part of a multifaceted pha</w:t>
      </w:r>
      <w:r>
        <w:t>rmacy intervention that included pharmacist’s medication follow-up, education, counselling, home visits, or refill reminders.</w:t>
      </w:r>
    </w:p>
    <w:p w:rsidR="00BF6408" w:rsidRDefault="00BF6408" w:rsidP="00BF6408">
      <w:pPr>
        <w:pStyle w:val="Caption"/>
      </w:pPr>
      <w:r>
        <w:t>Table ES.1</w:t>
      </w:r>
      <w:r>
        <w:tab/>
      </w:r>
      <w:r w:rsidRPr="00187213">
        <w:t xml:space="preserve">Selection criteria for evidence </w:t>
      </w:r>
      <w:r>
        <w:t>relating to DAA services provided by community pharmacies</w:t>
      </w:r>
    </w:p>
    <w:tbl>
      <w:tblPr>
        <w:tblStyle w:val="TableGrid"/>
        <w:tblW w:w="5000" w:type="pct"/>
        <w:tblLook w:val="04A0" w:firstRow="1" w:lastRow="0" w:firstColumn="1" w:lastColumn="0" w:noHBand="0" w:noVBand="1"/>
        <w:tblCaption w:val="Table ES.1"/>
        <w:tblDescription w:val="Selection criteria for evidence relating to DAA services provided by community pharmacies"/>
      </w:tblPr>
      <w:tblGrid>
        <w:gridCol w:w="1502"/>
        <w:gridCol w:w="8126"/>
      </w:tblGrid>
      <w:tr w:rsidR="00BF6408" w:rsidTr="00982A19">
        <w:trPr>
          <w:cnfStyle w:val="100000000000" w:firstRow="1" w:lastRow="0" w:firstColumn="0" w:lastColumn="0" w:oddVBand="0" w:evenVBand="0" w:oddHBand="0" w:evenHBand="0" w:firstRowFirstColumn="0" w:firstRowLastColumn="0" w:lastRowFirstColumn="0" w:lastRowLastColumn="0"/>
        </w:trPr>
        <w:tc>
          <w:tcPr>
            <w:tcW w:w="780" w:type="pct"/>
            <w:vAlign w:val="center"/>
          </w:tcPr>
          <w:p w:rsidR="00BF6408" w:rsidRDefault="00BF6408" w:rsidP="00982A19">
            <w:pPr>
              <w:pStyle w:val="01Tableheadingorsubheading"/>
              <w:keepNext w:val="0"/>
            </w:pPr>
            <w:r>
              <w:t>Criteria</w:t>
            </w:r>
          </w:p>
        </w:tc>
        <w:tc>
          <w:tcPr>
            <w:tcW w:w="4220" w:type="pct"/>
            <w:vAlign w:val="center"/>
          </w:tcPr>
          <w:p w:rsidR="00BF6408" w:rsidRDefault="00BF6408" w:rsidP="00982A19">
            <w:pPr>
              <w:pStyle w:val="01Tableheadingorsubheading"/>
              <w:keepNext w:val="0"/>
            </w:pPr>
            <w:r>
              <w:t>Description</w:t>
            </w:r>
          </w:p>
        </w:tc>
      </w:tr>
      <w:tr w:rsidR="00BF6408" w:rsidTr="00982A19">
        <w:tc>
          <w:tcPr>
            <w:tcW w:w="780" w:type="pct"/>
          </w:tcPr>
          <w:p w:rsidR="00BF6408" w:rsidRPr="00D01587" w:rsidRDefault="00BF6408" w:rsidP="00982A19">
            <w:pPr>
              <w:pStyle w:val="02Tabletext"/>
              <w:keepNext w:val="0"/>
            </w:pPr>
            <w:r w:rsidRPr="00D01587">
              <w:t>Population</w:t>
            </w:r>
          </w:p>
        </w:tc>
        <w:tc>
          <w:tcPr>
            <w:tcW w:w="4220" w:type="pct"/>
          </w:tcPr>
          <w:p w:rsidR="00BF6408" w:rsidRPr="00D01587" w:rsidRDefault="00BF6408" w:rsidP="00982A19">
            <w:pPr>
              <w:pStyle w:val="02Tabletext"/>
              <w:keepNext w:val="0"/>
            </w:pPr>
            <w:r w:rsidRPr="00D01587">
              <w:t>Community patients taking one or more self-administered medications (prescribed or over-the-counter). ‘Self-administered’ refers to the administration of a medication without the active assistance of a health care professional. It allows for medication administered by a family member or carer.</w:t>
            </w:r>
          </w:p>
          <w:p w:rsidR="00BF6408" w:rsidRPr="00D01587" w:rsidRDefault="00BF6408" w:rsidP="00982A19">
            <w:pPr>
              <w:pStyle w:val="03Tabletextspacebefore"/>
            </w:pPr>
            <w:r w:rsidRPr="00D01587">
              <w:t>Note: Patients living in a residential aged care facility or a correctional facility are excluded.</w:t>
            </w:r>
          </w:p>
          <w:p w:rsidR="00BF6408" w:rsidRPr="00D01587" w:rsidRDefault="00BF6408" w:rsidP="00982A19">
            <w:pPr>
              <w:pStyle w:val="04Tabletextspaceitalics"/>
            </w:pPr>
            <w:r w:rsidRPr="00D01587">
              <w:t>Subpopulations:</w:t>
            </w:r>
          </w:p>
          <w:p w:rsidR="00BF6408" w:rsidRPr="00D01587" w:rsidRDefault="00BF6408" w:rsidP="00982A19">
            <w:pPr>
              <w:pStyle w:val="06Tablebullet"/>
            </w:pPr>
            <w:r w:rsidRPr="00D01587">
              <w:t>geriatric population</w:t>
            </w:r>
          </w:p>
          <w:p w:rsidR="00BF6408" w:rsidRPr="00D01587" w:rsidRDefault="00BF6408" w:rsidP="00982A19">
            <w:pPr>
              <w:pStyle w:val="06Tablebullet"/>
            </w:pPr>
            <w:r w:rsidRPr="00D01587">
              <w:t>cognitive or physical impairment</w:t>
            </w:r>
          </w:p>
          <w:p w:rsidR="00BF6408" w:rsidRPr="00D01587" w:rsidRDefault="00BF6408" w:rsidP="00982A19">
            <w:pPr>
              <w:pStyle w:val="06Tablebullet"/>
            </w:pPr>
            <w:r w:rsidRPr="00D01587">
              <w:t>chronic mental illness</w:t>
            </w:r>
          </w:p>
          <w:p w:rsidR="00BF6408" w:rsidRPr="00D01587" w:rsidRDefault="00BF6408" w:rsidP="00982A19">
            <w:pPr>
              <w:pStyle w:val="06Tablebullet"/>
            </w:pPr>
            <w:r w:rsidRPr="00D01587">
              <w:t>chronic disease (e.g. asthma, diabetes, cardiovascular disease)</w:t>
            </w:r>
          </w:p>
          <w:p w:rsidR="00BF6408" w:rsidRPr="00D01587" w:rsidRDefault="00BF6408" w:rsidP="00982A19">
            <w:pPr>
              <w:pStyle w:val="06Tablebullet"/>
            </w:pPr>
            <w:r w:rsidRPr="00D01587">
              <w:t>concurrent use of multiple medications (polypharmacy)</w:t>
            </w:r>
          </w:p>
        </w:tc>
      </w:tr>
      <w:tr w:rsidR="00BF6408" w:rsidTr="00982A19">
        <w:trPr>
          <w:cnfStyle w:val="000000010000" w:firstRow="0" w:lastRow="0" w:firstColumn="0" w:lastColumn="0" w:oddVBand="0" w:evenVBand="0" w:oddHBand="0" w:evenHBand="1" w:firstRowFirstColumn="0" w:firstRowLastColumn="0" w:lastRowFirstColumn="0" w:lastRowLastColumn="0"/>
        </w:trPr>
        <w:tc>
          <w:tcPr>
            <w:tcW w:w="780" w:type="pct"/>
          </w:tcPr>
          <w:p w:rsidR="00BF6408" w:rsidRPr="00D01587" w:rsidRDefault="00BF6408" w:rsidP="00982A19">
            <w:pPr>
              <w:pStyle w:val="02Tabletext"/>
              <w:keepNext w:val="0"/>
            </w:pPr>
            <w:r w:rsidRPr="00D01587">
              <w:t>Intervention</w:t>
            </w:r>
          </w:p>
        </w:tc>
        <w:tc>
          <w:tcPr>
            <w:tcW w:w="4220" w:type="pct"/>
          </w:tcPr>
          <w:p w:rsidR="00BF6408" w:rsidRPr="00D01587" w:rsidRDefault="00BF6408" w:rsidP="00982A19">
            <w:pPr>
              <w:pStyle w:val="02Tabletext"/>
              <w:keepNext w:val="0"/>
            </w:pPr>
            <w:r w:rsidRPr="00D01587">
              <w:t xml:space="preserve">Any tamper-evident, adherence devices (e.g. compartmentalised boxes, blister or bubble packs, sachet systems) provided by community pharmacies to assist medication management for a consumer by having medicines divided into individual doses and arranged according to the dose schedule throughout the day. The adherence device (or dose administration aid) may be packed by the community pharmacist or a third party. </w:t>
            </w:r>
          </w:p>
          <w:p w:rsidR="00BF6408" w:rsidRPr="00D01587" w:rsidRDefault="00BF6408" w:rsidP="00982A19">
            <w:pPr>
              <w:pStyle w:val="03Tabletextspacebefore"/>
            </w:pPr>
            <w:r w:rsidRPr="00D01587">
              <w:t>Note: Injected, topical or inhaled medicines, and co-packaged or fixed-dose combinations are not excluded, as long as the packaging includes a reminder system.</w:t>
            </w:r>
          </w:p>
        </w:tc>
      </w:tr>
      <w:tr w:rsidR="00BF6408" w:rsidTr="00982A19">
        <w:tc>
          <w:tcPr>
            <w:tcW w:w="780" w:type="pct"/>
          </w:tcPr>
          <w:p w:rsidR="00BF6408" w:rsidRPr="00D01587" w:rsidRDefault="00BF6408" w:rsidP="00982A19">
            <w:pPr>
              <w:pStyle w:val="02Tabletext"/>
              <w:keepNext w:val="0"/>
            </w:pPr>
            <w:r w:rsidRPr="00D01587">
              <w:t>Comparator</w:t>
            </w:r>
          </w:p>
        </w:tc>
        <w:tc>
          <w:tcPr>
            <w:tcW w:w="4220" w:type="pct"/>
          </w:tcPr>
          <w:p w:rsidR="00BF6408" w:rsidRPr="00D01587" w:rsidRDefault="00BF6408" w:rsidP="00982A19">
            <w:pPr>
              <w:pStyle w:val="02Tabletext"/>
              <w:keepNext w:val="0"/>
            </w:pPr>
            <w:r w:rsidRPr="00D01587">
              <w:t>Community patients in the absence of the intervention.</w:t>
            </w:r>
          </w:p>
        </w:tc>
      </w:tr>
      <w:tr w:rsidR="00BF6408" w:rsidTr="00982A19">
        <w:trPr>
          <w:cnfStyle w:val="000000010000" w:firstRow="0" w:lastRow="0" w:firstColumn="0" w:lastColumn="0" w:oddVBand="0" w:evenVBand="0" w:oddHBand="0" w:evenHBand="1" w:firstRowFirstColumn="0" w:firstRowLastColumn="0" w:lastRowFirstColumn="0" w:lastRowLastColumn="0"/>
        </w:trPr>
        <w:tc>
          <w:tcPr>
            <w:tcW w:w="780" w:type="pct"/>
          </w:tcPr>
          <w:p w:rsidR="00BF6408" w:rsidRPr="00D01587" w:rsidRDefault="00BF6408" w:rsidP="00982A19">
            <w:pPr>
              <w:pStyle w:val="02Tabletext"/>
              <w:keepNext w:val="0"/>
            </w:pPr>
            <w:r w:rsidRPr="00D01587">
              <w:t>Outcomes</w:t>
            </w:r>
          </w:p>
        </w:tc>
        <w:tc>
          <w:tcPr>
            <w:tcW w:w="4220" w:type="pct"/>
          </w:tcPr>
          <w:p w:rsidR="00BF6408" w:rsidRPr="00D01587" w:rsidRDefault="00BF6408" w:rsidP="00982A19">
            <w:pPr>
              <w:pStyle w:val="06Tablebullet"/>
            </w:pPr>
            <w:r w:rsidRPr="00D01587">
              <w:t>adherence/compliance/concordance with prescribed dose schedule (e.g. pill count, self-report)</w:t>
            </w:r>
          </w:p>
          <w:p w:rsidR="00BF6408" w:rsidRPr="00D01587" w:rsidRDefault="00BF6408" w:rsidP="00982A19">
            <w:pPr>
              <w:pStyle w:val="06Tablebullet"/>
            </w:pPr>
            <w:r w:rsidRPr="00D01587">
              <w:t>clinical outcomes (e.g. BP in patients with hypertension, HbA</w:t>
            </w:r>
            <w:r w:rsidRPr="00D01587">
              <w:rPr>
                <w:vertAlign w:val="subscript"/>
              </w:rPr>
              <w:t>1c</w:t>
            </w:r>
            <w:r w:rsidRPr="00D01587">
              <w:t xml:space="preserve"> in patients with diabetes, seizure frequency in patients with epilepsy, psychological symptoms in patients with mental illness)</w:t>
            </w:r>
          </w:p>
          <w:p w:rsidR="00BF6408" w:rsidRPr="00D01587" w:rsidRDefault="00BF6408" w:rsidP="00982A19">
            <w:pPr>
              <w:pStyle w:val="06Tablebullet"/>
            </w:pPr>
            <w:r w:rsidRPr="00D01587">
              <w:t>adverse drug events/reactions and medication-related problems</w:t>
            </w:r>
          </w:p>
          <w:p w:rsidR="00BF6408" w:rsidRPr="00D01587" w:rsidRDefault="00BF6408" w:rsidP="00982A19">
            <w:pPr>
              <w:pStyle w:val="06Tablebullet"/>
            </w:pPr>
            <w:r w:rsidRPr="00D01587">
              <w:t>safety outcomes (harms or errors associated with packaging devices)</w:t>
            </w:r>
          </w:p>
          <w:p w:rsidR="00BF6408" w:rsidRPr="00D01587" w:rsidRDefault="00BF6408" w:rsidP="00982A19">
            <w:pPr>
              <w:pStyle w:val="06Tablebullet"/>
            </w:pPr>
            <w:r w:rsidRPr="00D01587">
              <w:t>mortality</w:t>
            </w:r>
          </w:p>
          <w:p w:rsidR="00BF6408" w:rsidRPr="00D01587" w:rsidRDefault="00BF6408" w:rsidP="00982A19">
            <w:pPr>
              <w:pStyle w:val="06Tablebullet"/>
            </w:pPr>
            <w:r w:rsidRPr="00D01587">
              <w:t>health care resource use (ED attendance, hospitalisation, GP visits, specialist visits)</w:t>
            </w:r>
          </w:p>
          <w:p w:rsidR="00BF6408" w:rsidRPr="00D01587" w:rsidRDefault="00BF6408" w:rsidP="00982A19">
            <w:pPr>
              <w:pStyle w:val="06Tablebullet"/>
            </w:pPr>
            <w:r w:rsidRPr="00D01587">
              <w:t>patient acceptance/satisfaction</w:t>
            </w:r>
          </w:p>
          <w:p w:rsidR="00BF6408" w:rsidRPr="00D01587" w:rsidRDefault="00BF6408" w:rsidP="00982A19">
            <w:pPr>
              <w:pStyle w:val="06Tablebullet"/>
            </w:pPr>
            <w:r w:rsidRPr="00D01587">
              <w:t>health-related quality of life</w:t>
            </w:r>
          </w:p>
          <w:p w:rsidR="00BF6408" w:rsidRPr="00D01587" w:rsidRDefault="00BF6408" w:rsidP="00982A19">
            <w:pPr>
              <w:pStyle w:val="06Tablebullet"/>
            </w:pPr>
            <w:r w:rsidRPr="00D01587">
              <w:t>costs and cost-effectiveness</w:t>
            </w:r>
          </w:p>
        </w:tc>
      </w:tr>
      <w:tr w:rsidR="00BF6408" w:rsidTr="00982A19">
        <w:tc>
          <w:tcPr>
            <w:tcW w:w="780" w:type="pct"/>
          </w:tcPr>
          <w:p w:rsidR="00BF6408" w:rsidRPr="00D01587" w:rsidRDefault="00BF6408" w:rsidP="00982A19">
            <w:pPr>
              <w:pStyle w:val="02Tabletext"/>
              <w:keepNext w:val="0"/>
            </w:pPr>
            <w:r w:rsidRPr="00D01587">
              <w:t>Study design</w:t>
            </w:r>
          </w:p>
        </w:tc>
        <w:tc>
          <w:tcPr>
            <w:tcW w:w="4220" w:type="pct"/>
          </w:tcPr>
          <w:p w:rsidR="00BF6408" w:rsidRPr="00D01587" w:rsidRDefault="00BF6408" w:rsidP="00982A19">
            <w:pPr>
              <w:pStyle w:val="02Tabletext"/>
              <w:keepNext w:val="0"/>
            </w:pPr>
            <w:r w:rsidRPr="00D01587">
              <w:t>Comparative studies (randomised or non-randomised controlled trials, cohort studies, case control studies) or systematic reviews of comparative studies.</w:t>
            </w:r>
          </w:p>
          <w:p w:rsidR="00BF6408" w:rsidRPr="00D01587" w:rsidRDefault="00BF6408" w:rsidP="00982A19">
            <w:pPr>
              <w:pStyle w:val="02Tabletext"/>
              <w:keepNext w:val="0"/>
            </w:pPr>
            <w:r w:rsidRPr="00D01587">
              <w:t>Applicability to the Australian context will be considered.</w:t>
            </w:r>
          </w:p>
        </w:tc>
      </w:tr>
      <w:tr w:rsidR="00BF6408" w:rsidTr="00982A19">
        <w:trPr>
          <w:cnfStyle w:val="000000010000" w:firstRow="0" w:lastRow="0" w:firstColumn="0" w:lastColumn="0" w:oddVBand="0" w:evenVBand="0" w:oddHBand="0" w:evenHBand="1" w:firstRowFirstColumn="0" w:firstRowLastColumn="0" w:lastRowFirstColumn="0" w:lastRowLastColumn="0"/>
        </w:trPr>
        <w:tc>
          <w:tcPr>
            <w:tcW w:w="780" w:type="pct"/>
          </w:tcPr>
          <w:p w:rsidR="00BF6408" w:rsidRPr="00D01587" w:rsidRDefault="00BF6408" w:rsidP="00982A19">
            <w:pPr>
              <w:pStyle w:val="02Tabletext"/>
              <w:keepNext w:val="0"/>
            </w:pPr>
            <w:r w:rsidRPr="00D01587">
              <w:t>Publication type</w:t>
            </w:r>
          </w:p>
        </w:tc>
        <w:tc>
          <w:tcPr>
            <w:tcW w:w="4220" w:type="pct"/>
          </w:tcPr>
          <w:p w:rsidR="00BF6408" w:rsidRPr="00D01587" w:rsidRDefault="00BF6408" w:rsidP="00982A19">
            <w:pPr>
              <w:pStyle w:val="02Tabletext"/>
              <w:keepNext w:val="0"/>
            </w:pPr>
            <w:r w:rsidRPr="00D01587">
              <w:t xml:space="preserve">Full English-language publications or reports. </w:t>
            </w:r>
          </w:p>
          <w:p w:rsidR="00BF6408" w:rsidRPr="00D01587" w:rsidRDefault="00BF6408" w:rsidP="00982A19">
            <w:pPr>
              <w:pStyle w:val="02Tabletext"/>
              <w:keepNext w:val="0"/>
            </w:pPr>
            <w:r w:rsidRPr="00D01587">
              <w:t>Conference abstracts are excluded.</w:t>
            </w:r>
          </w:p>
        </w:tc>
      </w:tr>
      <w:tr w:rsidR="00BF6408" w:rsidTr="00982A19">
        <w:tc>
          <w:tcPr>
            <w:tcW w:w="780" w:type="pct"/>
          </w:tcPr>
          <w:p w:rsidR="00BF6408" w:rsidRPr="00F15E02" w:rsidRDefault="00BF6408" w:rsidP="00982A19">
            <w:pPr>
              <w:pStyle w:val="02Tabletext"/>
            </w:pPr>
            <w:r w:rsidRPr="00F15E02">
              <w:t>Search period</w:t>
            </w:r>
          </w:p>
        </w:tc>
        <w:tc>
          <w:tcPr>
            <w:tcW w:w="4220" w:type="pct"/>
          </w:tcPr>
          <w:p w:rsidR="00BF6408" w:rsidRPr="00F15E02" w:rsidRDefault="00BF6408" w:rsidP="00982A19">
            <w:pPr>
              <w:pStyle w:val="02Tabletext"/>
            </w:pPr>
            <w:r w:rsidRPr="00F15E02">
              <w:t>No year restrictions</w:t>
            </w:r>
          </w:p>
        </w:tc>
      </w:tr>
    </w:tbl>
    <w:p w:rsidR="00BF6408" w:rsidRDefault="00BF6408" w:rsidP="00BF6408">
      <w:pPr>
        <w:pStyle w:val="09Tablefootnoteslast-nostick"/>
      </w:pPr>
      <w:r w:rsidRPr="00D01587">
        <w:t xml:space="preserve">Abbreviations: BP, blood pressure; DAA, dose administration aid; ED, emergency department; </w:t>
      </w:r>
      <w:r>
        <w:t xml:space="preserve">GP, general practitioner; </w:t>
      </w:r>
      <w:r w:rsidRPr="00D01587">
        <w:t>HBA</w:t>
      </w:r>
      <w:r w:rsidRPr="00B87A32">
        <w:rPr>
          <w:vertAlign w:val="subscript"/>
        </w:rPr>
        <w:t>1c</w:t>
      </w:r>
      <w:r w:rsidRPr="00D01587">
        <w:t>, glycated haemoglobin.</w:t>
      </w:r>
    </w:p>
    <w:p w:rsidR="00BF6408" w:rsidRPr="00674F3B" w:rsidRDefault="00BF6408" w:rsidP="00674F3B">
      <w:pPr>
        <w:pStyle w:val="BodyText"/>
      </w:pPr>
      <w:r w:rsidRPr="00674F3B">
        <w:lastRenderedPageBreak/>
        <w:t xml:space="preserve">The search identified two publications relating to an Australian DAA project funded under the Third Community Pharmacy Agreement (3CPA), and two previous evaluations of the DAA initiative funded under the 4CPA and 5CPA. The findings of these reports are summarised in the main body of this evaluation report. </w:t>
      </w:r>
      <w:r w:rsidR="00674F3B" w:rsidRPr="00674F3B">
        <w:t xml:space="preserve"> The intention of these summaries is to provide MSAC with an understanding of the approaches taken to evaluate the DAA initiative in Australia, as well as a high level overview of the findings of previous evaluations in relation to effectiveness and cost-effectiveness of the service.  The publications under 3CPA concluded that “the preliminary best practice models for the provision of DAA services to RCFs and patients living in the community developed in the study addresses the key barriers to the provision of safe, effective and efficient DAA services.  An evaluation of these models has found that, they are likely to be beneficial in achieving improvements in practice and generally feasible.”  </w:t>
      </w:r>
      <w:r w:rsidR="00674F3B">
        <w:t>T</w:t>
      </w:r>
      <w:r w:rsidR="00674F3B" w:rsidRPr="00674F3B">
        <w:t>he evaluations of 4CPA and 5CPA concl</w:t>
      </w:r>
      <w:r w:rsidRPr="00674F3B">
        <w:t>uded that, due to a lack of data, the impact of the 4CPA and 5CPA DAA service on patient health outcomes could not be evaluated.</w:t>
      </w:r>
    </w:p>
    <w:p w:rsidR="00BF6408" w:rsidRDefault="00BF6408" w:rsidP="00BF6408">
      <w:pPr>
        <w:pStyle w:val="BodyText"/>
      </w:pPr>
      <w:r>
        <w:t xml:space="preserve">Three relevant systematic reviews (including a Cochrane Review) were identified that evaluated the use of medication reminder packaging for improving adherence to self-administered medication regimens. </w:t>
      </w:r>
      <w:r w:rsidR="007C70B2">
        <w:t xml:space="preserve"> </w:t>
      </w:r>
      <w:r>
        <w:t>All three systematic reviews evaluated a combination of adherence-aimed interventions, which confounds the findings for DAAs.</w:t>
      </w:r>
      <w:r w:rsidR="007C70B2">
        <w:t xml:space="preserve"> </w:t>
      </w:r>
      <w:r>
        <w:t xml:space="preserve"> </w:t>
      </w:r>
      <w:r w:rsidRPr="00350631">
        <w:t xml:space="preserve">For this reason, </w:t>
      </w:r>
      <w:r>
        <w:t xml:space="preserve">only those studies that examined DAAs independently </w:t>
      </w:r>
      <w:r w:rsidRPr="00350631">
        <w:t xml:space="preserve">of </w:t>
      </w:r>
      <w:r>
        <w:t>other a</w:t>
      </w:r>
      <w:r w:rsidRPr="002825A7">
        <w:t>dherence enhancing programs</w:t>
      </w:r>
      <w:r>
        <w:t xml:space="preserve"> </w:t>
      </w:r>
      <w:r w:rsidRPr="00350631">
        <w:t xml:space="preserve">were selected </w:t>
      </w:r>
      <w:r>
        <w:t>for inclusion in the current Review.</w:t>
      </w:r>
    </w:p>
    <w:p w:rsidR="00BF6408" w:rsidRDefault="00BF6408" w:rsidP="00BF6408">
      <w:pPr>
        <w:pStyle w:val="BodyText"/>
      </w:pPr>
      <w:r>
        <w:t>A total of nine</w:t>
      </w:r>
      <w:r w:rsidRPr="00482B25">
        <w:t xml:space="preserve"> </w:t>
      </w:r>
      <w:r>
        <w:t xml:space="preserve">primary studies were identified that examined the use of a DAA or a similar medication compliance aid independently from additional reminder systems or other pharmacy care interventions. </w:t>
      </w:r>
      <w:r w:rsidR="007C70B2">
        <w:t xml:space="preserve"> </w:t>
      </w:r>
      <w:r>
        <w:t>No studies were identified that assessed the impact of an incentive payment to pharmacists for the provision of DAAs to community patients.</w:t>
      </w:r>
    </w:p>
    <w:p w:rsidR="00BF6408" w:rsidRDefault="00BF6408" w:rsidP="00BF6408">
      <w:pPr>
        <w:pStyle w:val="BodyText"/>
      </w:pPr>
      <w:r>
        <w:t xml:space="preserve">The nine included </w:t>
      </w:r>
      <w:r w:rsidRPr="001B08E0">
        <w:t xml:space="preserve">studies were mixed </w:t>
      </w:r>
      <w:r>
        <w:t xml:space="preserve">in </w:t>
      </w:r>
      <w:r w:rsidRPr="001B08E0">
        <w:t xml:space="preserve">design and included seven </w:t>
      </w:r>
      <w:r>
        <w:t>randomised controlled trials (</w:t>
      </w:r>
      <w:r w:rsidRPr="001B08E0">
        <w:t>RCTs</w:t>
      </w:r>
      <w:r>
        <w:t>) (one good quality, two fair quality and four poor quality)</w:t>
      </w:r>
      <w:r w:rsidRPr="001B08E0">
        <w:t>, one prospective cohort study</w:t>
      </w:r>
      <w:r>
        <w:t xml:space="preserve"> (poor quality)</w:t>
      </w:r>
      <w:r w:rsidRPr="001B08E0">
        <w:t xml:space="preserve"> and one re</w:t>
      </w:r>
      <w:r>
        <w:t>trospective matched cohort study (poor quality).</w:t>
      </w:r>
      <w:r w:rsidR="007C70B2">
        <w:t xml:space="preserve"> </w:t>
      </w:r>
      <w:r>
        <w:t xml:space="preserve"> One included study was conducted in New Zealand, one in Canada, and the remaining seven studies were conducted in North America. </w:t>
      </w:r>
    </w:p>
    <w:p w:rsidR="00BF6408" w:rsidRDefault="00BF6408" w:rsidP="00BF6408">
      <w:pPr>
        <w:pStyle w:val="BodyText"/>
      </w:pPr>
      <w:r>
        <w:t xml:space="preserve">Five studies assessed DAAs or similar compliance aids in people taking medications for hypertension (Dupclay et al, 2012; Schneider et al, 2008; Simmons et al, 2000; Skaer et al, 1993a; Becker et al, 1986), two studies were in people taking medications for diabetes (Simmons et al, 2000; Skaer et al, 1993b), one study was in elderly patients with multiple medical conditions (Winland-Brown et al, 2000), one study was in patients taking warfarin to prevent thromboembolic events (Dumas et al, 2016), and one study was in healthy elderly patients taking vitamin supplements (Huang et al, 2000). </w:t>
      </w:r>
    </w:p>
    <w:p w:rsidR="00BF6408" w:rsidRDefault="00BF6408" w:rsidP="00BF6408">
      <w:pPr>
        <w:pStyle w:val="BodyText"/>
      </w:pPr>
      <w:r>
        <w:t>There were no studies that were specifically conducted in patients with cognitive or physical impairment or with chronic mental illness. None of the included studies reported results for patients taking only one medication compared with those concurrently using multiple medications (polypharmacy).</w:t>
      </w:r>
    </w:p>
    <w:p w:rsidR="00BF6408" w:rsidRDefault="00BF6408" w:rsidP="00BF6408">
      <w:pPr>
        <w:pStyle w:val="ESHeading3"/>
      </w:pPr>
      <w:r>
        <w:t>Utilisation analysis</w:t>
      </w:r>
    </w:p>
    <w:p w:rsidR="00BF6408" w:rsidRDefault="00BF6408" w:rsidP="00BF6408">
      <w:pPr>
        <w:pStyle w:val="BodyText"/>
      </w:pPr>
      <w:r>
        <w:t xml:space="preserve">The only data available for inclusion in the utilisation analysis were claims payment data held by the Department of Health.  These data have been analysed in the context of geographical factors that have been inferred from the postcode of each pharmacy. Those factors included remoteness; overall population, chronic disease prevalence and proportion of population aged over 65 years by Primary Health Network (PHN) geographic areas. These factors were used to assess whether the </w:t>
      </w:r>
      <w:r>
        <w:lastRenderedPageBreak/>
        <w:t>growth in DAA services has occurred in line with the populations that the program is intended to target.  Key metrics in the analysis are limited to the amount of claims paid and the number of patient DAA services provided.</w:t>
      </w:r>
    </w:p>
    <w:p w:rsidR="00BF6408" w:rsidRDefault="00BF6408" w:rsidP="00BF6408">
      <w:pPr>
        <w:pStyle w:val="ESHeading2"/>
      </w:pPr>
      <w:bookmarkStart w:id="11" w:name="_Toc463537944"/>
      <w:bookmarkStart w:id="12" w:name="_Toc467170327"/>
      <w:bookmarkStart w:id="13" w:name="_Toc523230261"/>
      <w:r>
        <w:t>Results of the literature review</w:t>
      </w:r>
      <w:bookmarkEnd w:id="11"/>
      <w:bookmarkEnd w:id="12"/>
      <w:bookmarkEnd w:id="13"/>
    </w:p>
    <w:p w:rsidR="00BF6408" w:rsidRPr="004418C8" w:rsidRDefault="00BF6408" w:rsidP="00527B90">
      <w:r w:rsidRPr="004418C8">
        <w:t>The key research questions for the literature review of DAA services primarily relate to the potential advantages to consumers that are outlined in the PSA Guidelines (2007).</w:t>
      </w:r>
    </w:p>
    <w:p w:rsidR="00BF6408" w:rsidRPr="003E1AE5" w:rsidRDefault="00BF6408" w:rsidP="00BF6408">
      <w:pPr>
        <w:pStyle w:val="BodyText"/>
        <w:spacing w:after="120"/>
        <w:rPr>
          <w:b/>
          <w:i/>
        </w:rPr>
      </w:pPr>
      <w:r w:rsidRPr="003E1AE5">
        <w:rPr>
          <w:b/>
          <w:i/>
        </w:rPr>
        <w:t>Is there evidence that a DAA service provided by community pharmacies provides benefits to consumers, compared with no DAA service provided by community pharmacies, in terms of improvement in medication adherence and management; reduction in the incidence of adverse drug events; and reduction in medication-related hospitalisation?</w:t>
      </w:r>
    </w:p>
    <w:p w:rsidR="00BF6408" w:rsidRDefault="00BF6408" w:rsidP="00BF6408">
      <w:pPr>
        <w:pStyle w:val="ESHeading3"/>
      </w:pPr>
      <w:r>
        <w:t>Adherence</w:t>
      </w:r>
    </w:p>
    <w:p w:rsidR="00BF6408" w:rsidRDefault="00BF6408" w:rsidP="00BF6408">
      <w:pPr>
        <w:pStyle w:val="BodyText"/>
      </w:pPr>
      <w:r w:rsidRPr="008B44F1">
        <w:t xml:space="preserve">The evidence on the effectiveness of DAAs on adherence to medication is mixed. </w:t>
      </w:r>
      <w:r>
        <w:t>Four</w:t>
      </w:r>
      <w:r w:rsidRPr="008B44F1">
        <w:t xml:space="preserve"> studies </w:t>
      </w:r>
      <w:r>
        <w:t xml:space="preserve">(three RCTs and one retrospective matched cohort study) </w:t>
      </w:r>
      <w:r w:rsidRPr="008B44F1">
        <w:t xml:space="preserve">showed that the use of DAAs </w:t>
      </w:r>
      <w:r>
        <w:t>or similar medicine compliance aids</w:t>
      </w:r>
      <w:r w:rsidRPr="008B44F1">
        <w:t xml:space="preserve"> significantly improved adherence to medication </w:t>
      </w:r>
      <w:r>
        <w:t xml:space="preserve">for diabetes and hypertension, </w:t>
      </w:r>
      <w:r w:rsidRPr="008B44F1">
        <w:t xml:space="preserve">as manifested by improvements in </w:t>
      </w:r>
      <w:r>
        <w:t>the medication possession ratio (</w:t>
      </w:r>
      <w:r w:rsidRPr="008B44F1">
        <w:t>MPR</w:t>
      </w:r>
      <w:r>
        <w:t>)</w:t>
      </w:r>
      <w:r w:rsidRPr="008B44F1">
        <w:t xml:space="preserve">. However, </w:t>
      </w:r>
      <w:r>
        <w:t xml:space="preserve">the evidence was less convincing for adherence measured by pill counts, with </w:t>
      </w:r>
      <w:r w:rsidRPr="008B44F1">
        <w:t xml:space="preserve">two </w:t>
      </w:r>
      <w:r>
        <w:t xml:space="preserve">of three </w:t>
      </w:r>
      <w:r w:rsidRPr="008B44F1">
        <w:t>studies show</w:t>
      </w:r>
      <w:r>
        <w:t>ing</w:t>
      </w:r>
      <w:r w:rsidRPr="008B44F1">
        <w:t xml:space="preserve"> no effect. </w:t>
      </w:r>
      <w:r>
        <w:t>T</w:t>
      </w:r>
      <w:r w:rsidRPr="008B44F1">
        <w:t xml:space="preserve">he effect </w:t>
      </w:r>
      <w:r>
        <w:t>of drug reminder packaging was more pronounced</w:t>
      </w:r>
      <w:r w:rsidRPr="008B44F1">
        <w:t xml:space="preserve"> </w:t>
      </w:r>
      <w:r>
        <w:t xml:space="preserve">when used in combination with other </w:t>
      </w:r>
      <w:r w:rsidRPr="008B44F1">
        <w:t xml:space="preserve">interventions </w:t>
      </w:r>
      <w:r>
        <w:t>such as a refill reminder</w:t>
      </w:r>
      <w:r w:rsidRPr="008B44F1">
        <w:t xml:space="preserve">. </w:t>
      </w:r>
    </w:p>
    <w:p w:rsidR="00BF6408" w:rsidRPr="008B44F1" w:rsidRDefault="00BF6408" w:rsidP="00BF6408">
      <w:pPr>
        <w:pStyle w:val="BodyText"/>
      </w:pPr>
      <w:r w:rsidRPr="008B44F1">
        <w:t xml:space="preserve">The current evidence base consists of </w:t>
      </w:r>
      <w:r>
        <w:t>poor to fair</w:t>
      </w:r>
      <w:r w:rsidRPr="008B44F1">
        <w:t xml:space="preserve"> quality studies with signif</w:t>
      </w:r>
      <w:r>
        <w:t xml:space="preserve">icant methodological limitation, </w:t>
      </w:r>
      <w:r w:rsidRPr="008B44F1">
        <w:t>inadequate length of follow-up</w:t>
      </w:r>
      <w:r>
        <w:t>,</w:t>
      </w:r>
      <w:r w:rsidRPr="008B44F1">
        <w:t xml:space="preserve"> and mode</w:t>
      </w:r>
      <w:r>
        <w:t xml:space="preserve">rate-to-high risk of bias. </w:t>
      </w:r>
      <w:r w:rsidRPr="008B44F1">
        <w:t>Therefore, findings from these studies should be interpreted with caution.</w:t>
      </w:r>
    </w:p>
    <w:p w:rsidR="00BF6408" w:rsidRPr="006C7BF5" w:rsidRDefault="00BF6408" w:rsidP="00BF6408">
      <w:pPr>
        <w:pStyle w:val="BodyText"/>
      </w:pPr>
      <w:r w:rsidRPr="008B44F1">
        <w:t xml:space="preserve">There are currently no studies that assessed the effect of the Australian DAA </w:t>
      </w:r>
      <w:r>
        <w:t>initiative</w:t>
      </w:r>
      <w:r w:rsidRPr="008B44F1">
        <w:t xml:space="preserve"> on adherence to medication. </w:t>
      </w:r>
      <w:r w:rsidR="007C70B2">
        <w:t xml:space="preserve"> </w:t>
      </w:r>
      <w:r w:rsidRPr="008B44F1">
        <w:t xml:space="preserve">Further high-quality studies of adequate size and duration, assessing the use of DAAs or similar </w:t>
      </w:r>
      <w:r>
        <w:t xml:space="preserve">medicine </w:t>
      </w:r>
      <w:r w:rsidRPr="008B44F1">
        <w:t>compliance aids on adherence to self-administered long-term medication use are req</w:t>
      </w:r>
      <w:r>
        <w:t xml:space="preserve">uired to draw firm conclusions. </w:t>
      </w:r>
    </w:p>
    <w:p w:rsidR="00BF6408" w:rsidRDefault="00BF6408" w:rsidP="00BF6408">
      <w:pPr>
        <w:pStyle w:val="ESHeading3"/>
      </w:pPr>
      <w:r>
        <w:t>Clinical outcomes</w:t>
      </w:r>
    </w:p>
    <w:p w:rsidR="00BF6408" w:rsidRDefault="00BF6408" w:rsidP="00BF6408">
      <w:pPr>
        <w:pStyle w:val="BodyText"/>
      </w:pPr>
      <w:r>
        <w:t xml:space="preserve">Although the purpose of DAAs is to improve medication compliance, this outcome will not necessarily be accompanied by clinically meaningful improvements in clinical outcomes as modest amounts of non-adherence may still leave patients within a therapeutic window. </w:t>
      </w:r>
      <w:r w:rsidR="007C70B2">
        <w:t xml:space="preserve"> </w:t>
      </w:r>
      <w:r>
        <w:t>Four of the included studies reported the effect of DAAs on clinical outcomes.</w:t>
      </w:r>
    </w:p>
    <w:p w:rsidR="00BF6408" w:rsidRPr="00D169CF" w:rsidRDefault="00BF6408" w:rsidP="00BF6408">
      <w:pPr>
        <w:pStyle w:val="BodyText"/>
      </w:pPr>
      <w:r w:rsidRPr="00D169CF">
        <w:t xml:space="preserve">A single prospective cohort study of poor quality assessed the impact of pillbox use on clinical outcomes in warfarin users. </w:t>
      </w:r>
      <w:r w:rsidR="007C70B2">
        <w:t xml:space="preserve"> </w:t>
      </w:r>
      <w:r w:rsidRPr="00D169CF">
        <w:t xml:space="preserve">The study found that pillbox use was not associated with </w:t>
      </w:r>
      <w:r>
        <w:t>time in therapeutic range (</w:t>
      </w:r>
      <w:r w:rsidRPr="00D169CF">
        <w:t>TTR</w:t>
      </w:r>
      <w:r>
        <w:t>)</w:t>
      </w:r>
      <w:r w:rsidRPr="00D169CF">
        <w:t xml:space="preserve"> &lt;60% or </w:t>
      </w:r>
      <w:r>
        <w:t>international normalised ratio (</w:t>
      </w:r>
      <w:r w:rsidRPr="00D169CF">
        <w:t>INR</w:t>
      </w:r>
      <w:r>
        <w:t>)</w:t>
      </w:r>
      <w:r w:rsidRPr="00D169CF">
        <w:t xml:space="preserve"> instability; however, these results may be biased by unmeasured confounders such as concomitant drug use. Therefore, the effect of pillbox on INR instability among warfarin users remains inconclusive and further research is still needed in this area.</w:t>
      </w:r>
    </w:p>
    <w:p w:rsidR="00BF6408" w:rsidRPr="00D169CF" w:rsidRDefault="00BF6408" w:rsidP="00BF6408">
      <w:pPr>
        <w:pStyle w:val="BodyText"/>
      </w:pPr>
      <w:r w:rsidRPr="00D169CF">
        <w:t xml:space="preserve">Evidence from two RCTs (one fair quality and one good quality) showed that the use of reminder packaging in patients taking antihypertensive medication significantly decreased diastolic blood pressure but not systolic blood pressure, compared with control. </w:t>
      </w:r>
      <w:r w:rsidR="007C70B2">
        <w:t xml:space="preserve"> </w:t>
      </w:r>
      <w:r w:rsidRPr="00D169CF">
        <w:t xml:space="preserve">An older study of poor quality failed to demonstrate an effect of reminder packaging on blood pressure control (or on adherence). </w:t>
      </w:r>
      <w:r w:rsidR="007C70B2">
        <w:t xml:space="preserve"> </w:t>
      </w:r>
      <w:r w:rsidRPr="00D169CF">
        <w:t xml:space="preserve">Evidence from a good quality RCT of small size showed that in patients with poorly controlled </w:t>
      </w:r>
      <w:r w:rsidRPr="00D169CF">
        <w:lastRenderedPageBreak/>
        <w:t>diabetes, reminder packaging significantly decreased glycated haemoglobin at eight months of follow up compared with original packaging.</w:t>
      </w:r>
    </w:p>
    <w:p w:rsidR="00BF6408" w:rsidRDefault="00BF6408" w:rsidP="00BF6408">
      <w:pPr>
        <w:pStyle w:val="BodyText"/>
      </w:pPr>
      <w:r>
        <w:t>H</w:t>
      </w:r>
      <w:r w:rsidRPr="00D169CF">
        <w:t>igh quality studies of adequate size and duration assessing the clinical effectiveness of reminder packaging interventions are required before firm conclusions can be drawn.</w:t>
      </w:r>
    </w:p>
    <w:p w:rsidR="00BF6408" w:rsidRDefault="00BF6408" w:rsidP="00BF6408">
      <w:pPr>
        <w:pStyle w:val="ESHeading3"/>
      </w:pPr>
      <w:r>
        <w:t>Patient satisfaction</w:t>
      </w:r>
    </w:p>
    <w:p w:rsidR="00BF6408" w:rsidRPr="002C37B3" w:rsidRDefault="00BF6408" w:rsidP="00BF6408">
      <w:pPr>
        <w:pStyle w:val="BodyText"/>
      </w:pPr>
      <w:r w:rsidRPr="002C37B3">
        <w:t xml:space="preserve">There is insufficient evidence to assess patient acceptance or satisfaction with pharmacist-prepared DAAs or similar medicine compliance aids. </w:t>
      </w:r>
      <w:r w:rsidR="007C70B2">
        <w:t xml:space="preserve"> </w:t>
      </w:r>
      <w:r w:rsidRPr="002C37B3">
        <w:t xml:space="preserve">Patient satisfaction was marginally reported, with only three of the included studies reflecting on this outcome. </w:t>
      </w:r>
      <w:r w:rsidR="007C70B2">
        <w:t xml:space="preserve"> </w:t>
      </w:r>
      <w:r w:rsidRPr="002C37B3">
        <w:t>Future research into adherence aids should incorporate the opinions of study participants to identify what they would desire in a medicine compliance aid and how they evaluate current devices available, with consideration given to their ease of opening, transportability and display features.</w:t>
      </w:r>
    </w:p>
    <w:p w:rsidR="00BF6408" w:rsidRDefault="00BF6408" w:rsidP="00BF6408">
      <w:pPr>
        <w:pStyle w:val="ESHeading3"/>
      </w:pPr>
      <w:r>
        <w:t>Other outcomes</w:t>
      </w:r>
    </w:p>
    <w:p w:rsidR="00BF6408" w:rsidRPr="00007AA6" w:rsidRDefault="00BF6408" w:rsidP="00BF6408">
      <w:pPr>
        <w:pStyle w:val="BodyText"/>
      </w:pPr>
      <w:r>
        <w:t xml:space="preserve">None of the included studies specifically reported outcomes relating to adverse drug events, (or adverse drug </w:t>
      </w:r>
      <w:r w:rsidRPr="002122AF">
        <w:t xml:space="preserve">reactions </w:t>
      </w:r>
      <w:r>
        <w:t>or</w:t>
      </w:r>
      <w:r w:rsidRPr="002122AF">
        <w:t xml:space="preserve"> medication-related problems</w:t>
      </w:r>
      <w:r>
        <w:t>), mortality, or health-related quality of life. None of the included studies provided information on the safety or harms associated with DAA use, such as dispensing or packaging errors.</w:t>
      </w:r>
    </w:p>
    <w:p w:rsidR="00BF6408" w:rsidRPr="003E1AE5" w:rsidRDefault="00BF6408" w:rsidP="00BF6408">
      <w:pPr>
        <w:pStyle w:val="BodyText"/>
        <w:rPr>
          <w:b/>
          <w:i/>
        </w:rPr>
      </w:pPr>
      <w:r w:rsidRPr="003E1AE5">
        <w:rPr>
          <w:b/>
          <w:i/>
        </w:rPr>
        <w:t>Is there evidence that a DAA service provided by community pharmacies results in cost offsets or cost savings through prevention of hoarding of medicines?</w:t>
      </w:r>
    </w:p>
    <w:p w:rsidR="00BF6408" w:rsidRDefault="00BF6408" w:rsidP="00BF6408">
      <w:pPr>
        <w:pStyle w:val="BodyText"/>
      </w:pPr>
      <w:r>
        <w:t>No studies were identified that specifically addressed this research question (hoarding).</w:t>
      </w:r>
    </w:p>
    <w:p w:rsidR="00BF6408" w:rsidRDefault="00BF6408" w:rsidP="00BF6408">
      <w:pPr>
        <w:pStyle w:val="BodyText"/>
      </w:pPr>
      <w:r>
        <w:t xml:space="preserve">But, two RCTs by Skaer et al examined the use of unit-of-use reminder packaging on health care resource costs in hypertensive (1993a) and diabetic (1993b) patients. </w:t>
      </w:r>
      <w:r w:rsidR="007C70B2">
        <w:t xml:space="preserve"> </w:t>
      </w:r>
      <w:r>
        <w:t xml:space="preserve">Both studies were conducted in the context of the US Medicaid system, with patient-level claims data regarding the use of, and expenditure for, healthcare services derived from the South Carolina Medicaid computer archive. Both studies reported that the use of reminder packaging resulted in a statistically significant increase in prescription expenditure and a </w:t>
      </w:r>
      <w:r w:rsidRPr="00963645">
        <w:t xml:space="preserve">non-significant </w:t>
      </w:r>
      <w:r>
        <w:t>decrease</w:t>
      </w:r>
      <w:r w:rsidRPr="00963645">
        <w:t xml:space="preserve"> in total costs </w:t>
      </w:r>
      <w:r>
        <w:t xml:space="preserve">(calculated as the sum of prescription, physician, hospital and laboratory costs) compared with the control group using standard medicine vials. </w:t>
      </w:r>
      <w:r w:rsidR="007C70B2">
        <w:t xml:space="preserve"> </w:t>
      </w:r>
      <w:r>
        <w:t>However, the two studies were of poor methodological quality and their results should be interpreted with caution.</w:t>
      </w:r>
      <w:r w:rsidR="007C70B2">
        <w:t xml:space="preserve"> </w:t>
      </w:r>
      <w:r>
        <w:t xml:space="preserve"> Furthermore, they have limited applicability to the Australian context.</w:t>
      </w:r>
    </w:p>
    <w:p w:rsidR="00BF6408" w:rsidRPr="003E1AE5" w:rsidRDefault="00BF6408" w:rsidP="00BF6408">
      <w:pPr>
        <w:pStyle w:val="BodyText"/>
        <w:rPr>
          <w:b/>
          <w:i/>
        </w:rPr>
      </w:pPr>
      <w:r w:rsidRPr="003E1AE5">
        <w:rPr>
          <w:b/>
          <w:i/>
        </w:rPr>
        <w:t xml:space="preserve">What costs are associated with a DAA service provided by community pharmacies? </w:t>
      </w:r>
    </w:p>
    <w:p w:rsidR="00BF6408" w:rsidRDefault="00BF6408" w:rsidP="00BF6408">
      <w:pPr>
        <w:pStyle w:val="BodyText"/>
      </w:pPr>
      <w:r>
        <w:t xml:space="preserve">A project undertaken by the University of Queensland and funded under the 3CPA (Phase 3 Final Report </w:t>
      </w:r>
      <w:r w:rsidRPr="000F48FC">
        <w:t xml:space="preserve">May 2006) </w:t>
      </w:r>
      <w:r>
        <w:t>included an</w:t>
      </w:r>
      <w:r w:rsidRPr="000F48FC">
        <w:t xml:space="preserve"> analysis of workflow observations from 83 pharmacists</w:t>
      </w:r>
      <w:r w:rsidR="007C70B2">
        <w:t xml:space="preserve"> (based on data gathered in Phase 2, Final Report 2004)</w:t>
      </w:r>
      <w:r w:rsidRPr="000F48FC">
        <w:t xml:space="preserve">. </w:t>
      </w:r>
      <w:r w:rsidR="007C70B2">
        <w:t xml:space="preserve"> </w:t>
      </w:r>
      <w:r w:rsidRPr="000F48FC">
        <w:t>The base case model presented in the report provided details of costs for 30 customers using an average of eight medicines per week.</w:t>
      </w:r>
      <w:r w:rsidR="007C70B2">
        <w:t xml:space="preserve"> </w:t>
      </w:r>
      <w:r w:rsidRPr="000F48FC">
        <w:t xml:space="preserve"> The total cost for the base case was estimated at $543.88 for customers using </w:t>
      </w:r>
      <w:r>
        <w:t xml:space="preserve">original packaging (which equates to </w:t>
      </w:r>
      <w:r w:rsidRPr="000F48FC">
        <w:t>$18.13 per customer</w:t>
      </w:r>
      <w:r>
        <w:t>)</w:t>
      </w:r>
      <w:r w:rsidRPr="000F48FC">
        <w:t xml:space="preserve"> compared to $1,070.5</w:t>
      </w:r>
      <w:r>
        <w:t>0 for customers using DAAs (</w:t>
      </w:r>
      <w:r w:rsidRPr="000F48FC">
        <w:t>$35.75 per customer</w:t>
      </w:r>
      <w:r>
        <w:t>)</w:t>
      </w:r>
      <w:r w:rsidRPr="000F48FC">
        <w:t>.</w:t>
      </w:r>
    </w:p>
    <w:p w:rsidR="00BF6408" w:rsidRDefault="00BF6408" w:rsidP="00BF6408">
      <w:pPr>
        <w:pStyle w:val="BodyText"/>
      </w:pPr>
      <w:r>
        <w:t xml:space="preserve">The 2010 evaluation of the 4CPA </w:t>
      </w:r>
      <w:r w:rsidRPr="000F48FC">
        <w:t>DAA/Patient Medication Profile (PMP) programs</w:t>
      </w:r>
      <w:r>
        <w:t>, which was</w:t>
      </w:r>
      <w:r w:rsidRPr="000F48FC">
        <w:t xml:space="preserve"> commissioned by the Department of Health</w:t>
      </w:r>
      <w:r>
        <w:t xml:space="preserve">, estimated the </w:t>
      </w:r>
      <w:r w:rsidRPr="000F48FC">
        <w:t>average cost for a pharmacy to deliver a DAA service per patient/per week to be $17.25, based on the average number of hours per week spent by various pharmacy staff members in providing the DAA service to all community based patients (as self-reported by pharmacies).</w:t>
      </w:r>
    </w:p>
    <w:p w:rsidR="00BF6408" w:rsidRDefault="00BF6408" w:rsidP="00BF6408">
      <w:pPr>
        <w:pStyle w:val="BodyText"/>
      </w:pPr>
      <w:r>
        <w:lastRenderedPageBreak/>
        <w:t>No other studies were found that reported the cost for a pharmacy to deliver a DAA service.</w:t>
      </w:r>
    </w:p>
    <w:p w:rsidR="00BF6408" w:rsidRPr="003E1AE5" w:rsidRDefault="00BF6408" w:rsidP="00BF6408">
      <w:pPr>
        <w:pStyle w:val="BodyText"/>
        <w:rPr>
          <w:b/>
          <w:i/>
        </w:rPr>
      </w:pPr>
      <w:r w:rsidRPr="003E1AE5">
        <w:rPr>
          <w:b/>
          <w:i/>
        </w:rPr>
        <w:t>Is there evidence that a DAA service provided by community pharmacies is cost-effective, compared with no DAA service provided by community pharmacies?</w:t>
      </w:r>
    </w:p>
    <w:p w:rsidR="007C70B2" w:rsidRDefault="007C70B2" w:rsidP="007C1BFA">
      <w:pPr>
        <w:pStyle w:val="BodyText"/>
      </w:pPr>
      <w:r>
        <w:t xml:space="preserve">The project undertaken by the University of Queensland and funded under the 3CPA (Phase 2 Final Report November </w:t>
      </w:r>
      <w:r w:rsidRPr="000F48FC">
        <w:t>200</w:t>
      </w:r>
      <w:r>
        <w:t>4</w:t>
      </w:r>
      <w:r w:rsidRPr="000F48FC">
        <w:t>)</w:t>
      </w:r>
      <w:r>
        <w:t xml:space="preserve"> included cost-effectiveness and cost-benefit analyse</w:t>
      </w:r>
      <w:r w:rsidRPr="000F48FC">
        <w:t>s based on 30 community</w:t>
      </w:r>
      <w:r>
        <w:t xml:space="preserve"> </w:t>
      </w:r>
      <w:r w:rsidRPr="000F48FC">
        <w:t xml:space="preserve">customers receiving DAA versus </w:t>
      </w:r>
      <w:r>
        <w:t>30 community customers</w:t>
      </w:r>
      <w:r w:rsidRPr="000F48FC">
        <w:t xml:space="preserve"> receiving </w:t>
      </w:r>
      <w:r>
        <w:t>original packaging</w:t>
      </w:r>
      <w:r w:rsidRPr="000F48FC">
        <w:t xml:space="preserve"> over one year</w:t>
      </w:r>
      <w:r>
        <w:t>.</w:t>
      </w:r>
      <w:r w:rsidR="007C1BFA">
        <w:t xml:space="preserve">  The authors concluded “at present DAAs are not cost-effective in the community setting. </w:t>
      </w:r>
      <w:r w:rsidR="00674F3B">
        <w:t xml:space="preserve"> </w:t>
      </w:r>
      <w:r w:rsidR="007C1BFA">
        <w:t xml:space="preserve">This is largely because the provision of DAAs by pharmacy is a labour-intensive and costly exercise.  Sensitivity analysis, however, suggests the potential for delivery of a cost-effective DAA service if the magnitude of the benefits and the efficiency of the service provision were greater”. </w:t>
      </w:r>
    </w:p>
    <w:p w:rsidR="00BF6408" w:rsidRDefault="007C1BFA" w:rsidP="00BF6408">
      <w:pPr>
        <w:pStyle w:val="BodyText"/>
      </w:pPr>
      <w:r>
        <w:t>Post development and implemen</w:t>
      </w:r>
      <w:r w:rsidR="00674F3B">
        <w:t xml:space="preserve">tation of </w:t>
      </w:r>
      <w:r>
        <w:t xml:space="preserve">best practice models and tools </w:t>
      </w:r>
      <w:r w:rsidRPr="00E91FDA">
        <w:t>to facilitate improvements in the way DAAs</w:t>
      </w:r>
      <w:r w:rsidR="00D35FDA">
        <w:t xml:space="preserve"> are used in the RCF and community setting (described in the </w:t>
      </w:r>
      <w:r>
        <w:rPr>
          <w:rStyle w:val="BodyTextChar"/>
        </w:rPr>
        <w:t xml:space="preserve">subsequent publication </w:t>
      </w:r>
      <w:r>
        <w:t xml:space="preserve">University of Queensland, Phase 3 Final Report </w:t>
      </w:r>
      <w:r w:rsidRPr="000F48FC">
        <w:t>May 2006)</w:t>
      </w:r>
      <w:r>
        <w:t xml:space="preserve">, a </w:t>
      </w:r>
      <w:r w:rsidRPr="00E91FDA">
        <w:t>more sophisticated methodology to re-examine the cost-effectiveness of DAAs in the community setting</w:t>
      </w:r>
      <w:r>
        <w:t xml:space="preserve"> was undertaken</w:t>
      </w:r>
      <w:r w:rsidRPr="00E91FDA">
        <w:t>.</w:t>
      </w:r>
      <w:r>
        <w:t xml:space="preserve">  Again it </w:t>
      </w:r>
      <w:r w:rsidR="00BF6408">
        <w:t>included cost-effectiveness and cost-benefit analyse</w:t>
      </w:r>
      <w:r w:rsidR="00BF6408" w:rsidRPr="000F48FC">
        <w:t xml:space="preserve">s based on 30 community customers receiving DAA versus </w:t>
      </w:r>
      <w:r w:rsidR="00BF6408">
        <w:t>30 community customers</w:t>
      </w:r>
      <w:r w:rsidR="00BF6408" w:rsidRPr="000F48FC">
        <w:t xml:space="preserve"> receiving </w:t>
      </w:r>
      <w:r w:rsidR="00BF6408">
        <w:t>original packaging</w:t>
      </w:r>
      <w:r w:rsidR="00BF6408" w:rsidRPr="000F48FC">
        <w:t xml:space="preserve"> over one year. </w:t>
      </w:r>
      <w:r w:rsidR="006776F3">
        <w:t xml:space="preserve"> </w:t>
      </w:r>
      <w:r w:rsidR="00BF6408" w:rsidRPr="000F48FC">
        <w:t xml:space="preserve">The incremental cost to prevent one </w:t>
      </w:r>
      <w:r w:rsidR="00BF6408">
        <w:t>adverse drug reaction (</w:t>
      </w:r>
      <w:r w:rsidR="00BF6408" w:rsidRPr="000F48FC">
        <w:t>ADR</w:t>
      </w:r>
      <w:r w:rsidR="00BF6408">
        <w:t>)</w:t>
      </w:r>
      <w:r w:rsidR="00BF6408" w:rsidRPr="000F48FC">
        <w:t xml:space="preserve"> was estimated to be $9,163. The </w:t>
      </w:r>
      <w:r w:rsidR="00BF6408">
        <w:t xml:space="preserve">incremental cost </w:t>
      </w:r>
      <w:r w:rsidR="00BF6408" w:rsidRPr="000F48FC">
        <w:t>to avoid one death using DAA</w:t>
      </w:r>
      <w:r w:rsidR="00BF6408">
        <w:t xml:space="preserve"> was estimated to be $16,362</w:t>
      </w:r>
      <w:r w:rsidR="00BF6408" w:rsidRPr="000F48FC">
        <w:t>.</w:t>
      </w:r>
    </w:p>
    <w:p w:rsidR="00BF6408" w:rsidRDefault="00BF6408" w:rsidP="00BF6408">
      <w:pPr>
        <w:pStyle w:val="BodyText"/>
      </w:pPr>
      <w:r w:rsidRPr="000F48FC">
        <w:t xml:space="preserve">A cost-benefit analysis </w:t>
      </w:r>
      <w:r>
        <w:t>comparing</w:t>
      </w:r>
      <w:r w:rsidRPr="000F48FC">
        <w:t xml:space="preserve"> the cost of DAAs, and subsequent reduction in healthcare costs given the decrease in ADRs, with the benefits </w:t>
      </w:r>
      <w:r>
        <w:t xml:space="preserve">to consumers of using the DAAs </w:t>
      </w:r>
      <w:r w:rsidRPr="000F48FC">
        <w:t>in terms of willingness-to-pay</w:t>
      </w:r>
      <w:r>
        <w:t xml:space="preserve">, showed that the </w:t>
      </w:r>
      <w:r w:rsidRPr="000F48FC">
        <w:t>costs of providing DAAs outweigh the benefits of DAAs by $13,291 per year or $443.03 per DAA customer.</w:t>
      </w:r>
    </w:p>
    <w:p w:rsidR="00BF6408" w:rsidRDefault="00BF6408" w:rsidP="00BF6408">
      <w:pPr>
        <w:pStyle w:val="BodyText"/>
      </w:pPr>
      <w:r w:rsidRPr="000F48FC">
        <w:t xml:space="preserve">A cost-benefit analysis was </w:t>
      </w:r>
      <w:r>
        <w:t xml:space="preserve">also </w:t>
      </w:r>
      <w:r w:rsidRPr="000F48FC">
        <w:t>performed for patients living in the community</w:t>
      </w:r>
      <w:r>
        <w:t>,</w:t>
      </w:r>
      <w:r w:rsidRPr="000F48FC">
        <w:t xml:space="preserve"> utilising a full range of health service use data extracted from </w:t>
      </w:r>
      <w:r>
        <w:t xml:space="preserve">the (then) Health Insurance Commission </w:t>
      </w:r>
      <w:r w:rsidRPr="000F48FC">
        <w:t>and patient data</w:t>
      </w:r>
      <w:r w:rsidR="00D35FDA">
        <w:t xml:space="preserve"> (included as part of the Phase 3 follow-up)</w:t>
      </w:r>
      <w:r w:rsidRPr="000F48FC">
        <w:t xml:space="preserve">. </w:t>
      </w:r>
      <w:r w:rsidR="006776F3">
        <w:t xml:space="preserve"> </w:t>
      </w:r>
      <w:r>
        <w:rPr>
          <w:szCs w:val="24"/>
        </w:rPr>
        <w:t>T</w:t>
      </w:r>
      <w:r w:rsidRPr="000F48FC">
        <w:t xml:space="preserve">he </w:t>
      </w:r>
      <w:r>
        <w:t xml:space="preserve">analysis showed that the </w:t>
      </w:r>
      <w:r w:rsidRPr="000F48FC">
        <w:t>costs of providing DAAs to 30 community customers outweigh</w:t>
      </w:r>
      <w:r>
        <w:t>s</w:t>
      </w:r>
      <w:r w:rsidRPr="000F48FC">
        <w:t xml:space="preserve"> the benefits of DAAs by $9,381 per year.</w:t>
      </w:r>
      <w:r>
        <w:t xml:space="preserve"> </w:t>
      </w:r>
      <w:r w:rsidR="00D35FDA">
        <w:t xml:space="preserve"> </w:t>
      </w:r>
      <w:r w:rsidRPr="00E37CFD">
        <w:t xml:space="preserve">However, these analyses must be interpreted in light of significant differences between the DAA and original packaging patient groups, with DAA customers in general exhibiting a greater severity of illness than </w:t>
      </w:r>
      <w:r>
        <w:t>original packaging</w:t>
      </w:r>
      <w:r w:rsidRPr="00E37CFD">
        <w:t xml:space="preserve"> customers.</w:t>
      </w:r>
    </w:p>
    <w:p w:rsidR="00BF6408" w:rsidRDefault="007C1BFA" w:rsidP="00BF6408">
      <w:r>
        <w:t>There were n</w:t>
      </w:r>
      <w:r w:rsidR="00BF6408">
        <w:t>o other studies identified that assess</w:t>
      </w:r>
      <w:r>
        <w:t>ed</w:t>
      </w:r>
      <w:r w:rsidR="00BF6408">
        <w:t xml:space="preserve"> the cost-effectiveness of DAAs or similar medicine compliance aids. </w:t>
      </w:r>
    </w:p>
    <w:p w:rsidR="00BF6408" w:rsidRDefault="00BF6408" w:rsidP="00BF6408">
      <w:pPr>
        <w:pStyle w:val="ESHeading2"/>
      </w:pPr>
      <w:bookmarkStart w:id="14" w:name="_Toc463537945"/>
      <w:bookmarkStart w:id="15" w:name="_Toc467170328"/>
      <w:bookmarkStart w:id="16" w:name="_Toc523230262"/>
      <w:r>
        <w:t>Results of the utilisation analysis</w:t>
      </w:r>
      <w:bookmarkEnd w:id="14"/>
      <w:bookmarkEnd w:id="15"/>
      <w:bookmarkEnd w:id="16"/>
    </w:p>
    <w:p w:rsidR="00BF6408" w:rsidRDefault="00BF6408" w:rsidP="00BF6408">
      <w:pPr>
        <w:pStyle w:val="BodyText"/>
      </w:pPr>
      <w:r>
        <w:t>The available data show that the volume of the claims for patient DAAs supplied has increased substantially between 2012 and 2015 nationally, and that the number of participating pharmacies has also increased, especially in remote and very remote regions.  But, the claims data do not contain any information regarding patients’ age, frailty, mental faculties or health status; or any other patient characteristic to help determine if the program is reaching the target patient population.</w:t>
      </w:r>
    </w:p>
    <w:p w:rsidR="00BF6408" w:rsidRDefault="00BF6408" w:rsidP="00BF6408">
      <w:pPr>
        <w:pStyle w:val="BodyText"/>
        <w:rPr>
          <w:iCs/>
          <w:szCs w:val="24"/>
        </w:rPr>
      </w:pPr>
      <w:r>
        <w:t xml:space="preserve">To address this issue the 2015 claims data were analysed against indicators of the target population (i.e. diabetes prevalence as an example of chronic disease, mental health issues prevalence as an indicator of patient who might be disturbed on confused, and proportion of population aged over 65 years, as an indicator of patients who may have medication adherence issues).  This analysis identified no </w:t>
      </w:r>
      <w:r>
        <w:rPr>
          <w:iCs/>
          <w:szCs w:val="24"/>
        </w:rPr>
        <w:t xml:space="preserve">significant relationships, for example, it could not be shown that PHN areas with </w:t>
      </w:r>
      <w:r>
        <w:rPr>
          <w:iCs/>
          <w:szCs w:val="24"/>
        </w:rPr>
        <w:lastRenderedPageBreak/>
        <w:t>higher proportions of population aged over 65 years also had higher per capita DAA services rates or higher investment of DAA program resources.</w:t>
      </w:r>
    </w:p>
    <w:p w:rsidR="00BF6408" w:rsidRDefault="00BF6408" w:rsidP="00BF6408">
      <w:pPr>
        <w:pStyle w:val="ESHeading2"/>
      </w:pPr>
      <w:bookmarkStart w:id="17" w:name="_Toc463537946"/>
      <w:bookmarkStart w:id="18" w:name="_Toc467170329"/>
      <w:bookmarkStart w:id="19" w:name="_Toc523230263"/>
      <w:r>
        <w:t>Conclusions</w:t>
      </w:r>
      <w:bookmarkEnd w:id="17"/>
      <w:bookmarkEnd w:id="18"/>
      <w:bookmarkEnd w:id="19"/>
    </w:p>
    <w:p w:rsidR="00D35FDA" w:rsidRDefault="00BF6408" w:rsidP="00BF6408">
      <w:pPr>
        <w:pStyle w:val="BodyText"/>
      </w:pPr>
      <w:r>
        <w:t xml:space="preserve">The evaluation found that the identified </w:t>
      </w:r>
      <w:r w:rsidRPr="004A7A70">
        <w:t>overseas evidence is generally of poor to fair quality and has limited applicability to the Australian DAA initiative.</w:t>
      </w:r>
      <w:r w:rsidR="006776F3">
        <w:t xml:space="preserve"> </w:t>
      </w:r>
      <w:r w:rsidRPr="004A7A70">
        <w:t xml:space="preserve"> </w:t>
      </w:r>
      <w:r>
        <w:t xml:space="preserve">That said, the available literature is inconclusive as to whether DAAs are effective in improving medication adherence, clinical outcomes, patient satisfaction; or whether DAAs are cost effective.  </w:t>
      </w:r>
      <w:r w:rsidR="00D35FDA">
        <w:t xml:space="preserve">Although the three phase 3CPA </w:t>
      </w:r>
      <w:r w:rsidR="00D35FDA" w:rsidRPr="00D35FDA">
        <w:t>project</w:t>
      </w:r>
      <w:r w:rsidR="00D35FDA">
        <w:t xml:space="preserve"> </w:t>
      </w:r>
      <w:r w:rsidR="00D35FDA" w:rsidRPr="00D35FDA">
        <w:t xml:space="preserve">undertaken by the University of Queensland </w:t>
      </w:r>
      <w:r w:rsidR="00D35FDA">
        <w:t xml:space="preserve">included </w:t>
      </w:r>
      <w:r w:rsidR="00B76110">
        <w:t xml:space="preserve">two </w:t>
      </w:r>
      <w:r w:rsidR="00D35FDA">
        <w:t>cost-effectiveness analysis</w:t>
      </w:r>
      <w:r w:rsidR="00E21D0F">
        <w:t xml:space="preserve"> (</w:t>
      </w:r>
      <w:r w:rsidR="00B76110">
        <w:t xml:space="preserve">the Phase 2 Final Report found DAAs to not </w:t>
      </w:r>
      <w:r w:rsidR="00E21D0F">
        <w:t xml:space="preserve">be </w:t>
      </w:r>
      <w:r w:rsidR="00B76110">
        <w:t>cost-effective and the Phase 3 Final Report found DAAs to be cost effective</w:t>
      </w:r>
      <w:r w:rsidR="00E21D0F">
        <w:t>)</w:t>
      </w:r>
      <w:r w:rsidR="00D35FDA">
        <w:t xml:space="preserve">, </w:t>
      </w:r>
      <w:r w:rsidR="00B76110">
        <w:t>how relevant either of the cost-effective analysis is to the current DAA model is problematic.</w:t>
      </w:r>
    </w:p>
    <w:p w:rsidR="00BF6408" w:rsidRDefault="00BF6408" w:rsidP="00BF6408">
      <w:pPr>
        <w:pStyle w:val="BodyText"/>
      </w:pPr>
      <w:r w:rsidRPr="004A7A70">
        <w:t xml:space="preserve">Further, no studies were identified that assessed the impact of an incentive payment to pharmacists for the provision of DAAs to community patients. </w:t>
      </w:r>
      <w:r w:rsidR="006776F3">
        <w:t xml:space="preserve"> </w:t>
      </w:r>
      <w:r w:rsidRPr="004A7A70">
        <w:t>There is a larger body of evidence for DAAs used in combination with other adherence-aimed interventions, but in these studies the findings for DAAs are confounded.</w:t>
      </w:r>
    </w:p>
    <w:p w:rsidR="00BF6408" w:rsidRDefault="00BF6408" w:rsidP="00BF6408">
      <w:pPr>
        <w:pStyle w:val="BodyText"/>
        <w:spacing w:after="120"/>
      </w:pPr>
      <w:r>
        <w:t>In order to make a more robust assessment of the clinical and cost effectiveness of DAAs, further research is required.  Such research would best take the form of a study that included:</w:t>
      </w:r>
    </w:p>
    <w:p w:rsidR="00BF6408" w:rsidRDefault="00BF6408" w:rsidP="00BF6408">
      <w:pPr>
        <w:pStyle w:val="BodyText"/>
        <w:numPr>
          <w:ilvl w:val="0"/>
          <w:numId w:val="39"/>
        </w:numPr>
        <w:ind w:left="227" w:hanging="227"/>
        <w:contextualSpacing/>
      </w:pPr>
      <w:r>
        <w:t>a</w:t>
      </w:r>
      <w:r w:rsidRPr="00017337">
        <w:t xml:space="preserve"> high-quality stud</w:t>
      </w:r>
      <w:r>
        <w:t>y</w:t>
      </w:r>
      <w:r w:rsidRPr="00017337">
        <w:t xml:space="preserve"> of adequate size </w:t>
      </w:r>
      <w:r>
        <w:t xml:space="preserve">(number of patients) </w:t>
      </w:r>
      <w:r w:rsidRPr="00017337">
        <w:t>and duration</w:t>
      </w:r>
      <w:r>
        <w:t xml:space="preserve"> that assessed </w:t>
      </w:r>
      <w:r w:rsidRPr="00017337">
        <w:t xml:space="preserve">the use of DAAs </w:t>
      </w:r>
      <w:r>
        <w:t xml:space="preserve">delivered through community pharmacies </w:t>
      </w:r>
      <w:r w:rsidRPr="00017337">
        <w:t xml:space="preserve">on </w:t>
      </w:r>
      <w:r>
        <w:t xml:space="preserve">medication </w:t>
      </w:r>
      <w:r w:rsidRPr="00017337">
        <w:t>adherence</w:t>
      </w:r>
      <w:r>
        <w:t xml:space="preserve">, clinical outcomes, health care utilisation, and patient satisfaction (through primary data collection and linkage to secondary datasets, e.g. MBS, PBS, hospital utilisation, and so on); </w:t>
      </w:r>
    </w:p>
    <w:p w:rsidR="006776F3" w:rsidRDefault="00BF6408" w:rsidP="00BF6408">
      <w:pPr>
        <w:pStyle w:val="BodyText"/>
        <w:numPr>
          <w:ilvl w:val="0"/>
          <w:numId w:val="39"/>
        </w:numPr>
        <w:ind w:left="227" w:hanging="227"/>
        <w:contextualSpacing/>
      </w:pPr>
      <w:r>
        <w:t>a robust costing study that measured the unit cost of the delivering of a DAA service in a variety of settings across the community pharmacy sector</w:t>
      </w:r>
      <w:r w:rsidR="006776F3">
        <w:t>;</w:t>
      </w:r>
    </w:p>
    <w:p w:rsidR="00BF6408" w:rsidRDefault="006776F3" w:rsidP="006776F3">
      <w:pPr>
        <w:pStyle w:val="BodyText"/>
        <w:numPr>
          <w:ilvl w:val="0"/>
          <w:numId w:val="39"/>
        </w:numPr>
        <w:ind w:left="227" w:hanging="227"/>
        <w:contextualSpacing/>
      </w:pPr>
      <w:r>
        <w:t>a translational study that takes the results of the unit cost and outcome measurement work and calculates cost effectiveness (no further primary data collection would be required).</w:t>
      </w:r>
    </w:p>
    <w:p w:rsidR="00BF6408" w:rsidRPr="000172DE" w:rsidRDefault="00BF6408" w:rsidP="00BF6408">
      <w:pPr>
        <w:pStyle w:val="BodyText"/>
        <w:sectPr w:rsidR="00BF6408" w:rsidRPr="000172DE" w:rsidSect="00257216">
          <w:pgSz w:w="11906" w:h="16838" w:code="9"/>
          <w:pgMar w:top="1134" w:right="1134" w:bottom="1134" w:left="1134" w:header="680" w:footer="851" w:gutter="0"/>
          <w:pgNumType w:start="1"/>
          <w:cols w:space="708"/>
          <w:docGrid w:linePitch="360"/>
        </w:sectPr>
      </w:pPr>
    </w:p>
    <w:p w:rsidR="0004157E" w:rsidRPr="00756FA1" w:rsidRDefault="00C00E78" w:rsidP="00756FA1">
      <w:pPr>
        <w:pStyle w:val="Heading1"/>
        <w:rPr>
          <w:sz w:val="36"/>
          <w:szCs w:val="36"/>
        </w:rPr>
      </w:pPr>
      <w:bookmarkStart w:id="20" w:name="_Toc523230264"/>
      <w:bookmarkEnd w:id="0"/>
      <w:bookmarkEnd w:id="1"/>
      <w:r>
        <w:lastRenderedPageBreak/>
        <w:t>Introduction</w:t>
      </w:r>
      <w:bookmarkEnd w:id="20"/>
    </w:p>
    <w:p w:rsidR="0070233C" w:rsidRDefault="00B93038" w:rsidP="0070233C">
      <w:pPr>
        <w:pStyle w:val="Bodytextbeforebullets"/>
      </w:pPr>
      <w:r w:rsidRPr="00B93038">
        <w:t>On the 28</w:t>
      </w:r>
      <w:r w:rsidRPr="009C2B99">
        <w:rPr>
          <w:vertAlign w:val="superscript"/>
        </w:rPr>
        <w:t xml:space="preserve">th </w:t>
      </w:r>
      <w:r w:rsidRPr="00B93038">
        <w:t xml:space="preserve">June 2016, the Australian Government Department of Health engaged HealthConsult to evaluate the Sixth Community Pharmacy Agreement </w:t>
      </w:r>
      <w:r w:rsidR="00174D17">
        <w:t xml:space="preserve">(6CPA) </w:t>
      </w:r>
      <w:r w:rsidRPr="00B93038">
        <w:t xml:space="preserve">Pharmacy Practice Incentives </w:t>
      </w:r>
      <w:r w:rsidR="00174D17">
        <w:t xml:space="preserve">(PPI) </w:t>
      </w:r>
      <w:r w:rsidRPr="00B93038">
        <w:t>P</w:t>
      </w:r>
      <w:r w:rsidR="009C2B99">
        <w:t>rogram: Dose Administration Aid</w:t>
      </w:r>
      <w:r w:rsidR="000E19F6">
        <w:t>s</w:t>
      </w:r>
      <w:r w:rsidR="0064477A">
        <w:t xml:space="preserve"> (DAA)</w:t>
      </w:r>
      <w:r w:rsidRPr="00B93038">
        <w:t>.</w:t>
      </w:r>
      <w:r w:rsidR="00174D17">
        <w:t xml:space="preserve"> </w:t>
      </w:r>
      <w:r w:rsidR="00982A19">
        <w:t xml:space="preserve"> </w:t>
      </w:r>
      <w:r w:rsidR="00174D17">
        <w:t>Th</w:t>
      </w:r>
      <w:r w:rsidR="00521680">
        <w:t>is initial</w:t>
      </w:r>
      <w:r w:rsidR="00174D17">
        <w:t xml:space="preserve"> evaluation </w:t>
      </w:r>
      <w:r w:rsidR="0070233C">
        <w:t>involve</w:t>
      </w:r>
      <w:r w:rsidR="006D117D">
        <w:t>d</w:t>
      </w:r>
      <w:r w:rsidR="0070233C">
        <w:t>:</w:t>
      </w:r>
    </w:p>
    <w:p w:rsidR="0070233C" w:rsidRDefault="0070233C" w:rsidP="00982A19">
      <w:pPr>
        <w:pStyle w:val="Bullettext"/>
        <w:spacing w:after="120"/>
        <w:contextualSpacing w:val="0"/>
      </w:pPr>
      <w:r>
        <w:t xml:space="preserve">a literature review to identify data to inform the comparative clinical and cost-effectiveness of the </w:t>
      </w:r>
      <w:r w:rsidR="006B5A2E">
        <w:t>DAA initiative</w:t>
      </w:r>
      <w:r>
        <w:t xml:space="preserve">, including a review of the international literature to determine whether results for ‘like’ programs can be extrapolated to be considered as evidence for the DAA </w:t>
      </w:r>
      <w:r w:rsidR="009278FF">
        <w:t>initiative</w:t>
      </w:r>
      <w:r>
        <w:t xml:space="preserve"> in Australia</w:t>
      </w:r>
      <w:r w:rsidR="00870ADB">
        <w:t>; and</w:t>
      </w:r>
    </w:p>
    <w:p w:rsidR="00870ADB" w:rsidRDefault="00870ADB" w:rsidP="00982A19">
      <w:pPr>
        <w:pStyle w:val="Bullettext"/>
        <w:spacing w:after="120"/>
        <w:contextualSpacing w:val="0"/>
      </w:pPr>
      <w:r>
        <w:t xml:space="preserve">an examination of Australian utilisation data from the </w:t>
      </w:r>
      <w:r w:rsidR="006B5A2E">
        <w:t>DAA initiative</w:t>
      </w:r>
      <w:r>
        <w:t xml:space="preserve"> since its start under earlier CPAs, with an emphasis on elucidating the characteristics and volumes of:</w:t>
      </w:r>
    </w:p>
    <w:p w:rsidR="00870ADB" w:rsidRDefault="00870ADB" w:rsidP="00982A19">
      <w:pPr>
        <w:pStyle w:val="Bullettext"/>
        <w:numPr>
          <w:ilvl w:val="1"/>
          <w:numId w:val="16"/>
        </w:numPr>
        <w:ind w:left="709"/>
      </w:pPr>
      <w:r>
        <w:t xml:space="preserve">pharmacy services delivered via the program; </w:t>
      </w:r>
    </w:p>
    <w:p w:rsidR="00870ADB" w:rsidRDefault="00870ADB" w:rsidP="00982A19">
      <w:pPr>
        <w:pStyle w:val="Bullettext"/>
        <w:numPr>
          <w:ilvl w:val="1"/>
          <w:numId w:val="16"/>
        </w:numPr>
        <w:ind w:left="709"/>
      </w:pPr>
      <w:r>
        <w:t>pharmacists and pharmacies delivering these services; and</w:t>
      </w:r>
    </w:p>
    <w:p w:rsidR="00870ADB" w:rsidRDefault="00870ADB" w:rsidP="00982A19">
      <w:pPr>
        <w:pStyle w:val="Bullettext"/>
        <w:numPr>
          <w:ilvl w:val="1"/>
          <w:numId w:val="16"/>
        </w:numPr>
        <w:ind w:left="709"/>
      </w:pPr>
      <w:r>
        <w:t>individuals receiving these services.</w:t>
      </w:r>
    </w:p>
    <w:p w:rsidR="00B93038" w:rsidRPr="00B93038" w:rsidRDefault="00870ADB" w:rsidP="00B26EE0">
      <w:pPr>
        <w:pStyle w:val="Heading2"/>
      </w:pPr>
      <w:bookmarkStart w:id="21" w:name="_Toc523230265"/>
      <w:r>
        <w:t>Sixth Community Pharmacy Agreement</w:t>
      </w:r>
      <w:bookmarkEnd w:id="21"/>
    </w:p>
    <w:p w:rsidR="00B93038" w:rsidRPr="00B93038" w:rsidRDefault="00B93038" w:rsidP="00F03200">
      <w:pPr>
        <w:pStyle w:val="Bodytextbeforebullets"/>
      </w:pPr>
      <w:r w:rsidRPr="00B93038">
        <w:t xml:space="preserve">In May 2015, the Australian Government and Pharmacy Guild of Australia entered into the </w:t>
      </w:r>
      <w:r w:rsidR="00870ADB">
        <w:t xml:space="preserve">6CPA, which </w:t>
      </w:r>
      <w:r w:rsidRPr="00B93038">
        <w:t xml:space="preserve">provides around $18.9 billion in remuneration for community pharmacy, as well as support </w:t>
      </w:r>
      <w:r w:rsidR="00870ADB">
        <w:t xml:space="preserve">to </w:t>
      </w:r>
      <w:r w:rsidRPr="00B93038">
        <w:t>the pharmaceutical supply chain (with a further $372 million provided for chemotherapy compounding fees). Up to $1.26 billion in funding is available under the 6CPA for evidence-based, patient-focused pr</w:t>
      </w:r>
      <w:r w:rsidR="0087404B">
        <w:t>ofessional pharmacy program</w:t>
      </w:r>
      <w:r w:rsidRPr="00B93038">
        <w:t xml:space="preserve">s and services. This consists of: </w:t>
      </w:r>
    </w:p>
    <w:p w:rsidR="00B93038" w:rsidRPr="00B93038" w:rsidRDefault="00B93038" w:rsidP="00F03200">
      <w:pPr>
        <w:pStyle w:val="Bullettext"/>
      </w:pPr>
      <w:r w:rsidRPr="00B93038">
        <w:t>$613 million for the conti</w:t>
      </w:r>
      <w:r w:rsidR="0087404B">
        <w:t>nuation of a number of program</w:t>
      </w:r>
      <w:r w:rsidRPr="00B93038">
        <w:t>s and services from 5CPA;</w:t>
      </w:r>
    </w:p>
    <w:p w:rsidR="00B93038" w:rsidRPr="00B93038" w:rsidRDefault="00B93038" w:rsidP="00F03200">
      <w:pPr>
        <w:pStyle w:val="Bullettext"/>
      </w:pPr>
      <w:r w:rsidRPr="00B93038">
        <w:t>$50 million fo</w:t>
      </w:r>
      <w:r w:rsidR="0087404B">
        <w:t>r a new pharmacy trial program</w:t>
      </w:r>
      <w:r w:rsidRPr="00B93038">
        <w:t>; and</w:t>
      </w:r>
    </w:p>
    <w:p w:rsidR="00B93038" w:rsidRPr="00B93038" w:rsidRDefault="00B93038" w:rsidP="00F03200">
      <w:pPr>
        <w:pStyle w:val="Bullettext"/>
      </w:pPr>
      <w:r w:rsidRPr="00B93038">
        <w:t>up to $600 million for new and expanded community pharma</w:t>
      </w:r>
      <w:r w:rsidR="0087404B">
        <w:t>cy program</w:t>
      </w:r>
      <w:r w:rsidRPr="00B93038">
        <w:t>s.</w:t>
      </w:r>
    </w:p>
    <w:p w:rsidR="00B93038" w:rsidRPr="00B93038" w:rsidRDefault="00B93038" w:rsidP="00B93038">
      <w:pPr>
        <w:pStyle w:val="Bodytextbeforebullets"/>
      </w:pPr>
      <w:r w:rsidRPr="00B93038">
        <w:t xml:space="preserve">The 6CPA includes three key funding elements: </w:t>
      </w:r>
    </w:p>
    <w:p w:rsidR="00B93038" w:rsidRPr="00B93038" w:rsidRDefault="00B93038" w:rsidP="00F03200">
      <w:pPr>
        <w:pStyle w:val="Bullettext"/>
      </w:pPr>
      <w:r w:rsidRPr="00B93038">
        <w:t>community pharmacy remuneration;</w:t>
      </w:r>
    </w:p>
    <w:p w:rsidR="00B93038" w:rsidRPr="00B93038" w:rsidRDefault="00B93038" w:rsidP="00F03200">
      <w:pPr>
        <w:pStyle w:val="Bullettext"/>
      </w:pPr>
      <w:r w:rsidRPr="00B93038">
        <w:t xml:space="preserve">ensuring that all Australians have timely access to the Pharmaceutical Benefits Scheme (PBS) medicines they require regardless of the cost of the medicine or where they live; and </w:t>
      </w:r>
    </w:p>
    <w:p w:rsidR="00B93038" w:rsidRPr="00B93038" w:rsidRDefault="00B93038" w:rsidP="00F03200">
      <w:pPr>
        <w:pStyle w:val="Bullettext"/>
      </w:pPr>
      <w:r w:rsidRPr="00B93038">
        <w:t>community pharmacy programs directed at improving consumer management of their medications and delivering primary healthcare services through community pharmacy.</w:t>
      </w:r>
    </w:p>
    <w:p w:rsidR="00870ADB" w:rsidRDefault="00870ADB" w:rsidP="00870ADB">
      <w:pPr>
        <w:pStyle w:val="Heading2"/>
      </w:pPr>
      <w:bookmarkStart w:id="22" w:name="_Toc523230266"/>
      <w:r>
        <w:t>Pharmacy Practice Incentives Program</w:t>
      </w:r>
      <w:bookmarkEnd w:id="22"/>
    </w:p>
    <w:p w:rsidR="00B93038" w:rsidRPr="00B93038" w:rsidRDefault="00870ADB" w:rsidP="00B93038">
      <w:pPr>
        <w:pStyle w:val="Bodytextbeforebullets"/>
      </w:pPr>
      <w:r>
        <w:t>T</w:t>
      </w:r>
      <w:r w:rsidR="00B93038" w:rsidRPr="00B93038">
        <w:t xml:space="preserve">he 6CPA </w:t>
      </w:r>
      <w:r>
        <w:t>PPI</w:t>
      </w:r>
      <w:r w:rsidR="001623E5">
        <w:t xml:space="preserve"> Program</w:t>
      </w:r>
      <w:r w:rsidR="00B93038" w:rsidRPr="00B93038">
        <w:t xml:space="preserve"> provide</w:t>
      </w:r>
      <w:r w:rsidR="001623E5">
        <w:t>s</w:t>
      </w:r>
      <w:r w:rsidR="00B93038" w:rsidRPr="00B93038">
        <w:t xml:space="preserve"> a financial incentive to pharmacists to deliver compliance initiatives. As part of the 6CPA, there are several continuing PPI</w:t>
      </w:r>
      <w:r w:rsidR="00566C62">
        <w:t xml:space="preserve"> </w:t>
      </w:r>
      <w:r w:rsidR="00B93038" w:rsidRPr="00B93038">
        <w:t>P</w:t>
      </w:r>
      <w:r w:rsidR="00566C62">
        <w:t>rogram</w:t>
      </w:r>
      <w:r w:rsidR="00B93038" w:rsidRPr="00B93038">
        <w:t>s directed at improving medication compliance through community pharmacies in Australia. The continuing programs include:</w:t>
      </w:r>
    </w:p>
    <w:p w:rsidR="001623E5" w:rsidRDefault="00B93038" w:rsidP="00F03200">
      <w:pPr>
        <w:pStyle w:val="Bullettext"/>
      </w:pPr>
      <w:r w:rsidRPr="00B93038">
        <w:t>Medic</w:t>
      </w:r>
      <w:r w:rsidR="00283C3A">
        <w:t>ation Adherence Programs</w:t>
      </w:r>
    </w:p>
    <w:p w:rsidR="001623E5" w:rsidRDefault="00B93038" w:rsidP="00982A19">
      <w:pPr>
        <w:pStyle w:val="Bullettext"/>
        <w:numPr>
          <w:ilvl w:val="1"/>
          <w:numId w:val="16"/>
        </w:numPr>
        <w:ind w:left="709"/>
      </w:pPr>
      <w:r w:rsidRPr="00B93038">
        <w:t>Dose Admini</w:t>
      </w:r>
      <w:r w:rsidR="00CB3B86">
        <w:t>stration Aids (DAAs)</w:t>
      </w:r>
    </w:p>
    <w:p w:rsidR="001623E5" w:rsidRDefault="00CB3B86" w:rsidP="00982A19">
      <w:pPr>
        <w:pStyle w:val="Bullettext"/>
        <w:numPr>
          <w:ilvl w:val="1"/>
          <w:numId w:val="16"/>
        </w:numPr>
        <w:ind w:left="709"/>
      </w:pPr>
      <w:r>
        <w:t>Clinical Interventions (CIs)</w:t>
      </w:r>
      <w:r w:rsidR="00B93038" w:rsidRPr="00B93038">
        <w:t xml:space="preserve"> </w:t>
      </w:r>
    </w:p>
    <w:p w:rsidR="00B93038" w:rsidRPr="00B93038" w:rsidRDefault="001623E5" w:rsidP="00982A19">
      <w:pPr>
        <w:pStyle w:val="Bullettext"/>
        <w:numPr>
          <w:ilvl w:val="1"/>
          <w:numId w:val="16"/>
        </w:numPr>
        <w:ind w:left="709" w:hanging="357"/>
      </w:pPr>
      <w:r>
        <w:t xml:space="preserve">Staged Supply </w:t>
      </w:r>
      <w:r w:rsidR="00CB3B86">
        <w:t>(SS)</w:t>
      </w:r>
    </w:p>
    <w:p w:rsidR="001623E5" w:rsidRDefault="00B93038" w:rsidP="001623E5">
      <w:pPr>
        <w:pStyle w:val="Bullettext"/>
        <w:keepNext/>
      </w:pPr>
      <w:r w:rsidRPr="00B93038">
        <w:t>Medicat</w:t>
      </w:r>
      <w:r w:rsidR="00283C3A">
        <w:t>ion Management Programs</w:t>
      </w:r>
    </w:p>
    <w:p w:rsidR="001623E5" w:rsidRDefault="00CB3B86" w:rsidP="00982A19">
      <w:pPr>
        <w:pStyle w:val="Bullettext"/>
        <w:numPr>
          <w:ilvl w:val="1"/>
          <w:numId w:val="16"/>
        </w:numPr>
        <w:ind w:left="709"/>
      </w:pPr>
      <w:r>
        <w:t>Home Medicines Reviews (HMR)</w:t>
      </w:r>
    </w:p>
    <w:p w:rsidR="001623E5" w:rsidRDefault="00B93038" w:rsidP="00982A19">
      <w:pPr>
        <w:pStyle w:val="Bullettext"/>
        <w:numPr>
          <w:ilvl w:val="1"/>
          <w:numId w:val="16"/>
        </w:numPr>
        <w:ind w:left="709"/>
      </w:pPr>
      <w:r w:rsidRPr="00B93038">
        <w:t xml:space="preserve">Residential Medication Management Reviews </w:t>
      </w:r>
      <w:r w:rsidR="00CB3B86">
        <w:t>(RMMR)</w:t>
      </w:r>
    </w:p>
    <w:p w:rsidR="00B93038" w:rsidRPr="00B93038" w:rsidRDefault="00AF3671" w:rsidP="00982A19">
      <w:pPr>
        <w:pStyle w:val="Bullettext"/>
        <w:numPr>
          <w:ilvl w:val="1"/>
          <w:numId w:val="16"/>
        </w:numPr>
        <w:spacing w:after="120"/>
        <w:ind w:left="709" w:hanging="357"/>
        <w:contextualSpacing w:val="0"/>
      </w:pPr>
      <w:r>
        <w:t>M</w:t>
      </w:r>
      <w:r w:rsidR="00CB3B86">
        <w:t>edsCheck and Diabetes MedsCheck</w:t>
      </w:r>
    </w:p>
    <w:p w:rsidR="001623E5" w:rsidRDefault="00283C3A" w:rsidP="00F03200">
      <w:pPr>
        <w:pStyle w:val="Bullettext"/>
      </w:pPr>
      <w:r>
        <w:lastRenderedPageBreak/>
        <w:t>Rural Support Programs</w:t>
      </w:r>
    </w:p>
    <w:p w:rsidR="001623E5" w:rsidRDefault="00B93038" w:rsidP="00982A19">
      <w:pPr>
        <w:pStyle w:val="Bullettext"/>
        <w:numPr>
          <w:ilvl w:val="1"/>
          <w:numId w:val="16"/>
        </w:numPr>
        <w:ind w:left="709"/>
      </w:pPr>
      <w:r w:rsidRPr="00B93038">
        <w:t>Rural Pharmacy Workforce Program</w:t>
      </w:r>
    </w:p>
    <w:p w:rsidR="00B93038" w:rsidRPr="00B93038" w:rsidRDefault="00B93038" w:rsidP="00982A19">
      <w:pPr>
        <w:pStyle w:val="Bullettext"/>
        <w:numPr>
          <w:ilvl w:val="1"/>
          <w:numId w:val="16"/>
        </w:numPr>
        <w:spacing w:after="120"/>
        <w:ind w:left="709" w:hanging="357"/>
        <w:contextualSpacing w:val="0"/>
      </w:pPr>
      <w:r w:rsidRPr="00B93038">
        <w:t>Rural</w:t>
      </w:r>
      <w:r w:rsidR="00AF3671">
        <w:t xml:space="preserve"> Pharmacy Maintena</w:t>
      </w:r>
      <w:r w:rsidR="00CB3B86">
        <w:t>nce Allowance</w:t>
      </w:r>
    </w:p>
    <w:p w:rsidR="001623E5" w:rsidRDefault="00B93038" w:rsidP="00F03200">
      <w:pPr>
        <w:pStyle w:val="Bullettext"/>
      </w:pPr>
      <w:r w:rsidRPr="00B93038">
        <w:t xml:space="preserve">Aboriginal and Torres Strait Islander </w:t>
      </w:r>
      <w:r w:rsidR="00E67AC6">
        <w:t xml:space="preserve">(ATSI) </w:t>
      </w:r>
      <w:r w:rsidRPr="00B93038">
        <w:t>Programs</w:t>
      </w:r>
    </w:p>
    <w:p w:rsidR="001623E5" w:rsidRDefault="00E67AC6" w:rsidP="00982A19">
      <w:pPr>
        <w:pStyle w:val="Bullettext"/>
        <w:numPr>
          <w:ilvl w:val="1"/>
          <w:numId w:val="16"/>
        </w:numPr>
        <w:ind w:left="709"/>
      </w:pPr>
      <w:r>
        <w:t>Quality Use of Medicines Maximised for ATSI People (</w:t>
      </w:r>
      <w:r w:rsidR="001623E5">
        <w:t>QUMAX</w:t>
      </w:r>
      <w:r>
        <w:t>)</w:t>
      </w:r>
    </w:p>
    <w:p w:rsidR="001623E5" w:rsidRDefault="001623E5" w:rsidP="00982A19">
      <w:pPr>
        <w:pStyle w:val="Bullettext"/>
        <w:numPr>
          <w:ilvl w:val="1"/>
          <w:numId w:val="16"/>
        </w:numPr>
        <w:ind w:left="709"/>
      </w:pPr>
      <w:r>
        <w:t xml:space="preserve">S100 </w:t>
      </w:r>
      <w:r w:rsidR="00E67AC6">
        <w:t xml:space="preserve">Pharmacy </w:t>
      </w:r>
      <w:r w:rsidR="00CB3B86">
        <w:t>Support Allowance</w:t>
      </w:r>
    </w:p>
    <w:p w:rsidR="00B93038" w:rsidRPr="00B93038" w:rsidRDefault="001623E5" w:rsidP="00982A19">
      <w:pPr>
        <w:pStyle w:val="Bullettext"/>
        <w:numPr>
          <w:ilvl w:val="1"/>
          <w:numId w:val="16"/>
        </w:numPr>
        <w:spacing w:after="120"/>
        <w:ind w:left="709" w:hanging="357"/>
        <w:contextualSpacing w:val="0"/>
      </w:pPr>
      <w:r>
        <w:t xml:space="preserve">ATSI Workforce Program </w:t>
      </w:r>
      <w:r w:rsidR="00E67AC6">
        <w:t xml:space="preserve">(Pharmacy Assistant Traineeship Scheme and Pharmacy </w:t>
      </w:r>
      <w:r w:rsidR="00B93038" w:rsidRPr="00B93038">
        <w:t>Sc</w:t>
      </w:r>
      <w:r w:rsidR="00AF3671">
        <w:t xml:space="preserve">holarships </w:t>
      </w:r>
      <w:r w:rsidR="00E67AC6">
        <w:t>Scheme)</w:t>
      </w:r>
    </w:p>
    <w:p w:rsidR="001623E5" w:rsidRDefault="001623E5" w:rsidP="00F03200">
      <w:pPr>
        <w:pStyle w:val="Bullettext"/>
      </w:pPr>
      <w:r>
        <w:t>eHealth</w:t>
      </w:r>
      <w:r w:rsidR="005275BE">
        <w:t>:</w:t>
      </w:r>
    </w:p>
    <w:p w:rsidR="00B93038" w:rsidRPr="00B93038" w:rsidRDefault="00CB3B86" w:rsidP="00982A19">
      <w:pPr>
        <w:pStyle w:val="Bullettext"/>
        <w:numPr>
          <w:ilvl w:val="1"/>
          <w:numId w:val="16"/>
        </w:numPr>
        <w:ind w:left="709"/>
      </w:pPr>
      <w:r>
        <w:t>Electronic Prescription Fee</w:t>
      </w:r>
    </w:p>
    <w:p w:rsidR="00A97BE1" w:rsidRDefault="00B93038" w:rsidP="009354E2">
      <w:pPr>
        <w:pStyle w:val="BodyText"/>
      </w:pPr>
      <w:r w:rsidRPr="00B93038">
        <w:t>Under 6CPA, all p</w:t>
      </w:r>
      <w:r w:rsidR="0087404B">
        <w:t>rogram</w:t>
      </w:r>
      <w:r w:rsidRPr="00B93038">
        <w:t>s and services need to be</w:t>
      </w:r>
      <w:r w:rsidR="00DD1B0E">
        <w:t xml:space="preserve"> reviewed </w:t>
      </w:r>
      <w:r w:rsidR="00DD1B0E" w:rsidRPr="00B93038">
        <w:t>by the Medical Services Advisory Committee (MSAC)</w:t>
      </w:r>
      <w:r w:rsidR="00DD1B0E">
        <w:t xml:space="preserve"> for clinical and cost-</w:t>
      </w:r>
      <w:r w:rsidRPr="00B93038">
        <w:t xml:space="preserve">effectiveness and the health benefits they offer to the community. </w:t>
      </w:r>
      <w:r w:rsidR="00982A19">
        <w:t xml:space="preserve"> </w:t>
      </w:r>
      <w:r w:rsidRPr="00B93038">
        <w:t>This process is being u</w:t>
      </w:r>
      <w:r w:rsidR="0087404B">
        <w:t>sed to ensure pharmacy program</w:t>
      </w:r>
      <w:r w:rsidRPr="00B93038">
        <w:t xml:space="preserve">s and services are assessed against the same standards of evidence as for other health professions. </w:t>
      </w:r>
      <w:r w:rsidR="00982A19">
        <w:t xml:space="preserve"> </w:t>
      </w:r>
      <w:r w:rsidRPr="00B93038">
        <w:t>It supports a consistent approach to informing investment that delivers the greatest benefit to consumers.</w:t>
      </w:r>
    </w:p>
    <w:p w:rsidR="00B93038" w:rsidRDefault="00B93038" w:rsidP="009354E2">
      <w:pPr>
        <w:pStyle w:val="BodyText"/>
      </w:pPr>
    </w:p>
    <w:p w:rsidR="00782B61" w:rsidRDefault="00782B61" w:rsidP="00AC3A3D">
      <w:pPr>
        <w:pStyle w:val="Heading1"/>
        <w:numPr>
          <w:ilvl w:val="0"/>
          <w:numId w:val="0"/>
        </w:numPr>
        <w:ind w:left="510" w:hanging="510"/>
        <w:sectPr w:rsidR="00782B61" w:rsidSect="00982A19">
          <w:footerReference w:type="default" r:id="rId17"/>
          <w:pgSz w:w="11906" w:h="16838" w:code="9"/>
          <w:pgMar w:top="1134" w:right="1134" w:bottom="1134" w:left="1134" w:header="680" w:footer="851" w:gutter="0"/>
          <w:cols w:space="708"/>
          <w:docGrid w:linePitch="360"/>
        </w:sectPr>
      </w:pPr>
      <w:bookmarkStart w:id="23" w:name="_Toc374972255"/>
      <w:bookmarkStart w:id="24" w:name="_Toc374972616"/>
    </w:p>
    <w:p w:rsidR="004F6B59" w:rsidRDefault="00C00E78" w:rsidP="004F6B59">
      <w:pPr>
        <w:pStyle w:val="Heading1"/>
      </w:pPr>
      <w:bookmarkStart w:id="25" w:name="_Toc523230267"/>
      <w:bookmarkStart w:id="26" w:name="_Toc374972258"/>
      <w:bookmarkStart w:id="27" w:name="_Toc374972619"/>
      <w:bookmarkEnd w:id="23"/>
      <w:bookmarkEnd w:id="24"/>
      <w:r>
        <w:lastRenderedPageBreak/>
        <w:t>Dose Administration Aid</w:t>
      </w:r>
      <w:r w:rsidR="00934F1D">
        <w:t>s</w:t>
      </w:r>
      <w:bookmarkEnd w:id="25"/>
    </w:p>
    <w:p w:rsidR="00AC3A3D" w:rsidRPr="00AC3A3D" w:rsidRDefault="00AC3A3D" w:rsidP="00F03200">
      <w:pPr>
        <w:pStyle w:val="BodyText"/>
      </w:pPr>
      <w:r>
        <w:t xml:space="preserve">This </w:t>
      </w:r>
      <w:r w:rsidR="00182364">
        <w:t>Section</w:t>
      </w:r>
      <w:r>
        <w:t xml:space="preserve"> describes the DAA</w:t>
      </w:r>
      <w:r w:rsidR="00BE37CD">
        <w:t xml:space="preserve"> </w:t>
      </w:r>
      <w:r w:rsidR="00BB2D20">
        <w:t xml:space="preserve">initiative, which falls under the broader Medication Adherence </w:t>
      </w:r>
      <w:r w:rsidR="00BE37CD">
        <w:t>P</w:t>
      </w:r>
      <w:r w:rsidRPr="00AC3A3D">
        <w:t>rogram</w:t>
      </w:r>
      <w:r w:rsidR="00BB2D20">
        <w:t xml:space="preserve"> within 6CPA</w:t>
      </w:r>
      <w:r w:rsidRPr="00AC3A3D">
        <w:t>.</w:t>
      </w:r>
      <w:r w:rsidR="00C00E78">
        <w:t xml:space="preserve"> </w:t>
      </w:r>
      <w:r w:rsidR="00C00E78" w:rsidRPr="00AC3A3D">
        <w:t>DAAs are described in the literature as devices that assist patients in better managing their medicines by arranging their medicines into individual doses according to the prescribed dos</w:t>
      </w:r>
      <w:r w:rsidR="00C00E78">
        <w:t xml:space="preserve">e schedule throughout the day. </w:t>
      </w:r>
      <w:r w:rsidR="00C00E78" w:rsidRPr="00AC3A3D">
        <w:t>A DAA can either be a unit</w:t>
      </w:r>
      <w:r w:rsidR="00B26EE0">
        <w:t>-</w:t>
      </w:r>
      <w:r w:rsidR="00C00E78" w:rsidRPr="00AC3A3D">
        <w:t>dose pack or a multi-dose pack. Examples of DAAs include compartmentalised plastic boxes, blister or bubble packs; and sachet systems. The DAA devices may be filled by the patient, or by a third party</w:t>
      </w:r>
      <w:r w:rsidR="00C00E78">
        <w:t xml:space="preserve"> such as a community pharmacy. </w:t>
      </w:r>
      <w:r w:rsidR="00C00E78" w:rsidRPr="00AC3A3D">
        <w:t>DAAs that are fill</w:t>
      </w:r>
      <w:r w:rsidR="00BE37CD">
        <w:t>ed by the patient are available;</w:t>
      </w:r>
      <w:r w:rsidR="00C00E78" w:rsidRPr="00AC3A3D">
        <w:t xml:space="preserve"> however, they are outside the scope of this evaluation.</w:t>
      </w:r>
    </w:p>
    <w:p w:rsidR="00AC3A3D" w:rsidRPr="00AC3A3D" w:rsidRDefault="00934F1D" w:rsidP="00C05167">
      <w:pPr>
        <w:pStyle w:val="Heading2"/>
      </w:pPr>
      <w:bookmarkStart w:id="28" w:name="_Toc523230268"/>
      <w:r>
        <w:t xml:space="preserve">DAA </w:t>
      </w:r>
      <w:r w:rsidR="009278FF">
        <w:t>initiative</w:t>
      </w:r>
      <w:bookmarkEnd w:id="28"/>
    </w:p>
    <w:p w:rsidR="00AC3A3D" w:rsidRPr="00AC3A3D" w:rsidRDefault="00AC3A3D" w:rsidP="00F03200">
      <w:pPr>
        <w:pStyle w:val="BodyText"/>
      </w:pPr>
      <w:r w:rsidRPr="00AC3A3D">
        <w:t xml:space="preserve">The DAA </w:t>
      </w:r>
      <w:r w:rsidR="009278FF">
        <w:t>priority area</w:t>
      </w:r>
      <w:r w:rsidRPr="00AC3A3D">
        <w:t xml:space="preserve"> was established under the Better Community Health Initiative of the </w:t>
      </w:r>
      <w:r w:rsidR="00BE37CD">
        <w:t>Fourth C</w:t>
      </w:r>
      <w:r w:rsidR="00CB3B86">
        <w:t>ommunity Pharmacy Agreement</w:t>
      </w:r>
      <w:r w:rsidR="00BE37CD">
        <w:t xml:space="preserve"> (4CPA)</w:t>
      </w:r>
      <w:r w:rsidRPr="00AC3A3D">
        <w:t xml:space="preserve"> and </w:t>
      </w:r>
      <w:r w:rsidR="00BE37CD">
        <w:t>Fifth</w:t>
      </w:r>
      <w:r w:rsidRPr="00AC3A3D">
        <w:t xml:space="preserve"> </w:t>
      </w:r>
      <w:r w:rsidR="00CB3B86">
        <w:t>Community Pharmacy Agreement</w:t>
      </w:r>
      <w:r w:rsidRPr="00AC3A3D">
        <w:t xml:space="preserve"> </w:t>
      </w:r>
      <w:r w:rsidR="00BE37CD">
        <w:t xml:space="preserve">(5CPA) </w:t>
      </w:r>
      <w:r w:rsidRPr="00AC3A3D">
        <w:t>between the Pharmacy Guild of Australia and the Commonwealth Government.</w:t>
      </w:r>
      <w:r w:rsidRPr="00AC3A3D">
        <w:rPr>
          <w:vertAlign w:val="superscript"/>
        </w:rPr>
        <w:footnoteReference w:id="1"/>
      </w:r>
      <w:r w:rsidRPr="00AC3A3D">
        <w:t xml:space="preserve"> The Pharmaceutical Society of Australia (PSA) </w:t>
      </w:r>
      <w:r w:rsidR="00727206" w:rsidRPr="00602795">
        <w:rPr>
          <w:i/>
        </w:rPr>
        <w:t>Dose Administration Aids Service</w:t>
      </w:r>
      <w:r w:rsidR="00727206">
        <w:t xml:space="preserve"> – </w:t>
      </w:r>
      <w:r w:rsidR="001678E8" w:rsidRPr="00602795">
        <w:rPr>
          <w:i/>
        </w:rPr>
        <w:t xml:space="preserve">Guidelines and </w:t>
      </w:r>
      <w:r w:rsidR="00727206">
        <w:rPr>
          <w:i/>
        </w:rPr>
        <w:t>S</w:t>
      </w:r>
      <w:r w:rsidR="00BB2D20" w:rsidRPr="00602795">
        <w:rPr>
          <w:i/>
        </w:rPr>
        <w:t>tandard</w:t>
      </w:r>
      <w:r w:rsidR="00727206">
        <w:rPr>
          <w:i/>
        </w:rPr>
        <w:t xml:space="preserve">s for Pharmacists </w:t>
      </w:r>
      <w:r w:rsidR="00727206" w:rsidRPr="00727206">
        <w:t>(</w:t>
      </w:r>
      <w:r w:rsidR="008D670E">
        <w:t xml:space="preserve">July </w:t>
      </w:r>
      <w:r w:rsidR="00727206" w:rsidRPr="00727206">
        <w:t>2007)</w:t>
      </w:r>
      <w:r w:rsidR="00727206">
        <w:rPr>
          <w:i/>
        </w:rPr>
        <w:t xml:space="preserve"> </w:t>
      </w:r>
      <w:r w:rsidR="004C2B05">
        <w:t>define DAA to be a ‘</w:t>
      </w:r>
      <w:r w:rsidRPr="00AC3A3D">
        <w:t xml:space="preserve">well-sealed, tamper-evident device that allows individual medicine doses to be organised according </w:t>
      </w:r>
      <w:r w:rsidR="004C2B05">
        <w:t>to the prescribed dose schedule’</w:t>
      </w:r>
      <w:r w:rsidRPr="00AC3A3D">
        <w:t xml:space="preserve">. Australian pharmacists may provide DAAs for selected patients to assist in the safe and effective administration of a patient’s medicines. </w:t>
      </w:r>
    </w:p>
    <w:p w:rsidR="00AC3A3D" w:rsidRPr="00AC3A3D" w:rsidRDefault="00AC3A3D" w:rsidP="00F03200">
      <w:pPr>
        <w:pStyle w:val="BodyText"/>
      </w:pPr>
      <w:r w:rsidRPr="00AC3A3D">
        <w:t>Community pharmacists are part of the primary health care system, and play an important role in the management of chronic conditions within the community through their increased access to patients and the delivery of professional services, such as the DAA service. Patients can access community pharmacies without making an appointment. There are over 5,000 community pharmacies across metropolitan, regional, and remote Australia. Therefore, community pharmacists are appropriately positioned to implement programs aimed at improving medication adherence and management in the community.</w:t>
      </w:r>
    </w:p>
    <w:p w:rsidR="00AC3A3D" w:rsidRPr="00AC3A3D" w:rsidRDefault="00AC3A3D" w:rsidP="00C05167">
      <w:pPr>
        <w:pStyle w:val="Heading2"/>
      </w:pPr>
      <w:bookmarkStart w:id="29" w:name="_Toc523230269"/>
      <w:r w:rsidRPr="00AC3A3D">
        <w:t xml:space="preserve">Objectives of the DAA </w:t>
      </w:r>
      <w:r w:rsidR="009278FF">
        <w:t>initiative</w:t>
      </w:r>
      <w:bookmarkEnd w:id="29"/>
    </w:p>
    <w:p w:rsidR="00AC3A3D" w:rsidRPr="00AC3A3D" w:rsidRDefault="00BE37CD" w:rsidP="00F03200">
      <w:pPr>
        <w:pStyle w:val="Bodytextbeforebullets"/>
      </w:pPr>
      <w:r>
        <w:t xml:space="preserve">The DAA </w:t>
      </w:r>
      <w:r w:rsidR="009278FF">
        <w:t>initiative</w:t>
      </w:r>
      <w:r w:rsidR="00AC3A3D" w:rsidRPr="00AC3A3D">
        <w:t xml:space="preserve"> is part of an initiative to expand the role of community pharmacy, beyond medication dispensing to an increased </w:t>
      </w:r>
      <w:r>
        <w:t>p</w:t>
      </w:r>
      <w:r w:rsidR="00AC3A3D" w:rsidRPr="00AC3A3D">
        <w:t>r</w:t>
      </w:r>
      <w:r w:rsidR="00AC3A3D">
        <w:t xml:space="preserve">imary </w:t>
      </w:r>
      <w:r>
        <w:t>h</w:t>
      </w:r>
      <w:r w:rsidR="00AC3A3D">
        <w:t xml:space="preserve">ealthcare contribution. </w:t>
      </w:r>
      <w:r w:rsidR="00AC3A3D" w:rsidRPr="00AC3A3D">
        <w:t xml:space="preserve">According to the PSA guidelines and standards (PSA, 2007), the aim of the DAA </w:t>
      </w:r>
      <w:r w:rsidR="009278FF">
        <w:t>initiative</w:t>
      </w:r>
      <w:r w:rsidR="00AC3A3D" w:rsidRPr="00AC3A3D">
        <w:t xml:space="preserve"> is to:</w:t>
      </w:r>
    </w:p>
    <w:p w:rsidR="00AC3A3D" w:rsidRPr="00AC3A3D" w:rsidRDefault="00AC3A3D" w:rsidP="00F03200">
      <w:pPr>
        <w:pStyle w:val="Bullettext"/>
      </w:pPr>
      <w:r w:rsidRPr="00AC3A3D">
        <w:t>improve medication adherence and management;</w:t>
      </w:r>
    </w:p>
    <w:p w:rsidR="00AC3A3D" w:rsidRPr="00AC3A3D" w:rsidRDefault="00AC3A3D" w:rsidP="00F03200">
      <w:pPr>
        <w:pStyle w:val="Bullettext"/>
      </w:pPr>
      <w:r w:rsidRPr="00AC3A3D">
        <w:t>reduce the incidence of adverse drug events due to medicines mismanagement;</w:t>
      </w:r>
    </w:p>
    <w:p w:rsidR="00AC3A3D" w:rsidRPr="00AC3A3D" w:rsidRDefault="00AC3A3D" w:rsidP="00F03200">
      <w:pPr>
        <w:pStyle w:val="Bullettext"/>
      </w:pPr>
      <w:r w:rsidRPr="00AC3A3D">
        <w:t>reduce medication-related hospitalisation due to medicine misuse; and</w:t>
      </w:r>
    </w:p>
    <w:p w:rsidR="00AC3A3D" w:rsidRPr="00AC3A3D" w:rsidRDefault="00AC3A3D" w:rsidP="00F03200">
      <w:pPr>
        <w:pStyle w:val="Bullettext"/>
      </w:pPr>
      <w:r w:rsidRPr="00AC3A3D">
        <w:t>possible cost savings through prevention of hoarding of medicines.</w:t>
      </w:r>
    </w:p>
    <w:p w:rsidR="00AC3A3D" w:rsidRPr="00AC3A3D" w:rsidRDefault="00AC3A3D" w:rsidP="00AC3A3D">
      <w:pPr>
        <w:pStyle w:val="Heading2"/>
      </w:pPr>
      <w:bookmarkStart w:id="30" w:name="_Toc523230270"/>
      <w:r w:rsidRPr="00AC3A3D">
        <w:t xml:space="preserve">Participation in the DAA </w:t>
      </w:r>
      <w:r w:rsidR="009278FF">
        <w:t>initiative</w:t>
      </w:r>
      <w:bookmarkEnd w:id="30"/>
    </w:p>
    <w:p w:rsidR="00AC3A3D" w:rsidRPr="00AC3A3D" w:rsidRDefault="00AC3A3D" w:rsidP="00F03200">
      <w:pPr>
        <w:pStyle w:val="Bodytextbeforebullets"/>
      </w:pPr>
      <w:r w:rsidRPr="00AC3A3D">
        <w:t xml:space="preserve">To be eligible to receive incentive payments for </w:t>
      </w:r>
      <w:r w:rsidR="009278FF">
        <w:t>providing</w:t>
      </w:r>
      <w:r w:rsidRPr="00AC3A3D">
        <w:t xml:space="preserve"> DAA </w:t>
      </w:r>
      <w:r w:rsidR="009278FF">
        <w:t>services</w:t>
      </w:r>
      <w:r w:rsidRPr="00AC3A3D">
        <w:t>, a community pharmacy must:</w:t>
      </w:r>
    </w:p>
    <w:p w:rsidR="00AC3A3D" w:rsidRPr="00AC3A3D" w:rsidRDefault="00AC3A3D" w:rsidP="00F03200">
      <w:pPr>
        <w:pStyle w:val="Bullettext"/>
      </w:pPr>
      <w:r w:rsidRPr="00AC3A3D">
        <w:t>be a Section 90 Pharmacy;</w:t>
      </w:r>
    </w:p>
    <w:p w:rsidR="00AC3A3D" w:rsidRPr="00AC3A3D" w:rsidRDefault="00AC3A3D" w:rsidP="00F03200">
      <w:pPr>
        <w:pStyle w:val="Bullettext"/>
      </w:pPr>
      <w:r w:rsidRPr="00AC3A3D">
        <w:t>be accredited by an approved Pharmacy Accreditation Program such as the Quality Care Pharmacy Program (QCPP);</w:t>
      </w:r>
    </w:p>
    <w:p w:rsidR="00AC3A3D" w:rsidRPr="00AC3A3D" w:rsidRDefault="00AC3A3D" w:rsidP="00F03200">
      <w:pPr>
        <w:pStyle w:val="Bullettext"/>
      </w:pPr>
      <w:r w:rsidRPr="00AC3A3D">
        <w:lastRenderedPageBreak/>
        <w:t>agree to publicly display and comply with the Community Pharmacy Service Charter and Customer Service Statement;</w:t>
      </w:r>
    </w:p>
    <w:p w:rsidR="00AC3A3D" w:rsidRPr="00AC3A3D" w:rsidRDefault="00AC3A3D" w:rsidP="00F03200">
      <w:pPr>
        <w:pStyle w:val="Bullettext"/>
      </w:pPr>
      <w:r w:rsidRPr="00AC3A3D">
        <w:t xml:space="preserve">register for the DAA </w:t>
      </w:r>
      <w:r w:rsidR="009278FF">
        <w:t>priority area</w:t>
      </w:r>
      <w:r w:rsidRPr="00AC3A3D">
        <w:t xml:space="preserve"> via the 6CPA Registration and Claiming Portal;</w:t>
      </w:r>
    </w:p>
    <w:p w:rsidR="00AC3A3D" w:rsidRPr="00AC3A3D" w:rsidRDefault="00AC3A3D" w:rsidP="00F03200">
      <w:pPr>
        <w:pStyle w:val="Bullettext"/>
      </w:pPr>
      <w:r w:rsidRPr="00AC3A3D">
        <w:t xml:space="preserve">continue to meet the above eligibility criteria while participating in the DAA </w:t>
      </w:r>
      <w:r w:rsidR="009278FF">
        <w:t>priority area</w:t>
      </w:r>
      <w:r w:rsidRPr="00AC3A3D">
        <w:t xml:space="preserve">; </w:t>
      </w:r>
    </w:p>
    <w:p w:rsidR="00AC3A3D" w:rsidRPr="00AC3A3D" w:rsidRDefault="00AC3A3D" w:rsidP="00F03200">
      <w:pPr>
        <w:pStyle w:val="Bullettext"/>
      </w:pPr>
      <w:r w:rsidRPr="00AC3A3D">
        <w:t>deliver DAA services in accordance with the PPI Program Specific Guidelines.</w:t>
      </w:r>
    </w:p>
    <w:p w:rsidR="00AC3A3D" w:rsidRPr="00AC3A3D" w:rsidRDefault="00AC3A3D" w:rsidP="00AC3A3D">
      <w:pPr>
        <w:pStyle w:val="Bodytextbeforebullets"/>
      </w:pPr>
      <w:r w:rsidRPr="00AC3A3D">
        <w:t xml:space="preserve">Eligible </w:t>
      </w:r>
      <w:r w:rsidR="00BE37CD">
        <w:t>c</w:t>
      </w:r>
      <w:r w:rsidRPr="00AC3A3D">
        <w:t xml:space="preserve">ommunity </w:t>
      </w:r>
      <w:r w:rsidR="00BE37CD">
        <w:t>p</w:t>
      </w:r>
      <w:r w:rsidRPr="00AC3A3D">
        <w:t>harmacies are entitled to claim incentive payments four t</w:t>
      </w:r>
      <w:r w:rsidR="00BE37CD">
        <w:t>imes a year for providing DAAs to</w:t>
      </w:r>
      <w:r w:rsidRPr="00AC3A3D">
        <w:t xml:space="preserve"> patients living within the community</w:t>
      </w:r>
      <w:r w:rsidR="00BE37CD">
        <w:t>,</w:t>
      </w:r>
      <w:r w:rsidRPr="00AC3A3D">
        <w:t xml:space="preserve"> as long as the following criteria are met (PSA, 2007):</w:t>
      </w:r>
    </w:p>
    <w:p w:rsidR="00AC3A3D" w:rsidRPr="00AC3A3D" w:rsidRDefault="00AC3A3D" w:rsidP="00F03200">
      <w:pPr>
        <w:pStyle w:val="Bullettext"/>
      </w:pPr>
      <w:r w:rsidRPr="00AC3A3D">
        <w:t xml:space="preserve">the patient’s medicine/s in the DAA are dispensed and packed by the claiming </w:t>
      </w:r>
      <w:r w:rsidR="00443CFE">
        <w:t>e</w:t>
      </w:r>
      <w:r w:rsidRPr="00AC3A3D">
        <w:t xml:space="preserve">ligible </w:t>
      </w:r>
      <w:r w:rsidR="00443CFE">
        <w:t>c</w:t>
      </w:r>
      <w:r w:rsidRPr="00AC3A3D">
        <w:t xml:space="preserve">ommunity </w:t>
      </w:r>
      <w:r w:rsidR="00443CFE">
        <w:t>p</w:t>
      </w:r>
      <w:r w:rsidRPr="00AC3A3D">
        <w:t>harmacy in accordance with the quality Standard in the pharmacy; or</w:t>
      </w:r>
    </w:p>
    <w:p w:rsidR="00AC3A3D" w:rsidRPr="00AC3A3D" w:rsidRDefault="00AC3A3D" w:rsidP="00F03200">
      <w:pPr>
        <w:pStyle w:val="Bullettext"/>
      </w:pPr>
      <w:r w:rsidRPr="00AC3A3D">
        <w:t xml:space="preserve">the patient’s medicine/s in the DAA are dispensed by the claiming </w:t>
      </w:r>
      <w:r w:rsidR="00443CFE">
        <w:t>e</w:t>
      </w:r>
      <w:r w:rsidRPr="00AC3A3D">
        <w:t xml:space="preserve">ligible </w:t>
      </w:r>
      <w:r w:rsidR="00443CFE">
        <w:t>c</w:t>
      </w:r>
      <w:r w:rsidRPr="00AC3A3D">
        <w:t xml:space="preserve">ommunity </w:t>
      </w:r>
      <w:r w:rsidR="00443CFE">
        <w:t>p</w:t>
      </w:r>
      <w:r w:rsidRPr="00AC3A3D">
        <w:t xml:space="preserve">harmacy but are packed at another site (DAA packing warehouse, another pharmacy, etc.) </w:t>
      </w:r>
      <w:r w:rsidR="00BE37CD">
        <w:t>that</w:t>
      </w:r>
      <w:r w:rsidRPr="00AC3A3D">
        <w:t xml:space="preserve"> meets the pharmacy approval authority requirements in the relevant state or territory</w:t>
      </w:r>
      <w:r w:rsidR="00BE37CD">
        <w:t>,</w:t>
      </w:r>
      <w:r w:rsidRPr="00AC3A3D">
        <w:t xml:space="preserve"> as well as the relevant quality standard; and</w:t>
      </w:r>
    </w:p>
    <w:p w:rsidR="00AC3A3D" w:rsidRPr="00AC3A3D" w:rsidRDefault="00AC3A3D" w:rsidP="00F03200">
      <w:pPr>
        <w:pStyle w:val="Bullettext"/>
      </w:pPr>
      <w:r w:rsidRPr="00AC3A3D">
        <w:t>the DAA patient is not living in a Government funded Residential Aged Care Facility (RACF) or a correctional facility.</w:t>
      </w:r>
    </w:p>
    <w:p w:rsidR="00AC3A3D" w:rsidRPr="00AC3A3D" w:rsidRDefault="00AC3A3D" w:rsidP="00AC3A3D">
      <w:pPr>
        <w:pStyle w:val="BodyText"/>
      </w:pPr>
      <w:r w:rsidRPr="00AC3A3D">
        <w:t xml:space="preserve">The Guild and the Australian Government jointly assess the payment amount the eligible community pharmacy is entitled to receive for the </w:t>
      </w:r>
      <w:r w:rsidR="00BE37CD">
        <w:t xml:space="preserve">provision of </w:t>
      </w:r>
      <w:r w:rsidRPr="00AC3A3D">
        <w:t>DAA</w:t>
      </w:r>
      <w:r w:rsidR="00BE37CD">
        <w:t>s</w:t>
      </w:r>
      <w:r w:rsidRPr="00AC3A3D">
        <w:t>. This is based on the number of services and pharmacy size (e.g. prescription volume). The eligible community pharmacy claimable prescription volume is sourced from the Department of Human Services records.</w:t>
      </w:r>
    </w:p>
    <w:p w:rsidR="00AC3A3D" w:rsidRPr="00AC3A3D" w:rsidRDefault="00AC3A3D" w:rsidP="009278FF">
      <w:pPr>
        <w:pStyle w:val="Heading2"/>
        <w:tabs>
          <w:tab w:val="left" w:pos="7371"/>
        </w:tabs>
      </w:pPr>
      <w:bookmarkStart w:id="31" w:name="_Toc523230271"/>
      <w:r w:rsidRPr="00AC3A3D">
        <w:t xml:space="preserve">Patient groups most likely to benefit from DAA </w:t>
      </w:r>
      <w:r w:rsidR="009278FF">
        <w:t>services</w:t>
      </w:r>
      <w:bookmarkEnd w:id="31"/>
    </w:p>
    <w:p w:rsidR="00AC3A3D" w:rsidRPr="00AC3A3D" w:rsidRDefault="00AC3A3D" w:rsidP="00F03200">
      <w:pPr>
        <w:pStyle w:val="BodyText"/>
      </w:pPr>
      <w:r w:rsidRPr="00AC3A3D">
        <w:t>A literature review performed by the Australian National Prescribing Service (</w:t>
      </w:r>
      <w:r w:rsidR="00C05167">
        <w:t>Easton et al</w:t>
      </w:r>
      <w:r w:rsidRPr="00AC3A3D">
        <w:t xml:space="preserve">, 2009) identified that </w:t>
      </w:r>
      <w:r w:rsidR="00443CFE">
        <w:t>individuals</w:t>
      </w:r>
      <w:r w:rsidRPr="00AC3A3D">
        <w:t xml:space="preserve"> at highest risk of adverse drug events or medication error in the community are older patients, those taking multiple medications, those with serious health conditions, and those taking high risk medications (e.g. cardiovascular drugs, antithrombotic drugs, analgesics, antibiotics, oral anti-diabetic drugs, antidepressants, antiepileptic drugs and chemotherapeutic agents). The review found that in Australia, 5.6% of hospital admissions in the general population to 30.4% of admissions in the elderly were associated with adverse drug events. Medication errors in the community were found to occur at all stages in the medication management process from prescribing, supply and administration to therapeutic drug monitoring, medical records documentation, referrals and hospital discharge summaries. </w:t>
      </w:r>
    </w:p>
    <w:p w:rsidR="00AC3A3D" w:rsidRPr="00AC3A3D" w:rsidRDefault="00443CFE" w:rsidP="00F03200">
      <w:pPr>
        <w:pStyle w:val="BodyText"/>
      </w:pPr>
      <w:r>
        <w:t>Eligible community p</w:t>
      </w:r>
      <w:r w:rsidR="00AC3A3D" w:rsidRPr="00AC3A3D">
        <w:t>harmac</w:t>
      </w:r>
      <w:r>
        <w:t>ies</w:t>
      </w:r>
      <w:r w:rsidR="00AC3A3D" w:rsidRPr="00AC3A3D">
        <w:t xml:space="preserve"> may provide DAAs for selected patients to assist in the safe and effective administration of a patient’s medicines and to enhance adherence. Patient selection is based </w:t>
      </w:r>
      <w:r>
        <w:t>on the pharmacist’s assessment (</w:t>
      </w:r>
      <w:r w:rsidR="00AC3A3D" w:rsidRPr="00AC3A3D">
        <w:t>collaboratively with the patient’</w:t>
      </w:r>
      <w:r>
        <w:t xml:space="preserve">s </w:t>
      </w:r>
      <w:r w:rsidR="00443BD6">
        <w:t>general practitioner [</w:t>
      </w:r>
      <w:r>
        <w:t>GP</w:t>
      </w:r>
      <w:r w:rsidR="00443BD6">
        <w:t>]</w:t>
      </w:r>
      <w:r>
        <w:t>, community nurse and carer)</w:t>
      </w:r>
      <w:r w:rsidR="00AC3A3D" w:rsidRPr="00AC3A3D">
        <w:t xml:space="preserve"> of each consumer for their likelihood to benefit from, and ability to use, a DAA</w:t>
      </w:r>
      <w:r>
        <w:t>.</w:t>
      </w:r>
      <w:r w:rsidR="00AC3A3D" w:rsidRPr="00AC3A3D">
        <w:t xml:space="preserve"> </w:t>
      </w:r>
      <w:r>
        <w:t>The assessment takes into consideration the consumer’s</w:t>
      </w:r>
      <w:r w:rsidR="00AC3A3D" w:rsidRPr="00AC3A3D">
        <w:t xml:space="preserve"> behaviours and attitudes to taking medicines that may impact on DAA use</w:t>
      </w:r>
      <w:r w:rsidR="000E19F6">
        <w:t>,</w:t>
      </w:r>
      <w:r w:rsidR="00AC3A3D" w:rsidRPr="00AC3A3D">
        <w:t xml:space="preserve"> and conditions </w:t>
      </w:r>
      <w:r w:rsidR="000E19F6">
        <w:t>that</w:t>
      </w:r>
      <w:r w:rsidR="000E19F6" w:rsidRPr="00AC3A3D">
        <w:t xml:space="preserve"> </w:t>
      </w:r>
      <w:r w:rsidR="00AC3A3D" w:rsidRPr="00AC3A3D">
        <w:t xml:space="preserve">may limit the consumer’s capacity to safely and effectively use the DAA (e.g. visual impairment, diminished dexterity due to arthritis), and confirming that the consumer can effectively use the proposed DAA. A written agreement between the consumer and the pharmacist is then drafted in order to formalise the service to be delivered, and a DAA profile for the patient is created. </w:t>
      </w:r>
    </w:p>
    <w:p w:rsidR="00AC3A3D" w:rsidRPr="00AC3A3D" w:rsidRDefault="00AC3A3D" w:rsidP="00F03200">
      <w:pPr>
        <w:pStyle w:val="Bodytextbeforebullets"/>
      </w:pPr>
      <w:r w:rsidRPr="00AC3A3D">
        <w:t xml:space="preserve">According to the </w:t>
      </w:r>
      <w:r w:rsidR="00443CFE" w:rsidRPr="00B26EE0">
        <w:rPr>
          <w:i/>
        </w:rPr>
        <w:t>Guidelines and Standards for Pharmacists</w:t>
      </w:r>
      <w:r w:rsidR="00B104F8">
        <w:rPr>
          <w:i/>
        </w:rPr>
        <w:t xml:space="preserve">: </w:t>
      </w:r>
      <w:r w:rsidR="00B104F8" w:rsidRPr="00B26EE0">
        <w:rPr>
          <w:i/>
        </w:rPr>
        <w:t>Dose Administration Aids Service</w:t>
      </w:r>
      <w:r w:rsidR="00443CFE" w:rsidRPr="00AC3A3D">
        <w:t xml:space="preserve"> (</w:t>
      </w:r>
      <w:r w:rsidR="00602795">
        <w:t xml:space="preserve">PSA, </w:t>
      </w:r>
      <w:r w:rsidR="00443CFE" w:rsidRPr="00AC3A3D">
        <w:t>2007)</w:t>
      </w:r>
      <w:r w:rsidRPr="00AC3A3D">
        <w:t>, consumers that are most likely to benefit from this service include those:</w:t>
      </w:r>
    </w:p>
    <w:p w:rsidR="00AC3A3D" w:rsidRPr="00AC3A3D" w:rsidRDefault="00AC3A3D" w:rsidP="00F03200">
      <w:pPr>
        <w:pStyle w:val="Bullettext"/>
      </w:pPr>
      <w:r w:rsidRPr="00AC3A3D">
        <w:t>living in the community; and</w:t>
      </w:r>
    </w:p>
    <w:p w:rsidR="00AC3A3D" w:rsidRPr="00AC3A3D" w:rsidRDefault="00AC3A3D" w:rsidP="00F03200">
      <w:pPr>
        <w:pStyle w:val="Bullettext"/>
      </w:pPr>
      <w:r w:rsidRPr="00AC3A3D">
        <w:lastRenderedPageBreak/>
        <w:t>taking five or more medicines daily (including non-prescription medicines);</w:t>
      </w:r>
    </w:p>
    <w:p w:rsidR="00AC3A3D" w:rsidRPr="00AC3A3D" w:rsidRDefault="00AC3A3D" w:rsidP="00F03200">
      <w:pPr>
        <w:pStyle w:val="Bullettext"/>
      </w:pPr>
      <w:r w:rsidRPr="00AC3A3D">
        <w:t>with a medical history suggesting problems managing medicines (e.g. prior hospitalisation due to poor adherence);</w:t>
      </w:r>
    </w:p>
    <w:p w:rsidR="00AC3A3D" w:rsidRPr="00AC3A3D" w:rsidRDefault="00AC3A3D" w:rsidP="00F03200">
      <w:pPr>
        <w:pStyle w:val="Bullettext"/>
      </w:pPr>
      <w:r w:rsidRPr="00AC3A3D">
        <w:t>with a complex regimen of medicines; or</w:t>
      </w:r>
    </w:p>
    <w:p w:rsidR="00AC3A3D" w:rsidRPr="00AC3A3D" w:rsidRDefault="00AC3A3D" w:rsidP="00F03200">
      <w:pPr>
        <w:pStyle w:val="Bullettext"/>
      </w:pPr>
      <w:r w:rsidRPr="00AC3A3D">
        <w:t xml:space="preserve">with signs of cognitive or physical impairment </w:t>
      </w:r>
      <w:r w:rsidR="000E19F6">
        <w:t>that</w:t>
      </w:r>
      <w:r w:rsidR="000E19F6" w:rsidRPr="00AC3A3D">
        <w:t xml:space="preserve"> </w:t>
      </w:r>
      <w:r w:rsidRPr="00AC3A3D">
        <w:t>may affect their ability to effectively manage medicines.</w:t>
      </w:r>
    </w:p>
    <w:p w:rsidR="00AC3A3D" w:rsidRPr="00AC3A3D" w:rsidRDefault="00AC3A3D" w:rsidP="00AC3A3D">
      <w:pPr>
        <w:pStyle w:val="BodyText"/>
      </w:pPr>
      <w:r w:rsidRPr="00AC3A3D">
        <w:t>Therefore, the most common patient groups that may access this service include the elderly, who are often on several different medications, and patients with cognitive disabilities who may have trouble understanding or remembering their dosage regimes.</w:t>
      </w:r>
    </w:p>
    <w:p w:rsidR="00AC3A3D" w:rsidRPr="00AC3A3D" w:rsidRDefault="00AC3A3D" w:rsidP="00F03200">
      <w:pPr>
        <w:pStyle w:val="BodyText"/>
      </w:pPr>
      <w:r w:rsidRPr="00AC3A3D">
        <w:t xml:space="preserve">It is important to note that while certain population groups have the potential to benefit from DAAs, the eligibility criteria may not always closely align with those groups most likely to benefit. Therefore, it is necessary to evaluate the evidence on the effectiveness of the DAA </w:t>
      </w:r>
      <w:r w:rsidR="009278FF">
        <w:t>initiative</w:t>
      </w:r>
      <w:r w:rsidRPr="00AC3A3D">
        <w:t xml:space="preserve"> among these patient groups or the broader population.</w:t>
      </w:r>
    </w:p>
    <w:p w:rsidR="00AC3A3D" w:rsidRPr="00AC3A3D" w:rsidRDefault="00AC3A3D" w:rsidP="00C05167">
      <w:pPr>
        <w:pStyle w:val="Heading2"/>
      </w:pPr>
      <w:bookmarkStart w:id="32" w:name="_Toc523230272"/>
      <w:r w:rsidRPr="00AC3A3D">
        <w:t>Types of medicines suitable for DAAs</w:t>
      </w:r>
      <w:bookmarkEnd w:id="32"/>
    </w:p>
    <w:p w:rsidR="00AC3A3D" w:rsidRPr="00AC3A3D" w:rsidRDefault="00AC3A3D" w:rsidP="00F03200">
      <w:pPr>
        <w:pStyle w:val="Bodytextbeforebullets"/>
      </w:pPr>
      <w:r w:rsidRPr="00AC3A3D">
        <w:t xml:space="preserve">The PSA </w:t>
      </w:r>
      <w:r w:rsidRPr="00B26EE0">
        <w:rPr>
          <w:i/>
        </w:rPr>
        <w:t>Professional Practice Standards</w:t>
      </w:r>
      <w:r w:rsidRPr="00AC3A3D">
        <w:t xml:space="preserve"> (2010) and </w:t>
      </w:r>
      <w:r w:rsidRPr="00B26EE0">
        <w:rPr>
          <w:i/>
        </w:rPr>
        <w:t>Guidelines and Standards for Pharmacists</w:t>
      </w:r>
      <w:r w:rsidR="00B104F8">
        <w:rPr>
          <w:i/>
        </w:rPr>
        <w:t xml:space="preserve">: </w:t>
      </w:r>
      <w:r w:rsidR="00B104F8" w:rsidRPr="00B26EE0">
        <w:rPr>
          <w:i/>
        </w:rPr>
        <w:t>Dose Administration Aids Service</w:t>
      </w:r>
      <w:r w:rsidRPr="00AC3A3D">
        <w:t xml:space="preserve"> (2007) have provided general guidance on stability issues related to the repackaging of oral solid dosage forms into DAAs and are summarised as follows: </w:t>
      </w:r>
    </w:p>
    <w:p w:rsidR="00AC3A3D" w:rsidRPr="00AC3A3D" w:rsidRDefault="00AC3A3D" w:rsidP="009D1CB1">
      <w:pPr>
        <w:pStyle w:val="Bullettext"/>
      </w:pPr>
      <w:r w:rsidRPr="00AC3A3D">
        <w:t>Medicines that are generally unsuitable for packing into DAAs include cytotoxic, effervescent, dispersible, buccal, and sublingual and hygroscopic medicines.</w:t>
      </w:r>
    </w:p>
    <w:p w:rsidR="00AC3A3D" w:rsidRPr="00AC3A3D" w:rsidRDefault="00AC3A3D" w:rsidP="009D1CB1">
      <w:pPr>
        <w:pStyle w:val="Bullettext"/>
      </w:pPr>
      <w:r w:rsidRPr="00AC3A3D">
        <w:t>Medicines administered on an ‘as required’ basis are generally unsuitable for packing into DAAs since they may be taken unnecessarily on a regular basis or removed from the blister for use at an earlier or later stage, thus exposing the remaining contents to the environment.</w:t>
      </w:r>
    </w:p>
    <w:p w:rsidR="00AC3A3D" w:rsidRPr="00AC3A3D" w:rsidRDefault="00AC3A3D" w:rsidP="009D1CB1">
      <w:pPr>
        <w:pStyle w:val="Bullettext"/>
      </w:pPr>
      <w:r w:rsidRPr="00AC3A3D">
        <w:t xml:space="preserve">Only devices </w:t>
      </w:r>
      <w:r w:rsidR="00D95C9F">
        <w:t>that are well sealed and tamper-</w:t>
      </w:r>
      <w:r w:rsidRPr="00AC3A3D">
        <w:t>evident should be used.</w:t>
      </w:r>
    </w:p>
    <w:p w:rsidR="00AC3A3D" w:rsidRPr="00AC3A3D" w:rsidRDefault="00AC3A3D" w:rsidP="009D1CB1">
      <w:pPr>
        <w:pStyle w:val="Bullettext"/>
      </w:pPr>
      <w:r w:rsidRPr="00AC3A3D">
        <w:t>The length of time taken for the end-to-end packing process should be kept to a minimum; tablets and capsules should be removed from the manufacturer’s foil or blister pack immediately before the DAA is packed, and the DAA sealed immediately after it is packed.</w:t>
      </w:r>
    </w:p>
    <w:p w:rsidR="00AC3A3D" w:rsidRPr="00AC3A3D" w:rsidRDefault="00AC3A3D" w:rsidP="009D1CB1">
      <w:pPr>
        <w:pStyle w:val="Bullettext"/>
      </w:pPr>
      <w:r w:rsidRPr="00AC3A3D">
        <w:t>Any heat sealing methods should be used quickly and efficiently to minimise exposure of medicines to heat, especially medicines that might be affected when the backing of a DAA is heat-sealed, for example, soft gel capsules.</w:t>
      </w:r>
    </w:p>
    <w:p w:rsidR="00AC3A3D" w:rsidRPr="00AC3A3D" w:rsidRDefault="00AC3A3D" w:rsidP="009D1CB1">
      <w:pPr>
        <w:pStyle w:val="Bullettext"/>
      </w:pPr>
      <w:r w:rsidRPr="00AC3A3D">
        <w:t>The packed DAAs should be stored in an area that is cool, dry and protected from light, and the time between packing and dispensing should be kept to a minimum.</w:t>
      </w:r>
    </w:p>
    <w:p w:rsidR="00AC3A3D" w:rsidRPr="00AC3A3D" w:rsidRDefault="00AC3A3D" w:rsidP="009D1CB1">
      <w:pPr>
        <w:pStyle w:val="Bullettext"/>
      </w:pPr>
      <w:r w:rsidRPr="00AC3A3D">
        <w:t>When a DAA needs to be transported by independent couriers or other means, consideration should be given to the likely storage conditions (e.g. exposure to heat, humidity, and moisture) and the length of time the DAA will be in transit.</w:t>
      </w:r>
    </w:p>
    <w:p w:rsidR="00AC3A3D" w:rsidRPr="00AC3A3D" w:rsidRDefault="00AC3A3D" w:rsidP="009D1CB1">
      <w:pPr>
        <w:pStyle w:val="Bullettext"/>
      </w:pPr>
      <w:r w:rsidRPr="00AC3A3D">
        <w:t>It is useful to maintain a list of medicines/medicine types that should not be removed from their original pack for packing in a DAA.</w:t>
      </w:r>
    </w:p>
    <w:p w:rsidR="00BF16D8" w:rsidRDefault="004F6B59" w:rsidP="001E4E5B">
      <w:pPr>
        <w:pStyle w:val="Heading1"/>
      </w:pPr>
      <w:bookmarkStart w:id="33" w:name="_Toc523230273"/>
      <w:bookmarkEnd w:id="26"/>
      <w:bookmarkEnd w:id="27"/>
      <w:r>
        <w:lastRenderedPageBreak/>
        <w:t xml:space="preserve">Review </w:t>
      </w:r>
      <w:r w:rsidR="00165A92">
        <w:t>m</w:t>
      </w:r>
      <w:r>
        <w:t>ethodology</w:t>
      </w:r>
      <w:bookmarkEnd w:id="33"/>
    </w:p>
    <w:p w:rsidR="00782B61" w:rsidRDefault="00985527" w:rsidP="008228DE">
      <w:pPr>
        <w:pStyle w:val="BodyText"/>
      </w:pPr>
      <w:bookmarkStart w:id="34" w:name="_Toc374972259"/>
      <w:bookmarkStart w:id="35" w:name="_Toc374972620"/>
      <w:r>
        <w:t xml:space="preserve">This </w:t>
      </w:r>
      <w:r w:rsidR="00182364">
        <w:t>S</w:t>
      </w:r>
      <w:r w:rsidR="00FA5DF3">
        <w:t>ection</w:t>
      </w:r>
      <w:r>
        <w:t xml:space="preserve"> </w:t>
      </w:r>
      <w:r w:rsidR="004F6B59">
        <w:t>describes the methodology used to identify and assess the evidence relating to DAAs.</w:t>
      </w:r>
      <w:r w:rsidR="00182364">
        <w:t xml:space="preserve"> The </w:t>
      </w:r>
      <w:r w:rsidR="00AE66D1">
        <w:t>evaluation encompasse</w:t>
      </w:r>
      <w:r w:rsidR="001F6386">
        <w:t>s</w:t>
      </w:r>
      <w:r w:rsidR="00AE66D1">
        <w:t xml:space="preserve"> a systematic literature review of Australian and international evidence for the safety, effectiveness and cost-effectiveness of DAA </w:t>
      </w:r>
      <w:r w:rsidR="00182364">
        <w:t xml:space="preserve">services </w:t>
      </w:r>
      <w:r w:rsidR="00AE66D1">
        <w:t>provided by pharmacists to individuals living in the community, and an analysis of available data on the utilisation of the service provided under the PPI</w:t>
      </w:r>
      <w:r w:rsidR="00566C62">
        <w:t xml:space="preserve"> </w:t>
      </w:r>
      <w:r w:rsidR="00AE66D1">
        <w:t>P</w:t>
      </w:r>
      <w:r w:rsidR="00566C62">
        <w:t>rogram</w:t>
      </w:r>
      <w:r w:rsidR="00AE66D1">
        <w:t>.</w:t>
      </w:r>
    </w:p>
    <w:p w:rsidR="00344F45" w:rsidRDefault="004F6B59" w:rsidP="00344F45">
      <w:pPr>
        <w:pStyle w:val="Heading2"/>
      </w:pPr>
      <w:bookmarkStart w:id="36" w:name="_Toc523230274"/>
      <w:r>
        <w:t>Systematic literature review</w:t>
      </w:r>
      <w:bookmarkEnd w:id="36"/>
    </w:p>
    <w:p w:rsidR="004F6B59" w:rsidRDefault="004F6B59" w:rsidP="00AC3A3D">
      <w:pPr>
        <w:pStyle w:val="Heading3"/>
      </w:pPr>
      <w:bookmarkStart w:id="37" w:name="_Ref462135430"/>
      <w:bookmarkStart w:id="38" w:name="_Toc523230275"/>
      <w:r>
        <w:t>Research questions and PICO criteria</w:t>
      </w:r>
      <w:bookmarkEnd w:id="37"/>
      <w:bookmarkEnd w:id="38"/>
    </w:p>
    <w:p w:rsidR="00D01587" w:rsidRDefault="00D01587" w:rsidP="00AC3A3D">
      <w:pPr>
        <w:pStyle w:val="Bodytextbeforebullets"/>
      </w:pPr>
      <w:r>
        <w:t xml:space="preserve">The key research questions for the evaluation of DAA services relate to the potential advantages to consumers that are outlined in the PSA </w:t>
      </w:r>
      <w:r w:rsidRPr="00B56E96">
        <w:rPr>
          <w:i/>
        </w:rPr>
        <w:t>Dose Administration Aids Service – Guidelines and Standards for Pharmacists</w:t>
      </w:r>
      <w:r>
        <w:t xml:space="preserve"> (July 2007).</w:t>
      </w:r>
      <w:r w:rsidR="00AE66D1">
        <w:rPr>
          <w:rStyle w:val="FootnoteReference"/>
        </w:rPr>
        <w:footnoteReference w:id="2"/>
      </w:r>
    </w:p>
    <w:p w:rsidR="00D01587" w:rsidRDefault="00D01587" w:rsidP="00D01587">
      <w:pPr>
        <w:pStyle w:val="Bullettext"/>
      </w:pPr>
      <w:r>
        <w:t>Is there evidence that a DAA service provided by community pharmacies provides benefits to consumers, compared with no DAA service provided by community pharmacies, in terms of:</w:t>
      </w:r>
    </w:p>
    <w:p w:rsidR="00D01587" w:rsidRDefault="00D01587" w:rsidP="00982A19">
      <w:pPr>
        <w:pStyle w:val="Bullettext"/>
        <w:numPr>
          <w:ilvl w:val="1"/>
          <w:numId w:val="16"/>
        </w:numPr>
        <w:ind w:left="709"/>
      </w:pPr>
      <w:r>
        <w:t>improvement in medication adherence and management;</w:t>
      </w:r>
    </w:p>
    <w:p w:rsidR="00D01587" w:rsidRDefault="00D01587" w:rsidP="00982A19">
      <w:pPr>
        <w:pStyle w:val="Bullettext"/>
        <w:numPr>
          <w:ilvl w:val="1"/>
          <w:numId w:val="16"/>
        </w:numPr>
        <w:ind w:left="709"/>
      </w:pPr>
      <w:r>
        <w:t>reduction in the incidence of adverse drug events; and</w:t>
      </w:r>
    </w:p>
    <w:p w:rsidR="00D01587" w:rsidRDefault="00D01587" w:rsidP="00982A19">
      <w:pPr>
        <w:pStyle w:val="Bullettext"/>
        <w:numPr>
          <w:ilvl w:val="1"/>
          <w:numId w:val="16"/>
        </w:numPr>
        <w:ind w:left="709"/>
      </w:pPr>
      <w:r>
        <w:t>reduction in medication-related hospitalisation?</w:t>
      </w:r>
    </w:p>
    <w:p w:rsidR="00D01587" w:rsidRDefault="00D01587" w:rsidP="00D01587">
      <w:pPr>
        <w:pStyle w:val="Bullettext"/>
      </w:pPr>
      <w:r>
        <w:t>Is there evidence that a DAA service provided by community pharmacies results in cost offsets or cost savings through prevention of hoarding of medicines?</w:t>
      </w:r>
    </w:p>
    <w:p w:rsidR="00D01587" w:rsidRDefault="00D01587" w:rsidP="00AC3A3D">
      <w:pPr>
        <w:pStyle w:val="Bodytextbeforebullets"/>
      </w:pPr>
      <w:r>
        <w:t>Additional research questions of relevance to the evaluation relate to the costs and cost-effectiveness of the service:</w:t>
      </w:r>
    </w:p>
    <w:p w:rsidR="00D01587" w:rsidRDefault="00D01587" w:rsidP="00D01587">
      <w:pPr>
        <w:pStyle w:val="Bullettext"/>
      </w:pPr>
      <w:r>
        <w:t xml:space="preserve">What costs are associated with a DAA service provided by community pharmacies? </w:t>
      </w:r>
    </w:p>
    <w:p w:rsidR="00D01587" w:rsidRDefault="00D01587" w:rsidP="00D01587">
      <w:pPr>
        <w:pStyle w:val="Bullettext"/>
      </w:pPr>
      <w:r>
        <w:t>Is there evidence that a DAA service provided by community pharmacies is cost-effective, compared with no DAA service provided by community pharmacies?</w:t>
      </w:r>
    </w:p>
    <w:p w:rsidR="00D01587" w:rsidRDefault="00587B61" w:rsidP="002C73AD">
      <w:pPr>
        <w:pStyle w:val="BodyText"/>
      </w:pPr>
      <w:r>
        <w:fldChar w:fldCharType="begin"/>
      </w:r>
      <w:r>
        <w:instrText xml:space="preserve"> REF _Ref462134170 \h </w:instrText>
      </w:r>
      <w:r>
        <w:fldChar w:fldCharType="separate"/>
      </w:r>
      <w:r w:rsidR="00964233">
        <w:t xml:space="preserve">Table </w:t>
      </w:r>
      <w:r w:rsidR="00964233">
        <w:rPr>
          <w:noProof/>
        </w:rPr>
        <w:t>3</w:t>
      </w:r>
      <w:r w:rsidR="00964233">
        <w:t>.</w:t>
      </w:r>
      <w:r w:rsidR="00964233">
        <w:rPr>
          <w:noProof/>
        </w:rPr>
        <w:t>1</w:t>
      </w:r>
      <w:r>
        <w:fldChar w:fldCharType="end"/>
      </w:r>
      <w:r>
        <w:t xml:space="preserve"> </w:t>
      </w:r>
      <w:r w:rsidRPr="00D01587">
        <w:t>presents the selection criteria for evide</w:t>
      </w:r>
      <w:r>
        <w:t xml:space="preserve">nce assessing the safety, effectiveness </w:t>
      </w:r>
      <w:r w:rsidRPr="00D01587">
        <w:t>and cost-effectiveness of DAA services.</w:t>
      </w:r>
    </w:p>
    <w:p w:rsidR="00587B61" w:rsidRDefault="00587B61" w:rsidP="00587B61">
      <w:pPr>
        <w:pStyle w:val="Caption"/>
      </w:pPr>
      <w:bookmarkStart w:id="39" w:name="_Ref462134170"/>
      <w:bookmarkStart w:id="40" w:name="_Toc523230320"/>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3</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1</w:t>
      </w:r>
      <w:r w:rsidR="00964233">
        <w:rPr>
          <w:noProof/>
        </w:rPr>
        <w:fldChar w:fldCharType="end"/>
      </w:r>
      <w:bookmarkEnd w:id="39"/>
      <w:r>
        <w:tab/>
      </w:r>
      <w:r w:rsidRPr="00187213">
        <w:t xml:space="preserve">Selection criteria for evidence </w:t>
      </w:r>
      <w:r>
        <w:t>relating to DAA services provided by community pharmacies</w:t>
      </w:r>
      <w:bookmarkEnd w:id="40"/>
    </w:p>
    <w:tbl>
      <w:tblPr>
        <w:tblStyle w:val="TableGrid"/>
        <w:tblW w:w="5000" w:type="pct"/>
        <w:tblLook w:val="04A0" w:firstRow="1" w:lastRow="0" w:firstColumn="1" w:lastColumn="0" w:noHBand="0" w:noVBand="1"/>
        <w:tblCaption w:val="Table 3.1"/>
        <w:tblDescription w:val="Selection criteria for evidence relating to DAA services provided by community pharmacies"/>
      </w:tblPr>
      <w:tblGrid>
        <w:gridCol w:w="1502"/>
        <w:gridCol w:w="8126"/>
      </w:tblGrid>
      <w:tr w:rsidR="00587B61" w:rsidRPr="00982A19" w:rsidTr="00982A19">
        <w:trPr>
          <w:cnfStyle w:val="100000000000" w:firstRow="1" w:lastRow="0" w:firstColumn="0" w:lastColumn="0" w:oddVBand="0" w:evenVBand="0" w:oddHBand="0" w:evenHBand="0" w:firstRowFirstColumn="0" w:firstRowLastColumn="0" w:lastRowFirstColumn="0" w:lastRowLastColumn="0"/>
        </w:trPr>
        <w:tc>
          <w:tcPr>
            <w:tcW w:w="780" w:type="pct"/>
            <w:vAlign w:val="center"/>
          </w:tcPr>
          <w:p w:rsidR="00587B61" w:rsidRPr="00982A19" w:rsidRDefault="00587B61" w:rsidP="000375D5">
            <w:pPr>
              <w:pStyle w:val="01Tableheadingorsubheading"/>
              <w:keepNext w:val="0"/>
              <w:rPr>
                <w:sz w:val="20"/>
                <w:szCs w:val="20"/>
              </w:rPr>
            </w:pPr>
            <w:r w:rsidRPr="00982A19">
              <w:rPr>
                <w:sz w:val="20"/>
                <w:szCs w:val="20"/>
              </w:rPr>
              <w:t>Criteria</w:t>
            </w:r>
          </w:p>
        </w:tc>
        <w:tc>
          <w:tcPr>
            <w:tcW w:w="4220" w:type="pct"/>
            <w:vAlign w:val="center"/>
          </w:tcPr>
          <w:p w:rsidR="00587B61" w:rsidRPr="00982A19" w:rsidRDefault="00587B61" w:rsidP="000375D5">
            <w:pPr>
              <w:pStyle w:val="01Tableheadingorsubheading"/>
              <w:keepNext w:val="0"/>
              <w:rPr>
                <w:sz w:val="20"/>
                <w:szCs w:val="20"/>
              </w:rPr>
            </w:pPr>
            <w:r w:rsidRPr="00982A19">
              <w:rPr>
                <w:sz w:val="20"/>
                <w:szCs w:val="20"/>
              </w:rPr>
              <w:t>Description</w:t>
            </w:r>
          </w:p>
        </w:tc>
      </w:tr>
      <w:tr w:rsidR="00587B61" w:rsidRPr="00982A19" w:rsidTr="00982A19">
        <w:tc>
          <w:tcPr>
            <w:tcW w:w="780" w:type="pct"/>
          </w:tcPr>
          <w:p w:rsidR="00587B61" w:rsidRPr="00982A19" w:rsidRDefault="00587B61" w:rsidP="000375D5">
            <w:pPr>
              <w:pStyle w:val="02Tabletext"/>
              <w:keepNext w:val="0"/>
              <w:rPr>
                <w:szCs w:val="20"/>
              </w:rPr>
            </w:pPr>
            <w:r w:rsidRPr="00982A19">
              <w:rPr>
                <w:szCs w:val="20"/>
              </w:rPr>
              <w:t>Population</w:t>
            </w:r>
          </w:p>
        </w:tc>
        <w:tc>
          <w:tcPr>
            <w:tcW w:w="4220" w:type="pct"/>
          </w:tcPr>
          <w:p w:rsidR="00587B61" w:rsidRPr="00982A19" w:rsidRDefault="00587B61" w:rsidP="000375D5">
            <w:pPr>
              <w:pStyle w:val="02Tabletext"/>
              <w:keepNext w:val="0"/>
              <w:rPr>
                <w:szCs w:val="20"/>
              </w:rPr>
            </w:pPr>
            <w:r w:rsidRPr="00982A19">
              <w:rPr>
                <w:szCs w:val="20"/>
              </w:rPr>
              <w:t>Community patients taking one or more self-administered medications (prescribed or over-the-counter). ‘Self-administered’ refers to the administration of a medication without the active assistance of a health care professional. It allows for medication administered by a family member or carer.</w:t>
            </w:r>
          </w:p>
          <w:p w:rsidR="00587B61" w:rsidRPr="00982A19" w:rsidRDefault="00587B61" w:rsidP="000375D5">
            <w:pPr>
              <w:pStyle w:val="03Tabletextspacebefore"/>
              <w:rPr>
                <w:sz w:val="20"/>
                <w:szCs w:val="20"/>
              </w:rPr>
            </w:pPr>
            <w:r w:rsidRPr="00982A19">
              <w:rPr>
                <w:sz w:val="20"/>
                <w:szCs w:val="20"/>
              </w:rPr>
              <w:t>Note: Patients living in a residential aged care facility or a correctional facility are excluded.</w:t>
            </w:r>
          </w:p>
          <w:p w:rsidR="00587B61" w:rsidRPr="00982A19" w:rsidRDefault="00587B61" w:rsidP="000375D5">
            <w:pPr>
              <w:pStyle w:val="04Tabletextspaceitalics"/>
              <w:rPr>
                <w:sz w:val="20"/>
                <w:szCs w:val="20"/>
              </w:rPr>
            </w:pPr>
            <w:r w:rsidRPr="00982A19">
              <w:rPr>
                <w:sz w:val="20"/>
                <w:szCs w:val="20"/>
              </w:rPr>
              <w:t>Subpopulations:</w:t>
            </w:r>
          </w:p>
          <w:p w:rsidR="00587B61" w:rsidRPr="00982A19" w:rsidRDefault="00587B61" w:rsidP="000375D5">
            <w:pPr>
              <w:pStyle w:val="06Tablebullet"/>
              <w:rPr>
                <w:sz w:val="20"/>
                <w:szCs w:val="20"/>
              </w:rPr>
            </w:pPr>
            <w:r w:rsidRPr="00982A19">
              <w:rPr>
                <w:sz w:val="20"/>
                <w:szCs w:val="20"/>
              </w:rPr>
              <w:t>geriatric population</w:t>
            </w:r>
          </w:p>
          <w:p w:rsidR="00587B61" w:rsidRPr="00982A19" w:rsidRDefault="00587B61" w:rsidP="000375D5">
            <w:pPr>
              <w:pStyle w:val="06Tablebullet"/>
              <w:rPr>
                <w:sz w:val="20"/>
                <w:szCs w:val="20"/>
              </w:rPr>
            </w:pPr>
            <w:r w:rsidRPr="00982A19">
              <w:rPr>
                <w:sz w:val="20"/>
                <w:szCs w:val="20"/>
              </w:rPr>
              <w:t>cognitive or physical impairment</w:t>
            </w:r>
          </w:p>
          <w:p w:rsidR="00587B61" w:rsidRPr="00982A19" w:rsidRDefault="00587B61" w:rsidP="000375D5">
            <w:pPr>
              <w:pStyle w:val="06Tablebullet"/>
              <w:rPr>
                <w:sz w:val="20"/>
                <w:szCs w:val="20"/>
              </w:rPr>
            </w:pPr>
            <w:r w:rsidRPr="00982A19">
              <w:rPr>
                <w:sz w:val="20"/>
                <w:szCs w:val="20"/>
              </w:rPr>
              <w:t>chronic mental illness</w:t>
            </w:r>
          </w:p>
          <w:p w:rsidR="00587B61" w:rsidRPr="00982A19" w:rsidRDefault="00587B61" w:rsidP="000375D5">
            <w:pPr>
              <w:pStyle w:val="06Tablebullet"/>
              <w:rPr>
                <w:sz w:val="20"/>
                <w:szCs w:val="20"/>
              </w:rPr>
            </w:pPr>
            <w:r w:rsidRPr="00982A19">
              <w:rPr>
                <w:sz w:val="20"/>
                <w:szCs w:val="20"/>
              </w:rPr>
              <w:t>chronic disease (e.g. asthma, diabetes, cardiovascular disease)</w:t>
            </w:r>
          </w:p>
          <w:p w:rsidR="00587B61" w:rsidRPr="00982A19" w:rsidRDefault="00587B61" w:rsidP="000375D5">
            <w:pPr>
              <w:pStyle w:val="06Tablebullet"/>
              <w:rPr>
                <w:sz w:val="20"/>
                <w:szCs w:val="20"/>
              </w:rPr>
            </w:pPr>
            <w:r w:rsidRPr="00982A19">
              <w:rPr>
                <w:sz w:val="20"/>
                <w:szCs w:val="20"/>
              </w:rPr>
              <w:t>concurrent use of multiple medications (polypharmacy)</w:t>
            </w:r>
          </w:p>
        </w:tc>
      </w:tr>
      <w:tr w:rsidR="00587B61" w:rsidRPr="00982A19" w:rsidTr="00982A19">
        <w:trPr>
          <w:cnfStyle w:val="000000010000" w:firstRow="0" w:lastRow="0" w:firstColumn="0" w:lastColumn="0" w:oddVBand="0" w:evenVBand="0" w:oddHBand="0" w:evenHBand="1" w:firstRowFirstColumn="0" w:firstRowLastColumn="0" w:lastRowFirstColumn="0" w:lastRowLastColumn="0"/>
        </w:trPr>
        <w:tc>
          <w:tcPr>
            <w:tcW w:w="780" w:type="pct"/>
          </w:tcPr>
          <w:p w:rsidR="00587B61" w:rsidRPr="00982A19" w:rsidRDefault="00587B61" w:rsidP="000375D5">
            <w:pPr>
              <w:pStyle w:val="02Tabletext"/>
              <w:keepNext w:val="0"/>
              <w:rPr>
                <w:szCs w:val="20"/>
              </w:rPr>
            </w:pPr>
            <w:r w:rsidRPr="00982A19">
              <w:rPr>
                <w:szCs w:val="20"/>
              </w:rPr>
              <w:lastRenderedPageBreak/>
              <w:t>Intervention</w:t>
            </w:r>
          </w:p>
        </w:tc>
        <w:tc>
          <w:tcPr>
            <w:tcW w:w="4220" w:type="pct"/>
          </w:tcPr>
          <w:p w:rsidR="00587B61" w:rsidRPr="00982A19" w:rsidRDefault="00587B61" w:rsidP="000375D5">
            <w:pPr>
              <w:pStyle w:val="02Tabletext"/>
              <w:keepNext w:val="0"/>
              <w:rPr>
                <w:szCs w:val="20"/>
              </w:rPr>
            </w:pPr>
            <w:r w:rsidRPr="00982A19">
              <w:rPr>
                <w:szCs w:val="20"/>
              </w:rPr>
              <w:t xml:space="preserve">Any tamper-evident, adherence devices (e.g. compartmentalised boxes, blister or bubble packs, sachet systems) provided by community pharmacies to assist medication management for a consumer by having medicines divided into individual doses and arranged according to the dose schedule throughout the day. The adherence device (or dose administration aid) may be packed by the community pharmacist or a third party. </w:t>
            </w:r>
          </w:p>
          <w:p w:rsidR="00587B61" w:rsidRPr="00982A19" w:rsidRDefault="00587B61" w:rsidP="00B26EE0">
            <w:pPr>
              <w:pStyle w:val="03Tabletextspacebefore"/>
              <w:rPr>
                <w:sz w:val="20"/>
                <w:szCs w:val="20"/>
              </w:rPr>
            </w:pPr>
            <w:r w:rsidRPr="00982A19">
              <w:rPr>
                <w:sz w:val="20"/>
                <w:szCs w:val="20"/>
              </w:rPr>
              <w:t>Note: Injected, topical or inhaled medicines, and co-packaged or fixed-dose combinations are not excluded, as long as the packaging includes a reminder system.</w:t>
            </w:r>
          </w:p>
        </w:tc>
      </w:tr>
      <w:tr w:rsidR="00587B61" w:rsidRPr="00982A19" w:rsidTr="00982A19">
        <w:tc>
          <w:tcPr>
            <w:tcW w:w="780" w:type="pct"/>
          </w:tcPr>
          <w:p w:rsidR="00587B61" w:rsidRPr="00982A19" w:rsidRDefault="00587B61" w:rsidP="000375D5">
            <w:pPr>
              <w:pStyle w:val="02Tabletext"/>
              <w:keepNext w:val="0"/>
              <w:rPr>
                <w:szCs w:val="20"/>
              </w:rPr>
            </w:pPr>
            <w:r w:rsidRPr="00982A19">
              <w:rPr>
                <w:szCs w:val="20"/>
              </w:rPr>
              <w:t>Comparator</w:t>
            </w:r>
          </w:p>
        </w:tc>
        <w:tc>
          <w:tcPr>
            <w:tcW w:w="4220" w:type="pct"/>
          </w:tcPr>
          <w:p w:rsidR="00587B61" w:rsidRPr="00982A19" w:rsidRDefault="00587B61" w:rsidP="000375D5">
            <w:pPr>
              <w:pStyle w:val="02Tabletext"/>
              <w:keepNext w:val="0"/>
              <w:rPr>
                <w:szCs w:val="20"/>
              </w:rPr>
            </w:pPr>
            <w:r w:rsidRPr="00982A19">
              <w:rPr>
                <w:szCs w:val="20"/>
              </w:rPr>
              <w:t>Community patients in the absence of the intervention.</w:t>
            </w:r>
          </w:p>
        </w:tc>
      </w:tr>
      <w:tr w:rsidR="00587B61" w:rsidRPr="00982A19" w:rsidTr="00982A19">
        <w:trPr>
          <w:cnfStyle w:val="000000010000" w:firstRow="0" w:lastRow="0" w:firstColumn="0" w:lastColumn="0" w:oddVBand="0" w:evenVBand="0" w:oddHBand="0" w:evenHBand="1" w:firstRowFirstColumn="0" w:firstRowLastColumn="0" w:lastRowFirstColumn="0" w:lastRowLastColumn="0"/>
        </w:trPr>
        <w:tc>
          <w:tcPr>
            <w:tcW w:w="780" w:type="pct"/>
          </w:tcPr>
          <w:p w:rsidR="00587B61" w:rsidRPr="00982A19" w:rsidRDefault="00587B61" w:rsidP="000375D5">
            <w:pPr>
              <w:pStyle w:val="02Tabletext"/>
              <w:keepNext w:val="0"/>
              <w:rPr>
                <w:szCs w:val="20"/>
              </w:rPr>
            </w:pPr>
            <w:r w:rsidRPr="00982A19">
              <w:rPr>
                <w:szCs w:val="20"/>
              </w:rPr>
              <w:t>Outcomes</w:t>
            </w:r>
          </w:p>
        </w:tc>
        <w:tc>
          <w:tcPr>
            <w:tcW w:w="4220" w:type="pct"/>
          </w:tcPr>
          <w:p w:rsidR="00587B61" w:rsidRPr="00982A19" w:rsidRDefault="00587B61" w:rsidP="000375D5">
            <w:pPr>
              <w:pStyle w:val="06Tablebullet"/>
              <w:rPr>
                <w:sz w:val="20"/>
                <w:szCs w:val="20"/>
              </w:rPr>
            </w:pPr>
            <w:r w:rsidRPr="00982A19">
              <w:rPr>
                <w:sz w:val="20"/>
                <w:szCs w:val="20"/>
              </w:rPr>
              <w:t>adherence/compliance/concordance with prescribed dose schedule (e.g. pill count, self-report)</w:t>
            </w:r>
            <w:r w:rsidR="00301AC8" w:rsidRPr="00982A19">
              <w:rPr>
                <w:sz w:val="20"/>
                <w:szCs w:val="20"/>
                <w:vertAlign w:val="superscript"/>
              </w:rPr>
              <w:t>a</w:t>
            </w:r>
          </w:p>
          <w:p w:rsidR="00587B61" w:rsidRPr="00982A19" w:rsidRDefault="00587B61" w:rsidP="000375D5">
            <w:pPr>
              <w:pStyle w:val="06Tablebullet"/>
              <w:rPr>
                <w:sz w:val="20"/>
                <w:szCs w:val="20"/>
              </w:rPr>
            </w:pPr>
            <w:r w:rsidRPr="00982A19">
              <w:rPr>
                <w:sz w:val="20"/>
                <w:szCs w:val="20"/>
              </w:rPr>
              <w:t>clinical outcomes (e.g. BP in patients with hypertension, HbA</w:t>
            </w:r>
            <w:r w:rsidRPr="00982A19">
              <w:rPr>
                <w:sz w:val="20"/>
                <w:szCs w:val="20"/>
                <w:vertAlign w:val="subscript"/>
              </w:rPr>
              <w:t>1c</w:t>
            </w:r>
            <w:r w:rsidRPr="00982A19">
              <w:rPr>
                <w:sz w:val="20"/>
                <w:szCs w:val="20"/>
              </w:rPr>
              <w:t xml:space="preserve"> in patients with diabetes, seizure frequency in patients with epilepsy, psychological symptoms in patients with mental illness)</w:t>
            </w:r>
          </w:p>
          <w:p w:rsidR="00587B61" w:rsidRPr="00982A19" w:rsidRDefault="00587B61" w:rsidP="000375D5">
            <w:pPr>
              <w:pStyle w:val="06Tablebullet"/>
              <w:rPr>
                <w:sz w:val="20"/>
                <w:szCs w:val="20"/>
              </w:rPr>
            </w:pPr>
            <w:r w:rsidRPr="00982A19">
              <w:rPr>
                <w:sz w:val="20"/>
                <w:szCs w:val="20"/>
              </w:rPr>
              <w:t>adverse drug events/reactions and medication-related problems</w:t>
            </w:r>
          </w:p>
          <w:p w:rsidR="00587B61" w:rsidRPr="00982A19" w:rsidRDefault="00587B61" w:rsidP="000375D5">
            <w:pPr>
              <w:pStyle w:val="06Tablebullet"/>
              <w:rPr>
                <w:sz w:val="20"/>
                <w:szCs w:val="20"/>
              </w:rPr>
            </w:pPr>
            <w:r w:rsidRPr="00982A19">
              <w:rPr>
                <w:sz w:val="20"/>
                <w:szCs w:val="20"/>
              </w:rPr>
              <w:t>safety outcomes (harms or errors associated with packaging devices)</w:t>
            </w:r>
          </w:p>
          <w:p w:rsidR="00587B61" w:rsidRPr="00982A19" w:rsidRDefault="00587B61" w:rsidP="000375D5">
            <w:pPr>
              <w:pStyle w:val="06Tablebullet"/>
              <w:rPr>
                <w:sz w:val="20"/>
                <w:szCs w:val="20"/>
              </w:rPr>
            </w:pPr>
            <w:r w:rsidRPr="00982A19">
              <w:rPr>
                <w:sz w:val="20"/>
                <w:szCs w:val="20"/>
              </w:rPr>
              <w:t>mortality</w:t>
            </w:r>
          </w:p>
          <w:p w:rsidR="00587B61" w:rsidRPr="00982A19" w:rsidRDefault="00587B61" w:rsidP="000375D5">
            <w:pPr>
              <w:pStyle w:val="06Tablebullet"/>
              <w:rPr>
                <w:sz w:val="20"/>
                <w:szCs w:val="20"/>
              </w:rPr>
            </w:pPr>
            <w:r w:rsidRPr="00982A19">
              <w:rPr>
                <w:sz w:val="20"/>
                <w:szCs w:val="20"/>
              </w:rPr>
              <w:t>health care resource use (ED attendance, hospitalisation, GP visits, specialist visits)</w:t>
            </w:r>
          </w:p>
          <w:p w:rsidR="00587B61" w:rsidRPr="00982A19" w:rsidRDefault="00587B61" w:rsidP="000375D5">
            <w:pPr>
              <w:pStyle w:val="06Tablebullet"/>
              <w:rPr>
                <w:sz w:val="20"/>
                <w:szCs w:val="20"/>
              </w:rPr>
            </w:pPr>
            <w:r w:rsidRPr="00982A19">
              <w:rPr>
                <w:sz w:val="20"/>
                <w:szCs w:val="20"/>
              </w:rPr>
              <w:t>patient acceptance/satisfaction</w:t>
            </w:r>
          </w:p>
          <w:p w:rsidR="00587B61" w:rsidRPr="00982A19" w:rsidRDefault="00587B61" w:rsidP="000375D5">
            <w:pPr>
              <w:pStyle w:val="06Tablebullet"/>
              <w:rPr>
                <w:sz w:val="20"/>
                <w:szCs w:val="20"/>
              </w:rPr>
            </w:pPr>
            <w:r w:rsidRPr="00982A19">
              <w:rPr>
                <w:sz w:val="20"/>
                <w:szCs w:val="20"/>
              </w:rPr>
              <w:t>health-related quality of life</w:t>
            </w:r>
          </w:p>
          <w:p w:rsidR="00587B61" w:rsidRPr="00982A19" w:rsidRDefault="00587B61" w:rsidP="000375D5">
            <w:pPr>
              <w:pStyle w:val="06Tablebullet"/>
              <w:rPr>
                <w:sz w:val="20"/>
                <w:szCs w:val="20"/>
              </w:rPr>
            </w:pPr>
            <w:r w:rsidRPr="00982A19">
              <w:rPr>
                <w:sz w:val="20"/>
                <w:szCs w:val="20"/>
              </w:rPr>
              <w:t>costs and cost-effectiveness</w:t>
            </w:r>
          </w:p>
        </w:tc>
      </w:tr>
      <w:tr w:rsidR="00587B61" w:rsidRPr="00982A19" w:rsidTr="00982A19">
        <w:tc>
          <w:tcPr>
            <w:tcW w:w="780" w:type="pct"/>
          </w:tcPr>
          <w:p w:rsidR="00587B61" w:rsidRPr="00982A19" w:rsidRDefault="00587B61" w:rsidP="000375D5">
            <w:pPr>
              <w:pStyle w:val="02Tabletext"/>
              <w:keepNext w:val="0"/>
              <w:rPr>
                <w:szCs w:val="20"/>
              </w:rPr>
            </w:pPr>
            <w:r w:rsidRPr="00982A19">
              <w:rPr>
                <w:szCs w:val="20"/>
              </w:rPr>
              <w:t>Study design</w:t>
            </w:r>
          </w:p>
        </w:tc>
        <w:tc>
          <w:tcPr>
            <w:tcW w:w="4220" w:type="pct"/>
          </w:tcPr>
          <w:p w:rsidR="00587B61" w:rsidRPr="00982A19" w:rsidRDefault="00587B61" w:rsidP="000375D5">
            <w:pPr>
              <w:pStyle w:val="02Tabletext"/>
              <w:keepNext w:val="0"/>
              <w:rPr>
                <w:szCs w:val="20"/>
              </w:rPr>
            </w:pPr>
            <w:r w:rsidRPr="00982A19">
              <w:rPr>
                <w:szCs w:val="20"/>
              </w:rPr>
              <w:t>Comparative studies (randomised or non-randomised controlled trials, cohort studies, case control studies) or systematic reviews of comparative studies.</w:t>
            </w:r>
          </w:p>
          <w:p w:rsidR="00587B61" w:rsidRPr="00982A19" w:rsidRDefault="00587B61" w:rsidP="000375D5">
            <w:pPr>
              <w:pStyle w:val="02Tabletext"/>
              <w:keepNext w:val="0"/>
              <w:rPr>
                <w:szCs w:val="20"/>
              </w:rPr>
            </w:pPr>
            <w:r w:rsidRPr="00982A19">
              <w:rPr>
                <w:szCs w:val="20"/>
              </w:rPr>
              <w:t>Applicability to the Australian context will be considered.</w:t>
            </w:r>
          </w:p>
        </w:tc>
      </w:tr>
      <w:tr w:rsidR="00587B61" w:rsidRPr="00982A19" w:rsidTr="00982A19">
        <w:trPr>
          <w:cnfStyle w:val="000000010000" w:firstRow="0" w:lastRow="0" w:firstColumn="0" w:lastColumn="0" w:oddVBand="0" w:evenVBand="0" w:oddHBand="0" w:evenHBand="1" w:firstRowFirstColumn="0" w:firstRowLastColumn="0" w:lastRowFirstColumn="0" w:lastRowLastColumn="0"/>
        </w:trPr>
        <w:tc>
          <w:tcPr>
            <w:tcW w:w="780" w:type="pct"/>
          </w:tcPr>
          <w:p w:rsidR="00587B61" w:rsidRPr="00982A19" w:rsidRDefault="00587B61" w:rsidP="000375D5">
            <w:pPr>
              <w:pStyle w:val="02Tabletext"/>
              <w:keepNext w:val="0"/>
              <w:rPr>
                <w:szCs w:val="20"/>
              </w:rPr>
            </w:pPr>
            <w:r w:rsidRPr="00982A19">
              <w:rPr>
                <w:szCs w:val="20"/>
              </w:rPr>
              <w:t>Publication type</w:t>
            </w:r>
          </w:p>
        </w:tc>
        <w:tc>
          <w:tcPr>
            <w:tcW w:w="4220" w:type="pct"/>
          </w:tcPr>
          <w:p w:rsidR="00587B61" w:rsidRPr="00982A19" w:rsidRDefault="00587B61" w:rsidP="000375D5">
            <w:pPr>
              <w:pStyle w:val="02Tabletext"/>
              <w:keepNext w:val="0"/>
              <w:rPr>
                <w:szCs w:val="20"/>
              </w:rPr>
            </w:pPr>
            <w:r w:rsidRPr="00982A19">
              <w:rPr>
                <w:szCs w:val="20"/>
              </w:rPr>
              <w:t xml:space="preserve">Full English-language publications or reports. </w:t>
            </w:r>
          </w:p>
          <w:p w:rsidR="00587B61" w:rsidRPr="00982A19" w:rsidRDefault="00587B61" w:rsidP="000375D5">
            <w:pPr>
              <w:pStyle w:val="02Tabletext"/>
              <w:keepNext w:val="0"/>
              <w:rPr>
                <w:szCs w:val="20"/>
              </w:rPr>
            </w:pPr>
            <w:r w:rsidRPr="00982A19">
              <w:rPr>
                <w:szCs w:val="20"/>
              </w:rPr>
              <w:t>Conference abstracts are excluded.</w:t>
            </w:r>
          </w:p>
        </w:tc>
      </w:tr>
      <w:tr w:rsidR="00F15E02" w:rsidRPr="00982A19" w:rsidTr="00982A19">
        <w:tc>
          <w:tcPr>
            <w:tcW w:w="780" w:type="pct"/>
          </w:tcPr>
          <w:p w:rsidR="00F15E02" w:rsidRPr="00982A19" w:rsidRDefault="00F15E02" w:rsidP="00F15E02">
            <w:pPr>
              <w:pStyle w:val="02Tabletext"/>
              <w:rPr>
                <w:szCs w:val="20"/>
              </w:rPr>
            </w:pPr>
            <w:r w:rsidRPr="00982A19">
              <w:rPr>
                <w:szCs w:val="20"/>
              </w:rPr>
              <w:t>Search period</w:t>
            </w:r>
          </w:p>
        </w:tc>
        <w:tc>
          <w:tcPr>
            <w:tcW w:w="4220" w:type="pct"/>
          </w:tcPr>
          <w:p w:rsidR="00F15E02" w:rsidRPr="00982A19" w:rsidRDefault="00F15E02" w:rsidP="00F15E02">
            <w:pPr>
              <w:pStyle w:val="02Tabletext"/>
              <w:rPr>
                <w:szCs w:val="20"/>
              </w:rPr>
            </w:pPr>
            <w:r w:rsidRPr="00982A19">
              <w:rPr>
                <w:szCs w:val="20"/>
              </w:rPr>
              <w:t>No year restrictions</w:t>
            </w:r>
          </w:p>
        </w:tc>
      </w:tr>
    </w:tbl>
    <w:p w:rsidR="00587B61" w:rsidRDefault="00587B61" w:rsidP="00301AC8">
      <w:pPr>
        <w:pStyle w:val="08Tablefootnotes"/>
      </w:pPr>
      <w:r w:rsidRPr="00D01587">
        <w:t xml:space="preserve">Abbreviations: BP, blood pressure; DAA, dose administration aid; ED, emergency department; </w:t>
      </w:r>
      <w:r w:rsidR="00AE448A">
        <w:t xml:space="preserve">GP, general practitioner; </w:t>
      </w:r>
      <w:r w:rsidRPr="00D01587">
        <w:t>HBA1c, glycated haemoglobin.</w:t>
      </w:r>
    </w:p>
    <w:p w:rsidR="00301AC8" w:rsidRPr="00301AC8" w:rsidRDefault="00301AC8" w:rsidP="00301AC8">
      <w:pPr>
        <w:pStyle w:val="09Tablefootnoteslast-nostick"/>
      </w:pPr>
      <w:r w:rsidRPr="00301AC8">
        <w:rPr>
          <w:b/>
        </w:rPr>
        <w:t>a</w:t>
      </w:r>
      <w:r>
        <w:t xml:space="preserve"> See Appendix 5 for a summary of medication adherence measures.</w:t>
      </w:r>
    </w:p>
    <w:p w:rsidR="0004245D" w:rsidRDefault="0004245D" w:rsidP="00AC3A3D">
      <w:pPr>
        <w:pStyle w:val="Heading3"/>
      </w:pPr>
      <w:bookmarkStart w:id="41" w:name="_Toc523230276"/>
      <w:r>
        <w:t>Search strategy</w:t>
      </w:r>
      <w:bookmarkEnd w:id="41"/>
    </w:p>
    <w:p w:rsidR="00AC2006" w:rsidRDefault="0004245D" w:rsidP="0004245D">
      <w:pPr>
        <w:pStyle w:val="BodyText"/>
      </w:pPr>
      <w:r>
        <w:t>A comprehensive search of peer-reviewed scientific literature was conducted</w:t>
      </w:r>
      <w:r w:rsidR="00550139">
        <w:t xml:space="preserve"> in August 2016</w:t>
      </w:r>
      <w:r>
        <w:t xml:space="preserve"> to identify studies that provide evidence relating to the </w:t>
      </w:r>
      <w:r w:rsidR="00461788">
        <w:t xml:space="preserve">safety, </w:t>
      </w:r>
      <w:r>
        <w:t>effectiveness and cost-effectiveness of DAAs</w:t>
      </w:r>
      <w:r w:rsidR="009D43BA">
        <w:t xml:space="preserve"> or similar </w:t>
      </w:r>
      <w:r w:rsidR="00AE448A">
        <w:t xml:space="preserve">medicine </w:t>
      </w:r>
      <w:r w:rsidR="009D43BA">
        <w:t>compliance aids</w:t>
      </w:r>
      <w:r>
        <w:t xml:space="preserve"> </w:t>
      </w:r>
      <w:r w:rsidR="000F5965">
        <w:t xml:space="preserve">provided by pharmacists to </w:t>
      </w:r>
      <w:r w:rsidR="004F6B59">
        <w:t xml:space="preserve">individuals </w:t>
      </w:r>
      <w:r w:rsidR="00243E12">
        <w:t>living in the community. Four</w:t>
      </w:r>
      <w:r>
        <w:t xml:space="preserve"> electronic databases were searched for original research papers describing systematic reviews</w:t>
      </w:r>
      <w:r w:rsidR="00AC2006">
        <w:t>,</w:t>
      </w:r>
      <w:r>
        <w:t xml:space="preserve"> meta-analyses</w:t>
      </w:r>
      <w:r w:rsidR="00AC2006">
        <w:t>,</w:t>
      </w:r>
      <w:r>
        <w:t xml:space="preserve"> </w:t>
      </w:r>
      <w:r w:rsidR="00AC2006">
        <w:t xml:space="preserve">or </w:t>
      </w:r>
      <w:r>
        <w:t>comparative</w:t>
      </w:r>
      <w:r w:rsidR="0096359E">
        <w:t xml:space="preserve"> studies</w:t>
      </w:r>
      <w:r w:rsidR="00AC2006">
        <w:t xml:space="preserve">, </w:t>
      </w:r>
      <w:r>
        <w:t xml:space="preserve">as shown in </w:t>
      </w:r>
      <w:r w:rsidR="00B77FB0">
        <w:rPr>
          <w:highlight w:val="yellow"/>
        </w:rPr>
        <w:fldChar w:fldCharType="begin"/>
      </w:r>
      <w:r w:rsidR="00B77FB0">
        <w:instrText xml:space="preserve"> REF _Ref462129568 \h </w:instrText>
      </w:r>
      <w:r w:rsidR="00B77FB0">
        <w:rPr>
          <w:highlight w:val="yellow"/>
        </w:rPr>
      </w:r>
      <w:r w:rsidR="00B77FB0">
        <w:rPr>
          <w:highlight w:val="yellow"/>
        </w:rPr>
        <w:fldChar w:fldCharType="separate"/>
      </w:r>
      <w:r w:rsidR="00964233">
        <w:t xml:space="preserve">Table </w:t>
      </w:r>
      <w:r w:rsidR="00964233">
        <w:rPr>
          <w:noProof/>
        </w:rPr>
        <w:t>3</w:t>
      </w:r>
      <w:r w:rsidR="00964233">
        <w:t>.</w:t>
      </w:r>
      <w:r w:rsidR="00964233">
        <w:rPr>
          <w:noProof/>
        </w:rPr>
        <w:t>2</w:t>
      </w:r>
      <w:r w:rsidR="00B77FB0">
        <w:rPr>
          <w:highlight w:val="yellow"/>
        </w:rPr>
        <w:fldChar w:fldCharType="end"/>
      </w:r>
      <w:r>
        <w:t xml:space="preserve">. The search of </w:t>
      </w:r>
      <w:r w:rsidR="0096359E">
        <w:t>Medline, Embase, International Pharmaceutical Abstracts,</w:t>
      </w:r>
      <w:r>
        <w:t xml:space="preserve"> and the Cochrane Library was </w:t>
      </w:r>
      <w:r w:rsidR="0096359E">
        <w:t>un</w:t>
      </w:r>
      <w:r>
        <w:t xml:space="preserve">restricted by </w:t>
      </w:r>
      <w:r w:rsidR="0096359E">
        <w:t>date and was searched up to 23</w:t>
      </w:r>
      <w:r w:rsidR="00836559" w:rsidRPr="00B26EE0">
        <w:rPr>
          <w:vertAlign w:val="superscript"/>
        </w:rPr>
        <w:t>rd</w:t>
      </w:r>
      <w:r w:rsidR="0096359E">
        <w:t xml:space="preserve"> August 2016</w:t>
      </w:r>
      <w:r>
        <w:t xml:space="preserve">. The specific search terms used to identify relevant literature are outlined in </w:t>
      </w:r>
      <w:r w:rsidRPr="00F03200">
        <w:t xml:space="preserve">Appendix </w:t>
      </w:r>
      <w:r w:rsidR="00FD47B1" w:rsidRPr="00F03200">
        <w:t>3</w:t>
      </w:r>
      <w:r w:rsidRPr="00F03200">
        <w:t>.</w:t>
      </w:r>
      <w:r w:rsidR="0096359E">
        <w:t xml:space="preserve"> </w:t>
      </w:r>
    </w:p>
    <w:p w:rsidR="00C35125" w:rsidRDefault="009D43BA" w:rsidP="0004245D">
      <w:pPr>
        <w:pStyle w:val="BodyText"/>
      </w:pPr>
      <w:r>
        <w:t xml:space="preserve">The </w:t>
      </w:r>
      <w:r w:rsidRPr="009D43BA">
        <w:t>Health Systems Evidence database</w:t>
      </w:r>
      <w:r>
        <w:t xml:space="preserve"> </w:t>
      </w:r>
      <w:r w:rsidR="00AC2006">
        <w:t xml:space="preserve">(McMaster Health Forum) </w:t>
      </w:r>
      <w:r>
        <w:t>and d</w:t>
      </w:r>
      <w:r w:rsidRPr="009D43BA">
        <w:t>atabases maintained by Health Technology Assessment (HTA) agencies</w:t>
      </w:r>
      <w:r w:rsidR="00C35125">
        <w:rPr>
          <w:rStyle w:val="FootnoteReference"/>
        </w:rPr>
        <w:footnoteReference w:id="3"/>
      </w:r>
      <w:r w:rsidRPr="009D43BA">
        <w:t xml:space="preserve"> were also searched </w:t>
      </w:r>
      <w:r>
        <w:t xml:space="preserve">to identify relevant literature. </w:t>
      </w:r>
      <w:r w:rsidR="0004245D">
        <w:t>In addition, the reference lists of relevant systematic reviews, selected narrative reviews, and primary articles were examined to identify studies</w:t>
      </w:r>
      <w:r w:rsidR="00C35125">
        <w:t xml:space="preserve"> not otherwise found in the literature search</w:t>
      </w:r>
      <w:r w:rsidR="009A4CB6">
        <w:t>es</w:t>
      </w:r>
      <w:r w:rsidR="0004245D">
        <w:t>.</w:t>
      </w:r>
      <w:r w:rsidR="0096359E">
        <w:t xml:space="preserve"> </w:t>
      </w:r>
    </w:p>
    <w:p w:rsidR="0004245D" w:rsidRDefault="0096359E" w:rsidP="0004245D">
      <w:pPr>
        <w:pStyle w:val="BodyText"/>
      </w:pPr>
      <w:r>
        <w:t xml:space="preserve">A </w:t>
      </w:r>
      <w:r w:rsidR="00C35125">
        <w:t>search of pharmacy organisations</w:t>
      </w:r>
      <w:r w:rsidR="009A4CB6">
        <w:rPr>
          <w:rStyle w:val="FootnoteReference"/>
        </w:rPr>
        <w:footnoteReference w:id="4"/>
      </w:r>
      <w:r w:rsidR="00C35125">
        <w:t xml:space="preserve"> and the </w:t>
      </w:r>
      <w:r>
        <w:t>grey literature was also performed to identify previous evaluations of the DAA</w:t>
      </w:r>
      <w:r w:rsidR="00AC2006">
        <w:t xml:space="preserve"> initiative in Australia</w:t>
      </w:r>
      <w:r>
        <w:t xml:space="preserve">, </w:t>
      </w:r>
      <w:r w:rsidR="009D43BA">
        <w:t xml:space="preserve">and </w:t>
      </w:r>
      <w:r w:rsidR="009D43BA" w:rsidRPr="009D43BA">
        <w:t>similar community pharmacist-led program</w:t>
      </w:r>
      <w:r w:rsidR="00AC2006">
        <w:t>s</w:t>
      </w:r>
      <w:r w:rsidR="009D43BA" w:rsidRPr="009D43BA">
        <w:t xml:space="preserve"> </w:t>
      </w:r>
      <w:r>
        <w:t xml:space="preserve">from other jurisdictions. </w:t>
      </w:r>
    </w:p>
    <w:p w:rsidR="009D43BA" w:rsidRDefault="009D43BA" w:rsidP="009D43BA">
      <w:pPr>
        <w:pStyle w:val="Caption"/>
      </w:pPr>
      <w:bookmarkStart w:id="42" w:name="_Ref462129568"/>
      <w:bookmarkStart w:id="43" w:name="_Toc523230321"/>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3</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2</w:t>
      </w:r>
      <w:r w:rsidR="00964233">
        <w:rPr>
          <w:noProof/>
        </w:rPr>
        <w:fldChar w:fldCharType="end"/>
      </w:r>
      <w:bookmarkEnd w:id="42"/>
      <w:r>
        <w:tab/>
        <w:t>Data bases searched</w:t>
      </w:r>
      <w:bookmarkEnd w:id="43"/>
    </w:p>
    <w:tbl>
      <w:tblPr>
        <w:tblStyle w:val="TableGrid"/>
        <w:tblW w:w="5000" w:type="pct"/>
        <w:tblLook w:val="04A0" w:firstRow="1" w:lastRow="0" w:firstColumn="1" w:lastColumn="0" w:noHBand="0" w:noVBand="1"/>
        <w:tblCaption w:val="Table 3.2"/>
        <w:tblDescription w:val="Databases searched over a search period"/>
      </w:tblPr>
      <w:tblGrid>
        <w:gridCol w:w="6924"/>
        <w:gridCol w:w="2704"/>
      </w:tblGrid>
      <w:tr w:rsidR="009D43BA" w:rsidTr="00982A19">
        <w:trPr>
          <w:cnfStyle w:val="100000000000" w:firstRow="1" w:lastRow="0" w:firstColumn="0" w:lastColumn="0" w:oddVBand="0" w:evenVBand="0" w:oddHBand="0" w:evenHBand="0" w:firstRowFirstColumn="0" w:firstRowLastColumn="0" w:lastRowFirstColumn="0" w:lastRowLastColumn="0"/>
        </w:trPr>
        <w:tc>
          <w:tcPr>
            <w:tcW w:w="3596" w:type="pct"/>
          </w:tcPr>
          <w:p w:rsidR="009D43BA" w:rsidRDefault="009D43BA" w:rsidP="009D43BA">
            <w:pPr>
              <w:pStyle w:val="01Tableheadingorsubheading"/>
            </w:pPr>
            <w:r>
              <w:t>Database</w:t>
            </w:r>
          </w:p>
        </w:tc>
        <w:tc>
          <w:tcPr>
            <w:tcW w:w="1404" w:type="pct"/>
          </w:tcPr>
          <w:p w:rsidR="009D43BA" w:rsidRDefault="00A5471D" w:rsidP="009D43BA">
            <w:pPr>
              <w:pStyle w:val="01Tableheadingorsubheading"/>
            </w:pPr>
            <w:r>
              <w:t>Search period</w:t>
            </w:r>
          </w:p>
        </w:tc>
      </w:tr>
      <w:tr w:rsidR="009D43BA" w:rsidTr="00982A19">
        <w:tc>
          <w:tcPr>
            <w:tcW w:w="3596" w:type="pct"/>
          </w:tcPr>
          <w:p w:rsidR="009D43BA" w:rsidRDefault="00A5471D" w:rsidP="009D43BA">
            <w:pPr>
              <w:pStyle w:val="02Tabletext"/>
            </w:pPr>
            <w:r>
              <w:t>Embase via Ovid</w:t>
            </w:r>
          </w:p>
        </w:tc>
        <w:tc>
          <w:tcPr>
            <w:tcW w:w="1404" w:type="pct"/>
          </w:tcPr>
          <w:p w:rsidR="009D43BA" w:rsidRDefault="00A5471D" w:rsidP="009D43BA">
            <w:pPr>
              <w:pStyle w:val="02Tabletext"/>
            </w:pPr>
            <w:r>
              <w:t>Up to 23 August 2016</w:t>
            </w:r>
          </w:p>
        </w:tc>
      </w:tr>
      <w:tr w:rsidR="009D43BA" w:rsidTr="00982A19">
        <w:trPr>
          <w:cnfStyle w:val="000000010000" w:firstRow="0" w:lastRow="0" w:firstColumn="0" w:lastColumn="0" w:oddVBand="0" w:evenVBand="0" w:oddHBand="0" w:evenHBand="1" w:firstRowFirstColumn="0" w:firstRowLastColumn="0" w:lastRowFirstColumn="0" w:lastRowLastColumn="0"/>
        </w:trPr>
        <w:tc>
          <w:tcPr>
            <w:tcW w:w="3596" w:type="pct"/>
          </w:tcPr>
          <w:p w:rsidR="009D43BA" w:rsidRDefault="009D43BA" w:rsidP="009D43BA">
            <w:pPr>
              <w:pStyle w:val="02Tabletext"/>
            </w:pPr>
            <w:r>
              <w:t xml:space="preserve">Medline via </w:t>
            </w:r>
            <w:r w:rsidR="00A5471D">
              <w:t>Ovid</w:t>
            </w:r>
          </w:p>
        </w:tc>
        <w:tc>
          <w:tcPr>
            <w:tcW w:w="1404" w:type="pct"/>
          </w:tcPr>
          <w:p w:rsidR="009D43BA" w:rsidRDefault="00A5471D" w:rsidP="009D43BA">
            <w:pPr>
              <w:pStyle w:val="02Tabletext"/>
            </w:pPr>
            <w:r w:rsidRPr="00A5471D">
              <w:t>Up to 23 August 2016</w:t>
            </w:r>
          </w:p>
        </w:tc>
      </w:tr>
      <w:tr w:rsidR="009D43BA" w:rsidTr="00982A19">
        <w:tc>
          <w:tcPr>
            <w:tcW w:w="3596" w:type="pct"/>
          </w:tcPr>
          <w:p w:rsidR="009D43BA" w:rsidRDefault="009D43BA" w:rsidP="009D43BA">
            <w:pPr>
              <w:pStyle w:val="02Tabletext"/>
            </w:pPr>
            <w:r>
              <w:t>International Pha</w:t>
            </w:r>
            <w:r w:rsidR="00813E97">
              <w:t>r</w:t>
            </w:r>
            <w:r>
              <w:t xml:space="preserve">maceutical Abstracts </w:t>
            </w:r>
            <w:r w:rsidR="00A5471D">
              <w:t>via Ovid</w:t>
            </w:r>
          </w:p>
        </w:tc>
        <w:tc>
          <w:tcPr>
            <w:tcW w:w="1404" w:type="pct"/>
          </w:tcPr>
          <w:p w:rsidR="009D43BA" w:rsidRDefault="00A5471D" w:rsidP="009D43BA">
            <w:pPr>
              <w:pStyle w:val="02Tabletext"/>
            </w:pPr>
            <w:r w:rsidRPr="00A5471D">
              <w:t>Up to 23 August 2016</w:t>
            </w:r>
          </w:p>
        </w:tc>
      </w:tr>
      <w:tr w:rsidR="00A5471D" w:rsidTr="00982A19">
        <w:trPr>
          <w:cnfStyle w:val="000000010000" w:firstRow="0" w:lastRow="0" w:firstColumn="0" w:lastColumn="0" w:oddVBand="0" w:evenVBand="0" w:oddHBand="0" w:evenHBand="1" w:firstRowFirstColumn="0" w:firstRowLastColumn="0" w:lastRowFirstColumn="0" w:lastRowLastColumn="0"/>
        </w:trPr>
        <w:tc>
          <w:tcPr>
            <w:tcW w:w="3596" w:type="pct"/>
          </w:tcPr>
          <w:p w:rsidR="00A5471D" w:rsidRPr="009D43BA" w:rsidRDefault="00A5471D" w:rsidP="009D43BA">
            <w:pPr>
              <w:pStyle w:val="02Tabletext"/>
            </w:pPr>
            <w:r w:rsidRPr="00A5471D">
              <w:t>The Cochrane Library (</w:t>
            </w:r>
            <w:r w:rsidR="00C26647" w:rsidRPr="00C26647">
              <w:t>includes Cochrane Database of Systematic Reviews, Database of Abstracts of Reviews of Effects, Cochrane Central Register of Controlled Trials, NHS Economic Evaluation Database, Health Technology Assessment, Cochrane Methodology Register</w:t>
            </w:r>
            <w:r w:rsidRPr="00A5471D">
              <w:t>)</w:t>
            </w:r>
          </w:p>
        </w:tc>
        <w:tc>
          <w:tcPr>
            <w:tcW w:w="1404" w:type="pct"/>
          </w:tcPr>
          <w:p w:rsidR="00A5471D" w:rsidRDefault="00C26647" w:rsidP="009D43BA">
            <w:pPr>
              <w:pStyle w:val="02Tabletext"/>
            </w:pPr>
            <w:r>
              <w:t>Up to 17</w:t>
            </w:r>
            <w:r w:rsidR="00A5471D" w:rsidRPr="00A5471D">
              <w:t xml:space="preserve"> August 2016</w:t>
            </w:r>
          </w:p>
        </w:tc>
      </w:tr>
      <w:tr w:rsidR="009D43BA" w:rsidTr="00982A19">
        <w:tc>
          <w:tcPr>
            <w:tcW w:w="3596" w:type="pct"/>
          </w:tcPr>
          <w:p w:rsidR="009D43BA" w:rsidRDefault="00A5471D" w:rsidP="009D43BA">
            <w:pPr>
              <w:pStyle w:val="02Tabletext"/>
            </w:pPr>
            <w:r w:rsidRPr="00A5471D">
              <w:t>Health Systems Evidence</w:t>
            </w:r>
          </w:p>
        </w:tc>
        <w:tc>
          <w:tcPr>
            <w:tcW w:w="1404" w:type="pct"/>
          </w:tcPr>
          <w:p w:rsidR="009D43BA" w:rsidRDefault="00A5471D" w:rsidP="009D43BA">
            <w:pPr>
              <w:pStyle w:val="02Tabletext"/>
            </w:pPr>
            <w:r>
              <w:t>Up to 14 September</w:t>
            </w:r>
            <w:r w:rsidRPr="00A5471D">
              <w:t xml:space="preserve"> 2016</w:t>
            </w:r>
          </w:p>
        </w:tc>
      </w:tr>
      <w:tr w:rsidR="009D43BA" w:rsidTr="00982A19">
        <w:trPr>
          <w:cnfStyle w:val="000000010000" w:firstRow="0" w:lastRow="0" w:firstColumn="0" w:lastColumn="0" w:oddVBand="0" w:evenVBand="0" w:oddHBand="0" w:evenHBand="1" w:firstRowFirstColumn="0" w:firstRowLastColumn="0" w:lastRowFirstColumn="0" w:lastRowLastColumn="0"/>
        </w:trPr>
        <w:tc>
          <w:tcPr>
            <w:tcW w:w="3596" w:type="pct"/>
          </w:tcPr>
          <w:p w:rsidR="009D43BA" w:rsidRDefault="00A5471D" w:rsidP="00C35125">
            <w:pPr>
              <w:pStyle w:val="02Tabletext"/>
            </w:pPr>
            <w:r w:rsidRPr="00A5471D">
              <w:t>HTA websites and databases</w:t>
            </w:r>
          </w:p>
        </w:tc>
        <w:tc>
          <w:tcPr>
            <w:tcW w:w="1404" w:type="pct"/>
          </w:tcPr>
          <w:p w:rsidR="009D43BA" w:rsidRDefault="00A5471D" w:rsidP="009D43BA">
            <w:pPr>
              <w:pStyle w:val="02Tabletext"/>
            </w:pPr>
            <w:r>
              <w:t xml:space="preserve">Up to 14 September </w:t>
            </w:r>
            <w:r w:rsidRPr="00A5471D">
              <w:t>2016</w:t>
            </w:r>
          </w:p>
        </w:tc>
      </w:tr>
    </w:tbl>
    <w:p w:rsidR="009D43BA" w:rsidRDefault="009D43BA" w:rsidP="00A5471D">
      <w:pPr>
        <w:spacing w:after="360"/>
        <w:rPr>
          <w:rFonts w:eastAsia="Calibri" w:cs="Times New Roman"/>
          <w:sz w:val="16"/>
          <w:szCs w:val="16"/>
          <w:lang w:eastAsia="en-AU"/>
        </w:rPr>
      </w:pPr>
    </w:p>
    <w:p w:rsidR="003B7D49" w:rsidRDefault="000375D5" w:rsidP="003C53AB">
      <w:pPr>
        <w:pStyle w:val="Heading3"/>
      </w:pPr>
      <w:bookmarkStart w:id="44" w:name="_Toc523230277"/>
      <w:r>
        <w:t>Selection of relevant evidence</w:t>
      </w:r>
      <w:bookmarkEnd w:id="44"/>
    </w:p>
    <w:p w:rsidR="003B7D49" w:rsidRDefault="003B7D49" w:rsidP="002C73AD">
      <w:pPr>
        <w:pStyle w:val="Bodytextbeforebullets"/>
      </w:pPr>
      <w:r>
        <w:t xml:space="preserve">The literature search outlined above identified </w:t>
      </w:r>
      <w:r w:rsidR="003C53AB">
        <w:t>197</w:t>
      </w:r>
      <w:r w:rsidR="00646B40">
        <w:t>6</w:t>
      </w:r>
      <w:r>
        <w:t xml:space="preserve"> </w:t>
      </w:r>
      <w:r w:rsidR="00646B40">
        <w:t xml:space="preserve">unique </w:t>
      </w:r>
      <w:r>
        <w:t xml:space="preserve">citations. The </w:t>
      </w:r>
      <w:r w:rsidR="00646B40">
        <w:t xml:space="preserve">following </w:t>
      </w:r>
      <w:r>
        <w:t xml:space="preserve">exclusion criteria were </w:t>
      </w:r>
      <w:r w:rsidR="00646B40">
        <w:t>applied</w:t>
      </w:r>
      <w:r>
        <w:t>:</w:t>
      </w:r>
    </w:p>
    <w:p w:rsidR="00BC55C3" w:rsidRDefault="003B7D49" w:rsidP="00BC55C3">
      <w:pPr>
        <w:pStyle w:val="Bullettext"/>
      </w:pPr>
      <w:r>
        <w:t xml:space="preserve">Wrong </w:t>
      </w:r>
      <w:r w:rsidR="00BC55C3">
        <w:t>publi</w:t>
      </w:r>
      <w:r>
        <w:t>cation type– excludes narrative reviews</w:t>
      </w:r>
      <w:r w:rsidR="00BC55C3">
        <w:t xml:space="preserve">. </w:t>
      </w:r>
    </w:p>
    <w:p w:rsidR="00D85886" w:rsidRDefault="003B7D49" w:rsidP="00D85886">
      <w:pPr>
        <w:pStyle w:val="Bullettext"/>
      </w:pPr>
      <w:r>
        <w:t xml:space="preserve">Wrong intervention – excludes </w:t>
      </w:r>
      <w:r w:rsidR="00BC55C3">
        <w:t>studies</w:t>
      </w:r>
      <w:r>
        <w:t xml:space="preserve"> </w:t>
      </w:r>
      <w:r w:rsidR="00BC55C3">
        <w:t>that examined the use of</w:t>
      </w:r>
      <w:r w:rsidR="00BC55C3" w:rsidRPr="00BC55C3">
        <w:t xml:space="preserve"> DAA</w:t>
      </w:r>
      <w:r w:rsidR="00BC55C3">
        <w:t>s or similar compliance aids</w:t>
      </w:r>
      <w:r w:rsidR="00BC55C3" w:rsidRPr="00BC55C3">
        <w:t xml:space="preserve"> as part of a more comprehensive pharmacy care program or were part of a multifaceted pha</w:t>
      </w:r>
      <w:r w:rsidR="00BC55C3">
        <w:t>rmacy intervention</w:t>
      </w:r>
      <w:r w:rsidR="00A64155">
        <w:t xml:space="preserve"> that included pharmacist’s medication follow-up, education, counselling, home visits, or refill reminders</w:t>
      </w:r>
      <w:r w:rsidR="00BC55C3" w:rsidRPr="00BC55C3">
        <w:t xml:space="preserve">. </w:t>
      </w:r>
      <w:r w:rsidR="00D85886" w:rsidRPr="00D85886">
        <w:t>Studies that evaluated the use of DAAs that are packed by the pa</w:t>
      </w:r>
      <w:r w:rsidR="00D85886">
        <w:t xml:space="preserve">tient (or self-packed) were </w:t>
      </w:r>
      <w:r w:rsidR="00D85886" w:rsidRPr="00D85886">
        <w:t>excluded.</w:t>
      </w:r>
      <w:r w:rsidR="00D85886">
        <w:t xml:space="preserve"> Studies that assessed the use of automated medication dispensing devices were excluded.</w:t>
      </w:r>
      <w:r w:rsidR="00710339">
        <w:rPr>
          <w:rStyle w:val="FootnoteReference"/>
        </w:rPr>
        <w:footnoteReference w:id="5"/>
      </w:r>
      <w:r w:rsidR="00D85886">
        <w:t xml:space="preserve"> </w:t>
      </w:r>
    </w:p>
    <w:p w:rsidR="00BC55C3" w:rsidRDefault="003B7D49" w:rsidP="0075518E">
      <w:pPr>
        <w:pStyle w:val="Bullettext"/>
      </w:pPr>
      <w:r>
        <w:t xml:space="preserve">Wrong comparator – excludes </w:t>
      </w:r>
      <w:r w:rsidR="00BC55C3">
        <w:t>studies that compared DAAs with other compliance aids.</w:t>
      </w:r>
    </w:p>
    <w:p w:rsidR="00C10E34" w:rsidRDefault="003B7D49" w:rsidP="003B7D49">
      <w:pPr>
        <w:pStyle w:val="Bullettext"/>
      </w:pPr>
      <w:r>
        <w:t>Wrong population – excludes</w:t>
      </w:r>
      <w:r w:rsidR="00C10E34">
        <w:t xml:space="preserve"> RACF patients,</w:t>
      </w:r>
      <w:r>
        <w:t xml:space="preserve"> </w:t>
      </w:r>
      <w:r w:rsidR="009A4CB6">
        <w:t xml:space="preserve">hospital </w:t>
      </w:r>
      <w:r w:rsidR="00BC55C3">
        <w:t xml:space="preserve">inpatients, </w:t>
      </w:r>
      <w:r w:rsidR="009A4CB6">
        <w:t xml:space="preserve">recently </w:t>
      </w:r>
      <w:r w:rsidR="00BC55C3">
        <w:t>discharged patients, or patients with infectious disease requiring short treatment</w:t>
      </w:r>
      <w:r w:rsidR="00C10E34">
        <w:t xml:space="preserve"> duration.</w:t>
      </w:r>
    </w:p>
    <w:p w:rsidR="00C10E34" w:rsidRDefault="003B7D49" w:rsidP="003B7D49">
      <w:pPr>
        <w:pStyle w:val="Bullettext"/>
      </w:pPr>
      <w:r>
        <w:t xml:space="preserve">Wrong outcomes – excludes </w:t>
      </w:r>
      <w:r w:rsidR="00C10E34">
        <w:t>studies</w:t>
      </w:r>
      <w:r>
        <w:t xml:space="preserve"> that do not assess one of the outcomes outlined in </w:t>
      </w:r>
      <w:r w:rsidRPr="007F0770">
        <w:t xml:space="preserve">Section </w:t>
      </w:r>
      <w:r w:rsidR="00AE66D1" w:rsidRPr="007F0770">
        <w:fldChar w:fldCharType="begin"/>
      </w:r>
      <w:r w:rsidR="00AE66D1" w:rsidRPr="007F0770">
        <w:instrText xml:space="preserve"> REF _Ref462135430 \r \h </w:instrText>
      </w:r>
      <w:r w:rsidR="007F0770">
        <w:instrText xml:space="preserve"> \* MERGEFORMAT </w:instrText>
      </w:r>
      <w:r w:rsidR="00AE66D1" w:rsidRPr="007F0770">
        <w:fldChar w:fldCharType="separate"/>
      </w:r>
      <w:r w:rsidR="00964233">
        <w:t>3.1.1</w:t>
      </w:r>
      <w:r w:rsidR="00AE66D1" w:rsidRPr="007F0770">
        <w:fldChar w:fldCharType="end"/>
      </w:r>
      <w:r w:rsidR="00C10E34">
        <w:t>.</w:t>
      </w:r>
    </w:p>
    <w:p w:rsidR="00C10E34" w:rsidRDefault="003B7D49" w:rsidP="003B7D49">
      <w:pPr>
        <w:pStyle w:val="Bullettext"/>
      </w:pPr>
      <w:r>
        <w:t xml:space="preserve">Not in English – excludes </w:t>
      </w:r>
      <w:r w:rsidR="00C10E34">
        <w:t>studies</w:t>
      </w:r>
      <w:r>
        <w:t xml:space="preserve"> not published in English</w:t>
      </w:r>
      <w:r w:rsidR="00C10E34">
        <w:t xml:space="preserve"> </w:t>
      </w:r>
      <w:r w:rsidR="009A4CB6">
        <w:t xml:space="preserve">language </w:t>
      </w:r>
      <w:r w:rsidR="00C10E34">
        <w:t>or those</w:t>
      </w:r>
      <w:r>
        <w:t xml:space="preserve"> that do not include at least some information (e.g. a summary) in English.</w:t>
      </w:r>
    </w:p>
    <w:p w:rsidR="003B7D49" w:rsidRDefault="00E45853" w:rsidP="003B7D49">
      <w:pPr>
        <w:pStyle w:val="Bullettext"/>
      </w:pPr>
      <w:r>
        <w:t>S</w:t>
      </w:r>
      <w:r w:rsidR="003B7D49">
        <w:t xml:space="preserve">uperseded – excludes systematic reviews that have been updated. </w:t>
      </w:r>
    </w:p>
    <w:p w:rsidR="00A5471D" w:rsidRDefault="003B7D49" w:rsidP="003B7D49">
      <w:pPr>
        <w:pStyle w:val="BodyText"/>
      </w:pPr>
      <w:r>
        <w:t>The exclusion of citations from the searc</w:t>
      </w:r>
      <w:r w:rsidR="00C10E34">
        <w:t xml:space="preserve">hes is presented in </w:t>
      </w:r>
      <w:r w:rsidR="00B77FB0">
        <w:rPr>
          <w:highlight w:val="yellow"/>
        </w:rPr>
        <w:fldChar w:fldCharType="begin"/>
      </w:r>
      <w:r w:rsidR="00B77FB0">
        <w:instrText xml:space="preserve"> REF _Ref462129547 \h </w:instrText>
      </w:r>
      <w:r w:rsidR="00B77FB0">
        <w:rPr>
          <w:highlight w:val="yellow"/>
        </w:rPr>
      </w:r>
      <w:r w:rsidR="00B77FB0">
        <w:rPr>
          <w:highlight w:val="yellow"/>
        </w:rPr>
        <w:fldChar w:fldCharType="separate"/>
      </w:r>
      <w:r w:rsidR="00964233">
        <w:t xml:space="preserve">Table </w:t>
      </w:r>
      <w:r w:rsidR="00964233">
        <w:rPr>
          <w:noProof/>
        </w:rPr>
        <w:t>3</w:t>
      </w:r>
      <w:r w:rsidR="00964233">
        <w:t>.</w:t>
      </w:r>
      <w:r w:rsidR="00964233">
        <w:rPr>
          <w:noProof/>
        </w:rPr>
        <w:t>3</w:t>
      </w:r>
      <w:r w:rsidR="00B77FB0">
        <w:rPr>
          <w:highlight w:val="yellow"/>
        </w:rPr>
        <w:fldChar w:fldCharType="end"/>
      </w:r>
      <w:r w:rsidR="00E45853" w:rsidRPr="00E45853">
        <w:t>.</w:t>
      </w:r>
    </w:p>
    <w:p w:rsidR="00427C49" w:rsidRDefault="00427C49" w:rsidP="00344F45">
      <w:pPr>
        <w:pStyle w:val="Caption"/>
      </w:pPr>
      <w:bookmarkStart w:id="45" w:name="_Ref462129547"/>
      <w:bookmarkStart w:id="46" w:name="_Toc523230322"/>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3</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3</w:t>
      </w:r>
      <w:r w:rsidR="00964233">
        <w:rPr>
          <w:noProof/>
        </w:rPr>
        <w:fldChar w:fldCharType="end"/>
      </w:r>
      <w:bookmarkEnd w:id="45"/>
      <w:r>
        <w:tab/>
      </w:r>
      <w:r w:rsidR="00344F45" w:rsidRPr="00344F45">
        <w:t xml:space="preserve">Summary of the process used to identify relevant </w:t>
      </w:r>
      <w:r w:rsidR="008C5209">
        <w:t>studies and reports</w:t>
      </w:r>
      <w:bookmarkEnd w:id="46"/>
    </w:p>
    <w:tbl>
      <w:tblPr>
        <w:tblStyle w:val="TableGrid"/>
        <w:tblW w:w="5000" w:type="pct"/>
        <w:tblLook w:val="04A0" w:firstRow="1" w:lastRow="0" w:firstColumn="1" w:lastColumn="0" w:noHBand="0" w:noVBand="1"/>
        <w:tblCaption w:val="Table 3.3"/>
        <w:tblDescription w:val="Summary of the process used to identify relevant studies and reports"/>
      </w:tblPr>
      <w:tblGrid>
        <w:gridCol w:w="3158"/>
        <w:gridCol w:w="2422"/>
        <w:gridCol w:w="1529"/>
        <w:gridCol w:w="1346"/>
        <w:gridCol w:w="1173"/>
      </w:tblGrid>
      <w:tr w:rsidR="00C709FE" w:rsidTr="00401020">
        <w:trPr>
          <w:cnfStyle w:val="100000000000" w:firstRow="1" w:lastRow="0" w:firstColumn="0" w:lastColumn="0" w:oddVBand="0" w:evenVBand="0" w:oddHBand="0" w:evenHBand="0" w:firstRowFirstColumn="0" w:firstRowLastColumn="0" w:lastRowFirstColumn="0" w:lastRowLastColumn="0"/>
        </w:trPr>
        <w:tc>
          <w:tcPr>
            <w:tcW w:w="1640" w:type="pct"/>
          </w:tcPr>
          <w:p w:rsidR="00C709FE" w:rsidRDefault="00C709FE" w:rsidP="00344F45">
            <w:pPr>
              <w:pStyle w:val="01Tableheaderrow"/>
            </w:pPr>
            <w:r>
              <w:t>Description</w:t>
            </w:r>
          </w:p>
        </w:tc>
        <w:tc>
          <w:tcPr>
            <w:tcW w:w="1258" w:type="pct"/>
          </w:tcPr>
          <w:p w:rsidR="00C709FE" w:rsidRDefault="00C709FE" w:rsidP="003545FC">
            <w:pPr>
              <w:pStyle w:val="01Tableheaderrow"/>
              <w:jc w:val="center"/>
            </w:pPr>
            <w:r>
              <w:t>Embase, Medline, International Pharmaceutical Abstracts, Cochrane Library</w:t>
            </w:r>
          </w:p>
        </w:tc>
        <w:tc>
          <w:tcPr>
            <w:tcW w:w="794" w:type="pct"/>
          </w:tcPr>
          <w:p w:rsidR="00C709FE" w:rsidRDefault="00C709FE" w:rsidP="003545FC">
            <w:pPr>
              <w:pStyle w:val="01Tableheaderrow"/>
              <w:jc w:val="center"/>
            </w:pPr>
            <w:r>
              <w:t>Hand searched references</w:t>
            </w:r>
          </w:p>
        </w:tc>
        <w:tc>
          <w:tcPr>
            <w:tcW w:w="699" w:type="pct"/>
          </w:tcPr>
          <w:p w:rsidR="00C709FE" w:rsidRDefault="00C709FE" w:rsidP="003545FC">
            <w:pPr>
              <w:pStyle w:val="01Tableheaderrow"/>
              <w:jc w:val="center"/>
            </w:pPr>
            <w:r>
              <w:t>Health System Evidence</w:t>
            </w:r>
          </w:p>
        </w:tc>
        <w:tc>
          <w:tcPr>
            <w:tcW w:w="609" w:type="pct"/>
          </w:tcPr>
          <w:p w:rsidR="00C709FE" w:rsidRDefault="00C709FE" w:rsidP="003545FC">
            <w:pPr>
              <w:pStyle w:val="01Tableheaderrow"/>
              <w:jc w:val="center"/>
            </w:pPr>
            <w:r>
              <w:t>Grey literature</w:t>
            </w:r>
          </w:p>
        </w:tc>
      </w:tr>
      <w:tr w:rsidR="00C709FE" w:rsidTr="00F76151">
        <w:tc>
          <w:tcPr>
            <w:tcW w:w="1640" w:type="pct"/>
          </w:tcPr>
          <w:p w:rsidR="00C709FE" w:rsidRPr="003545FC" w:rsidRDefault="00C709FE" w:rsidP="00344F45">
            <w:pPr>
              <w:pStyle w:val="02Tabletext"/>
              <w:rPr>
                <w:b/>
              </w:rPr>
            </w:pPr>
            <w:r w:rsidRPr="003545FC">
              <w:rPr>
                <w:b/>
              </w:rPr>
              <w:t xml:space="preserve">Total number of citations </w:t>
            </w:r>
          </w:p>
        </w:tc>
        <w:tc>
          <w:tcPr>
            <w:tcW w:w="1258" w:type="pct"/>
            <w:tcBorders>
              <w:bottom w:val="single" w:sz="4" w:space="0" w:color="auto"/>
            </w:tcBorders>
          </w:tcPr>
          <w:p w:rsidR="00C709FE" w:rsidRDefault="00C709FE" w:rsidP="003545FC">
            <w:pPr>
              <w:pStyle w:val="02Tabletext"/>
              <w:jc w:val="center"/>
            </w:pPr>
            <w:r>
              <w:t>2836</w:t>
            </w:r>
          </w:p>
        </w:tc>
        <w:tc>
          <w:tcPr>
            <w:tcW w:w="794" w:type="pct"/>
            <w:tcBorders>
              <w:bottom w:val="single" w:sz="4" w:space="0" w:color="auto"/>
            </w:tcBorders>
          </w:tcPr>
          <w:p w:rsidR="00C709FE" w:rsidRDefault="001609FE" w:rsidP="003545FC">
            <w:pPr>
              <w:pStyle w:val="02Tabletext"/>
              <w:jc w:val="center"/>
            </w:pPr>
            <w:r>
              <w:t>16</w:t>
            </w:r>
          </w:p>
        </w:tc>
        <w:tc>
          <w:tcPr>
            <w:tcW w:w="699" w:type="pct"/>
            <w:tcBorders>
              <w:bottom w:val="single" w:sz="4" w:space="0" w:color="auto"/>
            </w:tcBorders>
          </w:tcPr>
          <w:p w:rsidR="00C709FE" w:rsidRDefault="00632B38" w:rsidP="003545FC">
            <w:pPr>
              <w:pStyle w:val="02Tabletext"/>
              <w:jc w:val="center"/>
            </w:pPr>
            <w:r>
              <w:t>10</w:t>
            </w:r>
          </w:p>
        </w:tc>
        <w:tc>
          <w:tcPr>
            <w:tcW w:w="609" w:type="pct"/>
            <w:tcBorders>
              <w:bottom w:val="single" w:sz="4" w:space="0" w:color="auto"/>
            </w:tcBorders>
          </w:tcPr>
          <w:p w:rsidR="00C709FE" w:rsidRDefault="00646B40" w:rsidP="003545FC">
            <w:pPr>
              <w:pStyle w:val="02Tabletext"/>
              <w:jc w:val="center"/>
            </w:pPr>
            <w:r>
              <w:t>4</w:t>
            </w:r>
          </w:p>
        </w:tc>
      </w:tr>
      <w:tr w:rsidR="00E45853" w:rsidTr="00F76151">
        <w:trPr>
          <w:cnfStyle w:val="000000010000" w:firstRow="0" w:lastRow="0" w:firstColumn="0" w:lastColumn="0" w:oddVBand="0" w:evenVBand="0" w:oddHBand="0" w:evenHBand="1" w:firstRowFirstColumn="0" w:firstRowLastColumn="0" w:lastRowFirstColumn="0" w:lastRowLastColumn="0"/>
        </w:trPr>
        <w:tc>
          <w:tcPr>
            <w:tcW w:w="1640" w:type="pct"/>
          </w:tcPr>
          <w:p w:rsidR="00E45853" w:rsidRDefault="00E45853" w:rsidP="00344F45">
            <w:pPr>
              <w:pStyle w:val="02Tabletext"/>
            </w:pPr>
            <w:r w:rsidRPr="003545FC">
              <w:t>Duplicates within and across sets removed</w:t>
            </w:r>
          </w:p>
        </w:tc>
        <w:tc>
          <w:tcPr>
            <w:tcW w:w="1258" w:type="pct"/>
            <w:tcBorders>
              <w:bottom w:val="single" w:sz="4" w:space="0" w:color="auto"/>
              <w:right w:val="nil"/>
            </w:tcBorders>
          </w:tcPr>
          <w:p w:rsidR="00E45853" w:rsidRDefault="00E45853" w:rsidP="00E93195">
            <w:pPr>
              <w:pStyle w:val="02Tabletext"/>
              <w:jc w:val="center"/>
            </w:pPr>
          </w:p>
        </w:tc>
        <w:tc>
          <w:tcPr>
            <w:tcW w:w="794" w:type="pct"/>
            <w:tcBorders>
              <w:left w:val="nil"/>
              <w:bottom w:val="single" w:sz="4" w:space="0" w:color="auto"/>
              <w:right w:val="nil"/>
            </w:tcBorders>
          </w:tcPr>
          <w:p w:rsidR="00E45853" w:rsidRDefault="008064FD" w:rsidP="00E93195">
            <w:pPr>
              <w:pStyle w:val="02Tabletext"/>
              <w:jc w:val="center"/>
            </w:pPr>
            <w:r>
              <w:t>86</w:t>
            </w:r>
            <w:r w:rsidR="00DB5985">
              <w:t>1</w:t>
            </w:r>
          </w:p>
        </w:tc>
        <w:tc>
          <w:tcPr>
            <w:tcW w:w="699" w:type="pct"/>
            <w:tcBorders>
              <w:left w:val="nil"/>
              <w:bottom w:val="single" w:sz="4" w:space="0" w:color="auto"/>
              <w:right w:val="nil"/>
            </w:tcBorders>
          </w:tcPr>
          <w:p w:rsidR="00E45853" w:rsidRDefault="00E45853" w:rsidP="00E93195">
            <w:pPr>
              <w:pStyle w:val="02Tabletext"/>
              <w:jc w:val="center"/>
            </w:pPr>
          </w:p>
        </w:tc>
        <w:tc>
          <w:tcPr>
            <w:tcW w:w="609" w:type="pct"/>
            <w:tcBorders>
              <w:left w:val="nil"/>
              <w:bottom w:val="single" w:sz="4" w:space="0" w:color="auto"/>
            </w:tcBorders>
          </w:tcPr>
          <w:p w:rsidR="00E45853" w:rsidRDefault="00E45853" w:rsidP="00E93195">
            <w:pPr>
              <w:pStyle w:val="02Tabletext"/>
              <w:jc w:val="center"/>
            </w:pPr>
          </w:p>
        </w:tc>
      </w:tr>
      <w:tr w:rsidR="00C709FE" w:rsidTr="00F76151">
        <w:tc>
          <w:tcPr>
            <w:tcW w:w="1640" w:type="pct"/>
          </w:tcPr>
          <w:p w:rsidR="00C709FE" w:rsidRDefault="00C709FE" w:rsidP="00344F45">
            <w:pPr>
              <w:pStyle w:val="02Tabletext"/>
            </w:pPr>
            <w:r w:rsidRPr="00344F45">
              <w:t>Total number of citations screened</w:t>
            </w:r>
          </w:p>
        </w:tc>
        <w:tc>
          <w:tcPr>
            <w:tcW w:w="1258" w:type="pct"/>
            <w:tcBorders>
              <w:top w:val="single" w:sz="4" w:space="0" w:color="auto"/>
            </w:tcBorders>
          </w:tcPr>
          <w:p w:rsidR="00C709FE" w:rsidRDefault="00C709FE" w:rsidP="003545FC">
            <w:pPr>
              <w:pStyle w:val="02Tabletext"/>
              <w:jc w:val="center"/>
            </w:pPr>
            <w:r>
              <w:t>1955</w:t>
            </w:r>
          </w:p>
        </w:tc>
        <w:tc>
          <w:tcPr>
            <w:tcW w:w="794" w:type="pct"/>
            <w:tcBorders>
              <w:top w:val="single" w:sz="4" w:space="0" w:color="auto"/>
            </w:tcBorders>
          </w:tcPr>
          <w:p w:rsidR="00C709FE" w:rsidRDefault="001609FE" w:rsidP="003545FC">
            <w:pPr>
              <w:pStyle w:val="02Tabletext"/>
              <w:jc w:val="center"/>
            </w:pPr>
            <w:r>
              <w:t>16</w:t>
            </w:r>
          </w:p>
        </w:tc>
        <w:tc>
          <w:tcPr>
            <w:tcW w:w="699" w:type="pct"/>
            <w:tcBorders>
              <w:top w:val="single" w:sz="4" w:space="0" w:color="auto"/>
            </w:tcBorders>
          </w:tcPr>
          <w:p w:rsidR="00C709FE" w:rsidRDefault="008064FD" w:rsidP="003545FC">
            <w:pPr>
              <w:pStyle w:val="02Tabletext"/>
              <w:jc w:val="center"/>
            </w:pPr>
            <w:r>
              <w:t>1</w:t>
            </w:r>
          </w:p>
        </w:tc>
        <w:tc>
          <w:tcPr>
            <w:tcW w:w="609" w:type="pct"/>
            <w:tcBorders>
              <w:top w:val="single" w:sz="4" w:space="0" w:color="auto"/>
            </w:tcBorders>
          </w:tcPr>
          <w:p w:rsidR="00C709FE" w:rsidRDefault="00646B40" w:rsidP="003545FC">
            <w:pPr>
              <w:pStyle w:val="02Tabletext"/>
              <w:jc w:val="center"/>
            </w:pPr>
            <w:r>
              <w:t>4</w:t>
            </w:r>
          </w:p>
        </w:tc>
      </w:tr>
      <w:tr w:rsidR="00401020" w:rsidTr="00F76151">
        <w:trPr>
          <w:cnfStyle w:val="000000010000" w:firstRow="0" w:lastRow="0" w:firstColumn="0" w:lastColumn="0" w:oddVBand="0" w:evenVBand="0" w:oddHBand="0" w:evenHBand="1" w:firstRowFirstColumn="0" w:firstRowLastColumn="0" w:lastRowFirstColumn="0" w:lastRowLastColumn="0"/>
          <w:trHeight w:val="256"/>
        </w:trPr>
        <w:tc>
          <w:tcPr>
            <w:tcW w:w="1640" w:type="pct"/>
          </w:tcPr>
          <w:p w:rsidR="00401020" w:rsidRDefault="00401020" w:rsidP="00401020">
            <w:pPr>
              <w:pStyle w:val="02Tabletext"/>
            </w:pPr>
            <w:r>
              <w:t>Excluded at title/abstract review:</w:t>
            </w:r>
          </w:p>
        </w:tc>
        <w:tc>
          <w:tcPr>
            <w:tcW w:w="1258" w:type="pct"/>
          </w:tcPr>
          <w:p w:rsidR="00401020" w:rsidRPr="00E45853" w:rsidRDefault="00401020" w:rsidP="00401020">
            <w:pPr>
              <w:pStyle w:val="03Tabletextspacebefore"/>
              <w:jc w:val="center"/>
              <w:rPr>
                <w:i/>
              </w:rPr>
            </w:pPr>
          </w:p>
        </w:tc>
        <w:tc>
          <w:tcPr>
            <w:tcW w:w="794" w:type="pct"/>
          </w:tcPr>
          <w:p w:rsidR="00401020" w:rsidRPr="00E45853" w:rsidRDefault="00401020" w:rsidP="00401020">
            <w:pPr>
              <w:pStyle w:val="03Tabletextspacebefore"/>
              <w:jc w:val="center"/>
              <w:rPr>
                <w:i/>
              </w:rPr>
            </w:pPr>
          </w:p>
        </w:tc>
        <w:tc>
          <w:tcPr>
            <w:tcW w:w="699" w:type="pct"/>
            <w:vAlign w:val="bottom"/>
          </w:tcPr>
          <w:p w:rsidR="00401020" w:rsidRPr="00401020" w:rsidRDefault="00401020" w:rsidP="00401020">
            <w:pPr>
              <w:pStyle w:val="03Tabletextspacebefore"/>
              <w:spacing w:before="0"/>
              <w:jc w:val="center"/>
              <w:rPr>
                <w:i/>
                <w:sz w:val="10"/>
              </w:rPr>
            </w:pPr>
          </w:p>
        </w:tc>
        <w:tc>
          <w:tcPr>
            <w:tcW w:w="609" w:type="pct"/>
            <w:vAlign w:val="bottom"/>
          </w:tcPr>
          <w:p w:rsidR="00401020" w:rsidRPr="00401020" w:rsidRDefault="00401020" w:rsidP="00401020">
            <w:pPr>
              <w:pStyle w:val="03Tabletextspacebefore"/>
              <w:spacing w:before="0"/>
              <w:jc w:val="center"/>
              <w:rPr>
                <w:i/>
                <w:sz w:val="10"/>
              </w:rPr>
            </w:pPr>
          </w:p>
        </w:tc>
      </w:tr>
      <w:tr w:rsidR="00F76151" w:rsidTr="00F76151">
        <w:trPr>
          <w:trHeight w:val="309"/>
        </w:trPr>
        <w:tc>
          <w:tcPr>
            <w:tcW w:w="1640" w:type="pct"/>
          </w:tcPr>
          <w:p w:rsidR="00F76151" w:rsidRDefault="00F76151" w:rsidP="00F76151">
            <w:pPr>
              <w:pStyle w:val="03Tabletextspacebefore"/>
              <w:numPr>
                <w:ilvl w:val="0"/>
                <w:numId w:val="40"/>
              </w:numPr>
            </w:pPr>
            <w:r>
              <w:t>Wrong population</w:t>
            </w:r>
          </w:p>
        </w:tc>
        <w:tc>
          <w:tcPr>
            <w:tcW w:w="1258" w:type="pct"/>
          </w:tcPr>
          <w:p w:rsidR="00F76151" w:rsidRDefault="00F76151" w:rsidP="00F76151">
            <w:pPr>
              <w:pStyle w:val="02Tabletext"/>
              <w:jc w:val="center"/>
            </w:pPr>
            <w:r>
              <w:t>31</w:t>
            </w:r>
          </w:p>
        </w:tc>
        <w:tc>
          <w:tcPr>
            <w:tcW w:w="794" w:type="pct"/>
          </w:tcPr>
          <w:p w:rsidR="00F76151" w:rsidRPr="00E45853" w:rsidRDefault="00F76151" w:rsidP="00F76151">
            <w:pPr>
              <w:pStyle w:val="03Tabletextspacebefore"/>
              <w:jc w:val="center"/>
              <w:rPr>
                <w:i/>
              </w:rPr>
            </w:pPr>
            <w:r w:rsidRPr="00D85886">
              <w:t>2</w:t>
            </w:r>
          </w:p>
        </w:tc>
        <w:tc>
          <w:tcPr>
            <w:tcW w:w="699" w:type="pct"/>
            <w:vAlign w:val="bottom"/>
          </w:tcPr>
          <w:p w:rsidR="00F76151" w:rsidRPr="00401020" w:rsidRDefault="00F76151" w:rsidP="00F76151">
            <w:pPr>
              <w:pStyle w:val="03Tabletextspacebefore"/>
              <w:spacing w:before="0"/>
              <w:jc w:val="center"/>
              <w:rPr>
                <w:i/>
                <w:sz w:val="10"/>
              </w:rPr>
            </w:pPr>
            <w:r w:rsidRPr="00E45853">
              <w:rPr>
                <w:i/>
              </w:rPr>
              <w:t>0</w:t>
            </w:r>
          </w:p>
        </w:tc>
        <w:tc>
          <w:tcPr>
            <w:tcW w:w="609" w:type="pct"/>
            <w:vAlign w:val="bottom"/>
          </w:tcPr>
          <w:p w:rsidR="00F76151" w:rsidRPr="00401020" w:rsidRDefault="00F76151" w:rsidP="00F76151">
            <w:pPr>
              <w:pStyle w:val="03Tabletextspacebefore"/>
              <w:spacing w:before="0"/>
              <w:jc w:val="center"/>
              <w:rPr>
                <w:i/>
                <w:sz w:val="10"/>
              </w:rPr>
            </w:pPr>
            <w:r w:rsidRPr="00E45853">
              <w:rPr>
                <w:i/>
              </w:rPr>
              <w:t>0</w:t>
            </w:r>
          </w:p>
        </w:tc>
      </w:tr>
      <w:tr w:rsidR="00F76151" w:rsidTr="00401020">
        <w:trPr>
          <w:cnfStyle w:val="000000010000" w:firstRow="0" w:lastRow="0" w:firstColumn="0" w:lastColumn="0" w:oddVBand="0" w:evenVBand="0" w:oddHBand="0" w:evenHBand="1" w:firstRowFirstColumn="0" w:firstRowLastColumn="0" w:lastRowFirstColumn="0" w:lastRowLastColumn="0"/>
          <w:trHeight w:val="247"/>
        </w:trPr>
        <w:tc>
          <w:tcPr>
            <w:tcW w:w="1640" w:type="pct"/>
          </w:tcPr>
          <w:p w:rsidR="00F76151" w:rsidRDefault="00F76151" w:rsidP="00F76151">
            <w:pPr>
              <w:pStyle w:val="03Tabletextspacebefore"/>
              <w:numPr>
                <w:ilvl w:val="0"/>
                <w:numId w:val="40"/>
              </w:numPr>
            </w:pPr>
            <w:r>
              <w:t>Wrong intervention</w:t>
            </w:r>
          </w:p>
        </w:tc>
        <w:tc>
          <w:tcPr>
            <w:tcW w:w="1258" w:type="pct"/>
          </w:tcPr>
          <w:p w:rsidR="00F76151" w:rsidRDefault="00F76151" w:rsidP="00F76151">
            <w:pPr>
              <w:pStyle w:val="03Tabletextspacebefore"/>
              <w:jc w:val="center"/>
            </w:pPr>
            <w:r>
              <w:t>1773</w:t>
            </w:r>
          </w:p>
        </w:tc>
        <w:tc>
          <w:tcPr>
            <w:tcW w:w="794" w:type="pct"/>
          </w:tcPr>
          <w:p w:rsidR="00F76151" w:rsidRDefault="00F76151" w:rsidP="00F76151">
            <w:pPr>
              <w:pStyle w:val="03Tabletextspacebefore"/>
              <w:jc w:val="center"/>
            </w:pPr>
            <w:r>
              <w:t>9</w:t>
            </w:r>
          </w:p>
        </w:tc>
        <w:tc>
          <w:tcPr>
            <w:tcW w:w="699" w:type="pct"/>
            <w:vAlign w:val="bottom"/>
          </w:tcPr>
          <w:p w:rsidR="00F76151" w:rsidRPr="00E45853" w:rsidRDefault="00F76151" w:rsidP="00F76151">
            <w:pPr>
              <w:pStyle w:val="03Tabletextspacebefore"/>
              <w:jc w:val="center"/>
              <w:rPr>
                <w:i/>
              </w:rPr>
            </w:pPr>
          </w:p>
        </w:tc>
        <w:tc>
          <w:tcPr>
            <w:tcW w:w="609" w:type="pct"/>
            <w:vAlign w:val="bottom"/>
          </w:tcPr>
          <w:p w:rsidR="00F76151" w:rsidRPr="00E45853" w:rsidRDefault="00F76151" w:rsidP="00F76151">
            <w:pPr>
              <w:pStyle w:val="03Tabletextspacebefore"/>
              <w:jc w:val="center"/>
              <w:rPr>
                <w:i/>
              </w:rPr>
            </w:pPr>
          </w:p>
        </w:tc>
      </w:tr>
      <w:tr w:rsidR="00F76151" w:rsidTr="00401020">
        <w:trPr>
          <w:trHeight w:val="336"/>
        </w:trPr>
        <w:tc>
          <w:tcPr>
            <w:tcW w:w="1640" w:type="pct"/>
          </w:tcPr>
          <w:p w:rsidR="00F76151" w:rsidRDefault="00F76151" w:rsidP="00F76151">
            <w:pPr>
              <w:pStyle w:val="03Tabletextspacebefore"/>
              <w:numPr>
                <w:ilvl w:val="0"/>
                <w:numId w:val="40"/>
              </w:numPr>
            </w:pPr>
            <w:r>
              <w:lastRenderedPageBreak/>
              <w:t>Wrong outcome</w:t>
            </w:r>
          </w:p>
        </w:tc>
        <w:tc>
          <w:tcPr>
            <w:tcW w:w="1258" w:type="pct"/>
          </w:tcPr>
          <w:p w:rsidR="00F76151" w:rsidRDefault="00F76151" w:rsidP="00F76151">
            <w:pPr>
              <w:pStyle w:val="03Tabletextspacebefore"/>
              <w:jc w:val="center"/>
            </w:pPr>
            <w:r w:rsidRPr="00C709FE">
              <w:t>20</w:t>
            </w:r>
          </w:p>
        </w:tc>
        <w:tc>
          <w:tcPr>
            <w:tcW w:w="794" w:type="pct"/>
          </w:tcPr>
          <w:p w:rsidR="00F76151" w:rsidRDefault="00F76151" w:rsidP="00F76151">
            <w:pPr>
              <w:pStyle w:val="03Tabletextspacebefore"/>
              <w:jc w:val="center"/>
            </w:pPr>
          </w:p>
        </w:tc>
        <w:tc>
          <w:tcPr>
            <w:tcW w:w="699" w:type="pct"/>
            <w:vAlign w:val="bottom"/>
          </w:tcPr>
          <w:p w:rsidR="00F76151" w:rsidRPr="00E45853" w:rsidRDefault="00F76151" w:rsidP="00F76151">
            <w:pPr>
              <w:pStyle w:val="03Tabletextspacebefore"/>
              <w:jc w:val="center"/>
              <w:rPr>
                <w:i/>
              </w:rPr>
            </w:pPr>
          </w:p>
        </w:tc>
        <w:tc>
          <w:tcPr>
            <w:tcW w:w="609" w:type="pct"/>
            <w:vAlign w:val="bottom"/>
          </w:tcPr>
          <w:p w:rsidR="00F76151" w:rsidRPr="00E45853" w:rsidRDefault="00F76151" w:rsidP="00F76151">
            <w:pPr>
              <w:pStyle w:val="03Tabletextspacebefore"/>
              <w:jc w:val="center"/>
              <w:rPr>
                <w:i/>
              </w:rPr>
            </w:pPr>
          </w:p>
        </w:tc>
      </w:tr>
      <w:tr w:rsidR="00F76151" w:rsidTr="00401020">
        <w:trPr>
          <w:cnfStyle w:val="000000010000" w:firstRow="0" w:lastRow="0" w:firstColumn="0" w:lastColumn="0" w:oddVBand="0" w:evenVBand="0" w:oddHBand="0" w:evenHBand="1" w:firstRowFirstColumn="0" w:firstRowLastColumn="0" w:lastRowFirstColumn="0" w:lastRowLastColumn="0"/>
          <w:trHeight w:val="300"/>
        </w:trPr>
        <w:tc>
          <w:tcPr>
            <w:tcW w:w="1640" w:type="pct"/>
          </w:tcPr>
          <w:p w:rsidR="00F76151" w:rsidRDefault="00F76151" w:rsidP="00F76151">
            <w:pPr>
              <w:pStyle w:val="03Tabletextspacebefore"/>
              <w:numPr>
                <w:ilvl w:val="0"/>
                <w:numId w:val="40"/>
              </w:numPr>
            </w:pPr>
            <w:r>
              <w:t>Wrong publication type</w:t>
            </w:r>
          </w:p>
        </w:tc>
        <w:tc>
          <w:tcPr>
            <w:tcW w:w="1258" w:type="pct"/>
          </w:tcPr>
          <w:p w:rsidR="00F76151" w:rsidRDefault="00F76151" w:rsidP="00F76151">
            <w:pPr>
              <w:pStyle w:val="03Tabletextspacebefore"/>
              <w:jc w:val="center"/>
            </w:pPr>
            <w:r w:rsidRPr="00C709FE">
              <w:t>39</w:t>
            </w:r>
          </w:p>
        </w:tc>
        <w:tc>
          <w:tcPr>
            <w:tcW w:w="794" w:type="pct"/>
          </w:tcPr>
          <w:p w:rsidR="00F76151" w:rsidRDefault="00F76151" w:rsidP="00F76151">
            <w:pPr>
              <w:pStyle w:val="03Tabletextspacebefore"/>
              <w:jc w:val="center"/>
            </w:pPr>
            <w:r w:rsidRPr="00D85886">
              <w:t>3</w:t>
            </w:r>
          </w:p>
        </w:tc>
        <w:tc>
          <w:tcPr>
            <w:tcW w:w="699" w:type="pct"/>
            <w:vAlign w:val="bottom"/>
          </w:tcPr>
          <w:p w:rsidR="00F76151" w:rsidRPr="00E45853" w:rsidRDefault="00F76151" w:rsidP="00F76151">
            <w:pPr>
              <w:pStyle w:val="03Tabletextspacebefore"/>
              <w:jc w:val="center"/>
              <w:rPr>
                <w:i/>
              </w:rPr>
            </w:pPr>
          </w:p>
        </w:tc>
        <w:tc>
          <w:tcPr>
            <w:tcW w:w="609" w:type="pct"/>
            <w:vAlign w:val="bottom"/>
          </w:tcPr>
          <w:p w:rsidR="00F76151" w:rsidRPr="00E45853" w:rsidRDefault="00F76151" w:rsidP="00F76151">
            <w:pPr>
              <w:pStyle w:val="03Tabletextspacebefore"/>
              <w:jc w:val="center"/>
              <w:rPr>
                <w:i/>
              </w:rPr>
            </w:pPr>
          </w:p>
        </w:tc>
      </w:tr>
      <w:tr w:rsidR="00F76151" w:rsidTr="00F76151">
        <w:tc>
          <w:tcPr>
            <w:tcW w:w="1640" w:type="pct"/>
          </w:tcPr>
          <w:p w:rsidR="00F76151" w:rsidRDefault="00F76151" w:rsidP="00F76151">
            <w:pPr>
              <w:pStyle w:val="02Tabletext"/>
            </w:pPr>
            <w:r w:rsidRPr="003545FC">
              <w:rPr>
                <w:i/>
              </w:rPr>
              <w:t>Total citations excluded at title/abstract review</w:t>
            </w:r>
            <w:r w:rsidRPr="00344F45">
              <w:t>:</w:t>
            </w:r>
          </w:p>
        </w:tc>
        <w:tc>
          <w:tcPr>
            <w:tcW w:w="1258" w:type="pct"/>
          </w:tcPr>
          <w:p w:rsidR="00F76151" w:rsidRPr="00C709FE" w:rsidRDefault="00F76151" w:rsidP="00F76151">
            <w:pPr>
              <w:pStyle w:val="03Tabletextspacebefore"/>
              <w:jc w:val="center"/>
            </w:pPr>
            <w:r w:rsidRPr="00E45853">
              <w:rPr>
                <w:i/>
              </w:rPr>
              <w:t>1863</w:t>
            </w:r>
          </w:p>
        </w:tc>
        <w:tc>
          <w:tcPr>
            <w:tcW w:w="794" w:type="pct"/>
          </w:tcPr>
          <w:p w:rsidR="00F76151" w:rsidRPr="00D85886" w:rsidRDefault="00F76151" w:rsidP="00F76151">
            <w:pPr>
              <w:pStyle w:val="03Tabletextspacebefore"/>
              <w:jc w:val="center"/>
            </w:pPr>
            <w:r>
              <w:rPr>
                <w:i/>
              </w:rPr>
              <w:t>14</w:t>
            </w:r>
          </w:p>
        </w:tc>
        <w:tc>
          <w:tcPr>
            <w:tcW w:w="699" w:type="pct"/>
            <w:vAlign w:val="bottom"/>
          </w:tcPr>
          <w:p w:rsidR="00F76151" w:rsidRPr="00E45853" w:rsidRDefault="00F76151" w:rsidP="00F76151">
            <w:pPr>
              <w:pStyle w:val="03Tabletextspacebefore"/>
              <w:jc w:val="center"/>
              <w:rPr>
                <w:i/>
              </w:rPr>
            </w:pPr>
          </w:p>
        </w:tc>
        <w:tc>
          <w:tcPr>
            <w:tcW w:w="609" w:type="pct"/>
            <w:vAlign w:val="bottom"/>
          </w:tcPr>
          <w:p w:rsidR="00F76151" w:rsidRPr="00E45853" w:rsidRDefault="00F76151" w:rsidP="00F76151">
            <w:pPr>
              <w:pStyle w:val="03Tabletextspacebefore"/>
              <w:jc w:val="center"/>
              <w:rPr>
                <w:i/>
              </w:rPr>
            </w:pPr>
          </w:p>
        </w:tc>
      </w:tr>
      <w:tr w:rsidR="00F76151" w:rsidTr="00401020">
        <w:trPr>
          <w:cnfStyle w:val="000000010000" w:firstRow="0" w:lastRow="0" w:firstColumn="0" w:lastColumn="0" w:oddVBand="0" w:evenVBand="0" w:oddHBand="0" w:evenHBand="1" w:firstRowFirstColumn="0" w:firstRowLastColumn="0" w:lastRowFirstColumn="0" w:lastRowLastColumn="0"/>
        </w:trPr>
        <w:tc>
          <w:tcPr>
            <w:tcW w:w="1640" w:type="pct"/>
          </w:tcPr>
          <w:p w:rsidR="00F76151" w:rsidRDefault="00F76151" w:rsidP="00F76151">
            <w:pPr>
              <w:pStyle w:val="02Tabletext"/>
            </w:pPr>
            <w:r w:rsidRPr="00C709FE">
              <w:t>Citations screened at full text review</w:t>
            </w:r>
          </w:p>
        </w:tc>
        <w:tc>
          <w:tcPr>
            <w:tcW w:w="1258" w:type="pct"/>
          </w:tcPr>
          <w:p w:rsidR="00F76151" w:rsidRDefault="00F76151" w:rsidP="00F76151">
            <w:pPr>
              <w:pStyle w:val="02Tabletext"/>
              <w:jc w:val="center"/>
            </w:pPr>
            <w:r>
              <w:t>92</w:t>
            </w:r>
          </w:p>
        </w:tc>
        <w:tc>
          <w:tcPr>
            <w:tcW w:w="794" w:type="pct"/>
          </w:tcPr>
          <w:p w:rsidR="00F76151" w:rsidRDefault="00F76151" w:rsidP="00F76151">
            <w:pPr>
              <w:pStyle w:val="02Tabletext"/>
              <w:jc w:val="center"/>
            </w:pPr>
            <w:r>
              <w:t>2</w:t>
            </w:r>
          </w:p>
        </w:tc>
        <w:tc>
          <w:tcPr>
            <w:tcW w:w="699" w:type="pct"/>
          </w:tcPr>
          <w:p w:rsidR="00F76151" w:rsidRDefault="00F76151" w:rsidP="00F76151">
            <w:pPr>
              <w:pStyle w:val="02Tabletext"/>
              <w:jc w:val="center"/>
            </w:pPr>
            <w:r>
              <w:t>1</w:t>
            </w:r>
          </w:p>
        </w:tc>
        <w:tc>
          <w:tcPr>
            <w:tcW w:w="609" w:type="pct"/>
          </w:tcPr>
          <w:p w:rsidR="00F76151" w:rsidRDefault="00F76151" w:rsidP="00F76151">
            <w:pPr>
              <w:pStyle w:val="02Tabletext"/>
              <w:jc w:val="center"/>
            </w:pPr>
            <w:r>
              <w:t>4</w:t>
            </w:r>
          </w:p>
        </w:tc>
      </w:tr>
      <w:tr w:rsidR="00F76151" w:rsidTr="00F76151">
        <w:trPr>
          <w:trHeight w:val="256"/>
        </w:trPr>
        <w:tc>
          <w:tcPr>
            <w:tcW w:w="1640" w:type="pct"/>
          </w:tcPr>
          <w:p w:rsidR="00F76151" w:rsidRPr="00E45853" w:rsidRDefault="00F76151" w:rsidP="00F76151">
            <w:pPr>
              <w:pStyle w:val="02Tabletext"/>
              <w:rPr>
                <w:i/>
                <w:highlight w:val="yellow"/>
              </w:rPr>
            </w:pPr>
            <w:r w:rsidRPr="00E45853">
              <w:t>Excluded at full text review:</w:t>
            </w:r>
          </w:p>
        </w:tc>
        <w:tc>
          <w:tcPr>
            <w:tcW w:w="1258" w:type="pct"/>
          </w:tcPr>
          <w:p w:rsidR="00F76151" w:rsidRPr="00E45853" w:rsidRDefault="00F76151" w:rsidP="00F76151">
            <w:pPr>
              <w:pStyle w:val="03Tabletextspacebefore"/>
              <w:jc w:val="center"/>
              <w:rPr>
                <w:i/>
                <w:highlight w:val="yellow"/>
              </w:rPr>
            </w:pPr>
          </w:p>
        </w:tc>
        <w:tc>
          <w:tcPr>
            <w:tcW w:w="794" w:type="pct"/>
            <w:vAlign w:val="bottom"/>
          </w:tcPr>
          <w:p w:rsidR="00F76151" w:rsidRPr="00401020" w:rsidRDefault="00F76151" w:rsidP="00F76151">
            <w:pPr>
              <w:pStyle w:val="03Tabletextspacebefore"/>
              <w:spacing w:before="0"/>
              <w:jc w:val="center"/>
              <w:rPr>
                <w:i/>
                <w:sz w:val="10"/>
              </w:rPr>
            </w:pPr>
          </w:p>
        </w:tc>
        <w:tc>
          <w:tcPr>
            <w:tcW w:w="699" w:type="pct"/>
          </w:tcPr>
          <w:p w:rsidR="00F76151" w:rsidRPr="00D85886" w:rsidRDefault="00F76151" w:rsidP="00F76151">
            <w:pPr>
              <w:pStyle w:val="03Tabletextspacebefore"/>
              <w:jc w:val="center"/>
              <w:rPr>
                <w:i/>
              </w:rPr>
            </w:pPr>
          </w:p>
        </w:tc>
        <w:tc>
          <w:tcPr>
            <w:tcW w:w="609" w:type="pct"/>
            <w:vAlign w:val="bottom"/>
          </w:tcPr>
          <w:p w:rsidR="00F76151" w:rsidRPr="00401020" w:rsidRDefault="00F76151" w:rsidP="00F76151">
            <w:pPr>
              <w:pStyle w:val="03Tabletextspacebefore"/>
              <w:spacing w:before="0"/>
              <w:jc w:val="center"/>
              <w:rPr>
                <w:i/>
                <w:sz w:val="10"/>
              </w:rPr>
            </w:pPr>
          </w:p>
        </w:tc>
      </w:tr>
      <w:tr w:rsidR="00F76151" w:rsidTr="00F76151">
        <w:trPr>
          <w:cnfStyle w:val="000000010000" w:firstRow="0" w:lastRow="0" w:firstColumn="0" w:lastColumn="0" w:oddVBand="0" w:evenVBand="0" w:oddHBand="0" w:evenHBand="1" w:firstRowFirstColumn="0" w:firstRowLastColumn="0" w:lastRowFirstColumn="0" w:lastRowLastColumn="0"/>
          <w:trHeight w:val="309"/>
        </w:trPr>
        <w:tc>
          <w:tcPr>
            <w:tcW w:w="1640" w:type="pct"/>
          </w:tcPr>
          <w:p w:rsidR="00F76151" w:rsidRPr="00E45853" w:rsidRDefault="00F76151" w:rsidP="00F76151">
            <w:pPr>
              <w:pStyle w:val="03Tabletextspacebefore"/>
              <w:numPr>
                <w:ilvl w:val="0"/>
                <w:numId w:val="40"/>
              </w:numPr>
            </w:pPr>
            <w:r w:rsidRPr="00E45853">
              <w:t>Wrong population</w:t>
            </w:r>
          </w:p>
        </w:tc>
        <w:tc>
          <w:tcPr>
            <w:tcW w:w="1258" w:type="pct"/>
          </w:tcPr>
          <w:p w:rsidR="00F76151" w:rsidRPr="00632B38" w:rsidRDefault="00F76151" w:rsidP="00F76151">
            <w:pPr>
              <w:pStyle w:val="03Tabletextspacebefore"/>
              <w:jc w:val="center"/>
              <w:rPr>
                <w:highlight w:val="yellow"/>
              </w:rPr>
            </w:pPr>
            <w:r w:rsidRPr="00D04387">
              <w:t>9</w:t>
            </w:r>
          </w:p>
        </w:tc>
        <w:tc>
          <w:tcPr>
            <w:tcW w:w="794" w:type="pct"/>
            <w:vAlign w:val="bottom"/>
          </w:tcPr>
          <w:p w:rsidR="00F76151" w:rsidRPr="00E45853" w:rsidRDefault="00F76151" w:rsidP="00F76151">
            <w:pPr>
              <w:pStyle w:val="03Tabletextspacebefore"/>
              <w:spacing w:before="0"/>
              <w:jc w:val="center"/>
              <w:rPr>
                <w:i/>
              </w:rPr>
            </w:pPr>
          </w:p>
        </w:tc>
        <w:tc>
          <w:tcPr>
            <w:tcW w:w="699" w:type="pct"/>
          </w:tcPr>
          <w:p w:rsidR="00F76151" w:rsidRPr="00632B38" w:rsidRDefault="00F76151" w:rsidP="00F76151">
            <w:pPr>
              <w:pStyle w:val="03Tabletextspacebefore"/>
              <w:jc w:val="center"/>
              <w:rPr>
                <w:highlight w:val="yellow"/>
              </w:rPr>
            </w:pPr>
          </w:p>
        </w:tc>
        <w:tc>
          <w:tcPr>
            <w:tcW w:w="609" w:type="pct"/>
            <w:vAlign w:val="bottom"/>
          </w:tcPr>
          <w:p w:rsidR="00F76151" w:rsidRPr="00E45853" w:rsidRDefault="00F76151" w:rsidP="00F76151">
            <w:pPr>
              <w:pStyle w:val="03Tabletextspacebefore"/>
              <w:spacing w:before="0"/>
              <w:jc w:val="center"/>
              <w:rPr>
                <w:i/>
              </w:rPr>
            </w:pPr>
          </w:p>
        </w:tc>
      </w:tr>
      <w:tr w:rsidR="00F76151" w:rsidTr="00F76151">
        <w:trPr>
          <w:trHeight w:val="265"/>
        </w:trPr>
        <w:tc>
          <w:tcPr>
            <w:tcW w:w="1640" w:type="pct"/>
          </w:tcPr>
          <w:p w:rsidR="00F76151" w:rsidRPr="00E45853" w:rsidRDefault="00F76151" w:rsidP="00F76151">
            <w:pPr>
              <w:pStyle w:val="03Tabletextspacebefore"/>
              <w:numPr>
                <w:ilvl w:val="0"/>
                <w:numId w:val="40"/>
              </w:numPr>
            </w:pPr>
            <w:r w:rsidRPr="00E45853">
              <w:t>Wrong intervention</w:t>
            </w:r>
          </w:p>
        </w:tc>
        <w:tc>
          <w:tcPr>
            <w:tcW w:w="1258" w:type="pct"/>
          </w:tcPr>
          <w:p w:rsidR="00F76151" w:rsidRPr="00632B38" w:rsidRDefault="00F76151" w:rsidP="00F76151">
            <w:pPr>
              <w:pStyle w:val="03Tabletextspacebefore"/>
              <w:jc w:val="center"/>
              <w:rPr>
                <w:highlight w:val="yellow"/>
              </w:rPr>
            </w:pPr>
            <w:r w:rsidRPr="00D04387">
              <w:t>6</w:t>
            </w:r>
            <w:r>
              <w:t>5</w:t>
            </w:r>
          </w:p>
        </w:tc>
        <w:tc>
          <w:tcPr>
            <w:tcW w:w="794" w:type="pct"/>
            <w:vAlign w:val="bottom"/>
          </w:tcPr>
          <w:p w:rsidR="00F76151" w:rsidRPr="00E45853" w:rsidRDefault="00F76151" w:rsidP="00F76151">
            <w:pPr>
              <w:pStyle w:val="03Tabletextspacebefore"/>
              <w:jc w:val="center"/>
              <w:rPr>
                <w:i/>
              </w:rPr>
            </w:pPr>
          </w:p>
        </w:tc>
        <w:tc>
          <w:tcPr>
            <w:tcW w:w="699" w:type="pct"/>
          </w:tcPr>
          <w:p w:rsidR="00F76151" w:rsidRPr="00632B38" w:rsidRDefault="00F76151" w:rsidP="00F76151">
            <w:pPr>
              <w:pStyle w:val="03Tabletextspacebefore"/>
              <w:jc w:val="center"/>
              <w:rPr>
                <w:highlight w:val="yellow"/>
              </w:rPr>
            </w:pPr>
            <w:r w:rsidRPr="00E45853">
              <w:t>1</w:t>
            </w:r>
          </w:p>
        </w:tc>
        <w:tc>
          <w:tcPr>
            <w:tcW w:w="609" w:type="pct"/>
            <w:vAlign w:val="bottom"/>
          </w:tcPr>
          <w:p w:rsidR="00F76151" w:rsidRPr="00E45853" w:rsidRDefault="00F76151" w:rsidP="00F76151">
            <w:pPr>
              <w:pStyle w:val="03Tabletextspacebefore"/>
              <w:jc w:val="center"/>
              <w:rPr>
                <w:i/>
              </w:rPr>
            </w:pPr>
          </w:p>
        </w:tc>
      </w:tr>
      <w:tr w:rsidR="00F76151" w:rsidTr="00F76151">
        <w:trPr>
          <w:cnfStyle w:val="000000010000" w:firstRow="0" w:lastRow="0" w:firstColumn="0" w:lastColumn="0" w:oddVBand="0" w:evenVBand="0" w:oddHBand="0" w:evenHBand="1" w:firstRowFirstColumn="0" w:firstRowLastColumn="0" w:lastRowFirstColumn="0" w:lastRowLastColumn="0"/>
          <w:trHeight w:val="318"/>
        </w:trPr>
        <w:tc>
          <w:tcPr>
            <w:tcW w:w="1640" w:type="pct"/>
          </w:tcPr>
          <w:p w:rsidR="00F76151" w:rsidRPr="00E45853" w:rsidRDefault="00F76151" w:rsidP="00F76151">
            <w:pPr>
              <w:pStyle w:val="03Tabletextspacebefore"/>
              <w:numPr>
                <w:ilvl w:val="0"/>
                <w:numId w:val="40"/>
              </w:numPr>
            </w:pPr>
            <w:r w:rsidRPr="00E45853">
              <w:t>Wrong outcome</w:t>
            </w:r>
          </w:p>
        </w:tc>
        <w:tc>
          <w:tcPr>
            <w:tcW w:w="1258" w:type="pct"/>
          </w:tcPr>
          <w:p w:rsidR="00F76151" w:rsidRPr="00D04387" w:rsidRDefault="00F76151" w:rsidP="00F76151">
            <w:pPr>
              <w:pStyle w:val="03Tabletextspacebefore"/>
              <w:jc w:val="center"/>
            </w:pPr>
            <w:r w:rsidRPr="00D04387">
              <w:t>2</w:t>
            </w:r>
          </w:p>
        </w:tc>
        <w:tc>
          <w:tcPr>
            <w:tcW w:w="794" w:type="pct"/>
            <w:vAlign w:val="bottom"/>
          </w:tcPr>
          <w:p w:rsidR="00F76151" w:rsidRPr="00E45853" w:rsidRDefault="00F76151" w:rsidP="00F76151">
            <w:pPr>
              <w:pStyle w:val="03Tabletextspacebefore"/>
              <w:jc w:val="center"/>
              <w:rPr>
                <w:i/>
              </w:rPr>
            </w:pPr>
          </w:p>
        </w:tc>
        <w:tc>
          <w:tcPr>
            <w:tcW w:w="699" w:type="pct"/>
          </w:tcPr>
          <w:p w:rsidR="00F76151" w:rsidRPr="00E45853" w:rsidRDefault="00F76151" w:rsidP="00F76151">
            <w:pPr>
              <w:pStyle w:val="03Tabletextspacebefore"/>
              <w:jc w:val="center"/>
            </w:pPr>
          </w:p>
        </w:tc>
        <w:tc>
          <w:tcPr>
            <w:tcW w:w="609" w:type="pct"/>
            <w:vAlign w:val="bottom"/>
          </w:tcPr>
          <w:p w:rsidR="00F76151" w:rsidRPr="00E45853" w:rsidRDefault="00F76151" w:rsidP="00F76151">
            <w:pPr>
              <w:pStyle w:val="03Tabletextspacebefore"/>
              <w:jc w:val="center"/>
              <w:rPr>
                <w:i/>
              </w:rPr>
            </w:pPr>
          </w:p>
        </w:tc>
      </w:tr>
      <w:tr w:rsidR="00F76151" w:rsidTr="00F76151">
        <w:trPr>
          <w:trHeight w:val="300"/>
        </w:trPr>
        <w:tc>
          <w:tcPr>
            <w:tcW w:w="1640" w:type="pct"/>
          </w:tcPr>
          <w:p w:rsidR="00F76151" w:rsidRPr="00E45853" w:rsidRDefault="00F76151" w:rsidP="00F76151">
            <w:pPr>
              <w:pStyle w:val="03Tabletextspacebefore"/>
              <w:numPr>
                <w:ilvl w:val="0"/>
                <w:numId w:val="40"/>
              </w:numPr>
            </w:pPr>
            <w:r w:rsidRPr="00E45853">
              <w:t>Wrong publication type</w:t>
            </w:r>
          </w:p>
        </w:tc>
        <w:tc>
          <w:tcPr>
            <w:tcW w:w="1258" w:type="pct"/>
          </w:tcPr>
          <w:p w:rsidR="00F76151" w:rsidRPr="00D04387" w:rsidRDefault="00F76151" w:rsidP="00F76151">
            <w:pPr>
              <w:pStyle w:val="03Tabletextspacebefore"/>
              <w:jc w:val="center"/>
            </w:pPr>
            <w:r w:rsidRPr="00D04387">
              <w:t>6</w:t>
            </w:r>
          </w:p>
        </w:tc>
        <w:tc>
          <w:tcPr>
            <w:tcW w:w="794" w:type="pct"/>
            <w:vAlign w:val="bottom"/>
          </w:tcPr>
          <w:p w:rsidR="00F76151" w:rsidRPr="00E45853" w:rsidRDefault="00F76151" w:rsidP="00F76151">
            <w:pPr>
              <w:pStyle w:val="03Tabletextspacebefore"/>
              <w:jc w:val="center"/>
              <w:rPr>
                <w:i/>
              </w:rPr>
            </w:pPr>
          </w:p>
        </w:tc>
        <w:tc>
          <w:tcPr>
            <w:tcW w:w="699" w:type="pct"/>
          </w:tcPr>
          <w:p w:rsidR="00F76151" w:rsidRPr="00E45853" w:rsidRDefault="00F76151" w:rsidP="00F76151">
            <w:pPr>
              <w:pStyle w:val="03Tabletextspacebefore"/>
              <w:jc w:val="center"/>
            </w:pPr>
          </w:p>
        </w:tc>
        <w:tc>
          <w:tcPr>
            <w:tcW w:w="609" w:type="pct"/>
            <w:vAlign w:val="bottom"/>
          </w:tcPr>
          <w:p w:rsidR="00F76151" w:rsidRPr="00E45853" w:rsidRDefault="00F76151" w:rsidP="00F76151">
            <w:pPr>
              <w:pStyle w:val="03Tabletextspacebefore"/>
              <w:jc w:val="center"/>
              <w:rPr>
                <w:i/>
              </w:rPr>
            </w:pPr>
          </w:p>
        </w:tc>
      </w:tr>
      <w:tr w:rsidR="00F76151" w:rsidTr="00F76151">
        <w:trPr>
          <w:cnfStyle w:val="000000010000" w:firstRow="0" w:lastRow="0" w:firstColumn="0" w:lastColumn="0" w:oddVBand="0" w:evenVBand="0" w:oddHBand="0" w:evenHBand="1" w:firstRowFirstColumn="0" w:firstRowLastColumn="0" w:lastRowFirstColumn="0" w:lastRowLastColumn="0"/>
        </w:trPr>
        <w:tc>
          <w:tcPr>
            <w:tcW w:w="1640" w:type="pct"/>
          </w:tcPr>
          <w:p w:rsidR="00F76151" w:rsidRPr="00E45853" w:rsidRDefault="00F76151" w:rsidP="00F76151">
            <w:pPr>
              <w:pStyle w:val="02Tabletext"/>
            </w:pPr>
            <w:r w:rsidRPr="00E45853">
              <w:rPr>
                <w:i/>
              </w:rPr>
              <w:t xml:space="preserve">Total citations excluded at </w:t>
            </w:r>
            <w:r>
              <w:rPr>
                <w:i/>
              </w:rPr>
              <w:t>full text</w:t>
            </w:r>
            <w:r w:rsidRPr="00E45853">
              <w:rPr>
                <w:i/>
              </w:rPr>
              <w:t xml:space="preserve"> review:</w:t>
            </w:r>
          </w:p>
        </w:tc>
        <w:tc>
          <w:tcPr>
            <w:tcW w:w="1258" w:type="pct"/>
          </w:tcPr>
          <w:p w:rsidR="00F76151" w:rsidRPr="00F76151" w:rsidRDefault="00F76151" w:rsidP="00F76151">
            <w:pPr>
              <w:pStyle w:val="03Tabletextspacebefore"/>
              <w:jc w:val="center"/>
              <w:rPr>
                <w:i/>
              </w:rPr>
            </w:pPr>
            <w:r w:rsidRPr="00D85886">
              <w:rPr>
                <w:i/>
              </w:rPr>
              <w:t>8</w:t>
            </w:r>
            <w:r>
              <w:rPr>
                <w:i/>
              </w:rPr>
              <w:t>2</w:t>
            </w:r>
          </w:p>
        </w:tc>
        <w:tc>
          <w:tcPr>
            <w:tcW w:w="794" w:type="pct"/>
          </w:tcPr>
          <w:p w:rsidR="00F76151" w:rsidRPr="00E45853" w:rsidRDefault="00F76151" w:rsidP="00F76151">
            <w:pPr>
              <w:pStyle w:val="03Tabletextspacebefore"/>
              <w:jc w:val="center"/>
              <w:rPr>
                <w:i/>
              </w:rPr>
            </w:pPr>
            <w:r w:rsidRPr="00E45853">
              <w:rPr>
                <w:i/>
              </w:rPr>
              <w:t>0</w:t>
            </w:r>
          </w:p>
        </w:tc>
        <w:tc>
          <w:tcPr>
            <w:tcW w:w="699" w:type="pct"/>
          </w:tcPr>
          <w:p w:rsidR="00F76151" w:rsidRPr="00F76151" w:rsidRDefault="00F76151" w:rsidP="00F76151">
            <w:pPr>
              <w:pStyle w:val="03Tabletextspacebefore"/>
              <w:jc w:val="center"/>
              <w:rPr>
                <w:i/>
              </w:rPr>
            </w:pPr>
            <w:r>
              <w:rPr>
                <w:i/>
              </w:rPr>
              <w:t>1</w:t>
            </w:r>
          </w:p>
        </w:tc>
        <w:tc>
          <w:tcPr>
            <w:tcW w:w="609" w:type="pct"/>
          </w:tcPr>
          <w:p w:rsidR="00F76151" w:rsidRPr="00E45853" w:rsidRDefault="00F76151" w:rsidP="00F76151">
            <w:pPr>
              <w:pStyle w:val="03Tabletextspacebefore"/>
              <w:jc w:val="center"/>
              <w:rPr>
                <w:i/>
              </w:rPr>
            </w:pPr>
            <w:r w:rsidRPr="00E45853">
              <w:rPr>
                <w:i/>
              </w:rPr>
              <w:t>0</w:t>
            </w:r>
          </w:p>
        </w:tc>
      </w:tr>
      <w:tr w:rsidR="00F76151" w:rsidTr="00401020">
        <w:tc>
          <w:tcPr>
            <w:tcW w:w="1640" w:type="pct"/>
          </w:tcPr>
          <w:p w:rsidR="00F76151" w:rsidRDefault="00F76151" w:rsidP="00F76151">
            <w:pPr>
              <w:pStyle w:val="02Tabletext"/>
            </w:pPr>
            <w:r w:rsidRPr="00994E95">
              <w:t>Included citations from database searches</w:t>
            </w:r>
          </w:p>
        </w:tc>
        <w:tc>
          <w:tcPr>
            <w:tcW w:w="1258" w:type="pct"/>
            <w:tcBorders>
              <w:bottom w:val="single" w:sz="4" w:space="0" w:color="auto"/>
            </w:tcBorders>
          </w:tcPr>
          <w:p w:rsidR="00F76151" w:rsidRDefault="00F76151" w:rsidP="00F76151">
            <w:pPr>
              <w:pStyle w:val="02Tabletext"/>
              <w:jc w:val="center"/>
            </w:pPr>
            <w:r>
              <w:t>10</w:t>
            </w:r>
          </w:p>
        </w:tc>
        <w:tc>
          <w:tcPr>
            <w:tcW w:w="794" w:type="pct"/>
            <w:tcBorders>
              <w:bottom w:val="single" w:sz="4" w:space="0" w:color="auto"/>
            </w:tcBorders>
          </w:tcPr>
          <w:p w:rsidR="00F76151" w:rsidRDefault="00F76151" w:rsidP="00F76151">
            <w:pPr>
              <w:pStyle w:val="02Tabletext"/>
              <w:jc w:val="center"/>
            </w:pPr>
            <w:r>
              <w:t>2</w:t>
            </w:r>
          </w:p>
        </w:tc>
        <w:tc>
          <w:tcPr>
            <w:tcW w:w="699" w:type="pct"/>
            <w:tcBorders>
              <w:bottom w:val="single" w:sz="4" w:space="0" w:color="auto"/>
            </w:tcBorders>
          </w:tcPr>
          <w:p w:rsidR="00F76151" w:rsidRDefault="00F76151" w:rsidP="00F76151">
            <w:pPr>
              <w:pStyle w:val="02Tabletext"/>
              <w:jc w:val="center"/>
            </w:pPr>
            <w:r>
              <w:t>0</w:t>
            </w:r>
          </w:p>
        </w:tc>
        <w:tc>
          <w:tcPr>
            <w:tcW w:w="609" w:type="pct"/>
          </w:tcPr>
          <w:p w:rsidR="00F76151" w:rsidRDefault="00F76151" w:rsidP="00F76151">
            <w:pPr>
              <w:pStyle w:val="02Tabletext"/>
              <w:jc w:val="center"/>
            </w:pPr>
            <w:r>
              <w:t>4</w:t>
            </w:r>
          </w:p>
        </w:tc>
      </w:tr>
      <w:tr w:rsidR="00F76151" w:rsidTr="00401020">
        <w:trPr>
          <w:cnfStyle w:val="000000010000" w:firstRow="0" w:lastRow="0" w:firstColumn="0" w:lastColumn="0" w:oddVBand="0" w:evenVBand="0" w:oddHBand="0" w:evenHBand="1" w:firstRowFirstColumn="0" w:firstRowLastColumn="0" w:lastRowFirstColumn="0" w:lastRowLastColumn="0"/>
        </w:trPr>
        <w:tc>
          <w:tcPr>
            <w:tcW w:w="1640" w:type="pct"/>
          </w:tcPr>
          <w:p w:rsidR="00F76151" w:rsidRPr="00DB5985" w:rsidRDefault="00F76151" w:rsidP="00F76151">
            <w:pPr>
              <w:pStyle w:val="02Tabletext"/>
              <w:rPr>
                <w:b/>
              </w:rPr>
            </w:pPr>
            <w:r w:rsidRPr="00DB5985">
              <w:rPr>
                <w:b/>
              </w:rPr>
              <w:t>Total included studies</w:t>
            </w:r>
          </w:p>
        </w:tc>
        <w:tc>
          <w:tcPr>
            <w:tcW w:w="1258" w:type="pct"/>
            <w:tcBorders>
              <w:right w:val="nil"/>
            </w:tcBorders>
          </w:tcPr>
          <w:p w:rsidR="00F76151" w:rsidRPr="00DB5985" w:rsidRDefault="00F76151" w:rsidP="00F76151">
            <w:pPr>
              <w:pStyle w:val="02Tabletext"/>
              <w:jc w:val="right"/>
              <w:rPr>
                <w:b/>
              </w:rPr>
            </w:pPr>
          </w:p>
        </w:tc>
        <w:tc>
          <w:tcPr>
            <w:tcW w:w="794" w:type="pct"/>
            <w:tcBorders>
              <w:left w:val="nil"/>
              <w:right w:val="nil"/>
            </w:tcBorders>
          </w:tcPr>
          <w:p w:rsidR="00F76151" w:rsidRPr="00DB5985" w:rsidRDefault="00F76151" w:rsidP="00F76151">
            <w:pPr>
              <w:pStyle w:val="02Tabletext"/>
              <w:jc w:val="center"/>
              <w:rPr>
                <w:b/>
              </w:rPr>
            </w:pPr>
            <w:r>
              <w:rPr>
                <w:b/>
              </w:rPr>
              <w:t>12</w:t>
            </w:r>
          </w:p>
        </w:tc>
        <w:tc>
          <w:tcPr>
            <w:tcW w:w="699" w:type="pct"/>
            <w:tcBorders>
              <w:left w:val="nil"/>
              <w:right w:val="nil"/>
            </w:tcBorders>
          </w:tcPr>
          <w:p w:rsidR="00F76151" w:rsidRPr="00DB5985" w:rsidRDefault="00F76151" w:rsidP="00F76151">
            <w:pPr>
              <w:pStyle w:val="02Tabletext"/>
              <w:rPr>
                <w:b/>
              </w:rPr>
            </w:pPr>
          </w:p>
        </w:tc>
        <w:tc>
          <w:tcPr>
            <w:tcW w:w="609" w:type="pct"/>
            <w:tcBorders>
              <w:left w:val="nil"/>
            </w:tcBorders>
          </w:tcPr>
          <w:p w:rsidR="00F76151" w:rsidRPr="00DB5985" w:rsidRDefault="00F76151" w:rsidP="00F76151">
            <w:pPr>
              <w:pStyle w:val="02Tabletext"/>
              <w:jc w:val="center"/>
              <w:rPr>
                <w:b/>
              </w:rPr>
            </w:pPr>
          </w:p>
        </w:tc>
      </w:tr>
      <w:tr w:rsidR="00F76151" w:rsidTr="00401020">
        <w:tc>
          <w:tcPr>
            <w:tcW w:w="1640" w:type="pct"/>
          </w:tcPr>
          <w:p w:rsidR="00F76151" w:rsidRPr="00DB5985" w:rsidRDefault="00F76151" w:rsidP="00F76151">
            <w:pPr>
              <w:pStyle w:val="02Tabletext"/>
              <w:rPr>
                <w:b/>
              </w:rPr>
            </w:pPr>
            <w:r w:rsidRPr="00DB5985">
              <w:rPr>
                <w:b/>
              </w:rPr>
              <w:t xml:space="preserve">Total included </w:t>
            </w:r>
            <w:r>
              <w:rPr>
                <w:b/>
              </w:rPr>
              <w:t>CPA</w:t>
            </w:r>
            <w:r w:rsidRPr="00DB5985">
              <w:rPr>
                <w:b/>
              </w:rPr>
              <w:t xml:space="preserve"> reports</w:t>
            </w:r>
          </w:p>
        </w:tc>
        <w:tc>
          <w:tcPr>
            <w:tcW w:w="1258" w:type="pct"/>
            <w:tcBorders>
              <w:right w:val="nil"/>
            </w:tcBorders>
          </w:tcPr>
          <w:p w:rsidR="00F76151" w:rsidRPr="00DB5985" w:rsidRDefault="00F76151" w:rsidP="00F76151">
            <w:pPr>
              <w:pStyle w:val="02Tabletext"/>
              <w:jc w:val="right"/>
              <w:rPr>
                <w:b/>
              </w:rPr>
            </w:pPr>
          </w:p>
        </w:tc>
        <w:tc>
          <w:tcPr>
            <w:tcW w:w="794" w:type="pct"/>
            <w:tcBorders>
              <w:left w:val="nil"/>
              <w:right w:val="nil"/>
            </w:tcBorders>
          </w:tcPr>
          <w:p w:rsidR="00F76151" w:rsidRPr="00DB5985" w:rsidRDefault="00F76151" w:rsidP="00F76151">
            <w:pPr>
              <w:pStyle w:val="02Tabletext"/>
              <w:jc w:val="center"/>
              <w:rPr>
                <w:b/>
              </w:rPr>
            </w:pPr>
            <w:r>
              <w:rPr>
                <w:b/>
              </w:rPr>
              <w:t>4</w:t>
            </w:r>
          </w:p>
        </w:tc>
        <w:tc>
          <w:tcPr>
            <w:tcW w:w="699" w:type="pct"/>
            <w:tcBorders>
              <w:left w:val="nil"/>
              <w:right w:val="nil"/>
            </w:tcBorders>
          </w:tcPr>
          <w:p w:rsidR="00F76151" w:rsidRPr="00DB5985" w:rsidRDefault="00F76151" w:rsidP="00F76151">
            <w:pPr>
              <w:pStyle w:val="02Tabletext"/>
              <w:rPr>
                <w:b/>
              </w:rPr>
            </w:pPr>
          </w:p>
        </w:tc>
        <w:tc>
          <w:tcPr>
            <w:tcW w:w="609" w:type="pct"/>
            <w:tcBorders>
              <w:left w:val="nil"/>
            </w:tcBorders>
          </w:tcPr>
          <w:p w:rsidR="00F76151" w:rsidRPr="00DB5985" w:rsidRDefault="00F76151" w:rsidP="00F76151">
            <w:pPr>
              <w:pStyle w:val="02Tabletext"/>
              <w:jc w:val="center"/>
              <w:rPr>
                <w:b/>
              </w:rPr>
            </w:pPr>
          </w:p>
        </w:tc>
      </w:tr>
    </w:tbl>
    <w:p w:rsidR="00C10E34" w:rsidRDefault="008C5209" w:rsidP="008C5209">
      <w:pPr>
        <w:pStyle w:val="09Tablefootnoteslast-nostick"/>
      </w:pPr>
      <w:r>
        <w:t>Abbreviations: CPA, Community Pharmacy Agreement</w:t>
      </w:r>
    </w:p>
    <w:p w:rsidR="00A5471D" w:rsidRDefault="00E27B59" w:rsidP="00631866">
      <w:pPr>
        <w:pStyle w:val="BodyText"/>
      </w:pPr>
      <w:r>
        <w:t>A total of 12</w:t>
      </w:r>
      <w:r w:rsidR="00550139" w:rsidRPr="00550139">
        <w:t xml:space="preserve"> relevant </w:t>
      </w:r>
      <w:r w:rsidR="00550139">
        <w:t xml:space="preserve">studies </w:t>
      </w:r>
      <w:r w:rsidR="000F5965">
        <w:t xml:space="preserve">of DAAs or similar compliance aids </w:t>
      </w:r>
      <w:r w:rsidR="00550139">
        <w:t xml:space="preserve">(three systematic reviews and nine primary studies) </w:t>
      </w:r>
      <w:r w:rsidR="00550139" w:rsidRPr="00550139">
        <w:t xml:space="preserve">were identified from </w:t>
      </w:r>
      <w:r w:rsidR="00E93195">
        <w:t>the literature</w:t>
      </w:r>
      <w:r w:rsidR="00550139" w:rsidRPr="00550139">
        <w:t xml:space="preserve"> search</w:t>
      </w:r>
      <w:r w:rsidR="000F5965">
        <w:t>.</w:t>
      </w:r>
      <w:r w:rsidR="00550139" w:rsidRPr="00550139">
        <w:t xml:space="preserve"> The quality of the included systematic reviews was assessed using the AMSTAR measurement</w:t>
      </w:r>
      <w:r w:rsidR="00550139">
        <w:t xml:space="preserve"> tool</w:t>
      </w:r>
      <w:r>
        <w:t>. The</w:t>
      </w:r>
      <w:r w:rsidR="00550139" w:rsidRPr="00E27B59">
        <w:t xml:space="preserve"> quality of the included primary studies was assessed using </w:t>
      </w:r>
      <w:r>
        <w:t>questions the National Health and Medical Research Council (NHMRC). These instruments and the quality assessment</w:t>
      </w:r>
      <w:r w:rsidR="00566C62" w:rsidRPr="00E27B59">
        <w:t xml:space="preserve"> shown in Appendix 6</w:t>
      </w:r>
      <w:r w:rsidR="00FD47B1" w:rsidRPr="00E27B59">
        <w:t>)</w:t>
      </w:r>
      <w:r w:rsidR="00566C62" w:rsidRPr="00E27B59">
        <w:t>.</w:t>
      </w:r>
    </w:p>
    <w:p w:rsidR="000F5965" w:rsidRDefault="000F5965" w:rsidP="00631866">
      <w:pPr>
        <w:pStyle w:val="BodyText"/>
      </w:pPr>
      <w:r>
        <w:t xml:space="preserve">In addition, the targeted search of the websites of relevant pharmacy organisations identified </w:t>
      </w:r>
      <w:r w:rsidR="00D80544">
        <w:t>a CPA-funded DAA project and two</w:t>
      </w:r>
      <w:r>
        <w:t xml:space="preserve"> previous evaluations of the</w:t>
      </w:r>
      <w:r w:rsidR="00D80544">
        <w:t xml:space="preserve"> CPA</w:t>
      </w:r>
      <w:r>
        <w:t xml:space="preserve"> </w:t>
      </w:r>
      <w:r w:rsidR="00D80544">
        <w:t>DAA initiative</w:t>
      </w:r>
      <w:r w:rsidRPr="00550139">
        <w:t>.</w:t>
      </w:r>
    </w:p>
    <w:p w:rsidR="000375D5" w:rsidRDefault="00111B14" w:rsidP="004822C1">
      <w:pPr>
        <w:pStyle w:val="Heading3"/>
      </w:pPr>
      <w:bookmarkStart w:id="47" w:name="_Ref462302862"/>
      <w:bookmarkStart w:id="48" w:name="_Toc523230278"/>
      <w:r>
        <w:t>List of included studies</w:t>
      </w:r>
      <w:bookmarkEnd w:id="47"/>
      <w:bookmarkEnd w:id="48"/>
    </w:p>
    <w:p w:rsidR="000375D5" w:rsidRPr="00111B14" w:rsidRDefault="00111B14" w:rsidP="00B26EE0">
      <w:pPr>
        <w:pStyle w:val="Heading4"/>
      </w:pPr>
      <w:r w:rsidRPr="0049208F">
        <w:t>Previous evaluations of the PPI</w:t>
      </w:r>
      <w:r w:rsidR="00566C62">
        <w:t xml:space="preserve"> </w:t>
      </w:r>
      <w:r w:rsidRPr="0049208F">
        <w:t>P</w:t>
      </w:r>
      <w:r w:rsidR="00566C62">
        <w:t>rogram</w:t>
      </w:r>
      <w:r w:rsidRPr="0049208F">
        <w:t xml:space="preserve"> </w:t>
      </w:r>
      <w:r w:rsidRPr="00B26EE0">
        <w:t>DAA</w:t>
      </w:r>
      <w:r w:rsidRPr="0049208F">
        <w:t xml:space="preserve"> initiative</w:t>
      </w:r>
    </w:p>
    <w:p w:rsidR="002A0DE8" w:rsidRDefault="002A0DE8" w:rsidP="007F0770">
      <w:pPr>
        <w:pStyle w:val="BodyText"/>
      </w:pPr>
      <w:r w:rsidRPr="00A82782">
        <w:t xml:space="preserve">The search </w:t>
      </w:r>
      <w:r>
        <w:t xml:space="preserve">identified </w:t>
      </w:r>
      <w:r w:rsidR="00D80544">
        <w:t xml:space="preserve">two publications relating to an Australian DAA project funded under the Third Community Pharmacy Agreement (3CPA), and </w:t>
      </w:r>
      <w:r w:rsidR="00E27B59">
        <w:t xml:space="preserve">two previous evaluations of </w:t>
      </w:r>
      <w:r w:rsidR="00D80544">
        <w:t xml:space="preserve">the </w:t>
      </w:r>
      <w:r>
        <w:t xml:space="preserve">DAA </w:t>
      </w:r>
      <w:r w:rsidR="00D80544" w:rsidRPr="000F48FC">
        <w:t>initia</w:t>
      </w:r>
      <w:r w:rsidR="00D80544">
        <w:t xml:space="preserve">tive funded </w:t>
      </w:r>
      <w:r w:rsidR="00D80544" w:rsidRPr="000F48FC">
        <w:t xml:space="preserve">under the </w:t>
      </w:r>
      <w:r w:rsidR="00D80544">
        <w:t>4</w:t>
      </w:r>
      <w:r w:rsidR="00D80544" w:rsidRPr="000F48FC">
        <w:t xml:space="preserve">CPA and </w:t>
      </w:r>
      <w:r w:rsidR="00D80544">
        <w:t>5</w:t>
      </w:r>
      <w:r w:rsidR="00D80544" w:rsidRPr="000F48FC">
        <w:t>CPA.</w:t>
      </w:r>
      <w:r w:rsidR="00D80544">
        <w:t xml:space="preserve"> The citations are provided</w:t>
      </w:r>
      <w:r w:rsidRPr="00A82782">
        <w:t xml:space="preserve"> in</w:t>
      </w:r>
      <w:r>
        <w:t xml:space="preserve"> </w:t>
      </w:r>
      <w:r>
        <w:fldChar w:fldCharType="begin"/>
      </w:r>
      <w:r>
        <w:instrText xml:space="preserve"> REF _Ref462138552 \h </w:instrText>
      </w:r>
      <w:r w:rsidR="007F0770">
        <w:instrText xml:space="preserve"> \* MERGEFORMAT </w:instrText>
      </w:r>
      <w:r>
        <w:fldChar w:fldCharType="separate"/>
      </w:r>
      <w:r w:rsidR="00964233">
        <w:t xml:space="preserve">Table </w:t>
      </w:r>
      <w:r w:rsidR="00964233">
        <w:rPr>
          <w:noProof/>
        </w:rPr>
        <w:t>3.4</w:t>
      </w:r>
      <w:r>
        <w:fldChar w:fldCharType="end"/>
      </w:r>
      <w:r w:rsidR="007F0770">
        <w:t xml:space="preserve">. Section </w:t>
      </w:r>
      <w:r w:rsidR="00E162EF">
        <w:fldChar w:fldCharType="begin"/>
      </w:r>
      <w:r w:rsidR="00E162EF">
        <w:instrText xml:space="preserve"> REF _Ref462745970 \r \h </w:instrText>
      </w:r>
      <w:r w:rsidR="00E162EF">
        <w:fldChar w:fldCharType="separate"/>
      </w:r>
      <w:r w:rsidR="00964233">
        <w:t>0</w:t>
      </w:r>
      <w:r w:rsidR="00E162EF">
        <w:fldChar w:fldCharType="end"/>
      </w:r>
      <w:r>
        <w:t xml:space="preserve"> provides a </w:t>
      </w:r>
      <w:r w:rsidR="00D80544">
        <w:t>summary of the findings of the</w:t>
      </w:r>
      <w:r>
        <w:t xml:space="preserve"> </w:t>
      </w:r>
      <w:r w:rsidR="00D80544">
        <w:t xml:space="preserve">DAA project and the two program </w:t>
      </w:r>
      <w:r>
        <w:t>evaluations.</w:t>
      </w:r>
    </w:p>
    <w:p w:rsidR="002A0DE8" w:rsidRDefault="002A0DE8" w:rsidP="002A0DE8">
      <w:pPr>
        <w:pStyle w:val="Caption"/>
      </w:pPr>
      <w:bookmarkStart w:id="49" w:name="_Ref462138552"/>
      <w:bookmarkStart w:id="50" w:name="_Toc523230323"/>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3</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4</w:t>
      </w:r>
      <w:r w:rsidR="00964233">
        <w:rPr>
          <w:noProof/>
        </w:rPr>
        <w:fldChar w:fldCharType="end"/>
      </w:r>
      <w:bookmarkEnd w:id="49"/>
      <w:r>
        <w:tab/>
        <w:t xml:space="preserve">Citation details for </w:t>
      </w:r>
      <w:r w:rsidR="00721C30">
        <w:t xml:space="preserve">projects and </w:t>
      </w:r>
      <w:r>
        <w:t>evaluations</w:t>
      </w:r>
      <w:r w:rsidR="00721C30">
        <w:t xml:space="preserve"> funded under a CPA</w:t>
      </w:r>
      <w:bookmarkEnd w:id="50"/>
    </w:p>
    <w:tbl>
      <w:tblPr>
        <w:tblStyle w:val="TableGrid"/>
        <w:tblW w:w="5000" w:type="pct"/>
        <w:tblLayout w:type="fixed"/>
        <w:tblLook w:val="04A0" w:firstRow="1" w:lastRow="0" w:firstColumn="1" w:lastColumn="0" w:noHBand="0" w:noVBand="1"/>
        <w:tblCaption w:val="Table 3.4"/>
        <w:tblDescription w:val="Citation details for projects and evaluations funded under a CPA"/>
      </w:tblPr>
      <w:tblGrid>
        <w:gridCol w:w="1271"/>
        <w:gridCol w:w="8357"/>
      </w:tblGrid>
      <w:tr w:rsidR="002A0DE8" w:rsidTr="00982A19">
        <w:trPr>
          <w:cnfStyle w:val="100000000000" w:firstRow="1" w:lastRow="0" w:firstColumn="0" w:lastColumn="0" w:oddVBand="0" w:evenVBand="0" w:oddHBand="0" w:evenHBand="0" w:firstRowFirstColumn="0" w:firstRowLastColumn="0" w:lastRowFirstColumn="0" w:lastRowLastColumn="0"/>
        </w:trPr>
        <w:tc>
          <w:tcPr>
            <w:tcW w:w="660" w:type="pct"/>
          </w:tcPr>
          <w:p w:rsidR="002A0DE8" w:rsidRDefault="002A0DE8" w:rsidP="00AC3A3D">
            <w:pPr>
              <w:pStyle w:val="01Tableheadingorsubheading"/>
            </w:pPr>
            <w:r>
              <w:t>Study ID</w:t>
            </w:r>
          </w:p>
        </w:tc>
        <w:tc>
          <w:tcPr>
            <w:tcW w:w="4340" w:type="pct"/>
          </w:tcPr>
          <w:p w:rsidR="002A0DE8" w:rsidRDefault="002A0DE8" w:rsidP="00AC3A3D">
            <w:pPr>
              <w:pStyle w:val="01Tableheadingorsubheading"/>
            </w:pPr>
            <w:r>
              <w:t>Citation</w:t>
            </w:r>
          </w:p>
        </w:tc>
      </w:tr>
      <w:tr w:rsidR="00D80544" w:rsidTr="00982A19">
        <w:tc>
          <w:tcPr>
            <w:tcW w:w="660" w:type="pct"/>
          </w:tcPr>
          <w:p w:rsidR="00D80544" w:rsidRDefault="001A0C49" w:rsidP="00D80544">
            <w:pPr>
              <w:pStyle w:val="02Tabletext"/>
            </w:pPr>
            <w:r w:rsidRPr="001A0C49">
              <w:t>University of Queensland</w:t>
            </w:r>
            <w:r w:rsidR="00D80544">
              <w:t xml:space="preserve"> (2004)</w:t>
            </w:r>
          </w:p>
        </w:tc>
        <w:tc>
          <w:tcPr>
            <w:tcW w:w="4340" w:type="pct"/>
          </w:tcPr>
          <w:p w:rsidR="00D80544" w:rsidRDefault="00D80544" w:rsidP="00D80544">
            <w:pPr>
              <w:pStyle w:val="02Tabletext"/>
            </w:pPr>
            <w:r w:rsidRPr="001F695C">
              <w:t>Effectiveness and cost-effectiveness of Dose Adm</w:t>
            </w:r>
            <w:r>
              <w:t>inistration Aids (DAAs). Phase 2</w:t>
            </w:r>
            <w:r w:rsidRPr="001F695C">
              <w:t>. Final Report. Retrieved from http://6cpa.com.au/wp-content/uploads/Effectiveness-and-cost-effectiveness-of-Dose-Administration-Aids-executive-summary.pdf</w:t>
            </w:r>
          </w:p>
        </w:tc>
      </w:tr>
      <w:tr w:rsidR="00D80544" w:rsidTr="00982A19">
        <w:trPr>
          <w:cnfStyle w:val="000000010000" w:firstRow="0" w:lastRow="0" w:firstColumn="0" w:lastColumn="0" w:oddVBand="0" w:evenVBand="0" w:oddHBand="0" w:evenHBand="1" w:firstRowFirstColumn="0" w:firstRowLastColumn="0" w:lastRowFirstColumn="0" w:lastRowLastColumn="0"/>
        </w:trPr>
        <w:tc>
          <w:tcPr>
            <w:tcW w:w="660" w:type="pct"/>
          </w:tcPr>
          <w:p w:rsidR="00D80544" w:rsidRDefault="001A0C49" w:rsidP="00D80544">
            <w:pPr>
              <w:pStyle w:val="02Tabletext"/>
            </w:pPr>
            <w:r w:rsidRPr="001A0C49">
              <w:t>University of Queensland</w:t>
            </w:r>
            <w:r w:rsidR="00D80544">
              <w:t xml:space="preserve"> (2006)</w:t>
            </w:r>
          </w:p>
        </w:tc>
        <w:tc>
          <w:tcPr>
            <w:tcW w:w="4340" w:type="pct"/>
          </w:tcPr>
          <w:p w:rsidR="00D80544" w:rsidRDefault="00D80544" w:rsidP="00D80544">
            <w:pPr>
              <w:pStyle w:val="02Tabletext"/>
            </w:pPr>
            <w:r>
              <w:t xml:space="preserve">Effectiveness and cost-effectiveness of Dose Administration Aids (DAAs). Phase 3. Final Report. Retrieved from </w:t>
            </w:r>
            <w:r w:rsidRPr="007930A6">
              <w:t>http://6cpa.com.au/wp-content/uploads/Effectiveness-and-cost-effectiveness-of-Dose-Administration-Aids-phase-3-DAA-phase-3-Final-Report.pdf</w:t>
            </w:r>
          </w:p>
        </w:tc>
      </w:tr>
      <w:tr w:rsidR="00D80544" w:rsidTr="00982A19">
        <w:tc>
          <w:tcPr>
            <w:tcW w:w="660" w:type="pct"/>
          </w:tcPr>
          <w:p w:rsidR="00D80544" w:rsidRDefault="00D80544" w:rsidP="00D80544">
            <w:pPr>
              <w:pStyle w:val="02Tabletext"/>
            </w:pPr>
            <w:r>
              <w:t>PwC (2010)</w:t>
            </w:r>
          </w:p>
        </w:tc>
        <w:tc>
          <w:tcPr>
            <w:tcW w:w="4340" w:type="pct"/>
          </w:tcPr>
          <w:p w:rsidR="00D80544" w:rsidRDefault="00D80544" w:rsidP="00D80544">
            <w:pPr>
              <w:pStyle w:val="02Tabletext"/>
            </w:pPr>
            <w:r>
              <w:t xml:space="preserve">Australian Department of Health and Ageing. Evaluation of the DAA/PMP Programs. Retrieved from </w:t>
            </w:r>
            <w:r w:rsidRPr="0011080A">
              <w:t>https://www.health.gov.au/internet/main/publishing.nsf/Content/F520A0D5EDEA0172CA257BF0001D7B4D/$File/DAA%20PMP%20Report.pdf</w:t>
            </w:r>
          </w:p>
        </w:tc>
      </w:tr>
      <w:tr w:rsidR="002A0DE8" w:rsidTr="00982A19">
        <w:trPr>
          <w:cnfStyle w:val="000000010000" w:firstRow="0" w:lastRow="0" w:firstColumn="0" w:lastColumn="0" w:oddVBand="0" w:evenVBand="0" w:oddHBand="0" w:evenHBand="1" w:firstRowFirstColumn="0" w:firstRowLastColumn="0" w:lastRowFirstColumn="0" w:lastRowLastColumn="0"/>
        </w:trPr>
        <w:tc>
          <w:tcPr>
            <w:tcW w:w="660" w:type="pct"/>
          </w:tcPr>
          <w:p w:rsidR="002A0DE8" w:rsidRDefault="0011080A" w:rsidP="00AC3A3D">
            <w:pPr>
              <w:pStyle w:val="02Tabletext"/>
            </w:pPr>
            <w:r>
              <w:t>PwC (2015)</w:t>
            </w:r>
          </w:p>
        </w:tc>
        <w:tc>
          <w:tcPr>
            <w:tcW w:w="4340" w:type="pct"/>
          </w:tcPr>
          <w:p w:rsidR="002A0DE8" w:rsidRPr="00A82782" w:rsidRDefault="00904572" w:rsidP="00904572">
            <w:pPr>
              <w:pStyle w:val="02Tabletext"/>
            </w:pPr>
            <w:r>
              <w:t>PricewaterhouseCoopers (2015). Combined Review of Fifth Community Pharmacy Agreement Medication Management Programmes (Final Report)</w:t>
            </w:r>
            <w:r w:rsidR="0011080A">
              <w:t xml:space="preserve">. Retrieved from </w:t>
            </w:r>
            <w:r w:rsidR="0011080A" w:rsidRPr="0011080A">
              <w:t>https://www.health.gov.au/internet/main/publishing.nsf/Content/6EF022DE87761986CA257EC80013198B/$File/combined-review-5cpa-medication-management-programmes-final-report-and-appendices.pdf</w:t>
            </w:r>
          </w:p>
        </w:tc>
      </w:tr>
    </w:tbl>
    <w:p w:rsidR="00111B14" w:rsidRDefault="0011080A" w:rsidP="007F0770">
      <w:pPr>
        <w:pStyle w:val="09Tablefootnoteslast-nostick"/>
      </w:pPr>
      <w:r>
        <w:t>Abbreviations:</w:t>
      </w:r>
      <w:r w:rsidR="007F0770">
        <w:t xml:space="preserve"> </w:t>
      </w:r>
      <w:r w:rsidR="00721C30">
        <w:t xml:space="preserve">CPA, Community Pharmacy Agreement; </w:t>
      </w:r>
      <w:r w:rsidR="007F0770">
        <w:t xml:space="preserve">DAA, Dose Administration Aid; PMP, </w:t>
      </w:r>
      <w:r w:rsidR="007F0770" w:rsidRPr="007F0770">
        <w:t>Patient Medication Profile</w:t>
      </w:r>
      <w:r w:rsidR="007F0770">
        <w:t>;</w:t>
      </w:r>
      <w:r>
        <w:t xml:space="preserve"> PwC, PricewaterhouseCoopers</w:t>
      </w:r>
    </w:p>
    <w:p w:rsidR="000375D5" w:rsidRPr="00111B14" w:rsidRDefault="00111B14" w:rsidP="0049208F">
      <w:pPr>
        <w:pStyle w:val="Heading4"/>
      </w:pPr>
      <w:r w:rsidRPr="0049208F">
        <w:t>Systematic reviews</w:t>
      </w:r>
    </w:p>
    <w:p w:rsidR="001F695C" w:rsidRDefault="001F695C" w:rsidP="007F0770">
      <w:pPr>
        <w:pStyle w:val="BodyText"/>
      </w:pPr>
      <w:r w:rsidRPr="00A82782">
        <w:t xml:space="preserve">The literature search for systematic reviews </w:t>
      </w:r>
      <w:r>
        <w:t>of</w:t>
      </w:r>
      <w:r w:rsidRPr="00A82782">
        <w:t xml:space="preserve"> </w:t>
      </w:r>
      <w:r>
        <w:t>DAAs identified three</w:t>
      </w:r>
      <w:r w:rsidRPr="00A82782">
        <w:t xml:space="preserve"> eligible publications, which are listed in </w:t>
      </w:r>
      <w:r>
        <w:fldChar w:fldCharType="begin"/>
      </w:r>
      <w:r>
        <w:instrText xml:space="preserve"> REF _Ref461781454 \h </w:instrText>
      </w:r>
      <w:r w:rsidR="007F0770">
        <w:instrText xml:space="preserve"> \* MERGEFORMAT </w:instrText>
      </w:r>
      <w:r>
        <w:fldChar w:fldCharType="separate"/>
      </w:r>
      <w:r w:rsidR="00964233">
        <w:t xml:space="preserve">Table </w:t>
      </w:r>
      <w:r w:rsidR="00964233">
        <w:rPr>
          <w:noProof/>
        </w:rPr>
        <w:t>3.5</w:t>
      </w:r>
      <w:r>
        <w:fldChar w:fldCharType="end"/>
      </w:r>
      <w:r>
        <w:t>.</w:t>
      </w:r>
      <w:r w:rsidRPr="00A91742">
        <w:t xml:space="preserve"> </w:t>
      </w:r>
      <w:r>
        <w:t xml:space="preserve">The three included systematic reviews evaluated the use of medication reminder packaging for improving adherence to self-administered short or long-term medications. However, all of the systematic reviews included studies of </w:t>
      </w:r>
      <w:r w:rsidRPr="00A91742">
        <w:t>reminder packaging aids combined with adherence enhancing programs</w:t>
      </w:r>
      <w:r>
        <w:t xml:space="preserve">. These additional reminder systems are not part </w:t>
      </w:r>
      <w:r w:rsidR="00DB5985">
        <w:t>of the DAA service under review. Therefore,</w:t>
      </w:r>
      <w:r>
        <w:t xml:space="preserve"> only those individual studies that examined the effect of DAA use on adherence and other outcomes in the PICO, and </w:t>
      </w:r>
      <w:r w:rsidRPr="00A91742">
        <w:t>independent</w:t>
      </w:r>
      <w:r>
        <w:t>ly</w:t>
      </w:r>
      <w:r w:rsidRPr="00A91742">
        <w:t xml:space="preserve"> of other reminder systems or pharmacy interventions</w:t>
      </w:r>
      <w:r>
        <w:t>,</w:t>
      </w:r>
      <w:r w:rsidRPr="00A91742">
        <w:t xml:space="preserve"> </w:t>
      </w:r>
      <w:r>
        <w:t>were selected for inclusion</w:t>
      </w:r>
      <w:r w:rsidRPr="00111B14">
        <w:t xml:space="preserve"> </w:t>
      </w:r>
      <w:r>
        <w:t xml:space="preserve">in the current evaluation. </w:t>
      </w:r>
    </w:p>
    <w:p w:rsidR="001F695C" w:rsidRDefault="001F695C" w:rsidP="001F695C">
      <w:pPr>
        <w:pStyle w:val="Caption"/>
      </w:pPr>
      <w:bookmarkStart w:id="51" w:name="_Ref461781454"/>
      <w:bookmarkStart w:id="52" w:name="_Toc523230324"/>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3</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5</w:t>
      </w:r>
      <w:r w:rsidR="00964233">
        <w:rPr>
          <w:noProof/>
        </w:rPr>
        <w:fldChar w:fldCharType="end"/>
      </w:r>
      <w:bookmarkEnd w:id="51"/>
      <w:r>
        <w:tab/>
        <w:t>Citation details for included systematic reviews</w:t>
      </w:r>
      <w:bookmarkEnd w:id="52"/>
    </w:p>
    <w:tbl>
      <w:tblPr>
        <w:tblStyle w:val="TableGrid"/>
        <w:tblW w:w="5000" w:type="pct"/>
        <w:tblLook w:val="04A0" w:firstRow="1" w:lastRow="0" w:firstColumn="1" w:lastColumn="0" w:noHBand="0" w:noVBand="1"/>
        <w:tblCaption w:val="Table 3.5"/>
        <w:tblDescription w:val="Citation details for included systematic reviews"/>
      </w:tblPr>
      <w:tblGrid>
        <w:gridCol w:w="1279"/>
        <w:gridCol w:w="8349"/>
      </w:tblGrid>
      <w:tr w:rsidR="001F695C" w:rsidTr="00982A19">
        <w:trPr>
          <w:cnfStyle w:val="100000000000" w:firstRow="1" w:lastRow="0" w:firstColumn="0" w:lastColumn="0" w:oddVBand="0" w:evenVBand="0" w:oddHBand="0" w:evenHBand="0" w:firstRowFirstColumn="0" w:firstRowLastColumn="0" w:lastRowFirstColumn="0" w:lastRowLastColumn="0"/>
        </w:trPr>
        <w:tc>
          <w:tcPr>
            <w:tcW w:w="664" w:type="pct"/>
          </w:tcPr>
          <w:p w:rsidR="001F695C" w:rsidRDefault="001F695C" w:rsidP="000C6396">
            <w:pPr>
              <w:pStyle w:val="01Tableheadingorsubheading"/>
            </w:pPr>
            <w:r>
              <w:t>Study ID</w:t>
            </w:r>
          </w:p>
        </w:tc>
        <w:tc>
          <w:tcPr>
            <w:tcW w:w="4336" w:type="pct"/>
          </w:tcPr>
          <w:p w:rsidR="001F695C" w:rsidRDefault="001F695C" w:rsidP="000C6396">
            <w:pPr>
              <w:pStyle w:val="01Tableheadingorsubheading"/>
            </w:pPr>
            <w:r>
              <w:t>Citation</w:t>
            </w:r>
          </w:p>
        </w:tc>
      </w:tr>
      <w:tr w:rsidR="001F695C" w:rsidTr="00982A19">
        <w:tc>
          <w:tcPr>
            <w:tcW w:w="664" w:type="pct"/>
          </w:tcPr>
          <w:p w:rsidR="001F695C" w:rsidRDefault="001F695C" w:rsidP="000C6396">
            <w:pPr>
              <w:pStyle w:val="02Tabletext"/>
            </w:pPr>
            <w:r>
              <w:t>Boeni (2014)</w:t>
            </w:r>
          </w:p>
        </w:tc>
        <w:tc>
          <w:tcPr>
            <w:tcW w:w="4336" w:type="pct"/>
          </w:tcPr>
          <w:p w:rsidR="001F695C" w:rsidRPr="00A82782" w:rsidRDefault="001F695C" w:rsidP="000C6396">
            <w:pPr>
              <w:pStyle w:val="02Tabletext"/>
            </w:pPr>
            <w:r w:rsidRPr="00A82782">
              <w:t xml:space="preserve">Boeni F, Hersberger KE, Arnet I (2014). Multidrug punch cards in primary care: A mixed methods study on patients' preferences and impact on adherence. Frontiers in Pharmacology, </w:t>
            </w:r>
            <w:r>
              <w:t>Systematic Reviews, (3):29</w:t>
            </w:r>
          </w:p>
        </w:tc>
      </w:tr>
      <w:tr w:rsidR="001F695C" w:rsidTr="00982A19">
        <w:trPr>
          <w:cnfStyle w:val="000000010000" w:firstRow="0" w:lastRow="0" w:firstColumn="0" w:lastColumn="0" w:oddVBand="0" w:evenVBand="0" w:oddHBand="0" w:evenHBand="1" w:firstRowFirstColumn="0" w:firstRowLastColumn="0" w:lastRowFirstColumn="0" w:lastRowLastColumn="0"/>
        </w:trPr>
        <w:tc>
          <w:tcPr>
            <w:tcW w:w="664" w:type="pct"/>
          </w:tcPr>
          <w:p w:rsidR="001F695C" w:rsidRDefault="001F695C" w:rsidP="000C6396">
            <w:pPr>
              <w:pStyle w:val="02Tabletext"/>
            </w:pPr>
            <w:r>
              <w:t>Mahtani (2011)</w:t>
            </w:r>
          </w:p>
        </w:tc>
        <w:tc>
          <w:tcPr>
            <w:tcW w:w="4336" w:type="pct"/>
          </w:tcPr>
          <w:p w:rsidR="001F695C" w:rsidRDefault="001F695C" w:rsidP="000C6396">
            <w:pPr>
              <w:pStyle w:val="02Tabletext"/>
            </w:pPr>
            <w:r w:rsidRPr="00A82782">
              <w:t>Mahtani KR, Heneghan CJ, Glasziou PP, Perera R (2011). Reminder packaging for improving adherence to self-administered long-term medications. Cochrane Database of Systematic Reviews, (9):CD005025.</w:t>
            </w:r>
          </w:p>
        </w:tc>
      </w:tr>
      <w:tr w:rsidR="001F695C" w:rsidTr="00982A19">
        <w:tc>
          <w:tcPr>
            <w:tcW w:w="664" w:type="pct"/>
          </w:tcPr>
          <w:p w:rsidR="001F695C" w:rsidRDefault="001F695C" w:rsidP="000C6396">
            <w:pPr>
              <w:pStyle w:val="02Tabletext"/>
            </w:pPr>
            <w:r>
              <w:t>Zedler (2011)</w:t>
            </w:r>
          </w:p>
        </w:tc>
        <w:tc>
          <w:tcPr>
            <w:tcW w:w="4336" w:type="pct"/>
          </w:tcPr>
          <w:p w:rsidR="001F695C" w:rsidRPr="00A82782" w:rsidRDefault="001F695C" w:rsidP="000C6396">
            <w:pPr>
              <w:pStyle w:val="02Tabletext"/>
            </w:pPr>
            <w:r w:rsidRPr="00A82782">
              <w:t>Zedler BK, Kakad P, Colilla S, Murrelle L, Shah NR (2011). Does packaging with a calendar feature improve adherence to self-administered medication for long-term use? A systematic review. Clinical Therapeutics, 33(1):62-73.</w:t>
            </w:r>
          </w:p>
        </w:tc>
      </w:tr>
    </w:tbl>
    <w:p w:rsidR="001F695C" w:rsidRDefault="001F695C" w:rsidP="006C676B">
      <w:pPr>
        <w:pStyle w:val="09Tablefootnoteslast-nostick"/>
        <w:spacing w:after="120"/>
      </w:pPr>
    </w:p>
    <w:p w:rsidR="001F695C" w:rsidRPr="007F0770" w:rsidRDefault="001F695C" w:rsidP="007F0770">
      <w:pPr>
        <w:pStyle w:val="BodyText"/>
      </w:pPr>
      <w:r w:rsidRPr="007F0770">
        <w:t xml:space="preserve">The literature search identified a number of other systematic reviews and narrative reviews that did not focus on DAAs but on any pharmacy-based intervention aimed at improving medication adherence. Systematic reviews that presented analysis (or meta-analysis) from pharmacy interventions that included services other than the DAA on its own (such as refill reminders, home visits, medication review, telephone calls, education, and continuous monitoring, pharmacist follow-ups) were excluded. A list of these reviews and the reasons for their exclusion are presented </w:t>
      </w:r>
      <w:r w:rsidRPr="00DB5985">
        <w:t xml:space="preserve">in </w:t>
      </w:r>
      <w:r w:rsidR="00FD47B1" w:rsidRPr="00DB5985">
        <w:t>Appendix 4</w:t>
      </w:r>
      <w:r w:rsidRPr="00DB5985">
        <w:t>. The</w:t>
      </w:r>
      <w:r w:rsidRPr="007F0770">
        <w:t xml:space="preserve"> reference lists of each of the excluded systematic reviews were hand-searched to identify any relevant studies not identified elsewhere. </w:t>
      </w:r>
    </w:p>
    <w:p w:rsidR="001F695C" w:rsidRDefault="001F695C" w:rsidP="0049208F">
      <w:pPr>
        <w:pStyle w:val="Heading4"/>
      </w:pPr>
      <w:r w:rsidRPr="0049208F">
        <w:t>Primary studies</w:t>
      </w:r>
    </w:p>
    <w:p w:rsidR="001F695C" w:rsidRDefault="001F695C" w:rsidP="00E162EF">
      <w:pPr>
        <w:pStyle w:val="BodyText"/>
      </w:pPr>
      <w:r>
        <w:t>T</w:t>
      </w:r>
      <w:r w:rsidRPr="00482B25">
        <w:t xml:space="preserve">he </w:t>
      </w:r>
      <w:r>
        <w:t xml:space="preserve">systematic </w:t>
      </w:r>
      <w:r w:rsidRPr="00482B25">
        <w:t xml:space="preserve">literature search for </w:t>
      </w:r>
      <w:r>
        <w:t>primary studies of DAAs identified nine</w:t>
      </w:r>
      <w:r w:rsidRPr="00482B25">
        <w:t xml:space="preserve"> eligible publications</w:t>
      </w:r>
      <w:r w:rsidR="006553E5">
        <w:t xml:space="preserve"> </w:t>
      </w:r>
      <w:r w:rsidR="006553E5" w:rsidRPr="00D85886">
        <w:t xml:space="preserve">that assessed DAAs where medicines </w:t>
      </w:r>
      <w:r w:rsidR="006553E5">
        <w:t>were</w:t>
      </w:r>
      <w:r w:rsidR="006553E5" w:rsidRPr="00D85886">
        <w:t xml:space="preserve"> packaged either manually by the pharmacist, a </w:t>
      </w:r>
      <w:r w:rsidR="006553E5" w:rsidRPr="00D85886">
        <w:lastRenderedPageBreak/>
        <w:t>specialised company, or an automated system</w:t>
      </w:r>
      <w:r>
        <w:t xml:space="preserve">. </w:t>
      </w:r>
      <w:r>
        <w:fldChar w:fldCharType="begin"/>
      </w:r>
      <w:r>
        <w:instrText xml:space="preserve"> REF _Ref461632816 \h </w:instrText>
      </w:r>
      <w:r>
        <w:fldChar w:fldCharType="separate"/>
      </w:r>
      <w:r w:rsidR="00964233">
        <w:t xml:space="preserve">Table </w:t>
      </w:r>
      <w:r w:rsidR="00964233">
        <w:rPr>
          <w:noProof/>
        </w:rPr>
        <w:t>3</w:t>
      </w:r>
      <w:r w:rsidR="00964233">
        <w:t>.</w:t>
      </w:r>
      <w:r w:rsidR="00964233">
        <w:rPr>
          <w:noProof/>
        </w:rPr>
        <w:t>6</w:t>
      </w:r>
      <w:r>
        <w:fldChar w:fldCharType="end"/>
      </w:r>
      <w:r>
        <w:t xml:space="preserve"> presents the list of included studies and the type of DAA used. All included studied examined the use of a DAA or a si</w:t>
      </w:r>
      <w:r w:rsidR="00E162EF">
        <w:t>milar medication compliance aid</w:t>
      </w:r>
      <w:r w:rsidR="006553E5">
        <w:t xml:space="preserve"> </w:t>
      </w:r>
      <w:r>
        <w:t>independent</w:t>
      </w:r>
      <w:r w:rsidR="006553E5">
        <w:t>ly</w:t>
      </w:r>
      <w:r>
        <w:t xml:space="preserve"> from additional reminder systems or other pharmacy care interventions. </w:t>
      </w:r>
      <w:r w:rsidR="006553E5">
        <w:t>None of the included studies assessed the impact of an incentive payment to pharmacists for the provision of DAAs</w:t>
      </w:r>
      <w:r w:rsidR="00C67D39">
        <w:t xml:space="preserve"> to community patients</w:t>
      </w:r>
      <w:r w:rsidR="006553E5">
        <w:t>.</w:t>
      </w:r>
    </w:p>
    <w:p w:rsidR="001F695C" w:rsidRDefault="001F695C" w:rsidP="001F695C">
      <w:pPr>
        <w:pStyle w:val="Caption"/>
      </w:pPr>
      <w:bookmarkStart w:id="53" w:name="_Ref461632816"/>
      <w:bookmarkStart w:id="54" w:name="_Toc523230325"/>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3</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6</w:t>
      </w:r>
      <w:r w:rsidR="00964233">
        <w:rPr>
          <w:noProof/>
        </w:rPr>
        <w:fldChar w:fldCharType="end"/>
      </w:r>
      <w:bookmarkEnd w:id="53"/>
      <w:r>
        <w:tab/>
        <w:t>Citation details for included studies of DAAs</w:t>
      </w:r>
      <w:bookmarkEnd w:id="54"/>
    </w:p>
    <w:tbl>
      <w:tblPr>
        <w:tblStyle w:val="TableGrid"/>
        <w:tblW w:w="5000" w:type="pct"/>
        <w:tblLook w:val="04A0" w:firstRow="1" w:lastRow="0" w:firstColumn="1" w:lastColumn="0" w:noHBand="0" w:noVBand="1"/>
        <w:tblCaption w:val="Table 3.6"/>
        <w:tblDescription w:val="Citation details for included studies of DAAs"/>
      </w:tblPr>
      <w:tblGrid>
        <w:gridCol w:w="1390"/>
        <w:gridCol w:w="4383"/>
        <w:gridCol w:w="3855"/>
      </w:tblGrid>
      <w:tr w:rsidR="001F695C" w:rsidTr="00982A19">
        <w:trPr>
          <w:cnfStyle w:val="100000000000" w:firstRow="1" w:lastRow="0" w:firstColumn="0" w:lastColumn="0" w:oddVBand="0" w:evenVBand="0" w:oddHBand="0" w:evenHBand="0" w:firstRowFirstColumn="0" w:firstRowLastColumn="0" w:lastRowFirstColumn="0" w:lastRowLastColumn="0"/>
        </w:trPr>
        <w:tc>
          <w:tcPr>
            <w:tcW w:w="722" w:type="pct"/>
          </w:tcPr>
          <w:p w:rsidR="001F695C" w:rsidRDefault="001F695C" w:rsidP="000C6396">
            <w:pPr>
              <w:pStyle w:val="01Tableheadingorsubheading"/>
            </w:pPr>
            <w:r>
              <w:t>Study ID</w:t>
            </w:r>
          </w:p>
        </w:tc>
        <w:tc>
          <w:tcPr>
            <w:tcW w:w="2276" w:type="pct"/>
          </w:tcPr>
          <w:p w:rsidR="001F695C" w:rsidRDefault="001F695C" w:rsidP="000C6396">
            <w:pPr>
              <w:pStyle w:val="01Tableheadingorsubheading"/>
            </w:pPr>
            <w:r>
              <w:t>Citation</w:t>
            </w:r>
          </w:p>
        </w:tc>
        <w:tc>
          <w:tcPr>
            <w:tcW w:w="2003" w:type="pct"/>
          </w:tcPr>
          <w:p w:rsidR="001F695C" w:rsidRDefault="005D4750" w:rsidP="000C6396">
            <w:pPr>
              <w:pStyle w:val="01Tableheadingorsubheading"/>
            </w:pPr>
            <w:r>
              <w:t>Type of DAA used in the intervention</w:t>
            </w:r>
          </w:p>
        </w:tc>
      </w:tr>
      <w:tr w:rsidR="001F695C" w:rsidTr="00982A19">
        <w:tc>
          <w:tcPr>
            <w:tcW w:w="722" w:type="pct"/>
          </w:tcPr>
          <w:p w:rsidR="001F695C" w:rsidRDefault="001F695C" w:rsidP="000C6396">
            <w:pPr>
              <w:pStyle w:val="02Tabletext"/>
            </w:pPr>
            <w:r>
              <w:t>Dumas (2016)</w:t>
            </w:r>
          </w:p>
        </w:tc>
        <w:tc>
          <w:tcPr>
            <w:tcW w:w="2276" w:type="pct"/>
          </w:tcPr>
          <w:p w:rsidR="001F695C" w:rsidRDefault="001F695C" w:rsidP="000C6396">
            <w:pPr>
              <w:pStyle w:val="02Tabletext"/>
            </w:pPr>
            <w:r w:rsidRPr="006C6DCD">
              <w:t>Dumas S, Rouleau-Mailloux E, Bouchama N, Lahcene H, Talajic M, Tardif JC, et al. (2016). Pillbox use and INR stability in a prospective cohort of new warfarin users. Journal of Managed Care and Specialty Pharmacy, 22(6):676-84.</w:t>
            </w:r>
          </w:p>
        </w:tc>
        <w:tc>
          <w:tcPr>
            <w:tcW w:w="2003" w:type="pct"/>
          </w:tcPr>
          <w:p w:rsidR="001F695C" w:rsidRDefault="001F695C" w:rsidP="000C6396">
            <w:pPr>
              <w:pStyle w:val="02Tabletext"/>
            </w:pPr>
            <w:r>
              <w:t>Pre-packed pillbox by pharmacist. Intervention also included pillboxes packed by the patients, the results of which are excluded from this Report.</w:t>
            </w:r>
          </w:p>
        </w:tc>
      </w:tr>
      <w:tr w:rsidR="001F695C" w:rsidTr="00982A19">
        <w:trPr>
          <w:cnfStyle w:val="000000010000" w:firstRow="0" w:lastRow="0" w:firstColumn="0" w:lastColumn="0" w:oddVBand="0" w:evenVBand="0" w:oddHBand="0" w:evenHBand="1" w:firstRowFirstColumn="0" w:firstRowLastColumn="0" w:lastRowFirstColumn="0" w:lastRowLastColumn="0"/>
        </w:trPr>
        <w:tc>
          <w:tcPr>
            <w:tcW w:w="722" w:type="pct"/>
          </w:tcPr>
          <w:p w:rsidR="001F695C" w:rsidRDefault="001F695C" w:rsidP="000C6396">
            <w:pPr>
              <w:pStyle w:val="02Tabletext"/>
            </w:pPr>
            <w:r>
              <w:t>Dupclay (2012)</w:t>
            </w:r>
          </w:p>
        </w:tc>
        <w:tc>
          <w:tcPr>
            <w:tcW w:w="2276" w:type="pct"/>
          </w:tcPr>
          <w:p w:rsidR="001F695C" w:rsidRPr="006C6DCD" w:rsidRDefault="001F695C" w:rsidP="000C6396">
            <w:pPr>
              <w:pStyle w:val="02Tabletext"/>
            </w:pPr>
            <w:r w:rsidRPr="009A2FDB">
              <w:t>Dupclay L, Eaddy M, Jackson J, Raju A, Shim A (2012). Real-world impact of reminder packaging on antihypertensive treatment adherence and persistence. Patient Preference and Adherence, 6:499-507.</w:t>
            </w:r>
          </w:p>
        </w:tc>
        <w:tc>
          <w:tcPr>
            <w:tcW w:w="2003" w:type="pct"/>
          </w:tcPr>
          <w:p w:rsidR="001F695C" w:rsidRDefault="001F695C" w:rsidP="000C6396">
            <w:pPr>
              <w:pStyle w:val="02Tabletext"/>
            </w:pPr>
            <w:r>
              <w:t>Use of a monthly reminder blister pack with c</w:t>
            </w:r>
            <w:r w:rsidRPr="009A2FDB">
              <w:t>lear labe</w:t>
            </w:r>
            <w:r>
              <w:t>l</w:t>
            </w:r>
            <w:r w:rsidRPr="009A2FDB">
              <w:t>ling information (days supplied, brand/generic name, storage inform</w:t>
            </w:r>
            <w:r>
              <w:t>ation, instructions for use)</w:t>
            </w:r>
            <w:r w:rsidRPr="009A2FDB">
              <w:t xml:space="preserve"> found on the front of the </w:t>
            </w:r>
            <w:r>
              <w:t>pack. A r</w:t>
            </w:r>
            <w:r w:rsidRPr="009A2FDB">
              <w:t>eminder to reorder was found inside the blister card</w:t>
            </w:r>
            <w:r>
              <w:t>.</w:t>
            </w:r>
          </w:p>
        </w:tc>
      </w:tr>
      <w:tr w:rsidR="001F695C" w:rsidTr="00982A19">
        <w:tc>
          <w:tcPr>
            <w:tcW w:w="722" w:type="pct"/>
          </w:tcPr>
          <w:p w:rsidR="001F695C" w:rsidRDefault="001F695C" w:rsidP="000C6396">
            <w:pPr>
              <w:pStyle w:val="02Tabletext"/>
            </w:pPr>
            <w:r>
              <w:t>Schneider (2008)</w:t>
            </w:r>
          </w:p>
        </w:tc>
        <w:tc>
          <w:tcPr>
            <w:tcW w:w="2276" w:type="pct"/>
          </w:tcPr>
          <w:p w:rsidR="001F695C" w:rsidRDefault="001F695C" w:rsidP="000C6396">
            <w:pPr>
              <w:pStyle w:val="02Tabletext"/>
            </w:pPr>
            <w:r>
              <w:t>Schneider PJ, Murphy JE, Pedersen CA. (2008) Impact of medication packaging on adherence and treatment outcomes in older ambulatory patients. Journal of the</w:t>
            </w:r>
          </w:p>
          <w:p w:rsidR="001F695C" w:rsidRDefault="001F695C" w:rsidP="000C6396">
            <w:pPr>
              <w:pStyle w:val="02Tabletext"/>
            </w:pPr>
            <w:r>
              <w:t>American Pharmacists Association, 48: 58–63.</w:t>
            </w:r>
          </w:p>
        </w:tc>
        <w:tc>
          <w:tcPr>
            <w:tcW w:w="2003" w:type="pct"/>
          </w:tcPr>
          <w:p w:rsidR="001F695C" w:rsidRDefault="001F695C" w:rsidP="000C6396">
            <w:pPr>
              <w:pStyle w:val="02Tabletext"/>
            </w:pPr>
            <w:r>
              <w:t>Use of a d</w:t>
            </w:r>
            <w:r w:rsidRPr="0044138A">
              <w:t>aily-dose blister packaging</w:t>
            </w:r>
            <w:r>
              <w:t>.</w:t>
            </w:r>
          </w:p>
        </w:tc>
      </w:tr>
      <w:tr w:rsidR="001F695C" w:rsidTr="00982A19">
        <w:trPr>
          <w:cnfStyle w:val="000000010000" w:firstRow="0" w:lastRow="0" w:firstColumn="0" w:lastColumn="0" w:oddVBand="0" w:evenVBand="0" w:oddHBand="0" w:evenHBand="1" w:firstRowFirstColumn="0" w:firstRowLastColumn="0" w:lastRowFirstColumn="0" w:lastRowLastColumn="0"/>
        </w:trPr>
        <w:tc>
          <w:tcPr>
            <w:tcW w:w="722" w:type="pct"/>
          </w:tcPr>
          <w:p w:rsidR="001F695C" w:rsidRDefault="001F695C" w:rsidP="000C6396">
            <w:pPr>
              <w:pStyle w:val="02Tabletext"/>
            </w:pPr>
            <w:r>
              <w:t>Huang (2000)</w:t>
            </w:r>
          </w:p>
          <w:p w:rsidR="001F695C" w:rsidRPr="0033030D" w:rsidRDefault="001F695C" w:rsidP="000C6396">
            <w:pPr>
              <w:pStyle w:val="03Tabletextspacebefore"/>
            </w:pPr>
            <w:r>
              <w:t>VITAL</w:t>
            </w:r>
          </w:p>
        </w:tc>
        <w:tc>
          <w:tcPr>
            <w:tcW w:w="2276" w:type="pct"/>
          </w:tcPr>
          <w:p w:rsidR="001F695C" w:rsidRDefault="001F695C" w:rsidP="000C6396">
            <w:pPr>
              <w:pStyle w:val="02Tabletext"/>
            </w:pPr>
            <w:r>
              <w:t>Huang HA, Maguire MG, Miller ER, Appel LJ. (2000) Impact of pill organizers and blister packs on adherence to pill taking in two vitamin supplement trials (VITAL). American Journal of Epidemiology; 152: 780–7.</w:t>
            </w:r>
          </w:p>
        </w:tc>
        <w:tc>
          <w:tcPr>
            <w:tcW w:w="2003" w:type="pct"/>
          </w:tcPr>
          <w:p w:rsidR="001F695C" w:rsidRDefault="001F695C" w:rsidP="000C6396">
            <w:pPr>
              <w:pStyle w:val="02Tabletext"/>
            </w:pPr>
            <w:r>
              <w:t>Use of a pre-packed blister pack.</w:t>
            </w:r>
          </w:p>
        </w:tc>
      </w:tr>
      <w:tr w:rsidR="001F695C" w:rsidTr="00982A19">
        <w:tc>
          <w:tcPr>
            <w:tcW w:w="722" w:type="pct"/>
          </w:tcPr>
          <w:p w:rsidR="001F695C" w:rsidRDefault="001F695C" w:rsidP="000C6396">
            <w:pPr>
              <w:pStyle w:val="02Tabletext"/>
            </w:pPr>
            <w:r>
              <w:t>Simmons (2000)</w:t>
            </w:r>
          </w:p>
        </w:tc>
        <w:tc>
          <w:tcPr>
            <w:tcW w:w="2276" w:type="pct"/>
          </w:tcPr>
          <w:p w:rsidR="001F695C" w:rsidRDefault="001F695C" w:rsidP="000C6396">
            <w:pPr>
              <w:pStyle w:val="02Tabletext"/>
            </w:pPr>
            <w:r>
              <w:t>Simmons D, Upjohn M, Gamble GD. (2000) Can medication packaging improve glycemic control and blood pressure in Type 2 diabetes? Diabetes Care; 23(2):153–6.</w:t>
            </w:r>
          </w:p>
        </w:tc>
        <w:tc>
          <w:tcPr>
            <w:tcW w:w="2003" w:type="pct"/>
          </w:tcPr>
          <w:p w:rsidR="001F695C" w:rsidRDefault="001F695C" w:rsidP="000C6396">
            <w:pPr>
              <w:pStyle w:val="02Tabletext"/>
            </w:pPr>
            <w:r>
              <w:t>Calendar blister package prepared at one pharmacy marked with the days of the week and the time of dosage.</w:t>
            </w:r>
          </w:p>
        </w:tc>
      </w:tr>
      <w:tr w:rsidR="001F695C" w:rsidTr="00982A19">
        <w:trPr>
          <w:cnfStyle w:val="000000010000" w:firstRow="0" w:lastRow="0" w:firstColumn="0" w:lastColumn="0" w:oddVBand="0" w:evenVBand="0" w:oddHBand="0" w:evenHBand="1" w:firstRowFirstColumn="0" w:firstRowLastColumn="0" w:lastRowFirstColumn="0" w:lastRowLastColumn="0"/>
        </w:trPr>
        <w:tc>
          <w:tcPr>
            <w:tcW w:w="722" w:type="pct"/>
          </w:tcPr>
          <w:p w:rsidR="001F695C" w:rsidRDefault="001F695C" w:rsidP="000C6396">
            <w:pPr>
              <w:pStyle w:val="02Tabletext"/>
            </w:pPr>
            <w:r>
              <w:t>Winland-Brown (2000)</w:t>
            </w:r>
          </w:p>
        </w:tc>
        <w:tc>
          <w:tcPr>
            <w:tcW w:w="2276" w:type="pct"/>
          </w:tcPr>
          <w:p w:rsidR="001F695C" w:rsidRDefault="001F695C" w:rsidP="000C6396">
            <w:pPr>
              <w:pStyle w:val="02Tabletext"/>
            </w:pPr>
            <w:r>
              <w:t>Winland-Brown JE, Valiante J. (2000) Effectiveness of different medication management on elders’ medication adherence. Outcomes Management for Nursing Practice; 4: 172–6.</w:t>
            </w:r>
          </w:p>
        </w:tc>
        <w:tc>
          <w:tcPr>
            <w:tcW w:w="2003" w:type="pct"/>
          </w:tcPr>
          <w:p w:rsidR="001F695C" w:rsidRDefault="001F695C" w:rsidP="000C6396">
            <w:pPr>
              <w:pStyle w:val="02Tabletext"/>
            </w:pPr>
            <w:r>
              <w:t xml:space="preserve">The intervention group </w:t>
            </w:r>
            <w:r w:rsidRPr="00B6296D">
              <w:t xml:space="preserve">received a pillbox </w:t>
            </w:r>
            <w:r>
              <w:t>that</w:t>
            </w:r>
            <w:r w:rsidRPr="00B6296D">
              <w:t xml:space="preserve"> was prefilled on a weekly basis</w:t>
            </w:r>
            <w:r>
              <w:t>.</w:t>
            </w:r>
          </w:p>
        </w:tc>
      </w:tr>
      <w:tr w:rsidR="001F695C" w:rsidTr="00982A19">
        <w:tc>
          <w:tcPr>
            <w:tcW w:w="722" w:type="pct"/>
          </w:tcPr>
          <w:p w:rsidR="001F695C" w:rsidRDefault="001F695C" w:rsidP="000C6396">
            <w:pPr>
              <w:pStyle w:val="02Tabletext"/>
            </w:pPr>
            <w:r>
              <w:t>Skaer (Hypertension) (1993a)</w:t>
            </w:r>
          </w:p>
        </w:tc>
        <w:tc>
          <w:tcPr>
            <w:tcW w:w="2276" w:type="pct"/>
          </w:tcPr>
          <w:p w:rsidR="001F695C" w:rsidRDefault="001F695C" w:rsidP="000C6396">
            <w:pPr>
              <w:pStyle w:val="02Tabletext"/>
            </w:pPr>
            <w:r>
              <w:t>Skaer TL, Sclar DA, Markoski DJ,</w:t>
            </w:r>
            <w:r w:rsidR="001A0C49">
              <w:t xml:space="preserve"> Won J. (1993). Effect of value-</w:t>
            </w:r>
            <w:r>
              <w:t>added utilities on prescription refill compliance and health care expenditures for hypertension. Journal of Human Hypertension; 7: 515–8.</w:t>
            </w:r>
          </w:p>
        </w:tc>
        <w:tc>
          <w:tcPr>
            <w:tcW w:w="2003" w:type="pct"/>
          </w:tcPr>
          <w:p w:rsidR="001F695C" w:rsidRDefault="001F695C" w:rsidP="000C6396">
            <w:pPr>
              <w:pStyle w:val="02Tabletext"/>
            </w:pPr>
            <w:r w:rsidRPr="004D616C">
              <w:t>The intervention group received standard pharmaceutical care and were provided unit-of-use packaging with each prescription refill request</w:t>
            </w:r>
            <w:r>
              <w:t>.</w:t>
            </w:r>
          </w:p>
        </w:tc>
      </w:tr>
      <w:tr w:rsidR="001F695C" w:rsidTr="00982A19">
        <w:trPr>
          <w:cnfStyle w:val="000000010000" w:firstRow="0" w:lastRow="0" w:firstColumn="0" w:lastColumn="0" w:oddVBand="0" w:evenVBand="0" w:oddHBand="0" w:evenHBand="1" w:firstRowFirstColumn="0" w:firstRowLastColumn="0" w:lastRowFirstColumn="0" w:lastRowLastColumn="0"/>
        </w:trPr>
        <w:tc>
          <w:tcPr>
            <w:tcW w:w="722" w:type="pct"/>
          </w:tcPr>
          <w:p w:rsidR="001F695C" w:rsidRDefault="001F695C" w:rsidP="000C6396">
            <w:pPr>
              <w:pStyle w:val="02Tabletext"/>
            </w:pPr>
            <w:r>
              <w:t>Skaer (NIDDM 1993b)</w:t>
            </w:r>
          </w:p>
        </w:tc>
        <w:tc>
          <w:tcPr>
            <w:tcW w:w="2276" w:type="pct"/>
          </w:tcPr>
          <w:p w:rsidR="001F695C" w:rsidRDefault="001F695C" w:rsidP="000C6396">
            <w:pPr>
              <w:pStyle w:val="02Tabletext"/>
            </w:pPr>
            <w:r>
              <w:t>Skaer TL, Sclar DA, Markoski DJ, Won J. (1993) Effect of value-added utilities on prescription refill compliance and medicaid health care expenditures: a study of patients with non-insulin dependent diabetes mellitus. Journal of Clinical Pharmacy and Therapeutics; 18: 295–9.</w:t>
            </w:r>
          </w:p>
        </w:tc>
        <w:tc>
          <w:tcPr>
            <w:tcW w:w="2003" w:type="pct"/>
          </w:tcPr>
          <w:p w:rsidR="001F695C" w:rsidRPr="004D616C" w:rsidRDefault="001F695C" w:rsidP="000C6396">
            <w:pPr>
              <w:pStyle w:val="02Tabletext"/>
            </w:pPr>
            <w:r>
              <w:t xml:space="preserve">The intervention group </w:t>
            </w:r>
            <w:r w:rsidRPr="00F16A99">
              <w:t>received standard pharmaceutical care and were provided unit-of-use packaging with each prescription refill request</w:t>
            </w:r>
            <w:r>
              <w:t>.</w:t>
            </w:r>
          </w:p>
        </w:tc>
      </w:tr>
      <w:tr w:rsidR="001F695C" w:rsidTr="00982A19">
        <w:tc>
          <w:tcPr>
            <w:tcW w:w="722" w:type="pct"/>
          </w:tcPr>
          <w:p w:rsidR="001F695C" w:rsidRDefault="001F695C" w:rsidP="000C6396">
            <w:pPr>
              <w:pStyle w:val="02Tabletext"/>
            </w:pPr>
            <w:r>
              <w:t>Becker (1986)</w:t>
            </w:r>
          </w:p>
        </w:tc>
        <w:tc>
          <w:tcPr>
            <w:tcW w:w="2276" w:type="pct"/>
          </w:tcPr>
          <w:p w:rsidR="001F695C" w:rsidRDefault="001F695C" w:rsidP="000C6396">
            <w:pPr>
              <w:pStyle w:val="02Tabletext"/>
            </w:pPr>
            <w:r>
              <w:t>Becker LA, Glanz K, Sobel E,Mossey J, Zinn SL, Knott KA. (1986) A randomized trial of special packaging antihypertensive medications. Journal of Family Practice; 22(4):357–61.</w:t>
            </w:r>
          </w:p>
        </w:tc>
        <w:tc>
          <w:tcPr>
            <w:tcW w:w="2003" w:type="pct"/>
          </w:tcPr>
          <w:p w:rsidR="001F695C" w:rsidRDefault="001F695C" w:rsidP="000C6396">
            <w:pPr>
              <w:pStyle w:val="02Tabletext"/>
            </w:pPr>
            <w:r>
              <w:t>Pillbox, foil-sealed.</w:t>
            </w:r>
          </w:p>
        </w:tc>
      </w:tr>
    </w:tbl>
    <w:p w:rsidR="001F695C" w:rsidRDefault="001F695C" w:rsidP="006C676B">
      <w:pPr>
        <w:pStyle w:val="BodyText"/>
        <w:spacing w:after="0"/>
      </w:pPr>
    </w:p>
    <w:p w:rsidR="00111B14" w:rsidRDefault="00593B41" w:rsidP="00E162EF">
      <w:pPr>
        <w:pStyle w:val="BodyText"/>
      </w:pPr>
      <w:r w:rsidRPr="00E162EF">
        <w:t>Ap</w:t>
      </w:r>
      <w:r w:rsidR="00FD47B1" w:rsidRPr="00E162EF">
        <w:t>pendix 4</w:t>
      </w:r>
      <w:r>
        <w:t xml:space="preserve"> </w:t>
      </w:r>
      <w:r w:rsidR="001F695C">
        <w:t xml:space="preserve">presents a list of other primary studies of DAAs that were identified through the literature search and the reasons for their exclusion. Studies that examined the use of DAAs as part </w:t>
      </w:r>
      <w:r w:rsidR="001F695C">
        <w:lastRenderedPageBreak/>
        <w:t xml:space="preserve">of a more comprehensive pharmacy care program or were part of a multifaceted pharmacy intervention were excluded. Studies that assessed self-packed multi-compartment aids or pill boxes and automated </w:t>
      </w:r>
      <w:r>
        <w:t xml:space="preserve">medication dispensing </w:t>
      </w:r>
      <w:r w:rsidR="001F695C">
        <w:t>devices were also excluded. Other exclusions were applied to studies that assessed DAAs in a hospital setting or compliance aids used for patients with infectious diseases wi</w:t>
      </w:r>
      <w:r w:rsidR="00D9592A">
        <w:t>th a short duration of therapy.</w:t>
      </w:r>
    </w:p>
    <w:p w:rsidR="00E162EF" w:rsidRDefault="00E066A6" w:rsidP="00AE66D1">
      <w:pPr>
        <w:pStyle w:val="Heading2"/>
      </w:pPr>
      <w:bookmarkStart w:id="55" w:name="_Toc523230279"/>
      <w:r>
        <w:t>DAA u</w:t>
      </w:r>
      <w:r w:rsidR="00914308">
        <w:t>tilisation analysis</w:t>
      </w:r>
      <w:bookmarkEnd w:id="55"/>
    </w:p>
    <w:p w:rsidR="00BF6408" w:rsidRDefault="00BF6408" w:rsidP="00BF6408">
      <w:pPr>
        <w:pStyle w:val="BodyText"/>
      </w:pPr>
      <w:bookmarkStart w:id="56" w:name="_Ref462745970"/>
      <w:r>
        <w:t>Utilisation was calculated from the DAA claims payment data made by individual pharmacy, covering claims paid on dates between 5</w:t>
      </w:r>
      <w:r w:rsidRPr="008B3522">
        <w:rPr>
          <w:vertAlign w:val="superscript"/>
        </w:rPr>
        <w:t>th</w:t>
      </w:r>
      <w:r>
        <w:t xml:space="preserve"> January, 2012 and 26</w:t>
      </w:r>
      <w:r w:rsidRPr="008B3522">
        <w:rPr>
          <w:vertAlign w:val="superscript"/>
        </w:rPr>
        <w:t>th</w:t>
      </w:r>
      <w:r>
        <w:t xml:space="preserve"> May, 2016.  </w:t>
      </w:r>
    </w:p>
    <w:p w:rsidR="00BF6408" w:rsidRDefault="00BF6408" w:rsidP="00BF6408">
      <w:pPr>
        <w:pStyle w:val="BodyText"/>
      </w:pPr>
      <w:r>
        <w:t>DAA claims payment data for 2015 have been analysed in the context of geographical factors that have been inferred from the postcode of each pharmacy. Those factors included are remoteness</w:t>
      </w:r>
      <w:r>
        <w:rPr>
          <w:rStyle w:val="FootnoteReference"/>
        </w:rPr>
        <w:footnoteReference w:id="6"/>
      </w:r>
      <w:r>
        <w:t xml:space="preserve"> (see Table 7.2); overall population, chronic disease prevalence and proportion of population aged over 65 years by Primary Health Network (PHN) geographic areas.  These factors were used to assess whether the growth in DAA services has occurred in line with the populations that the program is intended to target.</w:t>
      </w:r>
    </w:p>
    <w:p w:rsidR="00BF6408" w:rsidRDefault="00BF6408" w:rsidP="00BF6408">
      <w:pPr>
        <w:pStyle w:val="BodyText"/>
      </w:pPr>
      <w:r>
        <w:t xml:space="preserve">The claims payments administration system changed in March 2014. Before the change, payments to pharmacies were annotated with the ‘Pharmacy ASN’ identifier. After the change claims payments were annotated using the ‘Organisation Number’ identifier. Both identifying codes are used in Section 90 registers to identify individual pharmacies. These codes were used to assist in locating each pharmacy within its postcode.  </w:t>
      </w:r>
    </w:p>
    <w:p w:rsidR="00BF6408" w:rsidRDefault="00BF6408" w:rsidP="00BF6408">
      <w:pPr>
        <w:pStyle w:val="BodyText"/>
      </w:pPr>
      <w:r>
        <w:t xml:space="preserve">Postcodes were mapped to remoteness using the Australian Bureau of Statistics (ABS) mapping table and to PHAs and PHN areas via </w:t>
      </w:r>
      <w:r w:rsidRPr="009E11B9">
        <w:t>Statistical Areas Level 2 (SA2), ABS Australian Statistical Geography Standard (ABS ASGS) 2011.</w:t>
      </w:r>
    </w:p>
    <w:p w:rsidR="00BF6408" w:rsidRPr="00E066A6" w:rsidRDefault="00BF6408" w:rsidP="00BF6408">
      <w:pPr>
        <w:pStyle w:val="BodyText"/>
      </w:pPr>
      <w:r>
        <w:t>Key metrics in the analysis are limited to claims paid and the number of patients supplied with DAAs in the claim period (these metrics are recorded in the claims payment administration systems pre and post the system change). Claims paid and the volumes of patients supplied with DAAs are not closely related since the payment formula relates to volume at the level of individual pharmacies, as well as overall.</w:t>
      </w:r>
    </w:p>
    <w:p w:rsidR="000F48FC" w:rsidRPr="000F48FC" w:rsidRDefault="000F48FC" w:rsidP="007F0770">
      <w:pPr>
        <w:pStyle w:val="Heading1"/>
      </w:pPr>
      <w:bookmarkStart w:id="57" w:name="_Toc523230280"/>
      <w:r w:rsidRPr="000F48FC">
        <w:lastRenderedPageBreak/>
        <w:t>Previous evaluations of the PPI Program</w:t>
      </w:r>
      <w:bookmarkEnd w:id="56"/>
      <w:bookmarkEnd w:id="57"/>
    </w:p>
    <w:p w:rsidR="000F48FC" w:rsidRPr="000F48FC" w:rsidRDefault="000F48FC" w:rsidP="00E162EF">
      <w:pPr>
        <w:pStyle w:val="BodyText"/>
      </w:pPr>
      <w:r w:rsidRPr="000F48FC">
        <w:t xml:space="preserve">This Section summarises the findings of the </w:t>
      </w:r>
      <w:r w:rsidR="00D80544">
        <w:t>3CPA</w:t>
      </w:r>
      <w:r w:rsidR="00CB3B86">
        <w:t xml:space="preserve"> </w:t>
      </w:r>
      <w:r w:rsidRPr="000F48FC">
        <w:t>project that recommended subsidised funding of DAA services by community pharmacies, as well as two evaluations of the DAA initia</w:t>
      </w:r>
      <w:r w:rsidR="00646B40">
        <w:t>tive funded by the Commonwealth</w:t>
      </w:r>
      <w:r w:rsidRPr="000F48FC">
        <w:t xml:space="preserve"> under the </w:t>
      </w:r>
      <w:r w:rsidR="00CB3B86">
        <w:t>4</w:t>
      </w:r>
      <w:r w:rsidRPr="000F48FC">
        <w:t xml:space="preserve">CPA and </w:t>
      </w:r>
      <w:r w:rsidR="00CB3B86">
        <w:t>5</w:t>
      </w:r>
      <w:r w:rsidRPr="000F48FC">
        <w:t>CPA. The intention of these summaries is to provide MSAC with an understanding of the approaches taken to evaluate the DAA initiative in Australia, as well as a high level overview of the findings of previous evaluation</w:t>
      </w:r>
      <w:r w:rsidR="00646B40">
        <w:t>s</w:t>
      </w:r>
      <w:r w:rsidRPr="000F48FC">
        <w:t xml:space="preserve"> in relation to effectiveness and cost-effectiveness of the service. </w:t>
      </w:r>
    </w:p>
    <w:p w:rsidR="000F48FC" w:rsidRPr="000F48FC" w:rsidRDefault="000F48FC" w:rsidP="007F0770">
      <w:pPr>
        <w:pStyle w:val="Heading2"/>
      </w:pPr>
      <w:bookmarkStart w:id="58" w:name="_Toc523230281"/>
      <w:r w:rsidRPr="000F48FC">
        <w:t>3CPA DAA Project by University of Queensland 2006</w:t>
      </w:r>
      <w:bookmarkEnd w:id="58"/>
    </w:p>
    <w:p w:rsidR="000F48FC" w:rsidRPr="000F48FC" w:rsidRDefault="000F48FC" w:rsidP="00AC73FE">
      <w:pPr>
        <w:pStyle w:val="BodyText"/>
      </w:pPr>
      <w:r w:rsidRPr="000F48FC">
        <w:t xml:space="preserve">Quality Medication Care Pty Ltd, in conjunction with the University of Queensland, evaluated the effectiveness and cost-effectiveness of DAAs in the community and </w:t>
      </w:r>
      <w:r w:rsidR="005848A1">
        <w:t>residential care facility (</w:t>
      </w:r>
      <w:r w:rsidR="00646B40">
        <w:t>RCF</w:t>
      </w:r>
      <w:r w:rsidR="005848A1">
        <w:t>)</w:t>
      </w:r>
      <w:r w:rsidRPr="000F48FC">
        <w:t xml:space="preserve"> settings. </w:t>
      </w:r>
      <w:r w:rsidR="00E91FDA">
        <w:t xml:space="preserve"> </w:t>
      </w:r>
      <w:r w:rsidRPr="000F48FC">
        <w:t xml:space="preserve">The project, which developed preliminary best practice models for both settings, was funded as part of the </w:t>
      </w:r>
      <w:r w:rsidR="00CB3B86">
        <w:t>3</w:t>
      </w:r>
      <w:r w:rsidRPr="000F48FC">
        <w:t xml:space="preserve">CPA between the Commonwealth and the Pharmacy Guild of Australia. </w:t>
      </w:r>
      <w:r w:rsidR="00E91FDA">
        <w:t xml:space="preserve"> </w:t>
      </w:r>
      <w:r w:rsidRPr="000F48FC">
        <w:t>The Phase 3 Final Report (May 2006) recommended that the preliminary best practice model for the community setting, and the findings of the evaluation, should be used to inform the development of</w:t>
      </w:r>
      <w:r w:rsidR="00E91FDA">
        <w:t>,</w:t>
      </w:r>
      <w:r w:rsidRPr="000F48FC">
        <w:t xml:space="preserve"> an</w:t>
      </w:r>
      <w:r w:rsidR="00E91FDA">
        <w:t>d</w:t>
      </w:r>
      <w:r w:rsidRPr="000F48FC">
        <w:t xml:space="preserve"> implementation plan for a subsidised DAA service for community patients. </w:t>
      </w:r>
      <w:r w:rsidR="00E91FDA">
        <w:t xml:space="preserve"> </w:t>
      </w:r>
      <w:r w:rsidRPr="000F48FC">
        <w:t xml:space="preserve">Further, the </w:t>
      </w:r>
      <w:r w:rsidR="00E91FDA">
        <w:t xml:space="preserve">2006 </w:t>
      </w:r>
      <w:r w:rsidR="005848A1">
        <w:t xml:space="preserve">Final </w:t>
      </w:r>
      <w:r w:rsidRPr="000F48FC">
        <w:t>Report recommended that the government support</w:t>
      </w:r>
      <w:r w:rsidR="005848A1">
        <w:t>s</w:t>
      </w:r>
      <w:r w:rsidRPr="000F48FC">
        <w:t xml:space="preserve"> the use of DAA services in the community </w:t>
      </w:r>
      <w:r w:rsidR="005848A1">
        <w:t xml:space="preserve">where </w:t>
      </w:r>
      <w:r w:rsidRPr="000F48FC">
        <w:t>patients meet the appropriate access c</w:t>
      </w:r>
      <w:r w:rsidR="00DC1BE1">
        <w:t>riteria and the service provided</w:t>
      </w:r>
      <w:r w:rsidRPr="000F48FC">
        <w:t xml:space="preserve"> reflects best practice.</w:t>
      </w:r>
    </w:p>
    <w:p w:rsidR="000F48FC" w:rsidRPr="000F48FC" w:rsidRDefault="000F48FC" w:rsidP="00AC73FE">
      <w:pPr>
        <w:pStyle w:val="Bodytextbeforebullets"/>
      </w:pPr>
      <w:r w:rsidRPr="000F48FC">
        <w:t xml:space="preserve">The project was composed of three </w:t>
      </w:r>
      <w:r w:rsidR="005848A1">
        <w:t>p</w:t>
      </w:r>
      <w:r w:rsidRPr="000F48FC">
        <w:t>hases:</w:t>
      </w:r>
    </w:p>
    <w:p w:rsidR="000F48FC" w:rsidRPr="000F48FC" w:rsidRDefault="000F48FC" w:rsidP="00AC73FE">
      <w:pPr>
        <w:pStyle w:val="Bullettext"/>
      </w:pPr>
      <w:r w:rsidRPr="000F48FC">
        <w:rPr>
          <w:b/>
        </w:rPr>
        <w:t>Phase 1</w:t>
      </w:r>
      <w:r w:rsidRPr="000F48FC">
        <w:t xml:space="preserve"> (Final Report November 2004) involved a synthesis of the literature that expanded and updated an earlier review of the literature on DAAs (conducted by the University of South Australia in 1997), taking into account national and international literature published from 1997 to December 2002. Focus groups and structured interviews were also conducted with stakeholders in Phase 1 to identify key issues.</w:t>
      </w:r>
    </w:p>
    <w:p w:rsidR="000F48FC" w:rsidRPr="000F48FC" w:rsidRDefault="000F48FC" w:rsidP="00AC73FE">
      <w:pPr>
        <w:pStyle w:val="Bullettext"/>
      </w:pPr>
      <w:r w:rsidRPr="000F48FC">
        <w:rPr>
          <w:b/>
        </w:rPr>
        <w:t xml:space="preserve">Phase 2 </w:t>
      </w:r>
      <w:r w:rsidRPr="000F48FC">
        <w:t>(Final Report November 2004) involved recruitment of pharmacies, residential care facilities and consumers, and the development of data collection instruments. Observation studies were conducted in the community and RCF settings. The goal of observation in the community setting was to examine what impact using a DAA has on the consumers’ lifestyle, and to observe the procedures (time and cost) involved for community pharmacy in supplying DAAs to domiciliary consumers.</w:t>
      </w:r>
      <w:r w:rsidRPr="000F48FC" w:rsidDel="00C1750B">
        <w:t xml:space="preserve"> </w:t>
      </w:r>
    </w:p>
    <w:p w:rsidR="000F48FC" w:rsidRPr="000F48FC" w:rsidRDefault="000F48FC" w:rsidP="005848A1">
      <w:pPr>
        <w:pStyle w:val="Bullettext"/>
      </w:pPr>
      <w:r w:rsidRPr="000F48FC">
        <w:rPr>
          <w:b/>
        </w:rPr>
        <w:t>Phase 3</w:t>
      </w:r>
      <w:r w:rsidRPr="000F48FC">
        <w:t xml:space="preserve"> (Final Report May 2006) involved the development of best practice models and tools to facilitate improvements in the way DAAs are used in the RCF and community settings. This was based on the DAA literature review (Phase 1); current practice and standards of DAA provision (Phase 2); views of stakeholders obtained through focus groups and structured interviews; consens</w:t>
      </w:r>
      <w:r w:rsidR="005848A1">
        <w:t>us development panel techniques;</w:t>
      </w:r>
      <w:r w:rsidRPr="000F48FC">
        <w:t xml:space="preserve"> consultation with the Therapeutic Goods Administration (TGA); and evaluation of the feasibility and impact of best practice models. The cost-effectiveness of DAAs was then </w:t>
      </w:r>
      <w:r w:rsidR="00414389">
        <w:t xml:space="preserve">again </w:t>
      </w:r>
      <w:r w:rsidRPr="000F48FC">
        <w:t xml:space="preserve">examined in the community setting by measuring and valuing the benefits to the health care system from a societal perspective. </w:t>
      </w:r>
    </w:p>
    <w:p w:rsidR="000F48FC" w:rsidRPr="000F48FC" w:rsidRDefault="000F48FC" w:rsidP="00AC73FE">
      <w:pPr>
        <w:pStyle w:val="BodyText"/>
      </w:pPr>
      <w:r w:rsidRPr="000F48FC">
        <w:t xml:space="preserve">Additional data on health service use subsidised by the Australian government were extracted from the (then) Health Insurance Commission (HIC) and the Department of Veterans Affairs (DVA) (although the latter was not received in time for analysis). </w:t>
      </w:r>
      <w:r w:rsidR="00414389">
        <w:t xml:space="preserve"> </w:t>
      </w:r>
      <w:r w:rsidRPr="000F48FC">
        <w:t xml:space="preserve">Information on other health service use and benefits of using DAAs was collected by conducting a follow-up survey of Phase 2 community patient participants. </w:t>
      </w:r>
      <w:r w:rsidR="00414389">
        <w:t xml:space="preserve"> </w:t>
      </w:r>
      <w:r w:rsidRPr="000F48FC">
        <w:t>To adjust for the inherent differences between DAA users and users of medication in their original packs (OP) arising from the non-random sampling, multivariate modelling of baseline characteristics was used.</w:t>
      </w:r>
    </w:p>
    <w:p w:rsidR="000F48FC" w:rsidRPr="000F48FC" w:rsidRDefault="000F48FC" w:rsidP="007F0770">
      <w:pPr>
        <w:pStyle w:val="Heading3"/>
      </w:pPr>
      <w:bookmarkStart w:id="59" w:name="_Toc523230282"/>
      <w:r w:rsidRPr="000F48FC">
        <w:lastRenderedPageBreak/>
        <w:t>Conclusions relating to DAA use, patient satisfaction, and safety</w:t>
      </w:r>
      <w:bookmarkEnd w:id="59"/>
    </w:p>
    <w:p w:rsidR="000F48FC" w:rsidRPr="000F48FC" w:rsidRDefault="000F48FC" w:rsidP="00AC73FE">
      <w:pPr>
        <w:pStyle w:val="Bodytextbeforebullets"/>
      </w:pPr>
      <w:r w:rsidRPr="000F48FC">
        <w:t xml:space="preserve">The </w:t>
      </w:r>
      <w:r w:rsidR="00E91FDA">
        <w:t xml:space="preserve">2006 Final Report </w:t>
      </w:r>
      <w:r w:rsidRPr="000F48FC">
        <w:t xml:space="preserve">concluded that DAAs are effective in the community setting. </w:t>
      </w:r>
      <w:r w:rsidR="00414389">
        <w:t xml:space="preserve"> </w:t>
      </w:r>
      <w:r w:rsidRPr="000F48FC">
        <w:t>DAA users in general exhibited a greater severity of illness, and:</w:t>
      </w:r>
    </w:p>
    <w:p w:rsidR="000F48FC" w:rsidRPr="000F48FC" w:rsidRDefault="000F48FC" w:rsidP="00AC73FE">
      <w:pPr>
        <w:pStyle w:val="Bullettext"/>
      </w:pPr>
      <w:r w:rsidRPr="000F48FC">
        <w:t>were more likely to live alone, more likely to have a carer, and more likely to make greater use of community health workers than non-DAA users;</w:t>
      </w:r>
    </w:p>
    <w:p w:rsidR="000F48FC" w:rsidRPr="000F48FC" w:rsidRDefault="000F48FC" w:rsidP="00AC73FE">
      <w:pPr>
        <w:pStyle w:val="Bullettext"/>
      </w:pPr>
      <w:r w:rsidRPr="000F48FC">
        <w:t>have lower scores for functionality on the Older Americans Resource and Services Instrumental Activities of Daily Living (OARS-IADL) scale;</w:t>
      </w:r>
    </w:p>
    <w:p w:rsidR="000F48FC" w:rsidRPr="000F48FC" w:rsidRDefault="000F48FC" w:rsidP="00AC73FE">
      <w:pPr>
        <w:pStyle w:val="Bullettext"/>
      </w:pPr>
      <w:r w:rsidRPr="000F48FC">
        <w:t>have more hospitalisations per year and fewer illnesses but the same number and type of medicines as non-DAA users.</w:t>
      </w:r>
    </w:p>
    <w:p w:rsidR="000F48FC" w:rsidRPr="000F48FC" w:rsidRDefault="000F48FC" w:rsidP="00AC73FE">
      <w:pPr>
        <w:pStyle w:val="Bodytextbeforebullets"/>
      </w:pPr>
      <w:r w:rsidRPr="000F48FC">
        <w:t>DAAs appeared to have a positive impact on the satisfaction, medication management practices and the clinical status of the users. This conclusion was based upon the following findings:</w:t>
      </w:r>
    </w:p>
    <w:p w:rsidR="000F48FC" w:rsidRPr="000F48FC" w:rsidRDefault="000F48FC" w:rsidP="00AC73FE">
      <w:pPr>
        <w:pStyle w:val="Bullettext"/>
      </w:pPr>
      <w:r w:rsidRPr="000F48FC">
        <w:t>DAA users maintained a better continuity of medication supply (i.e. were less likely to run out of medication) and were less likely to hoard medications compared with non-DAA users.</w:t>
      </w:r>
    </w:p>
    <w:p w:rsidR="000F48FC" w:rsidRPr="000F48FC" w:rsidRDefault="000F48FC" w:rsidP="00AC73FE">
      <w:pPr>
        <w:pStyle w:val="Bullettext"/>
      </w:pPr>
      <w:r w:rsidRPr="000F48FC">
        <w:t>DAA users reported fewer adverse drug reactions compared with non-DAA users.</w:t>
      </w:r>
    </w:p>
    <w:p w:rsidR="000F48FC" w:rsidRPr="000F48FC" w:rsidRDefault="000F48FC" w:rsidP="00AC73FE">
      <w:pPr>
        <w:pStyle w:val="Bullettext"/>
      </w:pPr>
      <w:r w:rsidRPr="000F48FC">
        <w:t>DAA users were more likely to rate their medication management system as useful, easy and convenient.</w:t>
      </w:r>
    </w:p>
    <w:p w:rsidR="000F48FC" w:rsidRPr="000F48FC" w:rsidRDefault="000F48FC" w:rsidP="007F0770">
      <w:pPr>
        <w:pStyle w:val="Heading3"/>
      </w:pPr>
      <w:bookmarkStart w:id="60" w:name="_Toc523230283"/>
      <w:r w:rsidRPr="000F48FC">
        <w:t>Cost of supplying DAAs</w:t>
      </w:r>
      <w:bookmarkEnd w:id="60"/>
    </w:p>
    <w:p w:rsidR="000F48FC" w:rsidRPr="000F48FC" w:rsidRDefault="000F48FC" w:rsidP="00AC73FE">
      <w:pPr>
        <w:pStyle w:val="BodyText"/>
      </w:pPr>
      <w:r w:rsidRPr="000F48FC">
        <w:rPr>
          <w:szCs w:val="24"/>
        </w:rPr>
        <w:fldChar w:fldCharType="begin"/>
      </w:r>
      <w:r w:rsidRPr="000F48FC">
        <w:rPr>
          <w:szCs w:val="24"/>
        </w:rPr>
        <w:instrText xml:space="preserve"> REF _Ref462065918 \h  \* MERGEFORMAT </w:instrText>
      </w:r>
      <w:r w:rsidRPr="000F48FC">
        <w:rPr>
          <w:szCs w:val="24"/>
        </w:rPr>
      </w:r>
      <w:r w:rsidRPr="000F48FC">
        <w:rPr>
          <w:szCs w:val="24"/>
        </w:rPr>
        <w:fldChar w:fldCharType="separate"/>
      </w:r>
      <w:r w:rsidR="00964233" w:rsidRPr="00964233">
        <w:rPr>
          <w:iCs/>
          <w:szCs w:val="24"/>
        </w:rPr>
        <w:t xml:space="preserve">Table </w:t>
      </w:r>
      <w:r w:rsidR="00964233" w:rsidRPr="00964233">
        <w:rPr>
          <w:iCs/>
          <w:noProof/>
          <w:szCs w:val="24"/>
        </w:rPr>
        <w:t>4.1</w:t>
      </w:r>
      <w:r w:rsidRPr="000F48FC">
        <w:rPr>
          <w:szCs w:val="24"/>
        </w:rPr>
        <w:fldChar w:fldCharType="end"/>
      </w:r>
      <w:r w:rsidRPr="000F48FC">
        <w:t xml:space="preserve"> presents a summary of the costs of OP and DAA provision for the various resource use categories. The measurement of these costs was based on a detailed content analysis of workflow observations from 83 pharmacists performed in Phase 2. The base case model presented in the report provided details of costs for 30 customers using an average of eight medicines per week. The total cost for the base case was estimated at $543.88 for customers using OPs, compared to $1,070.50 for customers using DAAs. This equates to $18.13 per customer for OPs and $35.75 per customer using DAAs, or an additional $17.62 per customer. </w:t>
      </w:r>
    </w:p>
    <w:p w:rsidR="000F48FC" w:rsidRPr="000F48FC" w:rsidRDefault="000F48FC" w:rsidP="00AC73FE">
      <w:pPr>
        <w:pStyle w:val="BodyText"/>
      </w:pPr>
      <w:r w:rsidRPr="000F48FC">
        <w:t>With the exception of the costs of dispensing, the costs incurred in all cost categories were greater for DAA customers than for OP customers. As expected, the cost of packing and checking DAAs was the key cost in providing DAAs to community customers, accounting for 67% of the total weekly cost difference in providing DAAs or OPs. For OP customers, the key cost driver was the actual cost of dispensing.</w:t>
      </w:r>
    </w:p>
    <w:p w:rsidR="000F48FC" w:rsidRPr="000F48FC" w:rsidRDefault="000F48FC" w:rsidP="00AC73FE">
      <w:pPr>
        <w:pStyle w:val="Caption"/>
      </w:pPr>
      <w:bookmarkStart w:id="61" w:name="_Ref462065918"/>
      <w:bookmarkStart w:id="62" w:name="_Toc523230326"/>
      <w:r w:rsidRPr="000F48FC">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1</w:t>
      </w:r>
      <w:r w:rsidR="00964233">
        <w:rPr>
          <w:noProof/>
        </w:rPr>
        <w:fldChar w:fldCharType="end"/>
      </w:r>
      <w:bookmarkEnd w:id="61"/>
      <w:r w:rsidRPr="000F48FC">
        <w:tab/>
        <w:t>Summary of DAA and OP costs</w:t>
      </w:r>
      <w:bookmarkEnd w:id="62"/>
    </w:p>
    <w:tbl>
      <w:tblPr>
        <w:tblStyle w:val="TableGrid3"/>
        <w:tblW w:w="5000" w:type="pct"/>
        <w:tblLook w:val="04A0" w:firstRow="1" w:lastRow="0" w:firstColumn="1" w:lastColumn="0" w:noHBand="0" w:noVBand="1"/>
        <w:tblCaption w:val="Table 4.1"/>
        <w:tblDescription w:val="Summary of DAA and OP costs"/>
      </w:tblPr>
      <w:tblGrid>
        <w:gridCol w:w="3307"/>
        <w:gridCol w:w="2107"/>
        <w:gridCol w:w="2107"/>
        <w:gridCol w:w="2107"/>
      </w:tblGrid>
      <w:tr w:rsidR="000F48FC" w:rsidRPr="000F48FC" w:rsidTr="00982A19">
        <w:trPr>
          <w:cnfStyle w:val="100000000000" w:firstRow="1" w:lastRow="0" w:firstColumn="0" w:lastColumn="0" w:oddVBand="0" w:evenVBand="0" w:oddHBand="0" w:evenHBand="0" w:firstRowFirstColumn="0" w:firstRowLastColumn="0" w:lastRowFirstColumn="0" w:lastRowLastColumn="0"/>
        </w:trPr>
        <w:tc>
          <w:tcPr>
            <w:tcW w:w="1718" w:type="pct"/>
          </w:tcPr>
          <w:p w:rsidR="000F48FC" w:rsidRPr="000F48FC" w:rsidRDefault="000F48FC" w:rsidP="00AC73FE">
            <w:pPr>
              <w:keepNext/>
              <w:tabs>
                <w:tab w:val="left" w:pos="2160"/>
              </w:tabs>
              <w:spacing w:before="40" w:after="0"/>
              <w:rPr>
                <w:rFonts w:eastAsia="Calibri" w:cs="Times New Roman"/>
                <w:b/>
                <w:color w:val="FFFFFF"/>
                <w:sz w:val="18"/>
              </w:rPr>
            </w:pPr>
            <w:r w:rsidRPr="000F48FC">
              <w:rPr>
                <w:rFonts w:eastAsia="Calibri" w:cs="Times New Roman"/>
                <w:b/>
                <w:color w:val="FFFFFF"/>
                <w:sz w:val="18"/>
              </w:rPr>
              <w:t>Resource use category</w:t>
            </w:r>
          </w:p>
        </w:tc>
        <w:tc>
          <w:tcPr>
            <w:tcW w:w="1094" w:type="pct"/>
            <w:vAlign w:val="center"/>
          </w:tcPr>
          <w:p w:rsidR="000F48FC" w:rsidRPr="000F48FC" w:rsidRDefault="000F48FC" w:rsidP="00982A19">
            <w:pPr>
              <w:keepNext/>
              <w:spacing w:before="40" w:after="0"/>
              <w:jc w:val="center"/>
              <w:rPr>
                <w:rFonts w:eastAsia="Calibri" w:cs="Times New Roman"/>
                <w:b/>
                <w:color w:val="FFFFFF"/>
                <w:sz w:val="18"/>
              </w:rPr>
            </w:pPr>
            <w:r w:rsidRPr="000F48FC">
              <w:rPr>
                <w:rFonts w:eastAsia="Calibri" w:cs="Times New Roman"/>
                <w:b/>
                <w:color w:val="FFFFFF"/>
                <w:sz w:val="18"/>
              </w:rPr>
              <w:t>OP</w:t>
            </w:r>
          </w:p>
          <w:p w:rsidR="000F48FC" w:rsidRPr="000F48FC" w:rsidRDefault="000F48FC" w:rsidP="00982A19">
            <w:pPr>
              <w:keepNext/>
              <w:spacing w:before="40" w:after="0"/>
              <w:jc w:val="center"/>
              <w:rPr>
                <w:rFonts w:eastAsia="Calibri" w:cs="Times New Roman"/>
                <w:b/>
                <w:color w:val="FFFFFF"/>
                <w:sz w:val="18"/>
              </w:rPr>
            </w:pPr>
            <w:r w:rsidRPr="000F48FC">
              <w:rPr>
                <w:rFonts w:eastAsia="Calibri" w:cs="Times New Roman"/>
                <w:b/>
                <w:color w:val="FFFFFF"/>
                <w:sz w:val="18"/>
              </w:rPr>
              <w:t>Cost/week</w:t>
            </w:r>
          </w:p>
        </w:tc>
        <w:tc>
          <w:tcPr>
            <w:tcW w:w="1094" w:type="pct"/>
            <w:vAlign w:val="center"/>
          </w:tcPr>
          <w:p w:rsidR="000F48FC" w:rsidRPr="000F48FC" w:rsidRDefault="000F48FC" w:rsidP="00982A19">
            <w:pPr>
              <w:keepNext/>
              <w:spacing w:before="40" w:after="0"/>
              <w:jc w:val="center"/>
              <w:rPr>
                <w:rFonts w:eastAsia="Calibri" w:cs="Times New Roman"/>
                <w:b/>
                <w:color w:val="FFFFFF"/>
                <w:sz w:val="18"/>
              </w:rPr>
            </w:pPr>
            <w:r w:rsidRPr="000F48FC">
              <w:rPr>
                <w:rFonts w:eastAsia="Calibri" w:cs="Times New Roman"/>
                <w:b/>
                <w:color w:val="FFFFFF"/>
                <w:sz w:val="18"/>
              </w:rPr>
              <w:t>DAA</w:t>
            </w:r>
          </w:p>
          <w:p w:rsidR="000F48FC" w:rsidRPr="000F48FC" w:rsidRDefault="000F48FC" w:rsidP="00982A19">
            <w:pPr>
              <w:keepNext/>
              <w:spacing w:before="40" w:after="0"/>
              <w:jc w:val="center"/>
              <w:rPr>
                <w:rFonts w:eastAsia="Calibri" w:cs="Times New Roman"/>
                <w:b/>
                <w:color w:val="FFFFFF"/>
                <w:sz w:val="18"/>
              </w:rPr>
            </w:pPr>
            <w:r w:rsidRPr="000F48FC">
              <w:rPr>
                <w:rFonts w:eastAsia="Calibri" w:cs="Times New Roman"/>
                <w:b/>
                <w:color w:val="FFFFFF"/>
                <w:sz w:val="18"/>
              </w:rPr>
              <w:t>Cost/week</w:t>
            </w:r>
          </w:p>
        </w:tc>
        <w:tc>
          <w:tcPr>
            <w:tcW w:w="1094" w:type="pct"/>
            <w:vAlign w:val="center"/>
          </w:tcPr>
          <w:p w:rsidR="000F48FC" w:rsidRPr="000F48FC" w:rsidRDefault="000F48FC" w:rsidP="00982A19">
            <w:pPr>
              <w:keepNext/>
              <w:spacing w:before="40" w:after="0"/>
              <w:jc w:val="center"/>
              <w:rPr>
                <w:rFonts w:eastAsia="Calibri" w:cs="Times New Roman"/>
                <w:b/>
                <w:color w:val="FFFFFF"/>
                <w:sz w:val="18"/>
              </w:rPr>
            </w:pPr>
            <w:r w:rsidRPr="000F48FC">
              <w:rPr>
                <w:rFonts w:eastAsia="Calibri" w:cs="Times New Roman"/>
                <w:b/>
                <w:color w:val="FFFFFF"/>
                <w:sz w:val="18"/>
              </w:rPr>
              <w:t>Cost difference</w:t>
            </w:r>
            <w:r w:rsidRPr="000F48FC">
              <w:rPr>
                <w:rFonts w:eastAsia="Calibri" w:cs="Times New Roman"/>
                <w:b/>
                <w:color w:val="FFFFFF"/>
                <w:sz w:val="18"/>
                <w:vertAlign w:val="superscript"/>
              </w:rPr>
              <w:t>a</w:t>
            </w:r>
          </w:p>
        </w:tc>
      </w:tr>
      <w:tr w:rsidR="000F48FC" w:rsidRPr="000F48FC" w:rsidTr="00982A19">
        <w:tc>
          <w:tcPr>
            <w:tcW w:w="1718" w:type="pct"/>
          </w:tcPr>
          <w:p w:rsidR="000F48FC" w:rsidRPr="000F48FC" w:rsidRDefault="000F48FC" w:rsidP="000F48FC">
            <w:pPr>
              <w:keepNext/>
              <w:spacing w:before="20" w:after="0"/>
              <w:rPr>
                <w:rFonts w:cs="Times New Roman"/>
                <w:sz w:val="18"/>
              </w:rPr>
            </w:pPr>
            <w:r w:rsidRPr="000F48FC">
              <w:rPr>
                <w:rFonts w:cs="Times New Roman"/>
                <w:sz w:val="18"/>
              </w:rPr>
              <w:t>Prescription management by pharmacy</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$12.07</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$23.01</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$10.94</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718" w:type="pct"/>
          </w:tcPr>
          <w:p w:rsidR="000F48FC" w:rsidRPr="000F48FC" w:rsidRDefault="000F48FC" w:rsidP="000F48FC">
            <w:pPr>
              <w:keepNext/>
              <w:spacing w:before="20" w:after="0"/>
              <w:rPr>
                <w:rFonts w:cs="Times New Roman"/>
                <w:sz w:val="18"/>
              </w:rPr>
            </w:pPr>
            <w:r w:rsidRPr="000F48FC">
              <w:rPr>
                <w:rFonts w:cs="Times New Roman"/>
                <w:sz w:val="18"/>
              </w:rPr>
              <w:t>Dispensing medication</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$415.39</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$415.39</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$0.00</w:t>
            </w:r>
          </w:p>
        </w:tc>
      </w:tr>
      <w:tr w:rsidR="000F48FC" w:rsidRPr="000F48FC" w:rsidTr="00982A19">
        <w:tc>
          <w:tcPr>
            <w:tcW w:w="1718" w:type="pct"/>
          </w:tcPr>
          <w:p w:rsidR="000F48FC" w:rsidRPr="000F48FC" w:rsidRDefault="000F48FC" w:rsidP="000F48FC">
            <w:pPr>
              <w:keepNext/>
              <w:spacing w:before="20" w:after="0"/>
              <w:rPr>
                <w:rFonts w:cs="Times New Roman"/>
                <w:sz w:val="18"/>
              </w:rPr>
            </w:pPr>
            <w:r w:rsidRPr="000F48FC">
              <w:rPr>
                <w:rFonts w:cs="Times New Roman"/>
                <w:sz w:val="18"/>
              </w:rPr>
              <w:t>Packing and checking costs</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$0.00</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$354.86</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$354.86</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718" w:type="pct"/>
          </w:tcPr>
          <w:p w:rsidR="000F48FC" w:rsidRPr="000F48FC" w:rsidRDefault="000F48FC" w:rsidP="000F48FC">
            <w:pPr>
              <w:keepNext/>
              <w:spacing w:before="20" w:after="0"/>
              <w:rPr>
                <w:rFonts w:cs="Times New Roman"/>
                <w:sz w:val="18"/>
              </w:rPr>
            </w:pPr>
            <w:r w:rsidRPr="000F48FC">
              <w:rPr>
                <w:rFonts w:cs="Times New Roman"/>
                <w:sz w:val="18"/>
              </w:rPr>
              <w:t>Delivery of medication</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$15.42</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$86.93</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$71.51</w:t>
            </w:r>
          </w:p>
        </w:tc>
      </w:tr>
      <w:tr w:rsidR="000F48FC" w:rsidRPr="000F48FC" w:rsidTr="00982A19">
        <w:tc>
          <w:tcPr>
            <w:tcW w:w="1718" w:type="pct"/>
          </w:tcPr>
          <w:p w:rsidR="000F48FC" w:rsidRPr="000F48FC" w:rsidRDefault="000F48FC" w:rsidP="000F48FC">
            <w:pPr>
              <w:keepNext/>
              <w:spacing w:before="20" w:after="0"/>
              <w:rPr>
                <w:rFonts w:cs="Times New Roman"/>
                <w:sz w:val="18"/>
              </w:rPr>
            </w:pPr>
            <w:r w:rsidRPr="000F48FC">
              <w:rPr>
                <w:rFonts w:cs="Times New Roman"/>
                <w:sz w:val="18"/>
              </w:rPr>
              <w:t>Counselling</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$4.73</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$4.89</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$0.15</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718" w:type="pct"/>
          </w:tcPr>
          <w:p w:rsidR="000F48FC" w:rsidRPr="000F48FC" w:rsidRDefault="000F48FC" w:rsidP="000F48FC">
            <w:pPr>
              <w:keepNext/>
              <w:spacing w:before="20" w:after="0"/>
              <w:rPr>
                <w:rFonts w:cs="Times New Roman"/>
                <w:sz w:val="18"/>
              </w:rPr>
            </w:pPr>
            <w:r w:rsidRPr="000F48FC">
              <w:rPr>
                <w:rFonts w:cs="Times New Roman"/>
                <w:sz w:val="18"/>
              </w:rPr>
              <w:t>Account management</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$7.14</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$19.32</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$12.19</w:t>
            </w:r>
          </w:p>
        </w:tc>
      </w:tr>
      <w:tr w:rsidR="000F48FC" w:rsidRPr="000F48FC" w:rsidTr="00982A19">
        <w:tc>
          <w:tcPr>
            <w:tcW w:w="1718" w:type="pct"/>
          </w:tcPr>
          <w:p w:rsidR="000F48FC" w:rsidRPr="000F48FC" w:rsidRDefault="000F48FC" w:rsidP="000F48FC">
            <w:pPr>
              <w:keepNext/>
              <w:spacing w:before="20" w:after="0"/>
              <w:rPr>
                <w:rFonts w:cs="Times New Roman"/>
                <w:sz w:val="18"/>
              </w:rPr>
            </w:pPr>
            <w:r w:rsidRPr="000F48FC">
              <w:rPr>
                <w:rFonts w:cs="Times New Roman"/>
                <w:sz w:val="18"/>
              </w:rPr>
              <w:t>Additional costs</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$89.13</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$168.10</w:t>
            </w:r>
          </w:p>
        </w:tc>
        <w:tc>
          <w:tcPr>
            <w:tcW w:w="1094" w:type="pct"/>
          </w:tcPr>
          <w:p w:rsidR="000F48FC" w:rsidRPr="000F48FC" w:rsidRDefault="000F48FC" w:rsidP="000F48FC">
            <w:pPr>
              <w:keepNext/>
              <w:spacing w:before="20" w:after="0"/>
              <w:jc w:val="right"/>
              <w:rPr>
                <w:rFonts w:cs="Times New Roman"/>
                <w:sz w:val="18"/>
              </w:rPr>
            </w:pPr>
            <w:r w:rsidRPr="000F48FC">
              <w:rPr>
                <w:rFonts w:cs="Times New Roman"/>
                <w:sz w:val="18"/>
              </w:rPr>
              <w:t>$78.97</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718" w:type="pct"/>
          </w:tcPr>
          <w:p w:rsidR="000F48FC" w:rsidRPr="00AC73FE" w:rsidRDefault="000F48FC" w:rsidP="000F48FC">
            <w:pPr>
              <w:keepNext/>
              <w:spacing w:before="20" w:after="0"/>
              <w:rPr>
                <w:rFonts w:cs="Times New Roman"/>
                <w:b/>
                <w:sz w:val="18"/>
              </w:rPr>
            </w:pPr>
            <w:r w:rsidRPr="00AC73FE">
              <w:rPr>
                <w:rFonts w:cs="Times New Roman"/>
                <w:b/>
                <w:sz w:val="18"/>
              </w:rPr>
              <w:t>Total for 30 customers</w:t>
            </w:r>
          </w:p>
        </w:tc>
        <w:tc>
          <w:tcPr>
            <w:tcW w:w="1094" w:type="pct"/>
          </w:tcPr>
          <w:p w:rsidR="000F48FC" w:rsidRPr="000F48FC" w:rsidRDefault="000F48FC" w:rsidP="000F48FC">
            <w:pPr>
              <w:keepNext/>
              <w:spacing w:before="20" w:after="0"/>
              <w:jc w:val="right"/>
              <w:rPr>
                <w:rFonts w:cs="Times New Roman"/>
                <w:b/>
                <w:sz w:val="18"/>
              </w:rPr>
            </w:pPr>
            <w:r w:rsidRPr="000F48FC">
              <w:rPr>
                <w:rFonts w:cs="Times New Roman"/>
                <w:b/>
                <w:sz w:val="18"/>
              </w:rPr>
              <w:t>$543.88</w:t>
            </w:r>
          </w:p>
        </w:tc>
        <w:tc>
          <w:tcPr>
            <w:tcW w:w="1094" w:type="pct"/>
          </w:tcPr>
          <w:p w:rsidR="000F48FC" w:rsidRPr="000F48FC" w:rsidRDefault="000F48FC" w:rsidP="000F48FC">
            <w:pPr>
              <w:keepNext/>
              <w:spacing w:before="20" w:after="0"/>
              <w:jc w:val="right"/>
              <w:rPr>
                <w:rFonts w:cs="Times New Roman"/>
                <w:b/>
                <w:sz w:val="18"/>
              </w:rPr>
            </w:pPr>
            <w:r w:rsidRPr="000F48FC">
              <w:rPr>
                <w:rFonts w:cs="Times New Roman"/>
                <w:b/>
                <w:sz w:val="18"/>
              </w:rPr>
              <w:t>$1,072.50</w:t>
            </w:r>
          </w:p>
        </w:tc>
        <w:tc>
          <w:tcPr>
            <w:tcW w:w="1094" w:type="pct"/>
          </w:tcPr>
          <w:p w:rsidR="000F48FC" w:rsidRPr="000F48FC" w:rsidRDefault="000F48FC" w:rsidP="000F48FC">
            <w:pPr>
              <w:keepNext/>
              <w:spacing w:before="20" w:after="0"/>
              <w:jc w:val="right"/>
              <w:rPr>
                <w:rFonts w:cs="Times New Roman"/>
                <w:b/>
                <w:sz w:val="18"/>
              </w:rPr>
            </w:pPr>
            <w:r w:rsidRPr="000F48FC">
              <w:rPr>
                <w:rFonts w:cs="Times New Roman"/>
                <w:b/>
                <w:sz w:val="18"/>
              </w:rPr>
              <w:t>$528.61</w:t>
            </w:r>
          </w:p>
        </w:tc>
      </w:tr>
      <w:tr w:rsidR="000F48FC" w:rsidRPr="000F48FC" w:rsidTr="00982A19">
        <w:tc>
          <w:tcPr>
            <w:tcW w:w="1718" w:type="pct"/>
          </w:tcPr>
          <w:p w:rsidR="000F48FC" w:rsidRPr="000F48FC" w:rsidRDefault="000F48FC" w:rsidP="000F48FC">
            <w:pPr>
              <w:keepNext/>
              <w:spacing w:before="20" w:after="0"/>
              <w:rPr>
                <w:rFonts w:cs="Times New Roman"/>
                <w:sz w:val="18"/>
              </w:rPr>
            </w:pPr>
            <w:r w:rsidRPr="000F48FC">
              <w:rPr>
                <w:rFonts w:cs="Times New Roman"/>
                <w:b/>
                <w:sz w:val="18"/>
              </w:rPr>
              <w:t>Total cost per customer</w:t>
            </w:r>
          </w:p>
        </w:tc>
        <w:tc>
          <w:tcPr>
            <w:tcW w:w="1094" w:type="pct"/>
          </w:tcPr>
          <w:p w:rsidR="000F48FC" w:rsidRPr="000F48FC" w:rsidRDefault="000F48FC" w:rsidP="000F48FC">
            <w:pPr>
              <w:keepNext/>
              <w:spacing w:before="20" w:after="0"/>
              <w:jc w:val="right"/>
              <w:rPr>
                <w:rFonts w:cs="Times New Roman"/>
                <w:b/>
                <w:sz w:val="18"/>
              </w:rPr>
            </w:pPr>
            <w:r w:rsidRPr="000F48FC">
              <w:rPr>
                <w:rFonts w:cs="Times New Roman"/>
                <w:b/>
                <w:sz w:val="18"/>
              </w:rPr>
              <w:t>$18.13</w:t>
            </w:r>
          </w:p>
        </w:tc>
        <w:tc>
          <w:tcPr>
            <w:tcW w:w="1094" w:type="pct"/>
          </w:tcPr>
          <w:p w:rsidR="000F48FC" w:rsidRPr="000F48FC" w:rsidRDefault="000F48FC" w:rsidP="000F48FC">
            <w:pPr>
              <w:keepNext/>
              <w:spacing w:before="20" w:after="0"/>
              <w:jc w:val="right"/>
              <w:rPr>
                <w:rFonts w:cs="Times New Roman"/>
                <w:b/>
                <w:sz w:val="18"/>
              </w:rPr>
            </w:pPr>
            <w:r w:rsidRPr="000F48FC">
              <w:rPr>
                <w:rFonts w:cs="Times New Roman"/>
                <w:b/>
                <w:sz w:val="18"/>
              </w:rPr>
              <w:t>$35.75</w:t>
            </w:r>
          </w:p>
        </w:tc>
        <w:tc>
          <w:tcPr>
            <w:tcW w:w="1094" w:type="pct"/>
          </w:tcPr>
          <w:p w:rsidR="000F48FC" w:rsidRPr="000F48FC" w:rsidRDefault="000F48FC" w:rsidP="000F48FC">
            <w:pPr>
              <w:keepNext/>
              <w:spacing w:before="20" w:after="0"/>
              <w:jc w:val="right"/>
              <w:rPr>
                <w:rFonts w:cs="Times New Roman"/>
                <w:b/>
                <w:sz w:val="18"/>
              </w:rPr>
            </w:pPr>
            <w:r w:rsidRPr="000F48FC">
              <w:rPr>
                <w:rFonts w:cs="Times New Roman"/>
                <w:b/>
                <w:sz w:val="18"/>
              </w:rPr>
              <w:t>$17.62</w:t>
            </w:r>
          </w:p>
        </w:tc>
      </w:tr>
    </w:tbl>
    <w:p w:rsidR="000F48FC" w:rsidRPr="000F48FC" w:rsidRDefault="000F48FC" w:rsidP="00AC73FE">
      <w:pPr>
        <w:pStyle w:val="08Tablefootnotes"/>
      </w:pPr>
      <w:r w:rsidRPr="000F48FC">
        <w:t>Source: Phase 1 and 2 Final Report (2004), Table 9.14, p. 184; Phase 3 Final Report (2006), Table 9.1, p. 209</w:t>
      </w:r>
    </w:p>
    <w:p w:rsidR="000F48FC" w:rsidRPr="000F48FC" w:rsidRDefault="000F48FC" w:rsidP="00AC73FE">
      <w:pPr>
        <w:pStyle w:val="08Tablefootnotes"/>
      </w:pPr>
      <w:r w:rsidRPr="000F48FC">
        <w:t>Abbreviations: DAA, Dose Administration Aid; OP, original pack</w:t>
      </w:r>
    </w:p>
    <w:p w:rsidR="000F48FC" w:rsidRPr="000F48FC" w:rsidRDefault="000F48FC" w:rsidP="00AC73FE">
      <w:pPr>
        <w:pStyle w:val="09Tablefootnoteslast-nostick"/>
      </w:pPr>
      <w:r w:rsidRPr="000F48FC">
        <w:rPr>
          <w:b/>
        </w:rPr>
        <w:t>a</w:t>
      </w:r>
      <w:r w:rsidRPr="000F48FC">
        <w:t xml:space="preserve"> Cost per week for DAA minus cost per week for OP.</w:t>
      </w:r>
    </w:p>
    <w:p w:rsidR="000F48FC" w:rsidRPr="000F48FC" w:rsidRDefault="000F48FC" w:rsidP="00AC73FE">
      <w:pPr>
        <w:pStyle w:val="BodyText"/>
      </w:pPr>
      <w:r w:rsidRPr="000F48FC">
        <w:lastRenderedPageBreak/>
        <w:t>Sensitivity analyses showed that the incremental cost of a DAA (the cost per DAA customer minus the cost per OP customer) ranged between $12.57 and $29.27 depending on variations in packing time, the type of pack used, who packs, and the level of additional services provided. For example, Dosetts were more expensive to prepare per customer per week ($29.27) than blister packs ($16.93) and automated packing ($17.48), due to longer packing times and the greater likelihood of the pharmacist doing the packing. Automated were more expensive than blister due to increased equipment</w:t>
      </w:r>
      <w:r w:rsidR="00B34BF2">
        <w:t xml:space="preserve"> costs that is likely to be off</w:t>
      </w:r>
      <w:r w:rsidRPr="000F48FC">
        <w:t xml:space="preserve">set with larger volume DAA supply. The cost difference </w:t>
      </w:r>
      <w:r w:rsidR="00B34BF2">
        <w:t>between DAAs and OPs also varied</w:t>
      </w:r>
      <w:r w:rsidRPr="000F48FC">
        <w:t xml:space="preserve"> depending on whether a packing and checking DAA service is provided ($12.57) or a full DAA service that includes prescription and a</w:t>
      </w:r>
      <w:r w:rsidR="00B34BF2">
        <w:t>ccount management, and delivery</w:t>
      </w:r>
      <w:r w:rsidRPr="000F48FC">
        <w:t xml:space="preserve"> ($20.05).</w:t>
      </w:r>
    </w:p>
    <w:p w:rsidR="000F48FC" w:rsidRPr="000F48FC" w:rsidRDefault="000F48FC" w:rsidP="00AC73FE">
      <w:pPr>
        <w:pStyle w:val="BodyText"/>
      </w:pPr>
      <w:r w:rsidRPr="000F48FC">
        <w:t>The model was also sensitive to variations in the number of customers and/or number of medicines. When compared with the base model of 30 customers per week, and keeping the number of medicines constant (at eight medicines), providing DAAs to 10 customers costs $4.68 more per customer per week ($22.30 vs $17.62). The cost per DAA is minimised when a greater number of customers are using a smaller number of medicines (e.g. 120 customers using four medicines costs $13.57 per customer per week); conversely, higher costs per customer are likely when a pharmacy supplies a small number of customers using a large number of medicines (e.g. 10 customers using 12 medicines costs $25.40 per customer per week).</w:t>
      </w:r>
    </w:p>
    <w:p w:rsidR="000F48FC" w:rsidRPr="000F48FC" w:rsidRDefault="000F48FC" w:rsidP="007F0770">
      <w:pPr>
        <w:pStyle w:val="Heading3"/>
      </w:pPr>
      <w:bookmarkStart w:id="63" w:name="_Toc523230284"/>
      <w:r w:rsidRPr="000F48FC">
        <w:t>Cost-effectiveness of DAA services</w:t>
      </w:r>
      <w:bookmarkEnd w:id="63"/>
    </w:p>
    <w:p w:rsidR="00E91FDA" w:rsidRPr="00E91FDA" w:rsidRDefault="00E91FDA" w:rsidP="00E91FDA">
      <w:pPr>
        <w:pStyle w:val="BodyText"/>
        <w:rPr>
          <w:rStyle w:val="BodyTextChar"/>
        </w:rPr>
      </w:pPr>
      <w:r w:rsidRPr="00E91FDA">
        <w:t xml:space="preserve">The Phase 2 Final Report (2004) concluded that “at present DAAs are not cost-effective in the community setting.  This is largely because the provision of DAAs by pharmacy is a labour-intensive and costly exercise.  Sensitivity analysis, however, suggests the </w:t>
      </w:r>
      <w:r w:rsidRPr="00E91FDA">
        <w:rPr>
          <w:rStyle w:val="BodyTextChar"/>
        </w:rPr>
        <w:t xml:space="preserve">potential for delivery of a cost-effective DAA service if the magnitude of the benefits and the efficiency of the service provision were greater.  The collection of additional outcome and service use data, including follow-up of community patients who participated in the study may provide an alternative view on cost-effectiveness.”  In the RCF setting the authors concluded that “the use of DAAs in the RCF setting is cost-effective. When the costs of providing medicines to residents using DAAs from the pharmacist and the RCF perspective are summed and compared with the costs for providing OPs, DAA are the lower cost alternative.”  Subsequent to the 2004 Report, the Phase 3 work involved not only developing but implementing </w:t>
      </w:r>
      <w:r>
        <w:rPr>
          <w:rStyle w:val="BodyTextChar"/>
        </w:rPr>
        <w:t>b</w:t>
      </w:r>
      <w:r w:rsidRPr="00E91FDA">
        <w:t>est practice models and tools to facilitate improvements in the way DAAs are used in the RCF and community settings and then undertak</w:t>
      </w:r>
      <w:r>
        <w:t>ing</w:t>
      </w:r>
      <w:r w:rsidRPr="00E91FDA">
        <w:t xml:space="preserve"> a more sophisticated methodology to re-examine the cost-effectiveness of DAAs in the community setting.</w:t>
      </w:r>
    </w:p>
    <w:p w:rsidR="000F48FC" w:rsidRPr="000F48FC" w:rsidRDefault="000F48FC" w:rsidP="00AC73FE">
      <w:pPr>
        <w:pStyle w:val="BodyText"/>
      </w:pPr>
      <w:r w:rsidRPr="000F48FC">
        <w:rPr>
          <w:szCs w:val="24"/>
        </w:rPr>
        <w:fldChar w:fldCharType="begin"/>
      </w:r>
      <w:r w:rsidRPr="000F48FC">
        <w:rPr>
          <w:szCs w:val="24"/>
        </w:rPr>
        <w:instrText xml:space="preserve"> REF _Ref462067446 \h  \* MERGEFORMAT </w:instrText>
      </w:r>
      <w:r w:rsidRPr="000F48FC">
        <w:rPr>
          <w:szCs w:val="24"/>
        </w:rPr>
      </w:r>
      <w:r w:rsidRPr="000F48FC">
        <w:rPr>
          <w:szCs w:val="24"/>
        </w:rPr>
        <w:fldChar w:fldCharType="separate"/>
      </w:r>
      <w:r w:rsidR="00964233" w:rsidRPr="00964233">
        <w:rPr>
          <w:iCs/>
          <w:szCs w:val="24"/>
        </w:rPr>
        <w:t xml:space="preserve">Table </w:t>
      </w:r>
      <w:r w:rsidR="00964233" w:rsidRPr="00964233">
        <w:rPr>
          <w:iCs/>
          <w:noProof/>
          <w:szCs w:val="24"/>
        </w:rPr>
        <w:t>4.2</w:t>
      </w:r>
      <w:r w:rsidRPr="000F48FC">
        <w:rPr>
          <w:szCs w:val="24"/>
        </w:rPr>
        <w:fldChar w:fldCharType="end"/>
      </w:r>
      <w:r w:rsidRPr="000F48FC">
        <w:t xml:space="preserve"> shows the results of the cost-effectiveness analysis (CEA)</w:t>
      </w:r>
      <w:r w:rsidR="00414389">
        <w:t xml:space="preserve"> presented in the Phase 3 report</w:t>
      </w:r>
      <w:r w:rsidRPr="000F48FC">
        <w:t xml:space="preserve">, interpreted as the additional cost to prevent one </w:t>
      </w:r>
      <w:r w:rsidR="00E83CB8">
        <w:t>adverse drug reaction (</w:t>
      </w:r>
      <w:r w:rsidRPr="000F48FC">
        <w:t>ADR</w:t>
      </w:r>
      <w:r w:rsidR="00E83CB8">
        <w:t>)</w:t>
      </w:r>
      <w:r w:rsidRPr="000F48FC">
        <w:t xml:space="preserve"> and to avoid one death using DAA, based on 30 community customers receiving DAA versus those receiving OPs over one year.</w:t>
      </w:r>
      <w:r w:rsidR="00414389">
        <w:t xml:space="preserve"> </w:t>
      </w:r>
      <w:r w:rsidRPr="000F48FC">
        <w:t xml:space="preserve"> The incremental cost effectiveness ratio (ICER) using the first outcome measure was estimated to be $9,163. </w:t>
      </w:r>
      <w:r w:rsidR="00414389">
        <w:t xml:space="preserve"> </w:t>
      </w:r>
      <w:r w:rsidRPr="000F48FC">
        <w:t>The ICER/life year gained</w:t>
      </w:r>
      <w:r w:rsidR="00DC1BE1">
        <w:t xml:space="preserve"> was estimated to be $16,362</w:t>
      </w:r>
      <w:r w:rsidRPr="000F48FC">
        <w:t xml:space="preserve">. </w:t>
      </w:r>
    </w:p>
    <w:p w:rsidR="000F48FC" w:rsidRPr="000F48FC" w:rsidRDefault="000F48FC" w:rsidP="00AC73FE">
      <w:pPr>
        <w:pStyle w:val="BodyText"/>
      </w:pPr>
      <w:r w:rsidRPr="000F48FC">
        <w:t xml:space="preserve">Of note, the rate of ADRs was lower in both Phase 2 and Phase 3 for the DAA sample compared to the OP group. </w:t>
      </w:r>
      <w:r w:rsidR="00414389">
        <w:t xml:space="preserve"> </w:t>
      </w:r>
      <w:r w:rsidRPr="000F48FC">
        <w:t>In Phase 2, 48% and 33% of OP and DAA patients, respe</w:t>
      </w:r>
      <w:r w:rsidR="0055178A">
        <w:t xml:space="preserve">ctively, suffered from an ADR (P </w:t>
      </w:r>
      <w:r w:rsidRPr="000F48FC">
        <w:t xml:space="preserve">=0.007). </w:t>
      </w:r>
      <w:r w:rsidR="00414389">
        <w:t xml:space="preserve"> </w:t>
      </w:r>
      <w:r w:rsidRPr="000F48FC">
        <w:t>In Phase 3, the corresponding</w:t>
      </w:r>
      <w:r w:rsidR="0055178A">
        <w:t xml:space="preserve"> proportions were 32% and 22% (P </w:t>
      </w:r>
      <w:r w:rsidRPr="000F48FC">
        <w:t xml:space="preserve">=0.147). </w:t>
      </w:r>
      <w:r w:rsidR="00414389">
        <w:t xml:space="preserve"> </w:t>
      </w:r>
      <w:r w:rsidRPr="000F48FC">
        <w:t>This apparent improvement is due in part to the greater proportion of ADR experienced by people who had exited the study by Phase 3.</w:t>
      </w:r>
    </w:p>
    <w:p w:rsidR="000F48FC" w:rsidRPr="000F48FC" w:rsidRDefault="000F48FC" w:rsidP="00AC73FE">
      <w:pPr>
        <w:pStyle w:val="Caption"/>
      </w:pPr>
      <w:bookmarkStart w:id="64" w:name="_Ref462067446"/>
      <w:bookmarkStart w:id="65" w:name="_Toc523230327"/>
      <w:r w:rsidRPr="000F48FC">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2</w:t>
      </w:r>
      <w:r w:rsidR="00964233">
        <w:rPr>
          <w:noProof/>
        </w:rPr>
        <w:fldChar w:fldCharType="end"/>
      </w:r>
      <w:bookmarkEnd w:id="64"/>
      <w:r w:rsidRPr="000F48FC">
        <w:tab/>
        <w:t>Results of cost-effectiveness analysis comparing 30 DAAs customers to 30 OP customers based on the frequency of ADRs and deaths avoided</w:t>
      </w:r>
      <w:bookmarkEnd w:id="65"/>
    </w:p>
    <w:tbl>
      <w:tblPr>
        <w:tblStyle w:val="TableGrid3"/>
        <w:tblW w:w="5000" w:type="pct"/>
        <w:tblLook w:val="04A0" w:firstRow="1" w:lastRow="0" w:firstColumn="1" w:lastColumn="0" w:noHBand="0" w:noVBand="1"/>
        <w:tblCaption w:val="Table 4.2"/>
        <w:tblDescription w:val="Results of cost-effectiveness analysis comparing 30 DAAs customers to 30 OP customers based on the frequency of ADRs and deaths avoided"/>
      </w:tblPr>
      <w:tblGrid>
        <w:gridCol w:w="1925"/>
        <w:gridCol w:w="1925"/>
        <w:gridCol w:w="1926"/>
        <w:gridCol w:w="1926"/>
        <w:gridCol w:w="1926"/>
      </w:tblGrid>
      <w:tr w:rsidR="000F48FC" w:rsidRPr="000F48FC" w:rsidTr="00982A19">
        <w:trPr>
          <w:cnfStyle w:val="100000000000" w:firstRow="1" w:lastRow="0" w:firstColumn="0" w:lastColumn="0" w:oddVBand="0" w:evenVBand="0" w:oddHBand="0" w:evenHBand="0" w:firstRowFirstColumn="0" w:firstRowLastColumn="0" w:lastRowFirstColumn="0" w:lastRowLastColumn="0"/>
        </w:trPr>
        <w:tc>
          <w:tcPr>
            <w:tcW w:w="1000"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Outcome measure</w:t>
            </w:r>
          </w:p>
        </w:tc>
        <w:tc>
          <w:tcPr>
            <w:tcW w:w="1000" w:type="pct"/>
          </w:tcPr>
          <w:p w:rsidR="000F48FC" w:rsidRPr="000F48FC" w:rsidRDefault="000F48FC" w:rsidP="000F48FC">
            <w:pPr>
              <w:keepNext/>
              <w:spacing w:before="40" w:after="0"/>
              <w:jc w:val="center"/>
              <w:rPr>
                <w:rFonts w:eastAsia="Calibri" w:cs="Times New Roman"/>
                <w:b/>
                <w:color w:val="FFFFFF"/>
                <w:sz w:val="18"/>
              </w:rPr>
            </w:pPr>
            <w:r w:rsidRPr="000F48FC">
              <w:rPr>
                <w:rFonts w:eastAsia="Calibri" w:cs="Times New Roman"/>
                <w:b/>
                <w:color w:val="FFFFFF"/>
                <w:sz w:val="18"/>
              </w:rPr>
              <w:t>Percent of customers</w:t>
            </w:r>
          </w:p>
          <w:p w:rsidR="000F48FC" w:rsidRPr="000F48FC" w:rsidRDefault="000F48FC" w:rsidP="000F48FC">
            <w:pPr>
              <w:keepNext/>
              <w:spacing w:before="40" w:after="0"/>
              <w:jc w:val="center"/>
              <w:rPr>
                <w:rFonts w:eastAsia="Calibri" w:cs="Times New Roman"/>
                <w:b/>
                <w:color w:val="FFFFFF"/>
                <w:sz w:val="18"/>
              </w:rPr>
            </w:pPr>
            <w:r w:rsidRPr="000F48FC">
              <w:rPr>
                <w:rFonts w:eastAsia="Calibri" w:cs="Times New Roman"/>
                <w:b/>
                <w:color w:val="FFFFFF"/>
                <w:sz w:val="18"/>
              </w:rPr>
              <w:t>achieving outcome</w:t>
            </w:r>
          </w:p>
        </w:tc>
        <w:tc>
          <w:tcPr>
            <w:tcW w:w="1000" w:type="pct"/>
          </w:tcPr>
          <w:p w:rsidR="000F48FC" w:rsidRPr="000F48FC" w:rsidRDefault="000F48FC" w:rsidP="000F48FC">
            <w:pPr>
              <w:keepNext/>
              <w:spacing w:before="40" w:after="0"/>
              <w:jc w:val="center"/>
              <w:rPr>
                <w:rFonts w:eastAsia="Calibri" w:cs="Times New Roman"/>
                <w:b/>
                <w:color w:val="FFFFFF"/>
                <w:sz w:val="18"/>
              </w:rPr>
            </w:pPr>
            <w:r w:rsidRPr="000F48FC">
              <w:rPr>
                <w:rFonts w:eastAsia="Calibri" w:cs="Times New Roman"/>
                <w:b/>
                <w:color w:val="FFFFFF"/>
                <w:sz w:val="18"/>
              </w:rPr>
              <w:t>Number of customers achieving outcome</w:t>
            </w:r>
          </w:p>
        </w:tc>
        <w:tc>
          <w:tcPr>
            <w:tcW w:w="1000" w:type="pct"/>
          </w:tcPr>
          <w:p w:rsidR="000F48FC" w:rsidRPr="000F48FC" w:rsidRDefault="000F48FC" w:rsidP="000F48FC">
            <w:pPr>
              <w:keepNext/>
              <w:spacing w:before="40" w:after="0"/>
              <w:jc w:val="center"/>
              <w:rPr>
                <w:rFonts w:eastAsia="Calibri" w:cs="Times New Roman"/>
                <w:b/>
                <w:color w:val="FFFFFF"/>
                <w:sz w:val="18"/>
              </w:rPr>
            </w:pPr>
            <w:r w:rsidRPr="000F48FC">
              <w:rPr>
                <w:rFonts w:eastAsia="Calibri" w:cs="Times New Roman"/>
                <w:b/>
                <w:color w:val="FFFFFF"/>
                <w:sz w:val="18"/>
              </w:rPr>
              <w:t>Total cost of alternatives</w:t>
            </w:r>
          </w:p>
        </w:tc>
        <w:tc>
          <w:tcPr>
            <w:tcW w:w="1000" w:type="pct"/>
            <w:tcBorders>
              <w:bottom w:val="single" w:sz="4" w:space="0" w:color="auto"/>
            </w:tcBorders>
          </w:tcPr>
          <w:p w:rsidR="000F48FC" w:rsidRPr="000F48FC" w:rsidRDefault="000F48FC" w:rsidP="000F48FC">
            <w:pPr>
              <w:keepNext/>
              <w:spacing w:before="40" w:after="0"/>
              <w:jc w:val="center"/>
              <w:rPr>
                <w:rFonts w:eastAsia="Calibri" w:cs="Times New Roman"/>
                <w:b/>
                <w:color w:val="FFFFFF"/>
                <w:sz w:val="18"/>
              </w:rPr>
            </w:pPr>
            <w:r w:rsidRPr="000F48FC">
              <w:rPr>
                <w:rFonts w:eastAsia="Calibri" w:cs="Times New Roman"/>
                <w:b/>
                <w:color w:val="FFFFFF"/>
                <w:sz w:val="18"/>
              </w:rPr>
              <w:t>Cost/event avoided</w:t>
            </w:r>
          </w:p>
        </w:tc>
      </w:tr>
      <w:tr w:rsidR="000F48FC" w:rsidRPr="000F48FC" w:rsidTr="00982A19">
        <w:tc>
          <w:tcPr>
            <w:tcW w:w="1000" w:type="pct"/>
          </w:tcPr>
          <w:p w:rsidR="000F48FC" w:rsidRPr="000F48FC" w:rsidRDefault="000F48FC" w:rsidP="000F48FC">
            <w:pPr>
              <w:keepNext/>
              <w:spacing w:before="20" w:after="0"/>
              <w:rPr>
                <w:rFonts w:cs="Times New Roman"/>
                <w:sz w:val="18"/>
              </w:rPr>
            </w:pPr>
            <w:r w:rsidRPr="000F48FC">
              <w:rPr>
                <w:rFonts w:cs="Times New Roman"/>
                <w:sz w:val="18"/>
              </w:rPr>
              <w:t>No ADR for OP</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68.2%</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20.5</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$28,281.93</w:t>
            </w:r>
          </w:p>
        </w:tc>
        <w:tc>
          <w:tcPr>
            <w:tcW w:w="1000" w:type="pct"/>
            <w:tcBorders>
              <w:bottom w:val="nil"/>
            </w:tcBorders>
          </w:tcPr>
          <w:p w:rsidR="000F48FC" w:rsidRPr="000F48FC" w:rsidRDefault="000F48FC" w:rsidP="000F48FC">
            <w:pPr>
              <w:keepNext/>
              <w:spacing w:before="20" w:after="0"/>
              <w:jc w:val="right"/>
              <w:rPr>
                <w:rFonts w:cs="Times New Roman"/>
                <w:sz w:val="18"/>
              </w:rPr>
            </w:pPr>
            <w:r w:rsidRPr="000F48FC">
              <w:rPr>
                <w:rFonts w:cs="Times New Roman"/>
                <w:sz w:val="18"/>
              </w:rPr>
              <w:t>$9,162.65</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000" w:type="pct"/>
          </w:tcPr>
          <w:p w:rsidR="000F48FC" w:rsidRPr="000F48FC" w:rsidRDefault="000F48FC" w:rsidP="000F48FC">
            <w:pPr>
              <w:keepNext/>
              <w:spacing w:before="20" w:after="0"/>
              <w:rPr>
                <w:rFonts w:cs="Times New Roman"/>
                <w:sz w:val="18"/>
              </w:rPr>
            </w:pPr>
            <w:r w:rsidRPr="000F48FC">
              <w:rPr>
                <w:rFonts w:cs="Times New Roman"/>
                <w:sz w:val="18"/>
              </w:rPr>
              <w:t>No ADR for DAA</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78.2%</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23.5</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$55,769.87</w:t>
            </w:r>
          </w:p>
        </w:tc>
        <w:tc>
          <w:tcPr>
            <w:tcW w:w="1000" w:type="pct"/>
            <w:tcBorders>
              <w:top w:val="nil"/>
              <w:bottom w:val="nil"/>
            </w:tcBorders>
          </w:tcPr>
          <w:p w:rsidR="000F48FC" w:rsidRPr="000F48FC" w:rsidRDefault="000F48FC" w:rsidP="000F48FC">
            <w:pPr>
              <w:keepNext/>
              <w:spacing w:before="20" w:after="0"/>
              <w:jc w:val="right"/>
              <w:rPr>
                <w:rFonts w:cs="Times New Roman"/>
                <w:sz w:val="18"/>
              </w:rPr>
            </w:pPr>
          </w:p>
        </w:tc>
      </w:tr>
      <w:tr w:rsidR="000F48FC" w:rsidRPr="000F48FC" w:rsidTr="00982A19">
        <w:tc>
          <w:tcPr>
            <w:tcW w:w="1000" w:type="pct"/>
          </w:tcPr>
          <w:p w:rsidR="000F48FC" w:rsidRPr="00AC73FE" w:rsidRDefault="000F48FC" w:rsidP="000F48FC">
            <w:pPr>
              <w:keepNext/>
              <w:spacing w:before="20" w:after="0"/>
              <w:rPr>
                <w:rFonts w:cs="Times New Roman"/>
                <w:b/>
                <w:sz w:val="18"/>
              </w:rPr>
            </w:pPr>
            <w:r w:rsidRPr="00AC73FE">
              <w:rPr>
                <w:rFonts w:cs="Times New Roman"/>
                <w:b/>
                <w:sz w:val="18"/>
              </w:rPr>
              <w:t>Difference</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-10%</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4.56</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$27,487.94</w:t>
            </w:r>
          </w:p>
        </w:tc>
        <w:tc>
          <w:tcPr>
            <w:tcW w:w="1000" w:type="pct"/>
            <w:tcBorders>
              <w:top w:val="nil"/>
              <w:bottom w:val="single" w:sz="4" w:space="0" w:color="auto"/>
            </w:tcBorders>
          </w:tcPr>
          <w:p w:rsidR="000F48FC" w:rsidRPr="000F48FC" w:rsidRDefault="000F48FC" w:rsidP="000F48FC">
            <w:pPr>
              <w:keepNext/>
              <w:spacing w:before="20" w:after="0"/>
              <w:jc w:val="right"/>
              <w:rPr>
                <w:rFonts w:cs="Times New Roman"/>
                <w:sz w:val="18"/>
              </w:rPr>
            </w:pP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000" w:type="pct"/>
          </w:tcPr>
          <w:p w:rsidR="000F48FC" w:rsidRPr="000F48FC" w:rsidRDefault="000F48FC" w:rsidP="000F48FC">
            <w:pPr>
              <w:keepNext/>
              <w:spacing w:before="20" w:after="0"/>
              <w:rPr>
                <w:rFonts w:cs="Times New Roman"/>
                <w:sz w:val="18"/>
              </w:rPr>
            </w:pPr>
            <w:r w:rsidRPr="000F48FC">
              <w:rPr>
                <w:rFonts w:cs="Times New Roman"/>
                <w:sz w:val="18"/>
              </w:rPr>
              <w:t>Deaths/year OPs</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4.6%</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1.4</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$28,281.93</w:t>
            </w:r>
          </w:p>
        </w:tc>
        <w:tc>
          <w:tcPr>
            <w:tcW w:w="1000" w:type="pct"/>
            <w:tcBorders>
              <w:top w:val="single" w:sz="4" w:space="0" w:color="auto"/>
              <w:bottom w:val="nil"/>
            </w:tcBorders>
          </w:tcPr>
          <w:p w:rsidR="000F48FC" w:rsidRPr="000F48FC" w:rsidRDefault="000F48FC" w:rsidP="000F48FC">
            <w:pPr>
              <w:keepNext/>
              <w:spacing w:before="20" w:after="0"/>
              <w:jc w:val="right"/>
              <w:rPr>
                <w:rFonts w:cs="Times New Roman"/>
                <w:sz w:val="18"/>
              </w:rPr>
            </w:pPr>
            <w:r w:rsidRPr="000F48FC">
              <w:rPr>
                <w:rFonts w:cs="Times New Roman"/>
                <w:sz w:val="18"/>
              </w:rPr>
              <w:t>$16,361.87</w:t>
            </w:r>
          </w:p>
        </w:tc>
      </w:tr>
      <w:tr w:rsidR="000F48FC" w:rsidRPr="000F48FC" w:rsidTr="00982A19">
        <w:tc>
          <w:tcPr>
            <w:tcW w:w="1000" w:type="pct"/>
          </w:tcPr>
          <w:p w:rsidR="000F48FC" w:rsidRPr="000F48FC" w:rsidRDefault="000F48FC" w:rsidP="000F48FC">
            <w:pPr>
              <w:keepNext/>
              <w:spacing w:before="20" w:after="0"/>
              <w:rPr>
                <w:rFonts w:cs="Times New Roman"/>
                <w:sz w:val="18"/>
              </w:rPr>
            </w:pPr>
            <w:r w:rsidRPr="000F48FC">
              <w:rPr>
                <w:rFonts w:cs="Times New Roman"/>
                <w:sz w:val="18"/>
              </w:rPr>
              <w:t>Deaths/year DAAs</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10.2%</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3.1</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$55,769.87</w:t>
            </w:r>
          </w:p>
        </w:tc>
        <w:tc>
          <w:tcPr>
            <w:tcW w:w="1000" w:type="pct"/>
            <w:tcBorders>
              <w:top w:val="nil"/>
              <w:bottom w:val="nil"/>
            </w:tcBorders>
          </w:tcPr>
          <w:p w:rsidR="000F48FC" w:rsidRPr="000F48FC" w:rsidRDefault="000F48FC" w:rsidP="000F48FC">
            <w:pPr>
              <w:keepNext/>
              <w:spacing w:before="20" w:after="0"/>
              <w:jc w:val="right"/>
              <w:rPr>
                <w:rFonts w:cs="Times New Roman"/>
                <w:sz w:val="18"/>
              </w:rPr>
            </w:pP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000" w:type="pct"/>
          </w:tcPr>
          <w:p w:rsidR="000F48FC" w:rsidRPr="00AC73FE" w:rsidRDefault="000F48FC" w:rsidP="000F48FC">
            <w:pPr>
              <w:keepNext/>
              <w:spacing w:before="20" w:after="0"/>
              <w:rPr>
                <w:rFonts w:cs="Times New Roman"/>
                <w:b/>
                <w:sz w:val="18"/>
              </w:rPr>
            </w:pPr>
            <w:r w:rsidRPr="00AC73FE">
              <w:rPr>
                <w:rFonts w:cs="Times New Roman"/>
                <w:b/>
                <w:sz w:val="18"/>
              </w:rPr>
              <w:t>Difference</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-5.6%</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-1.7</w:t>
            </w:r>
          </w:p>
        </w:tc>
        <w:tc>
          <w:tcPr>
            <w:tcW w:w="1000" w:type="pct"/>
          </w:tcPr>
          <w:p w:rsidR="000F48FC" w:rsidRPr="000F48FC" w:rsidRDefault="000F48FC" w:rsidP="000F48FC">
            <w:pPr>
              <w:keepNext/>
              <w:spacing w:before="20" w:after="0"/>
              <w:jc w:val="right"/>
              <w:rPr>
                <w:rFonts w:cs="Times New Roman"/>
                <w:sz w:val="18"/>
              </w:rPr>
            </w:pPr>
            <w:r w:rsidRPr="000F48FC">
              <w:rPr>
                <w:rFonts w:cs="Times New Roman"/>
                <w:sz w:val="18"/>
              </w:rPr>
              <w:t>$27,487.94</w:t>
            </w:r>
          </w:p>
        </w:tc>
        <w:tc>
          <w:tcPr>
            <w:tcW w:w="1000" w:type="pct"/>
            <w:tcBorders>
              <w:top w:val="nil"/>
            </w:tcBorders>
          </w:tcPr>
          <w:p w:rsidR="000F48FC" w:rsidRPr="000F48FC" w:rsidRDefault="000F48FC" w:rsidP="000F48FC">
            <w:pPr>
              <w:keepNext/>
              <w:spacing w:before="20" w:after="0"/>
              <w:jc w:val="right"/>
              <w:rPr>
                <w:rFonts w:cs="Times New Roman"/>
                <w:sz w:val="18"/>
              </w:rPr>
            </w:pPr>
          </w:p>
        </w:tc>
      </w:tr>
    </w:tbl>
    <w:p w:rsidR="000F48FC" w:rsidRPr="000F48FC" w:rsidRDefault="000F48FC" w:rsidP="00190DC4">
      <w:pPr>
        <w:pStyle w:val="08Tablefootnotes"/>
      </w:pPr>
      <w:r w:rsidRPr="000F48FC">
        <w:t>Source: Phase 3 Final Report (2006), Table 9.6, p. 215</w:t>
      </w:r>
    </w:p>
    <w:p w:rsidR="000F48FC" w:rsidRDefault="000F48FC" w:rsidP="00190DC4">
      <w:pPr>
        <w:pStyle w:val="09Tablefootnoteslast-nostick"/>
      </w:pPr>
      <w:r w:rsidRPr="000F48FC">
        <w:t>Abbreviations: ADR, adverse drug reaction; DAA, Dose Administration Aid; OP, original pack</w:t>
      </w:r>
    </w:p>
    <w:p w:rsidR="000F48FC" w:rsidRPr="000F48FC" w:rsidRDefault="000F48FC" w:rsidP="007F0770">
      <w:pPr>
        <w:pStyle w:val="Heading3"/>
      </w:pPr>
      <w:bookmarkStart w:id="66" w:name="_Toc523230285"/>
      <w:r w:rsidRPr="000F48FC">
        <w:t>Cost-benefit analysis of DAAs based on decrease in ADRs</w:t>
      </w:r>
      <w:bookmarkEnd w:id="66"/>
    </w:p>
    <w:p w:rsidR="000F48FC" w:rsidRPr="000F48FC" w:rsidRDefault="000F48FC" w:rsidP="00190DC4">
      <w:pPr>
        <w:pStyle w:val="BodyText"/>
      </w:pPr>
      <w:r w:rsidRPr="000F48FC">
        <w:t>A cost-benefit analysis (CBA) was also undertaken to compare the cost of DAAs, and subsequent reduction in healthcare costs given the decrease in ADRs, with the benefits to consumers of using the DAAs (in terms of willingness-to-pay</w:t>
      </w:r>
      <w:r w:rsidR="00285911">
        <w:t xml:space="preserve"> [WTP]</w:t>
      </w:r>
      <w:r w:rsidRPr="000F48FC">
        <w:t xml:space="preserve">). </w:t>
      </w:r>
    </w:p>
    <w:p w:rsidR="000F48FC" w:rsidRPr="000F48FC" w:rsidRDefault="000F48FC" w:rsidP="00190DC4">
      <w:pPr>
        <w:pStyle w:val="BodyText"/>
      </w:pPr>
      <w:r w:rsidRPr="000F48FC">
        <w:fldChar w:fldCharType="begin"/>
      </w:r>
      <w:r w:rsidRPr="000F48FC">
        <w:instrText xml:space="preserve"> REF _Ref462067625 \h  \* MERGEFORMAT </w:instrText>
      </w:r>
      <w:r w:rsidRPr="000F48FC">
        <w:fldChar w:fldCharType="separate"/>
      </w:r>
      <w:r w:rsidR="00964233" w:rsidRPr="000F48FC">
        <w:t xml:space="preserve">Table </w:t>
      </w:r>
      <w:r w:rsidR="00964233">
        <w:rPr>
          <w:noProof/>
        </w:rPr>
        <w:t>4.3</w:t>
      </w:r>
      <w:r w:rsidRPr="000F48FC">
        <w:fldChar w:fldCharType="end"/>
      </w:r>
      <w:r w:rsidRPr="000F48FC">
        <w:t xml:space="preserve"> shows the costs to pharmacy of providing medicines in OPs and DAAs, the potential costs and consequences of OPs and DAAs, and the benefits of DAAs to consumers (WTP). Based on these values, the costs of providing DAAs to 30 community customers outweigh the benefits of DAAs by $13,291 per year or $443.03 per DAA customer. The model was most sensitive to variations in the cost of DAAs.</w:t>
      </w:r>
    </w:p>
    <w:p w:rsidR="000F48FC" w:rsidRPr="000F48FC" w:rsidRDefault="000F48FC" w:rsidP="00190DC4">
      <w:pPr>
        <w:pStyle w:val="Caption"/>
      </w:pPr>
      <w:bookmarkStart w:id="67" w:name="_Ref462067625"/>
      <w:bookmarkStart w:id="68" w:name="_Toc523230328"/>
      <w:r w:rsidRPr="000F48FC">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3</w:t>
      </w:r>
      <w:r w:rsidR="00964233">
        <w:rPr>
          <w:noProof/>
        </w:rPr>
        <w:fldChar w:fldCharType="end"/>
      </w:r>
      <w:bookmarkEnd w:id="67"/>
      <w:r w:rsidRPr="000F48FC">
        <w:tab/>
        <w:t>Costs and benefits of DAAs and OPs, based on 30 customers</w:t>
      </w:r>
      <w:bookmarkEnd w:id="68"/>
    </w:p>
    <w:tbl>
      <w:tblPr>
        <w:tblStyle w:val="TableGrid"/>
        <w:tblW w:w="5000" w:type="pct"/>
        <w:tblLook w:val="04A0" w:firstRow="1" w:lastRow="0" w:firstColumn="1" w:lastColumn="0" w:noHBand="0" w:noVBand="1"/>
        <w:tblCaption w:val="Table 4.3"/>
        <w:tblDescription w:val="Costs and benefits of DAAs and OPs, based on 30 customers"/>
      </w:tblPr>
      <w:tblGrid>
        <w:gridCol w:w="4966"/>
        <w:gridCol w:w="2259"/>
        <w:gridCol w:w="2403"/>
      </w:tblGrid>
      <w:tr w:rsidR="000F48FC" w:rsidRPr="000F48FC" w:rsidTr="00982A19">
        <w:trPr>
          <w:cnfStyle w:val="100000000000" w:firstRow="1" w:lastRow="0" w:firstColumn="0" w:lastColumn="0" w:oddVBand="0" w:evenVBand="0" w:oddHBand="0" w:evenHBand="0" w:firstRowFirstColumn="0" w:firstRowLastColumn="0" w:lastRowFirstColumn="0" w:lastRowLastColumn="0"/>
        </w:trPr>
        <w:tc>
          <w:tcPr>
            <w:tcW w:w="2579" w:type="pct"/>
          </w:tcPr>
          <w:p w:rsidR="000F48FC" w:rsidRPr="000F48FC" w:rsidRDefault="000F48FC" w:rsidP="000F48FC">
            <w:pPr>
              <w:keepNext/>
              <w:spacing w:before="40" w:after="0"/>
              <w:rPr>
                <w:rFonts w:eastAsia="Calibri" w:cs="Times New Roman"/>
                <w:b/>
                <w:color w:val="FFFFFF"/>
                <w:sz w:val="18"/>
              </w:rPr>
            </w:pPr>
          </w:p>
        </w:tc>
        <w:tc>
          <w:tcPr>
            <w:tcW w:w="1173"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Total cost of alternatives</w:t>
            </w:r>
          </w:p>
        </w:tc>
        <w:tc>
          <w:tcPr>
            <w:tcW w:w="1248" w:type="pct"/>
            <w:tcBorders>
              <w:bottom w:val="single" w:sz="4" w:space="0" w:color="auto"/>
            </w:tcBorders>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Cost per customer</w:t>
            </w:r>
          </w:p>
        </w:tc>
      </w:tr>
      <w:tr w:rsidR="000F48FC" w:rsidRPr="000F48FC" w:rsidTr="00982A19">
        <w:tc>
          <w:tcPr>
            <w:tcW w:w="2579" w:type="pct"/>
            <w:shd w:val="clear" w:color="auto" w:fill="000000" w:themeFill="text1"/>
          </w:tcPr>
          <w:p w:rsidR="000F48FC" w:rsidRPr="000F48FC" w:rsidRDefault="000F48FC" w:rsidP="000F48FC">
            <w:pPr>
              <w:keepNext/>
              <w:spacing w:before="20" w:after="0"/>
              <w:rPr>
                <w:rFonts w:cs="Times New Roman"/>
                <w:b/>
                <w:sz w:val="18"/>
              </w:rPr>
            </w:pPr>
            <w:r w:rsidRPr="000F48FC">
              <w:rPr>
                <w:rFonts w:cs="Times New Roman"/>
                <w:b/>
                <w:sz w:val="18"/>
              </w:rPr>
              <w:t>Cost to pharmacy (C)</w:t>
            </w:r>
          </w:p>
        </w:tc>
        <w:tc>
          <w:tcPr>
            <w:tcW w:w="1173" w:type="pct"/>
            <w:shd w:val="clear" w:color="auto" w:fill="000000" w:themeFill="text1"/>
          </w:tcPr>
          <w:p w:rsidR="000F48FC" w:rsidRPr="000F48FC" w:rsidRDefault="000F48FC" w:rsidP="000F48FC">
            <w:pPr>
              <w:keepNext/>
              <w:spacing w:before="20" w:after="0"/>
              <w:rPr>
                <w:rFonts w:cs="Times New Roman"/>
                <w:sz w:val="18"/>
              </w:rPr>
            </w:pPr>
          </w:p>
        </w:tc>
        <w:tc>
          <w:tcPr>
            <w:tcW w:w="1248" w:type="pct"/>
            <w:shd w:val="clear" w:color="auto" w:fill="000000" w:themeFill="text1"/>
          </w:tcPr>
          <w:p w:rsidR="000F48FC" w:rsidRPr="000F48FC" w:rsidRDefault="000F48FC" w:rsidP="000F48FC">
            <w:pPr>
              <w:keepNext/>
              <w:spacing w:before="20" w:after="0"/>
              <w:rPr>
                <w:rFonts w:cs="Times New Roman"/>
                <w:sz w:val="18"/>
              </w:rPr>
            </w:pP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2579"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Total cost OP per year</w:t>
            </w:r>
          </w:p>
          <w:p w:rsidR="000F48FC" w:rsidRPr="000F48FC" w:rsidRDefault="000F48FC" w:rsidP="000F48FC">
            <w:pPr>
              <w:keepNext/>
              <w:spacing w:before="20" w:after="0"/>
              <w:rPr>
                <w:rFonts w:cs="Times New Roman"/>
                <w:sz w:val="18"/>
              </w:rPr>
            </w:pPr>
            <w:r w:rsidRPr="000F48FC">
              <w:rPr>
                <w:rFonts w:cs="Times New Roman"/>
                <w:sz w:val="18"/>
              </w:rPr>
              <w:t>Total cost DAA per year</w:t>
            </w:r>
          </w:p>
          <w:p w:rsidR="000F48FC" w:rsidRPr="000F48FC" w:rsidRDefault="000F48FC" w:rsidP="000F48FC">
            <w:pPr>
              <w:keepNext/>
              <w:spacing w:before="20" w:after="0"/>
              <w:rPr>
                <w:rFonts w:cs="Times New Roman"/>
                <w:sz w:val="18"/>
              </w:rPr>
            </w:pPr>
            <w:r w:rsidRPr="000F48FC">
              <w:rPr>
                <w:rFonts w:cs="Times New Roman"/>
                <w:sz w:val="18"/>
              </w:rPr>
              <w:t>Total cost OP-DAA</w:t>
            </w:r>
          </w:p>
        </w:tc>
        <w:tc>
          <w:tcPr>
            <w:tcW w:w="117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$28,281.93</w:t>
            </w:r>
          </w:p>
          <w:p w:rsidR="000F48FC" w:rsidRPr="000F48FC" w:rsidRDefault="000F48FC" w:rsidP="000F48FC">
            <w:pPr>
              <w:keepNext/>
              <w:spacing w:before="20" w:after="0"/>
              <w:rPr>
                <w:rFonts w:cs="Times New Roman"/>
                <w:sz w:val="18"/>
              </w:rPr>
            </w:pPr>
            <w:r w:rsidRPr="000F48FC">
              <w:rPr>
                <w:rFonts w:cs="Times New Roman"/>
                <w:sz w:val="18"/>
              </w:rPr>
              <w:t>$55,769.87</w:t>
            </w:r>
          </w:p>
          <w:p w:rsidR="000F48FC" w:rsidRPr="000F48FC" w:rsidRDefault="000F48FC" w:rsidP="000F48FC">
            <w:pPr>
              <w:keepNext/>
              <w:spacing w:before="20" w:after="0"/>
              <w:rPr>
                <w:rFonts w:cs="Times New Roman"/>
                <w:sz w:val="18"/>
              </w:rPr>
            </w:pPr>
            <w:r w:rsidRPr="000F48FC">
              <w:rPr>
                <w:rFonts w:cs="Times New Roman"/>
                <w:sz w:val="18"/>
              </w:rPr>
              <w:t>-$27,487.94</w:t>
            </w:r>
          </w:p>
        </w:tc>
        <w:tc>
          <w:tcPr>
            <w:tcW w:w="1248"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$942.73</w:t>
            </w:r>
          </w:p>
          <w:p w:rsidR="000F48FC" w:rsidRPr="000F48FC" w:rsidRDefault="000F48FC" w:rsidP="000F48FC">
            <w:pPr>
              <w:keepNext/>
              <w:spacing w:before="20" w:after="0"/>
              <w:rPr>
                <w:rFonts w:cs="Times New Roman"/>
                <w:sz w:val="18"/>
              </w:rPr>
            </w:pPr>
            <w:r w:rsidRPr="000F48FC">
              <w:rPr>
                <w:rFonts w:cs="Times New Roman"/>
                <w:sz w:val="18"/>
              </w:rPr>
              <w:t>$1,859.00</w:t>
            </w:r>
          </w:p>
          <w:p w:rsidR="000F48FC" w:rsidRPr="000F48FC" w:rsidRDefault="000F48FC" w:rsidP="000F48FC">
            <w:pPr>
              <w:keepNext/>
              <w:spacing w:before="20" w:after="0"/>
              <w:rPr>
                <w:rFonts w:cs="Times New Roman"/>
                <w:sz w:val="18"/>
              </w:rPr>
            </w:pPr>
            <w:r w:rsidRPr="000F48FC">
              <w:rPr>
                <w:rFonts w:cs="Times New Roman"/>
                <w:sz w:val="18"/>
              </w:rPr>
              <w:t>-$916.26</w:t>
            </w:r>
          </w:p>
        </w:tc>
      </w:tr>
      <w:tr w:rsidR="000F48FC" w:rsidRPr="000F48FC" w:rsidTr="00982A19">
        <w:tc>
          <w:tcPr>
            <w:tcW w:w="2579" w:type="pct"/>
            <w:shd w:val="clear" w:color="auto" w:fill="000000" w:themeFill="text1"/>
          </w:tcPr>
          <w:p w:rsidR="000F48FC" w:rsidRPr="000F48FC" w:rsidRDefault="000F48FC" w:rsidP="000F48FC">
            <w:pPr>
              <w:keepNext/>
              <w:spacing w:before="20" w:after="0"/>
              <w:rPr>
                <w:rFonts w:cs="Times New Roman"/>
                <w:b/>
                <w:sz w:val="18"/>
              </w:rPr>
            </w:pPr>
            <w:r w:rsidRPr="000F48FC">
              <w:rPr>
                <w:rFonts w:cs="Times New Roman"/>
                <w:b/>
                <w:sz w:val="18"/>
              </w:rPr>
              <w:t>Cost savings to healthcare system (B1)</w:t>
            </w:r>
          </w:p>
        </w:tc>
        <w:tc>
          <w:tcPr>
            <w:tcW w:w="1173" w:type="pct"/>
            <w:shd w:val="clear" w:color="auto" w:fill="000000" w:themeFill="text1"/>
          </w:tcPr>
          <w:p w:rsidR="000F48FC" w:rsidRPr="000F48FC" w:rsidRDefault="000F48FC" w:rsidP="000F48FC">
            <w:pPr>
              <w:keepNext/>
              <w:spacing w:before="20" w:after="0"/>
              <w:rPr>
                <w:rFonts w:cs="Times New Roman"/>
                <w:b/>
                <w:sz w:val="18"/>
              </w:rPr>
            </w:pPr>
          </w:p>
        </w:tc>
        <w:tc>
          <w:tcPr>
            <w:tcW w:w="1248" w:type="pct"/>
            <w:shd w:val="clear" w:color="auto" w:fill="000000" w:themeFill="text1"/>
          </w:tcPr>
          <w:p w:rsidR="000F48FC" w:rsidRPr="000F48FC" w:rsidRDefault="000F48FC" w:rsidP="000F48FC">
            <w:pPr>
              <w:keepNext/>
              <w:spacing w:before="20" w:after="0"/>
              <w:rPr>
                <w:rFonts w:cs="Times New Roman"/>
                <w:sz w:val="18"/>
              </w:rPr>
            </w:pP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2579"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Cost ADR + consequence OP</w:t>
            </w:r>
          </w:p>
          <w:p w:rsidR="000F48FC" w:rsidRPr="000F48FC" w:rsidRDefault="000F48FC" w:rsidP="000F48FC">
            <w:pPr>
              <w:keepNext/>
              <w:spacing w:before="20" w:after="0"/>
              <w:rPr>
                <w:rFonts w:cs="Times New Roman"/>
                <w:sz w:val="18"/>
              </w:rPr>
            </w:pPr>
            <w:r w:rsidRPr="000F48FC">
              <w:rPr>
                <w:rFonts w:cs="Times New Roman"/>
                <w:sz w:val="18"/>
              </w:rPr>
              <w:t>Cost ADR + consequence DAA</w:t>
            </w:r>
          </w:p>
          <w:p w:rsidR="000F48FC" w:rsidRPr="000F48FC" w:rsidRDefault="000F48FC" w:rsidP="000F48FC">
            <w:pPr>
              <w:keepNext/>
              <w:spacing w:before="20" w:after="0"/>
              <w:rPr>
                <w:rFonts w:cs="Times New Roman"/>
                <w:sz w:val="18"/>
              </w:rPr>
            </w:pPr>
            <w:r w:rsidRPr="000F48FC">
              <w:rPr>
                <w:rFonts w:cs="Times New Roman"/>
                <w:sz w:val="18"/>
              </w:rPr>
              <w:t>Cost ADR + consequence OP-DAA</w:t>
            </w:r>
          </w:p>
        </w:tc>
        <w:tc>
          <w:tcPr>
            <w:tcW w:w="117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$6,024.70</w:t>
            </w:r>
          </w:p>
          <w:p w:rsidR="000F48FC" w:rsidRPr="000F48FC" w:rsidRDefault="000F48FC" w:rsidP="000F48FC">
            <w:pPr>
              <w:keepNext/>
              <w:spacing w:before="20" w:after="0"/>
              <w:rPr>
                <w:rFonts w:cs="Times New Roman"/>
                <w:sz w:val="18"/>
              </w:rPr>
            </w:pPr>
            <w:r w:rsidRPr="000F48FC">
              <w:rPr>
                <w:rFonts w:cs="Times New Roman"/>
                <w:sz w:val="18"/>
              </w:rPr>
              <w:t>$984.96</w:t>
            </w:r>
          </w:p>
          <w:p w:rsidR="000F48FC" w:rsidRPr="000F48FC" w:rsidRDefault="000F48FC" w:rsidP="000F48FC">
            <w:pPr>
              <w:keepNext/>
              <w:spacing w:before="20" w:after="0"/>
              <w:rPr>
                <w:rFonts w:cs="Times New Roman"/>
                <w:sz w:val="18"/>
              </w:rPr>
            </w:pPr>
            <w:r w:rsidRPr="000F48FC">
              <w:rPr>
                <w:rFonts w:cs="Times New Roman"/>
                <w:sz w:val="18"/>
              </w:rPr>
              <w:t>$5,039.74</w:t>
            </w:r>
          </w:p>
        </w:tc>
        <w:tc>
          <w:tcPr>
            <w:tcW w:w="1248" w:type="pct"/>
            <w:shd w:val="clear" w:color="auto" w:fill="auto"/>
          </w:tcPr>
          <w:p w:rsidR="000F48FC" w:rsidRPr="000F48FC" w:rsidRDefault="000F48FC" w:rsidP="000F48FC">
            <w:pPr>
              <w:keepNext/>
              <w:spacing w:before="20" w:after="0"/>
              <w:rPr>
                <w:rFonts w:cs="Times New Roman"/>
                <w:sz w:val="18"/>
              </w:rPr>
            </w:pPr>
          </w:p>
          <w:p w:rsidR="000F48FC" w:rsidRPr="000F48FC" w:rsidRDefault="000F48FC" w:rsidP="000F48FC">
            <w:pPr>
              <w:keepNext/>
              <w:spacing w:before="20" w:after="0"/>
              <w:rPr>
                <w:rFonts w:cs="Times New Roman"/>
                <w:sz w:val="18"/>
              </w:rPr>
            </w:pPr>
          </w:p>
          <w:p w:rsidR="000F48FC" w:rsidRPr="000F48FC" w:rsidRDefault="000F48FC" w:rsidP="000F48FC">
            <w:pPr>
              <w:keepNext/>
              <w:spacing w:before="20" w:after="0"/>
              <w:rPr>
                <w:rFonts w:cs="Times New Roman"/>
                <w:sz w:val="18"/>
              </w:rPr>
            </w:pPr>
            <w:r w:rsidRPr="000F48FC">
              <w:rPr>
                <w:rFonts w:cs="Times New Roman"/>
                <w:sz w:val="18"/>
              </w:rPr>
              <w:t>$167.99</w:t>
            </w:r>
          </w:p>
        </w:tc>
      </w:tr>
      <w:tr w:rsidR="000F48FC" w:rsidRPr="000F48FC" w:rsidTr="00982A19">
        <w:tc>
          <w:tcPr>
            <w:tcW w:w="2579" w:type="pct"/>
            <w:shd w:val="clear" w:color="auto" w:fill="000000" w:themeFill="text1"/>
          </w:tcPr>
          <w:p w:rsidR="000F48FC" w:rsidRPr="000F48FC" w:rsidRDefault="000F48FC" w:rsidP="000F48FC">
            <w:pPr>
              <w:keepNext/>
              <w:spacing w:before="20" w:after="0"/>
              <w:rPr>
                <w:rFonts w:cs="Times New Roman"/>
                <w:b/>
                <w:sz w:val="18"/>
              </w:rPr>
            </w:pPr>
            <w:r w:rsidRPr="000F48FC">
              <w:rPr>
                <w:rFonts w:cs="Times New Roman"/>
                <w:b/>
                <w:sz w:val="18"/>
              </w:rPr>
              <w:t>WTP (benefits to customer) (B2)</w:t>
            </w:r>
          </w:p>
        </w:tc>
        <w:tc>
          <w:tcPr>
            <w:tcW w:w="1173" w:type="pct"/>
            <w:shd w:val="clear" w:color="auto" w:fill="000000" w:themeFill="text1"/>
          </w:tcPr>
          <w:p w:rsidR="000F48FC" w:rsidRPr="000F48FC" w:rsidRDefault="000F48FC" w:rsidP="000F48FC">
            <w:pPr>
              <w:keepNext/>
              <w:spacing w:before="20" w:after="0"/>
              <w:rPr>
                <w:rFonts w:cs="Times New Roman"/>
                <w:sz w:val="18"/>
              </w:rPr>
            </w:pPr>
          </w:p>
        </w:tc>
        <w:tc>
          <w:tcPr>
            <w:tcW w:w="1248" w:type="pct"/>
            <w:shd w:val="clear" w:color="auto" w:fill="000000" w:themeFill="text1"/>
          </w:tcPr>
          <w:p w:rsidR="000F48FC" w:rsidRPr="000F48FC" w:rsidRDefault="000F48FC" w:rsidP="000F48FC">
            <w:pPr>
              <w:keepNext/>
              <w:spacing w:before="20" w:after="0"/>
              <w:rPr>
                <w:rFonts w:cs="Times New Roman"/>
                <w:sz w:val="18"/>
              </w:rPr>
            </w:pP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2579"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WTP per week for DAA per person</w:t>
            </w:r>
          </w:p>
          <w:p w:rsidR="000F48FC" w:rsidRPr="000F48FC" w:rsidRDefault="000F48FC" w:rsidP="000F48FC">
            <w:pPr>
              <w:keepNext/>
              <w:spacing w:before="20" w:after="0"/>
              <w:rPr>
                <w:rFonts w:cs="Times New Roman"/>
                <w:sz w:val="18"/>
              </w:rPr>
            </w:pPr>
            <w:r w:rsidRPr="000F48FC">
              <w:rPr>
                <w:rFonts w:cs="Times New Roman"/>
                <w:sz w:val="18"/>
              </w:rPr>
              <w:t>WTP per year for DAA</w:t>
            </w:r>
          </w:p>
          <w:p w:rsidR="000F48FC" w:rsidRPr="000F48FC" w:rsidRDefault="000F48FC" w:rsidP="000F48FC">
            <w:pPr>
              <w:keepNext/>
              <w:spacing w:before="20" w:after="0"/>
              <w:rPr>
                <w:rFonts w:cs="Times New Roman"/>
                <w:sz w:val="18"/>
              </w:rPr>
            </w:pPr>
            <w:r w:rsidRPr="000F48FC">
              <w:rPr>
                <w:rFonts w:cs="Times New Roman"/>
                <w:sz w:val="18"/>
              </w:rPr>
              <w:t>N * WTP/year</w:t>
            </w:r>
          </w:p>
        </w:tc>
        <w:tc>
          <w:tcPr>
            <w:tcW w:w="117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$5.87</w:t>
            </w:r>
          </w:p>
          <w:p w:rsidR="000F48FC" w:rsidRPr="000F48FC" w:rsidRDefault="000F48FC" w:rsidP="000F48FC">
            <w:pPr>
              <w:keepNext/>
              <w:spacing w:before="20" w:after="0"/>
              <w:rPr>
                <w:rFonts w:cs="Times New Roman"/>
                <w:sz w:val="18"/>
              </w:rPr>
            </w:pPr>
            <w:r w:rsidRPr="000F48FC">
              <w:rPr>
                <w:rFonts w:cs="Times New Roman"/>
                <w:sz w:val="18"/>
              </w:rPr>
              <w:t>$305.24</w:t>
            </w:r>
          </w:p>
          <w:p w:rsidR="000F48FC" w:rsidRPr="000F48FC" w:rsidRDefault="000F48FC" w:rsidP="000F48FC">
            <w:pPr>
              <w:keepNext/>
              <w:spacing w:before="20" w:after="0"/>
              <w:rPr>
                <w:rFonts w:cs="Times New Roman"/>
                <w:sz w:val="18"/>
              </w:rPr>
            </w:pPr>
            <w:r w:rsidRPr="000F48FC">
              <w:rPr>
                <w:rFonts w:cs="Times New Roman"/>
                <w:sz w:val="18"/>
              </w:rPr>
              <w:t>$9,157.20</w:t>
            </w:r>
          </w:p>
        </w:tc>
        <w:tc>
          <w:tcPr>
            <w:tcW w:w="1248" w:type="pct"/>
            <w:shd w:val="clear" w:color="auto" w:fill="auto"/>
          </w:tcPr>
          <w:p w:rsidR="000F48FC" w:rsidRPr="000F48FC" w:rsidRDefault="000F48FC" w:rsidP="000F48FC">
            <w:pPr>
              <w:keepNext/>
              <w:spacing w:before="20" w:after="0"/>
              <w:rPr>
                <w:rFonts w:cs="Times New Roman"/>
                <w:sz w:val="18"/>
              </w:rPr>
            </w:pPr>
          </w:p>
          <w:p w:rsidR="000F48FC" w:rsidRPr="000F48FC" w:rsidRDefault="000F48FC" w:rsidP="000F48FC">
            <w:pPr>
              <w:keepNext/>
              <w:spacing w:before="20" w:after="0"/>
              <w:rPr>
                <w:rFonts w:cs="Times New Roman"/>
                <w:sz w:val="18"/>
              </w:rPr>
            </w:pPr>
          </w:p>
          <w:p w:rsidR="000F48FC" w:rsidRPr="000F48FC" w:rsidRDefault="000F48FC" w:rsidP="000F48FC">
            <w:pPr>
              <w:keepNext/>
              <w:spacing w:before="20" w:after="0"/>
              <w:rPr>
                <w:rFonts w:cs="Times New Roman"/>
                <w:sz w:val="18"/>
              </w:rPr>
            </w:pPr>
            <w:r w:rsidRPr="000F48FC">
              <w:rPr>
                <w:rFonts w:cs="Times New Roman"/>
                <w:sz w:val="18"/>
              </w:rPr>
              <w:t>$305.24</w:t>
            </w:r>
          </w:p>
        </w:tc>
      </w:tr>
      <w:tr w:rsidR="000F48FC" w:rsidRPr="000F48FC" w:rsidTr="00982A19">
        <w:tc>
          <w:tcPr>
            <w:tcW w:w="2579" w:type="pct"/>
          </w:tcPr>
          <w:p w:rsidR="000F48FC" w:rsidRPr="000F48FC" w:rsidRDefault="000F48FC" w:rsidP="000F48FC">
            <w:pPr>
              <w:keepNext/>
              <w:spacing w:before="20" w:after="0"/>
              <w:rPr>
                <w:rFonts w:cs="Times New Roman"/>
                <w:sz w:val="18"/>
              </w:rPr>
            </w:pPr>
            <w:r w:rsidRPr="000F48FC">
              <w:rPr>
                <w:rFonts w:cs="Times New Roman"/>
                <w:sz w:val="18"/>
              </w:rPr>
              <w:t>Costs (C) + costs savings (B1) + benefits (B2)</w:t>
            </w:r>
          </w:p>
        </w:tc>
        <w:tc>
          <w:tcPr>
            <w:tcW w:w="1173" w:type="pct"/>
          </w:tcPr>
          <w:p w:rsidR="000F48FC" w:rsidRPr="000F48FC" w:rsidRDefault="000F48FC" w:rsidP="000F48FC">
            <w:pPr>
              <w:keepNext/>
              <w:spacing w:before="20" w:after="0"/>
              <w:rPr>
                <w:rFonts w:cs="Times New Roman"/>
                <w:sz w:val="18"/>
              </w:rPr>
            </w:pPr>
            <w:r w:rsidRPr="000F48FC">
              <w:rPr>
                <w:rFonts w:cs="Times New Roman"/>
                <w:sz w:val="18"/>
              </w:rPr>
              <w:t>-$13,291.00</w:t>
            </w:r>
          </w:p>
        </w:tc>
        <w:tc>
          <w:tcPr>
            <w:tcW w:w="1248" w:type="pct"/>
            <w:tcBorders>
              <w:bottom w:val="single" w:sz="4" w:space="0" w:color="auto"/>
            </w:tcBorders>
          </w:tcPr>
          <w:p w:rsidR="000F48FC" w:rsidRPr="000F48FC" w:rsidRDefault="000F48FC" w:rsidP="000F48FC">
            <w:pPr>
              <w:keepNext/>
              <w:spacing w:before="20" w:after="0"/>
              <w:rPr>
                <w:rFonts w:cs="Times New Roman"/>
                <w:sz w:val="18"/>
              </w:rPr>
            </w:pPr>
            <w:r w:rsidRPr="000F48FC">
              <w:rPr>
                <w:rFonts w:cs="Times New Roman"/>
                <w:sz w:val="18"/>
              </w:rPr>
              <w:t>-$443.03</w:t>
            </w:r>
          </w:p>
        </w:tc>
      </w:tr>
    </w:tbl>
    <w:p w:rsidR="000F48FC" w:rsidRPr="000F48FC" w:rsidRDefault="000F48FC" w:rsidP="00190DC4">
      <w:pPr>
        <w:pStyle w:val="08Tablefootnotes"/>
      </w:pPr>
      <w:r w:rsidRPr="000F48FC">
        <w:t>Source: Phase 3 Final Report (2006), Table 9.7, p. 216</w:t>
      </w:r>
    </w:p>
    <w:p w:rsidR="000F48FC" w:rsidRPr="000F48FC" w:rsidRDefault="000F48FC" w:rsidP="00190DC4">
      <w:pPr>
        <w:pStyle w:val="09Tablefootnoteslast-nostick"/>
      </w:pPr>
      <w:r w:rsidRPr="000F48FC">
        <w:t>Abbreviations: ADR, adverse drug reaction; DAA, Dose Administration Aid; OP, original packaging; WTP, willingness-to-pay</w:t>
      </w:r>
    </w:p>
    <w:p w:rsidR="000F48FC" w:rsidRPr="000F48FC" w:rsidRDefault="000F48FC" w:rsidP="007F0770">
      <w:pPr>
        <w:pStyle w:val="Heading3"/>
      </w:pPr>
      <w:bookmarkStart w:id="69" w:name="_Toc523230286"/>
      <w:r w:rsidRPr="000F48FC">
        <w:t>Financial impact of DAA services</w:t>
      </w:r>
      <w:bookmarkEnd w:id="69"/>
    </w:p>
    <w:p w:rsidR="000F48FC" w:rsidRPr="000F48FC" w:rsidRDefault="000F48FC" w:rsidP="00190DC4">
      <w:pPr>
        <w:pStyle w:val="BodyText"/>
      </w:pPr>
      <w:r w:rsidRPr="000F48FC">
        <w:t xml:space="preserve">A financial impact model was constructed based on patient data on resource use and outcomes collected in Phases 2 and 3, and health service use, Medical Benefits Schedule (MBS) and </w:t>
      </w:r>
      <w:r w:rsidR="00392EE9">
        <w:t>PBS</w:t>
      </w:r>
      <w:r w:rsidRPr="000F48FC">
        <w:t xml:space="preserve"> data, as well as additional residential care and community care costs. This analysis must be interpreted in light of DAA customers in general exhibiting a greater severity of illness than OP customers.</w:t>
      </w:r>
    </w:p>
    <w:p w:rsidR="000F48FC" w:rsidRPr="000F48FC" w:rsidRDefault="000F48FC" w:rsidP="00190DC4">
      <w:pPr>
        <w:pStyle w:val="BodyText"/>
      </w:pPr>
      <w:r w:rsidRPr="000F48FC">
        <w:fldChar w:fldCharType="begin"/>
      </w:r>
      <w:r w:rsidRPr="000F48FC">
        <w:instrText xml:space="preserve"> REF _Ref462067950 \h  \* MERGEFORMAT </w:instrText>
      </w:r>
      <w:r w:rsidRPr="000F48FC">
        <w:fldChar w:fldCharType="separate"/>
      </w:r>
      <w:r w:rsidR="00964233" w:rsidRPr="000F48FC">
        <w:t xml:space="preserve">Table </w:t>
      </w:r>
      <w:r w:rsidR="00964233">
        <w:rPr>
          <w:noProof/>
        </w:rPr>
        <w:t>4.4</w:t>
      </w:r>
      <w:r w:rsidRPr="000F48FC">
        <w:fldChar w:fldCharType="end"/>
      </w:r>
      <w:r w:rsidRPr="000F48FC">
        <w:t xml:space="preserve"> presents the results of the financial model. The cost per patient per year in the OP arm was $5,156 compared with $7,966 per patient using a DAA. Over a 12-month period, the DAA use </w:t>
      </w:r>
      <w:r w:rsidRPr="000F48FC">
        <w:lastRenderedPageBreak/>
        <w:t>strategy resulted in 0.7 fewer deaths but cost an additional $45,040 in health service and support costs. In this model, the cost of PBS drugs was the highest service cost for the OP arm of the model but residential care was the highest service cost for the DAA arm. The biggest difference between the two arms in costs for a single resource was also in residential care use, with the DAA arm estimated to cost 1.9 times more than the OP arm, reflecting the fact that 7.4% of DAA patients were admitted to a RCF compared with 3.8% of OP patients. Overall, 83% of the total difference in costs between the groups was accounted for by non-medical support (RCF care and community care).</w:t>
      </w:r>
    </w:p>
    <w:p w:rsidR="000F48FC" w:rsidRPr="000F48FC" w:rsidRDefault="000F48FC" w:rsidP="00190DC4">
      <w:pPr>
        <w:pStyle w:val="Caption"/>
      </w:pPr>
      <w:bookmarkStart w:id="70" w:name="_Ref462067950"/>
      <w:bookmarkStart w:id="71" w:name="_Toc523230329"/>
      <w:r w:rsidRPr="000F48FC">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4</w:t>
      </w:r>
      <w:r w:rsidR="00964233">
        <w:rPr>
          <w:noProof/>
        </w:rPr>
        <w:fldChar w:fldCharType="end"/>
      </w:r>
      <w:bookmarkEnd w:id="70"/>
      <w:r w:rsidRPr="000F48FC">
        <w:tab/>
        <w:t>Financial impact of DAA use to OP with 30 patients in each arm</w:t>
      </w:r>
      <w:bookmarkEnd w:id="71"/>
    </w:p>
    <w:tbl>
      <w:tblPr>
        <w:tblStyle w:val="TableGrid3"/>
        <w:tblW w:w="5000" w:type="pct"/>
        <w:tblLook w:val="04A0" w:firstRow="1" w:lastRow="0" w:firstColumn="1" w:lastColumn="0" w:noHBand="0" w:noVBand="1"/>
        <w:tblCaption w:val="Table 4.4"/>
        <w:tblDescription w:val="Financial impact of DAA use to OP with 30 patients in each arm"/>
      </w:tblPr>
      <w:tblGrid>
        <w:gridCol w:w="1605"/>
        <w:gridCol w:w="1605"/>
        <w:gridCol w:w="1604"/>
        <w:gridCol w:w="1604"/>
        <w:gridCol w:w="1604"/>
        <w:gridCol w:w="1606"/>
      </w:tblGrid>
      <w:tr w:rsidR="000F48FC" w:rsidRPr="000F48FC" w:rsidTr="00982A19">
        <w:trPr>
          <w:cnfStyle w:val="100000000000" w:firstRow="1" w:lastRow="0" w:firstColumn="0" w:lastColumn="0" w:oddVBand="0" w:evenVBand="0" w:oddHBand="0" w:evenHBand="0" w:firstRowFirstColumn="0" w:firstRowLastColumn="0" w:lastRowFirstColumn="0" w:lastRowLastColumn="0"/>
        </w:trPr>
        <w:tc>
          <w:tcPr>
            <w:tcW w:w="833" w:type="pct"/>
            <w:tcBorders>
              <w:bottom w:val="single" w:sz="4" w:space="0" w:color="auto"/>
            </w:tcBorders>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Arm</w:t>
            </w:r>
          </w:p>
        </w:tc>
        <w:tc>
          <w:tcPr>
            <w:tcW w:w="833"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Event</w:t>
            </w:r>
          </w:p>
        </w:tc>
        <w:tc>
          <w:tcPr>
            <w:tcW w:w="833"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Probability</w:t>
            </w:r>
          </w:p>
        </w:tc>
        <w:tc>
          <w:tcPr>
            <w:tcW w:w="833"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No. of patients</w:t>
            </w:r>
          </w:p>
        </w:tc>
        <w:tc>
          <w:tcPr>
            <w:tcW w:w="833"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Cost per patient</w:t>
            </w:r>
          </w:p>
        </w:tc>
        <w:tc>
          <w:tcPr>
            <w:tcW w:w="834"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Total cost</w:t>
            </w:r>
          </w:p>
        </w:tc>
      </w:tr>
      <w:tr w:rsidR="000F48FC" w:rsidRPr="000F48FC" w:rsidTr="00982A19">
        <w:tc>
          <w:tcPr>
            <w:tcW w:w="833" w:type="pct"/>
            <w:tcBorders>
              <w:bottom w:val="nil"/>
            </w:tcBorders>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OP</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PBS drugs</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100.0%</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30.0</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$2,089.54</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$62,686.20</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GP services</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100.0%</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30.0</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$504.51</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$15,135.30</w:t>
            </w:r>
          </w:p>
        </w:tc>
      </w:tr>
      <w:tr w:rsidR="000F48FC" w:rsidRPr="000F48FC" w:rsidTr="00982A19">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Pathology</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87.9%</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26.4</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$145.17</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$3,828.13</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Other MBS</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22.4%</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6.7</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$978.79</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$6,577.47</w:t>
            </w:r>
          </w:p>
        </w:tc>
      </w:tr>
      <w:tr w:rsidR="000F48FC" w:rsidRPr="000F48FC" w:rsidTr="00982A19">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MBS hospital</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24.1%</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7.2</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$1,117.19</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$8,077.28</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Community care</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47.1%</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14.1</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$2,098.95</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$29,658.19</w:t>
            </w:r>
          </w:p>
        </w:tc>
      </w:tr>
      <w:tr w:rsidR="000F48FC" w:rsidRPr="000F48FC" w:rsidTr="00982A19">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RCF admission</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3.8%</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1.1</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$25,178.35</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$28,703.32</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Death</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7.6%</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2.3</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w:t>
            </w:r>
          </w:p>
        </w:tc>
      </w:tr>
      <w:tr w:rsidR="000F48FC" w:rsidRPr="000F48FC" w:rsidTr="00982A19">
        <w:tc>
          <w:tcPr>
            <w:tcW w:w="833" w:type="pct"/>
            <w:tcBorders>
              <w:bottom w:val="single" w:sz="4" w:space="0" w:color="auto"/>
            </w:tcBorders>
            <w:shd w:val="clear" w:color="auto" w:fill="000000" w:themeFill="text1"/>
          </w:tcPr>
          <w:p w:rsidR="000F48FC" w:rsidRPr="000F48FC" w:rsidRDefault="000F48FC" w:rsidP="000F48FC">
            <w:pPr>
              <w:keepNext/>
              <w:spacing w:before="20" w:after="0"/>
              <w:rPr>
                <w:rFonts w:cs="Times New Roman"/>
                <w:sz w:val="18"/>
              </w:rPr>
            </w:pPr>
            <w:r w:rsidRPr="000F48FC">
              <w:rPr>
                <w:rFonts w:cs="Times New Roman"/>
                <w:b/>
                <w:sz w:val="18"/>
              </w:rPr>
              <w:t>Total cost</w:t>
            </w: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4" w:type="pct"/>
            <w:shd w:val="clear" w:color="auto" w:fill="000000" w:themeFill="text1"/>
          </w:tcPr>
          <w:p w:rsidR="000F48FC" w:rsidRPr="000F48FC" w:rsidRDefault="000F48FC" w:rsidP="000F48FC">
            <w:pPr>
              <w:keepNext/>
              <w:spacing w:before="20" w:after="0"/>
              <w:rPr>
                <w:rFonts w:cs="Times New Roman"/>
                <w:sz w:val="18"/>
              </w:rPr>
            </w:pPr>
            <w:r w:rsidRPr="000F48FC">
              <w:rPr>
                <w:rFonts w:cs="Times New Roman"/>
                <w:b/>
                <w:sz w:val="18"/>
              </w:rPr>
              <w:t>$154,665.90</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bottom w:val="nil"/>
            </w:tcBorders>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DAA</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PBS drugs</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100.0%</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30.0</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$2,423.46</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$72,703.80</w:t>
            </w:r>
          </w:p>
        </w:tc>
      </w:tr>
      <w:tr w:rsidR="000F48FC" w:rsidRPr="000F48FC" w:rsidTr="00982A19">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GP services</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98.5%</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29.6</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$510.10</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$15,073.46</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Pathology</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85.3%</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25.6</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$189.93</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$4,860.31</w:t>
            </w:r>
          </w:p>
        </w:tc>
      </w:tr>
      <w:tr w:rsidR="000F48FC" w:rsidRPr="000F48FC" w:rsidTr="00982A19">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Other MBS</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20.6%</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6.2</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$577.16</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$5,218.89</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MBS hospital</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23.5%</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7.1</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$844.48</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$5,953.58</w:t>
            </w:r>
          </w:p>
        </w:tc>
      </w:tr>
      <w:tr w:rsidR="000F48FC" w:rsidRPr="000F48FC" w:rsidTr="00982A19">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Community care</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58.9%</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17.7</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$2,263.74</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$40,000.22</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tcBorders>
              <w:top w:val="nil"/>
              <w:bottom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RCF admission</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7.4%</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2.2</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$25,178.35</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$55,895.94</w:t>
            </w:r>
          </w:p>
        </w:tc>
      </w:tr>
      <w:tr w:rsidR="000F48FC" w:rsidRPr="000F48FC" w:rsidTr="00982A19">
        <w:tc>
          <w:tcPr>
            <w:tcW w:w="833" w:type="pct"/>
            <w:tcBorders>
              <w:top w:val="nil"/>
            </w:tcBorders>
            <w:shd w:val="clear" w:color="auto" w:fill="auto"/>
          </w:tcPr>
          <w:p w:rsidR="000F48FC" w:rsidRPr="000F48FC" w:rsidRDefault="000F48FC" w:rsidP="000F48FC">
            <w:pPr>
              <w:keepNext/>
              <w:spacing w:before="20" w:after="0"/>
              <w:rPr>
                <w:rFonts w:cs="Times New Roman"/>
                <w:sz w:val="18"/>
              </w:rPr>
            </w:pP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Death</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5.3%</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1.6</w:t>
            </w:r>
          </w:p>
        </w:tc>
        <w:tc>
          <w:tcPr>
            <w:tcW w:w="833"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w:t>
            </w:r>
          </w:p>
        </w:tc>
        <w:tc>
          <w:tcPr>
            <w:tcW w:w="834" w:type="pct"/>
            <w:shd w:val="clear" w:color="auto" w:fill="auto"/>
          </w:tcPr>
          <w:p w:rsidR="000F48FC" w:rsidRPr="000F48FC" w:rsidRDefault="000F48FC" w:rsidP="000F48FC">
            <w:pPr>
              <w:keepNext/>
              <w:spacing w:before="20" w:after="0"/>
              <w:rPr>
                <w:rFonts w:cs="Times New Roman"/>
                <w:sz w:val="18"/>
              </w:rPr>
            </w:pPr>
            <w:r w:rsidRPr="000F48FC">
              <w:rPr>
                <w:rFonts w:cs="Times New Roman"/>
                <w:sz w:val="18"/>
              </w:rPr>
              <w:t>-</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833" w:type="pct"/>
            <w:shd w:val="clear" w:color="auto" w:fill="000000" w:themeFill="text1"/>
          </w:tcPr>
          <w:p w:rsidR="000F48FC" w:rsidRPr="000F48FC" w:rsidRDefault="000F48FC" w:rsidP="000F48FC">
            <w:pPr>
              <w:keepNext/>
              <w:spacing w:before="20" w:after="0"/>
              <w:rPr>
                <w:rFonts w:cs="Times New Roman"/>
                <w:sz w:val="18"/>
              </w:rPr>
            </w:pPr>
            <w:r w:rsidRPr="000F48FC">
              <w:rPr>
                <w:rFonts w:cs="Times New Roman"/>
                <w:b/>
                <w:sz w:val="18"/>
              </w:rPr>
              <w:t>Total cost</w:t>
            </w: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3" w:type="pct"/>
            <w:shd w:val="clear" w:color="auto" w:fill="000000" w:themeFill="text1"/>
          </w:tcPr>
          <w:p w:rsidR="000F48FC" w:rsidRPr="000F48FC" w:rsidRDefault="000F48FC" w:rsidP="000F48FC">
            <w:pPr>
              <w:keepNext/>
              <w:spacing w:before="20" w:after="0"/>
              <w:rPr>
                <w:rFonts w:cs="Times New Roman"/>
                <w:sz w:val="18"/>
              </w:rPr>
            </w:pPr>
          </w:p>
        </w:tc>
        <w:tc>
          <w:tcPr>
            <w:tcW w:w="834" w:type="pct"/>
            <w:shd w:val="clear" w:color="auto" w:fill="000000" w:themeFill="text1"/>
          </w:tcPr>
          <w:p w:rsidR="000F48FC" w:rsidRPr="000F48FC" w:rsidRDefault="000F48FC" w:rsidP="000F48FC">
            <w:pPr>
              <w:keepNext/>
              <w:spacing w:before="20" w:after="0"/>
              <w:rPr>
                <w:rFonts w:cs="Times New Roman"/>
                <w:sz w:val="18"/>
              </w:rPr>
            </w:pPr>
            <w:r w:rsidRPr="000F48FC">
              <w:rPr>
                <w:rFonts w:cs="Times New Roman"/>
                <w:b/>
                <w:sz w:val="18"/>
              </w:rPr>
              <w:t>$199,706.19</w:t>
            </w:r>
          </w:p>
        </w:tc>
      </w:tr>
    </w:tbl>
    <w:p w:rsidR="000F48FC" w:rsidRPr="000F48FC" w:rsidRDefault="000F48FC" w:rsidP="00190DC4">
      <w:pPr>
        <w:pStyle w:val="08Tablefootnotes"/>
      </w:pPr>
      <w:r w:rsidRPr="000F48FC">
        <w:t>Source: Phase 3 Final Report (2006), Table 9.13, p. 222</w:t>
      </w:r>
    </w:p>
    <w:p w:rsidR="000F48FC" w:rsidRPr="000F48FC" w:rsidRDefault="000F48FC" w:rsidP="00190DC4">
      <w:pPr>
        <w:pStyle w:val="09Tablefootnoteslast-nostick"/>
      </w:pPr>
      <w:r w:rsidRPr="000F48FC">
        <w:t>Abbreviations: DAA, Dose Administration Aid; GP, general practitioner; OP, original pack; MBS, Medical Benefits Schedule; PBS, Pharmaceutical Benefits Scheme; RCF, residential care facility.</w:t>
      </w:r>
    </w:p>
    <w:p w:rsidR="000F48FC" w:rsidRPr="000F48FC" w:rsidRDefault="00B34BF2" w:rsidP="007F0770">
      <w:pPr>
        <w:pStyle w:val="Heading3"/>
      </w:pPr>
      <w:bookmarkStart w:id="72" w:name="_Toc523230287"/>
      <w:r>
        <w:t>Cost-</w:t>
      </w:r>
      <w:r w:rsidR="000F48FC" w:rsidRPr="000F48FC">
        <w:t>benefit analysis of DAAs using health system data</w:t>
      </w:r>
      <w:bookmarkEnd w:id="72"/>
    </w:p>
    <w:p w:rsidR="000F48FC" w:rsidRPr="000F48FC" w:rsidRDefault="000F48FC" w:rsidP="00190DC4">
      <w:pPr>
        <w:pStyle w:val="BodyText"/>
      </w:pPr>
      <w:r w:rsidRPr="000F48FC">
        <w:t>A CBA was performed for patients living in the community</w:t>
      </w:r>
      <w:r w:rsidR="00B34BF2">
        <w:t>,</w:t>
      </w:r>
      <w:r w:rsidRPr="000F48FC">
        <w:t xml:space="preserve"> utilising a full range of health service use data extracted from HIC and patient data (collected in Phase 3 follow-up). This analysis must be interpreted in light of DAA customers in general exhibiting a greater severity of illness than OP customers. </w:t>
      </w:r>
      <w:r w:rsidRPr="000F48FC">
        <w:rPr>
          <w:szCs w:val="24"/>
        </w:rPr>
        <w:fldChar w:fldCharType="begin"/>
      </w:r>
      <w:r w:rsidRPr="000F48FC">
        <w:rPr>
          <w:szCs w:val="24"/>
        </w:rPr>
        <w:instrText xml:space="preserve"> REF _Ref462127202 \h  \* MERGEFORMAT </w:instrText>
      </w:r>
      <w:r w:rsidRPr="000F48FC">
        <w:rPr>
          <w:szCs w:val="24"/>
        </w:rPr>
      </w:r>
      <w:r w:rsidRPr="000F48FC">
        <w:rPr>
          <w:szCs w:val="24"/>
        </w:rPr>
        <w:fldChar w:fldCharType="separate"/>
      </w:r>
      <w:r w:rsidR="00964233" w:rsidRPr="00964233">
        <w:rPr>
          <w:iCs/>
          <w:szCs w:val="24"/>
        </w:rPr>
        <w:t xml:space="preserve">Table </w:t>
      </w:r>
      <w:r w:rsidR="00964233" w:rsidRPr="00964233">
        <w:rPr>
          <w:iCs/>
          <w:noProof/>
          <w:szCs w:val="24"/>
        </w:rPr>
        <w:t>4.5</w:t>
      </w:r>
      <w:r w:rsidRPr="000F48FC">
        <w:rPr>
          <w:szCs w:val="24"/>
        </w:rPr>
        <w:fldChar w:fldCharType="end"/>
      </w:r>
      <w:r w:rsidRPr="000F48FC">
        <w:t xml:space="preserve"> shows the results of the analysis, with the costs of providing DAAs to 30 community customers outweighing the benefits of DAAs by $9,381 per year.</w:t>
      </w:r>
    </w:p>
    <w:p w:rsidR="000F48FC" w:rsidRPr="000F48FC" w:rsidRDefault="000F48FC" w:rsidP="00190DC4">
      <w:pPr>
        <w:pStyle w:val="Caption"/>
      </w:pPr>
      <w:bookmarkStart w:id="73" w:name="_Ref462127202"/>
      <w:bookmarkStart w:id="74" w:name="_Toc523230330"/>
      <w:r w:rsidRPr="000F48FC">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5</w:t>
      </w:r>
      <w:r w:rsidR="00964233">
        <w:rPr>
          <w:noProof/>
        </w:rPr>
        <w:fldChar w:fldCharType="end"/>
      </w:r>
      <w:bookmarkEnd w:id="73"/>
      <w:r w:rsidRPr="000F48FC">
        <w:tab/>
        <w:t>Results of cost-benefit analysis utilising HIC data and patient outcomes</w:t>
      </w:r>
      <w:bookmarkEnd w:id="74"/>
    </w:p>
    <w:tbl>
      <w:tblPr>
        <w:tblStyle w:val="TableGrid3"/>
        <w:tblW w:w="5000" w:type="pct"/>
        <w:tblLook w:val="04A0" w:firstRow="1" w:lastRow="0" w:firstColumn="1" w:lastColumn="0" w:noHBand="0" w:noVBand="1"/>
        <w:tblCaption w:val="Table 4.5"/>
        <w:tblDescription w:val="Results of cost-benefit analysis utilising HIC data and patient outcomes"/>
      </w:tblPr>
      <w:tblGrid>
        <w:gridCol w:w="3209"/>
        <w:gridCol w:w="3209"/>
        <w:gridCol w:w="3210"/>
      </w:tblGrid>
      <w:tr w:rsidR="000F48FC" w:rsidRPr="000F48FC" w:rsidTr="00982A19">
        <w:trPr>
          <w:cnfStyle w:val="100000000000" w:firstRow="1" w:lastRow="0" w:firstColumn="0" w:lastColumn="0" w:oddVBand="0" w:evenVBand="0" w:oddHBand="0" w:evenHBand="0" w:firstRowFirstColumn="0" w:firstRowLastColumn="0" w:lastRowFirstColumn="0" w:lastRowLastColumn="0"/>
        </w:trPr>
        <w:tc>
          <w:tcPr>
            <w:tcW w:w="1666"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Formula</w:t>
            </w:r>
          </w:p>
        </w:tc>
        <w:tc>
          <w:tcPr>
            <w:tcW w:w="1666"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Value</w:t>
            </w:r>
          </w:p>
        </w:tc>
        <w:tc>
          <w:tcPr>
            <w:tcW w:w="1667" w:type="pct"/>
          </w:tcPr>
          <w:p w:rsidR="000F48FC" w:rsidRPr="000F48FC" w:rsidRDefault="000F48FC" w:rsidP="000F48FC">
            <w:pPr>
              <w:keepNext/>
              <w:spacing w:before="40" w:after="0"/>
              <w:rPr>
                <w:rFonts w:eastAsia="Calibri" w:cs="Times New Roman"/>
                <w:b/>
                <w:color w:val="FFFFFF"/>
                <w:sz w:val="18"/>
              </w:rPr>
            </w:pPr>
            <w:r w:rsidRPr="000F48FC">
              <w:rPr>
                <w:rFonts w:eastAsia="Calibri" w:cs="Times New Roman"/>
                <w:b/>
                <w:color w:val="FFFFFF"/>
                <w:sz w:val="18"/>
              </w:rPr>
              <w:t>Perspective</w:t>
            </w:r>
          </w:p>
        </w:tc>
      </w:tr>
      <w:tr w:rsidR="000F48FC" w:rsidRPr="000F48FC" w:rsidTr="00982A19">
        <w:tc>
          <w:tcPr>
            <w:tcW w:w="1666" w:type="pct"/>
          </w:tcPr>
          <w:p w:rsidR="000F48FC" w:rsidRPr="000F48FC" w:rsidRDefault="000F48FC" w:rsidP="000F48FC">
            <w:pPr>
              <w:keepNext/>
              <w:spacing w:before="20" w:after="0"/>
              <w:rPr>
                <w:rFonts w:cs="Times New Roman"/>
                <w:sz w:val="18"/>
              </w:rPr>
            </w:pPr>
            <w:r w:rsidRPr="000F48FC">
              <w:rPr>
                <w:rFonts w:cs="Times New Roman"/>
                <w:sz w:val="18"/>
              </w:rPr>
              <w:t>Total cost OP</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$28,281.93</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pharmacist</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666" w:type="pct"/>
          </w:tcPr>
          <w:p w:rsidR="000F48FC" w:rsidRPr="000F48FC" w:rsidRDefault="000F48FC" w:rsidP="000F48FC">
            <w:pPr>
              <w:keepNext/>
              <w:spacing w:before="20" w:after="0"/>
              <w:rPr>
                <w:rFonts w:cs="Times New Roman"/>
                <w:sz w:val="18"/>
              </w:rPr>
            </w:pPr>
            <w:r w:rsidRPr="000F48FC">
              <w:rPr>
                <w:rFonts w:cs="Times New Roman"/>
                <w:sz w:val="18"/>
              </w:rPr>
              <w:t>Total cost DAA</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$55,769.87</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pharmacist</w:t>
            </w:r>
          </w:p>
        </w:tc>
      </w:tr>
      <w:tr w:rsidR="000F48FC" w:rsidRPr="000F48FC" w:rsidTr="00982A19">
        <w:tc>
          <w:tcPr>
            <w:tcW w:w="1666" w:type="pct"/>
          </w:tcPr>
          <w:p w:rsidR="000F48FC" w:rsidRPr="000F48FC" w:rsidRDefault="000F48FC" w:rsidP="000F48FC">
            <w:pPr>
              <w:keepNext/>
              <w:spacing w:before="20" w:after="0"/>
              <w:rPr>
                <w:rFonts w:cs="Times New Roman"/>
                <w:sz w:val="18"/>
              </w:rPr>
            </w:pPr>
            <w:r w:rsidRPr="000F48FC">
              <w:rPr>
                <w:rFonts w:cs="Times New Roman"/>
                <w:sz w:val="18"/>
              </w:rPr>
              <w:t>Net cost of DAA</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-$27,487.94</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pharmacist</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666" w:type="pct"/>
          </w:tcPr>
          <w:p w:rsidR="000F48FC" w:rsidRPr="000F48FC" w:rsidRDefault="000F48FC" w:rsidP="000F48FC">
            <w:pPr>
              <w:keepNext/>
              <w:spacing w:before="20" w:after="0"/>
              <w:rPr>
                <w:rFonts w:cs="Times New Roman"/>
                <w:sz w:val="18"/>
              </w:rPr>
            </w:pPr>
            <w:r w:rsidRPr="000F48FC">
              <w:rPr>
                <w:rFonts w:cs="Times New Roman"/>
                <w:sz w:val="18"/>
              </w:rPr>
              <w:t>Total HIC and support costs OP</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$103,839.96</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healthcare system</w:t>
            </w:r>
          </w:p>
        </w:tc>
      </w:tr>
      <w:tr w:rsidR="000F48FC" w:rsidRPr="000F48FC" w:rsidTr="00982A19">
        <w:tc>
          <w:tcPr>
            <w:tcW w:w="1666" w:type="pct"/>
          </w:tcPr>
          <w:p w:rsidR="000F48FC" w:rsidRPr="000F48FC" w:rsidRDefault="000F48FC" w:rsidP="000F48FC">
            <w:pPr>
              <w:keepNext/>
              <w:spacing w:before="20" w:after="0"/>
              <w:rPr>
                <w:rFonts w:cs="Times New Roman"/>
                <w:sz w:val="18"/>
              </w:rPr>
            </w:pPr>
            <w:r w:rsidRPr="000F48FC">
              <w:rPr>
                <w:rFonts w:cs="Times New Roman"/>
                <w:sz w:val="18"/>
              </w:rPr>
              <w:t>Total HIC and support costs DAA</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$94,890.33</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healthcare system</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666" w:type="pct"/>
          </w:tcPr>
          <w:p w:rsidR="000F48FC" w:rsidRPr="000F48FC" w:rsidRDefault="000F48FC" w:rsidP="000F48FC">
            <w:pPr>
              <w:keepNext/>
              <w:spacing w:before="20" w:after="0"/>
              <w:rPr>
                <w:rFonts w:cs="Times New Roman"/>
                <w:sz w:val="18"/>
              </w:rPr>
            </w:pPr>
            <w:r w:rsidRPr="000F48FC">
              <w:rPr>
                <w:rFonts w:cs="Times New Roman"/>
                <w:sz w:val="18"/>
              </w:rPr>
              <w:t>Net HIC and support costs</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$8,949.62</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healthcare system</w:t>
            </w:r>
          </w:p>
        </w:tc>
      </w:tr>
      <w:tr w:rsidR="000F48FC" w:rsidRPr="000F48FC" w:rsidTr="00982A19">
        <w:tc>
          <w:tcPr>
            <w:tcW w:w="1666" w:type="pct"/>
          </w:tcPr>
          <w:p w:rsidR="000F48FC" w:rsidRPr="000F48FC" w:rsidRDefault="00285911" w:rsidP="000F48FC">
            <w:pPr>
              <w:keepNext/>
              <w:spacing w:before="20" w:after="0"/>
              <w:rPr>
                <w:rFonts w:cs="Times New Roman"/>
                <w:sz w:val="18"/>
              </w:rPr>
            </w:pPr>
            <w:r>
              <w:rPr>
                <w:rFonts w:cs="Times New Roman"/>
                <w:sz w:val="18"/>
              </w:rPr>
              <w:t>Willingness-to-</w:t>
            </w:r>
            <w:r w:rsidR="000F48FC" w:rsidRPr="000F48FC">
              <w:rPr>
                <w:rFonts w:cs="Times New Roman"/>
                <w:sz w:val="18"/>
              </w:rPr>
              <w:t>pay for DAA</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$9,157.20</w:t>
            </w:r>
          </w:p>
        </w:tc>
        <w:tc>
          <w:tcPr>
            <w:tcW w:w="1667" w:type="pct"/>
          </w:tcPr>
          <w:p w:rsidR="000F48FC" w:rsidRPr="000F48FC" w:rsidRDefault="000F48FC" w:rsidP="000F48FC">
            <w:pPr>
              <w:keepNext/>
              <w:spacing w:before="20" w:after="0"/>
              <w:rPr>
                <w:rFonts w:cs="Times New Roman"/>
                <w:sz w:val="18"/>
              </w:rPr>
            </w:pPr>
            <w:r w:rsidRPr="000F48FC">
              <w:rPr>
                <w:rFonts w:cs="Times New Roman"/>
                <w:sz w:val="18"/>
              </w:rPr>
              <w:t>to patient</w:t>
            </w:r>
          </w:p>
        </w:tc>
      </w:tr>
      <w:tr w:rsidR="000F48FC" w:rsidRPr="000F48FC" w:rsidTr="00982A19">
        <w:trPr>
          <w:cnfStyle w:val="000000010000" w:firstRow="0" w:lastRow="0" w:firstColumn="0" w:lastColumn="0" w:oddVBand="0" w:evenVBand="0" w:oddHBand="0" w:evenHBand="1" w:firstRowFirstColumn="0" w:firstRowLastColumn="0" w:lastRowFirstColumn="0" w:lastRowLastColumn="0"/>
        </w:trPr>
        <w:tc>
          <w:tcPr>
            <w:tcW w:w="1666" w:type="pct"/>
          </w:tcPr>
          <w:p w:rsidR="000F48FC" w:rsidRPr="000F48FC" w:rsidRDefault="000F48FC" w:rsidP="000F48FC">
            <w:pPr>
              <w:keepNext/>
              <w:spacing w:before="20" w:after="0"/>
              <w:rPr>
                <w:rFonts w:cs="Times New Roman"/>
                <w:sz w:val="18"/>
              </w:rPr>
            </w:pPr>
            <w:r w:rsidRPr="000F48FC">
              <w:rPr>
                <w:rFonts w:cs="Times New Roman"/>
                <w:sz w:val="18"/>
              </w:rPr>
              <w:t>Net social benefit (or cost)</w:t>
            </w:r>
          </w:p>
        </w:tc>
        <w:tc>
          <w:tcPr>
            <w:tcW w:w="1666" w:type="pct"/>
          </w:tcPr>
          <w:p w:rsidR="000F48FC" w:rsidRPr="000F48FC" w:rsidRDefault="000F48FC" w:rsidP="000F48FC">
            <w:pPr>
              <w:keepNext/>
              <w:spacing w:before="20" w:after="0"/>
              <w:rPr>
                <w:rFonts w:cs="Times New Roman"/>
                <w:sz w:val="18"/>
              </w:rPr>
            </w:pPr>
            <w:r w:rsidRPr="000F48FC">
              <w:rPr>
                <w:rFonts w:cs="Times New Roman"/>
                <w:sz w:val="18"/>
              </w:rPr>
              <w:t>-$9,381.12</w:t>
            </w:r>
          </w:p>
        </w:tc>
        <w:tc>
          <w:tcPr>
            <w:tcW w:w="1667" w:type="pct"/>
          </w:tcPr>
          <w:p w:rsidR="000F48FC" w:rsidRPr="000F48FC" w:rsidRDefault="000F48FC" w:rsidP="000F48FC">
            <w:pPr>
              <w:keepNext/>
              <w:spacing w:before="20" w:after="0"/>
              <w:rPr>
                <w:rFonts w:cs="Times New Roman"/>
                <w:sz w:val="18"/>
              </w:rPr>
            </w:pPr>
          </w:p>
        </w:tc>
      </w:tr>
    </w:tbl>
    <w:p w:rsidR="000F48FC" w:rsidRPr="000F48FC" w:rsidRDefault="000F48FC" w:rsidP="00190DC4">
      <w:pPr>
        <w:pStyle w:val="08Tablefootnotes"/>
      </w:pPr>
      <w:r w:rsidRPr="000F48FC">
        <w:t>Source: Phase 3 Final Report (2006), Table 9.17, p. 225</w:t>
      </w:r>
    </w:p>
    <w:p w:rsidR="000F48FC" w:rsidRPr="000F48FC" w:rsidRDefault="000F48FC" w:rsidP="00190DC4">
      <w:pPr>
        <w:pStyle w:val="09Tablefootnoteslast-nostick"/>
      </w:pPr>
      <w:r w:rsidRPr="000F48FC">
        <w:t>Abbreviations: DAA, Dose Administration Aid; HIC, Health insurance commission; OP, original pack.</w:t>
      </w:r>
    </w:p>
    <w:p w:rsidR="000F48FC" w:rsidRPr="000F48FC" w:rsidRDefault="000F48FC" w:rsidP="007F0770">
      <w:pPr>
        <w:pStyle w:val="Heading3"/>
      </w:pPr>
      <w:bookmarkStart w:id="75" w:name="_Toc523230288"/>
      <w:r w:rsidRPr="000F48FC">
        <w:t>Summary of main findings of the economic evaluation</w:t>
      </w:r>
      <w:bookmarkEnd w:id="75"/>
    </w:p>
    <w:p w:rsidR="000F48FC" w:rsidRPr="000F48FC" w:rsidRDefault="000F48FC" w:rsidP="00AE0FF3">
      <w:pPr>
        <w:pStyle w:val="BodyText"/>
      </w:pPr>
      <w:r w:rsidRPr="00190DC4">
        <w:rPr>
          <w:rStyle w:val="BodyTextChar"/>
        </w:rPr>
        <w:t>The provision of DAAs by pharmacists is expected to cost $27,488 extra to supply DAAs to</w:t>
      </w:r>
      <w:r w:rsidRPr="000F48FC">
        <w:t xml:space="preserve"> 30 community customers for one year, compared with supplying 30 community customers with OPs. The cost of DAA provision may be offset by some savings to the healthcare system due to the prevention of ADRs. A difference in the rate of ADRs and consequences in terms of service use translates to a potential saving for the DAA group of $5,040 in one year. However, consideration of a full range of service use (HIC and patient support services) failed to result in cost savings to offset the cost of DAA supply. The DAA group costs exceeded the OP group costs by over $45,040 in one year. DAAs were considered to have direct benefits to the customers using them that were measured through WTP. Community customers using DAAs were willing to pay a mean of $5.61 per DAA/per week in Phase 3 of the evaluation. This equates to a total of $8,752 per 30 customers per year. A closer investigation of costs and benefits to patients living in the community suggest a considerable reduction in additional costs of DAAs, a net social cost of $9,381 for 30 patients over 12 months. </w:t>
      </w:r>
    </w:p>
    <w:p w:rsidR="000F48FC" w:rsidRPr="000F48FC" w:rsidRDefault="000F48FC" w:rsidP="00AE0FF3">
      <w:pPr>
        <w:pStyle w:val="BodyText"/>
      </w:pPr>
      <w:r w:rsidRPr="000F48FC">
        <w:t xml:space="preserve">Sensitivity analyses confirmed that costs associated with DAAs were considerably higher than benefits to the health care system where benefits are measured by patient </w:t>
      </w:r>
      <w:r w:rsidR="00285911">
        <w:t>WTP</w:t>
      </w:r>
      <w:r w:rsidRPr="000F48FC">
        <w:t xml:space="preserve"> for a service for which they have been traditionally undercharged (pharmacies charged an average of $3.50/week in Phase 2 despite average costs to the pharmacy of $17.62/week). </w:t>
      </w:r>
    </w:p>
    <w:p w:rsidR="000F48FC" w:rsidRPr="000F48FC" w:rsidRDefault="000F48FC" w:rsidP="00AE0FF3">
      <w:pPr>
        <w:pStyle w:val="BodyText"/>
      </w:pPr>
      <w:r w:rsidRPr="000F48FC">
        <w:t>The authors acknowledged a range of study limitation, including significant differences between the OP and DAA patient groups, patients lost to follow-up, lack of randomisation, and lack of baseline data to monitor improvements in health associated with using a DAA. DAA patients in this study were sicker, had higher health service utilisation rates and higher costs. From a quality use of medicine perspective, the fact that DAA patients were utilising health services more frequently than OP patients could suggest that DAA patients were more proactive in maintaining their health and were therefore more likely to frequent a health professional</w:t>
      </w:r>
      <w:r w:rsidR="007E1F30">
        <w:t>,</w:t>
      </w:r>
      <w:r w:rsidRPr="000F48FC">
        <w:t xml:space="preserve"> or that better monitoring with appropriate action is taken. Other limitati</w:t>
      </w:r>
      <w:r w:rsidR="00E6035A">
        <w:t>ons included not using a health-</w:t>
      </w:r>
      <w:r w:rsidRPr="000F48FC">
        <w:t>related utility instrument (such as the EQ5D) at intermittent data collection intervals to enable change in health to be monitored.</w:t>
      </w:r>
    </w:p>
    <w:p w:rsidR="00D04387" w:rsidRPr="000F48FC" w:rsidRDefault="00D04387" w:rsidP="00D04387">
      <w:pPr>
        <w:pStyle w:val="Heading2"/>
      </w:pPr>
      <w:bookmarkStart w:id="76" w:name="_Toc523230289"/>
      <w:r w:rsidRPr="000F48FC">
        <w:t>4CPA DAA/PMP Evaluation by PricewaterhouseCoopers 2010</w:t>
      </w:r>
      <w:bookmarkEnd w:id="76"/>
    </w:p>
    <w:p w:rsidR="00D04387" w:rsidRPr="000F48FC" w:rsidRDefault="00D04387" w:rsidP="00D04387">
      <w:pPr>
        <w:pStyle w:val="Bodytextbeforebullets"/>
      </w:pPr>
      <w:r w:rsidRPr="000F48FC">
        <w:t xml:space="preserve">PricewaterhouseCoopers (PwC) was commissioned by the Department of Health to conduct an evaluation of the DAA/Patient Medication Profile (PMP) programs implemented by the Pharmacy Guild of Australia as part of the Research and Development program undertaken within the </w:t>
      </w:r>
      <w:r w:rsidR="00CB3B86">
        <w:t>3</w:t>
      </w:r>
      <w:r w:rsidRPr="000F48FC">
        <w:t xml:space="preserve">CPA </w:t>
      </w:r>
      <w:r w:rsidRPr="000F48FC">
        <w:lastRenderedPageBreak/>
        <w:t>(PwC 2010). The DAA program was implemented in two phases and was available to all Section 90 pharmacies in Australia:</w:t>
      </w:r>
    </w:p>
    <w:p w:rsidR="00D04387" w:rsidRPr="000F48FC" w:rsidRDefault="00D04387" w:rsidP="00D04387">
      <w:pPr>
        <w:pStyle w:val="Bullettext"/>
      </w:pPr>
      <w:r w:rsidRPr="000F48FC">
        <w:t>Phase 1: September 2007 to June 2009.</w:t>
      </w:r>
    </w:p>
    <w:p w:rsidR="00D04387" w:rsidRPr="000F48FC" w:rsidRDefault="00D04387" w:rsidP="00D04387">
      <w:pPr>
        <w:pStyle w:val="Bullettext"/>
      </w:pPr>
      <w:r w:rsidRPr="000F48FC">
        <w:t>Phase 2: July 2009 to June 2010.</w:t>
      </w:r>
    </w:p>
    <w:p w:rsidR="00D04387" w:rsidRPr="000F48FC" w:rsidRDefault="00D04387" w:rsidP="00D04387">
      <w:pPr>
        <w:pStyle w:val="BodyText"/>
      </w:pPr>
      <w:r w:rsidRPr="000F48FC">
        <w:t xml:space="preserve">The aim of the DAA program was to provide an opportunity for eligible patients to remain living effectively and confidently within their own homes, through better medication management from accessing a DAA service through their local community pharmacy. The DAA program aimed to reduce medication-related hospitalisation and adverse events through improving medication management and adherence for people in the community. </w:t>
      </w:r>
    </w:p>
    <w:p w:rsidR="00D04387" w:rsidRPr="000F48FC" w:rsidRDefault="00D04387" w:rsidP="00D04387">
      <w:pPr>
        <w:pStyle w:val="BodyText"/>
      </w:pPr>
      <w:r w:rsidRPr="000F48FC">
        <w:t>The PMP program, which also aimed to reduce the risk of medication-related adverse events, was also implemented in two phases: Phase 1 – April 2008 to June 2009; Phase 2 – July 2009 to June 2010. As such, many pharmacies offered both programs and many patients received multiple services, making it difficult to estimate the unique impact of DAAs or PMPs on costs and health outcomes.</w:t>
      </w:r>
    </w:p>
    <w:p w:rsidR="00D04387" w:rsidRPr="000F48FC" w:rsidRDefault="00D04387" w:rsidP="00D04387">
      <w:pPr>
        <w:pStyle w:val="BodyText"/>
      </w:pPr>
      <w:r w:rsidRPr="000F48FC">
        <w:t xml:space="preserve">The purpose of the 2010 evaluation was to review existing data and evidence for the DAA and PMP programs, to inform the potential patient and pharmacy benefits in providing these services to the Australian community, as well as inform any potential value of future government investment. The overall approach to the evaluation was one of program effectiveness evaluation, rather than an intervention efficacy approach. Due to the limitations of the DAA program data (including missing data, lack of comparable data across phases, limited data on health outcomes of patients, and lack of data to undertake a robust </w:t>
      </w:r>
      <w:r w:rsidR="007E1F30">
        <w:t>CBA</w:t>
      </w:r>
      <w:r w:rsidRPr="000F48FC">
        <w:t xml:space="preserve">), corroborative data from existing research, the PBS (for the purpose of describing medication use and the associated costs), and the admitted patient care National Minimum Data Set (NMDS) were used, with information on core subgroups extrapolated from one data set to another. </w:t>
      </w:r>
    </w:p>
    <w:p w:rsidR="00D04387" w:rsidRPr="000F48FC" w:rsidRDefault="00D04387" w:rsidP="00D04387">
      <w:pPr>
        <w:pStyle w:val="BodyText"/>
      </w:pPr>
      <w:r w:rsidRPr="000F48FC">
        <w:t xml:space="preserve">The admitted patient care NMDS was obtained for the purpose of providing an overview of medication-related incidents in the Australian hospital setting. The cohort of patients participating in the DAA program were referenced to the trends and outcomes on similar subgroups in the national data sets describing acute patient care and medications usage. However, a major limitation is that data on hospitalisations from the NMDS may not provide accurate measures of the incidence or prevalence of conditions because not all people with a type or degree of illness are treated in hospital and there are multiple admissions for some chronic conditions. </w:t>
      </w:r>
    </w:p>
    <w:p w:rsidR="00D04387" w:rsidRPr="000F48FC" w:rsidRDefault="00D04387" w:rsidP="00D04387">
      <w:pPr>
        <w:pStyle w:val="Heading3"/>
      </w:pPr>
      <w:bookmarkStart w:id="77" w:name="_Ref462845833"/>
      <w:bookmarkStart w:id="78" w:name="_Toc523230290"/>
      <w:r w:rsidRPr="000F48FC">
        <w:t>Medication-related incidents in Australia</w:t>
      </w:r>
      <w:bookmarkEnd w:id="77"/>
      <w:bookmarkEnd w:id="78"/>
    </w:p>
    <w:p w:rsidR="00D04387" w:rsidRPr="000F48FC" w:rsidRDefault="00D04387" w:rsidP="00D04387">
      <w:r w:rsidRPr="00AC73FE">
        <w:rPr>
          <w:rStyle w:val="BodyTextChar"/>
        </w:rPr>
        <w:t>The evaluation found that in 2007/2008, there were 133,369 separations due to medication-related incidents. Approximately 45.0% of all medication-related admissions were for patients aged 65 or over, approximately 58.0% were female and the majority were assigned as emergency. The average length of stay (LOS) (including same-day separations) in hospitals for medication-related admissions was 8.3 days, which was substantially higher than LOS for all patient admissions (3.3 days).</w:t>
      </w:r>
      <w:r w:rsidR="00E6035A">
        <w:rPr>
          <w:rStyle w:val="BodyTextChar"/>
        </w:rPr>
        <w:t xml:space="preserve"> The contribution of medication-</w:t>
      </w:r>
      <w:r w:rsidRPr="00AC73FE">
        <w:rPr>
          <w:rStyle w:val="BodyTextChar"/>
        </w:rPr>
        <w:t>related adverse events to hospitalisations in Australia over the period 2009-2010 was estimated at $660 million. Australians aged 85 years and over were taking approximately 5.7 medications in March 2009, compared to 5.1 medications for those aged between 75 and 84 years</w:t>
      </w:r>
      <w:r w:rsidRPr="000F48FC">
        <w:t>.</w:t>
      </w:r>
    </w:p>
    <w:p w:rsidR="00D04387" w:rsidRPr="000F48FC" w:rsidRDefault="00D04387" w:rsidP="00D04387">
      <w:pPr>
        <w:pStyle w:val="Bodytextbeforebullets"/>
      </w:pPr>
      <w:r w:rsidRPr="000F48FC">
        <w:lastRenderedPageBreak/>
        <w:t>The evaluation outlined a number of risk factors for non-adherence with medication, based on multiple sources of data (existing literature, DAA and PMP service data, admitted patient care data and PBS data). These included:</w:t>
      </w:r>
    </w:p>
    <w:p w:rsidR="00D04387" w:rsidRPr="000F48FC" w:rsidRDefault="00D04387" w:rsidP="00D04387">
      <w:pPr>
        <w:pStyle w:val="Bullettext"/>
      </w:pPr>
      <w:r w:rsidRPr="000F48FC">
        <w:t>individuals on five or more medicines;</w:t>
      </w:r>
    </w:p>
    <w:p w:rsidR="00D04387" w:rsidRPr="000F48FC" w:rsidRDefault="00D04387" w:rsidP="00D04387">
      <w:pPr>
        <w:pStyle w:val="Bullettext"/>
      </w:pPr>
      <w:r w:rsidRPr="000F48FC">
        <w:t>individuals aged 65 years and over;</w:t>
      </w:r>
    </w:p>
    <w:p w:rsidR="00D04387" w:rsidRPr="000F48FC" w:rsidRDefault="00D04387" w:rsidP="00D04387">
      <w:pPr>
        <w:pStyle w:val="Bullettext"/>
      </w:pPr>
      <w:r w:rsidRPr="000F48FC">
        <w:t>individuals who do not have access to social support or live alone;</w:t>
      </w:r>
    </w:p>
    <w:p w:rsidR="00D04387" w:rsidRPr="000F48FC" w:rsidRDefault="00D04387" w:rsidP="00D04387">
      <w:pPr>
        <w:pStyle w:val="Bullettext"/>
      </w:pPr>
      <w:r w:rsidRPr="000F48FC">
        <w:t>nature of the condition and complex medication regimens.</w:t>
      </w:r>
    </w:p>
    <w:p w:rsidR="00D04387" w:rsidRPr="000F48FC" w:rsidRDefault="00D04387" w:rsidP="00D04387">
      <w:pPr>
        <w:pStyle w:val="BodyText"/>
      </w:pPr>
      <w:r w:rsidRPr="000F48FC">
        <w:t xml:space="preserve">Patients bearing signs of cognitive/physical impairment (with the exception of psychiatric patients) are also more likely to display poor adherence with their medication regimen. </w:t>
      </w:r>
    </w:p>
    <w:p w:rsidR="00D04387" w:rsidRPr="000F48FC" w:rsidRDefault="00D04387" w:rsidP="00D04387">
      <w:pPr>
        <w:pStyle w:val="Heading3"/>
      </w:pPr>
      <w:bookmarkStart w:id="79" w:name="_Toc523230291"/>
      <w:r w:rsidRPr="000F48FC">
        <w:t>Key findings relating to the DAA program</w:t>
      </w:r>
      <w:bookmarkEnd w:id="79"/>
    </w:p>
    <w:p w:rsidR="00D04387" w:rsidRPr="000F48FC" w:rsidRDefault="00D04387" w:rsidP="00D04387">
      <w:pPr>
        <w:pStyle w:val="BodyText"/>
      </w:pPr>
      <w:r w:rsidRPr="000F48FC">
        <w:t xml:space="preserve">The evaluation found that in the absence of any specific patient eligibility criteria for participation, pharmacists were successful in targeting populations that are thought to be at risk of non-adherence with medication. </w:t>
      </w:r>
      <w:r w:rsidR="00674F3B">
        <w:t xml:space="preserve"> </w:t>
      </w:r>
      <w:r w:rsidRPr="000F48FC">
        <w:t xml:space="preserve">Only 10% of patients who were recruited to these services were found to have no risk factors. </w:t>
      </w:r>
    </w:p>
    <w:p w:rsidR="00982A19" w:rsidRDefault="00D04387" w:rsidP="00D04387">
      <w:pPr>
        <w:pStyle w:val="BodyText"/>
      </w:pPr>
      <w:r w:rsidRPr="000F48FC">
        <w:rPr>
          <w:szCs w:val="24"/>
        </w:rPr>
        <w:fldChar w:fldCharType="begin"/>
      </w:r>
      <w:r w:rsidRPr="000F48FC">
        <w:rPr>
          <w:szCs w:val="24"/>
        </w:rPr>
        <w:instrText xml:space="preserve"> REF _Ref462226274 \h  \* MERGEFORMAT </w:instrText>
      </w:r>
      <w:r w:rsidRPr="000F48FC">
        <w:rPr>
          <w:szCs w:val="24"/>
        </w:rPr>
      </w:r>
      <w:r w:rsidRPr="000F48FC">
        <w:rPr>
          <w:szCs w:val="24"/>
        </w:rPr>
        <w:fldChar w:fldCharType="separate"/>
      </w:r>
      <w:r w:rsidR="00964233" w:rsidRPr="00964233">
        <w:rPr>
          <w:iCs/>
          <w:szCs w:val="24"/>
        </w:rPr>
        <w:t xml:space="preserve">Table </w:t>
      </w:r>
      <w:r w:rsidR="00964233" w:rsidRPr="00964233">
        <w:rPr>
          <w:iCs/>
          <w:noProof/>
          <w:szCs w:val="24"/>
        </w:rPr>
        <w:t>4.6</w:t>
      </w:r>
      <w:r w:rsidRPr="000F48FC">
        <w:rPr>
          <w:szCs w:val="24"/>
        </w:rPr>
        <w:fldChar w:fldCharType="end"/>
      </w:r>
      <w:r w:rsidRPr="000F48FC">
        <w:t xml:space="preserve"> summarises the main findings of the evaluation in relation to the DAA initiative.</w:t>
      </w:r>
    </w:p>
    <w:p w:rsidR="00D04387" w:rsidRPr="000F48FC" w:rsidRDefault="00D04387" w:rsidP="00D04387">
      <w:pPr>
        <w:pStyle w:val="Caption"/>
      </w:pPr>
      <w:bookmarkStart w:id="80" w:name="_Ref462226274"/>
      <w:bookmarkStart w:id="81" w:name="_Toc523230331"/>
      <w:r w:rsidRPr="000F48FC">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6</w:t>
      </w:r>
      <w:r w:rsidR="00964233">
        <w:rPr>
          <w:noProof/>
        </w:rPr>
        <w:fldChar w:fldCharType="end"/>
      </w:r>
      <w:bookmarkEnd w:id="80"/>
      <w:r w:rsidRPr="000F48FC">
        <w:tab/>
        <w:t>Main findings of the PwC 2010 evaluation-DAAs</w:t>
      </w:r>
      <w:bookmarkEnd w:id="81"/>
    </w:p>
    <w:tbl>
      <w:tblPr>
        <w:tblStyle w:val="TableGrid3"/>
        <w:tblW w:w="5000" w:type="pct"/>
        <w:tblLayout w:type="fixed"/>
        <w:tblLook w:val="04A0" w:firstRow="1" w:lastRow="0" w:firstColumn="1" w:lastColumn="0" w:noHBand="0" w:noVBand="1"/>
        <w:tblCaption w:val="Table 4.6"/>
        <w:tblDescription w:val="Main findings of the PwC 2010 evaluation-DAAs"/>
      </w:tblPr>
      <w:tblGrid>
        <w:gridCol w:w="4390"/>
        <w:gridCol w:w="5238"/>
      </w:tblGrid>
      <w:tr w:rsidR="00D04387" w:rsidRPr="000F48FC" w:rsidTr="00674F3B">
        <w:trPr>
          <w:cnfStyle w:val="100000000000" w:firstRow="1" w:lastRow="0" w:firstColumn="0" w:lastColumn="0" w:oddVBand="0" w:evenVBand="0" w:oddHBand="0" w:evenHBand="0" w:firstRowFirstColumn="0" w:firstRowLastColumn="0" w:lastRowFirstColumn="0" w:lastRowLastColumn="0"/>
        </w:trPr>
        <w:tc>
          <w:tcPr>
            <w:tcW w:w="2280" w:type="pct"/>
            <w:vAlign w:val="center"/>
          </w:tcPr>
          <w:p w:rsidR="00D04387" w:rsidRPr="000F48FC" w:rsidRDefault="00D04387" w:rsidP="0075518E">
            <w:pPr>
              <w:pStyle w:val="01Tableheaderrow"/>
              <w:keepNext w:val="0"/>
            </w:pPr>
            <w:r w:rsidRPr="000F48FC">
              <w:t>Domain</w:t>
            </w:r>
          </w:p>
        </w:tc>
        <w:tc>
          <w:tcPr>
            <w:tcW w:w="2720" w:type="pct"/>
            <w:vAlign w:val="center"/>
          </w:tcPr>
          <w:p w:rsidR="00D04387" w:rsidRPr="000F48FC" w:rsidRDefault="00D04387" w:rsidP="00982A19">
            <w:pPr>
              <w:pStyle w:val="01Tableheaderrow"/>
              <w:keepNext w:val="0"/>
              <w:jc w:val="center"/>
            </w:pPr>
            <w:r w:rsidRPr="000F48FC">
              <w:t>Key findings</w:t>
            </w:r>
          </w:p>
        </w:tc>
      </w:tr>
      <w:tr w:rsidR="00D04387" w:rsidRPr="000F48FC" w:rsidTr="00674F3B">
        <w:tc>
          <w:tcPr>
            <w:tcW w:w="2280" w:type="pct"/>
            <w:shd w:val="clear" w:color="auto" w:fill="000000" w:themeFill="text1"/>
          </w:tcPr>
          <w:p w:rsidR="00D04387" w:rsidRPr="000F48FC" w:rsidRDefault="00D04387" w:rsidP="0075518E">
            <w:pPr>
              <w:pStyle w:val="01Tableheadingorsubheading"/>
              <w:keepNext w:val="0"/>
            </w:pPr>
            <w:r w:rsidRPr="000F48FC">
              <w:t>Pharmacy results</w:t>
            </w:r>
          </w:p>
        </w:tc>
        <w:tc>
          <w:tcPr>
            <w:tcW w:w="2720" w:type="pct"/>
            <w:shd w:val="clear" w:color="auto" w:fill="000000" w:themeFill="text1"/>
          </w:tcPr>
          <w:p w:rsidR="00D04387" w:rsidRPr="000F48FC" w:rsidRDefault="00D04387" w:rsidP="0075518E">
            <w:pPr>
              <w:pStyle w:val="01Tableheadingorsubheading"/>
              <w:keepNext w:val="0"/>
            </w:pP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Rates of completion of pharmacies in Phase 1 and Phase 2 of the DAA program</w:t>
            </w:r>
          </w:p>
        </w:tc>
        <w:tc>
          <w:tcPr>
            <w:tcW w:w="2720" w:type="pct"/>
            <w:shd w:val="clear" w:color="auto" w:fill="auto"/>
          </w:tcPr>
          <w:p w:rsidR="00D04387" w:rsidRPr="000F48FC" w:rsidRDefault="00D04387" w:rsidP="0075518E">
            <w:pPr>
              <w:pStyle w:val="02Tabletext"/>
              <w:keepNext w:val="0"/>
            </w:pPr>
            <w:r w:rsidRPr="000F48FC">
              <w:t xml:space="preserve">Retention of both pharmacies and patients was high in both Phase 1 and Phase 2 of the DAA program, with retention slightly higher in Phase 2 – approximately 82.0% of pharmacies and 79.0% of patients remained in the program at the end of April 2010. </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Characteristics of the pharmacies who participated in Phase 1 of the DAA program</w:t>
            </w:r>
          </w:p>
        </w:tc>
        <w:tc>
          <w:tcPr>
            <w:tcW w:w="2720" w:type="pct"/>
            <w:shd w:val="clear" w:color="auto" w:fill="DEEAF6" w:themeFill="accent1" w:themeFillTint="33"/>
          </w:tcPr>
          <w:p w:rsidR="00D04387" w:rsidRPr="000F48FC" w:rsidRDefault="00D04387" w:rsidP="0075518E">
            <w:pPr>
              <w:pStyle w:val="02Tabletext"/>
              <w:keepNext w:val="0"/>
            </w:pPr>
            <w:r w:rsidRPr="000F48FC">
              <w:t>A broad range of pharmacies participated in the DAA program. The distribution of participating pharmacies across State, PhARIA and SEIFA was representative of community pharmacies nationally, suggesting that there may be no ‘type’ of pharmacy which is more likely to opt-in to providing the DAA service. These results also suggest that the results from the DAA program are likely to be generalisable to pharmacies nationally.</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Length of time pharmacies had been providing the DAA service</w:t>
            </w:r>
          </w:p>
        </w:tc>
        <w:tc>
          <w:tcPr>
            <w:tcW w:w="2720" w:type="pct"/>
            <w:shd w:val="clear" w:color="auto" w:fill="auto"/>
          </w:tcPr>
          <w:p w:rsidR="00D04387" w:rsidRPr="000F48FC" w:rsidRDefault="00D04387" w:rsidP="0075518E">
            <w:pPr>
              <w:pStyle w:val="02Tabletext"/>
              <w:keepNext w:val="0"/>
            </w:pPr>
            <w:r w:rsidRPr="000F48FC">
              <w:t xml:space="preserve">In Phase 1, very few pharmacies were new to providing the DAA service on entry to the program; approximately 99% reported that they had been providing the service for at least three months, with the vast majority having provided it for more than 24 months. </w:t>
            </w:r>
          </w:p>
          <w:p w:rsidR="00D04387" w:rsidRPr="000F48FC" w:rsidRDefault="00D04387" w:rsidP="0075518E">
            <w:pPr>
              <w:pStyle w:val="02Tabletext"/>
              <w:keepNext w:val="0"/>
            </w:pPr>
            <w:r w:rsidRPr="000F48FC">
              <w:t>Note: these data were not collected for Phase 2.</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Provision frequency of DAAs</w:t>
            </w:r>
          </w:p>
        </w:tc>
        <w:tc>
          <w:tcPr>
            <w:tcW w:w="2720" w:type="pct"/>
            <w:shd w:val="clear" w:color="auto" w:fill="DEEAF6" w:themeFill="accent1" w:themeFillTint="33"/>
          </w:tcPr>
          <w:p w:rsidR="00D04387" w:rsidRPr="000F48FC" w:rsidRDefault="00D04387" w:rsidP="0075518E">
            <w:pPr>
              <w:pStyle w:val="02Tabletext"/>
              <w:keepNext w:val="0"/>
            </w:pPr>
            <w:r w:rsidRPr="000F48FC">
              <w:t xml:space="preserve">In Phase 1, the majority of pharmacies (75.5%) reported that they provide DAAs to their patients on a weekly basis, 18.6% on a fortnightly basis and 3.4% on a monthly basis. </w:t>
            </w:r>
          </w:p>
          <w:p w:rsidR="00D04387" w:rsidRPr="000F48FC" w:rsidRDefault="00D04387" w:rsidP="0075518E">
            <w:pPr>
              <w:pStyle w:val="02Tabletext"/>
              <w:keepNext w:val="0"/>
            </w:pPr>
            <w:r w:rsidRPr="000F48FC">
              <w:t>Note: these data were not collected for Phase 2.</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Packaging brands used for DAAs</w:t>
            </w:r>
          </w:p>
        </w:tc>
        <w:tc>
          <w:tcPr>
            <w:tcW w:w="2720" w:type="pct"/>
            <w:shd w:val="clear" w:color="auto" w:fill="auto"/>
          </w:tcPr>
          <w:p w:rsidR="00D04387" w:rsidRPr="000F48FC" w:rsidRDefault="00D04387" w:rsidP="0075518E">
            <w:pPr>
              <w:pStyle w:val="02Tabletext"/>
              <w:keepNext w:val="0"/>
            </w:pPr>
            <w:r w:rsidRPr="000F48FC">
              <w:t>In both Phase 1 and Phase 2, Manrex Webstercare was the most commonly used brand and was used by nearly 60.0% of pharmacies, which was followed by QuickPAK for WiniFRED (approximately 13.0%).</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Type of medicines packed in the DAA</w:t>
            </w:r>
          </w:p>
        </w:tc>
        <w:tc>
          <w:tcPr>
            <w:tcW w:w="2720" w:type="pct"/>
            <w:shd w:val="clear" w:color="auto" w:fill="DEEAF6" w:themeFill="accent1" w:themeFillTint="33"/>
          </w:tcPr>
          <w:p w:rsidR="00D04387" w:rsidRPr="000F48FC" w:rsidRDefault="00D04387" w:rsidP="0075518E">
            <w:pPr>
              <w:pStyle w:val="02Tabletext"/>
              <w:keepNext w:val="0"/>
            </w:pPr>
            <w:r w:rsidRPr="000F48FC">
              <w:t>In Phase 1, approximately 31.0% of pharmacies reported that they packed non-prescribed medications in the DAA, while the remaining 69.0% did not.</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lastRenderedPageBreak/>
              <w:t>Other 4CPA services provided by the pharmacy</w:t>
            </w:r>
          </w:p>
        </w:tc>
        <w:tc>
          <w:tcPr>
            <w:tcW w:w="2720" w:type="pct"/>
            <w:shd w:val="clear" w:color="auto" w:fill="auto"/>
          </w:tcPr>
          <w:p w:rsidR="00D04387" w:rsidRPr="000F48FC" w:rsidRDefault="00D04387" w:rsidP="0075518E">
            <w:pPr>
              <w:pStyle w:val="02Tabletext"/>
              <w:keepNext w:val="0"/>
            </w:pPr>
            <w:r w:rsidRPr="000F48FC">
              <w:t xml:space="preserve">The majority of participating pharmacies in Phase 2 reported providing other 4CPA funded pharmacy services, with the most common being HMRs and PMPs. </w:t>
            </w:r>
          </w:p>
          <w:p w:rsidR="00D04387" w:rsidRPr="000F48FC" w:rsidRDefault="00D04387" w:rsidP="0075518E">
            <w:pPr>
              <w:pStyle w:val="02Tabletext"/>
              <w:keepNext w:val="0"/>
            </w:pPr>
            <w:r w:rsidRPr="000F48FC">
              <w:t>Note: these data were not collected in Phase 1.</w:t>
            </w:r>
          </w:p>
        </w:tc>
      </w:tr>
      <w:tr w:rsidR="00D04387" w:rsidRPr="000F48FC" w:rsidTr="00674F3B">
        <w:tc>
          <w:tcPr>
            <w:tcW w:w="2280" w:type="pct"/>
            <w:shd w:val="clear" w:color="auto" w:fill="000000" w:themeFill="text1"/>
          </w:tcPr>
          <w:p w:rsidR="00D04387" w:rsidRPr="000F48FC" w:rsidRDefault="00D04387" w:rsidP="00674F3B">
            <w:pPr>
              <w:pStyle w:val="01Tableheadingorsubheading"/>
              <w:widowControl w:val="0"/>
            </w:pPr>
            <w:r w:rsidRPr="000F48FC">
              <w:t>Patient results</w:t>
            </w:r>
          </w:p>
        </w:tc>
        <w:tc>
          <w:tcPr>
            <w:tcW w:w="2720" w:type="pct"/>
            <w:shd w:val="clear" w:color="auto" w:fill="000000" w:themeFill="text1"/>
          </w:tcPr>
          <w:p w:rsidR="00D04387" w:rsidRPr="000F48FC" w:rsidRDefault="00D04387" w:rsidP="00674F3B">
            <w:pPr>
              <w:pStyle w:val="01Tableheadingorsubheading"/>
              <w:widowControl w:val="0"/>
            </w:pP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Rates of completion of patients in Phase 1 and Phase 2 of the DAA program</w:t>
            </w:r>
          </w:p>
        </w:tc>
        <w:tc>
          <w:tcPr>
            <w:tcW w:w="2720" w:type="pct"/>
            <w:shd w:val="clear" w:color="auto" w:fill="auto"/>
          </w:tcPr>
          <w:p w:rsidR="00D04387" w:rsidRPr="000F48FC" w:rsidRDefault="00D04387" w:rsidP="0075518E">
            <w:pPr>
              <w:pStyle w:val="02Tabletext"/>
              <w:keepNext w:val="0"/>
            </w:pPr>
            <w:r w:rsidRPr="000F48FC">
              <w:t>Approximately 75% and 79% of patients completed Phase 1 and Phase 2, respectively, of the DAA program.</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Age and gender of participating DAA patients</w:t>
            </w:r>
          </w:p>
        </w:tc>
        <w:tc>
          <w:tcPr>
            <w:tcW w:w="2720" w:type="pct"/>
            <w:shd w:val="clear" w:color="auto" w:fill="DEEAF6" w:themeFill="accent1" w:themeFillTint="33"/>
          </w:tcPr>
          <w:p w:rsidR="00D04387" w:rsidRPr="000F48FC" w:rsidRDefault="00D04387" w:rsidP="0075518E">
            <w:pPr>
              <w:pStyle w:val="02Tabletext"/>
              <w:keepNext w:val="0"/>
            </w:pPr>
            <w:r w:rsidRPr="000F48FC">
              <w:t>In both phases, most participating patients were aged 55 years or older. For both phases, the largest proportion of participants were aged 75 to 84 years, and the 85 to 94 age category was the second most common. These older groups accounted for approximately half of the participants. Approximately 59.0% of patients were females.</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Geographic characteristics of DAA patients</w:t>
            </w:r>
          </w:p>
        </w:tc>
        <w:tc>
          <w:tcPr>
            <w:tcW w:w="2720" w:type="pct"/>
            <w:shd w:val="clear" w:color="auto" w:fill="auto"/>
          </w:tcPr>
          <w:p w:rsidR="00D04387" w:rsidRPr="000F48FC" w:rsidRDefault="00D04387" w:rsidP="0075518E">
            <w:pPr>
              <w:pStyle w:val="02Tabletext"/>
              <w:keepNext w:val="0"/>
            </w:pPr>
            <w:r w:rsidRPr="000F48FC">
              <w:t>In both Phases, the majority of participating patients were from NSW, VIC and QLD.</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Type of concession/entitlement card</w:t>
            </w:r>
          </w:p>
        </w:tc>
        <w:tc>
          <w:tcPr>
            <w:tcW w:w="2720" w:type="pct"/>
            <w:shd w:val="clear" w:color="auto" w:fill="DEEAF6" w:themeFill="accent1" w:themeFillTint="33"/>
          </w:tcPr>
          <w:p w:rsidR="00D04387" w:rsidRPr="000F48FC" w:rsidRDefault="00D04387" w:rsidP="0075518E">
            <w:pPr>
              <w:pStyle w:val="02Tabletext"/>
              <w:keepNext w:val="0"/>
            </w:pPr>
            <w:r w:rsidRPr="000F48FC">
              <w:t>The vast majority of participating patients had concession cards, with by far the most common being a pension card.</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Availability of support for DAA patients with managing their medications</w:t>
            </w:r>
          </w:p>
        </w:tc>
        <w:tc>
          <w:tcPr>
            <w:tcW w:w="2720" w:type="pct"/>
            <w:shd w:val="clear" w:color="auto" w:fill="auto"/>
          </w:tcPr>
          <w:p w:rsidR="00D04387" w:rsidRPr="000F48FC" w:rsidRDefault="00D04387" w:rsidP="0075518E">
            <w:pPr>
              <w:pStyle w:val="02Tabletext"/>
              <w:keepNext w:val="0"/>
            </w:pPr>
            <w:r w:rsidRPr="000F48FC">
              <w:t>The majority of patients in the program received assistance with managing their medications and almost half of patients live alone.</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Medical conditions prevalent in DAA patients</w:t>
            </w:r>
          </w:p>
        </w:tc>
        <w:tc>
          <w:tcPr>
            <w:tcW w:w="2720" w:type="pct"/>
            <w:shd w:val="clear" w:color="auto" w:fill="DEEAF6" w:themeFill="accent1" w:themeFillTint="33"/>
          </w:tcPr>
          <w:p w:rsidR="00D04387" w:rsidRPr="000F48FC" w:rsidRDefault="00D04387" w:rsidP="0075518E">
            <w:pPr>
              <w:pStyle w:val="02Tabletext"/>
              <w:keepNext w:val="0"/>
            </w:pPr>
            <w:r w:rsidRPr="000F48FC">
              <w:t>In Phase 2, the majority of patients had a cardiovascular (90%), nervous system (61%) or alimentary system (58%) condition.</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Number and types of medications taken by DAA patients</w:t>
            </w:r>
          </w:p>
        </w:tc>
        <w:tc>
          <w:tcPr>
            <w:tcW w:w="2720" w:type="pct"/>
            <w:shd w:val="clear" w:color="auto" w:fill="auto"/>
          </w:tcPr>
          <w:p w:rsidR="00D04387" w:rsidRPr="000F48FC" w:rsidRDefault="00D04387" w:rsidP="0075518E">
            <w:pPr>
              <w:pStyle w:val="02Tabletext"/>
              <w:keepNext w:val="0"/>
            </w:pPr>
            <w:r w:rsidRPr="000F48FC">
              <w:t>For patients in both phases, multiple medications were common. In Phase 1, the majority were taking more than four medications, and in Phase 2, the majority were taking between three to six medications (76.0%). The most common medications amongst patients in the DAA program were blood pressure medication and lipid modifying agents.</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Proportion of patients with risk factors</w:t>
            </w:r>
          </w:p>
        </w:tc>
        <w:tc>
          <w:tcPr>
            <w:tcW w:w="2720" w:type="pct"/>
            <w:shd w:val="clear" w:color="auto" w:fill="DEEAF6" w:themeFill="accent1" w:themeFillTint="33"/>
          </w:tcPr>
          <w:p w:rsidR="00D04387" w:rsidRPr="000F48FC" w:rsidRDefault="00D04387" w:rsidP="0075518E">
            <w:pPr>
              <w:pStyle w:val="02Tabletext"/>
              <w:keepNext w:val="0"/>
            </w:pPr>
            <w:r w:rsidRPr="000F48FC">
              <w:t>In Phase 2, approximately 64% of recruited patients had two or more risk factors (i.e. aged 65 and over, had 5 or more medications, and/or lived alone). Approximately 9% of patients had no risk factors.</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Source of referral to the DAA service</w:t>
            </w:r>
          </w:p>
        </w:tc>
        <w:tc>
          <w:tcPr>
            <w:tcW w:w="2720" w:type="pct"/>
            <w:shd w:val="clear" w:color="auto" w:fill="auto"/>
          </w:tcPr>
          <w:p w:rsidR="00D04387" w:rsidRPr="000F48FC" w:rsidRDefault="00D04387" w:rsidP="0075518E">
            <w:pPr>
              <w:pStyle w:val="02Tabletext"/>
              <w:keepNext w:val="0"/>
            </w:pPr>
            <w:r w:rsidRPr="000F48FC">
              <w:t>In Phase 2, nearly 40.0% of referrals were from the GPs, and approximately 50.0% of referrals were from a pharmacist.</w:t>
            </w:r>
          </w:p>
        </w:tc>
      </w:tr>
      <w:tr w:rsidR="00D04387" w:rsidRPr="000F48FC" w:rsidTr="00674F3B">
        <w:tc>
          <w:tcPr>
            <w:tcW w:w="2280" w:type="pct"/>
            <w:shd w:val="clear" w:color="auto" w:fill="DEEAF6" w:themeFill="accent1" w:themeFillTint="33"/>
          </w:tcPr>
          <w:p w:rsidR="00D04387" w:rsidRPr="000F48FC" w:rsidRDefault="00E6035A" w:rsidP="0075518E">
            <w:pPr>
              <w:pStyle w:val="02Tabletext"/>
              <w:keepNext w:val="0"/>
            </w:pPr>
            <w:r>
              <w:t>Medication-</w:t>
            </w:r>
            <w:r w:rsidR="00D04387" w:rsidRPr="000F48FC">
              <w:t>related events</w:t>
            </w:r>
          </w:p>
        </w:tc>
        <w:tc>
          <w:tcPr>
            <w:tcW w:w="2720" w:type="pct"/>
            <w:shd w:val="clear" w:color="auto" w:fill="DEEAF6" w:themeFill="accent1" w:themeFillTint="33"/>
          </w:tcPr>
          <w:p w:rsidR="00D04387" w:rsidRPr="000F48FC" w:rsidRDefault="00D04387" w:rsidP="0075518E">
            <w:pPr>
              <w:pStyle w:val="02Tabletext"/>
              <w:keepNext w:val="0"/>
            </w:pPr>
            <w:r w:rsidRPr="000F48FC">
              <w:t xml:space="preserve">Very few patients in Phase 1 reported any </w:t>
            </w:r>
            <w:r w:rsidR="00E6035A">
              <w:t>medication-</w:t>
            </w:r>
            <w:r w:rsidRPr="000F48FC">
              <w:t xml:space="preserve">related events (3.6%). </w:t>
            </w:r>
          </w:p>
          <w:p w:rsidR="00D04387" w:rsidRPr="000F48FC" w:rsidRDefault="00D04387" w:rsidP="0075518E">
            <w:pPr>
              <w:pStyle w:val="02Tabletext"/>
              <w:keepNext w:val="0"/>
            </w:pPr>
            <w:r w:rsidRPr="000F48FC">
              <w:t>Note: these data were not collected in Phase 2.</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Period that patient</w:t>
            </w:r>
            <w:r w:rsidR="00451483">
              <w:t>s was receiving the DAA service</w:t>
            </w:r>
          </w:p>
        </w:tc>
        <w:tc>
          <w:tcPr>
            <w:tcW w:w="2720" w:type="pct"/>
            <w:shd w:val="clear" w:color="auto" w:fill="auto"/>
          </w:tcPr>
          <w:p w:rsidR="00D04387" w:rsidRPr="000F48FC" w:rsidRDefault="00D04387" w:rsidP="0075518E">
            <w:pPr>
              <w:pStyle w:val="02Tabletext"/>
              <w:keepNext w:val="0"/>
            </w:pPr>
            <w:r w:rsidRPr="000F48FC">
              <w:t xml:space="preserve">In Phase 2, nearly 42% of the cohort had been receiving DAAs for more than 24 months, with &lt;5% were new to the DAA service. </w:t>
            </w:r>
          </w:p>
        </w:tc>
      </w:tr>
      <w:tr w:rsidR="00D04387" w:rsidRPr="000F48FC" w:rsidTr="00674F3B">
        <w:tc>
          <w:tcPr>
            <w:tcW w:w="2280" w:type="pct"/>
            <w:shd w:val="clear" w:color="auto" w:fill="DEEAF6" w:themeFill="accent1" w:themeFillTint="33"/>
          </w:tcPr>
          <w:p w:rsidR="00D04387" w:rsidRPr="000F48FC" w:rsidRDefault="00D04387" w:rsidP="0075518E">
            <w:pPr>
              <w:pStyle w:val="02Tabletext"/>
              <w:keepNext w:val="0"/>
            </w:pPr>
            <w:r w:rsidRPr="000F48FC">
              <w:t>Other 4CPA services received by patients</w:t>
            </w:r>
          </w:p>
        </w:tc>
        <w:tc>
          <w:tcPr>
            <w:tcW w:w="2720" w:type="pct"/>
            <w:shd w:val="clear" w:color="auto" w:fill="DEEAF6" w:themeFill="accent1" w:themeFillTint="33"/>
          </w:tcPr>
          <w:p w:rsidR="00D04387" w:rsidRPr="000F48FC" w:rsidRDefault="00D04387" w:rsidP="0075518E">
            <w:pPr>
              <w:pStyle w:val="02Tabletext"/>
              <w:keepNext w:val="0"/>
            </w:pPr>
            <w:r w:rsidRPr="000F48FC">
              <w:t>Just over half of patients were receiving one or more additional 4CPA services, with the majority receiving PMPs (42.8% in Phase 1 and 48.9% in Phase 2).</w:t>
            </w:r>
          </w:p>
        </w:tc>
      </w:tr>
      <w:tr w:rsidR="00D04387" w:rsidRPr="000F48FC" w:rsidTr="00674F3B">
        <w:trPr>
          <w:cnfStyle w:val="000000010000" w:firstRow="0" w:lastRow="0" w:firstColumn="0" w:lastColumn="0" w:oddVBand="0" w:evenVBand="0" w:oddHBand="0" w:evenHBand="1" w:firstRowFirstColumn="0" w:firstRowLastColumn="0" w:lastRowFirstColumn="0" w:lastRowLastColumn="0"/>
        </w:trPr>
        <w:tc>
          <w:tcPr>
            <w:tcW w:w="2280" w:type="pct"/>
            <w:shd w:val="clear" w:color="auto" w:fill="auto"/>
          </w:tcPr>
          <w:p w:rsidR="00D04387" w:rsidRPr="000F48FC" w:rsidRDefault="00D04387" w:rsidP="0075518E">
            <w:pPr>
              <w:pStyle w:val="02Tabletext"/>
              <w:keepNext w:val="0"/>
            </w:pPr>
            <w:r w:rsidRPr="000F48FC">
              <w:t>Reasons patients exit the DAA program</w:t>
            </w:r>
          </w:p>
        </w:tc>
        <w:tc>
          <w:tcPr>
            <w:tcW w:w="2720" w:type="pct"/>
            <w:shd w:val="clear" w:color="auto" w:fill="auto"/>
          </w:tcPr>
          <w:p w:rsidR="00D04387" w:rsidRPr="000F48FC" w:rsidRDefault="00D04387" w:rsidP="0075518E">
            <w:pPr>
              <w:pStyle w:val="02Tabletext"/>
              <w:keepNext w:val="0"/>
            </w:pPr>
            <w:r w:rsidRPr="000F48FC">
              <w:t>The patterns of exit and their reasons were similar in both Phase 1 and Phase 2.</w:t>
            </w:r>
          </w:p>
          <w:p w:rsidR="00D04387" w:rsidRPr="000F48FC" w:rsidRDefault="00D04387" w:rsidP="0075518E">
            <w:pPr>
              <w:pStyle w:val="02Tabletext"/>
              <w:keepNext w:val="0"/>
            </w:pPr>
            <w:r w:rsidRPr="000F48FC">
              <w:t>Approximately 9,044 patients exited the program across both phases. The most common reason for exit for both Phase 1 and Phase 2 was most commonly d</w:t>
            </w:r>
            <w:r w:rsidR="0055178A">
              <w:t>eath (N=</w:t>
            </w:r>
            <w:r w:rsidRPr="000F48FC">
              <w:t>3,789 across both phases), or the patient moving. Exit to another care facility was relatively rare.</w:t>
            </w:r>
          </w:p>
        </w:tc>
      </w:tr>
    </w:tbl>
    <w:p w:rsidR="00D04387" w:rsidRPr="000F48FC" w:rsidRDefault="00D04387" w:rsidP="00D04387">
      <w:pPr>
        <w:pStyle w:val="08Tablefootnotes"/>
      </w:pPr>
      <w:r w:rsidRPr="000F48FC">
        <w:t>Source: PwC (2010), p.42</w:t>
      </w:r>
    </w:p>
    <w:p w:rsidR="00D04387" w:rsidRPr="000F48FC" w:rsidRDefault="00CB3B86" w:rsidP="00D04387">
      <w:pPr>
        <w:pStyle w:val="09Tablefootnoteslast-nostick"/>
      </w:pPr>
      <w:r>
        <w:t>Abbreviations: 4CPA, F</w:t>
      </w:r>
      <w:r w:rsidR="00D04387" w:rsidRPr="000F48FC">
        <w:t>ourth Community Pharmacy Agreement; DAA, Dose Administration Aid; HMR, Home Medicines Review; PhARIA, Pharmacy Access/Remoteness Index of Australia; PMP, Patient Medication Profiling; PwC, PricewaterhouseCoopers; SEIFA, Socio-Economic Indexes for Areas.</w:t>
      </w:r>
    </w:p>
    <w:p w:rsidR="00D04387" w:rsidRPr="000F48FC" w:rsidRDefault="00D04387" w:rsidP="00D04387">
      <w:pPr>
        <w:pStyle w:val="Heading3"/>
      </w:pPr>
      <w:bookmarkStart w:id="82" w:name="_Toc523230292"/>
      <w:r w:rsidRPr="000F48FC">
        <w:lastRenderedPageBreak/>
        <w:t>Cost of the DAA service</w:t>
      </w:r>
      <w:bookmarkEnd w:id="82"/>
    </w:p>
    <w:p w:rsidR="00D04387" w:rsidRPr="000F48FC" w:rsidRDefault="00D04387" w:rsidP="00D04387">
      <w:pPr>
        <w:pStyle w:val="BodyText"/>
      </w:pPr>
      <w:r w:rsidRPr="000F48FC">
        <w:t>In Phase 1, pharmacies reported on whether there was a charge for the DAA service in their pharmacy and how much that charge was. Approximately 93.0% of pharmacies reported that they charge for the DAA service. The majority of pharmacies (63.0%) charged less than $5.00 per DAA, while approximately 30.0% charged between $5.00 and $10.00. Very few pharmacies charged nothing (0.1%) or more than $10.00 (0.1%).</w:t>
      </w:r>
    </w:p>
    <w:p w:rsidR="00D04387" w:rsidRPr="000F48FC" w:rsidRDefault="00D04387" w:rsidP="00D04387">
      <w:pPr>
        <w:pStyle w:val="BodyText"/>
      </w:pPr>
      <w:r w:rsidRPr="000F48FC">
        <w:t xml:space="preserve">The cost of delivering DAA services was estimated using data collected in Phase 2. The average cost for a pharmacy to deliver a DAA service per patient/per week was estimated to be $17.25, based on the average number of hours per week spent by various pharmacy staff members in providing the DAA service to all community based patients (as self-reported by pharmacies). </w:t>
      </w:r>
    </w:p>
    <w:p w:rsidR="00D04387" w:rsidRPr="000F48FC" w:rsidRDefault="00D04387" w:rsidP="00D04387">
      <w:pPr>
        <w:pStyle w:val="BodyText"/>
      </w:pPr>
      <w:r w:rsidRPr="000F48FC">
        <w:t>The evaluation report noted that pharmacies with a low prescription volume had a tendency to provide DAAs to fewer patients whereas pharmacies with higher prescription volume had a tendency to provide DAAs to more patients. A test for independence showed that prescription volume and number of patients receiving the DAA service was significantly related to the amount charged to patients for the DAA service. Pharmacies that provided more DAA services (in a one week period) were consistently more likely to charge their patients less than pharmacies that provide fewer DAA services (in a one week period). There were no meaningful differences in the amount charged to patients for a DAA based on pharmacy location (remoteness).</w:t>
      </w:r>
    </w:p>
    <w:p w:rsidR="00D04387" w:rsidRPr="000F48FC" w:rsidRDefault="00D04387" w:rsidP="00D04387">
      <w:pPr>
        <w:pStyle w:val="Heading3"/>
      </w:pPr>
      <w:bookmarkStart w:id="83" w:name="_Toc523230293"/>
      <w:r w:rsidRPr="000F48FC">
        <w:t>Impact on health outcomes</w:t>
      </w:r>
      <w:bookmarkEnd w:id="83"/>
    </w:p>
    <w:p w:rsidR="00D04387" w:rsidRPr="000F48FC" w:rsidRDefault="00D04387" w:rsidP="00D04387">
      <w:pPr>
        <w:pStyle w:val="BodyText"/>
      </w:pPr>
      <w:r w:rsidRPr="000F48FC">
        <w:t>Data from the DAA program were insufficient to evaluate the impact of the service on health outcomes. The evaluation report claims that previous studies investigating the cost-effectiveness and cost-benefits of adherence strategies, such as DAAs and PMPs, have consistently found significant health improvements and cost savings that are attributable to relatively low-cost interventions delivered by health professionals. Two ‘case studies’ from the published literature are provided in the report as a framework for extrapolating the impact of improved adherence as a result of DAAs and PMPs, on hospitalisations, health care costs and mortality. The evaluation report also claims that increasing the adherence of medication regimens in the elderly population, through the DAA and PMP services, may contribute to the reduction of premature admission to RAC</w:t>
      </w:r>
      <w:r w:rsidR="00451483">
        <w:t>Fs</w:t>
      </w:r>
      <w:r w:rsidRPr="000F48FC">
        <w:t>; however, it is acknowledged that no known studies have been conducted that woul</w:t>
      </w:r>
      <w:r>
        <w:t>d allow for this extrapolation.</w:t>
      </w:r>
    </w:p>
    <w:p w:rsidR="00D04387" w:rsidRPr="000F48FC" w:rsidRDefault="00D04387" w:rsidP="00D04387">
      <w:pPr>
        <w:pStyle w:val="Heading2"/>
      </w:pPr>
      <w:bookmarkStart w:id="84" w:name="_Ref462845755"/>
      <w:bookmarkStart w:id="85" w:name="_Toc523230294"/>
      <w:r w:rsidRPr="000F48FC">
        <w:t>5CPA Program Combined Review by PricewaterhouseCoopers 2015</w:t>
      </w:r>
      <w:bookmarkEnd w:id="84"/>
      <w:bookmarkEnd w:id="85"/>
    </w:p>
    <w:p w:rsidR="00D04387" w:rsidRPr="000F48FC" w:rsidRDefault="00D04387" w:rsidP="00D04387">
      <w:pPr>
        <w:pStyle w:val="BodyText"/>
      </w:pPr>
      <w:r w:rsidRPr="000F48FC">
        <w:t xml:space="preserve">The DAA program was evaluated as part of the Review of the PPI Program performed by PwC in 2015. </w:t>
      </w:r>
      <w:r w:rsidR="009C5074">
        <w:t xml:space="preserve"> </w:t>
      </w:r>
      <w:r w:rsidRPr="000F48FC">
        <w:t>The overall aim of the Review was to better inform how the 5CPA Medication Management programs and services (including PPI Program and M</w:t>
      </w:r>
      <w:r w:rsidR="00182364">
        <w:t xml:space="preserve">edication </w:t>
      </w:r>
      <w:r w:rsidRPr="000F48FC">
        <w:t>M</w:t>
      </w:r>
      <w:r w:rsidR="00182364">
        <w:t>anagement</w:t>
      </w:r>
      <w:r w:rsidRPr="000F48FC">
        <w:t xml:space="preserve"> Program) contribute to improving consumer health outcomes, in order to better inform future investment by the Australian Government in pharmacy programs and services. PwC evaluated the three priority areas in the PPI Program: CIs, DAAs and SS. The Review methodology involved an analysis of full program data in order to assess the uptake and volume of services delivered over the duration of the 5CPA (between 2011 and 2014), stakeholder consultations, consumer focus groups, practitioner focus groups, a practitioner survey and a consumer survey. </w:t>
      </w:r>
    </w:p>
    <w:p w:rsidR="00D04387" w:rsidRPr="000F48FC" w:rsidRDefault="00D04387" w:rsidP="00D04387">
      <w:pPr>
        <w:pStyle w:val="BodyText"/>
      </w:pPr>
      <w:r w:rsidRPr="000F48FC">
        <w:rPr>
          <w:szCs w:val="24"/>
        </w:rPr>
        <w:fldChar w:fldCharType="begin"/>
      </w:r>
      <w:r w:rsidRPr="000F48FC">
        <w:rPr>
          <w:szCs w:val="24"/>
        </w:rPr>
        <w:instrText xml:space="preserve"> REF _Ref462226393 \h  \* MERGEFORMAT </w:instrText>
      </w:r>
      <w:r w:rsidRPr="000F48FC">
        <w:rPr>
          <w:szCs w:val="24"/>
        </w:rPr>
      </w:r>
      <w:r w:rsidRPr="000F48FC">
        <w:rPr>
          <w:szCs w:val="24"/>
        </w:rPr>
        <w:fldChar w:fldCharType="separate"/>
      </w:r>
      <w:r w:rsidR="00964233" w:rsidRPr="00964233">
        <w:rPr>
          <w:iCs/>
          <w:szCs w:val="24"/>
        </w:rPr>
        <w:t xml:space="preserve">Table </w:t>
      </w:r>
      <w:r w:rsidR="00964233" w:rsidRPr="00964233">
        <w:rPr>
          <w:iCs/>
          <w:noProof/>
          <w:szCs w:val="24"/>
        </w:rPr>
        <w:t>4.7</w:t>
      </w:r>
      <w:r w:rsidRPr="000F48FC">
        <w:rPr>
          <w:szCs w:val="24"/>
        </w:rPr>
        <w:fldChar w:fldCharType="end"/>
      </w:r>
      <w:r w:rsidRPr="000F48FC">
        <w:rPr>
          <w:szCs w:val="24"/>
        </w:rPr>
        <w:t xml:space="preserve"> </w:t>
      </w:r>
      <w:r w:rsidRPr="000F48FC">
        <w:t xml:space="preserve">summarises the main findings of the evaluation in relation to the DAA initiative. A total of 767 primary health care practitioners, with the majority being pharmacists (94%), responded to the practitioner survey. More than half (57%) were involved in the DAA program. Results of consumer surveys are not discussed as only 2% (10/502) of responders participated in the DAA </w:t>
      </w:r>
      <w:r w:rsidRPr="000F48FC">
        <w:lastRenderedPageBreak/>
        <w:t>program</w:t>
      </w:r>
      <w:r w:rsidRPr="000F48FC">
        <w:rPr>
          <w:vertAlign w:val="superscript"/>
        </w:rPr>
        <w:footnoteReference w:id="7"/>
      </w:r>
      <w:r w:rsidRPr="000F48FC">
        <w:t xml:space="preserve">, and thus results from the consumer surveys do not reflect consumers’ satisfaction with the DAA service. </w:t>
      </w:r>
    </w:p>
    <w:p w:rsidR="00D04387" w:rsidRPr="000F48FC" w:rsidRDefault="00D04387" w:rsidP="00D04387">
      <w:pPr>
        <w:pStyle w:val="Caption"/>
      </w:pPr>
      <w:bookmarkStart w:id="86" w:name="_Ref462226393"/>
      <w:bookmarkStart w:id="87" w:name="_Toc523230332"/>
      <w:r w:rsidRPr="000F48FC">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4</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7</w:t>
      </w:r>
      <w:r w:rsidR="00964233">
        <w:rPr>
          <w:noProof/>
        </w:rPr>
        <w:fldChar w:fldCharType="end"/>
      </w:r>
      <w:bookmarkEnd w:id="86"/>
      <w:r w:rsidRPr="000F48FC">
        <w:tab/>
        <w:t>Main findings of the 2015 5CPA combined review, 2011-2014</w:t>
      </w:r>
      <w:bookmarkEnd w:id="87"/>
    </w:p>
    <w:tbl>
      <w:tblPr>
        <w:tblStyle w:val="TableGrid3"/>
        <w:tblW w:w="5000" w:type="pct"/>
        <w:tblLook w:val="04A0" w:firstRow="1" w:lastRow="0" w:firstColumn="1" w:lastColumn="0" w:noHBand="0" w:noVBand="1"/>
        <w:tblCaption w:val="Table 4.7"/>
        <w:tblDescription w:val="Main findings of the 2015 5CPA combined review, 2011-2014"/>
      </w:tblPr>
      <w:tblGrid>
        <w:gridCol w:w="2814"/>
        <w:gridCol w:w="6814"/>
      </w:tblGrid>
      <w:tr w:rsidR="00D04387" w:rsidRPr="000F48FC" w:rsidTr="00982A19">
        <w:trPr>
          <w:cnfStyle w:val="100000000000" w:firstRow="1" w:lastRow="0" w:firstColumn="0" w:lastColumn="0" w:oddVBand="0" w:evenVBand="0" w:oddHBand="0" w:evenHBand="0" w:firstRowFirstColumn="0" w:firstRowLastColumn="0" w:lastRowFirstColumn="0" w:lastRowLastColumn="0"/>
        </w:trPr>
        <w:tc>
          <w:tcPr>
            <w:tcW w:w="1249" w:type="pct"/>
          </w:tcPr>
          <w:p w:rsidR="00D04387" w:rsidRPr="000F48FC" w:rsidRDefault="00D04387" w:rsidP="0075518E">
            <w:pPr>
              <w:pStyle w:val="01Tableheaderrow"/>
            </w:pPr>
            <w:r w:rsidRPr="000F48FC">
              <w:t>Measure/domain</w:t>
            </w:r>
          </w:p>
        </w:tc>
        <w:tc>
          <w:tcPr>
            <w:tcW w:w="3751" w:type="pct"/>
            <w:vAlign w:val="center"/>
          </w:tcPr>
          <w:p w:rsidR="00D04387" w:rsidRPr="000F48FC" w:rsidRDefault="00D04387" w:rsidP="00982A19">
            <w:pPr>
              <w:pStyle w:val="01Tableheaderrow"/>
              <w:jc w:val="center"/>
            </w:pPr>
            <w:r w:rsidRPr="000F48FC">
              <w:t>Key findings</w:t>
            </w:r>
          </w:p>
        </w:tc>
      </w:tr>
      <w:tr w:rsidR="00D04387" w:rsidRPr="000F48FC" w:rsidTr="00982A19">
        <w:tc>
          <w:tcPr>
            <w:tcW w:w="1249" w:type="pct"/>
            <w:shd w:val="clear" w:color="auto" w:fill="000000" w:themeFill="text1"/>
          </w:tcPr>
          <w:p w:rsidR="00D04387" w:rsidRPr="000F48FC" w:rsidRDefault="00D04387" w:rsidP="0075518E">
            <w:pPr>
              <w:pStyle w:val="01Tableheadingorsubheading"/>
            </w:pPr>
            <w:r w:rsidRPr="000F48FC">
              <w:t>Program results</w:t>
            </w:r>
          </w:p>
        </w:tc>
        <w:tc>
          <w:tcPr>
            <w:tcW w:w="3751" w:type="pct"/>
            <w:shd w:val="clear" w:color="auto" w:fill="000000" w:themeFill="text1"/>
          </w:tcPr>
          <w:p w:rsidR="00D04387" w:rsidRPr="000F48FC" w:rsidRDefault="00D04387" w:rsidP="0075518E">
            <w:pPr>
              <w:pStyle w:val="01Tableheadingorsubheading"/>
            </w:pP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75518E">
            <w:pPr>
              <w:pStyle w:val="02Tabletext"/>
            </w:pPr>
            <w:r w:rsidRPr="000F48FC">
              <w:t>PPI participating pharmacies</w:t>
            </w:r>
          </w:p>
        </w:tc>
        <w:tc>
          <w:tcPr>
            <w:tcW w:w="3751" w:type="pct"/>
            <w:shd w:val="clear" w:color="auto" w:fill="auto"/>
          </w:tcPr>
          <w:p w:rsidR="00D04387" w:rsidRPr="000F48FC" w:rsidRDefault="00D04387" w:rsidP="0075518E">
            <w:pPr>
              <w:pStyle w:val="02Tabletext"/>
            </w:pPr>
            <w:r w:rsidRPr="000F48FC">
              <w:t>Overall, a total of 6,216 pharmacies (with unique registration numbers) submitted claims for PPI services</w:t>
            </w:r>
          </w:p>
        </w:tc>
      </w:tr>
      <w:tr w:rsidR="00D04387" w:rsidRPr="000F48FC" w:rsidTr="00982A19">
        <w:tc>
          <w:tcPr>
            <w:tcW w:w="1249" w:type="pct"/>
            <w:shd w:val="clear" w:color="auto" w:fill="DEEAF6" w:themeFill="accent1" w:themeFillTint="33"/>
          </w:tcPr>
          <w:p w:rsidR="00D04387" w:rsidRPr="000F48FC" w:rsidRDefault="00D04387" w:rsidP="0075518E">
            <w:pPr>
              <w:pStyle w:val="02Tabletext"/>
            </w:pPr>
            <w:r w:rsidRPr="000F48FC">
              <w:t>DAA participating pharmacies and patients</w:t>
            </w:r>
          </w:p>
        </w:tc>
        <w:tc>
          <w:tcPr>
            <w:tcW w:w="3751" w:type="pct"/>
            <w:shd w:val="clear" w:color="auto" w:fill="DEEAF6" w:themeFill="accent1" w:themeFillTint="33"/>
          </w:tcPr>
          <w:p w:rsidR="00D04387" w:rsidRPr="000F48FC" w:rsidRDefault="00D04387" w:rsidP="0075518E">
            <w:pPr>
              <w:pStyle w:val="02Tabletext"/>
            </w:pPr>
            <w:r w:rsidRPr="000F48FC">
              <w:t>5,909 pharmacies submitted claims for DAAs delivered to 22,571,080 patients</w:t>
            </w:r>
            <w:r w:rsidRPr="000F48FC">
              <w:rPr>
                <w:vertAlign w:val="superscript"/>
              </w:rPr>
              <w:t>a</w:t>
            </w:r>
            <w:r w:rsidRPr="000F48FC">
              <w:t>.</w:t>
            </w: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75518E">
            <w:pPr>
              <w:pStyle w:val="02Tabletext"/>
            </w:pPr>
            <w:r w:rsidRPr="000F48FC">
              <w:t>Total expenditure on PPI</w:t>
            </w:r>
          </w:p>
        </w:tc>
        <w:tc>
          <w:tcPr>
            <w:tcW w:w="3751" w:type="pct"/>
            <w:shd w:val="clear" w:color="auto" w:fill="auto"/>
          </w:tcPr>
          <w:p w:rsidR="00D04387" w:rsidRPr="000F48FC" w:rsidRDefault="00D04387" w:rsidP="0075518E">
            <w:pPr>
              <w:pStyle w:val="02Tabletext"/>
            </w:pPr>
            <w:r w:rsidRPr="000F48FC">
              <w:t>$126,507,909</w:t>
            </w:r>
          </w:p>
        </w:tc>
      </w:tr>
      <w:tr w:rsidR="00D04387" w:rsidRPr="000F48FC" w:rsidTr="00982A19">
        <w:tc>
          <w:tcPr>
            <w:tcW w:w="1249" w:type="pct"/>
            <w:shd w:val="clear" w:color="auto" w:fill="DEEAF6" w:themeFill="accent1" w:themeFillTint="33"/>
          </w:tcPr>
          <w:p w:rsidR="00D04387" w:rsidRPr="000F48FC" w:rsidRDefault="00D04387" w:rsidP="0075518E">
            <w:pPr>
              <w:pStyle w:val="02Tabletext"/>
            </w:pPr>
            <w:r w:rsidRPr="000F48FC">
              <w:t>Total expenditure on DAA initiative</w:t>
            </w:r>
          </w:p>
        </w:tc>
        <w:tc>
          <w:tcPr>
            <w:tcW w:w="3751" w:type="pct"/>
            <w:shd w:val="clear" w:color="auto" w:fill="DEEAF6" w:themeFill="accent1" w:themeFillTint="33"/>
          </w:tcPr>
          <w:p w:rsidR="00D04387" w:rsidRPr="000F48FC" w:rsidRDefault="00D04387" w:rsidP="0075518E">
            <w:pPr>
              <w:pStyle w:val="02Tabletext"/>
            </w:pPr>
            <w:r w:rsidRPr="000F48FC">
              <w:t>$71,225,306 (56% of total funds allocated)</w:t>
            </w: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75518E">
            <w:pPr>
              <w:pStyle w:val="02Tabletext"/>
            </w:pPr>
            <w:r w:rsidRPr="000F48FC">
              <w:t>Total expenditure on SS initiative</w:t>
            </w:r>
          </w:p>
        </w:tc>
        <w:tc>
          <w:tcPr>
            <w:tcW w:w="3751" w:type="pct"/>
            <w:shd w:val="clear" w:color="auto" w:fill="auto"/>
          </w:tcPr>
          <w:p w:rsidR="00D04387" w:rsidRPr="000F48FC" w:rsidRDefault="00D04387" w:rsidP="0075518E">
            <w:pPr>
              <w:pStyle w:val="02Tabletext"/>
            </w:pPr>
            <w:r w:rsidRPr="000F48FC">
              <w:t>$11,231,152 (9% of total funds allocated)</w:t>
            </w:r>
          </w:p>
        </w:tc>
      </w:tr>
      <w:tr w:rsidR="00D04387" w:rsidRPr="000F48FC" w:rsidTr="00982A19">
        <w:tc>
          <w:tcPr>
            <w:tcW w:w="1249" w:type="pct"/>
            <w:shd w:val="clear" w:color="auto" w:fill="DEEAF6" w:themeFill="accent1" w:themeFillTint="33"/>
          </w:tcPr>
          <w:p w:rsidR="00D04387" w:rsidRPr="000F48FC" w:rsidRDefault="00D04387" w:rsidP="0075518E">
            <w:pPr>
              <w:pStyle w:val="02Tabletext"/>
            </w:pPr>
            <w:r w:rsidRPr="000F48FC">
              <w:t>Total expenditure on CI initiative</w:t>
            </w:r>
          </w:p>
        </w:tc>
        <w:tc>
          <w:tcPr>
            <w:tcW w:w="3751" w:type="pct"/>
            <w:shd w:val="clear" w:color="auto" w:fill="DEEAF6" w:themeFill="accent1" w:themeFillTint="33"/>
          </w:tcPr>
          <w:p w:rsidR="00D04387" w:rsidRPr="000F48FC" w:rsidRDefault="00D04387" w:rsidP="0075518E">
            <w:pPr>
              <w:pStyle w:val="02Tabletext"/>
            </w:pPr>
            <w:r w:rsidRPr="000F48FC">
              <w:t>$44,051,451 (35% of total funds allocated)</w:t>
            </w: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000000" w:themeFill="text1"/>
          </w:tcPr>
          <w:p w:rsidR="00D04387" w:rsidRPr="000F48FC" w:rsidRDefault="00D04387" w:rsidP="0075518E">
            <w:pPr>
              <w:pStyle w:val="01Tableheadingorsubheading"/>
            </w:pPr>
            <w:r w:rsidRPr="000F48FC">
              <w:t>Practitioner focus group themes raised</w:t>
            </w:r>
          </w:p>
        </w:tc>
        <w:tc>
          <w:tcPr>
            <w:tcW w:w="3751" w:type="pct"/>
            <w:shd w:val="clear" w:color="auto" w:fill="000000" w:themeFill="text1"/>
          </w:tcPr>
          <w:p w:rsidR="00D04387" w:rsidRPr="000F48FC" w:rsidRDefault="00D04387" w:rsidP="0075518E">
            <w:pPr>
              <w:pStyle w:val="01Tableheadingorsubheading"/>
            </w:pPr>
          </w:p>
        </w:tc>
      </w:tr>
      <w:tr w:rsidR="00D04387" w:rsidRPr="000F48FC" w:rsidTr="00982A19">
        <w:tc>
          <w:tcPr>
            <w:tcW w:w="1249" w:type="pct"/>
            <w:shd w:val="clear" w:color="auto" w:fill="auto"/>
          </w:tcPr>
          <w:p w:rsidR="00D04387" w:rsidRPr="000F48FC" w:rsidRDefault="00D04387" w:rsidP="0075518E">
            <w:pPr>
              <w:pStyle w:val="02Tabletext"/>
            </w:pPr>
            <w:r w:rsidRPr="000F48FC">
              <w:t>Addressing consumer need</w:t>
            </w:r>
          </w:p>
        </w:tc>
        <w:tc>
          <w:tcPr>
            <w:tcW w:w="3751" w:type="pct"/>
            <w:shd w:val="clear" w:color="auto" w:fill="auto"/>
          </w:tcPr>
          <w:p w:rsidR="00D04387" w:rsidRPr="000F48FC" w:rsidRDefault="00D04387" w:rsidP="0075518E">
            <w:pPr>
              <w:pStyle w:val="02Tabletext"/>
            </w:pPr>
            <w:r w:rsidRPr="000F48FC">
              <w:t>DAAs were seen as an essential part of medication management in RACFs by all participants involved in RMMRs. All participants commented that DAAs address medication adherence needs in the community and reduce medication misadventure.</w:t>
            </w: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tcPr>
          <w:p w:rsidR="00D04387" w:rsidRPr="000F48FC" w:rsidRDefault="00D04387" w:rsidP="0075518E">
            <w:pPr>
              <w:pStyle w:val="02Tabletext"/>
            </w:pPr>
            <w:r w:rsidRPr="000F48FC">
              <w:t>Eligibility criteria and targeting</w:t>
            </w:r>
          </w:p>
        </w:tc>
        <w:tc>
          <w:tcPr>
            <w:tcW w:w="3751" w:type="pct"/>
          </w:tcPr>
          <w:p w:rsidR="00D04387" w:rsidRPr="000F48FC" w:rsidRDefault="00D04387" w:rsidP="0075518E">
            <w:pPr>
              <w:pStyle w:val="02Tabletext"/>
            </w:pPr>
            <w:r w:rsidRPr="000F48FC">
              <w:t>There were no specific marketing strategies or recruitment activities directed at those most in need of the 5CPA programs.</w:t>
            </w:r>
          </w:p>
        </w:tc>
      </w:tr>
      <w:tr w:rsidR="00D04387" w:rsidRPr="000F48FC" w:rsidTr="00982A19">
        <w:tc>
          <w:tcPr>
            <w:tcW w:w="1249" w:type="pct"/>
            <w:shd w:val="clear" w:color="auto" w:fill="auto"/>
          </w:tcPr>
          <w:p w:rsidR="00D04387" w:rsidRPr="000F48FC" w:rsidRDefault="00D04387" w:rsidP="0075518E">
            <w:pPr>
              <w:pStyle w:val="02Tabletext"/>
            </w:pPr>
            <w:r w:rsidRPr="000F48FC">
              <w:t>Program implementation</w:t>
            </w:r>
          </w:p>
        </w:tc>
        <w:tc>
          <w:tcPr>
            <w:tcW w:w="3751" w:type="pct"/>
            <w:shd w:val="clear" w:color="auto" w:fill="auto"/>
          </w:tcPr>
          <w:p w:rsidR="00D04387" w:rsidRPr="000F48FC" w:rsidRDefault="00D04387" w:rsidP="0075518E">
            <w:pPr>
              <w:pStyle w:val="02Tabletext"/>
            </w:pPr>
            <w:r w:rsidRPr="000F48FC">
              <w:t>A multidisciplinary, collaborative approach to programs/services would aid in the implementation of the programs and benefit the impacts and outcomes for consumers. It was also suggested that funding should be allocated to support implementation to prevent inconsistencies in the way that programs are delivered.</w:t>
            </w: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tcPr>
          <w:p w:rsidR="00D04387" w:rsidRPr="000F48FC" w:rsidRDefault="00D04387" w:rsidP="0075518E">
            <w:pPr>
              <w:pStyle w:val="02Tabletext"/>
            </w:pPr>
            <w:r w:rsidRPr="000F48FC">
              <w:t>Policy and strategy</w:t>
            </w:r>
          </w:p>
        </w:tc>
        <w:tc>
          <w:tcPr>
            <w:tcW w:w="3751" w:type="pct"/>
          </w:tcPr>
          <w:p w:rsidR="00D04387" w:rsidRPr="000F48FC" w:rsidRDefault="00D04387" w:rsidP="0075518E">
            <w:pPr>
              <w:pStyle w:val="02Tabletext"/>
            </w:pPr>
            <w:r w:rsidRPr="000F48FC">
              <w:t>Participants agreed that generally the 5CPA programs/services added value and should be part of the overall preventative strategy for consumers.</w:t>
            </w:r>
          </w:p>
        </w:tc>
      </w:tr>
      <w:tr w:rsidR="00D04387" w:rsidRPr="000F48FC" w:rsidTr="00982A19">
        <w:tc>
          <w:tcPr>
            <w:tcW w:w="1249" w:type="pct"/>
            <w:shd w:val="clear" w:color="auto" w:fill="000000" w:themeFill="text1"/>
          </w:tcPr>
          <w:p w:rsidR="00D04387" w:rsidRPr="000F48FC" w:rsidRDefault="00D04387" w:rsidP="0075518E">
            <w:pPr>
              <w:pStyle w:val="01Tableheadingorsubheading"/>
            </w:pPr>
            <w:r w:rsidRPr="000F48FC">
              <w:t>Practitioners/providers survey results</w:t>
            </w:r>
          </w:p>
        </w:tc>
        <w:tc>
          <w:tcPr>
            <w:tcW w:w="3751" w:type="pct"/>
            <w:shd w:val="clear" w:color="auto" w:fill="000000" w:themeFill="text1"/>
          </w:tcPr>
          <w:p w:rsidR="00D04387" w:rsidRPr="000F48FC" w:rsidRDefault="00D04387" w:rsidP="0075518E">
            <w:pPr>
              <w:pStyle w:val="01Tableheadingorsubheading"/>
            </w:pP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75518E">
            <w:pPr>
              <w:pStyle w:val="02Tabletext"/>
            </w:pPr>
            <w:r w:rsidRPr="000F48FC">
              <w:t>Interaction between programs</w:t>
            </w:r>
          </w:p>
        </w:tc>
        <w:tc>
          <w:tcPr>
            <w:tcW w:w="3751" w:type="pct"/>
            <w:shd w:val="clear" w:color="auto" w:fill="auto"/>
          </w:tcPr>
          <w:p w:rsidR="00D04387" w:rsidRPr="000F48FC" w:rsidRDefault="00D04387" w:rsidP="0075518E">
            <w:pPr>
              <w:pStyle w:val="02Tabletext"/>
            </w:pPr>
            <w:r w:rsidRPr="000F48FC">
              <w:t>Less than half (42%) of total survey respondents agreed or strongly agreed that the linkages/pathways between the programs/services were clearly identified. More than half (60%) agreed that there were gaps in the services provided, resulting in unmet needs of the consumer.</w:t>
            </w:r>
          </w:p>
        </w:tc>
      </w:tr>
      <w:tr w:rsidR="00D04387" w:rsidRPr="000F48FC" w:rsidTr="00982A19">
        <w:tc>
          <w:tcPr>
            <w:tcW w:w="1249" w:type="pct"/>
            <w:shd w:val="clear" w:color="auto" w:fill="DEEAF6" w:themeFill="accent1" w:themeFillTint="33"/>
          </w:tcPr>
          <w:p w:rsidR="00D04387" w:rsidRPr="000F48FC" w:rsidRDefault="00D04387" w:rsidP="0075518E">
            <w:pPr>
              <w:pStyle w:val="02Tabletext"/>
            </w:pPr>
            <w:r w:rsidRPr="000F48FC">
              <w:t>Screening/diagnostic/intervention tools</w:t>
            </w:r>
          </w:p>
        </w:tc>
        <w:tc>
          <w:tcPr>
            <w:tcW w:w="3751" w:type="pct"/>
            <w:shd w:val="clear" w:color="auto" w:fill="DEEAF6" w:themeFill="accent1" w:themeFillTint="33"/>
          </w:tcPr>
          <w:p w:rsidR="00D04387" w:rsidRPr="000F48FC" w:rsidRDefault="00D04387" w:rsidP="0075518E">
            <w:pPr>
              <w:pStyle w:val="02Tabletext"/>
            </w:pPr>
            <w:r w:rsidRPr="000F48FC">
              <w:t>DAA services were viewed as being purpose specific, with nonadherence the main reason for recommending a DAA (78%), followed by age/frailty (42%).</w:t>
            </w:r>
          </w:p>
        </w:tc>
      </w:tr>
      <w:tr w:rsidR="00D04387" w:rsidRPr="000F48FC" w:rsidTr="00982A19">
        <w:trPr>
          <w:cnfStyle w:val="000000010000" w:firstRow="0" w:lastRow="0" w:firstColumn="0" w:lastColumn="0" w:oddVBand="0" w:evenVBand="0" w:oddHBand="0" w:evenHBand="1" w:firstRowFirstColumn="0" w:firstRowLastColumn="0" w:lastRowFirstColumn="0" w:lastRowLastColumn="0"/>
        </w:trPr>
        <w:tc>
          <w:tcPr>
            <w:tcW w:w="1249" w:type="pct"/>
            <w:shd w:val="clear" w:color="auto" w:fill="auto"/>
          </w:tcPr>
          <w:p w:rsidR="00D04387" w:rsidRPr="000F48FC" w:rsidRDefault="00D04387" w:rsidP="0075518E">
            <w:pPr>
              <w:pStyle w:val="02Tabletext"/>
            </w:pPr>
            <w:r w:rsidRPr="000F48FC">
              <w:t>Provider satisfaction</w:t>
            </w:r>
          </w:p>
        </w:tc>
        <w:tc>
          <w:tcPr>
            <w:tcW w:w="3751" w:type="pct"/>
            <w:shd w:val="clear" w:color="auto" w:fill="auto"/>
          </w:tcPr>
          <w:p w:rsidR="00D04387" w:rsidRPr="000F48FC" w:rsidRDefault="00D04387" w:rsidP="0075518E">
            <w:pPr>
              <w:pStyle w:val="02Tabletext"/>
            </w:pPr>
            <w:r w:rsidRPr="000F48FC">
              <w:t>The majority (77%) reported being satisfied with their involvement in DAA programs/ services. The majority (95%) reported being satisfied with the benefit their consumers receive through the DAA program.</w:t>
            </w:r>
          </w:p>
        </w:tc>
      </w:tr>
      <w:tr w:rsidR="00D04387" w:rsidRPr="000F48FC" w:rsidTr="00982A19">
        <w:tc>
          <w:tcPr>
            <w:tcW w:w="1249" w:type="pct"/>
            <w:shd w:val="clear" w:color="auto" w:fill="DEEAF6" w:themeFill="accent1" w:themeFillTint="33"/>
          </w:tcPr>
          <w:p w:rsidR="00D04387" w:rsidRPr="000F48FC" w:rsidRDefault="00D04387" w:rsidP="0075518E">
            <w:pPr>
              <w:pStyle w:val="02Tabletext"/>
            </w:pPr>
            <w:r w:rsidRPr="000F48FC">
              <w:t>Collaboration</w:t>
            </w:r>
          </w:p>
        </w:tc>
        <w:tc>
          <w:tcPr>
            <w:tcW w:w="3751" w:type="pct"/>
            <w:shd w:val="clear" w:color="auto" w:fill="DEEAF6" w:themeFill="accent1" w:themeFillTint="33"/>
          </w:tcPr>
          <w:p w:rsidR="00D04387" w:rsidRPr="000F48FC" w:rsidRDefault="00D04387" w:rsidP="0075518E">
            <w:pPr>
              <w:pStyle w:val="02Tabletext"/>
            </w:pPr>
            <w:r w:rsidRPr="000F48FC">
              <w:t>There was very little collaboration between GPs and pharmacists for DAAs, apart from brief phone calls or faxes to confirm a prescription or dosage.</w:t>
            </w:r>
          </w:p>
        </w:tc>
      </w:tr>
    </w:tbl>
    <w:p w:rsidR="00D04387" w:rsidRPr="000F48FC" w:rsidRDefault="00D04387" w:rsidP="00D04387">
      <w:pPr>
        <w:pStyle w:val="08Tablefootnotes"/>
      </w:pPr>
      <w:r w:rsidRPr="000F48FC">
        <w:t>Source: PricewaterhouseCoopers Combined Review of 5CPA Medication Management Programmes (2015)</w:t>
      </w:r>
    </w:p>
    <w:p w:rsidR="00D04387" w:rsidRPr="000F48FC" w:rsidRDefault="00CB3B86" w:rsidP="00D04387">
      <w:pPr>
        <w:pStyle w:val="08Tablefootnotes"/>
      </w:pPr>
      <w:r>
        <w:t>Abbreviations: 5CPA, Fi</w:t>
      </w:r>
      <w:r w:rsidR="00D04387" w:rsidRPr="000F48FC">
        <w:t>fth Community Pharmacy Agreement; DAA, Dose Administration Aid; GP, general practitioner;  PPI, Pharmacy Practice Incentives; QUM, Quality Use of Medicines; RACF, residential aged care  facility; RMMR, Residential Medication Management Review.</w:t>
      </w:r>
    </w:p>
    <w:p w:rsidR="00D04387" w:rsidRPr="000F48FC" w:rsidRDefault="00D04387" w:rsidP="00D04387">
      <w:pPr>
        <w:pStyle w:val="08Tablefootnotes"/>
      </w:pPr>
      <w:r w:rsidRPr="000F48FC">
        <w:rPr>
          <w:b/>
        </w:rPr>
        <w:t>a</w:t>
      </w:r>
      <w:r w:rsidRPr="000F48FC">
        <w:t xml:space="preserve"> This does not refer to individual consumers, as one consumer may have received multiple DAA services over the data collection period.</w:t>
      </w:r>
    </w:p>
    <w:p w:rsidR="00D04387" w:rsidRPr="000F48FC" w:rsidRDefault="00D04387" w:rsidP="00D04387">
      <w:pPr>
        <w:pStyle w:val="08Tablefootnotes"/>
      </w:pPr>
      <w:r w:rsidRPr="000F48FC">
        <w:t>Note 1: PPI Program data were analysed using claims data. Claims for multiple DAA services may be submitted by one pharmacy on the same claim, generating the same c</w:t>
      </w:r>
      <w:r w:rsidR="00443BD6">
        <w:t>laim ID for these two services.</w:t>
      </w:r>
    </w:p>
    <w:p w:rsidR="00D04387" w:rsidRPr="000F48FC" w:rsidRDefault="00D04387" w:rsidP="00D04387">
      <w:pPr>
        <w:pStyle w:val="09Tablefootnoteslast-nostick"/>
      </w:pPr>
      <w:r w:rsidRPr="000F48FC">
        <w:t>Note 2: Consumer survey results are not representative as there were only ten DAA participants among survey respondents.</w:t>
      </w:r>
    </w:p>
    <w:p w:rsidR="00D04387" w:rsidRPr="00E162EF" w:rsidRDefault="00D04387" w:rsidP="00D04387">
      <w:pPr>
        <w:pStyle w:val="BodyText"/>
      </w:pPr>
      <w:r w:rsidRPr="00E162EF">
        <w:t xml:space="preserve">Overall, practitioners reported being reasonably satisfied with their involvement in the Medication Management programs and services. </w:t>
      </w:r>
      <w:r w:rsidR="009C5074">
        <w:t xml:space="preserve"> </w:t>
      </w:r>
      <w:r w:rsidRPr="00E162EF">
        <w:t xml:space="preserve">They also reported being satisfied with the benefit their </w:t>
      </w:r>
      <w:r w:rsidRPr="00E162EF">
        <w:lastRenderedPageBreak/>
        <w:t xml:space="preserve">consumers received through Medication Management programs and services, and they saw clear benefit in the suite of Medication Management programs and services as contributing towards improving the health outcomes of consumers. </w:t>
      </w:r>
    </w:p>
    <w:p w:rsidR="00D04387" w:rsidRPr="000F48FC" w:rsidRDefault="00D04387" w:rsidP="00D04387">
      <w:pPr>
        <w:pStyle w:val="BodyText"/>
      </w:pPr>
      <w:r w:rsidRPr="000F48FC">
        <w:t xml:space="preserve">However, stakeholders and practitioners indicated that 5CPA programs were difficult to access for consumers due to low consumer awareness, information on programs not being readily available to consumers, and low GP engagement and awareness to refer consumers to the relevant programs, particularly for </w:t>
      </w:r>
      <w:r w:rsidR="00443BD6">
        <w:t>ATSI</w:t>
      </w:r>
      <w:r w:rsidRPr="000F48FC">
        <w:t xml:space="preserve"> and culturally and linguistically diverse (CALD) peoples. </w:t>
      </w:r>
    </w:p>
    <w:p w:rsidR="00D04387" w:rsidRPr="000F48FC" w:rsidRDefault="00D04387" w:rsidP="00D04387">
      <w:pPr>
        <w:pStyle w:val="Bodytextbeforebullets"/>
      </w:pPr>
      <w:r w:rsidRPr="000F48FC">
        <w:t>There were a number of limitations relevant to program data analysis. These included:</w:t>
      </w:r>
    </w:p>
    <w:p w:rsidR="00D04387" w:rsidRPr="000F48FC" w:rsidRDefault="00D04387" w:rsidP="00D04387">
      <w:pPr>
        <w:pStyle w:val="Bullettext"/>
      </w:pPr>
      <w:r w:rsidRPr="000F48FC">
        <w:t>Data collected as part of the claims process provided limited insight on uptake and volume of programs and services since multiple services could be submitted under one claim. The authors presented service level data where possible, merging accepted, rejected and claims datasets to conduct more accurate analyses.</w:t>
      </w:r>
    </w:p>
    <w:p w:rsidR="00D04387" w:rsidRPr="000F48FC" w:rsidRDefault="00D04387" w:rsidP="00D04387">
      <w:pPr>
        <w:pStyle w:val="Bullettext"/>
      </w:pPr>
      <w:r w:rsidRPr="000F48FC">
        <w:t>Consumer level data was de-identified and not linked to other data sources (e.g. Medicare and hospital data); therefore, it was not possible to determine the impact of participating in specific programs on consumer outcomes, outside of that particular episode of care.</w:t>
      </w:r>
    </w:p>
    <w:p w:rsidR="00D04387" w:rsidRPr="000F48FC" w:rsidRDefault="00D04387" w:rsidP="00D04387">
      <w:pPr>
        <w:pStyle w:val="Bullettext"/>
      </w:pPr>
      <w:r w:rsidRPr="000F48FC">
        <w:t>Consumer demographic data, such as age and gender, was not available for any of the PPI Program initiatives, including DAA. Postcode was not captured at the consumer level within any program/service dataset, therefore analysis of the data could not be performed for socioeconomic indicator (SEIFA) or remoteness (ARIA).</w:t>
      </w:r>
    </w:p>
    <w:p w:rsidR="00D04387" w:rsidRPr="000F48FC" w:rsidRDefault="00D04387" w:rsidP="00D04387">
      <w:pPr>
        <w:pStyle w:val="Bullettext"/>
      </w:pPr>
      <w:r w:rsidRPr="000F48FC">
        <w:t>The number of medicines and health conditions of consumers was not captured in the PPI Program dataset, resulting in the inability to analyse trends over time and potential investment value, including impact, for other programs and services.</w:t>
      </w:r>
    </w:p>
    <w:p w:rsidR="00D04387" w:rsidRPr="000F48FC" w:rsidRDefault="00D04387" w:rsidP="00D04387">
      <w:pPr>
        <w:pStyle w:val="Bullettext"/>
      </w:pPr>
      <w:r w:rsidRPr="000F48FC">
        <w:t>Analysis of program data beyond 28</w:t>
      </w:r>
      <w:r w:rsidRPr="000F48FC">
        <w:rPr>
          <w:vertAlign w:val="superscript"/>
        </w:rPr>
        <w:t>th</w:t>
      </w:r>
      <w:r w:rsidRPr="000F48FC">
        <w:t xml:space="preserve"> February 2014 was not performed, resulting in failure to capture the effects of administrative changes to programs and services implemented on 1</w:t>
      </w:r>
      <w:r w:rsidRPr="000F48FC">
        <w:rPr>
          <w:vertAlign w:val="superscript"/>
        </w:rPr>
        <w:t>st</w:t>
      </w:r>
      <w:r w:rsidRPr="000F48FC">
        <w:t xml:space="preserve"> March 2014 on the uptake and volume of programs and services.</w:t>
      </w:r>
    </w:p>
    <w:p w:rsidR="00D04387" w:rsidRPr="000F48FC" w:rsidRDefault="00D04387" w:rsidP="00D04387">
      <w:pPr>
        <w:pStyle w:val="BodyText"/>
      </w:pPr>
      <w:r w:rsidRPr="008B3C59">
        <w:t xml:space="preserve">A </w:t>
      </w:r>
      <w:r w:rsidR="00443BD6">
        <w:t>CBA</w:t>
      </w:r>
      <w:r w:rsidRPr="008B3C59">
        <w:t xml:space="preserve"> was not performed in this Review, thus direct and indirect benefits resulting from delivering medication management programs, such as the PPI Program, could not be inferred. The authors recommended that a baseline benefits analysis be conducted in a future review of the Program to inform the health, social and economic benefits that result from these program implemented as part of the 6CPA and evaluate the cost-benefits as a result of the 6CPA investment. A reliable </w:t>
      </w:r>
      <w:r w:rsidR="00443BD6">
        <w:t>CBA</w:t>
      </w:r>
      <w:r w:rsidRPr="008B3C59">
        <w:t xml:space="preserve">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w:t>
      </w:r>
      <w:r w:rsidRPr="000F48FC">
        <w:t>.</w:t>
      </w:r>
    </w:p>
    <w:p w:rsidR="000F5965" w:rsidRPr="00A5471D" w:rsidRDefault="00D97462" w:rsidP="00AE66D1">
      <w:pPr>
        <w:pStyle w:val="Heading1"/>
      </w:pPr>
      <w:bookmarkStart w:id="88" w:name="_Toc523230295"/>
      <w:r>
        <w:lastRenderedPageBreak/>
        <w:t>Published e</w:t>
      </w:r>
      <w:r w:rsidR="000F5965">
        <w:t>vidence</w:t>
      </w:r>
      <w:r w:rsidR="00165A92">
        <w:t xml:space="preserve"> relating to effectiveness and safety</w:t>
      </w:r>
      <w:bookmarkEnd w:id="88"/>
    </w:p>
    <w:p w:rsidR="006553E5" w:rsidRDefault="00C07795" w:rsidP="008228DE">
      <w:pPr>
        <w:pStyle w:val="BodyText"/>
      </w:pPr>
      <w:r w:rsidRPr="00C07795">
        <w:t xml:space="preserve">This </w:t>
      </w:r>
      <w:r w:rsidR="001D2F39">
        <w:t>S</w:t>
      </w:r>
      <w:r w:rsidRPr="00C07795">
        <w:t xml:space="preserve">ection presents the </w:t>
      </w:r>
      <w:r w:rsidR="00165A92">
        <w:t>evidence i</w:t>
      </w:r>
      <w:r w:rsidR="001D2F39">
        <w:t>dentified in</w:t>
      </w:r>
      <w:r w:rsidRPr="00C07795">
        <w:t xml:space="preserve"> the </w:t>
      </w:r>
      <w:r w:rsidR="0004245D">
        <w:t xml:space="preserve">systematic literature review </w:t>
      </w:r>
      <w:r w:rsidR="00165A92">
        <w:t xml:space="preserve">relating to </w:t>
      </w:r>
      <w:r w:rsidR="0004245D">
        <w:t xml:space="preserve">the effectiveness </w:t>
      </w:r>
      <w:r w:rsidR="00E93195">
        <w:t xml:space="preserve">and </w:t>
      </w:r>
      <w:r w:rsidR="00165A92">
        <w:t>safety</w:t>
      </w:r>
      <w:r w:rsidR="0004245D">
        <w:t xml:space="preserve"> </w:t>
      </w:r>
      <w:r w:rsidR="00A82782">
        <w:t xml:space="preserve">of </w:t>
      </w:r>
      <w:r>
        <w:t>DAA</w:t>
      </w:r>
      <w:r w:rsidR="0004245D">
        <w:t>s</w:t>
      </w:r>
      <w:r w:rsidRPr="00C07795">
        <w:t xml:space="preserve"> in relation to the research questions</w:t>
      </w:r>
      <w:r>
        <w:t xml:space="preserve"> and the PICO criteria</w:t>
      </w:r>
      <w:r w:rsidR="00165A92">
        <w:t xml:space="preserve"> outlined </w:t>
      </w:r>
      <w:r w:rsidR="00165A92" w:rsidRPr="00692B37">
        <w:t xml:space="preserve">in </w:t>
      </w:r>
      <w:r w:rsidR="001D2F39" w:rsidRPr="00692B37">
        <w:t>Section</w:t>
      </w:r>
      <w:r w:rsidR="00AE66D1" w:rsidRPr="00692B37">
        <w:t xml:space="preserve"> </w:t>
      </w:r>
      <w:r w:rsidR="00AE66D1" w:rsidRPr="00692B37">
        <w:fldChar w:fldCharType="begin"/>
      </w:r>
      <w:r w:rsidR="00AE66D1" w:rsidRPr="00692B37">
        <w:instrText xml:space="preserve"> REF _Ref462135430 \r \h </w:instrText>
      </w:r>
      <w:r w:rsidR="00692B37">
        <w:instrText xml:space="preserve"> \* MERGEFORMAT </w:instrText>
      </w:r>
      <w:r w:rsidR="00AE66D1" w:rsidRPr="00692B37">
        <w:fldChar w:fldCharType="separate"/>
      </w:r>
      <w:r w:rsidR="00964233">
        <w:t>3.1.1</w:t>
      </w:r>
      <w:r w:rsidR="00AE66D1" w:rsidRPr="00692B37">
        <w:fldChar w:fldCharType="end"/>
      </w:r>
      <w:r>
        <w:t xml:space="preserve">. </w:t>
      </w:r>
      <w:r w:rsidR="006553E5">
        <w:t>None of the included studies assessed the impact of an incentive payment to pharmacists for the provision of DAAs</w:t>
      </w:r>
      <w:r w:rsidR="00C67D39">
        <w:t xml:space="preserve"> to community patients</w:t>
      </w:r>
      <w:r w:rsidR="006553E5">
        <w:t xml:space="preserve">. </w:t>
      </w:r>
    </w:p>
    <w:p w:rsidR="001D2F39" w:rsidRDefault="001D2F39" w:rsidP="008228DE">
      <w:pPr>
        <w:pStyle w:val="BodyText"/>
      </w:pPr>
      <w:r>
        <w:t>This section does not include evidence reported in previous evaluations of the PPI</w:t>
      </w:r>
      <w:r w:rsidR="00566C62">
        <w:t xml:space="preserve"> </w:t>
      </w:r>
      <w:r>
        <w:t>P</w:t>
      </w:r>
      <w:r w:rsidR="00566C62">
        <w:t>rogram</w:t>
      </w:r>
      <w:r>
        <w:t xml:space="preserve"> DAA incentive, which was </w:t>
      </w:r>
      <w:r w:rsidR="00AC1334">
        <w:t>summarised in Section</w:t>
      </w:r>
      <w:r w:rsidR="007E1F30">
        <w:t xml:space="preserve"> </w:t>
      </w:r>
      <w:r w:rsidR="007E1F30">
        <w:fldChar w:fldCharType="begin"/>
      </w:r>
      <w:r w:rsidR="007E1F30">
        <w:instrText xml:space="preserve"> REF _Ref462745970 \r \h </w:instrText>
      </w:r>
      <w:r w:rsidR="007E1F30">
        <w:fldChar w:fldCharType="separate"/>
      </w:r>
      <w:r w:rsidR="00964233">
        <w:t>0</w:t>
      </w:r>
      <w:r w:rsidR="007E1F30">
        <w:fldChar w:fldCharType="end"/>
      </w:r>
      <w:r w:rsidRPr="00692B37">
        <w:t>.</w:t>
      </w:r>
    </w:p>
    <w:p w:rsidR="00B97C50" w:rsidRPr="00AC1334" w:rsidRDefault="00B97C50" w:rsidP="00B97C50">
      <w:pPr>
        <w:pStyle w:val="Heading2"/>
      </w:pPr>
      <w:bookmarkStart w:id="89" w:name="_Ref462409285"/>
      <w:bookmarkStart w:id="90" w:name="_Toc523230296"/>
      <w:r w:rsidRPr="00AC1334">
        <w:t>Evidence from systematic reviews</w:t>
      </w:r>
      <w:bookmarkEnd w:id="89"/>
      <w:bookmarkEnd w:id="90"/>
    </w:p>
    <w:p w:rsidR="00AC1334" w:rsidRDefault="00AC1334" w:rsidP="00527B90">
      <w:r w:rsidRPr="00496F03">
        <w:fldChar w:fldCharType="begin"/>
      </w:r>
      <w:r w:rsidRPr="00496F03">
        <w:instrText xml:space="preserve"> REF _Ref461792118 \h </w:instrText>
      </w:r>
      <w:r>
        <w:instrText xml:space="preserve"> \* MERGEFORMAT </w:instrText>
      </w:r>
      <w:r w:rsidRPr="00496F03">
        <w:fldChar w:fldCharType="separate"/>
      </w:r>
      <w:r w:rsidR="00964233">
        <w:t xml:space="preserve">Table </w:t>
      </w:r>
      <w:r w:rsidR="00964233">
        <w:rPr>
          <w:noProof/>
        </w:rPr>
        <w:t>5.1</w:t>
      </w:r>
      <w:r w:rsidRPr="00496F03">
        <w:fldChar w:fldCharType="end"/>
      </w:r>
      <w:r w:rsidRPr="00496F03">
        <w:t xml:space="preserve"> presents a summary of the </w:t>
      </w:r>
      <w:r>
        <w:t xml:space="preserve">characteristics and quality of the three </w:t>
      </w:r>
      <w:r w:rsidRPr="00496F03">
        <w:t>included systematic reviews</w:t>
      </w:r>
      <w:r>
        <w:t>, one of which was a Cochrane review (Mahtani</w:t>
      </w:r>
      <w:r w:rsidR="005669F3">
        <w:t xml:space="preserve"> et al</w:t>
      </w:r>
      <w:r>
        <w:t>, 2011)</w:t>
      </w:r>
      <w:r w:rsidRPr="00496F03">
        <w:t>.</w:t>
      </w:r>
      <w:r>
        <w:t xml:space="preserve"> </w:t>
      </w:r>
      <w:r>
        <w:fldChar w:fldCharType="begin"/>
      </w:r>
      <w:r>
        <w:instrText xml:space="preserve"> REF _Ref461795109 \h </w:instrText>
      </w:r>
      <w:r>
        <w:fldChar w:fldCharType="separate"/>
      </w:r>
      <w:r w:rsidR="00964233">
        <w:t xml:space="preserve">Table </w:t>
      </w:r>
      <w:r w:rsidR="00964233">
        <w:rPr>
          <w:noProof/>
        </w:rPr>
        <w:t>5</w:t>
      </w:r>
      <w:r w:rsidR="00964233">
        <w:t>.</w:t>
      </w:r>
      <w:r w:rsidR="00964233">
        <w:rPr>
          <w:noProof/>
        </w:rPr>
        <w:t>2</w:t>
      </w:r>
      <w:r>
        <w:fldChar w:fldCharType="end"/>
      </w:r>
      <w:r w:rsidR="005669F3">
        <w:t xml:space="preserve"> </w:t>
      </w:r>
      <w:r>
        <w:t>summarises the overlap in included studies between systematic reviews.</w:t>
      </w:r>
      <w:r w:rsidR="005669F3">
        <w:t xml:space="preserve"> The most comprehensive systematic review was Boeni et al (2014).</w:t>
      </w:r>
    </w:p>
    <w:p w:rsidR="00AC1334" w:rsidRDefault="00AC1334" w:rsidP="00AC1334">
      <w:pPr>
        <w:pStyle w:val="BodyText"/>
      </w:pPr>
      <w:r>
        <w:t xml:space="preserve">The three systematic reviews included </w:t>
      </w:r>
      <w:r w:rsidRPr="00484A8F">
        <w:t>studies</w:t>
      </w:r>
      <w:r>
        <w:t xml:space="preserve"> that evaluated DAAs in the</w:t>
      </w:r>
      <w:r w:rsidR="005669F3">
        <w:t xml:space="preserve"> form of a multipunch drug card</w:t>
      </w:r>
      <w:r>
        <w:t>, reminder blister pack, or reminder packaging. These interventions are in accordance with the DAAs service guidelines and standards for pharmacists (PSA, 2007), where DAA is described to be either in the form of a unit-dose packing, where the dose (single or multiple units) of a single type of medicine is packed in each compartment, blister or pouch pack; or a multi-dose packing (where doses of more than one medicine can be packed in one compartment, blister or pouch pack).</w:t>
      </w:r>
    </w:p>
    <w:p w:rsidR="00AC1334" w:rsidRDefault="00AC1334" w:rsidP="00AC1334">
      <w:pPr>
        <w:pStyle w:val="BodyText"/>
      </w:pPr>
      <w:r w:rsidRPr="00AE0FF3">
        <w:t xml:space="preserve">However, as mentioned in Section </w:t>
      </w:r>
      <w:r w:rsidRPr="00AE0FF3">
        <w:fldChar w:fldCharType="begin"/>
      </w:r>
      <w:r w:rsidRPr="00AE0FF3">
        <w:instrText xml:space="preserve"> REF _Ref462302862 \r \h  \* MERGEFORMAT </w:instrText>
      </w:r>
      <w:r w:rsidRPr="00AE0FF3">
        <w:fldChar w:fldCharType="separate"/>
      </w:r>
      <w:r w:rsidR="00964233">
        <w:t>3.1.4</w:t>
      </w:r>
      <w:r w:rsidRPr="00AE0FF3">
        <w:fldChar w:fldCharType="end"/>
      </w:r>
      <w:r w:rsidRPr="00AE0FF3">
        <w:t>, the systematic reviews also included studies that</w:t>
      </w:r>
      <w:r w:rsidRPr="00484A8F">
        <w:t xml:space="preserve"> </w:t>
      </w:r>
      <w:r>
        <w:t xml:space="preserve">evaluated </w:t>
      </w:r>
      <w:r w:rsidRPr="00484A8F">
        <w:t>DAA</w:t>
      </w:r>
      <w:r>
        <w:t>s</w:t>
      </w:r>
      <w:r w:rsidRPr="00484A8F">
        <w:t xml:space="preserve"> as part of a comprehensive pharmacy care program that included patient education, pharmacist’s f</w:t>
      </w:r>
      <w:r>
        <w:t xml:space="preserve">ollow-up, and refill reminders. For example, the RCT by Valenstein et al (2009), which was discussed in both the Boeni </w:t>
      </w:r>
      <w:r w:rsidR="005669F3">
        <w:t xml:space="preserve">et al </w:t>
      </w:r>
      <w:r>
        <w:t xml:space="preserve">(2014) and Zedler </w:t>
      </w:r>
      <w:r w:rsidR="005669F3">
        <w:t xml:space="preserve">et al </w:t>
      </w:r>
      <w:r>
        <w:t>(2011) systematic reviews, evaluated th</w:t>
      </w:r>
      <w:r w:rsidRPr="00484A8F">
        <w:t xml:space="preserve">e Meds-Help pharmacy-based intervention </w:t>
      </w:r>
      <w:r w:rsidR="008D6EED">
        <w:t>in</w:t>
      </w:r>
      <w:r w:rsidRPr="00484A8F">
        <w:t xml:space="preserve"> patien</w:t>
      </w:r>
      <w:r>
        <w:t xml:space="preserve">ts with serious mental illness. The FAME study by </w:t>
      </w:r>
      <w:r w:rsidRPr="00484A8F">
        <w:t>Lee</w:t>
      </w:r>
      <w:r>
        <w:t xml:space="preserve"> et al</w:t>
      </w:r>
      <w:r w:rsidRPr="00484A8F">
        <w:t xml:space="preserve"> </w:t>
      </w:r>
      <w:r>
        <w:t>(2006) evaluated a p</w:t>
      </w:r>
      <w:r w:rsidRPr="00484A8F">
        <w:t xml:space="preserve">harmacy care program </w:t>
      </w:r>
      <w:r>
        <w:t xml:space="preserve">in </w:t>
      </w:r>
      <w:r w:rsidRPr="00484A8F">
        <w:t xml:space="preserve">community-based patients aged ≥65 years, </w:t>
      </w:r>
      <w:r>
        <w:t>who received standardis</w:t>
      </w:r>
      <w:r w:rsidRPr="00350631">
        <w:t>ed education, regular follow</w:t>
      </w:r>
      <w:r>
        <w:t>-</w:t>
      </w:r>
      <w:r w:rsidRPr="00350631">
        <w:t>up and multidrug punch cards covering at least four chronic medications</w:t>
      </w:r>
      <w:r w:rsidR="008D6EED">
        <w:t>.</w:t>
      </w:r>
    </w:p>
    <w:p w:rsidR="00AC1334" w:rsidRPr="00496F03" w:rsidRDefault="00AC1334" w:rsidP="00AC1334">
      <w:pPr>
        <w:pStyle w:val="BodyText"/>
      </w:pPr>
      <w:r>
        <w:t xml:space="preserve">The inclusion of studies that evaluated a combination of adherence-aimed interventions </w:t>
      </w:r>
      <w:r w:rsidR="008D6EED">
        <w:t>confounds the findings for DAAs</w:t>
      </w:r>
      <w:r>
        <w:t xml:space="preserve">. </w:t>
      </w:r>
      <w:r w:rsidRPr="00350631">
        <w:t xml:space="preserve">For this reason, </w:t>
      </w:r>
      <w:r>
        <w:t>studies that examined</w:t>
      </w:r>
      <w:r w:rsidRPr="00350631">
        <w:t xml:space="preserve"> DAAs independent of </w:t>
      </w:r>
      <w:r>
        <w:t>other a</w:t>
      </w:r>
      <w:r w:rsidRPr="002825A7">
        <w:t>dherence enhancing programs</w:t>
      </w:r>
      <w:r>
        <w:t xml:space="preserve"> </w:t>
      </w:r>
      <w:r w:rsidRPr="00350631">
        <w:t xml:space="preserve">were specifically selected and discussed </w:t>
      </w:r>
      <w:r w:rsidRPr="00AE0FF3">
        <w:t xml:space="preserve">individually in Section </w:t>
      </w:r>
      <w:r w:rsidRPr="00AE0FF3">
        <w:fldChar w:fldCharType="begin"/>
      </w:r>
      <w:r w:rsidRPr="00AE0FF3">
        <w:instrText xml:space="preserve"> REF _Ref462302916 \r \h </w:instrText>
      </w:r>
      <w:r w:rsidR="00AE0FF3">
        <w:instrText xml:space="preserve"> \* MERGEFORMAT </w:instrText>
      </w:r>
      <w:r w:rsidRPr="00AE0FF3">
        <w:fldChar w:fldCharType="separate"/>
      </w:r>
      <w:r w:rsidR="00964233">
        <w:t>5.2</w:t>
      </w:r>
      <w:r w:rsidRPr="00AE0FF3">
        <w:fldChar w:fldCharType="end"/>
      </w:r>
      <w:r w:rsidR="008D6EED">
        <w:t>. However, as the systematic reviews included some relevant studies, a</w:t>
      </w:r>
      <w:r w:rsidRPr="00AE0FF3">
        <w:t xml:space="preserve"> brief summary of </w:t>
      </w:r>
      <w:r w:rsidR="008D6EED">
        <w:t>each review</w:t>
      </w:r>
      <w:r w:rsidRPr="00AE0FF3">
        <w:t xml:space="preserve"> is</w:t>
      </w:r>
      <w:r w:rsidRPr="00350631">
        <w:t xml:space="preserve"> presented below</w:t>
      </w:r>
      <w:r>
        <w:t>.</w:t>
      </w:r>
    </w:p>
    <w:p w:rsidR="00AC1334" w:rsidRDefault="00AC1334" w:rsidP="00AC1334">
      <w:pPr>
        <w:pStyle w:val="BodyText"/>
        <w:rPr>
          <w:highlight w:val="yellow"/>
        </w:rPr>
      </w:pPr>
    </w:p>
    <w:p w:rsidR="00AC1334" w:rsidRDefault="00AC1334" w:rsidP="00AC1334">
      <w:pPr>
        <w:pStyle w:val="BodyText"/>
        <w:sectPr w:rsidR="00AC1334" w:rsidSect="00982A19">
          <w:footerReference w:type="default" r:id="rId18"/>
          <w:pgSz w:w="11906" w:h="16838" w:code="9"/>
          <w:pgMar w:top="1134" w:right="1134" w:bottom="1134" w:left="1134" w:header="680" w:footer="851" w:gutter="0"/>
          <w:cols w:space="708"/>
          <w:docGrid w:linePitch="360"/>
        </w:sectPr>
      </w:pPr>
    </w:p>
    <w:p w:rsidR="00AC1334" w:rsidRDefault="00AC1334" w:rsidP="00AC1334">
      <w:pPr>
        <w:pStyle w:val="Caption"/>
      </w:pPr>
      <w:bookmarkStart w:id="91" w:name="_Ref461792118"/>
      <w:bookmarkStart w:id="92" w:name="_Toc523230333"/>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5</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1</w:t>
      </w:r>
      <w:r w:rsidR="00964233">
        <w:rPr>
          <w:noProof/>
        </w:rPr>
        <w:fldChar w:fldCharType="end"/>
      </w:r>
      <w:bookmarkEnd w:id="91"/>
      <w:r>
        <w:tab/>
        <w:t>Summary of the included systematic reviews</w:t>
      </w:r>
      <w:bookmarkEnd w:id="92"/>
    </w:p>
    <w:tbl>
      <w:tblPr>
        <w:tblStyle w:val="TableGrid"/>
        <w:tblW w:w="5000" w:type="pct"/>
        <w:tblLook w:val="04A0" w:firstRow="1" w:lastRow="0" w:firstColumn="1" w:lastColumn="0" w:noHBand="0" w:noVBand="1"/>
        <w:tblCaption w:val="Table 5.1"/>
        <w:tblDescription w:val="Summary of the included systematic reviews"/>
      </w:tblPr>
      <w:tblGrid>
        <w:gridCol w:w="781"/>
        <w:gridCol w:w="1053"/>
        <w:gridCol w:w="1053"/>
        <w:gridCol w:w="1196"/>
        <w:gridCol w:w="2589"/>
        <w:gridCol w:w="2217"/>
        <w:gridCol w:w="2550"/>
        <w:gridCol w:w="2554"/>
      </w:tblGrid>
      <w:tr w:rsidR="00AC1334" w:rsidTr="00982A19">
        <w:trPr>
          <w:cnfStyle w:val="100000000000" w:firstRow="1" w:lastRow="0" w:firstColumn="0" w:lastColumn="0" w:oddVBand="0" w:evenVBand="0" w:oddHBand="0" w:evenHBand="0" w:firstRowFirstColumn="0" w:firstRowLastColumn="0" w:lastRowFirstColumn="0" w:lastRowLastColumn="0"/>
          <w:cantSplit w:val="0"/>
          <w:trHeight w:val="538"/>
        </w:trPr>
        <w:tc>
          <w:tcPr>
            <w:tcW w:w="266" w:type="pct"/>
          </w:tcPr>
          <w:p w:rsidR="00AC1334" w:rsidRDefault="00AC1334" w:rsidP="007151D9">
            <w:pPr>
              <w:pStyle w:val="01Tableheadingorsubheading"/>
              <w:keepNext w:val="0"/>
              <w:rPr>
                <w:snapToGrid w:val="0"/>
              </w:rPr>
            </w:pPr>
            <w:r>
              <w:rPr>
                <w:snapToGrid w:val="0"/>
              </w:rPr>
              <w:t>Study ID</w:t>
            </w:r>
          </w:p>
          <w:p w:rsidR="00AC1334" w:rsidRPr="0087687E" w:rsidRDefault="00AC1334" w:rsidP="007151D9">
            <w:pPr>
              <w:pStyle w:val="01Tableheadingorsubheading"/>
              <w:keepNext w:val="0"/>
              <w:rPr>
                <w:i/>
              </w:rPr>
            </w:pPr>
            <w:r w:rsidRPr="0087687E">
              <w:rPr>
                <w:i/>
                <w:snapToGrid w:val="0"/>
              </w:rPr>
              <w:t>Quality</w:t>
            </w:r>
            <w:r w:rsidRPr="0087687E">
              <w:rPr>
                <w:i/>
                <w:snapToGrid w:val="0"/>
                <w:vertAlign w:val="superscript"/>
              </w:rPr>
              <w:t>a</w:t>
            </w:r>
          </w:p>
        </w:tc>
        <w:tc>
          <w:tcPr>
            <w:tcW w:w="378" w:type="pct"/>
            <w:vAlign w:val="center"/>
          </w:tcPr>
          <w:p w:rsidR="00AC1334" w:rsidRDefault="00AC1334" w:rsidP="00982A19">
            <w:pPr>
              <w:pStyle w:val="01Tableheadingorsubheading"/>
              <w:keepNext w:val="0"/>
              <w:jc w:val="center"/>
            </w:pPr>
            <w:r>
              <w:rPr>
                <w:snapToGrid w:val="0"/>
              </w:rPr>
              <w:t>Search date</w:t>
            </w:r>
          </w:p>
        </w:tc>
        <w:tc>
          <w:tcPr>
            <w:tcW w:w="378" w:type="pct"/>
            <w:vAlign w:val="center"/>
          </w:tcPr>
          <w:p w:rsidR="00AC1334" w:rsidRDefault="00AC1334" w:rsidP="00982A19">
            <w:pPr>
              <w:pStyle w:val="01Tableheadingorsubheading"/>
              <w:keepNext w:val="0"/>
              <w:jc w:val="center"/>
            </w:pPr>
            <w:r>
              <w:rPr>
                <w:snapToGrid w:val="0"/>
              </w:rPr>
              <w:t>No. of studies</w:t>
            </w:r>
          </w:p>
        </w:tc>
        <w:tc>
          <w:tcPr>
            <w:tcW w:w="429" w:type="pct"/>
            <w:vAlign w:val="center"/>
          </w:tcPr>
          <w:p w:rsidR="00AC1334" w:rsidRDefault="00AC1334" w:rsidP="00982A19">
            <w:pPr>
              <w:pStyle w:val="01Tableheadingorsubheading"/>
              <w:keepNext w:val="0"/>
              <w:jc w:val="center"/>
            </w:pPr>
            <w:r>
              <w:rPr>
                <w:snapToGrid w:val="0"/>
              </w:rPr>
              <w:t>Population</w:t>
            </w:r>
          </w:p>
        </w:tc>
        <w:tc>
          <w:tcPr>
            <w:tcW w:w="927" w:type="pct"/>
            <w:vAlign w:val="center"/>
          </w:tcPr>
          <w:p w:rsidR="00AC1334" w:rsidRDefault="00AC1334" w:rsidP="00982A19">
            <w:pPr>
              <w:pStyle w:val="01Tableheadingorsubheading"/>
              <w:keepNext w:val="0"/>
              <w:jc w:val="center"/>
            </w:pPr>
            <w:r>
              <w:rPr>
                <w:snapToGrid w:val="0"/>
              </w:rPr>
              <w:t>DAA intervention</w:t>
            </w:r>
          </w:p>
        </w:tc>
        <w:tc>
          <w:tcPr>
            <w:tcW w:w="794" w:type="pct"/>
            <w:vAlign w:val="center"/>
          </w:tcPr>
          <w:p w:rsidR="00AC1334" w:rsidRDefault="00AC1334" w:rsidP="00982A19">
            <w:pPr>
              <w:pStyle w:val="01Tableheadingorsubheading"/>
              <w:keepNext w:val="0"/>
              <w:jc w:val="center"/>
            </w:pPr>
            <w:r>
              <w:rPr>
                <w:snapToGrid w:val="0"/>
              </w:rPr>
              <w:t>Medical conditions (No. of studies)</w:t>
            </w:r>
          </w:p>
        </w:tc>
        <w:tc>
          <w:tcPr>
            <w:tcW w:w="913" w:type="pct"/>
            <w:vAlign w:val="center"/>
          </w:tcPr>
          <w:p w:rsidR="00AC1334" w:rsidRDefault="00AC1334" w:rsidP="00982A19">
            <w:pPr>
              <w:pStyle w:val="01Tableheadingorsubheading"/>
              <w:keepNext w:val="0"/>
              <w:jc w:val="center"/>
            </w:pPr>
            <w:r>
              <w:rPr>
                <w:snapToGrid w:val="0"/>
              </w:rPr>
              <w:t>Outcome measures</w:t>
            </w:r>
          </w:p>
        </w:tc>
        <w:tc>
          <w:tcPr>
            <w:tcW w:w="914" w:type="pct"/>
            <w:vAlign w:val="center"/>
          </w:tcPr>
          <w:p w:rsidR="00AC1334" w:rsidRDefault="00AC1334" w:rsidP="00982A19">
            <w:pPr>
              <w:pStyle w:val="01Tableheadingorsubheading"/>
              <w:keepNext w:val="0"/>
              <w:jc w:val="center"/>
              <w:rPr>
                <w:snapToGrid w:val="0"/>
              </w:rPr>
            </w:pPr>
            <w:r>
              <w:rPr>
                <w:snapToGrid w:val="0"/>
              </w:rPr>
              <w:t>Authors’ conclusions</w:t>
            </w:r>
          </w:p>
        </w:tc>
      </w:tr>
      <w:tr w:rsidR="00AC1334" w:rsidTr="00982A19">
        <w:trPr>
          <w:cantSplit w:val="0"/>
        </w:trPr>
        <w:tc>
          <w:tcPr>
            <w:tcW w:w="266" w:type="pct"/>
          </w:tcPr>
          <w:p w:rsidR="00AC1334" w:rsidRPr="000D3C08" w:rsidRDefault="00AC1334" w:rsidP="007151D9">
            <w:pPr>
              <w:pStyle w:val="02Tabletext"/>
              <w:keepNext w:val="0"/>
            </w:pPr>
            <w:r w:rsidRPr="000D3C08">
              <w:t>Boeni (2014)</w:t>
            </w:r>
          </w:p>
          <w:p w:rsidR="00AC1334" w:rsidRPr="000D3C08" w:rsidRDefault="000D3C08" w:rsidP="007151D9">
            <w:pPr>
              <w:pStyle w:val="03Tabletextspacebefore"/>
              <w:rPr>
                <w:i/>
              </w:rPr>
            </w:pPr>
            <w:r w:rsidRPr="000D3C08">
              <w:rPr>
                <w:i/>
              </w:rPr>
              <w:t>5/10</w:t>
            </w:r>
          </w:p>
        </w:tc>
        <w:tc>
          <w:tcPr>
            <w:tcW w:w="378" w:type="pct"/>
          </w:tcPr>
          <w:p w:rsidR="00AC1334" w:rsidRPr="000D3C08" w:rsidRDefault="00AC1334" w:rsidP="007151D9">
            <w:pPr>
              <w:pStyle w:val="02Tabletext"/>
              <w:keepNext w:val="0"/>
            </w:pPr>
            <w:r w:rsidRPr="000D3C08">
              <w:t>Up until September 2013</w:t>
            </w:r>
          </w:p>
          <w:p w:rsidR="00AC1334" w:rsidRPr="000D3C08" w:rsidRDefault="00AC1334" w:rsidP="007151D9">
            <w:pPr>
              <w:pStyle w:val="02Tabletext"/>
              <w:keepNext w:val="0"/>
            </w:pPr>
          </w:p>
        </w:tc>
        <w:tc>
          <w:tcPr>
            <w:tcW w:w="378" w:type="pct"/>
          </w:tcPr>
          <w:p w:rsidR="00AC1334" w:rsidRPr="000D3C08" w:rsidRDefault="00AC1334" w:rsidP="007151D9">
            <w:pPr>
              <w:pStyle w:val="02Tabletext"/>
              <w:keepNext w:val="0"/>
            </w:pPr>
            <w:r w:rsidRPr="000D3C08">
              <w:t>30 (10 RCTs, 19 controlled clinical trials, 1 cohort study)</w:t>
            </w:r>
          </w:p>
        </w:tc>
        <w:tc>
          <w:tcPr>
            <w:tcW w:w="429" w:type="pct"/>
            <w:shd w:val="clear" w:color="auto" w:fill="auto"/>
          </w:tcPr>
          <w:p w:rsidR="00AC1334" w:rsidRPr="000D3C08" w:rsidRDefault="00AC1334" w:rsidP="007151D9">
            <w:pPr>
              <w:pStyle w:val="02Tabletext"/>
              <w:keepNext w:val="0"/>
            </w:pPr>
            <w:r w:rsidRPr="000D3C08">
              <w:t>Patients taking one or more oral medication (prescribed or over-the-counter) without the assistance of a health-care professional</w:t>
            </w:r>
          </w:p>
        </w:tc>
        <w:tc>
          <w:tcPr>
            <w:tcW w:w="927" w:type="pct"/>
          </w:tcPr>
          <w:p w:rsidR="00AC1334" w:rsidRPr="000D3C08" w:rsidRDefault="00AC1334" w:rsidP="007151D9">
            <w:pPr>
              <w:pStyle w:val="02Tabletext"/>
              <w:keepNext w:val="0"/>
            </w:pPr>
            <w:r w:rsidRPr="000D3C08">
              <w:t>Drug reminder packaging</w:t>
            </w:r>
            <w:r w:rsidRPr="000D3C08">
              <w:rPr>
                <w:vertAlign w:val="superscript"/>
              </w:rPr>
              <w:t>b</w:t>
            </w:r>
            <w:r w:rsidRPr="000D3C08">
              <w:t xml:space="preserve"> in any adherence-enhancing program (</w:t>
            </w:r>
            <w:r w:rsidRPr="000D3C08">
              <w:rPr>
                <w:i/>
              </w:rPr>
              <w:t>7 RCTs</w:t>
            </w:r>
            <w:r w:rsidRPr="000D3C08">
              <w:t>)</w:t>
            </w:r>
          </w:p>
          <w:p w:rsidR="00AC1334" w:rsidRPr="000D3C08" w:rsidRDefault="00AC1334" w:rsidP="007151D9">
            <w:pPr>
              <w:pStyle w:val="06Tablebullet"/>
            </w:pPr>
            <w:r w:rsidRPr="000D3C08">
              <w:t>reusable multi-compartment adherence aids (plastic pillboxes with several compartments per day or per week filled by the patient or pharmacy staff)</w:t>
            </w:r>
          </w:p>
          <w:p w:rsidR="00AC1334" w:rsidRPr="000D3C08" w:rsidRDefault="00AC1334" w:rsidP="007151D9">
            <w:pPr>
              <w:pStyle w:val="06Tablebullet"/>
            </w:pPr>
            <w:r w:rsidRPr="000D3C08">
              <w:t>non-reusable multidrug punch cards (frame cards with plastic cavities, sealed with a foil backing, with typically 28 compartments, filled by pharmacy staff, by a specialised company or an automated system)</w:t>
            </w:r>
          </w:p>
        </w:tc>
        <w:tc>
          <w:tcPr>
            <w:tcW w:w="794" w:type="pct"/>
          </w:tcPr>
          <w:p w:rsidR="00AC1334" w:rsidRPr="000D3C08" w:rsidRDefault="00AC1334" w:rsidP="007151D9">
            <w:pPr>
              <w:pStyle w:val="06Tablebullet"/>
            </w:pPr>
            <w:r w:rsidRPr="000D3C08">
              <w:t>hypertension (7)</w:t>
            </w:r>
          </w:p>
          <w:p w:rsidR="00AC1334" w:rsidRPr="000D3C08" w:rsidRDefault="00AC1334" w:rsidP="007151D9">
            <w:pPr>
              <w:pStyle w:val="06Tablebullet"/>
            </w:pPr>
            <w:r w:rsidRPr="000D3C08">
              <w:t>diabetes type 2 (3)</w:t>
            </w:r>
          </w:p>
          <w:p w:rsidR="00AC1334" w:rsidRPr="000D3C08" w:rsidRDefault="00AC1334" w:rsidP="007151D9">
            <w:pPr>
              <w:pStyle w:val="06Tablebullet"/>
            </w:pPr>
            <w:r w:rsidRPr="000D3C08">
              <w:t>geriatric conditions (3)</w:t>
            </w:r>
          </w:p>
          <w:p w:rsidR="00AC1334" w:rsidRPr="000D3C08" w:rsidRDefault="00AC1334" w:rsidP="007151D9">
            <w:pPr>
              <w:pStyle w:val="06Tablebullet"/>
            </w:pPr>
            <w:r w:rsidRPr="000D3C08">
              <w:t>HIV infection (2)</w:t>
            </w:r>
          </w:p>
          <w:p w:rsidR="00AC1334" w:rsidRPr="000D3C08" w:rsidRDefault="00AC1334" w:rsidP="007151D9">
            <w:pPr>
              <w:pStyle w:val="06Tablebullet"/>
              <w:rPr>
                <w:i/>
              </w:rPr>
            </w:pPr>
            <w:r w:rsidRPr="000D3C08">
              <w:rPr>
                <w:i/>
              </w:rPr>
              <w:t>H. Pylori (2)</w:t>
            </w:r>
          </w:p>
          <w:p w:rsidR="00AC1334" w:rsidRPr="000D3C08" w:rsidRDefault="00AC1334" w:rsidP="007151D9">
            <w:pPr>
              <w:pStyle w:val="06Tablebullet"/>
            </w:pPr>
            <w:r w:rsidRPr="000D3C08">
              <w:t>vitamin supplementation (2)</w:t>
            </w:r>
          </w:p>
          <w:p w:rsidR="00AC1334" w:rsidRPr="000D3C08" w:rsidRDefault="00AC1334" w:rsidP="007151D9">
            <w:pPr>
              <w:pStyle w:val="06Tablebullet"/>
            </w:pPr>
            <w:r w:rsidRPr="000D3C08">
              <w:t>chronic mental illness (2)</w:t>
            </w:r>
          </w:p>
          <w:p w:rsidR="00AC1334" w:rsidRPr="000D3C08" w:rsidRDefault="00AC1334" w:rsidP="007151D9">
            <w:pPr>
              <w:pStyle w:val="06Tablebullet"/>
            </w:pPr>
            <w:r w:rsidRPr="000D3C08">
              <w:t>hypercholesterolemia (1)</w:t>
            </w:r>
          </w:p>
          <w:p w:rsidR="00AC1334" w:rsidRPr="000D3C08" w:rsidRDefault="00AC1334" w:rsidP="007151D9">
            <w:pPr>
              <w:pStyle w:val="06Tablebullet"/>
            </w:pPr>
            <w:r w:rsidRPr="000D3C08">
              <w:t>epilepsy (1)</w:t>
            </w:r>
          </w:p>
          <w:p w:rsidR="00AC1334" w:rsidRPr="000D3C08" w:rsidRDefault="00AC1334" w:rsidP="007151D9">
            <w:pPr>
              <w:pStyle w:val="06Tablebullet"/>
            </w:pPr>
            <w:r w:rsidRPr="000D3C08">
              <w:t>pain relief in cancer patients (1)</w:t>
            </w:r>
          </w:p>
          <w:p w:rsidR="00AC1334" w:rsidRPr="000D3C08" w:rsidRDefault="00AC1334" w:rsidP="007151D9">
            <w:pPr>
              <w:pStyle w:val="06Tablebullet"/>
            </w:pPr>
            <w:r w:rsidRPr="000D3C08">
              <w:t>anticoagulation (1)</w:t>
            </w:r>
          </w:p>
          <w:p w:rsidR="00AC1334" w:rsidRPr="000D3C08" w:rsidRDefault="00AC1334" w:rsidP="007151D9">
            <w:pPr>
              <w:pStyle w:val="06Tablebullet"/>
            </w:pPr>
            <w:r w:rsidRPr="000D3C08">
              <w:t>chlamydia infection (1)</w:t>
            </w:r>
          </w:p>
        </w:tc>
        <w:tc>
          <w:tcPr>
            <w:tcW w:w="913" w:type="pct"/>
          </w:tcPr>
          <w:p w:rsidR="00AC1334" w:rsidRPr="000D3C08" w:rsidRDefault="00AC1334" w:rsidP="007151D9">
            <w:pPr>
              <w:pStyle w:val="06Tablebullet"/>
            </w:pPr>
            <w:r w:rsidRPr="000D3C08">
              <w:t>adherence to medication (pill count</w:t>
            </w:r>
          </w:p>
          <w:p w:rsidR="00AC1334" w:rsidRPr="000D3C08" w:rsidRDefault="00AC1334" w:rsidP="007151D9">
            <w:pPr>
              <w:pStyle w:val="06Tablebullet"/>
            </w:pPr>
            <w:r w:rsidRPr="000D3C08">
              <w:t>patient self-report</w:t>
            </w:r>
          </w:p>
          <w:p w:rsidR="00AC1334" w:rsidRPr="000D3C08" w:rsidRDefault="00AC1334" w:rsidP="007151D9">
            <w:pPr>
              <w:pStyle w:val="06Tablebullet"/>
            </w:pPr>
            <w:r w:rsidRPr="000D3C08">
              <w:t xml:space="preserve">refill data </w:t>
            </w:r>
          </w:p>
          <w:p w:rsidR="00AC1334" w:rsidRPr="000D3C08" w:rsidRDefault="00AC1334" w:rsidP="007151D9">
            <w:pPr>
              <w:pStyle w:val="06Tablebullet"/>
            </w:pPr>
            <w:r w:rsidRPr="000D3C08">
              <w:t>therapeutic drug monitoring</w:t>
            </w:r>
          </w:p>
          <w:p w:rsidR="00AC1334" w:rsidRPr="000D3C08" w:rsidRDefault="00AC1334" w:rsidP="007151D9">
            <w:pPr>
              <w:pStyle w:val="06Tablebullet"/>
            </w:pPr>
            <w:r w:rsidRPr="000D3C08">
              <w:t>appointment keeping</w:t>
            </w:r>
          </w:p>
          <w:p w:rsidR="00AC1334" w:rsidRPr="000D3C08" w:rsidRDefault="00AC1334" w:rsidP="007151D9">
            <w:pPr>
              <w:pStyle w:val="06Tablebullet"/>
            </w:pPr>
            <w:r w:rsidRPr="000D3C08">
              <w:t>clinical measures (e.g. BP, glycated haemoglobin, psychiatric symptoms, LDL-C, pain reduction, number of seizures, viral load, CD4 cell count, hospitalisations, etc.)</w:t>
            </w:r>
          </w:p>
          <w:p w:rsidR="00AC1334" w:rsidRPr="000D3C08" w:rsidRDefault="00AC1334" w:rsidP="007151D9">
            <w:pPr>
              <w:pStyle w:val="06Tablebullet"/>
            </w:pPr>
            <w:r w:rsidRPr="000D3C08">
              <w:t>cost-effectiveness</w:t>
            </w:r>
          </w:p>
          <w:p w:rsidR="00AC1334" w:rsidRPr="000D3C08" w:rsidRDefault="00AC1334" w:rsidP="007151D9">
            <w:pPr>
              <w:pStyle w:val="06Tablebullet"/>
            </w:pPr>
            <w:r w:rsidRPr="000D3C08">
              <w:t>humanistic outcomes</w:t>
            </w:r>
          </w:p>
          <w:p w:rsidR="00AC1334" w:rsidRPr="000D3C08" w:rsidRDefault="00AC1334" w:rsidP="007151D9">
            <w:pPr>
              <w:pStyle w:val="06Tablebullet"/>
            </w:pPr>
            <w:r w:rsidRPr="000D3C08">
              <w:t xml:space="preserve">safety </w:t>
            </w:r>
          </w:p>
        </w:tc>
        <w:tc>
          <w:tcPr>
            <w:tcW w:w="914" w:type="pct"/>
          </w:tcPr>
          <w:p w:rsidR="00AC1334" w:rsidRDefault="00AC1334" w:rsidP="007151D9">
            <w:pPr>
              <w:pStyle w:val="02Tabletext"/>
              <w:keepNext w:val="0"/>
            </w:pPr>
            <w:r w:rsidRPr="000D3C08">
              <w:t>Evidence from the included studies showed a positive effect of drug reminder packaging on adherence and clinical outcomes. However, poor reporting and important gaps like missing humanistic and economic outcomes and neglected safety issues limit the drawing of firm conclusions.</w:t>
            </w:r>
            <w:r>
              <w:t xml:space="preserve"> </w:t>
            </w:r>
          </w:p>
          <w:p w:rsidR="00AC1334" w:rsidRDefault="00AC1334" w:rsidP="007151D9">
            <w:pPr>
              <w:pStyle w:val="02Tabletext"/>
              <w:keepNext w:val="0"/>
            </w:pPr>
          </w:p>
        </w:tc>
      </w:tr>
      <w:tr w:rsidR="00AC1334" w:rsidTr="00982A19">
        <w:trPr>
          <w:cnfStyle w:val="000000010000" w:firstRow="0" w:lastRow="0" w:firstColumn="0" w:lastColumn="0" w:oddVBand="0" w:evenVBand="0" w:oddHBand="0" w:evenHBand="1" w:firstRowFirstColumn="0" w:firstRowLastColumn="0" w:lastRowFirstColumn="0" w:lastRowLastColumn="0"/>
          <w:cantSplit w:val="0"/>
        </w:trPr>
        <w:tc>
          <w:tcPr>
            <w:tcW w:w="266" w:type="pct"/>
          </w:tcPr>
          <w:p w:rsidR="00AC1334" w:rsidRDefault="00AC1334" w:rsidP="007151D9">
            <w:pPr>
              <w:pStyle w:val="02Tabletext"/>
              <w:keepNext w:val="0"/>
            </w:pPr>
            <w:r>
              <w:t>Mahtani (2011)</w:t>
            </w:r>
          </w:p>
          <w:p w:rsidR="00AC1334" w:rsidRPr="00311EF3" w:rsidRDefault="000D3C08" w:rsidP="007151D9">
            <w:pPr>
              <w:pStyle w:val="03Tabletextspacebefore"/>
            </w:pPr>
            <w:r w:rsidRPr="000D3C08">
              <w:rPr>
                <w:i/>
              </w:rPr>
              <w:t>10/11</w:t>
            </w:r>
          </w:p>
        </w:tc>
        <w:tc>
          <w:tcPr>
            <w:tcW w:w="378" w:type="pct"/>
          </w:tcPr>
          <w:p w:rsidR="00AC1334" w:rsidRDefault="00AC1334" w:rsidP="007151D9">
            <w:pPr>
              <w:pStyle w:val="02Tabletext"/>
              <w:keepNext w:val="0"/>
            </w:pPr>
            <w:r>
              <w:t>Up until September 2010</w:t>
            </w:r>
          </w:p>
        </w:tc>
        <w:tc>
          <w:tcPr>
            <w:tcW w:w="378" w:type="pct"/>
          </w:tcPr>
          <w:p w:rsidR="00AC1334" w:rsidRDefault="00AC1334" w:rsidP="007151D9">
            <w:pPr>
              <w:pStyle w:val="02Tabletext"/>
              <w:keepNext w:val="0"/>
            </w:pPr>
            <w:r>
              <w:t>12 RCTs</w:t>
            </w:r>
          </w:p>
        </w:tc>
        <w:tc>
          <w:tcPr>
            <w:tcW w:w="429" w:type="pct"/>
          </w:tcPr>
          <w:p w:rsidR="00AC1334" w:rsidRDefault="00AC1334" w:rsidP="007151D9">
            <w:pPr>
              <w:pStyle w:val="02Tabletext"/>
              <w:keepNext w:val="0"/>
            </w:pPr>
            <w:r w:rsidRPr="00850200">
              <w:t>Patients</w:t>
            </w:r>
            <w:r>
              <w:t xml:space="preserve"> at any age</w:t>
            </w:r>
            <w:r w:rsidRPr="00850200">
              <w:t xml:space="preserve"> taking</w:t>
            </w:r>
            <w:r>
              <w:t xml:space="preserve"> medication (prescribed or over-the-counter) </w:t>
            </w:r>
            <w:r w:rsidRPr="00850200">
              <w:t>without the assistance of a health-care professional</w:t>
            </w:r>
          </w:p>
        </w:tc>
        <w:tc>
          <w:tcPr>
            <w:tcW w:w="927" w:type="pct"/>
          </w:tcPr>
          <w:p w:rsidR="00AC1334" w:rsidRDefault="00AC1334" w:rsidP="007151D9">
            <w:pPr>
              <w:pStyle w:val="02Tabletext"/>
              <w:keepNext w:val="0"/>
            </w:pPr>
            <w:r>
              <w:t>Medication that was packaged by a pharmacist or a manufacturing company and in any setting:</w:t>
            </w:r>
          </w:p>
          <w:p w:rsidR="00AC1334" w:rsidRDefault="00AC1334" w:rsidP="007151D9">
            <w:pPr>
              <w:pStyle w:val="06Tablebullet"/>
            </w:pPr>
            <w:r>
              <w:t>Reminder packaging aids</w:t>
            </w:r>
            <w:r>
              <w:rPr>
                <w:vertAlign w:val="superscript"/>
              </w:rPr>
              <w:t>c</w:t>
            </w:r>
            <w:r>
              <w:t xml:space="preserve"> both pre-packed into blister packs (calendar blister, unit dose, monitored dosage system) and those packaged in pill boxes (m</w:t>
            </w:r>
            <w:r w:rsidRPr="00850200">
              <w:t>ulti-compartment compliance aid</w:t>
            </w:r>
            <w:r>
              <w:t>, DAA</w:t>
            </w:r>
            <w:r>
              <w:rPr>
                <w:vertAlign w:val="superscript"/>
              </w:rPr>
              <w:t>d</w:t>
            </w:r>
            <w:r>
              <w:t>) (</w:t>
            </w:r>
            <w:r w:rsidRPr="00461063">
              <w:rPr>
                <w:i/>
              </w:rPr>
              <w:t>6 relevant studies</w:t>
            </w:r>
            <w:r>
              <w:t>)</w:t>
            </w:r>
          </w:p>
          <w:p w:rsidR="00AC1334" w:rsidRPr="00EC75B6" w:rsidRDefault="00AC1334" w:rsidP="007151D9">
            <w:pPr>
              <w:pStyle w:val="06Tablebullet"/>
            </w:pPr>
            <w:r>
              <w:t xml:space="preserve">Other reminders separate to the intervention (electronic via email, SMS) were excluded </w:t>
            </w:r>
          </w:p>
        </w:tc>
        <w:tc>
          <w:tcPr>
            <w:tcW w:w="794" w:type="pct"/>
          </w:tcPr>
          <w:p w:rsidR="00AC1334" w:rsidRDefault="00AC1334" w:rsidP="007151D9">
            <w:pPr>
              <w:pStyle w:val="06Tablebullet"/>
            </w:pPr>
            <w:r>
              <w:t>hypertension (5)</w:t>
            </w:r>
          </w:p>
          <w:p w:rsidR="00AC1334" w:rsidRDefault="00AC1334" w:rsidP="007151D9">
            <w:pPr>
              <w:pStyle w:val="06Tablebullet"/>
            </w:pPr>
            <w:r>
              <w:t>non-insulin dependent diabetes (3)</w:t>
            </w:r>
          </w:p>
          <w:p w:rsidR="00AC1334" w:rsidRDefault="00AC1334" w:rsidP="007151D9">
            <w:pPr>
              <w:pStyle w:val="06Tablebullet"/>
            </w:pPr>
            <w:r>
              <w:t>chronic mental illness (1)</w:t>
            </w:r>
          </w:p>
          <w:p w:rsidR="00AC1334" w:rsidRDefault="00AC1334" w:rsidP="007151D9">
            <w:pPr>
              <w:pStyle w:val="06Tablebullet"/>
            </w:pPr>
            <w:r>
              <w:t>elderly people with multiple medical conditions (1)</w:t>
            </w:r>
          </w:p>
          <w:p w:rsidR="00AC1334" w:rsidRDefault="00AC1334" w:rsidP="007151D9">
            <w:pPr>
              <w:pStyle w:val="06Tablebullet"/>
            </w:pPr>
            <w:r>
              <w:t>people with low literacy skills and chronic medical conditions (1)</w:t>
            </w:r>
          </w:p>
          <w:p w:rsidR="00AC1334" w:rsidRDefault="00AC1334" w:rsidP="007151D9">
            <w:pPr>
              <w:pStyle w:val="06Tablebullet"/>
            </w:pPr>
            <w:r>
              <w:t>allergies (1)</w:t>
            </w:r>
          </w:p>
          <w:p w:rsidR="00AC1334" w:rsidRDefault="00AC1334" w:rsidP="007151D9">
            <w:pPr>
              <w:pStyle w:val="06Tablebullet"/>
            </w:pPr>
            <w:r>
              <w:t>healthy adults (1)</w:t>
            </w:r>
          </w:p>
        </w:tc>
        <w:tc>
          <w:tcPr>
            <w:tcW w:w="913" w:type="pct"/>
          </w:tcPr>
          <w:p w:rsidR="00AC1334" w:rsidRPr="00A31D1F" w:rsidRDefault="00AC1334" w:rsidP="007151D9">
            <w:pPr>
              <w:pStyle w:val="06Tablebullet"/>
            </w:pPr>
            <w:r>
              <w:t>a</w:t>
            </w:r>
            <w:r w:rsidRPr="00A31D1F">
              <w:t>dherence to medication (number of pills taken and/or self-reported)</w:t>
            </w:r>
          </w:p>
          <w:p w:rsidR="00AC1334" w:rsidRPr="00A31D1F" w:rsidRDefault="00AC1334" w:rsidP="007151D9">
            <w:pPr>
              <w:pStyle w:val="06Tablebullet"/>
            </w:pPr>
            <w:r>
              <w:t>h</w:t>
            </w:r>
            <w:r w:rsidRPr="00A31D1F">
              <w:t>ealth outcomes (BP, change in glycated haemoglobin, serum vitamin C and E levels, and psychological symptoms)</w:t>
            </w:r>
          </w:p>
          <w:p w:rsidR="00AC1334" w:rsidRPr="00A31D1F" w:rsidRDefault="00AC1334" w:rsidP="007151D9">
            <w:pPr>
              <w:pStyle w:val="06Tablebullet"/>
            </w:pPr>
            <w:r>
              <w:t>c</w:t>
            </w:r>
            <w:r w:rsidRPr="00A31D1F">
              <w:t>linical outcomes (hospitalisation rates and/or readmission rates)</w:t>
            </w:r>
          </w:p>
          <w:p w:rsidR="00AC1334" w:rsidRPr="00A31D1F" w:rsidRDefault="00AC1334" w:rsidP="007151D9">
            <w:pPr>
              <w:pStyle w:val="06Tablebullet"/>
            </w:pPr>
            <w:r>
              <w:t>c</w:t>
            </w:r>
            <w:r w:rsidRPr="00A31D1F">
              <w:t>ost</w:t>
            </w:r>
          </w:p>
          <w:p w:rsidR="00AC1334" w:rsidRPr="00A31D1F" w:rsidRDefault="00AC1334" w:rsidP="007151D9">
            <w:pPr>
              <w:pStyle w:val="06Tablebullet"/>
            </w:pPr>
            <w:r>
              <w:t>r</w:t>
            </w:r>
            <w:r w:rsidRPr="00A31D1F">
              <w:t>eduction in adverse drug events</w:t>
            </w:r>
          </w:p>
          <w:p w:rsidR="00AC1334" w:rsidRDefault="00AC1334" w:rsidP="007151D9">
            <w:pPr>
              <w:pStyle w:val="06Tablebullet"/>
            </w:pPr>
            <w:r>
              <w:t>p</w:t>
            </w:r>
            <w:r w:rsidRPr="00A31D1F">
              <w:t>atient satisfaction</w:t>
            </w:r>
          </w:p>
        </w:tc>
        <w:tc>
          <w:tcPr>
            <w:tcW w:w="914" w:type="pct"/>
          </w:tcPr>
          <w:p w:rsidR="00AC1334" w:rsidRPr="00A31D1F" w:rsidRDefault="00AC1334" w:rsidP="007151D9">
            <w:pPr>
              <w:pStyle w:val="02Tabletext"/>
              <w:keepNext w:val="0"/>
            </w:pPr>
            <w:r>
              <w:t xml:space="preserve">Reminder packing may represent a simple method for improving adherence for patients with selected conditions. However, there was a lack of evidence for the use of reminder packaging in the elderly population, and nine of the 12 included studies were undertaken in North America, therefore caution is warranted in generalising the results of this review to other settings. Further research is warranted </w:t>
            </w:r>
            <w:r>
              <w:lastRenderedPageBreak/>
              <w:t>to improve the design and targeting of these devices.</w:t>
            </w:r>
          </w:p>
        </w:tc>
      </w:tr>
      <w:tr w:rsidR="00AC1334" w:rsidTr="00982A19">
        <w:trPr>
          <w:cantSplit w:val="0"/>
        </w:trPr>
        <w:tc>
          <w:tcPr>
            <w:tcW w:w="266" w:type="pct"/>
          </w:tcPr>
          <w:p w:rsidR="00AC1334" w:rsidRDefault="00AC1334" w:rsidP="007151D9">
            <w:pPr>
              <w:pStyle w:val="02Tabletext"/>
              <w:keepNext w:val="0"/>
            </w:pPr>
            <w:r>
              <w:lastRenderedPageBreak/>
              <w:t>Zedler (2011)</w:t>
            </w:r>
          </w:p>
          <w:p w:rsidR="00AC1334" w:rsidRPr="00311EF3" w:rsidRDefault="000D3C08" w:rsidP="007151D9">
            <w:pPr>
              <w:pStyle w:val="03Tabletextspacebefore"/>
            </w:pPr>
            <w:r>
              <w:rPr>
                <w:i/>
              </w:rPr>
              <w:t>5/10</w:t>
            </w:r>
          </w:p>
        </w:tc>
        <w:tc>
          <w:tcPr>
            <w:tcW w:w="378" w:type="pct"/>
          </w:tcPr>
          <w:p w:rsidR="00AC1334" w:rsidRDefault="00AC1334" w:rsidP="007151D9">
            <w:pPr>
              <w:pStyle w:val="02Tabletext"/>
              <w:keepNext w:val="0"/>
            </w:pPr>
            <w:r>
              <w:t>Up until September 2010</w:t>
            </w:r>
          </w:p>
        </w:tc>
        <w:tc>
          <w:tcPr>
            <w:tcW w:w="378" w:type="pct"/>
          </w:tcPr>
          <w:p w:rsidR="00AC1334" w:rsidRDefault="00AC1334" w:rsidP="007151D9">
            <w:pPr>
              <w:pStyle w:val="02Tabletext"/>
              <w:keepNext w:val="0"/>
            </w:pPr>
            <w:r>
              <w:t>10 RCTs</w:t>
            </w:r>
          </w:p>
        </w:tc>
        <w:tc>
          <w:tcPr>
            <w:tcW w:w="429" w:type="pct"/>
          </w:tcPr>
          <w:p w:rsidR="00AC1334" w:rsidRDefault="00AC1334" w:rsidP="007151D9">
            <w:pPr>
              <w:pStyle w:val="02Tabletext"/>
              <w:keepNext w:val="0"/>
            </w:pPr>
            <w:r>
              <w:t>C</w:t>
            </w:r>
            <w:r w:rsidRPr="00F1334B">
              <w:t>ommuni</w:t>
            </w:r>
            <w:r>
              <w:t>ty dwelling adult patients</w:t>
            </w:r>
            <w:r w:rsidRPr="00F1334B">
              <w:t xml:space="preserve"> </w:t>
            </w:r>
            <w:r>
              <w:t xml:space="preserve">aged ≥18 years old </w:t>
            </w:r>
            <w:r w:rsidRPr="00F1334B">
              <w:t>who took daily medication for any duration longer than one month</w:t>
            </w:r>
          </w:p>
        </w:tc>
        <w:tc>
          <w:tcPr>
            <w:tcW w:w="927" w:type="pct"/>
          </w:tcPr>
          <w:p w:rsidR="00AC1334" w:rsidRDefault="00AC1334" w:rsidP="007151D9">
            <w:pPr>
              <w:pStyle w:val="02Tabletext"/>
              <w:keepNext w:val="0"/>
            </w:pPr>
            <w:r>
              <w:t>Medication packaged in blister packaging or a pill organiser that incorporated a reminder system for the day of the week as part of the packaging (</w:t>
            </w:r>
            <w:r w:rsidRPr="00461063">
              <w:rPr>
                <w:i/>
              </w:rPr>
              <w:t xml:space="preserve">6 </w:t>
            </w:r>
            <w:r>
              <w:rPr>
                <w:i/>
              </w:rPr>
              <w:t>RCTs</w:t>
            </w:r>
            <w:r>
              <w:t xml:space="preserve">). </w:t>
            </w:r>
          </w:p>
        </w:tc>
        <w:tc>
          <w:tcPr>
            <w:tcW w:w="794" w:type="pct"/>
          </w:tcPr>
          <w:p w:rsidR="00AC1334" w:rsidRDefault="00AC1334" w:rsidP="007151D9">
            <w:pPr>
              <w:pStyle w:val="06Tablebullet"/>
            </w:pPr>
            <w:r>
              <w:t>hypertension (4)</w:t>
            </w:r>
          </w:p>
          <w:p w:rsidR="00AC1334" w:rsidRDefault="00AC1334" w:rsidP="007151D9">
            <w:pPr>
              <w:pStyle w:val="06Tablebullet"/>
            </w:pPr>
            <w:r>
              <w:t>type 2 diabetes (1)</w:t>
            </w:r>
          </w:p>
          <w:p w:rsidR="00AC1334" w:rsidRDefault="00AC1334" w:rsidP="007151D9">
            <w:pPr>
              <w:pStyle w:val="06Tablebullet"/>
            </w:pPr>
            <w:r>
              <w:t>epilepsy (1)</w:t>
            </w:r>
          </w:p>
          <w:p w:rsidR="00AC1334" w:rsidRDefault="00AC1334" w:rsidP="007151D9">
            <w:pPr>
              <w:pStyle w:val="06Tablebullet"/>
            </w:pPr>
            <w:r>
              <w:t xml:space="preserve">serious mental illness (2) </w:t>
            </w:r>
          </w:p>
          <w:p w:rsidR="00AC1334" w:rsidRDefault="00AC1334" w:rsidP="007151D9">
            <w:pPr>
              <w:pStyle w:val="06Tablebullet"/>
            </w:pPr>
            <w:r w:rsidRPr="00200EC3">
              <w:t>elderly people with multiple medical conditions (1)</w:t>
            </w:r>
          </w:p>
          <w:p w:rsidR="00AC1334" w:rsidRDefault="00AC1334" w:rsidP="007151D9">
            <w:pPr>
              <w:pStyle w:val="06Tablebullet"/>
            </w:pPr>
            <w:r w:rsidRPr="00AB6D10">
              <w:t>vitamin prophylaxis</w:t>
            </w:r>
            <w:r>
              <w:t xml:space="preserve"> (1)</w:t>
            </w:r>
          </w:p>
        </w:tc>
        <w:tc>
          <w:tcPr>
            <w:tcW w:w="913" w:type="pct"/>
          </w:tcPr>
          <w:p w:rsidR="00AC1334" w:rsidRDefault="00AC1334" w:rsidP="007151D9">
            <w:pPr>
              <w:pStyle w:val="06Tablebullet"/>
            </w:pPr>
            <w:r>
              <w:t>a</w:t>
            </w:r>
            <w:r w:rsidRPr="00A31D1F">
              <w:t>dherence to medication (number of pills taken</w:t>
            </w:r>
            <w:r>
              <w:t xml:space="preserve">, number of missed doses, or pills taken as a percentage of the total number prescribed and dispensed) and prescription refill rates or blood concentrations of </w:t>
            </w:r>
            <w:r w:rsidRPr="00200EC3">
              <w:t>anticonvulsants</w:t>
            </w:r>
          </w:p>
          <w:p w:rsidR="00AC1334" w:rsidRDefault="00AC1334" w:rsidP="007151D9">
            <w:pPr>
              <w:pStyle w:val="06Tablebullet"/>
            </w:pPr>
            <w:r>
              <w:t>clinical</w:t>
            </w:r>
            <w:r w:rsidRPr="00A31D1F">
              <w:t xml:space="preserve"> outcomes (BP, change i</w:t>
            </w:r>
            <w:r>
              <w:t xml:space="preserve">n glycated haemoglobin, seizures and psychiatric </w:t>
            </w:r>
            <w:r w:rsidRPr="00A31D1F">
              <w:t>symptoms</w:t>
            </w:r>
            <w:r>
              <w:t>, well-being and satisfaction scales,</w:t>
            </w:r>
          </w:p>
          <w:p w:rsidR="00AC1334" w:rsidRDefault="00AC1334" w:rsidP="007151D9">
            <w:pPr>
              <w:pStyle w:val="06Tablebullet"/>
              <w:numPr>
                <w:ilvl w:val="0"/>
                <w:numId w:val="0"/>
              </w:numPr>
              <w:ind w:left="284"/>
            </w:pPr>
            <w:r>
              <w:t>and health care resource utilisation and associated costs)</w:t>
            </w:r>
          </w:p>
        </w:tc>
        <w:tc>
          <w:tcPr>
            <w:tcW w:w="914" w:type="pct"/>
          </w:tcPr>
          <w:p w:rsidR="00AC1334" w:rsidRPr="00F1334B" w:rsidRDefault="00AC1334" w:rsidP="007151D9">
            <w:pPr>
              <w:pStyle w:val="02Tabletext"/>
              <w:keepNext w:val="0"/>
            </w:pPr>
            <w:r w:rsidRPr="00253E80">
              <w:t>Ca</w:t>
            </w:r>
            <w:r>
              <w:t xml:space="preserve">lendar packaging, especially in </w:t>
            </w:r>
            <w:r w:rsidRPr="00253E80">
              <w:t>combination with education and other reminder strategies,</w:t>
            </w:r>
            <w:r>
              <w:t xml:space="preserve"> </w:t>
            </w:r>
            <w:r w:rsidRPr="00253E80">
              <w:t>may improve medication adherence. Methodological</w:t>
            </w:r>
            <w:r>
              <w:t xml:space="preserve"> </w:t>
            </w:r>
            <w:r w:rsidRPr="00253E80">
              <w:t xml:space="preserve">limitations </w:t>
            </w:r>
            <w:r>
              <w:t xml:space="preserve">preclude definitive conclusions </w:t>
            </w:r>
            <w:r w:rsidRPr="00253E80">
              <w:t xml:space="preserve">about the effect size of </w:t>
            </w:r>
            <w:r>
              <w:t xml:space="preserve">adherence and clinical benefits </w:t>
            </w:r>
            <w:r w:rsidRPr="00253E80">
              <w:t>or harms associated</w:t>
            </w:r>
            <w:r>
              <w:t xml:space="preserve"> with CBP and CPO. High-quality </w:t>
            </w:r>
            <w:r w:rsidRPr="00253E80">
              <w:t>trials of adequate size an</w:t>
            </w:r>
            <w:r>
              <w:t xml:space="preserve">d duration are needed to assess </w:t>
            </w:r>
            <w:r w:rsidRPr="00253E80">
              <w:t>the</w:t>
            </w:r>
            <w:r>
              <w:t xml:space="preserve"> clinical effectiveness of such </w:t>
            </w:r>
            <w:r w:rsidRPr="00253E80">
              <w:t>interventions.</w:t>
            </w:r>
          </w:p>
        </w:tc>
      </w:tr>
    </w:tbl>
    <w:p w:rsidR="00AC1334" w:rsidRPr="00E85249" w:rsidRDefault="00AC1334" w:rsidP="00AC1334">
      <w:pPr>
        <w:pStyle w:val="08Tablefootnotes"/>
        <w:rPr>
          <w:b/>
        </w:rPr>
      </w:pPr>
      <w:r w:rsidRPr="00923AA2">
        <w:t xml:space="preserve">Abbreviations: </w:t>
      </w:r>
      <w:r>
        <w:t xml:space="preserve">BP, blood pressure; CBP, </w:t>
      </w:r>
      <w:r w:rsidRPr="00E85249">
        <w:t>calendar blister package</w:t>
      </w:r>
      <w:r>
        <w:t>; CPO, calendar pill organiser; DAA, dose administration aid; HIV, human immunodeficiency virus; LDL, low density lipoprotein; RCT, randomised controlled trial.</w:t>
      </w:r>
    </w:p>
    <w:p w:rsidR="00AC1334" w:rsidRPr="00311EF3" w:rsidRDefault="00AC1334" w:rsidP="00AC1334">
      <w:pPr>
        <w:pStyle w:val="08Tablefootnotes"/>
      </w:pPr>
      <w:r w:rsidRPr="00483B7D">
        <w:rPr>
          <w:b/>
        </w:rPr>
        <w:t xml:space="preserve">a </w:t>
      </w:r>
      <w:r w:rsidRPr="00483B7D">
        <w:t xml:space="preserve">Quality was assessed using the AMSTAR (see </w:t>
      </w:r>
      <w:r w:rsidR="00483B7D" w:rsidRPr="00483B7D">
        <w:t>Appendix 6</w:t>
      </w:r>
      <w:r w:rsidRPr="00483B7D">
        <w:t>)</w:t>
      </w:r>
    </w:p>
    <w:p w:rsidR="00AC1334" w:rsidRDefault="00AC1334" w:rsidP="00AC1334">
      <w:pPr>
        <w:pStyle w:val="08Tablefootnotes"/>
      </w:pPr>
      <w:r w:rsidRPr="00E85249">
        <w:rPr>
          <w:b/>
        </w:rPr>
        <w:t>b</w:t>
      </w:r>
      <w:r>
        <w:t xml:space="preserve"> These included reusable multi-compartment adherence aids (plastic pillboxes with several compartments per day or per week filled by the patient or pharmacy staff), non-reusable multidrug punch cards (frame cards with plastic cavities, sealed with a foil backing, with typically 28 compartments, filled by pharmacy staff, by a specialised company or an automated system) and non-reusable unit-of-use packaging (e.g. blister pouches attached to form flexible chains, with an unrestricted number of separated daily dosing times, filled by automated systems)</w:t>
      </w:r>
    </w:p>
    <w:p w:rsidR="00AC1334" w:rsidRDefault="00AC1334" w:rsidP="00AC1334">
      <w:pPr>
        <w:pStyle w:val="08Tablefootnotes"/>
      </w:pPr>
      <w:r w:rsidRPr="00E85249">
        <w:rPr>
          <w:b/>
        </w:rPr>
        <w:t>c</w:t>
      </w:r>
      <w:r>
        <w:t xml:space="preserve"> Reminder packaging refers to any assembly of medication/s, such as a pill box, blister pack, bottle or single-use container that physically incorporates a system for the day and/or time when the medication/s are to be taken. Reminder packaging falls into two distinct categories: those that are pre-packaged into blister packs (calendar blister, unit dose, monitored dosage system) or those that are packaged in pill boxes (multi-compartment compliance aid, dose administration aid). According to the Cochrane review, DAAs “are divided into days of the week. Each day of the week has a sliding lid, which covers compartments for different dosing times (usually four compartments for each day). They are commonly but not exclusively used for multiple medications. Examples of these are Dosett®, Medidos® and the Mediset”.</w:t>
      </w:r>
    </w:p>
    <w:p w:rsidR="00AC1334" w:rsidRDefault="00AC1334" w:rsidP="00AC1334">
      <w:pPr>
        <w:pStyle w:val="08Tablefootnotes"/>
      </w:pPr>
      <w:r w:rsidRPr="00E85249">
        <w:rPr>
          <w:b/>
        </w:rPr>
        <w:t>d</w:t>
      </w:r>
      <w:r>
        <w:t xml:space="preserve"> A</w:t>
      </w:r>
      <w:r w:rsidRPr="00DC2A36">
        <w:t xml:space="preserve"> DAA</w:t>
      </w:r>
      <w:r>
        <w:t xml:space="preserve"> was defined</w:t>
      </w:r>
      <w:r w:rsidRPr="00DC2A36">
        <w:t xml:space="preserve"> as “plastic trays or boxes that hold seven days of a patient’s medicine and are divided into days of the week. Each day of the week has a sliding lid, which covers compartments for different dosing times (usually four compartments for each day).” </w:t>
      </w:r>
    </w:p>
    <w:p w:rsidR="00AC1334" w:rsidRDefault="00AC1334" w:rsidP="00AC1334">
      <w:pPr>
        <w:pStyle w:val="BodyText"/>
      </w:pPr>
    </w:p>
    <w:p w:rsidR="00AC1334" w:rsidRDefault="00AC1334" w:rsidP="00AC1334">
      <w:pPr>
        <w:pStyle w:val="BodyText"/>
        <w:sectPr w:rsidR="00AC1334" w:rsidSect="00EC75B6">
          <w:footerReference w:type="default" r:id="rId19"/>
          <w:pgSz w:w="16838" w:h="11906" w:orient="landscape" w:code="9"/>
          <w:pgMar w:top="1701" w:right="1134" w:bottom="1134" w:left="1701" w:header="680" w:footer="1021" w:gutter="0"/>
          <w:cols w:space="708"/>
          <w:docGrid w:linePitch="360"/>
        </w:sectPr>
      </w:pPr>
    </w:p>
    <w:p w:rsidR="00AC1334" w:rsidRDefault="00AC1334" w:rsidP="00AC1334">
      <w:pPr>
        <w:pStyle w:val="Caption"/>
      </w:pPr>
      <w:bookmarkStart w:id="93" w:name="_Ref461795109"/>
      <w:bookmarkStart w:id="94" w:name="_Toc523230334"/>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5</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2</w:t>
      </w:r>
      <w:r w:rsidR="00964233">
        <w:rPr>
          <w:noProof/>
        </w:rPr>
        <w:fldChar w:fldCharType="end"/>
      </w:r>
      <w:bookmarkEnd w:id="93"/>
      <w:r>
        <w:tab/>
        <w:t>Studies included in the three systematic reviews</w:t>
      </w:r>
      <w:bookmarkEnd w:id="94"/>
    </w:p>
    <w:tbl>
      <w:tblPr>
        <w:tblStyle w:val="TableGrid"/>
        <w:tblW w:w="9752" w:type="dxa"/>
        <w:tblLook w:val="04A0" w:firstRow="1" w:lastRow="0" w:firstColumn="1" w:lastColumn="0" w:noHBand="0" w:noVBand="1"/>
        <w:tblCaption w:val="Table 5.2"/>
        <w:tblDescription w:val="Studies included in the three systematic reviews"/>
      </w:tblPr>
      <w:tblGrid>
        <w:gridCol w:w="3047"/>
        <w:gridCol w:w="2235"/>
        <w:gridCol w:w="2235"/>
        <w:gridCol w:w="2235"/>
      </w:tblGrid>
      <w:tr w:rsidR="00AC1334" w:rsidTr="00C2042E">
        <w:trPr>
          <w:cnfStyle w:val="100000000000" w:firstRow="1" w:lastRow="0" w:firstColumn="0" w:lastColumn="0" w:oddVBand="0" w:evenVBand="0" w:oddHBand="0" w:evenHBand="0" w:firstRowFirstColumn="0" w:firstRowLastColumn="0" w:lastRowFirstColumn="0" w:lastRowLastColumn="0"/>
        </w:trPr>
        <w:tc>
          <w:tcPr>
            <w:tcW w:w="1562" w:type="pct"/>
          </w:tcPr>
          <w:p w:rsidR="00AC1334" w:rsidRDefault="00AC1334" w:rsidP="007151D9">
            <w:pPr>
              <w:pStyle w:val="01Tableheaderrow"/>
            </w:pPr>
            <w:r>
              <w:t>Primary studies included in the included systematic reviews</w:t>
            </w:r>
          </w:p>
        </w:tc>
        <w:tc>
          <w:tcPr>
            <w:tcW w:w="1146" w:type="pct"/>
            <w:vAlign w:val="center"/>
          </w:tcPr>
          <w:p w:rsidR="00AC1334" w:rsidRDefault="00AC1334" w:rsidP="007151D9">
            <w:pPr>
              <w:pStyle w:val="01Tableheaderrow"/>
              <w:jc w:val="center"/>
            </w:pPr>
            <w:r>
              <w:t>Boeni (2014)</w:t>
            </w:r>
          </w:p>
        </w:tc>
        <w:tc>
          <w:tcPr>
            <w:tcW w:w="1146" w:type="pct"/>
            <w:vAlign w:val="center"/>
          </w:tcPr>
          <w:p w:rsidR="00AC1334" w:rsidRDefault="00AC1334" w:rsidP="007151D9">
            <w:pPr>
              <w:pStyle w:val="01Tableheaderrow"/>
              <w:jc w:val="center"/>
            </w:pPr>
            <w:r>
              <w:t>Mahtani (2011)</w:t>
            </w:r>
          </w:p>
        </w:tc>
        <w:tc>
          <w:tcPr>
            <w:tcW w:w="1146" w:type="pct"/>
            <w:vAlign w:val="center"/>
          </w:tcPr>
          <w:p w:rsidR="00AC1334" w:rsidRDefault="00AC1334" w:rsidP="007151D9">
            <w:pPr>
              <w:pStyle w:val="01Tableheaderrow"/>
              <w:jc w:val="center"/>
            </w:pPr>
            <w:r>
              <w:t>Zedler (2011)</w:t>
            </w:r>
          </w:p>
        </w:tc>
      </w:tr>
      <w:tr w:rsidR="00AC1334" w:rsidTr="00C2042E">
        <w:tc>
          <w:tcPr>
            <w:tcW w:w="1562" w:type="pct"/>
          </w:tcPr>
          <w:p w:rsidR="00AC1334" w:rsidRDefault="00AC1334" w:rsidP="007151D9">
            <w:pPr>
              <w:pStyle w:val="02Tabletext"/>
            </w:pPr>
            <w:r>
              <w:t>Ascione (1984)</w:t>
            </w:r>
          </w:p>
        </w:tc>
        <w:tc>
          <w:tcPr>
            <w:tcW w:w="1146" w:type="pct"/>
            <w:vAlign w:val="center"/>
          </w:tcPr>
          <w:p w:rsidR="00AC1334" w:rsidRDefault="00AC1334" w:rsidP="007151D9">
            <w:pPr>
              <w:pStyle w:val="02Tabletext"/>
              <w:jc w:val="center"/>
            </w:pPr>
            <w:r>
              <w:t>√</w:t>
            </w:r>
          </w:p>
        </w:tc>
        <w:tc>
          <w:tcPr>
            <w:tcW w:w="1146" w:type="pct"/>
          </w:tcPr>
          <w:p w:rsidR="00AC1334" w:rsidRDefault="00AC1334" w:rsidP="007151D9">
            <w:pPr>
              <w:pStyle w:val="02Tabletext"/>
              <w:jc w:val="center"/>
            </w:pPr>
            <w:r>
              <w:t>Not identified</w:t>
            </w:r>
          </w:p>
        </w:tc>
        <w:tc>
          <w:tcPr>
            <w:tcW w:w="1146" w:type="pct"/>
          </w:tcPr>
          <w:p w:rsidR="00AC1334"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Azrin (1998)</w:t>
            </w:r>
          </w:p>
        </w:tc>
        <w:tc>
          <w:tcPr>
            <w:tcW w:w="1146" w:type="pct"/>
          </w:tcPr>
          <w:p w:rsidR="00AC1334" w:rsidRDefault="00AC1334" w:rsidP="007151D9">
            <w:pPr>
              <w:pStyle w:val="02Tabletext"/>
              <w:jc w:val="center"/>
            </w:pPr>
            <w:r w:rsidRPr="00E71039">
              <w:t>√</w:t>
            </w:r>
          </w:p>
        </w:tc>
        <w:tc>
          <w:tcPr>
            <w:tcW w:w="1146" w:type="pct"/>
          </w:tcPr>
          <w:p w:rsidR="00AC1334" w:rsidRDefault="00AC1334" w:rsidP="007151D9">
            <w:pPr>
              <w:pStyle w:val="02Tabletext"/>
              <w:jc w:val="center"/>
            </w:pPr>
            <w:r w:rsidRPr="004471E0">
              <w:t>√</w:t>
            </w:r>
          </w:p>
        </w:tc>
        <w:tc>
          <w:tcPr>
            <w:tcW w:w="1146" w:type="pct"/>
          </w:tcPr>
          <w:p w:rsidR="00AC1334" w:rsidRDefault="00AC1334" w:rsidP="007151D9">
            <w:pPr>
              <w:pStyle w:val="02Tabletext"/>
              <w:jc w:val="center"/>
            </w:pPr>
            <w:r w:rsidRPr="00DD0211">
              <w:t>√</w:t>
            </w:r>
          </w:p>
        </w:tc>
      </w:tr>
      <w:tr w:rsidR="00AC1334" w:rsidTr="00C2042E">
        <w:tc>
          <w:tcPr>
            <w:tcW w:w="1562" w:type="pct"/>
          </w:tcPr>
          <w:p w:rsidR="00AC1334" w:rsidRPr="00C04108" w:rsidRDefault="00AC1334" w:rsidP="007151D9">
            <w:pPr>
              <w:pStyle w:val="02Tabletext"/>
              <w:rPr>
                <w:b/>
              </w:rPr>
            </w:pPr>
            <w:r w:rsidRPr="00C04108">
              <w:rPr>
                <w:b/>
              </w:rPr>
              <w:t>Becker (1986)</w:t>
            </w:r>
          </w:p>
        </w:tc>
        <w:tc>
          <w:tcPr>
            <w:tcW w:w="1146" w:type="pct"/>
          </w:tcPr>
          <w:p w:rsidR="00AC1334" w:rsidRPr="00C04108" w:rsidRDefault="00AC1334" w:rsidP="007151D9">
            <w:pPr>
              <w:pStyle w:val="02Tabletext"/>
              <w:jc w:val="center"/>
              <w:rPr>
                <w:rFonts w:ascii="Impact" w:hAnsi="Impact" w:cs="Aharoni"/>
                <w:b/>
              </w:rPr>
            </w:pPr>
            <w:r w:rsidRPr="00C04108">
              <w:rPr>
                <w:rFonts w:ascii="Impact" w:hAnsi="Impact" w:cs="Aharoni"/>
                <w:b/>
              </w:rPr>
              <w:t>√</w:t>
            </w:r>
          </w:p>
        </w:tc>
        <w:tc>
          <w:tcPr>
            <w:tcW w:w="1146" w:type="pct"/>
          </w:tcPr>
          <w:p w:rsidR="00AC1334" w:rsidRPr="00C04108" w:rsidRDefault="00AC1334" w:rsidP="007151D9">
            <w:pPr>
              <w:pStyle w:val="02Tabletext"/>
              <w:jc w:val="center"/>
              <w:rPr>
                <w:rFonts w:ascii="Impact" w:hAnsi="Impact"/>
                <w:b/>
              </w:rPr>
            </w:pPr>
            <w:r w:rsidRPr="00C04108">
              <w:rPr>
                <w:rFonts w:ascii="Impact" w:hAnsi="Impact"/>
                <w:b/>
              </w:rPr>
              <w:t>√</w:t>
            </w:r>
          </w:p>
        </w:tc>
        <w:tc>
          <w:tcPr>
            <w:tcW w:w="1146" w:type="pct"/>
          </w:tcPr>
          <w:p w:rsidR="00AC1334" w:rsidRPr="00C04108" w:rsidRDefault="00AC1334" w:rsidP="007151D9">
            <w:pPr>
              <w:pStyle w:val="02Tabletext"/>
              <w:jc w:val="center"/>
              <w:rPr>
                <w:rFonts w:ascii="Impact" w:hAnsi="Impact"/>
                <w:b/>
              </w:rPr>
            </w:pPr>
            <w:r w:rsidRPr="00C04108">
              <w:rPr>
                <w:rFonts w:ascii="Impact" w:hAnsi="Impact"/>
                <w:b/>
              </w:rP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Binstock (1988)</w:t>
            </w:r>
          </w:p>
        </w:tc>
        <w:tc>
          <w:tcPr>
            <w:tcW w:w="1146" w:type="pct"/>
          </w:tcPr>
          <w:p w:rsidR="00AC1334" w:rsidRDefault="00AC1334" w:rsidP="007151D9">
            <w:pPr>
              <w:pStyle w:val="02Tabletext"/>
              <w:jc w:val="center"/>
            </w:pPr>
            <w:r w:rsidRPr="00E71039">
              <w:t>√</w:t>
            </w:r>
          </w:p>
        </w:tc>
        <w:tc>
          <w:tcPr>
            <w:tcW w:w="1146" w:type="pct"/>
          </w:tcPr>
          <w:p w:rsidR="00AC1334" w:rsidRDefault="00AC1334" w:rsidP="007151D9">
            <w:pPr>
              <w:pStyle w:val="02Tabletext"/>
              <w:jc w:val="center"/>
            </w:pPr>
            <w:r w:rsidRPr="004471E0">
              <w:t>√</w:t>
            </w:r>
          </w:p>
        </w:tc>
        <w:tc>
          <w:tcPr>
            <w:tcW w:w="1146" w:type="pct"/>
          </w:tcPr>
          <w:p w:rsidR="00AC1334" w:rsidRDefault="00AC1334" w:rsidP="007151D9">
            <w:pPr>
              <w:pStyle w:val="02Tabletext"/>
              <w:jc w:val="center"/>
            </w:pPr>
            <w:r>
              <w:t>-</w:t>
            </w:r>
          </w:p>
        </w:tc>
      </w:tr>
      <w:tr w:rsidR="00AC1334" w:rsidTr="00C2042E">
        <w:tc>
          <w:tcPr>
            <w:tcW w:w="1562" w:type="pct"/>
          </w:tcPr>
          <w:p w:rsidR="00AC1334" w:rsidRDefault="00AC1334" w:rsidP="007151D9">
            <w:pPr>
              <w:pStyle w:val="02Tabletext"/>
            </w:pPr>
            <w:r>
              <w:t>Crome (1980)</w:t>
            </w:r>
          </w:p>
        </w:tc>
        <w:tc>
          <w:tcPr>
            <w:tcW w:w="1146" w:type="pct"/>
          </w:tcPr>
          <w:p w:rsidR="00AC1334" w:rsidRDefault="00AC1334" w:rsidP="007151D9">
            <w:pPr>
              <w:pStyle w:val="02Tabletext"/>
              <w:jc w:val="center"/>
            </w:pPr>
            <w:r w:rsidRPr="00E71039">
              <w:t>√</w:t>
            </w:r>
          </w:p>
        </w:tc>
        <w:tc>
          <w:tcPr>
            <w:tcW w:w="1146" w:type="pct"/>
          </w:tcPr>
          <w:p w:rsidR="00AC1334" w:rsidRDefault="00AC1334" w:rsidP="007151D9">
            <w:pPr>
              <w:pStyle w:val="02Tabletext"/>
              <w:jc w:val="center"/>
            </w:pPr>
            <w:r>
              <w:t>Excluded</w:t>
            </w:r>
          </w:p>
        </w:tc>
        <w:tc>
          <w:tcPr>
            <w:tcW w:w="1146" w:type="pct"/>
          </w:tcPr>
          <w:p w:rsidR="00AC1334"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Crome (1982)</w:t>
            </w:r>
          </w:p>
        </w:tc>
        <w:tc>
          <w:tcPr>
            <w:tcW w:w="1146" w:type="pct"/>
          </w:tcPr>
          <w:p w:rsidR="00AC1334" w:rsidRDefault="00AC1334" w:rsidP="007151D9">
            <w:pPr>
              <w:pStyle w:val="02Tabletext"/>
              <w:jc w:val="center"/>
            </w:pPr>
            <w:r w:rsidRPr="00E71039">
              <w:t>√</w:t>
            </w:r>
          </w:p>
        </w:tc>
        <w:tc>
          <w:tcPr>
            <w:tcW w:w="1146" w:type="pct"/>
          </w:tcPr>
          <w:p w:rsidR="00AC1334" w:rsidRDefault="00AC1334" w:rsidP="007151D9">
            <w:pPr>
              <w:pStyle w:val="02Tabletext"/>
              <w:jc w:val="center"/>
            </w:pPr>
            <w:r>
              <w:t>Excluded</w:t>
            </w:r>
          </w:p>
        </w:tc>
        <w:tc>
          <w:tcPr>
            <w:tcW w:w="1146" w:type="pct"/>
          </w:tcPr>
          <w:p w:rsidR="00AC1334" w:rsidRDefault="00AC1334" w:rsidP="007151D9">
            <w:pPr>
              <w:pStyle w:val="02Tabletext"/>
              <w:jc w:val="center"/>
            </w:pPr>
            <w:r>
              <w:t>-</w:t>
            </w:r>
          </w:p>
        </w:tc>
      </w:tr>
      <w:tr w:rsidR="00AC1334" w:rsidTr="00C2042E">
        <w:tc>
          <w:tcPr>
            <w:tcW w:w="1562" w:type="pct"/>
          </w:tcPr>
          <w:p w:rsidR="00AC1334" w:rsidRDefault="00AC1334" w:rsidP="007151D9">
            <w:pPr>
              <w:pStyle w:val="02Tabletext"/>
            </w:pPr>
            <w:r>
              <w:t>Eshelman (1976)</w:t>
            </w:r>
          </w:p>
        </w:tc>
        <w:tc>
          <w:tcPr>
            <w:tcW w:w="1146" w:type="pct"/>
          </w:tcPr>
          <w:p w:rsidR="00AC1334" w:rsidRDefault="00AC1334" w:rsidP="007151D9">
            <w:pPr>
              <w:pStyle w:val="02Tabletext"/>
              <w:jc w:val="center"/>
            </w:pPr>
            <w:r w:rsidRPr="00E71039">
              <w:t>√</w:t>
            </w:r>
          </w:p>
        </w:tc>
        <w:tc>
          <w:tcPr>
            <w:tcW w:w="1146" w:type="pct"/>
          </w:tcPr>
          <w:p w:rsidR="00AC1334" w:rsidRDefault="00AC1334" w:rsidP="007151D9">
            <w:pPr>
              <w:pStyle w:val="02Tabletext"/>
              <w:jc w:val="center"/>
            </w:pPr>
            <w:r>
              <w:t>Excluded</w:t>
            </w:r>
          </w:p>
        </w:tc>
        <w:tc>
          <w:tcPr>
            <w:tcW w:w="1146" w:type="pct"/>
          </w:tcPr>
          <w:p w:rsidR="00AC1334"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Fairley (2003)</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Excluded</w:t>
            </w:r>
          </w:p>
        </w:tc>
        <w:tc>
          <w:tcPr>
            <w:tcW w:w="1146" w:type="pct"/>
          </w:tcPr>
          <w:p w:rsidR="00AC1334" w:rsidRPr="00DD0211" w:rsidRDefault="00AC1334" w:rsidP="007151D9">
            <w:pPr>
              <w:pStyle w:val="02Tabletext"/>
              <w:jc w:val="center"/>
            </w:pPr>
            <w:r>
              <w:t>-</w:t>
            </w:r>
          </w:p>
        </w:tc>
      </w:tr>
      <w:tr w:rsidR="00AC1334" w:rsidTr="00C2042E">
        <w:tc>
          <w:tcPr>
            <w:tcW w:w="1562" w:type="pct"/>
          </w:tcPr>
          <w:p w:rsidR="00AC1334" w:rsidRDefault="00AC1334" w:rsidP="007151D9">
            <w:pPr>
              <w:pStyle w:val="02Tabletext"/>
            </w:pPr>
            <w:r>
              <w:t>Henry (1999)</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Excluded</w:t>
            </w:r>
          </w:p>
        </w:tc>
        <w:tc>
          <w:tcPr>
            <w:tcW w:w="1146" w:type="pct"/>
          </w:tcPr>
          <w:p w:rsidR="00AC1334" w:rsidRPr="00DD0211"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Huang TRACE (2000)</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rsidRPr="00DB7206">
              <w:t>√</w:t>
            </w:r>
          </w:p>
        </w:tc>
        <w:tc>
          <w:tcPr>
            <w:tcW w:w="1146" w:type="pct"/>
          </w:tcPr>
          <w:p w:rsidR="00AC1334" w:rsidRPr="00DD0211" w:rsidRDefault="00AC1334" w:rsidP="007151D9">
            <w:pPr>
              <w:pStyle w:val="02Tabletext"/>
              <w:jc w:val="center"/>
            </w:pPr>
            <w:r w:rsidRPr="00DB7206">
              <w:t>√</w:t>
            </w:r>
          </w:p>
        </w:tc>
      </w:tr>
      <w:tr w:rsidR="00AC1334" w:rsidTr="00C2042E">
        <w:tc>
          <w:tcPr>
            <w:tcW w:w="1562" w:type="pct"/>
          </w:tcPr>
          <w:p w:rsidR="00AC1334" w:rsidRPr="00C04108" w:rsidRDefault="00AC1334" w:rsidP="007151D9">
            <w:pPr>
              <w:pStyle w:val="02Tabletext"/>
              <w:rPr>
                <w:b/>
              </w:rPr>
            </w:pPr>
            <w:r w:rsidRPr="00C04108">
              <w:rPr>
                <w:b/>
              </w:rPr>
              <w:t>Huang VITAL (2000)</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C04108" w:rsidRDefault="00AC1334" w:rsidP="007151D9">
            <w:pPr>
              <w:pStyle w:val="02Tabletext"/>
              <w:jc w:val="center"/>
              <w:rPr>
                <w:b/>
              </w:rPr>
            </w:pPr>
            <w:r w:rsidRPr="00C04108">
              <w:rPr>
                <w:b/>
              </w:rPr>
              <w:t>Excluded</w:t>
            </w:r>
          </w:p>
        </w:tc>
        <w:tc>
          <w:tcPr>
            <w:tcW w:w="1146" w:type="pct"/>
          </w:tcPr>
          <w:p w:rsidR="00AC1334" w:rsidRPr="00C04108" w:rsidRDefault="00AC1334" w:rsidP="007151D9">
            <w:pPr>
              <w:pStyle w:val="02Tabletext"/>
              <w:jc w:val="center"/>
              <w:rPr>
                <w:b/>
              </w:rPr>
            </w:pPr>
            <w:r w:rsidRPr="00393662">
              <w:rPr>
                <w:rFonts w:ascii="Impact" w:hAnsi="Impact"/>
                <w:b/>
              </w:rP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Jansen (2009)</w:t>
            </w:r>
          </w:p>
        </w:tc>
        <w:tc>
          <w:tcPr>
            <w:tcW w:w="1146" w:type="pct"/>
          </w:tcPr>
          <w:p w:rsidR="00AC1334" w:rsidRPr="00DB7206" w:rsidRDefault="00AC1334" w:rsidP="007151D9">
            <w:pPr>
              <w:pStyle w:val="02Tabletext"/>
              <w:jc w:val="center"/>
            </w:pPr>
            <w:r>
              <w:t>-</w:t>
            </w:r>
          </w:p>
        </w:tc>
        <w:tc>
          <w:tcPr>
            <w:tcW w:w="1146" w:type="pct"/>
          </w:tcPr>
          <w:p w:rsidR="00AC1334" w:rsidRPr="004471E0" w:rsidRDefault="00AC1334" w:rsidP="007151D9">
            <w:pPr>
              <w:pStyle w:val="02Tabletext"/>
              <w:jc w:val="center"/>
            </w:pPr>
            <w:r w:rsidRPr="00DB7206">
              <w:t>√</w:t>
            </w:r>
          </w:p>
        </w:tc>
        <w:tc>
          <w:tcPr>
            <w:tcW w:w="1146" w:type="pct"/>
          </w:tcPr>
          <w:p w:rsidR="00AC1334" w:rsidRPr="00DB7206" w:rsidRDefault="00AC1334" w:rsidP="007151D9">
            <w:pPr>
              <w:pStyle w:val="02Tabletext"/>
              <w:jc w:val="center"/>
            </w:pPr>
            <w:r>
              <w:t>-</w:t>
            </w:r>
          </w:p>
        </w:tc>
      </w:tr>
      <w:tr w:rsidR="00AC1334" w:rsidTr="00C2042E">
        <w:tc>
          <w:tcPr>
            <w:tcW w:w="1562" w:type="pct"/>
          </w:tcPr>
          <w:p w:rsidR="00AC1334" w:rsidRDefault="00AC1334" w:rsidP="007151D9">
            <w:pPr>
              <w:pStyle w:val="02Tabletext"/>
            </w:pPr>
            <w:r>
              <w:t>Kripalani (2007)</w:t>
            </w:r>
          </w:p>
        </w:tc>
        <w:tc>
          <w:tcPr>
            <w:tcW w:w="1146" w:type="pct"/>
          </w:tcPr>
          <w:p w:rsidR="00AC1334" w:rsidRPr="00DB7206" w:rsidRDefault="00AC1334" w:rsidP="007151D9">
            <w:pPr>
              <w:pStyle w:val="02Tabletext"/>
              <w:jc w:val="center"/>
            </w:pPr>
            <w:r>
              <w:t>-</w:t>
            </w:r>
          </w:p>
        </w:tc>
        <w:tc>
          <w:tcPr>
            <w:tcW w:w="1146" w:type="pct"/>
          </w:tcPr>
          <w:p w:rsidR="00AC1334" w:rsidRPr="00DB7206" w:rsidRDefault="00AC1334" w:rsidP="007151D9">
            <w:pPr>
              <w:pStyle w:val="02Tabletext"/>
              <w:jc w:val="center"/>
            </w:pPr>
            <w:r w:rsidRPr="00DB7206">
              <w:t>√</w:t>
            </w:r>
          </w:p>
        </w:tc>
        <w:tc>
          <w:tcPr>
            <w:tcW w:w="1146" w:type="pct"/>
          </w:tcPr>
          <w:p w:rsidR="00AC1334" w:rsidRPr="00DB7206"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Lee JK (2006)</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Not identified</w:t>
            </w:r>
          </w:p>
        </w:tc>
        <w:tc>
          <w:tcPr>
            <w:tcW w:w="1146" w:type="pct"/>
          </w:tcPr>
          <w:p w:rsidR="00AC1334" w:rsidRPr="00DD0211" w:rsidRDefault="00AC1334" w:rsidP="007151D9">
            <w:pPr>
              <w:pStyle w:val="02Tabletext"/>
              <w:jc w:val="center"/>
            </w:pPr>
            <w:r w:rsidRPr="00DB7206">
              <w:t>√</w:t>
            </w:r>
          </w:p>
        </w:tc>
      </w:tr>
      <w:tr w:rsidR="00AC1334" w:rsidTr="00C2042E">
        <w:tc>
          <w:tcPr>
            <w:tcW w:w="1562" w:type="pct"/>
          </w:tcPr>
          <w:p w:rsidR="00AC1334" w:rsidRDefault="00AC1334" w:rsidP="007151D9">
            <w:pPr>
              <w:pStyle w:val="02Tabletext"/>
            </w:pPr>
            <w:r>
              <w:t>Lee M (1999)</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Excluded</w:t>
            </w:r>
          </w:p>
        </w:tc>
        <w:tc>
          <w:tcPr>
            <w:tcW w:w="1146" w:type="pct"/>
          </w:tcPr>
          <w:p w:rsidR="00AC1334" w:rsidRPr="00DD0211"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M</w:t>
            </w:r>
            <w:r w:rsidRPr="00C55077">
              <w:t>acDonald</w:t>
            </w:r>
            <w:r>
              <w:t xml:space="preserve"> (1977)</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Excluded</w:t>
            </w:r>
          </w:p>
        </w:tc>
        <w:tc>
          <w:tcPr>
            <w:tcW w:w="1146" w:type="pct"/>
          </w:tcPr>
          <w:p w:rsidR="00AC1334" w:rsidRPr="00DD0211" w:rsidRDefault="00AC1334" w:rsidP="007151D9">
            <w:pPr>
              <w:pStyle w:val="02Tabletext"/>
              <w:jc w:val="center"/>
            </w:pPr>
            <w:r>
              <w:t>-</w:t>
            </w:r>
          </w:p>
        </w:tc>
      </w:tr>
      <w:tr w:rsidR="00AC1334" w:rsidTr="00C2042E">
        <w:tc>
          <w:tcPr>
            <w:tcW w:w="1562" w:type="pct"/>
          </w:tcPr>
          <w:p w:rsidR="00AC1334" w:rsidRDefault="00AC1334" w:rsidP="007151D9">
            <w:pPr>
              <w:pStyle w:val="02Tabletext"/>
            </w:pPr>
            <w:r>
              <w:t>Maier (2006)</w:t>
            </w:r>
          </w:p>
        </w:tc>
        <w:tc>
          <w:tcPr>
            <w:tcW w:w="1146" w:type="pct"/>
          </w:tcPr>
          <w:p w:rsidR="00AC1334" w:rsidRPr="00DB7206" w:rsidRDefault="00AC1334" w:rsidP="007151D9">
            <w:pPr>
              <w:pStyle w:val="02Tabletext"/>
              <w:jc w:val="center"/>
            </w:pPr>
          </w:p>
        </w:tc>
        <w:tc>
          <w:tcPr>
            <w:tcW w:w="1146" w:type="pct"/>
          </w:tcPr>
          <w:p w:rsidR="00AC1334" w:rsidRPr="00DB7206" w:rsidRDefault="00AC1334" w:rsidP="007151D9">
            <w:pPr>
              <w:pStyle w:val="02Tabletext"/>
              <w:jc w:val="center"/>
            </w:pPr>
            <w:r>
              <w:t>Not identified</w:t>
            </w:r>
          </w:p>
        </w:tc>
        <w:tc>
          <w:tcPr>
            <w:tcW w:w="1146" w:type="pct"/>
          </w:tcPr>
          <w:p w:rsidR="00AC1334" w:rsidRPr="00DB7206"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McPherson-Baker (2000)</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Not identified</w:t>
            </w:r>
          </w:p>
        </w:tc>
        <w:tc>
          <w:tcPr>
            <w:tcW w:w="1146" w:type="pct"/>
          </w:tcPr>
          <w:p w:rsidR="00AC1334" w:rsidRPr="00DD0211" w:rsidRDefault="00AC1334" w:rsidP="007151D9">
            <w:pPr>
              <w:pStyle w:val="02Tabletext"/>
              <w:jc w:val="center"/>
            </w:pPr>
            <w:r>
              <w:t>-</w:t>
            </w:r>
          </w:p>
        </w:tc>
      </w:tr>
      <w:tr w:rsidR="00AC1334" w:rsidTr="00C2042E">
        <w:tc>
          <w:tcPr>
            <w:tcW w:w="1562" w:type="pct"/>
          </w:tcPr>
          <w:p w:rsidR="00AC1334" w:rsidRDefault="00AC1334" w:rsidP="007151D9">
            <w:pPr>
              <w:pStyle w:val="02Tabletext"/>
            </w:pPr>
            <w:r w:rsidRPr="00C55077">
              <w:t>Miaskowski</w:t>
            </w:r>
            <w:r>
              <w:t xml:space="preserve"> (2004)</w:t>
            </w:r>
          </w:p>
        </w:tc>
        <w:tc>
          <w:tcPr>
            <w:tcW w:w="1146" w:type="pct"/>
          </w:tcPr>
          <w:p w:rsidR="00AC1334" w:rsidRPr="00E71039" w:rsidRDefault="00AC1334" w:rsidP="007151D9">
            <w:pPr>
              <w:pStyle w:val="02Tabletext"/>
              <w:jc w:val="center"/>
            </w:pPr>
            <w:r w:rsidRPr="00DB7206">
              <w:t>√</w:t>
            </w:r>
          </w:p>
        </w:tc>
        <w:tc>
          <w:tcPr>
            <w:tcW w:w="1146" w:type="pct"/>
          </w:tcPr>
          <w:p w:rsidR="00AC1334" w:rsidRPr="004471E0" w:rsidRDefault="00AC1334" w:rsidP="007151D9">
            <w:pPr>
              <w:pStyle w:val="02Tabletext"/>
              <w:jc w:val="center"/>
            </w:pPr>
            <w:r>
              <w:t>Not identified</w:t>
            </w:r>
          </w:p>
        </w:tc>
        <w:tc>
          <w:tcPr>
            <w:tcW w:w="1146" w:type="pct"/>
          </w:tcPr>
          <w:p w:rsidR="00AC1334" w:rsidRPr="00DD0211"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Pr="00C55077" w:rsidRDefault="00AC1334" w:rsidP="007151D9">
            <w:pPr>
              <w:pStyle w:val="02Tabletext"/>
            </w:pPr>
            <w:r>
              <w:t>Murray (1993)</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Excluded</w:t>
            </w:r>
          </w:p>
        </w:tc>
        <w:tc>
          <w:tcPr>
            <w:tcW w:w="1146" w:type="pct"/>
          </w:tcPr>
          <w:p w:rsidR="00AC1334" w:rsidRPr="00DB7206" w:rsidRDefault="00AC1334" w:rsidP="007151D9">
            <w:pPr>
              <w:pStyle w:val="02Tabletext"/>
              <w:jc w:val="center"/>
            </w:pPr>
            <w:r>
              <w:t>-</w:t>
            </w:r>
          </w:p>
        </w:tc>
      </w:tr>
      <w:tr w:rsidR="00AC1334" w:rsidTr="00C2042E">
        <w:tc>
          <w:tcPr>
            <w:tcW w:w="1562" w:type="pct"/>
          </w:tcPr>
          <w:p w:rsidR="00AC1334" w:rsidRPr="00C55077" w:rsidRDefault="00AC1334" w:rsidP="007151D9">
            <w:pPr>
              <w:pStyle w:val="02Tabletext"/>
            </w:pPr>
            <w:r>
              <w:t>Nochowitz (2009)</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Not identified</w:t>
            </w:r>
          </w:p>
        </w:tc>
        <w:tc>
          <w:tcPr>
            <w:tcW w:w="1146" w:type="pct"/>
          </w:tcPr>
          <w:p w:rsidR="00AC1334" w:rsidRPr="00DB7206"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Pr="00C55077" w:rsidRDefault="00AC1334" w:rsidP="007151D9">
            <w:pPr>
              <w:pStyle w:val="02Tabletext"/>
            </w:pPr>
            <w:r>
              <w:t>Park (1992)</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Not identified</w:t>
            </w:r>
          </w:p>
        </w:tc>
        <w:tc>
          <w:tcPr>
            <w:tcW w:w="1146" w:type="pct"/>
          </w:tcPr>
          <w:p w:rsidR="00AC1334" w:rsidRPr="00DB7206" w:rsidRDefault="00AC1334" w:rsidP="007151D9">
            <w:pPr>
              <w:pStyle w:val="02Tabletext"/>
              <w:jc w:val="center"/>
            </w:pPr>
            <w:r>
              <w:t>-</w:t>
            </w:r>
          </w:p>
        </w:tc>
      </w:tr>
      <w:tr w:rsidR="00AC1334" w:rsidTr="00C2042E">
        <w:tc>
          <w:tcPr>
            <w:tcW w:w="1562" w:type="pct"/>
          </w:tcPr>
          <w:p w:rsidR="00AC1334" w:rsidRPr="00C55077" w:rsidRDefault="00AC1334" w:rsidP="007151D9">
            <w:pPr>
              <w:pStyle w:val="02Tabletext"/>
            </w:pPr>
            <w:r>
              <w:t>Peterson (1984)</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Excluded</w:t>
            </w:r>
          </w:p>
        </w:tc>
        <w:tc>
          <w:tcPr>
            <w:tcW w:w="1146" w:type="pct"/>
          </w:tcPr>
          <w:p w:rsidR="00AC1334" w:rsidRPr="00DB7206" w:rsidRDefault="00AC1334" w:rsidP="007151D9">
            <w:pPr>
              <w:pStyle w:val="02Tabletext"/>
              <w:jc w:val="center"/>
            </w:pPr>
            <w:r w:rsidRPr="00DB0296">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Pr="00C55077" w:rsidRDefault="00AC1334" w:rsidP="007151D9">
            <w:pPr>
              <w:pStyle w:val="02Tabletext"/>
            </w:pPr>
            <w:r>
              <w:t>Rheder (1980)</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Excluded</w:t>
            </w:r>
          </w:p>
        </w:tc>
        <w:tc>
          <w:tcPr>
            <w:tcW w:w="1146" w:type="pct"/>
          </w:tcPr>
          <w:p w:rsidR="00AC1334" w:rsidRPr="00DB7206" w:rsidRDefault="00AC1334" w:rsidP="007151D9">
            <w:pPr>
              <w:pStyle w:val="02Tabletext"/>
              <w:jc w:val="center"/>
            </w:pPr>
            <w:r w:rsidRPr="00DB0296">
              <w:t>√</w:t>
            </w:r>
          </w:p>
        </w:tc>
      </w:tr>
      <w:tr w:rsidR="00AC1334" w:rsidTr="00C2042E">
        <w:tc>
          <w:tcPr>
            <w:tcW w:w="1562" w:type="pct"/>
          </w:tcPr>
          <w:p w:rsidR="00AC1334" w:rsidRPr="00C04108" w:rsidRDefault="00AC1334" w:rsidP="007151D9">
            <w:pPr>
              <w:pStyle w:val="02Tabletext"/>
              <w:rPr>
                <w:b/>
              </w:rPr>
            </w:pPr>
            <w:r w:rsidRPr="00C04108">
              <w:rPr>
                <w:b/>
              </w:rPr>
              <w:t>Schneider (2008)</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Pr="00C04108" w:rsidRDefault="00AC1334" w:rsidP="007151D9">
            <w:pPr>
              <w:pStyle w:val="02Tabletext"/>
              <w:rPr>
                <w:b/>
              </w:rPr>
            </w:pPr>
            <w:r w:rsidRPr="00C04108">
              <w:rPr>
                <w:b/>
              </w:rPr>
              <w:t>Simmons (2000)</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r>
      <w:tr w:rsidR="00AC1334" w:rsidTr="00C2042E">
        <w:tc>
          <w:tcPr>
            <w:tcW w:w="1562" w:type="pct"/>
          </w:tcPr>
          <w:p w:rsidR="00AC1334" w:rsidRPr="00C04108" w:rsidRDefault="00AC1334" w:rsidP="007151D9">
            <w:pPr>
              <w:pStyle w:val="02Tabletext"/>
              <w:rPr>
                <w:b/>
              </w:rPr>
            </w:pPr>
            <w:r w:rsidRPr="00C04108">
              <w:rPr>
                <w:b/>
              </w:rPr>
              <w:t>Skaer (NIDDM, 1993b)</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Pr="00C04108" w:rsidRDefault="00AC1334" w:rsidP="007151D9">
            <w:pPr>
              <w:pStyle w:val="02Tabletext"/>
              <w:rPr>
                <w:b/>
              </w:rPr>
            </w:pPr>
            <w:r w:rsidRPr="00C04108">
              <w:rPr>
                <w:b/>
              </w:rPr>
              <w:t>Skaer (Hypertension, 1993a)</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r>
      <w:tr w:rsidR="00AC1334" w:rsidTr="00C2042E">
        <w:tc>
          <w:tcPr>
            <w:tcW w:w="1562" w:type="pct"/>
          </w:tcPr>
          <w:p w:rsidR="00AC1334" w:rsidRDefault="00AC1334" w:rsidP="007151D9">
            <w:pPr>
              <w:pStyle w:val="02Tabletext"/>
            </w:pPr>
            <w:r>
              <w:t>Solomon (1988)</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Not identified</w:t>
            </w:r>
          </w:p>
        </w:tc>
        <w:tc>
          <w:tcPr>
            <w:tcW w:w="1146" w:type="pct"/>
          </w:tcPr>
          <w:p w:rsidR="00AC1334" w:rsidRPr="00DB7206" w:rsidRDefault="00AC1334" w:rsidP="007151D9">
            <w:pPr>
              <w:pStyle w:val="02Tabletext"/>
              <w:jc w:val="center"/>
            </w:pPr>
            <w: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Suppapitiporn (2005)</w:t>
            </w:r>
          </w:p>
        </w:tc>
        <w:tc>
          <w:tcPr>
            <w:tcW w:w="1146" w:type="pct"/>
          </w:tcPr>
          <w:p w:rsidR="00AC1334" w:rsidRPr="00DB0296" w:rsidRDefault="00AC1334" w:rsidP="007151D9">
            <w:pPr>
              <w:pStyle w:val="02Tabletext"/>
              <w:jc w:val="center"/>
            </w:pPr>
            <w:r>
              <w:t>-</w:t>
            </w:r>
          </w:p>
        </w:tc>
        <w:tc>
          <w:tcPr>
            <w:tcW w:w="1146" w:type="pct"/>
          </w:tcPr>
          <w:p w:rsidR="00AC1334" w:rsidRPr="00DB7206" w:rsidRDefault="00AC1334" w:rsidP="007151D9">
            <w:pPr>
              <w:pStyle w:val="02Tabletext"/>
              <w:jc w:val="center"/>
            </w:pPr>
            <w:r w:rsidRPr="00DB7206">
              <w:t>√</w:t>
            </w:r>
          </w:p>
        </w:tc>
        <w:tc>
          <w:tcPr>
            <w:tcW w:w="1146" w:type="pct"/>
          </w:tcPr>
          <w:p w:rsidR="00AC1334" w:rsidRPr="00DB7206" w:rsidRDefault="00AC1334" w:rsidP="007151D9">
            <w:pPr>
              <w:pStyle w:val="02Tabletext"/>
              <w:jc w:val="center"/>
            </w:pPr>
            <w:r>
              <w:t>-</w:t>
            </w:r>
          </w:p>
        </w:tc>
      </w:tr>
      <w:tr w:rsidR="00AC1334" w:rsidTr="00C2042E">
        <w:tc>
          <w:tcPr>
            <w:tcW w:w="1562" w:type="pct"/>
          </w:tcPr>
          <w:p w:rsidR="00AC1334" w:rsidRDefault="00AC1334" w:rsidP="007151D9">
            <w:pPr>
              <w:pStyle w:val="02Tabletext"/>
            </w:pPr>
            <w:r>
              <w:t>Valenstein (2009)</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Not identified</w:t>
            </w:r>
          </w:p>
        </w:tc>
        <w:tc>
          <w:tcPr>
            <w:tcW w:w="1146" w:type="pct"/>
          </w:tcPr>
          <w:p w:rsidR="00AC1334" w:rsidRPr="00DB7206" w:rsidRDefault="00AC1334" w:rsidP="007151D9">
            <w:pPr>
              <w:pStyle w:val="02Tabletext"/>
              <w:jc w:val="center"/>
            </w:pPr>
            <w:r w:rsidRPr="00DB0296">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Default="00AC1334" w:rsidP="007151D9">
            <w:pPr>
              <w:pStyle w:val="02Tabletext"/>
            </w:pPr>
            <w:r>
              <w:t>Ware (1991)</w:t>
            </w:r>
          </w:p>
        </w:tc>
        <w:tc>
          <w:tcPr>
            <w:tcW w:w="1146" w:type="pct"/>
          </w:tcPr>
          <w:p w:rsidR="00AC1334" w:rsidRPr="00DB7206" w:rsidRDefault="00AC1334" w:rsidP="007151D9">
            <w:pPr>
              <w:pStyle w:val="02Tabletext"/>
              <w:jc w:val="center"/>
            </w:pPr>
            <w:r w:rsidRPr="00DB0296">
              <w:t>√</w:t>
            </w:r>
          </w:p>
        </w:tc>
        <w:tc>
          <w:tcPr>
            <w:tcW w:w="1146" w:type="pct"/>
          </w:tcPr>
          <w:p w:rsidR="00AC1334" w:rsidRPr="00DB7206" w:rsidRDefault="00AC1334" w:rsidP="007151D9">
            <w:pPr>
              <w:pStyle w:val="02Tabletext"/>
              <w:jc w:val="center"/>
            </w:pPr>
            <w:r>
              <w:t>Excluded</w:t>
            </w:r>
          </w:p>
        </w:tc>
        <w:tc>
          <w:tcPr>
            <w:tcW w:w="1146" w:type="pct"/>
          </w:tcPr>
          <w:p w:rsidR="00AC1334" w:rsidRPr="00DB7206" w:rsidRDefault="00AC1334" w:rsidP="007151D9">
            <w:pPr>
              <w:pStyle w:val="02Tabletext"/>
              <w:jc w:val="center"/>
            </w:pPr>
            <w:r>
              <w:t>-</w:t>
            </w:r>
          </w:p>
        </w:tc>
      </w:tr>
      <w:tr w:rsidR="00AC1334" w:rsidTr="00C2042E">
        <w:tc>
          <w:tcPr>
            <w:tcW w:w="1562" w:type="pct"/>
          </w:tcPr>
          <w:p w:rsidR="00AC1334" w:rsidRPr="00C04108" w:rsidRDefault="00AC1334" w:rsidP="007151D9">
            <w:pPr>
              <w:pStyle w:val="02Tabletext"/>
              <w:rPr>
                <w:b/>
              </w:rPr>
            </w:pPr>
            <w:r w:rsidRPr="00C04108">
              <w:rPr>
                <w:b/>
              </w:rPr>
              <w:t>Winland-Brown (2000)</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c>
          <w:tcPr>
            <w:tcW w:w="1146" w:type="pct"/>
          </w:tcPr>
          <w:p w:rsidR="00AC1334" w:rsidRPr="00393662" w:rsidRDefault="00AC1334" w:rsidP="007151D9">
            <w:pPr>
              <w:pStyle w:val="02Tabletext"/>
              <w:jc w:val="center"/>
              <w:rPr>
                <w:rFonts w:ascii="Impact" w:hAnsi="Impact"/>
                <w:b/>
              </w:rPr>
            </w:pPr>
            <w:r w:rsidRPr="00393662">
              <w:rPr>
                <w:rFonts w:ascii="Impact" w:hAnsi="Impact"/>
                <w:b/>
              </w:rPr>
              <w:t>√</w:t>
            </w:r>
          </w:p>
        </w:tc>
      </w:tr>
      <w:tr w:rsidR="00AC1334" w:rsidTr="00C2042E">
        <w:trPr>
          <w:cnfStyle w:val="000000010000" w:firstRow="0" w:lastRow="0" w:firstColumn="0" w:lastColumn="0" w:oddVBand="0" w:evenVBand="0" w:oddHBand="0" w:evenHBand="1" w:firstRowFirstColumn="0" w:firstRowLastColumn="0" w:lastRowFirstColumn="0" w:lastRowLastColumn="0"/>
        </w:trPr>
        <w:tc>
          <w:tcPr>
            <w:tcW w:w="1562" w:type="pct"/>
          </w:tcPr>
          <w:p w:rsidR="00AC1334" w:rsidRPr="00C04108" w:rsidRDefault="00AC1334" w:rsidP="007151D9">
            <w:pPr>
              <w:pStyle w:val="02Tabletext"/>
              <w:rPr>
                <w:b/>
              </w:rPr>
            </w:pPr>
            <w:r w:rsidRPr="00C04108">
              <w:rPr>
                <w:b/>
              </w:rPr>
              <w:t>Total</w:t>
            </w:r>
          </w:p>
        </w:tc>
        <w:tc>
          <w:tcPr>
            <w:tcW w:w="1146" w:type="pct"/>
          </w:tcPr>
          <w:p w:rsidR="00AC1334" w:rsidRPr="00C04108" w:rsidRDefault="00AC1334" w:rsidP="007151D9">
            <w:pPr>
              <w:pStyle w:val="02Tabletext"/>
              <w:jc w:val="center"/>
              <w:rPr>
                <w:b/>
              </w:rPr>
            </w:pPr>
            <w:r w:rsidRPr="00C04108">
              <w:rPr>
                <w:b/>
              </w:rPr>
              <w:t>30</w:t>
            </w:r>
          </w:p>
        </w:tc>
        <w:tc>
          <w:tcPr>
            <w:tcW w:w="1146" w:type="pct"/>
          </w:tcPr>
          <w:p w:rsidR="00AC1334" w:rsidRPr="00C04108" w:rsidRDefault="00AC1334" w:rsidP="007151D9">
            <w:pPr>
              <w:pStyle w:val="02Tabletext"/>
              <w:jc w:val="center"/>
              <w:rPr>
                <w:b/>
              </w:rPr>
            </w:pPr>
            <w:r w:rsidRPr="00C04108">
              <w:rPr>
                <w:b/>
              </w:rPr>
              <w:t>12</w:t>
            </w:r>
          </w:p>
        </w:tc>
        <w:tc>
          <w:tcPr>
            <w:tcW w:w="1146" w:type="pct"/>
          </w:tcPr>
          <w:p w:rsidR="00AC1334" w:rsidRPr="00C04108" w:rsidRDefault="00AC1334" w:rsidP="007151D9">
            <w:pPr>
              <w:pStyle w:val="02Tabletext"/>
              <w:jc w:val="center"/>
              <w:rPr>
                <w:b/>
              </w:rPr>
            </w:pPr>
            <w:r w:rsidRPr="00C04108">
              <w:rPr>
                <w:b/>
              </w:rPr>
              <w:t>10</w:t>
            </w:r>
          </w:p>
        </w:tc>
      </w:tr>
    </w:tbl>
    <w:p w:rsidR="00AC1334" w:rsidRDefault="00AC1334" w:rsidP="00AC1334">
      <w:pPr>
        <w:pStyle w:val="08Tablefootnotes"/>
      </w:pPr>
      <w:r>
        <w:t>Abbreviations: NIDDM, noninsulin-dependent diabetes mellitus.</w:t>
      </w:r>
    </w:p>
    <w:p w:rsidR="00AC1334" w:rsidRPr="002A2079" w:rsidRDefault="00AC1334" w:rsidP="00AC1334">
      <w:pPr>
        <w:pStyle w:val="09Tablefootnoteslast-nostick"/>
      </w:pPr>
      <w:r>
        <w:t>Note: Studies shown in bold include interventions that are relevant to the current review.</w:t>
      </w:r>
    </w:p>
    <w:p w:rsidR="00AC1334" w:rsidRDefault="00AC1334" w:rsidP="00AC1334">
      <w:pPr>
        <w:pStyle w:val="BodyText"/>
      </w:pPr>
      <w:r>
        <w:t xml:space="preserve">The systematic review by Boeni et al (2014) analysed the effect of drug reminder packaging on medication adherence, as well as clinical and economic outcomes. The objectives of this review were similar to the </w:t>
      </w:r>
      <w:r w:rsidRPr="009C12D4">
        <w:t>Cochrane review published in 2011</w:t>
      </w:r>
      <w:r>
        <w:t xml:space="preserve"> by Mahtani et al,</w:t>
      </w:r>
      <w:r w:rsidRPr="009C12D4">
        <w:t xml:space="preserve"> but </w:t>
      </w:r>
      <w:r>
        <w:t>included</w:t>
      </w:r>
      <w:r w:rsidRPr="009C12D4">
        <w:t xml:space="preserve"> a broader approach and included all study designs with a controlled setting, studies on short- and long-term therapies, on reminder packaging aids</w:t>
      </w:r>
      <w:r>
        <w:t xml:space="preserve"> used alone or in combination</w:t>
      </w:r>
      <w:r w:rsidRPr="009C12D4">
        <w:t xml:space="preserve"> with adherence enhancing programs, and with</w:t>
      </w:r>
      <w:r>
        <w:t xml:space="preserve">out restriction to follow-up. Boeni (2014) included 30 studies: 10 RCTs, 19 </w:t>
      </w:r>
      <w:r>
        <w:lastRenderedPageBreak/>
        <w:t xml:space="preserve">controlled clinical trials, and 1 cohort study. Twenty-seven studies reported adherence, 17 studies reported clinical outcomes, and two studies reported humanistic outcomes. Only </w:t>
      </w:r>
      <w:r w:rsidRPr="00CE1741">
        <w:t>two studies</w:t>
      </w:r>
      <w:r>
        <w:t xml:space="preserve"> reported economic outcomes; however, economic evaluation of the time-intensive process of repackaging medication was not performed.</w:t>
      </w:r>
      <w:r w:rsidRPr="002825A7">
        <w:t xml:space="preserve"> </w:t>
      </w:r>
      <w:r>
        <w:t xml:space="preserve">Only five studies were graded as methodologically strong. </w:t>
      </w:r>
      <w:r w:rsidRPr="008C73F6">
        <w:t>Quantitative data pooling was not performed because of marked heterogeneity among the identified studies in patient populations, medical conditions, calendar packaging specifications, and measures of adherence and clinical outcomes</w:t>
      </w:r>
      <w:r>
        <w:t>.</w:t>
      </w:r>
    </w:p>
    <w:p w:rsidR="00AC1334" w:rsidRDefault="00AC1334" w:rsidP="00AC1334">
      <w:pPr>
        <w:pStyle w:val="BodyText"/>
      </w:pPr>
      <w:r>
        <w:t>Evidence from methodologically strong studies showed that drug reminder packaging had a significant effect on adherence in a geriatric population (one study), for chronic mental illness (one study), and for cardiovascular disease (one study). Of two studies reporting hospital admissions (both methodologically weak), only one study showed that drug reminder packaging significantly reduced the mean hospitalisation rate.</w:t>
      </w:r>
    </w:p>
    <w:p w:rsidR="00AC1334" w:rsidRDefault="00AC1334" w:rsidP="00AC1334">
      <w:pPr>
        <w:pStyle w:val="BodyText"/>
      </w:pPr>
      <w:r>
        <w:t>The authors warned that the overall methodological quality of the included studies was poor and the reporting was incomplete, thus the overall effect of drug reminder packaging on adherence parameters remains inconclusive. Another concern was that some studies showed that while there was a significant improvement in adherence, this was not necessarily accompanied by clinically meaningful improvements in clinical outcomes. This raises the question as to how much adherence is necessary for altering treatment success and achieving clinical benefits for patients.</w:t>
      </w:r>
      <w:r w:rsidRPr="00A50DAC">
        <w:t xml:space="preserve"> </w:t>
      </w:r>
      <w:r w:rsidDel="00612CDB">
        <w:t>The authors identified major research gaps in relation to economics, disease-unspecific clinical outcomes (such as hospitalisation) and humanistic outcomes. Safety issues and satisfaction with the intervention were marginally reported.</w:t>
      </w:r>
    </w:p>
    <w:p w:rsidR="00AC1334" w:rsidRDefault="00AC1334" w:rsidP="00AC1334">
      <w:pPr>
        <w:pStyle w:val="BodyText"/>
      </w:pPr>
      <w:r>
        <w:t>The Cochrane review by Mahtani et al (2011) examined the effects of reminder packaging aids on adherence and other outcomes. It included 12 RCTs published between 1986 and 2009, involving 1,196 participants taking self-administered medications for at least one month. Most of the studies included in the review were small and of low-to-moderate quality. The studies involve</w:t>
      </w:r>
      <w:r w:rsidR="00800707">
        <w:t>d</w:t>
      </w:r>
      <w:r>
        <w:t xml:space="preserve"> various prescription or over-the-counter medications for chronic health conditions, and several types of packaging. Patients in the studies include</w:t>
      </w:r>
      <w:r w:rsidR="00800707">
        <w:t>d</w:t>
      </w:r>
      <w:r>
        <w:t xml:space="preserve"> people with hypertension, diabetes, chronic mental illness or allergies. Some of the studies focused on specific populations such as healthy adults taking vitamin supplements, senior citizens with multiple medical conditions, and people with chronic medical conditions and low literacy skills. In most </w:t>
      </w:r>
      <w:r w:rsidR="00800707">
        <w:t>studies</w:t>
      </w:r>
      <w:r>
        <w:t>, the reminder packages consisted of prefilled pill boxes or foil-backed blister packaging. The review excluded studies involving reminder technology, such as packaging that transmits a wireless message when a dose is missed.</w:t>
      </w:r>
      <w:r w:rsidRPr="00484A8F">
        <w:t xml:space="preserve"> </w:t>
      </w:r>
      <w:r>
        <w:t>Meta-analysis was per</w:t>
      </w:r>
      <w:r w:rsidR="00800707">
        <w:t>formed for some of the outcomes;</w:t>
      </w:r>
      <w:r>
        <w:t xml:space="preserve"> however</w:t>
      </w:r>
      <w:r w:rsidR="00800707">
        <w:t>, the meta-analyses</w:t>
      </w:r>
      <w:r>
        <w:t xml:space="preserve"> included studies where DAAs w</w:t>
      </w:r>
      <w:r w:rsidR="00800707">
        <w:t>ere</w:t>
      </w:r>
      <w:r>
        <w:t xml:space="preserve"> used in combination with a refill reminder. </w:t>
      </w:r>
      <w:r w:rsidRPr="00484A8F">
        <w:t>Only two of the included studies were judged to be of between adequate and high quality</w:t>
      </w:r>
      <w:r>
        <w:t>.</w:t>
      </w:r>
    </w:p>
    <w:p w:rsidR="003A3F84" w:rsidRDefault="00AC1334" w:rsidP="003A3F84">
      <w:pPr>
        <w:pStyle w:val="BodyText"/>
      </w:pPr>
      <w:r>
        <w:t xml:space="preserve">Four studies provided data on pill counts (pre-packed and self-packed) that showed an 11% mean increase in the percentage of pills taken, with 72% of the effect from two studies (four arms) in which the reminder packaging was </w:t>
      </w:r>
      <w:r w:rsidR="003A3F84" w:rsidRPr="00CF31D2">
        <w:t>prepared</w:t>
      </w:r>
      <w:r w:rsidRPr="00CF31D2">
        <w:t xml:space="preserve"> by a pharmacist</w:t>
      </w:r>
      <w:r>
        <w:t xml:space="preserve">. Combined analysis of data from two trials focusing on hypertension found that reminder packaging significantly improved diastolic blood pressure, however systolic pressure remained unchanged. The remaining studies were either of poor quality or showed no significant difference between people who received reminder packaging and those who did not. Further, due to a </w:t>
      </w:r>
      <w:r w:rsidRPr="00C72F3A">
        <w:t>lack of consistent information on patient satisfaction, barriers to use, difficulties with using reminder devices, and costs to hea</w:t>
      </w:r>
      <w:r>
        <w:t>lth services and consumers, the</w:t>
      </w:r>
      <w:r w:rsidRPr="00C72F3A">
        <w:t xml:space="preserve"> authors refrained from drawing any firm conclusions about the effects of reminder packaging on these outcomes. </w:t>
      </w:r>
    </w:p>
    <w:p w:rsidR="00AC1334" w:rsidRDefault="003A3F84" w:rsidP="003A3F84">
      <w:pPr>
        <w:pStyle w:val="BodyText"/>
      </w:pPr>
      <w:r>
        <w:lastRenderedPageBreak/>
        <w:t>The authors commented that the effects of reminder packs on adherence appear</w:t>
      </w:r>
      <w:r w:rsidR="00800707">
        <w:t>s</w:t>
      </w:r>
      <w:r>
        <w:t xml:space="preserve"> to be somewhat larger than the effects of reminder packs on clinical outcomes. This is to be expected; modest amounts of non-adherence may still leave patients within a therapeutic window, and hence proportional gains in compliance are likely to be more than the proportional gains in clinical outcomes. Even if pill counts are improved, they may have no effect on clinical outcomes. A patient must surpass the therapeutic threshold for clinically important differences in outcomes to occur. </w:t>
      </w:r>
      <w:r w:rsidR="00AC1334">
        <w:t>The authors concluded that there is some evidence to suggest that reminder packaging may improve clinical outcomes such as blood pressure in hypertensive patients, and that the use of appropriately designed reminder packaging may be preferred by individuals with low literacy levels. Due to the paucity</w:t>
      </w:r>
      <w:r w:rsidR="00AC1334" w:rsidRPr="00337066">
        <w:t xml:space="preserve"> of high-quality trials</w:t>
      </w:r>
      <w:r w:rsidR="00AC1334">
        <w:t>, further research is warranted to improve the design and targeting of these devices.</w:t>
      </w:r>
    </w:p>
    <w:p w:rsidR="00AC1334" w:rsidRDefault="00AC1334" w:rsidP="00AC1334">
      <w:pPr>
        <w:pStyle w:val="BodyText"/>
      </w:pPr>
      <w:r>
        <w:t>The systematic review by Zedler et al (2011) assessed the evidence of the adherence benefits and harms of calendar blister packaging and calendar pill organisers for self-administered long-term medication use. The review included 10 RCTs (492 subjects) published between 1980 and 2009, that compared calendar blister packaging or calendar pill organisers versus control receiving standard vial of loose pills</w:t>
      </w:r>
      <w:r w:rsidR="006A6716">
        <w:t>. Included participants were</w:t>
      </w:r>
      <w:r>
        <w:t xml:space="preserve"> community patients (aged </w:t>
      </w:r>
      <w:r>
        <w:rPr>
          <w:rFonts w:cs="Times New Roman"/>
        </w:rPr>
        <w:t>≥</w:t>
      </w:r>
      <w:r>
        <w:t xml:space="preserve">18 years old) taking daily medication for any duration longer than one month </w:t>
      </w:r>
      <w:r w:rsidRPr="003C1BA3">
        <w:t xml:space="preserve">for hypertension, type 2 diabetes, epilepsy, serious mental illness </w:t>
      </w:r>
      <w:r>
        <w:t>or</w:t>
      </w:r>
      <w:r w:rsidRPr="003C1BA3">
        <w:t xml:space="preserve"> vitamin prophylaxis</w:t>
      </w:r>
      <w:r>
        <w:t xml:space="preserve">. Calendar pill organisers had to incorporate a reminder system for day of week as part of packaging. This review also included studies with concomitant interventions given alongside calendar blister packaging or calendar pill organisers such as education, mailed refill reminders, phone calls if missed refill and customised dosing schedule. </w:t>
      </w:r>
    </w:p>
    <w:p w:rsidR="00AC1334" w:rsidRDefault="00AC1334" w:rsidP="00AC1334">
      <w:pPr>
        <w:pStyle w:val="BodyText"/>
      </w:pPr>
      <w:r w:rsidRPr="003C1BA3">
        <w:t>The quality of the included trials</w:t>
      </w:r>
      <w:r>
        <w:t>,</w:t>
      </w:r>
      <w:r w:rsidRPr="003C1BA3">
        <w:t xml:space="preserve"> as evaluated by </w:t>
      </w:r>
      <w:r>
        <w:t xml:space="preserve">the </w:t>
      </w:r>
      <w:r w:rsidRPr="003C1BA3">
        <w:t>Jadad scale</w:t>
      </w:r>
      <w:r>
        <w:t>,</w:t>
      </w:r>
      <w:r w:rsidRPr="003C1BA3">
        <w:t xml:space="preserve"> was very poor to moderate</w:t>
      </w:r>
      <w:r>
        <w:t>.</w:t>
      </w:r>
      <w:r w:rsidRPr="003C1BA3">
        <w:t xml:space="preserve"> Trial sample size ranged from 13 to 89 patients</w:t>
      </w:r>
      <w:r>
        <w:t xml:space="preserve">, and study duration ranged from two to 12 months. Quantitative data pooling was not performed because of marked heterogeneity among the identified studies in patient populations, medical conditions, calendar packaging specifications, and measures of adherence and clinical outcomes. A narrative synthesis was presented with trials grouped by outcomes. </w:t>
      </w:r>
    </w:p>
    <w:p w:rsidR="00AC1334" w:rsidRDefault="00AC1334" w:rsidP="00AC1334">
      <w:pPr>
        <w:pStyle w:val="BodyText"/>
      </w:pPr>
      <w:r>
        <w:t>The review revealed that when compared with control, six out of eight included studies had positive adherence outcomes and only one out of nine studies had positive clinical outcomes. None of the trials provided suitable data to evaluate harms. The authors concluded that calendar reminder packaging, especially in combination with education and other reminder strategies, may improve medication adherence. However, almost all of the included studies had important methodological flaws such as</w:t>
      </w:r>
      <w:r w:rsidRPr="00B527D7">
        <w:t xml:space="preserve"> </w:t>
      </w:r>
      <w:r>
        <w:t>insufficient information provided in the published study reports about key quality criteria, including randomisation, blinding, withdrawals and drop-outs, and statistical handling of missing data, all of which limited the validity of the results and precluded conclusions about effect sizes and clinical benefits or harms.</w:t>
      </w:r>
    </w:p>
    <w:p w:rsidR="00AC1334" w:rsidRPr="00C72F3A" w:rsidRDefault="00AC1334" w:rsidP="00AC1334">
      <w:pPr>
        <w:pStyle w:val="BodyText"/>
        <w:rPr>
          <w:i/>
        </w:rPr>
      </w:pPr>
      <w:r>
        <w:rPr>
          <w:b/>
        </w:rPr>
        <w:t>Summary of f</w:t>
      </w:r>
      <w:r w:rsidRPr="00C72F3A">
        <w:rPr>
          <w:b/>
        </w:rPr>
        <w:t>indings</w:t>
      </w:r>
      <w:r>
        <w:t xml:space="preserve">: </w:t>
      </w:r>
      <w:r w:rsidRPr="00C72F3A">
        <w:rPr>
          <w:i/>
        </w:rPr>
        <w:t xml:space="preserve">The identified systematic reviews did not draw firm conclusions in favour of any particular intervention </w:t>
      </w:r>
      <w:r>
        <w:rPr>
          <w:i/>
        </w:rPr>
        <w:t>aimed at</w:t>
      </w:r>
      <w:r w:rsidRPr="00C72F3A">
        <w:rPr>
          <w:i/>
        </w:rPr>
        <w:t xml:space="preserve"> improving adherence to medication. </w:t>
      </w:r>
      <w:r w:rsidRPr="00B527D7">
        <w:rPr>
          <w:i/>
        </w:rPr>
        <w:t>The published lit</w:t>
      </w:r>
      <w:r>
        <w:rPr>
          <w:i/>
        </w:rPr>
        <w:t xml:space="preserve">erature on medication adherence </w:t>
      </w:r>
      <w:r w:rsidRPr="00B527D7">
        <w:rPr>
          <w:i/>
        </w:rPr>
        <w:t>interventions is relativ</w:t>
      </w:r>
      <w:r>
        <w:rPr>
          <w:i/>
        </w:rPr>
        <w:t xml:space="preserve">ely small and heterogeneous. </w:t>
      </w:r>
      <w:r w:rsidRPr="00C72F3A">
        <w:rPr>
          <w:i/>
        </w:rPr>
        <w:t xml:space="preserve">The </w:t>
      </w:r>
      <w:r>
        <w:rPr>
          <w:i/>
        </w:rPr>
        <w:t xml:space="preserve">authors of the </w:t>
      </w:r>
      <w:r w:rsidRPr="00C72F3A">
        <w:rPr>
          <w:i/>
        </w:rPr>
        <w:t xml:space="preserve">reviews reflected on the </w:t>
      </w:r>
      <w:r>
        <w:rPr>
          <w:i/>
        </w:rPr>
        <w:t>poor</w:t>
      </w:r>
      <w:r w:rsidRPr="00C72F3A">
        <w:rPr>
          <w:i/>
        </w:rPr>
        <w:t xml:space="preserve"> methodological quality of the studies</w:t>
      </w:r>
      <w:r>
        <w:rPr>
          <w:i/>
        </w:rPr>
        <w:t xml:space="preserve"> and the inadequacies in terms of reporting of results and missing information, leading to a high risk of bias</w:t>
      </w:r>
      <w:r w:rsidRPr="00C72F3A">
        <w:rPr>
          <w:i/>
        </w:rPr>
        <w:t xml:space="preserve">. </w:t>
      </w:r>
      <w:r>
        <w:rPr>
          <w:i/>
        </w:rPr>
        <w:t>V</w:t>
      </w:r>
      <w:r w:rsidRPr="00C72F3A">
        <w:rPr>
          <w:i/>
        </w:rPr>
        <w:t xml:space="preserve">ery few studies report explicitly </w:t>
      </w:r>
      <w:r>
        <w:rPr>
          <w:i/>
        </w:rPr>
        <w:t>on the effectiveness of</w:t>
      </w:r>
      <w:r w:rsidRPr="00C72F3A">
        <w:rPr>
          <w:i/>
        </w:rPr>
        <w:t xml:space="preserve"> </w:t>
      </w:r>
      <w:r>
        <w:rPr>
          <w:i/>
        </w:rPr>
        <w:t xml:space="preserve">DAAs </w:t>
      </w:r>
      <w:r w:rsidRPr="00C72F3A">
        <w:rPr>
          <w:i/>
        </w:rPr>
        <w:t>among the other frequent pharmacy interventions aimed at improving adherence</w:t>
      </w:r>
      <w:r>
        <w:rPr>
          <w:i/>
        </w:rPr>
        <w:t xml:space="preserve">, making it difficult to </w:t>
      </w:r>
      <w:r w:rsidRPr="00C72F3A">
        <w:rPr>
          <w:i/>
        </w:rPr>
        <w:t>draw clear conclusions</w:t>
      </w:r>
      <w:r>
        <w:rPr>
          <w:i/>
        </w:rPr>
        <w:t>.</w:t>
      </w:r>
    </w:p>
    <w:p w:rsidR="00484A8F" w:rsidRDefault="00C36C1E" w:rsidP="00C36C1E">
      <w:pPr>
        <w:pStyle w:val="Heading2"/>
      </w:pPr>
      <w:bookmarkStart w:id="95" w:name="_Ref462302916"/>
      <w:bookmarkStart w:id="96" w:name="_Toc523230297"/>
      <w:r>
        <w:lastRenderedPageBreak/>
        <w:t>Evidence from primary studies</w:t>
      </w:r>
      <w:bookmarkEnd w:id="95"/>
      <w:bookmarkEnd w:id="96"/>
    </w:p>
    <w:p w:rsidR="00A63D34" w:rsidRDefault="00A63D34" w:rsidP="00527B90">
      <w:r>
        <w:t xml:space="preserve">Nine studies published between 1986 and 2016 were identified for inclusion. The </w:t>
      </w:r>
      <w:r w:rsidRPr="001B08E0">
        <w:t xml:space="preserve">studies were mixed </w:t>
      </w:r>
      <w:r>
        <w:t xml:space="preserve">in </w:t>
      </w:r>
      <w:r w:rsidRPr="001B08E0">
        <w:t>design and included seven RCTs, one prospective cohort study, and one re</w:t>
      </w:r>
      <w:r>
        <w:t xml:space="preserve">trospective matched cohort study. </w:t>
      </w:r>
      <w:r w:rsidR="009322CF">
        <w:t>One study was conducted in New Zealand</w:t>
      </w:r>
      <w:r w:rsidR="005D75F9">
        <w:t>, one in Canada,</w:t>
      </w:r>
      <w:r w:rsidR="009322CF">
        <w:t xml:space="preserve"> and the remaining </w:t>
      </w:r>
      <w:r w:rsidR="005D75F9">
        <w:t>seven</w:t>
      </w:r>
      <w:r>
        <w:t xml:space="preserve"> studies </w:t>
      </w:r>
      <w:r w:rsidR="009322CF">
        <w:t>were conducted in North America</w:t>
      </w:r>
      <w:r>
        <w:t xml:space="preserve">. </w:t>
      </w:r>
    </w:p>
    <w:p w:rsidR="00A63D34" w:rsidRDefault="00A63D34" w:rsidP="00A63D34">
      <w:pPr>
        <w:pStyle w:val="BodyText"/>
      </w:pPr>
      <w:r>
        <w:t>T</w:t>
      </w:r>
      <w:r w:rsidRPr="00AB76CF">
        <w:t xml:space="preserve">here were no Australian studies </w:t>
      </w:r>
      <w:r>
        <w:t xml:space="preserve">identified </w:t>
      </w:r>
      <w:r w:rsidRPr="00AB76CF">
        <w:t>that evaluated the use of DAA on medication adherence o</w:t>
      </w:r>
      <w:r>
        <w:t xml:space="preserve">r other health-related outcomes. However, the University of Queensland undertook an RCT designed to identify patients with poor medication-taking behaviour. A further aim of this study was to implement personalised interventions (including DAAs) to improve medication-taking behaviour. The trial has been completed, with improvement shown in medication adherence. A publication is expected during 2016 (personal communication, Cottrell, 2016). </w:t>
      </w:r>
    </w:p>
    <w:p w:rsidR="005E744E" w:rsidRDefault="00A63D34" w:rsidP="005E744E">
      <w:pPr>
        <w:pStyle w:val="BodyText"/>
      </w:pPr>
      <w:r>
        <w:t xml:space="preserve">The characteristics and results of the nine identified studies are presented in </w:t>
      </w:r>
      <w:r>
        <w:fldChar w:fldCharType="begin"/>
      </w:r>
      <w:r>
        <w:instrText xml:space="preserve"> REF _Ref461800488 \h </w:instrText>
      </w:r>
      <w:r>
        <w:fldChar w:fldCharType="separate"/>
      </w:r>
      <w:r w:rsidR="00964233">
        <w:t xml:space="preserve">Table </w:t>
      </w:r>
      <w:r w:rsidR="00964233">
        <w:rPr>
          <w:noProof/>
        </w:rPr>
        <w:t>5</w:t>
      </w:r>
      <w:r w:rsidR="00964233">
        <w:t>.</w:t>
      </w:r>
      <w:r w:rsidR="00964233">
        <w:rPr>
          <w:noProof/>
        </w:rPr>
        <w:t>3</w:t>
      </w:r>
      <w:r>
        <w:fldChar w:fldCharType="end"/>
      </w:r>
      <w:r>
        <w:t xml:space="preserve"> and </w:t>
      </w:r>
      <w:r>
        <w:fldChar w:fldCharType="begin"/>
      </w:r>
      <w:r>
        <w:instrText xml:space="preserve"> REF _Ref461801955 \h </w:instrText>
      </w:r>
      <w:r>
        <w:fldChar w:fldCharType="separate"/>
      </w:r>
      <w:r w:rsidR="00964233">
        <w:t xml:space="preserve">Table </w:t>
      </w:r>
      <w:r w:rsidR="00964233">
        <w:rPr>
          <w:noProof/>
        </w:rPr>
        <w:t>5</w:t>
      </w:r>
      <w:r w:rsidR="00964233">
        <w:t>.</w:t>
      </w:r>
      <w:r w:rsidR="00964233">
        <w:rPr>
          <w:noProof/>
        </w:rPr>
        <w:t>4</w:t>
      </w:r>
      <w:r>
        <w:fldChar w:fldCharType="end"/>
      </w:r>
      <w:r>
        <w:t xml:space="preserve">, respectively. </w:t>
      </w:r>
      <w:r w:rsidR="00C2042E">
        <w:t xml:space="preserve"> </w:t>
      </w:r>
      <w:r>
        <w:t>Five studies assessed DAAs or similar compliance aids in people taking medications for hypertension (Dupclay, 2012; Schneider, 2008; Simmons, 2000; Skaer, 1993a; Becker, 1986), two studies were in people taking medications for diabetes (Simmons, 2000; Skaer, 1993b), one study was in elderly patients with multiple medical conditions (Winland-Brown, 2000), one study was in patients taking warfarin to prevent thromboembolic events (Dumas, 2016), and one study was in healthy elderly patients taking vitamin supplements (Huang, 2000).</w:t>
      </w:r>
      <w:r w:rsidR="005E744E">
        <w:t xml:space="preserve"> </w:t>
      </w:r>
      <w:r w:rsidR="00C2042E">
        <w:t xml:space="preserve"> </w:t>
      </w:r>
      <w:r w:rsidR="005E744E">
        <w:t xml:space="preserve">There were no studies that were specifically conducted in patients with cognitive or physical impairment or with chronic mental illness. </w:t>
      </w:r>
      <w:r w:rsidR="00C2042E">
        <w:t xml:space="preserve"> </w:t>
      </w:r>
      <w:r w:rsidR="005E744E">
        <w:t>None of the included studies reported results for patients taking only one medications compared with those concurrently using multiple medications (polypharmacy).</w:t>
      </w:r>
    </w:p>
    <w:p w:rsidR="00A63D34" w:rsidRDefault="00A63D34" w:rsidP="00A63D34">
      <w:pPr>
        <w:pStyle w:val="BodyText"/>
      </w:pPr>
      <w:r>
        <w:t xml:space="preserve">The two most recent studies, by Dumas et al (2016) and Dupclay et al (2012), were not </w:t>
      </w:r>
      <w:r w:rsidRPr="00A63D34">
        <w:t xml:space="preserve">included in the systematic reviews discussed in Section </w:t>
      </w:r>
      <w:r w:rsidRPr="00A63D34">
        <w:fldChar w:fldCharType="begin"/>
      </w:r>
      <w:r w:rsidRPr="00A63D34">
        <w:instrText xml:space="preserve"> REF _Ref462409285 \r \h </w:instrText>
      </w:r>
      <w:r>
        <w:instrText xml:space="preserve"> \* MERGEFORMAT </w:instrText>
      </w:r>
      <w:r w:rsidRPr="00A63D34">
        <w:fldChar w:fldCharType="separate"/>
      </w:r>
      <w:r w:rsidR="00964233">
        <w:t>5.1</w:t>
      </w:r>
      <w:r w:rsidRPr="00A63D34">
        <w:fldChar w:fldCharType="end"/>
      </w:r>
      <w:r>
        <w:t xml:space="preserve">. </w:t>
      </w:r>
    </w:p>
    <w:p w:rsidR="00A63D34" w:rsidRDefault="00A63D34" w:rsidP="00A63D34">
      <w:pPr>
        <w:pStyle w:val="BodyText"/>
      </w:pPr>
    </w:p>
    <w:p w:rsidR="00A63D34" w:rsidRDefault="00A63D34" w:rsidP="00A63D34">
      <w:pPr>
        <w:pStyle w:val="BodyText"/>
        <w:sectPr w:rsidR="00A63D34" w:rsidSect="00982A19">
          <w:footerReference w:type="default" r:id="rId20"/>
          <w:pgSz w:w="11906" w:h="16838" w:code="9"/>
          <w:pgMar w:top="1134" w:right="1134" w:bottom="1134" w:left="1134" w:header="680" w:footer="851" w:gutter="0"/>
          <w:cols w:space="708"/>
          <w:docGrid w:linePitch="360"/>
        </w:sectPr>
      </w:pPr>
    </w:p>
    <w:p w:rsidR="00A63D34" w:rsidRDefault="00A63D34" w:rsidP="00A63D34">
      <w:pPr>
        <w:pStyle w:val="Caption"/>
      </w:pPr>
      <w:bookmarkStart w:id="97" w:name="_Ref461800488"/>
      <w:bookmarkStart w:id="98" w:name="_Toc523230335"/>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5</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3</w:t>
      </w:r>
      <w:r w:rsidR="00964233">
        <w:rPr>
          <w:noProof/>
        </w:rPr>
        <w:fldChar w:fldCharType="end"/>
      </w:r>
      <w:bookmarkEnd w:id="97"/>
      <w:r>
        <w:tab/>
        <w:t>C</w:t>
      </w:r>
      <w:r w:rsidRPr="005B2F15">
        <w:t>haracteristics</w:t>
      </w:r>
      <w:r>
        <w:t xml:space="preserve"> of the included studies</w:t>
      </w:r>
      <w:bookmarkEnd w:id="98"/>
    </w:p>
    <w:tbl>
      <w:tblPr>
        <w:tblStyle w:val="TableGrid"/>
        <w:tblW w:w="5000" w:type="pct"/>
        <w:tblLook w:val="04A0" w:firstRow="1" w:lastRow="0" w:firstColumn="1" w:lastColumn="0" w:noHBand="0" w:noVBand="1"/>
        <w:tblCaption w:val="Table 5.3"/>
        <w:tblDescription w:val="Characteristics of the included studies"/>
      </w:tblPr>
      <w:tblGrid>
        <w:gridCol w:w="1178"/>
        <w:gridCol w:w="1214"/>
        <w:gridCol w:w="1436"/>
        <w:gridCol w:w="1725"/>
        <w:gridCol w:w="2615"/>
        <w:gridCol w:w="2298"/>
        <w:gridCol w:w="1721"/>
        <w:gridCol w:w="2373"/>
      </w:tblGrid>
      <w:tr w:rsidR="00A63D34" w:rsidTr="00E6729C">
        <w:trPr>
          <w:cnfStyle w:val="100000000000" w:firstRow="1" w:lastRow="0" w:firstColumn="0" w:lastColumn="0" w:oddVBand="0" w:evenVBand="0" w:oddHBand="0" w:evenHBand="0" w:firstRowFirstColumn="0" w:firstRowLastColumn="0" w:lastRowFirstColumn="0" w:lastRowLastColumn="0"/>
        </w:trPr>
        <w:tc>
          <w:tcPr>
            <w:tcW w:w="405" w:type="pct"/>
            <w:vAlign w:val="center"/>
          </w:tcPr>
          <w:p w:rsidR="00A63D34" w:rsidRDefault="00A63D34" w:rsidP="00982A19">
            <w:pPr>
              <w:pStyle w:val="01Tableheadingorsubheading"/>
              <w:keepNext w:val="0"/>
              <w:rPr>
                <w:snapToGrid w:val="0"/>
              </w:rPr>
            </w:pPr>
            <w:r w:rsidRPr="006D5656">
              <w:rPr>
                <w:snapToGrid w:val="0"/>
              </w:rPr>
              <w:t>Study ID</w:t>
            </w:r>
          </w:p>
          <w:p w:rsidR="00A63D34" w:rsidRDefault="00A63D34" w:rsidP="00982A19">
            <w:pPr>
              <w:pStyle w:val="01Tableheadingorsubheading"/>
              <w:keepNext w:val="0"/>
            </w:pPr>
            <w:r>
              <w:rPr>
                <w:snapToGrid w:val="0"/>
              </w:rPr>
              <w:t>Country</w:t>
            </w:r>
          </w:p>
        </w:tc>
        <w:tc>
          <w:tcPr>
            <w:tcW w:w="417" w:type="pct"/>
            <w:vAlign w:val="center"/>
          </w:tcPr>
          <w:p w:rsidR="00A63D34" w:rsidRDefault="00A63D34" w:rsidP="00982A19">
            <w:pPr>
              <w:pStyle w:val="01Tableheadingorsubheading"/>
              <w:keepNext w:val="0"/>
              <w:jc w:val="center"/>
            </w:pPr>
            <w:r>
              <w:rPr>
                <w:snapToGrid w:val="0"/>
              </w:rPr>
              <w:t>Study design, duration and quality</w:t>
            </w:r>
            <w:r w:rsidR="00C2042E">
              <w:rPr>
                <w:snapToGrid w:val="0"/>
                <w:vertAlign w:val="superscript"/>
              </w:rPr>
              <w:t>f</w:t>
            </w:r>
          </w:p>
        </w:tc>
        <w:tc>
          <w:tcPr>
            <w:tcW w:w="493" w:type="pct"/>
            <w:vAlign w:val="center"/>
          </w:tcPr>
          <w:p w:rsidR="00A63D34" w:rsidRDefault="00A63D34" w:rsidP="00982A19">
            <w:pPr>
              <w:pStyle w:val="01Tableheadingorsubheading"/>
              <w:keepNext w:val="0"/>
              <w:jc w:val="center"/>
            </w:pPr>
            <w:r>
              <w:t>Condition treated</w:t>
            </w:r>
          </w:p>
        </w:tc>
        <w:tc>
          <w:tcPr>
            <w:tcW w:w="592" w:type="pct"/>
            <w:vAlign w:val="center"/>
          </w:tcPr>
          <w:p w:rsidR="00A63D34" w:rsidRDefault="00A63D34" w:rsidP="00982A19">
            <w:pPr>
              <w:pStyle w:val="01Tableheadingorsubheading"/>
              <w:keepNext w:val="0"/>
              <w:jc w:val="center"/>
              <w:rPr>
                <w:snapToGrid w:val="0"/>
              </w:rPr>
            </w:pPr>
            <w:r>
              <w:rPr>
                <w:snapToGrid w:val="0"/>
              </w:rPr>
              <w:t>Study medication</w:t>
            </w:r>
          </w:p>
        </w:tc>
        <w:tc>
          <w:tcPr>
            <w:tcW w:w="898" w:type="pct"/>
            <w:vAlign w:val="center"/>
          </w:tcPr>
          <w:p w:rsidR="00A63D34" w:rsidRDefault="00A63D34" w:rsidP="00982A19">
            <w:pPr>
              <w:pStyle w:val="01Tableheadingorsubheading"/>
              <w:keepNext w:val="0"/>
              <w:jc w:val="center"/>
            </w:pPr>
            <w:r>
              <w:rPr>
                <w:snapToGrid w:val="0"/>
              </w:rPr>
              <w:t>Population</w:t>
            </w:r>
          </w:p>
        </w:tc>
        <w:tc>
          <w:tcPr>
            <w:tcW w:w="789" w:type="pct"/>
            <w:vAlign w:val="center"/>
          </w:tcPr>
          <w:p w:rsidR="00A63D34" w:rsidRDefault="00A63D34" w:rsidP="00982A19">
            <w:pPr>
              <w:pStyle w:val="01Tableheadingorsubheading"/>
              <w:keepNext w:val="0"/>
              <w:jc w:val="center"/>
            </w:pPr>
            <w:r>
              <w:rPr>
                <w:snapToGrid w:val="0"/>
              </w:rPr>
              <w:t>Intervention</w:t>
            </w:r>
          </w:p>
        </w:tc>
        <w:tc>
          <w:tcPr>
            <w:tcW w:w="591" w:type="pct"/>
            <w:vAlign w:val="center"/>
          </w:tcPr>
          <w:p w:rsidR="00A63D34" w:rsidRDefault="00A63D34" w:rsidP="00982A19">
            <w:pPr>
              <w:pStyle w:val="01Tableheadingorsubheading"/>
              <w:keepNext w:val="0"/>
              <w:jc w:val="center"/>
              <w:rPr>
                <w:snapToGrid w:val="0"/>
              </w:rPr>
            </w:pPr>
            <w:r>
              <w:rPr>
                <w:snapToGrid w:val="0"/>
              </w:rPr>
              <w:t>Control</w:t>
            </w:r>
          </w:p>
        </w:tc>
        <w:tc>
          <w:tcPr>
            <w:tcW w:w="815" w:type="pct"/>
            <w:vAlign w:val="center"/>
          </w:tcPr>
          <w:p w:rsidR="00A63D34" w:rsidRDefault="00A63D34" w:rsidP="00982A19">
            <w:pPr>
              <w:pStyle w:val="01Tableheadingorsubheading"/>
              <w:keepNext w:val="0"/>
              <w:jc w:val="center"/>
            </w:pPr>
            <w:r>
              <w:rPr>
                <w:snapToGrid w:val="0"/>
              </w:rPr>
              <w:t>Outcomes</w:t>
            </w:r>
          </w:p>
        </w:tc>
      </w:tr>
      <w:tr w:rsidR="00A63D34" w:rsidRPr="00947BF2" w:rsidTr="00E6729C">
        <w:tc>
          <w:tcPr>
            <w:tcW w:w="405" w:type="pct"/>
          </w:tcPr>
          <w:p w:rsidR="00A63D34" w:rsidRDefault="00A63D34" w:rsidP="008767A4">
            <w:pPr>
              <w:pStyle w:val="02Tabletext"/>
              <w:keepNext w:val="0"/>
            </w:pPr>
            <w:r>
              <w:t>Dumas (2016)</w:t>
            </w:r>
          </w:p>
          <w:p w:rsidR="00A63D34" w:rsidRPr="005B2F15" w:rsidRDefault="00A63D34" w:rsidP="008767A4">
            <w:pPr>
              <w:pStyle w:val="03Tabletextspacebefore"/>
            </w:pPr>
            <w:r>
              <w:t>Canada</w:t>
            </w:r>
          </w:p>
        </w:tc>
        <w:tc>
          <w:tcPr>
            <w:tcW w:w="417" w:type="pct"/>
          </w:tcPr>
          <w:p w:rsidR="00A63D34" w:rsidRPr="001140D3" w:rsidRDefault="00A63D34" w:rsidP="008767A4">
            <w:pPr>
              <w:pStyle w:val="02Tabletext"/>
              <w:keepNext w:val="0"/>
            </w:pPr>
            <w:r>
              <w:t>Prospective cohort study (N=1069)</w:t>
            </w:r>
          </w:p>
          <w:p w:rsidR="00A63D34" w:rsidRDefault="00A63D34" w:rsidP="008767A4">
            <w:pPr>
              <w:pStyle w:val="03Tabletextspacebefore"/>
            </w:pPr>
            <w:r>
              <w:t>12 months</w:t>
            </w:r>
          </w:p>
          <w:p w:rsidR="00A63D34" w:rsidRPr="00B17A63" w:rsidRDefault="004D1E0B" w:rsidP="008767A4">
            <w:pPr>
              <w:pStyle w:val="03Tabletextspacebefore"/>
              <w:rPr>
                <w:i/>
              </w:rPr>
            </w:pPr>
            <w:r>
              <w:rPr>
                <w:i/>
              </w:rPr>
              <w:t>Poor</w:t>
            </w:r>
            <w:r w:rsidR="00B9325C">
              <w:rPr>
                <w:i/>
              </w:rPr>
              <w:t xml:space="preserve"> quality</w:t>
            </w:r>
          </w:p>
        </w:tc>
        <w:tc>
          <w:tcPr>
            <w:tcW w:w="493" w:type="pct"/>
          </w:tcPr>
          <w:p w:rsidR="00A63D34" w:rsidRDefault="00A63D34" w:rsidP="008767A4">
            <w:pPr>
              <w:pStyle w:val="02Tabletext"/>
              <w:keepNext w:val="0"/>
            </w:pPr>
            <w:r>
              <w:t>Prevention of thromboembolic events</w:t>
            </w:r>
          </w:p>
        </w:tc>
        <w:tc>
          <w:tcPr>
            <w:tcW w:w="592" w:type="pct"/>
          </w:tcPr>
          <w:p w:rsidR="00A63D34" w:rsidRDefault="00A63D34" w:rsidP="008767A4">
            <w:pPr>
              <w:pStyle w:val="02Tabletext"/>
              <w:keepNext w:val="0"/>
            </w:pPr>
            <w:r>
              <w:t>Warfarin</w:t>
            </w:r>
          </w:p>
        </w:tc>
        <w:tc>
          <w:tcPr>
            <w:tcW w:w="898" w:type="pct"/>
          </w:tcPr>
          <w:p w:rsidR="00A63D34" w:rsidRDefault="00A63D34" w:rsidP="008767A4">
            <w:pPr>
              <w:pStyle w:val="02Tabletext"/>
            </w:pPr>
            <w:r>
              <w:t>Patients aged ≥18 years old who started warfarin, primarily due to a diagnosis of atrial fibrillation, mechanical valve replacement, or mitral stenosis</w:t>
            </w:r>
          </w:p>
        </w:tc>
        <w:tc>
          <w:tcPr>
            <w:tcW w:w="789" w:type="pct"/>
            <w:shd w:val="clear" w:color="auto" w:fill="auto"/>
          </w:tcPr>
          <w:p w:rsidR="00A63D34" w:rsidRDefault="00A63D34" w:rsidP="008767A4">
            <w:pPr>
              <w:pStyle w:val="02Tabletext"/>
            </w:pPr>
            <w:r>
              <w:t>N=112</w:t>
            </w:r>
            <w:r w:rsidRPr="00BF57DA">
              <w:rPr>
                <w:vertAlign w:val="superscript"/>
              </w:rPr>
              <w:t>a</w:t>
            </w:r>
          </w:p>
          <w:p w:rsidR="00A63D34" w:rsidRPr="002F4533" w:rsidRDefault="00A63D34" w:rsidP="00D47C6E">
            <w:pPr>
              <w:pStyle w:val="02Tabletext"/>
            </w:pPr>
            <w:r>
              <w:t xml:space="preserve">Pillbox, packed by a pharmacist, consisting of compartments that correspond </w:t>
            </w:r>
            <w:r w:rsidR="004D1E0B">
              <w:t>to a day or a period of the da</w:t>
            </w:r>
            <w:r w:rsidR="00D47C6E">
              <w:t>y.</w:t>
            </w:r>
          </w:p>
        </w:tc>
        <w:tc>
          <w:tcPr>
            <w:tcW w:w="591" w:type="pct"/>
          </w:tcPr>
          <w:p w:rsidR="00A63D34" w:rsidRPr="00ED27AB" w:rsidRDefault="00A63D34" w:rsidP="008767A4">
            <w:pPr>
              <w:pStyle w:val="02Tabletext"/>
            </w:pPr>
            <w:r w:rsidRPr="00ED1FA1">
              <w:t>N=</w:t>
            </w:r>
            <w:r>
              <w:t>382</w:t>
            </w:r>
            <w:r w:rsidRPr="00BF57DA">
              <w:rPr>
                <w:vertAlign w:val="superscript"/>
              </w:rPr>
              <w:t>a</w:t>
            </w:r>
          </w:p>
          <w:p w:rsidR="00A63D34" w:rsidRDefault="00A63D34" w:rsidP="008767A4">
            <w:pPr>
              <w:pStyle w:val="02Tabletext"/>
            </w:pPr>
            <w:r w:rsidRPr="00ED27AB">
              <w:t>No pillbox</w:t>
            </w:r>
          </w:p>
          <w:p w:rsidR="00A63D34" w:rsidRDefault="00A63D34" w:rsidP="008767A4">
            <w:pPr>
              <w:pStyle w:val="03Tabletextspacebefore"/>
            </w:pPr>
            <w:r>
              <w:t>N=354</w:t>
            </w:r>
            <w:r w:rsidRPr="00BF57DA">
              <w:rPr>
                <w:vertAlign w:val="superscript"/>
              </w:rPr>
              <w:t>a</w:t>
            </w:r>
          </w:p>
          <w:p w:rsidR="00A63D34" w:rsidRPr="00E33DCC" w:rsidRDefault="00A63D34" w:rsidP="008767A4">
            <w:pPr>
              <w:pStyle w:val="03Tabletextspacebefore"/>
            </w:pPr>
            <w:r>
              <w:t>Self-prepared pillbox</w:t>
            </w:r>
          </w:p>
        </w:tc>
        <w:tc>
          <w:tcPr>
            <w:tcW w:w="815" w:type="pct"/>
          </w:tcPr>
          <w:p w:rsidR="00A63D34" w:rsidRDefault="00A63D34" w:rsidP="008767A4">
            <w:pPr>
              <w:pStyle w:val="02Tabletext"/>
            </w:pPr>
            <w:r>
              <w:t>Clinical outcomes (3, 6, 9, 12 mo):</w:t>
            </w:r>
          </w:p>
          <w:p w:rsidR="00A63D34" w:rsidRDefault="00A63D34" w:rsidP="008767A4">
            <w:pPr>
              <w:pStyle w:val="06Tablebullet"/>
            </w:pPr>
            <w:r>
              <w:t>TTR &lt;60%</w:t>
            </w:r>
            <w:r>
              <w:rPr>
                <w:vertAlign w:val="superscript"/>
              </w:rPr>
              <w:t>b</w:t>
            </w:r>
          </w:p>
          <w:p w:rsidR="00A63D34" w:rsidRPr="00947BF2" w:rsidRDefault="00A63D34" w:rsidP="008767A4">
            <w:pPr>
              <w:pStyle w:val="06Tablebullet"/>
            </w:pPr>
            <w:r>
              <w:t>INR instability</w:t>
            </w:r>
          </w:p>
        </w:tc>
      </w:tr>
      <w:tr w:rsidR="00A63D34" w:rsidRPr="00947BF2" w:rsidTr="00E6729C">
        <w:trPr>
          <w:cnfStyle w:val="000000010000" w:firstRow="0" w:lastRow="0" w:firstColumn="0" w:lastColumn="0" w:oddVBand="0" w:evenVBand="0" w:oddHBand="0" w:evenHBand="1" w:firstRowFirstColumn="0" w:firstRowLastColumn="0" w:lastRowFirstColumn="0" w:lastRowLastColumn="0"/>
        </w:trPr>
        <w:tc>
          <w:tcPr>
            <w:tcW w:w="405" w:type="pct"/>
          </w:tcPr>
          <w:p w:rsidR="00A63D34" w:rsidRDefault="00A63D34" w:rsidP="008767A4">
            <w:pPr>
              <w:pStyle w:val="02Tabletext"/>
              <w:keepNext w:val="0"/>
            </w:pPr>
            <w:r>
              <w:t>Dupclay (2012)</w:t>
            </w:r>
          </w:p>
          <w:p w:rsidR="00A63D34" w:rsidRPr="005B2F15" w:rsidRDefault="00A63D34" w:rsidP="008767A4">
            <w:pPr>
              <w:pStyle w:val="03Tabletextspacebefore"/>
            </w:pPr>
            <w:r>
              <w:t>US</w:t>
            </w:r>
          </w:p>
        </w:tc>
        <w:tc>
          <w:tcPr>
            <w:tcW w:w="417" w:type="pct"/>
          </w:tcPr>
          <w:p w:rsidR="00A63D34" w:rsidRPr="001140D3" w:rsidRDefault="00A63D34" w:rsidP="008767A4">
            <w:pPr>
              <w:pStyle w:val="02Tabletext"/>
              <w:keepNext w:val="0"/>
            </w:pPr>
            <w:r>
              <w:t>Retrospective matched cohort study (N=9266)</w:t>
            </w:r>
          </w:p>
          <w:p w:rsidR="00A63D34" w:rsidRDefault="00A63D34" w:rsidP="008767A4">
            <w:pPr>
              <w:pStyle w:val="03Tabletextspacebefore"/>
            </w:pPr>
            <w:r>
              <w:t>11 months</w:t>
            </w:r>
          </w:p>
          <w:p w:rsidR="00A63D34" w:rsidRPr="000859FB" w:rsidRDefault="00B9325C" w:rsidP="008767A4">
            <w:pPr>
              <w:pStyle w:val="03Tabletextspacebefore"/>
            </w:pPr>
            <w:r w:rsidRPr="00B9325C">
              <w:rPr>
                <w:i/>
              </w:rPr>
              <w:t xml:space="preserve">Poor </w:t>
            </w:r>
            <w:r>
              <w:rPr>
                <w:i/>
              </w:rPr>
              <w:t>quality</w:t>
            </w:r>
          </w:p>
        </w:tc>
        <w:tc>
          <w:tcPr>
            <w:tcW w:w="493" w:type="pct"/>
          </w:tcPr>
          <w:p w:rsidR="00A63D34" w:rsidRDefault="00A63D34" w:rsidP="008767A4">
            <w:pPr>
              <w:pStyle w:val="02Tabletext"/>
              <w:keepNext w:val="0"/>
            </w:pPr>
            <w:r>
              <w:t>Hypertension</w:t>
            </w:r>
          </w:p>
        </w:tc>
        <w:tc>
          <w:tcPr>
            <w:tcW w:w="592" w:type="pct"/>
          </w:tcPr>
          <w:p w:rsidR="00A63D34" w:rsidRDefault="00A63D34" w:rsidP="008767A4">
            <w:pPr>
              <w:pStyle w:val="02Tabletext"/>
              <w:keepNext w:val="0"/>
            </w:pPr>
            <w:r>
              <w:t>V</w:t>
            </w:r>
            <w:r w:rsidRPr="001A3DAC">
              <w:t>alsartan-hydrochlorothiazide combination tablets</w:t>
            </w:r>
          </w:p>
        </w:tc>
        <w:tc>
          <w:tcPr>
            <w:tcW w:w="898" w:type="pct"/>
          </w:tcPr>
          <w:p w:rsidR="00A63D34" w:rsidRDefault="00A63D34" w:rsidP="008767A4">
            <w:pPr>
              <w:pStyle w:val="02Tabletext"/>
            </w:pPr>
            <w:r>
              <w:t>Patients ≥18 years old with at least two hypertension prescriptions</w:t>
            </w:r>
          </w:p>
        </w:tc>
        <w:tc>
          <w:tcPr>
            <w:tcW w:w="789" w:type="pct"/>
          </w:tcPr>
          <w:p w:rsidR="00A63D34" w:rsidRDefault="00A63D34" w:rsidP="008767A4">
            <w:pPr>
              <w:pStyle w:val="02Tabletext"/>
              <w:keepNext w:val="0"/>
            </w:pPr>
            <w:r>
              <w:t>N=4633</w:t>
            </w:r>
          </w:p>
          <w:p w:rsidR="00A63D34" w:rsidRDefault="00A63D34" w:rsidP="008767A4">
            <w:pPr>
              <w:pStyle w:val="02Tabletext"/>
              <w:keepNext w:val="0"/>
            </w:pPr>
            <w:r>
              <w:t xml:space="preserve">Monthly blister pack </w:t>
            </w:r>
          </w:p>
        </w:tc>
        <w:tc>
          <w:tcPr>
            <w:tcW w:w="591" w:type="pct"/>
          </w:tcPr>
          <w:p w:rsidR="00A63D34" w:rsidRPr="00ED1FA1" w:rsidRDefault="00A63D34" w:rsidP="008767A4">
            <w:pPr>
              <w:pStyle w:val="02Tabletext"/>
            </w:pPr>
            <w:r w:rsidRPr="00ED1FA1">
              <w:t>N=4633</w:t>
            </w:r>
          </w:p>
          <w:p w:rsidR="00A63D34" w:rsidRPr="0099722A" w:rsidRDefault="00A63D34" w:rsidP="008767A4">
            <w:pPr>
              <w:pStyle w:val="02Tabletext"/>
              <w:rPr>
                <w:highlight w:val="yellow"/>
              </w:rPr>
            </w:pPr>
            <w:r w:rsidRPr="0099722A">
              <w:t>No reminder packaging</w:t>
            </w:r>
          </w:p>
        </w:tc>
        <w:tc>
          <w:tcPr>
            <w:tcW w:w="815" w:type="pct"/>
          </w:tcPr>
          <w:p w:rsidR="00A63D34" w:rsidRDefault="00A63D34" w:rsidP="008767A4">
            <w:pPr>
              <w:pStyle w:val="02Tabletext"/>
            </w:pPr>
            <w:r>
              <w:t>Adherence outcomes</w:t>
            </w:r>
            <w:r>
              <w:rPr>
                <w:vertAlign w:val="superscript"/>
              </w:rPr>
              <w:t>c</w:t>
            </w:r>
            <w:r>
              <w:t>:</w:t>
            </w:r>
          </w:p>
          <w:p w:rsidR="00A63D34" w:rsidRDefault="00A63D34" w:rsidP="008767A4">
            <w:pPr>
              <w:pStyle w:val="06Tablebullet"/>
            </w:pPr>
            <w:r>
              <w:t>MPR</w:t>
            </w:r>
          </w:p>
          <w:p w:rsidR="00A63D34" w:rsidRDefault="00A63D34" w:rsidP="008767A4">
            <w:pPr>
              <w:pStyle w:val="06Tablebullet"/>
            </w:pPr>
            <w:r>
              <w:t>time to refill</w:t>
            </w:r>
          </w:p>
          <w:p w:rsidR="00A63D34" w:rsidRDefault="00A63D34" w:rsidP="008767A4">
            <w:pPr>
              <w:pStyle w:val="06Tablebullet"/>
            </w:pPr>
            <w:r>
              <w:t>proportion of days covered</w:t>
            </w:r>
          </w:p>
          <w:p w:rsidR="00A63D34" w:rsidRDefault="00A63D34" w:rsidP="008767A4">
            <w:pPr>
              <w:pStyle w:val="06Tablebullet"/>
            </w:pPr>
            <w:r>
              <w:t>time to discontinuation</w:t>
            </w:r>
          </w:p>
        </w:tc>
      </w:tr>
      <w:tr w:rsidR="00A63D34" w:rsidRPr="00947BF2" w:rsidTr="00E6729C">
        <w:tc>
          <w:tcPr>
            <w:tcW w:w="405" w:type="pct"/>
          </w:tcPr>
          <w:p w:rsidR="00A63D34" w:rsidRDefault="00A63D34" w:rsidP="008767A4">
            <w:pPr>
              <w:pStyle w:val="02Tabletext"/>
              <w:keepNext w:val="0"/>
            </w:pPr>
            <w:r>
              <w:t>Schneider (2008)</w:t>
            </w:r>
          </w:p>
          <w:p w:rsidR="00A63D34" w:rsidRPr="005B2F15" w:rsidRDefault="00A63D34" w:rsidP="008767A4">
            <w:pPr>
              <w:pStyle w:val="03Tabletextspacebefore"/>
            </w:pPr>
            <w:r>
              <w:t>US</w:t>
            </w:r>
          </w:p>
        </w:tc>
        <w:tc>
          <w:tcPr>
            <w:tcW w:w="417" w:type="pct"/>
          </w:tcPr>
          <w:p w:rsidR="00A63D34" w:rsidRPr="001140D3" w:rsidRDefault="00A63D34" w:rsidP="008767A4">
            <w:pPr>
              <w:pStyle w:val="02Tabletext"/>
              <w:keepNext w:val="0"/>
            </w:pPr>
            <w:r>
              <w:t>Multicentre RCT (N=85)</w:t>
            </w:r>
          </w:p>
          <w:p w:rsidR="00A63D34" w:rsidRDefault="00A63D34" w:rsidP="008767A4">
            <w:pPr>
              <w:pStyle w:val="03Tabletextspacebefore"/>
            </w:pPr>
            <w:r>
              <w:t>12 months</w:t>
            </w:r>
          </w:p>
          <w:p w:rsidR="00A63D34" w:rsidRPr="000859FB" w:rsidRDefault="0067595B" w:rsidP="008767A4">
            <w:pPr>
              <w:pStyle w:val="03Tabletextspacebefore"/>
            </w:pPr>
            <w:r>
              <w:rPr>
                <w:i/>
              </w:rPr>
              <w:t>Fair quality</w:t>
            </w:r>
          </w:p>
        </w:tc>
        <w:tc>
          <w:tcPr>
            <w:tcW w:w="493" w:type="pct"/>
          </w:tcPr>
          <w:p w:rsidR="00A63D34" w:rsidRDefault="00A63D34" w:rsidP="008767A4">
            <w:pPr>
              <w:pStyle w:val="02Tabletext"/>
              <w:keepNext w:val="0"/>
            </w:pPr>
            <w:r>
              <w:t>Hypertension</w:t>
            </w:r>
          </w:p>
        </w:tc>
        <w:tc>
          <w:tcPr>
            <w:tcW w:w="592" w:type="pct"/>
          </w:tcPr>
          <w:p w:rsidR="00A63D34" w:rsidRDefault="00A63D34" w:rsidP="008767A4">
            <w:pPr>
              <w:pStyle w:val="02Tabletext"/>
              <w:keepNext w:val="0"/>
            </w:pPr>
            <w:r w:rsidRPr="002139E3">
              <w:t>Lisinopril</w:t>
            </w:r>
          </w:p>
        </w:tc>
        <w:tc>
          <w:tcPr>
            <w:tcW w:w="898" w:type="pct"/>
          </w:tcPr>
          <w:p w:rsidR="00A63D34" w:rsidRDefault="00A63D34" w:rsidP="008767A4">
            <w:pPr>
              <w:pStyle w:val="02Tabletext"/>
            </w:pPr>
            <w:r>
              <w:t>Patients aged ≥65</w:t>
            </w:r>
            <w:r w:rsidRPr="0082450B">
              <w:t xml:space="preserve"> years, </w:t>
            </w:r>
            <w:r>
              <w:t>t</w:t>
            </w:r>
            <w:r w:rsidRPr="0082450B">
              <w:t>reated w</w:t>
            </w:r>
            <w:r>
              <w:t>ith lisinopril for hypertension</w:t>
            </w:r>
          </w:p>
        </w:tc>
        <w:tc>
          <w:tcPr>
            <w:tcW w:w="789" w:type="pct"/>
          </w:tcPr>
          <w:p w:rsidR="00A63D34" w:rsidRDefault="00A63D34" w:rsidP="008767A4">
            <w:pPr>
              <w:pStyle w:val="02Tabletext"/>
            </w:pPr>
            <w:r>
              <w:t>N=47</w:t>
            </w:r>
          </w:p>
          <w:p w:rsidR="00A63D34" w:rsidRDefault="00A63D34" w:rsidP="008767A4">
            <w:pPr>
              <w:pStyle w:val="02Tabletext"/>
            </w:pPr>
            <w:r>
              <w:t>Daily-dose adherence blister package (Pill Calendar</w:t>
            </w:r>
            <w:r>
              <w:rPr>
                <w:vertAlign w:val="superscript"/>
              </w:rPr>
              <w:t>d</w:t>
            </w:r>
            <w:r>
              <w:t>) in four rows of seven tablets, pharmacy-filled</w:t>
            </w:r>
          </w:p>
        </w:tc>
        <w:tc>
          <w:tcPr>
            <w:tcW w:w="591" w:type="pct"/>
          </w:tcPr>
          <w:p w:rsidR="00A63D34" w:rsidRDefault="00A63D34" w:rsidP="008767A4">
            <w:pPr>
              <w:pStyle w:val="02Tabletext"/>
              <w:keepNext w:val="0"/>
            </w:pPr>
            <w:r>
              <w:t>N=38</w:t>
            </w:r>
          </w:p>
          <w:p w:rsidR="00A63D34" w:rsidRDefault="00A63D34" w:rsidP="008767A4">
            <w:pPr>
              <w:pStyle w:val="02Tabletext"/>
              <w:keepNext w:val="0"/>
            </w:pPr>
            <w:r>
              <w:t xml:space="preserve">Standard </w:t>
            </w:r>
            <w:r w:rsidRPr="00FA35CF">
              <w:t xml:space="preserve">medicine </w:t>
            </w:r>
            <w:r>
              <w:t>vials</w:t>
            </w:r>
          </w:p>
        </w:tc>
        <w:tc>
          <w:tcPr>
            <w:tcW w:w="815" w:type="pct"/>
          </w:tcPr>
          <w:p w:rsidR="00A63D34" w:rsidRDefault="00A63D34" w:rsidP="008767A4">
            <w:pPr>
              <w:pStyle w:val="02Tabletext"/>
              <w:keepNext w:val="0"/>
            </w:pPr>
            <w:r>
              <w:t>Adherence outcomes:</w:t>
            </w:r>
          </w:p>
          <w:p w:rsidR="00A63D34" w:rsidRDefault="00A63D34" w:rsidP="008767A4">
            <w:pPr>
              <w:pStyle w:val="06Tablebullet"/>
            </w:pPr>
            <w:r>
              <w:t>MPR</w:t>
            </w:r>
          </w:p>
          <w:p w:rsidR="00A63D34" w:rsidRDefault="00A63D34" w:rsidP="008767A4">
            <w:pPr>
              <w:pStyle w:val="06Tablebullet"/>
            </w:pPr>
            <w:r>
              <w:t>self-report</w:t>
            </w:r>
          </w:p>
          <w:p w:rsidR="00A63D34" w:rsidRDefault="00A63D34" w:rsidP="008767A4">
            <w:pPr>
              <w:pStyle w:val="02Tabletext"/>
              <w:keepNext w:val="0"/>
            </w:pPr>
            <w:r>
              <w:t>Clinical outcomes (6, 12 mo):</w:t>
            </w:r>
          </w:p>
          <w:p w:rsidR="00A63D34" w:rsidRDefault="00A63D34" w:rsidP="008767A4">
            <w:pPr>
              <w:pStyle w:val="06Tablebullet"/>
            </w:pPr>
            <w:r>
              <w:t>dBP</w:t>
            </w:r>
          </w:p>
          <w:p w:rsidR="00A63D34" w:rsidRDefault="00A63D34" w:rsidP="008767A4">
            <w:pPr>
              <w:pStyle w:val="06Tablebullet"/>
            </w:pPr>
            <w:r>
              <w:t>sBP</w:t>
            </w:r>
          </w:p>
          <w:p w:rsidR="00A63D34" w:rsidRDefault="00A63D34" w:rsidP="008767A4">
            <w:pPr>
              <w:pStyle w:val="06Tablebullet"/>
            </w:pPr>
            <w:r>
              <w:t>absolute change in BP</w:t>
            </w:r>
          </w:p>
        </w:tc>
      </w:tr>
      <w:tr w:rsidR="00A63D34" w:rsidRPr="00947BF2" w:rsidTr="00E6729C">
        <w:trPr>
          <w:cnfStyle w:val="000000010000" w:firstRow="0" w:lastRow="0" w:firstColumn="0" w:lastColumn="0" w:oddVBand="0" w:evenVBand="0" w:oddHBand="0" w:evenHBand="1" w:firstRowFirstColumn="0" w:firstRowLastColumn="0" w:lastRowFirstColumn="0" w:lastRowLastColumn="0"/>
        </w:trPr>
        <w:tc>
          <w:tcPr>
            <w:tcW w:w="405" w:type="pct"/>
          </w:tcPr>
          <w:p w:rsidR="00A63D34" w:rsidRDefault="00A63D34" w:rsidP="008767A4">
            <w:pPr>
              <w:pStyle w:val="02Tabletext"/>
              <w:keepNext w:val="0"/>
            </w:pPr>
            <w:r>
              <w:t xml:space="preserve">Huang (VITAL) (2000) </w:t>
            </w:r>
          </w:p>
          <w:p w:rsidR="00A63D34" w:rsidRPr="005B2F15" w:rsidRDefault="00A63D34" w:rsidP="008767A4">
            <w:pPr>
              <w:pStyle w:val="03Tabletextspacebefore"/>
            </w:pPr>
            <w:r>
              <w:t>US</w:t>
            </w:r>
          </w:p>
        </w:tc>
        <w:tc>
          <w:tcPr>
            <w:tcW w:w="417" w:type="pct"/>
          </w:tcPr>
          <w:p w:rsidR="00A63D34" w:rsidRDefault="00A63D34" w:rsidP="008767A4">
            <w:pPr>
              <w:pStyle w:val="02Tabletext"/>
              <w:keepNext w:val="0"/>
            </w:pPr>
            <w:r>
              <w:t>RCT (N=297)</w:t>
            </w:r>
          </w:p>
          <w:p w:rsidR="00A63D34" w:rsidRDefault="00A63D34" w:rsidP="008767A4">
            <w:pPr>
              <w:pStyle w:val="03Tabletextspacebefore"/>
            </w:pPr>
            <w:r>
              <w:t>2 months</w:t>
            </w:r>
          </w:p>
          <w:p w:rsidR="00A63D34" w:rsidRPr="000859FB" w:rsidRDefault="0067595B" w:rsidP="008767A4">
            <w:pPr>
              <w:pStyle w:val="03Tabletextspacebefore"/>
            </w:pPr>
            <w:r>
              <w:rPr>
                <w:i/>
              </w:rPr>
              <w:t>Fair quality</w:t>
            </w:r>
          </w:p>
        </w:tc>
        <w:tc>
          <w:tcPr>
            <w:tcW w:w="493" w:type="pct"/>
          </w:tcPr>
          <w:p w:rsidR="00A63D34" w:rsidRDefault="00A63D34" w:rsidP="008767A4">
            <w:pPr>
              <w:pStyle w:val="02Tabletext"/>
              <w:keepNext w:val="0"/>
            </w:pPr>
            <w:r w:rsidRPr="002139E3">
              <w:t>Disease prevention</w:t>
            </w:r>
          </w:p>
        </w:tc>
        <w:tc>
          <w:tcPr>
            <w:tcW w:w="592" w:type="pct"/>
          </w:tcPr>
          <w:p w:rsidR="00A63D34" w:rsidRDefault="00A63D34" w:rsidP="008767A4">
            <w:pPr>
              <w:pStyle w:val="02Tabletext"/>
              <w:keepNext w:val="0"/>
            </w:pPr>
            <w:r>
              <w:t>Vitamin E</w:t>
            </w:r>
          </w:p>
        </w:tc>
        <w:tc>
          <w:tcPr>
            <w:tcW w:w="898" w:type="pct"/>
          </w:tcPr>
          <w:p w:rsidR="00A63D34" w:rsidRDefault="00A63D34" w:rsidP="008767A4">
            <w:pPr>
              <w:pStyle w:val="02Tabletext"/>
            </w:pPr>
            <w:r>
              <w:t xml:space="preserve">Healthy subjects using </w:t>
            </w:r>
            <w:r w:rsidRPr="005932E6">
              <w:t>antioxidant vitamin supplements</w:t>
            </w:r>
          </w:p>
        </w:tc>
        <w:tc>
          <w:tcPr>
            <w:tcW w:w="789" w:type="pct"/>
          </w:tcPr>
          <w:p w:rsidR="00A63D34" w:rsidRPr="003A35BE" w:rsidRDefault="00A63D34" w:rsidP="008767A4">
            <w:pPr>
              <w:pStyle w:val="02Tabletext"/>
              <w:keepNext w:val="0"/>
            </w:pPr>
            <w:r w:rsidRPr="00ED1FA1">
              <w:t>N=</w:t>
            </w:r>
            <w:r>
              <w:t>149</w:t>
            </w:r>
          </w:p>
          <w:p w:rsidR="00A63D34" w:rsidRPr="003A35BE" w:rsidRDefault="00A63D34" w:rsidP="008767A4">
            <w:pPr>
              <w:pStyle w:val="02Tabletext"/>
              <w:keepNext w:val="0"/>
            </w:pPr>
            <w:r>
              <w:t>Blister pack</w:t>
            </w:r>
          </w:p>
        </w:tc>
        <w:tc>
          <w:tcPr>
            <w:tcW w:w="591" w:type="pct"/>
          </w:tcPr>
          <w:p w:rsidR="00A63D34" w:rsidRPr="003A35BE" w:rsidRDefault="00A63D34" w:rsidP="008767A4">
            <w:pPr>
              <w:pStyle w:val="02Tabletext"/>
              <w:keepNext w:val="0"/>
            </w:pPr>
            <w:r w:rsidRPr="003A35BE">
              <w:t>N=</w:t>
            </w:r>
            <w:r>
              <w:t>148</w:t>
            </w:r>
          </w:p>
          <w:p w:rsidR="00A63D34" w:rsidRPr="003A35BE" w:rsidRDefault="00A63D34" w:rsidP="008767A4">
            <w:pPr>
              <w:pStyle w:val="02Tabletext"/>
              <w:keepNext w:val="0"/>
            </w:pPr>
            <w:r>
              <w:t>P</w:t>
            </w:r>
            <w:r w:rsidRPr="003A35BE">
              <w:t>ill organiser</w:t>
            </w:r>
          </w:p>
        </w:tc>
        <w:tc>
          <w:tcPr>
            <w:tcW w:w="815" w:type="pct"/>
          </w:tcPr>
          <w:p w:rsidR="00A63D34" w:rsidRDefault="00A63D34" w:rsidP="008767A4">
            <w:pPr>
              <w:pStyle w:val="02Tabletext"/>
              <w:keepNext w:val="0"/>
            </w:pPr>
            <w:r w:rsidRPr="002F4533">
              <w:t>Adherence outcome</w:t>
            </w:r>
            <w:r>
              <w:t>s</w:t>
            </w:r>
            <w:r w:rsidRPr="002F4533">
              <w:t xml:space="preserve">: </w:t>
            </w:r>
          </w:p>
          <w:p w:rsidR="00A63D34" w:rsidRDefault="00A63D34" w:rsidP="008767A4">
            <w:pPr>
              <w:pStyle w:val="06Tablebullet"/>
            </w:pPr>
            <w:r>
              <w:t>pill count</w:t>
            </w:r>
          </w:p>
          <w:p w:rsidR="00A63D34" w:rsidRDefault="00A63D34" w:rsidP="008767A4">
            <w:pPr>
              <w:pStyle w:val="06Tablebullet"/>
            </w:pPr>
            <w:r>
              <w:t>serum vitamin level</w:t>
            </w:r>
          </w:p>
          <w:p w:rsidR="00A63D34" w:rsidRDefault="00A63D34" w:rsidP="008767A4">
            <w:pPr>
              <w:pStyle w:val="06Tablebullet"/>
            </w:pPr>
            <w:r w:rsidRPr="002F4533">
              <w:t>self-report</w:t>
            </w:r>
          </w:p>
        </w:tc>
      </w:tr>
      <w:tr w:rsidR="00A63D34" w:rsidRPr="00947BF2" w:rsidTr="00E6729C">
        <w:tc>
          <w:tcPr>
            <w:tcW w:w="405" w:type="pct"/>
          </w:tcPr>
          <w:p w:rsidR="00A63D34" w:rsidRDefault="00A63D34" w:rsidP="008767A4">
            <w:pPr>
              <w:pStyle w:val="02Tabletext"/>
              <w:keepNext w:val="0"/>
            </w:pPr>
            <w:r>
              <w:t xml:space="preserve">Simmons </w:t>
            </w:r>
          </w:p>
          <w:p w:rsidR="00A63D34" w:rsidRDefault="00A63D34" w:rsidP="008767A4">
            <w:pPr>
              <w:pStyle w:val="02Tabletext"/>
              <w:keepNext w:val="0"/>
            </w:pPr>
            <w:r>
              <w:t>(2000)</w:t>
            </w:r>
          </w:p>
          <w:p w:rsidR="00A63D34" w:rsidRPr="005B2F15" w:rsidRDefault="00A63D34" w:rsidP="008767A4">
            <w:pPr>
              <w:pStyle w:val="03Tabletextspacebefore"/>
            </w:pPr>
            <w:r>
              <w:t>New Zealand</w:t>
            </w:r>
          </w:p>
        </w:tc>
        <w:tc>
          <w:tcPr>
            <w:tcW w:w="417" w:type="pct"/>
          </w:tcPr>
          <w:p w:rsidR="00A63D34" w:rsidRDefault="00A63D34" w:rsidP="008767A4">
            <w:pPr>
              <w:pStyle w:val="02Tabletext"/>
              <w:keepNext w:val="0"/>
            </w:pPr>
            <w:r>
              <w:t>RCT (N=68)</w:t>
            </w:r>
          </w:p>
          <w:p w:rsidR="00A63D34" w:rsidRDefault="00A63D34" w:rsidP="008767A4">
            <w:pPr>
              <w:pStyle w:val="03Tabletextspacebefore"/>
            </w:pPr>
            <w:r>
              <w:t>8 months</w:t>
            </w:r>
          </w:p>
          <w:p w:rsidR="00A63D34" w:rsidRPr="000859FB" w:rsidRDefault="0067595B" w:rsidP="008767A4">
            <w:pPr>
              <w:pStyle w:val="03Tabletextspacebefore"/>
            </w:pPr>
            <w:r>
              <w:rPr>
                <w:i/>
              </w:rPr>
              <w:t>Good quality</w:t>
            </w:r>
          </w:p>
        </w:tc>
        <w:tc>
          <w:tcPr>
            <w:tcW w:w="493" w:type="pct"/>
          </w:tcPr>
          <w:p w:rsidR="00A63D34" w:rsidRDefault="00A63D34" w:rsidP="008767A4">
            <w:pPr>
              <w:pStyle w:val="02Tabletext"/>
              <w:keepNext w:val="0"/>
            </w:pPr>
            <w:r>
              <w:t>Poorly controlled diabetes</w:t>
            </w:r>
          </w:p>
        </w:tc>
        <w:tc>
          <w:tcPr>
            <w:tcW w:w="592" w:type="pct"/>
          </w:tcPr>
          <w:p w:rsidR="00A63D34" w:rsidRPr="001A3DAC" w:rsidRDefault="00A63D34" w:rsidP="008767A4">
            <w:pPr>
              <w:pStyle w:val="03Tabletextspacebefore"/>
            </w:pPr>
            <w:r>
              <w:t>A</w:t>
            </w:r>
            <w:r w:rsidRPr="001A3DAC">
              <w:t>nti</w:t>
            </w:r>
            <w:r>
              <w:t>diabetic and anti</w:t>
            </w:r>
            <w:r w:rsidRPr="001A3DAC">
              <w:t>hypertensive medication</w:t>
            </w:r>
          </w:p>
        </w:tc>
        <w:tc>
          <w:tcPr>
            <w:tcW w:w="898" w:type="pct"/>
          </w:tcPr>
          <w:p w:rsidR="00A63D34" w:rsidRDefault="00A63D34" w:rsidP="008767A4">
            <w:pPr>
              <w:pStyle w:val="02Tabletext"/>
            </w:pPr>
            <w:r>
              <w:t xml:space="preserve">Diabetic patients with poorly controlled blood glucose levels, half of which were prescribed </w:t>
            </w:r>
            <w:r w:rsidRPr="001C1E78">
              <w:t>th</w:t>
            </w:r>
            <w:r>
              <w:t>ree or more medications per day</w:t>
            </w:r>
          </w:p>
        </w:tc>
        <w:tc>
          <w:tcPr>
            <w:tcW w:w="789" w:type="pct"/>
          </w:tcPr>
          <w:p w:rsidR="00A63D34" w:rsidRDefault="00A63D34" w:rsidP="008767A4">
            <w:pPr>
              <w:pStyle w:val="02Tabletext"/>
            </w:pPr>
            <w:r>
              <w:t>N=36</w:t>
            </w:r>
          </w:p>
          <w:p w:rsidR="00A63D34" w:rsidRDefault="00A63D34" w:rsidP="008767A4">
            <w:pPr>
              <w:pStyle w:val="02Tabletext"/>
            </w:pPr>
            <w:r>
              <w:t>Calendar blister package prepared at one pharmacy, marked with the days of the week and the time of dosage</w:t>
            </w:r>
          </w:p>
        </w:tc>
        <w:tc>
          <w:tcPr>
            <w:tcW w:w="591" w:type="pct"/>
          </w:tcPr>
          <w:p w:rsidR="00A63D34" w:rsidRDefault="00A63D34" w:rsidP="008767A4">
            <w:pPr>
              <w:pStyle w:val="02Tabletext"/>
              <w:keepNext w:val="0"/>
            </w:pPr>
            <w:r w:rsidRPr="00ED1FA1">
              <w:t>N=32</w:t>
            </w:r>
          </w:p>
          <w:p w:rsidR="00A63D34" w:rsidRDefault="00A63D34" w:rsidP="008767A4">
            <w:pPr>
              <w:pStyle w:val="02Tabletext"/>
              <w:keepNext w:val="0"/>
            </w:pPr>
            <w:r>
              <w:t>Original packaging</w:t>
            </w:r>
          </w:p>
        </w:tc>
        <w:tc>
          <w:tcPr>
            <w:tcW w:w="815" w:type="pct"/>
          </w:tcPr>
          <w:p w:rsidR="00A63D34" w:rsidRDefault="00A63D34" w:rsidP="008767A4">
            <w:pPr>
              <w:pStyle w:val="02Tabletext"/>
              <w:keepNext w:val="0"/>
            </w:pPr>
            <w:r>
              <w:t>Clinical outcomes (4, 8 mo):</w:t>
            </w:r>
          </w:p>
          <w:p w:rsidR="00A63D34" w:rsidRDefault="00A63D34" w:rsidP="008767A4">
            <w:pPr>
              <w:pStyle w:val="06Tablebullet"/>
            </w:pPr>
            <w:r>
              <w:t>dBP</w:t>
            </w:r>
          </w:p>
          <w:p w:rsidR="00A63D34" w:rsidRDefault="00A63D34" w:rsidP="008767A4">
            <w:pPr>
              <w:pStyle w:val="06Tablebullet"/>
            </w:pPr>
            <w:r>
              <w:t>sBP</w:t>
            </w:r>
          </w:p>
          <w:p w:rsidR="00A63D34" w:rsidRDefault="00A63D34" w:rsidP="008767A4">
            <w:pPr>
              <w:pStyle w:val="06Tablebullet"/>
            </w:pPr>
            <w:r>
              <w:t>HbA</w:t>
            </w:r>
            <w:r w:rsidRPr="009D5240">
              <w:rPr>
                <w:vertAlign w:val="subscript"/>
              </w:rPr>
              <w:t>1C</w:t>
            </w:r>
            <w:r>
              <w:t xml:space="preserve"> </w:t>
            </w:r>
          </w:p>
          <w:p w:rsidR="00A63D34" w:rsidRDefault="00A63D34" w:rsidP="008767A4">
            <w:pPr>
              <w:pStyle w:val="02Tabletext"/>
            </w:pPr>
            <w:r>
              <w:t>Humanistic outcome:</w:t>
            </w:r>
          </w:p>
          <w:p w:rsidR="00A63D34" w:rsidRDefault="00A63D34" w:rsidP="008767A4">
            <w:pPr>
              <w:pStyle w:val="06Tablebullet"/>
            </w:pPr>
            <w:r>
              <w:t>usability</w:t>
            </w:r>
          </w:p>
        </w:tc>
      </w:tr>
      <w:tr w:rsidR="00A63D34" w:rsidRPr="00947BF2" w:rsidTr="00E6729C">
        <w:trPr>
          <w:cnfStyle w:val="000000010000" w:firstRow="0" w:lastRow="0" w:firstColumn="0" w:lastColumn="0" w:oddVBand="0" w:evenVBand="0" w:oddHBand="0" w:evenHBand="1" w:firstRowFirstColumn="0" w:firstRowLastColumn="0" w:lastRowFirstColumn="0" w:lastRowLastColumn="0"/>
        </w:trPr>
        <w:tc>
          <w:tcPr>
            <w:tcW w:w="405" w:type="pct"/>
          </w:tcPr>
          <w:p w:rsidR="00A63D34" w:rsidRDefault="00A63D34" w:rsidP="008767A4">
            <w:pPr>
              <w:pStyle w:val="02Tabletext"/>
              <w:keepNext w:val="0"/>
            </w:pPr>
            <w:r>
              <w:lastRenderedPageBreak/>
              <w:t>Winland-Brown (2000)</w:t>
            </w:r>
          </w:p>
          <w:p w:rsidR="00A63D34" w:rsidRPr="005B2F15" w:rsidRDefault="00A63D34" w:rsidP="008767A4">
            <w:pPr>
              <w:pStyle w:val="03Tabletextspacebefore"/>
            </w:pPr>
            <w:r>
              <w:t>US</w:t>
            </w:r>
          </w:p>
        </w:tc>
        <w:tc>
          <w:tcPr>
            <w:tcW w:w="417" w:type="pct"/>
          </w:tcPr>
          <w:p w:rsidR="00A63D34" w:rsidRDefault="00A63D34" w:rsidP="008767A4">
            <w:pPr>
              <w:pStyle w:val="02Tabletext"/>
            </w:pPr>
            <w:r>
              <w:t>RCT (N=61)</w:t>
            </w:r>
          </w:p>
          <w:p w:rsidR="00A63D34" w:rsidRDefault="00A63D34" w:rsidP="008767A4">
            <w:pPr>
              <w:pStyle w:val="03Tabletextspacebefore"/>
            </w:pPr>
            <w:r>
              <w:t>6 months</w:t>
            </w:r>
          </w:p>
          <w:p w:rsidR="00A63D34" w:rsidRPr="000859FB" w:rsidRDefault="0067595B" w:rsidP="008767A4">
            <w:pPr>
              <w:pStyle w:val="03Tabletextspacebefore"/>
            </w:pPr>
            <w:r>
              <w:rPr>
                <w:i/>
              </w:rPr>
              <w:t>Poor quality</w:t>
            </w:r>
          </w:p>
        </w:tc>
        <w:tc>
          <w:tcPr>
            <w:tcW w:w="493" w:type="pct"/>
          </w:tcPr>
          <w:p w:rsidR="00A63D34" w:rsidRDefault="00A63D34" w:rsidP="008767A4">
            <w:pPr>
              <w:pStyle w:val="02Tabletext"/>
              <w:keepNext w:val="0"/>
            </w:pPr>
            <w:r>
              <w:t>Any chronic condition</w:t>
            </w:r>
            <w:r w:rsidR="00FD0389">
              <w:t xml:space="preserve"> with medication mismanagement</w:t>
            </w:r>
          </w:p>
        </w:tc>
        <w:tc>
          <w:tcPr>
            <w:tcW w:w="592" w:type="pct"/>
          </w:tcPr>
          <w:p w:rsidR="00A63D34" w:rsidRDefault="00A63D34" w:rsidP="008767A4">
            <w:pPr>
              <w:pStyle w:val="02Tabletext"/>
              <w:keepNext w:val="0"/>
            </w:pPr>
            <w:r>
              <w:t>Any long-term medication</w:t>
            </w:r>
          </w:p>
        </w:tc>
        <w:tc>
          <w:tcPr>
            <w:tcW w:w="898" w:type="pct"/>
          </w:tcPr>
          <w:p w:rsidR="00A63D34" w:rsidRDefault="00A63D34" w:rsidP="008767A4">
            <w:pPr>
              <w:pStyle w:val="02Tabletext"/>
              <w:keepNext w:val="0"/>
            </w:pPr>
            <w:r>
              <w:t>Elderly patients who had a mismanagement episode, and were hospitalised for medication non-adherence or an illness in which therapeutic accuracy was necessary for its management</w:t>
            </w:r>
          </w:p>
        </w:tc>
        <w:tc>
          <w:tcPr>
            <w:tcW w:w="789" w:type="pct"/>
          </w:tcPr>
          <w:p w:rsidR="00A63D34" w:rsidRDefault="00A63D34" w:rsidP="008767A4">
            <w:pPr>
              <w:pStyle w:val="02Tabletext"/>
            </w:pPr>
            <w:r>
              <w:t>N=16</w:t>
            </w:r>
          </w:p>
          <w:p w:rsidR="00A63D34" w:rsidRDefault="00A63D34" w:rsidP="00D47C6E">
            <w:pPr>
              <w:pStyle w:val="02Tabletext"/>
            </w:pPr>
            <w:r>
              <w:t>Pillbox, pharmacy-filled on weekly basis, marked with the days of the week in which individual doses were stored</w:t>
            </w:r>
            <w:r w:rsidR="00D47C6E">
              <w:t>.</w:t>
            </w:r>
          </w:p>
        </w:tc>
        <w:tc>
          <w:tcPr>
            <w:tcW w:w="591" w:type="pct"/>
          </w:tcPr>
          <w:p w:rsidR="00A63D34" w:rsidRPr="002B6D89" w:rsidRDefault="00A63D34" w:rsidP="008767A4">
            <w:pPr>
              <w:pStyle w:val="02Tabletext"/>
            </w:pPr>
            <w:r w:rsidRPr="002B6D89">
              <w:t>N=21</w:t>
            </w:r>
          </w:p>
          <w:p w:rsidR="00A63D34" w:rsidRPr="006B4849" w:rsidRDefault="00A63D34" w:rsidP="008767A4">
            <w:pPr>
              <w:pStyle w:val="02Tabletext"/>
            </w:pPr>
            <w:r w:rsidRPr="002B6D89">
              <w:t>Standard medicine vial</w:t>
            </w:r>
          </w:p>
        </w:tc>
        <w:tc>
          <w:tcPr>
            <w:tcW w:w="815" w:type="pct"/>
          </w:tcPr>
          <w:p w:rsidR="00A63D34" w:rsidRDefault="00A63D34" w:rsidP="008767A4">
            <w:pPr>
              <w:pStyle w:val="02Tabletext"/>
            </w:pPr>
            <w:r>
              <w:t>Adherence outcomes:</w:t>
            </w:r>
          </w:p>
          <w:p w:rsidR="00A63D34" w:rsidRDefault="00A63D34" w:rsidP="008767A4">
            <w:pPr>
              <w:pStyle w:val="06Tablebullet"/>
            </w:pPr>
            <w:r>
              <w:t>pill count (missed doses)</w:t>
            </w:r>
          </w:p>
          <w:p w:rsidR="00A63D34" w:rsidRDefault="00A63D34" w:rsidP="008767A4">
            <w:pPr>
              <w:pStyle w:val="02Tabletext"/>
            </w:pPr>
            <w:r>
              <w:t>Health care resource use:</w:t>
            </w:r>
          </w:p>
          <w:p w:rsidR="00A63D34" w:rsidRDefault="00A63D34" w:rsidP="008767A4">
            <w:pPr>
              <w:pStyle w:val="06Tablebullet"/>
            </w:pPr>
            <w:r>
              <w:t>hospital admissions</w:t>
            </w:r>
          </w:p>
          <w:p w:rsidR="00A63D34" w:rsidRDefault="00A63D34" w:rsidP="008767A4">
            <w:pPr>
              <w:pStyle w:val="06Tablebullet"/>
            </w:pPr>
            <w:r>
              <w:t>home health visits</w:t>
            </w:r>
          </w:p>
        </w:tc>
      </w:tr>
      <w:tr w:rsidR="00A63D34" w:rsidRPr="00947BF2" w:rsidTr="00E6729C">
        <w:tc>
          <w:tcPr>
            <w:tcW w:w="405" w:type="pct"/>
          </w:tcPr>
          <w:p w:rsidR="00A63D34" w:rsidRDefault="00A63D34" w:rsidP="008767A4">
            <w:pPr>
              <w:pStyle w:val="02Tabletext"/>
            </w:pPr>
            <w:r>
              <w:t>Skaer (1993a)</w:t>
            </w:r>
          </w:p>
          <w:p w:rsidR="00A63D34" w:rsidRDefault="00A63D34" w:rsidP="008767A4">
            <w:pPr>
              <w:pStyle w:val="03Tabletextspacebefore"/>
            </w:pPr>
            <w:r>
              <w:t>US</w:t>
            </w:r>
          </w:p>
        </w:tc>
        <w:tc>
          <w:tcPr>
            <w:tcW w:w="417" w:type="pct"/>
          </w:tcPr>
          <w:p w:rsidR="00A63D34" w:rsidRDefault="00A63D34" w:rsidP="008767A4">
            <w:pPr>
              <w:pStyle w:val="02Tabletext"/>
              <w:keepNext w:val="0"/>
            </w:pPr>
            <w:r>
              <w:t>RCT (N=304)</w:t>
            </w:r>
          </w:p>
          <w:p w:rsidR="00A63D34" w:rsidRDefault="00A63D34" w:rsidP="008767A4">
            <w:pPr>
              <w:pStyle w:val="03Tabletextspacebefore"/>
            </w:pPr>
            <w:r>
              <w:t>12 months</w:t>
            </w:r>
          </w:p>
          <w:p w:rsidR="00A63D34" w:rsidRPr="000859FB" w:rsidRDefault="0067595B" w:rsidP="008767A4">
            <w:pPr>
              <w:pStyle w:val="03Tabletextspacebefore"/>
            </w:pPr>
            <w:r>
              <w:rPr>
                <w:i/>
              </w:rPr>
              <w:t>Poor quality</w:t>
            </w:r>
          </w:p>
        </w:tc>
        <w:tc>
          <w:tcPr>
            <w:tcW w:w="493" w:type="pct"/>
          </w:tcPr>
          <w:p w:rsidR="00A63D34" w:rsidRDefault="00A63D34" w:rsidP="008767A4">
            <w:pPr>
              <w:pStyle w:val="02Tabletext"/>
              <w:keepNext w:val="0"/>
            </w:pPr>
            <w:r>
              <w:t>Hypertension</w:t>
            </w:r>
          </w:p>
        </w:tc>
        <w:tc>
          <w:tcPr>
            <w:tcW w:w="592" w:type="pct"/>
          </w:tcPr>
          <w:p w:rsidR="00A63D34" w:rsidRDefault="00A63D34" w:rsidP="008767A4">
            <w:pPr>
              <w:pStyle w:val="02Tabletext"/>
              <w:keepNext w:val="0"/>
            </w:pPr>
            <w:r w:rsidRPr="002139E3">
              <w:t>Verapamil</w:t>
            </w:r>
          </w:p>
        </w:tc>
        <w:tc>
          <w:tcPr>
            <w:tcW w:w="898" w:type="pct"/>
          </w:tcPr>
          <w:p w:rsidR="00A63D34" w:rsidRDefault="00A63D34" w:rsidP="008767A4">
            <w:pPr>
              <w:pStyle w:val="02Tabletext"/>
              <w:keepNext w:val="0"/>
            </w:pPr>
            <w:r w:rsidRPr="00BB0618">
              <w:t>Medicaid beneficia</w:t>
            </w:r>
            <w:r>
              <w:t xml:space="preserve">ries &lt;65 years old with untreated </w:t>
            </w:r>
            <w:r w:rsidRPr="00BB0618">
              <w:t>hypertension, prescribed calcium channel antagonist verapamil once daily</w:t>
            </w:r>
          </w:p>
        </w:tc>
        <w:tc>
          <w:tcPr>
            <w:tcW w:w="789" w:type="pct"/>
          </w:tcPr>
          <w:p w:rsidR="00A63D34" w:rsidRDefault="00A63D34" w:rsidP="008767A4">
            <w:pPr>
              <w:pStyle w:val="02Tabletext"/>
              <w:keepNext w:val="0"/>
            </w:pPr>
            <w:r>
              <w:t>N=85</w:t>
            </w:r>
          </w:p>
          <w:p w:rsidR="00A63D34" w:rsidRDefault="00A63D34" w:rsidP="008767A4">
            <w:pPr>
              <w:pStyle w:val="02Tabletext"/>
              <w:keepNext w:val="0"/>
            </w:pPr>
            <w:r>
              <w:t xml:space="preserve">Unit-of-use packaging, pharmacy-filled </w:t>
            </w:r>
          </w:p>
        </w:tc>
        <w:tc>
          <w:tcPr>
            <w:tcW w:w="591" w:type="pct"/>
          </w:tcPr>
          <w:p w:rsidR="00A63D34" w:rsidRPr="001460FE" w:rsidRDefault="00A63D34" w:rsidP="008767A4">
            <w:pPr>
              <w:pStyle w:val="Tabletext"/>
              <w:rPr>
                <w:rStyle w:val="02TabletextChar"/>
              </w:rPr>
            </w:pPr>
            <w:r w:rsidRPr="001460FE">
              <w:rPr>
                <w:rStyle w:val="02TabletextChar"/>
              </w:rPr>
              <w:t>N=78</w:t>
            </w:r>
          </w:p>
          <w:p w:rsidR="00A63D34" w:rsidRPr="006A37D4" w:rsidRDefault="00A63D34" w:rsidP="008767A4">
            <w:pPr>
              <w:pStyle w:val="Tabletext"/>
              <w:rPr>
                <w:rStyle w:val="02TabletextChar"/>
              </w:rPr>
            </w:pPr>
            <w:r w:rsidRPr="001460FE">
              <w:rPr>
                <w:rStyle w:val="02TabletextChar"/>
              </w:rPr>
              <w:t>Standard medicine vial</w:t>
            </w:r>
          </w:p>
        </w:tc>
        <w:tc>
          <w:tcPr>
            <w:tcW w:w="815" w:type="pct"/>
          </w:tcPr>
          <w:p w:rsidR="00A63D34" w:rsidRDefault="00A63D34" w:rsidP="008767A4">
            <w:pPr>
              <w:pStyle w:val="Tabletext"/>
            </w:pPr>
            <w:r w:rsidRPr="006A37D4">
              <w:rPr>
                <w:rStyle w:val="02TabletextChar"/>
              </w:rPr>
              <w:t>Adherence outcome</w:t>
            </w:r>
            <w:r>
              <w:t>:</w:t>
            </w:r>
          </w:p>
          <w:p w:rsidR="00A63D34" w:rsidRPr="00A02350" w:rsidRDefault="00A63D34" w:rsidP="008767A4">
            <w:pPr>
              <w:pStyle w:val="06Tablebullet"/>
            </w:pPr>
            <w:r w:rsidRPr="006A37D4">
              <w:t>MPR</w:t>
            </w:r>
            <w:r>
              <w:t xml:space="preserve"> </w:t>
            </w:r>
            <w:r>
              <w:rPr>
                <w:vertAlign w:val="superscript"/>
              </w:rPr>
              <w:t>e</w:t>
            </w:r>
          </w:p>
          <w:p w:rsidR="00A63D34" w:rsidRDefault="00A63D34" w:rsidP="008767A4">
            <w:pPr>
              <w:pStyle w:val="02Tabletext"/>
            </w:pPr>
            <w:r>
              <w:t xml:space="preserve">Health care resource use: </w:t>
            </w:r>
          </w:p>
          <w:p w:rsidR="00A63D34" w:rsidRDefault="00A63D34" w:rsidP="008767A4">
            <w:pPr>
              <w:pStyle w:val="06Tablebullet"/>
            </w:pPr>
            <w:r>
              <w:t>costs of prescriptions, lab, physician visits, hospitalisations</w:t>
            </w:r>
          </w:p>
        </w:tc>
      </w:tr>
      <w:tr w:rsidR="00A63D34" w:rsidRPr="00947BF2" w:rsidTr="00E6729C">
        <w:trPr>
          <w:cnfStyle w:val="000000010000" w:firstRow="0" w:lastRow="0" w:firstColumn="0" w:lastColumn="0" w:oddVBand="0" w:evenVBand="0" w:oddHBand="0" w:evenHBand="1" w:firstRowFirstColumn="0" w:firstRowLastColumn="0" w:lastRowFirstColumn="0" w:lastRowLastColumn="0"/>
        </w:trPr>
        <w:tc>
          <w:tcPr>
            <w:tcW w:w="405" w:type="pct"/>
          </w:tcPr>
          <w:p w:rsidR="00A63D34" w:rsidRDefault="00A63D34" w:rsidP="008767A4">
            <w:pPr>
              <w:pStyle w:val="02Tabletext"/>
              <w:keepNext w:val="0"/>
            </w:pPr>
            <w:r>
              <w:t>Skaer (</w:t>
            </w:r>
            <w:r w:rsidRPr="00EB0ED1">
              <w:t>NIDDM</w:t>
            </w:r>
            <w:r>
              <w:t>) (1993b)</w:t>
            </w:r>
          </w:p>
          <w:p w:rsidR="00A63D34" w:rsidRPr="005B2F15" w:rsidRDefault="00A63D34" w:rsidP="008767A4">
            <w:pPr>
              <w:pStyle w:val="03Tabletextspacebefore"/>
            </w:pPr>
            <w:r>
              <w:t>US</w:t>
            </w:r>
          </w:p>
        </w:tc>
        <w:tc>
          <w:tcPr>
            <w:tcW w:w="417" w:type="pct"/>
          </w:tcPr>
          <w:p w:rsidR="00A63D34" w:rsidRDefault="00A63D34" w:rsidP="008767A4">
            <w:pPr>
              <w:pStyle w:val="02Tabletext"/>
              <w:keepNext w:val="0"/>
            </w:pPr>
            <w:r>
              <w:t>RCT (N=258)</w:t>
            </w:r>
          </w:p>
          <w:p w:rsidR="00A63D34" w:rsidRDefault="00A63D34" w:rsidP="008767A4">
            <w:pPr>
              <w:pStyle w:val="03Tabletextspacebefore"/>
            </w:pPr>
            <w:r>
              <w:t>12 months</w:t>
            </w:r>
          </w:p>
          <w:p w:rsidR="00A63D34" w:rsidRPr="000859FB" w:rsidRDefault="0067595B" w:rsidP="008767A4">
            <w:pPr>
              <w:pStyle w:val="03Tabletextspacebefore"/>
            </w:pPr>
            <w:r>
              <w:rPr>
                <w:i/>
              </w:rPr>
              <w:t>Poor quality</w:t>
            </w:r>
          </w:p>
        </w:tc>
        <w:tc>
          <w:tcPr>
            <w:tcW w:w="493" w:type="pct"/>
          </w:tcPr>
          <w:p w:rsidR="00A63D34" w:rsidRDefault="00A63D34" w:rsidP="008767A4">
            <w:pPr>
              <w:pStyle w:val="02Tabletext"/>
              <w:keepNext w:val="0"/>
            </w:pPr>
            <w:r>
              <w:t>Type 2 diabetes</w:t>
            </w:r>
          </w:p>
        </w:tc>
        <w:tc>
          <w:tcPr>
            <w:tcW w:w="592" w:type="pct"/>
          </w:tcPr>
          <w:p w:rsidR="00A63D34" w:rsidRDefault="00A63D34" w:rsidP="008767A4">
            <w:pPr>
              <w:pStyle w:val="02Tabletext"/>
              <w:keepNext w:val="0"/>
            </w:pPr>
            <w:r w:rsidRPr="002139E3">
              <w:t>Glyburide</w:t>
            </w:r>
          </w:p>
        </w:tc>
        <w:tc>
          <w:tcPr>
            <w:tcW w:w="898" w:type="pct"/>
          </w:tcPr>
          <w:p w:rsidR="00A63D34" w:rsidRDefault="00A63D34" w:rsidP="008767A4">
            <w:pPr>
              <w:pStyle w:val="02Tabletext"/>
            </w:pPr>
            <w:r w:rsidRPr="00EB0FDD">
              <w:t>Medica</w:t>
            </w:r>
            <w:r>
              <w:t xml:space="preserve">id beneficiaries &lt;65 years old  prescribed </w:t>
            </w:r>
            <w:r w:rsidRPr="00EB0FDD">
              <w:t>sul</w:t>
            </w:r>
            <w:r>
              <w:t>fonylurea glyburide twice daily for Type 2 diabetes</w:t>
            </w:r>
          </w:p>
        </w:tc>
        <w:tc>
          <w:tcPr>
            <w:tcW w:w="789" w:type="pct"/>
          </w:tcPr>
          <w:p w:rsidR="00A63D34" w:rsidRDefault="00A63D34" w:rsidP="008767A4">
            <w:pPr>
              <w:pStyle w:val="02Tabletext"/>
              <w:keepNext w:val="0"/>
            </w:pPr>
            <w:r>
              <w:t>N=53</w:t>
            </w:r>
          </w:p>
          <w:p w:rsidR="00A63D34" w:rsidRPr="006D5656" w:rsidRDefault="00A63D34" w:rsidP="008767A4">
            <w:pPr>
              <w:pStyle w:val="02Tabletext"/>
              <w:keepNext w:val="0"/>
            </w:pPr>
            <w:r>
              <w:t>Unit-of-use packaging, pharmacy-filled</w:t>
            </w:r>
          </w:p>
        </w:tc>
        <w:tc>
          <w:tcPr>
            <w:tcW w:w="591" w:type="pct"/>
          </w:tcPr>
          <w:p w:rsidR="00A63D34" w:rsidRPr="001460FE" w:rsidRDefault="00A63D34" w:rsidP="008767A4">
            <w:pPr>
              <w:pStyle w:val="02Tabletext"/>
              <w:keepNext w:val="0"/>
            </w:pPr>
            <w:r w:rsidRPr="001460FE">
              <w:t>N=78</w:t>
            </w:r>
          </w:p>
          <w:p w:rsidR="00A63D34" w:rsidRPr="001460FE" w:rsidRDefault="00A63D34" w:rsidP="008767A4">
            <w:pPr>
              <w:pStyle w:val="02Tabletext"/>
              <w:keepNext w:val="0"/>
            </w:pPr>
            <w:r w:rsidRPr="001460FE">
              <w:t>Standard medicine vial</w:t>
            </w:r>
          </w:p>
        </w:tc>
        <w:tc>
          <w:tcPr>
            <w:tcW w:w="815" w:type="pct"/>
          </w:tcPr>
          <w:p w:rsidR="00A63D34" w:rsidRDefault="00A63D34" w:rsidP="008767A4">
            <w:pPr>
              <w:pStyle w:val="02Tabletext"/>
              <w:keepNext w:val="0"/>
            </w:pPr>
            <w:r>
              <w:t xml:space="preserve">Adherence outcome: </w:t>
            </w:r>
          </w:p>
          <w:p w:rsidR="00A63D34" w:rsidRPr="00A02350" w:rsidRDefault="00A63D34" w:rsidP="008767A4">
            <w:pPr>
              <w:pStyle w:val="06Tablebullet"/>
            </w:pPr>
            <w:r>
              <w:t>MPR</w:t>
            </w:r>
            <w:r>
              <w:rPr>
                <w:vertAlign w:val="superscript"/>
              </w:rPr>
              <w:t>e</w:t>
            </w:r>
          </w:p>
          <w:p w:rsidR="00A63D34" w:rsidRDefault="00A63D34" w:rsidP="008767A4">
            <w:pPr>
              <w:pStyle w:val="02Tabletext"/>
            </w:pPr>
            <w:r>
              <w:t xml:space="preserve">Health care resource use: </w:t>
            </w:r>
          </w:p>
          <w:p w:rsidR="00A63D34" w:rsidRDefault="00A63D34" w:rsidP="008767A4">
            <w:pPr>
              <w:pStyle w:val="06Tablebullet"/>
            </w:pPr>
            <w:r>
              <w:t>costs of prescriptions, lab, physician visits, hospitalisations</w:t>
            </w:r>
          </w:p>
        </w:tc>
      </w:tr>
      <w:tr w:rsidR="00A63D34" w:rsidRPr="00947BF2" w:rsidTr="00E6729C">
        <w:tc>
          <w:tcPr>
            <w:tcW w:w="405" w:type="pct"/>
          </w:tcPr>
          <w:p w:rsidR="00A63D34" w:rsidRDefault="00A63D34" w:rsidP="008767A4">
            <w:pPr>
              <w:pStyle w:val="02Tabletext"/>
              <w:keepNext w:val="0"/>
            </w:pPr>
            <w:r>
              <w:t>Becker (1986)</w:t>
            </w:r>
          </w:p>
          <w:p w:rsidR="00A63D34" w:rsidRPr="005B2F15" w:rsidRDefault="00A63D34" w:rsidP="008767A4">
            <w:pPr>
              <w:pStyle w:val="03Tabletextspacebefore"/>
            </w:pPr>
            <w:r>
              <w:t>US</w:t>
            </w:r>
          </w:p>
        </w:tc>
        <w:tc>
          <w:tcPr>
            <w:tcW w:w="417" w:type="pct"/>
          </w:tcPr>
          <w:p w:rsidR="00A63D34" w:rsidRDefault="00A63D34" w:rsidP="008767A4">
            <w:pPr>
              <w:pStyle w:val="02Tabletext"/>
              <w:keepNext w:val="0"/>
            </w:pPr>
            <w:r>
              <w:t>RCT (N=180)</w:t>
            </w:r>
          </w:p>
          <w:p w:rsidR="00A63D34" w:rsidRDefault="00A63D34" w:rsidP="008767A4">
            <w:pPr>
              <w:pStyle w:val="03Tabletextspacebefore"/>
            </w:pPr>
            <w:r>
              <w:t>12 months</w:t>
            </w:r>
          </w:p>
          <w:p w:rsidR="00A63D34" w:rsidRPr="000859FB" w:rsidRDefault="0067595B" w:rsidP="008767A4">
            <w:pPr>
              <w:pStyle w:val="03Tabletextspacebefore"/>
            </w:pPr>
            <w:r>
              <w:rPr>
                <w:i/>
              </w:rPr>
              <w:t>Poor quality</w:t>
            </w:r>
          </w:p>
        </w:tc>
        <w:tc>
          <w:tcPr>
            <w:tcW w:w="493" w:type="pct"/>
          </w:tcPr>
          <w:p w:rsidR="00A63D34" w:rsidRDefault="00A63D34" w:rsidP="008767A4">
            <w:pPr>
              <w:pStyle w:val="02Tabletext"/>
              <w:keepNext w:val="0"/>
            </w:pPr>
            <w:r>
              <w:t>Poorly controlled diastolic hypertension</w:t>
            </w:r>
          </w:p>
        </w:tc>
        <w:tc>
          <w:tcPr>
            <w:tcW w:w="592" w:type="pct"/>
          </w:tcPr>
          <w:p w:rsidR="00A63D34" w:rsidRDefault="00A63D34" w:rsidP="008767A4">
            <w:pPr>
              <w:pStyle w:val="02Tabletext"/>
              <w:keepNext w:val="0"/>
            </w:pPr>
            <w:r w:rsidRPr="002139E3">
              <w:t>Any anti</w:t>
            </w:r>
            <w:r>
              <w:t>-</w:t>
            </w:r>
            <w:r w:rsidRPr="002139E3">
              <w:t>hypertensive</w:t>
            </w:r>
          </w:p>
        </w:tc>
        <w:tc>
          <w:tcPr>
            <w:tcW w:w="898" w:type="pct"/>
          </w:tcPr>
          <w:p w:rsidR="00A63D34" w:rsidRDefault="00A63D34" w:rsidP="008767A4">
            <w:pPr>
              <w:pStyle w:val="02Tabletext"/>
            </w:pPr>
            <w:r>
              <w:t>Patients with poorly controlled diastolic hypertension (elevated BP &gt;90 mmHg)</w:t>
            </w:r>
          </w:p>
        </w:tc>
        <w:tc>
          <w:tcPr>
            <w:tcW w:w="789" w:type="pct"/>
          </w:tcPr>
          <w:p w:rsidR="00A63D34" w:rsidRDefault="00A63D34" w:rsidP="008767A4">
            <w:pPr>
              <w:pStyle w:val="02Tabletext"/>
              <w:keepNext w:val="0"/>
            </w:pPr>
            <w:r>
              <w:t>N=86</w:t>
            </w:r>
          </w:p>
          <w:p w:rsidR="00A63D34" w:rsidRDefault="00A63D34" w:rsidP="008767A4">
            <w:pPr>
              <w:pStyle w:val="02Tabletext"/>
            </w:pPr>
            <w:r>
              <w:t>Foil-backed blister packaging with 28 doses of medication marked with the days of the week</w:t>
            </w:r>
          </w:p>
        </w:tc>
        <w:tc>
          <w:tcPr>
            <w:tcW w:w="591" w:type="pct"/>
          </w:tcPr>
          <w:p w:rsidR="00A63D34" w:rsidRDefault="00A63D34" w:rsidP="008767A4">
            <w:pPr>
              <w:pStyle w:val="02Tabletext"/>
              <w:keepNext w:val="0"/>
            </w:pPr>
            <w:r w:rsidRPr="00446AFF">
              <w:t>N=94</w:t>
            </w:r>
          </w:p>
          <w:p w:rsidR="00A63D34" w:rsidRDefault="00A63D34" w:rsidP="008767A4">
            <w:pPr>
              <w:pStyle w:val="02Tabletext"/>
              <w:keepNext w:val="0"/>
            </w:pPr>
            <w:r>
              <w:t>Standard medicine vial</w:t>
            </w:r>
          </w:p>
        </w:tc>
        <w:tc>
          <w:tcPr>
            <w:tcW w:w="815" w:type="pct"/>
          </w:tcPr>
          <w:p w:rsidR="00A63D34" w:rsidRDefault="00A63D34" w:rsidP="008767A4">
            <w:pPr>
              <w:pStyle w:val="02Tabletext"/>
              <w:keepNext w:val="0"/>
            </w:pPr>
            <w:r>
              <w:t>Adherence outcomes:</w:t>
            </w:r>
          </w:p>
          <w:p w:rsidR="00A63D34" w:rsidRDefault="00A63D34" w:rsidP="008767A4">
            <w:pPr>
              <w:pStyle w:val="06Tablebullet"/>
            </w:pPr>
            <w:r>
              <w:t>pill count</w:t>
            </w:r>
          </w:p>
          <w:p w:rsidR="00A63D34" w:rsidRDefault="00A63D34" w:rsidP="008767A4">
            <w:pPr>
              <w:pStyle w:val="06Tablebullet"/>
            </w:pPr>
            <w:r>
              <w:t>self-report</w:t>
            </w:r>
          </w:p>
          <w:p w:rsidR="00A63D34" w:rsidRDefault="00A63D34" w:rsidP="008767A4">
            <w:pPr>
              <w:pStyle w:val="02Tabletext"/>
            </w:pPr>
            <w:r>
              <w:t xml:space="preserve">Clinical outcome: </w:t>
            </w:r>
          </w:p>
          <w:p w:rsidR="00A63D34" w:rsidRDefault="00A63D34" w:rsidP="008767A4">
            <w:pPr>
              <w:pStyle w:val="06Tablebullet"/>
            </w:pPr>
            <w:r>
              <w:t>dBP</w:t>
            </w:r>
          </w:p>
        </w:tc>
      </w:tr>
    </w:tbl>
    <w:p w:rsidR="00A63D34" w:rsidRDefault="00A63D34" w:rsidP="00A63D34">
      <w:pPr>
        <w:pStyle w:val="08Tablefootnotes"/>
      </w:pPr>
      <w:r>
        <w:t>Abbreviations: BP, blood pressure; d, day/s; dBP, diastolic blood pressure; HBA</w:t>
      </w:r>
      <w:r w:rsidRPr="00527B53">
        <w:rPr>
          <w:vertAlign w:val="subscript"/>
        </w:rPr>
        <w:t>1c</w:t>
      </w:r>
      <w:r>
        <w:rPr>
          <w:vertAlign w:val="subscript"/>
        </w:rPr>
        <w:t xml:space="preserve">, </w:t>
      </w:r>
      <w:r>
        <w:t>glycated haemoglobin;</w:t>
      </w:r>
      <w:r w:rsidRPr="00527B53">
        <w:t xml:space="preserve"> </w:t>
      </w:r>
      <w:r>
        <w:t xml:space="preserve">INR, </w:t>
      </w:r>
      <w:r w:rsidRPr="00527B53">
        <w:t>inte</w:t>
      </w:r>
      <w:r>
        <w:t>rnational normalised ratio;</w:t>
      </w:r>
      <w:r w:rsidRPr="00527B53">
        <w:t xml:space="preserve"> </w:t>
      </w:r>
      <w:r>
        <w:rPr>
          <w:vertAlign w:val="subscript"/>
        </w:rPr>
        <w:t xml:space="preserve"> </w:t>
      </w:r>
      <w:r>
        <w:t xml:space="preserve"> mo, month/s; MPR, medication possession ratio; </w:t>
      </w:r>
      <w:r w:rsidRPr="00727F55">
        <w:t>nd, not disclosed</w:t>
      </w:r>
      <w:r>
        <w:t>;</w:t>
      </w:r>
      <w:r w:rsidRPr="00727F55">
        <w:t xml:space="preserve"> </w:t>
      </w:r>
      <w:r>
        <w:t>NIDDM, non-insulin dependent diabetes mellitus; RCT, randomised controlled trial; sBP, systolic blood pressure; TTR, time in therapeutic range;</w:t>
      </w:r>
      <w:r w:rsidRPr="00527B53">
        <w:t xml:space="preserve"> </w:t>
      </w:r>
      <w:r>
        <w:t>US, United States; VITAL, Vitamins, Teachers, and Longevity.</w:t>
      </w:r>
      <w:r w:rsidRPr="00432976">
        <w:t xml:space="preserve"> a TTR &lt;60% was calculated using linear interpolation between available INR measures for each of the follow-up periods (3-6, 6-9, and 9-12 months).</w:t>
      </w:r>
    </w:p>
    <w:p w:rsidR="00A63D34" w:rsidRDefault="00A63D34" w:rsidP="00A63D34">
      <w:pPr>
        <w:keepNext/>
        <w:spacing w:after="0"/>
        <w:rPr>
          <w:sz w:val="16"/>
          <w:szCs w:val="16"/>
        </w:rPr>
      </w:pPr>
      <w:r w:rsidRPr="00115A8E">
        <w:rPr>
          <w:b/>
          <w:sz w:val="16"/>
          <w:szCs w:val="16"/>
        </w:rPr>
        <w:t>a</w:t>
      </w:r>
      <w:r w:rsidRPr="00E87B49">
        <w:rPr>
          <w:sz w:val="16"/>
          <w:szCs w:val="16"/>
        </w:rPr>
        <w:t xml:space="preserve"> </w:t>
      </w:r>
      <w:r>
        <w:rPr>
          <w:sz w:val="16"/>
          <w:szCs w:val="16"/>
        </w:rPr>
        <w:t>In this observational study, the number of patients reflects the 9- to 12-month time</w:t>
      </w:r>
      <w:r w:rsidR="00C2042E">
        <w:rPr>
          <w:sz w:val="16"/>
          <w:szCs w:val="16"/>
        </w:rPr>
        <w:t xml:space="preserve"> </w:t>
      </w:r>
      <w:r>
        <w:rPr>
          <w:sz w:val="16"/>
          <w:szCs w:val="16"/>
        </w:rPr>
        <w:t>point. The publication does not report the number in each group at baseline.</w:t>
      </w:r>
    </w:p>
    <w:p w:rsidR="00A63D34" w:rsidRDefault="00A63D34" w:rsidP="00A63D34">
      <w:pPr>
        <w:keepNext/>
        <w:spacing w:after="0"/>
        <w:rPr>
          <w:sz w:val="16"/>
          <w:szCs w:val="16"/>
        </w:rPr>
      </w:pPr>
      <w:r w:rsidRPr="00115A8E">
        <w:rPr>
          <w:b/>
          <w:sz w:val="16"/>
          <w:szCs w:val="16"/>
        </w:rPr>
        <w:t>b</w:t>
      </w:r>
      <w:r>
        <w:rPr>
          <w:sz w:val="16"/>
          <w:szCs w:val="16"/>
        </w:rPr>
        <w:t xml:space="preserve"> </w:t>
      </w:r>
      <w:r w:rsidRPr="00E87B49">
        <w:rPr>
          <w:sz w:val="16"/>
          <w:szCs w:val="16"/>
        </w:rPr>
        <w:t>TTR &lt;60% was calculated using linear interpolation between available INR measures for each of the follow-up periods (3-6, 6-9, and 9-12 months).</w:t>
      </w:r>
    </w:p>
    <w:p w:rsidR="00A63D34" w:rsidRPr="00432976" w:rsidRDefault="00A63D34" w:rsidP="00A63D34">
      <w:pPr>
        <w:keepNext/>
        <w:spacing w:after="0"/>
        <w:rPr>
          <w:sz w:val="16"/>
          <w:szCs w:val="16"/>
        </w:rPr>
      </w:pPr>
      <w:r>
        <w:rPr>
          <w:b/>
          <w:sz w:val="16"/>
          <w:szCs w:val="16"/>
        </w:rPr>
        <w:t>c</w:t>
      </w:r>
      <w:r w:rsidRPr="00432976">
        <w:rPr>
          <w:sz w:val="16"/>
          <w:szCs w:val="16"/>
        </w:rPr>
        <w:t xml:space="preserve"> MPR was calculated as the ratio of days</w:t>
      </w:r>
      <w:r>
        <w:rPr>
          <w:sz w:val="16"/>
          <w:szCs w:val="16"/>
        </w:rPr>
        <w:t>’</w:t>
      </w:r>
      <w:r w:rsidRPr="00432976">
        <w:rPr>
          <w:sz w:val="16"/>
          <w:szCs w:val="16"/>
        </w:rPr>
        <w:t xml:space="preserve"> supply of medication to total number of days between the first and last prescriptions. Proportion of days covered was calculated as the ratio of days</w:t>
      </w:r>
      <w:r>
        <w:rPr>
          <w:sz w:val="16"/>
          <w:szCs w:val="16"/>
        </w:rPr>
        <w:t>’</w:t>
      </w:r>
      <w:r w:rsidRPr="00432976">
        <w:rPr>
          <w:sz w:val="16"/>
          <w:szCs w:val="16"/>
        </w:rPr>
        <w:t xml:space="preserve"> supply of medication to total number of days in the follow-up period (11 months). Time to discontinuation (or patient length of therapy) measured continuous treatment without prolonged gaps in therapy. Patients were deemed to have discontinued therapy when more than 30 days had elapsed without a prescription refill. The mean time to refill measured the time between successive refills or relevant medications using all prescriptions within the defined analysis period</w:t>
      </w:r>
      <w:r>
        <w:rPr>
          <w:sz w:val="16"/>
          <w:szCs w:val="16"/>
        </w:rPr>
        <w:t>.</w:t>
      </w:r>
    </w:p>
    <w:p w:rsidR="00A63D34" w:rsidRPr="00432976" w:rsidRDefault="00A63D34" w:rsidP="00A63D34">
      <w:pPr>
        <w:keepNext/>
        <w:spacing w:after="0"/>
        <w:rPr>
          <w:sz w:val="16"/>
          <w:szCs w:val="16"/>
        </w:rPr>
      </w:pPr>
      <w:r w:rsidRPr="00115A8E">
        <w:rPr>
          <w:b/>
          <w:sz w:val="16"/>
          <w:szCs w:val="16"/>
        </w:rPr>
        <w:t>d</w:t>
      </w:r>
      <w:r w:rsidRPr="00432976">
        <w:rPr>
          <w:sz w:val="16"/>
          <w:szCs w:val="16"/>
        </w:rPr>
        <w:t xml:space="preserve"> </w:t>
      </w:r>
      <w:r>
        <w:rPr>
          <w:sz w:val="16"/>
          <w:szCs w:val="16"/>
        </w:rPr>
        <w:t>T</w:t>
      </w:r>
      <w:r w:rsidRPr="00432976">
        <w:rPr>
          <w:sz w:val="16"/>
          <w:szCs w:val="16"/>
        </w:rPr>
        <w:t>he Pill Calendar is a single card that does not allow separation of individual doses, and it therefore provides an ongoing visual record of doses taken or missed.</w:t>
      </w:r>
    </w:p>
    <w:p w:rsidR="00A63D34" w:rsidRDefault="00A63D34" w:rsidP="00A63D34">
      <w:pPr>
        <w:keepNext/>
        <w:spacing w:after="0"/>
        <w:rPr>
          <w:sz w:val="16"/>
          <w:szCs w:val="16"/>
        </w:rPr>
      </w:pPr>
      <w:r>
        <w:rPr>
          <w:b/>
          <w:sz w:val="16"/>
          <w:szCs w:val="16"/>
        </w:rPr>
        <w:t xml:space="preserve">e </w:t>
      </w:r>
      <w:r w:rsidRPr="00432976">
        <w:rPr>
          <w:sz w:val="16"/>
          <w:szCs w:val="16"/>
        </w:rPr>
        <w:t>MPR was calculated as the number of days’ supply of medication obtained over 360 days of the trial</w:t>
      </w:r>
      <w:r>
        <w:rPr>
          <w:sz w:val="16"/>
          <w:szCs w:val="16"/>
        </w:rPr>
        <w:t>.</w:t>
      </w:r>
    </w:p>
    <w:p w:rsidR="00C2042E" w:rsidRPr="00432976" w:rsidRDefault="00C2042E" w:rsidP="00C2042E">
      <w:pPr>
        <w:pStyle w:val="08Tablefootnotes"/>
      </w:pPr>
      <w:r w:rsidRPr="00C2042E">
        <w:rPr>
          <w:b/>
        </w:rPr>
        <w:t>f.</w:t>
      </w:r>
      <w:r w:rsidRPr="009322CF">
        <w:t xml:space="preserve"> </w:t>
      </w:r>
      <w:r w:rsidRPr="00C2042E">
        <w:rPr>
          <w:b/>
        </w:rPr>
        <w:t>Quality assessment</w:t>
      </w:r>
      <w:r w:rsidRPr="009322CF">
        <w:t xml:space="preserve"> was undertaken </w:t>
      </w:r>
      <w:r>
        <w:t xml:space="preserve">for the purposes of this review </w:t>
      </w:r>
      <w:r w:rsidRPr="009322CF">
        <w:t>and is presented in Appendix 6.</w:t>
      </w:r>
    </w:p>
    <w:p w:rsidR="00C2042E" w:rsidRPr="00432976" w:rsidRDefault="00C2042E" w:rsidP="00A63D34">
      <w:pPr>
        <w:keepNext/>
        <w:spacing w:after="0"/>
        <w:rPr>
          <w:sz w:val="16"/>
          <w:szCs w:val="16"/>
        </w:rPr>
      </w:pPr>
    </w:p>
    <w:p w:rsidR="00A63D34" w:rsidRDefault="00A63D34" w:rsidP="00A63D34">
      <w:pPr>
        <w:pStyle w:val="BodyText"/>
      </w:pPr>
    </w:p>
    <w:p w:rsidR="00A63D34" w:rsidRDefault="00A63D34" w:rsidP="00A63D34">
      <w:pPr>
        <w:pStyle w:val="BodyText"/>
        <w:sectPr w:rsidR="00A63D34" w:rsidSect="00982A19">
          <w:footerReference w:type="default" r:id="rId21"/>
          <w:pgSz w:w="16838" w:h="11906" w:orient="landscape" w:code="9"/>
          <w:pgMar w:top="1134" w:right="1134" w:bottom="1134" w:left="1134" w:header="680" w:footer="851" w:gutter="0"/>
          <w:cols w:space="708"/>
          <w:docGrid w:linePitch="360"/>
        </w:sectPr>
      </w:pPr>
    </w:p>
    <w:p w:rsidR="00A63D34" w:rsidRDefault="00A63D34" w:rsidP="00A63D34">
      <w:pPr>
        <w:pStyle w:val="Caption"/>
      </w:pPr>
      <w:bookmarkStart w:id="99" w:name="_Ref461801955"/>
      <w:bookmarkStart w:id="100" w:name="_Toc523230336"/>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5</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4</w:t>
      </w:r>
      <w:r w:rsidR="00964233">
        <w:rPr>
          <w:noProof/>
        </w:rPr>
        <w:fldChar w:fldCharType="end"/>
      </w:r>
      <w:bookmarkEnd w:id="99"/>
      <w:r>
        <w:tab/>
        <w:t>Summary of results of the included studies</w:t>
      </w:r>
      <w:bookmarkEnd w:id="100"/>
    </w:p>
    <w:tbl>
      <w:tblPr>
        <w:tblStyle w:val="TableGrid"/>
        <w:tblW w:w="14855" w:type="dxa"/>
        <w:tblLook w:val="04A0" w:firstRow="1" w:lastRow="0" w:firstColumn="1" w:lastColumn="0" w:noHBand="0" w:noVBand="1"/>
        <w:tblCaption w:val="Table 5.4"/>
        <w:tblDescription w:val="Summary of results of the included studies"/>
      </w:tblPr>
      <w:tblGrid>
        <w:gridCol w:w="1367"/>
        <w:gridCol w:w="1789"/>
        <w:gridCol w:w="1506"/>
        <w:gridCol w:w="1803"/>
        <w:gridCol w:w="3761"/>
        <w:gridCol w:w="4629"/>
      </w:tblGrid>
      <w:tr w:rsidR="00A63D34" w:rsidTr="00C2042E">
        <w:trPr>
          <w:cnfStyle w:val="100000000000" w:firstRow="1" w:lastRow="0" w:firstColumn="0" w:lastColumn="0" w:oddVBand="0" w:evenVBand="0" w:oddHBand="0" w:evenHBand="0" w:firstRowFirstColumn="0" w:firstRowLastColumn="0" w:lastRowFirstColumn="0" w:lastRowLastColumn="0"/>
        </w:trPr>
        <w:tc>
          <w:tcPr>
            <w:tcW w:w="460" w:type="pct"/>
          </w:tcPr>
          <w:p w:rsidR="00A63D34" w:rsidRDefault="00A63D34" w:rsidP="008767A4">
            <w:pPr>
              <w:pStyle w:val="01Tableheadingorsubheading"/>
              <w:keepNext w:val="0"/>
              <w:rPr>
                <w:snapToGrid w:val="0"/>
              </w:rPr>
            </w:pPr>
            <w:r w:rsidRPr="006D5656">
              <w:rPr>
                <w:snapToGrid w:val="0"/>
              </w:rPr>
              <w:t>Study ID</w:t>
            </w:r>
          </w:p>
          <w:p w:rsidR="00A63D34" w:rsidRPr="00B17A63" w:rsidRDefault="00A63D34" w:rsidP="008767A4">
            <w:pPr>
              <w:pStyle w:val="01Tableheadingorsubheading"/>
              <w:keepNext w:val="0"/>
              <w:rPr>
                <w:snapToGrid w:val="0"/>
              </w:rPr>
            </w:pPr>
            <w:r>
              <w:rPr>
                <w:snapToGrid w:val="0"/>
              </w:rPr>
              <w:t>Country</w:t>
            </w:r>
          </w:p>
        </w:tc>
        <w:tc>
          <w:tcPr>
            <w:tcW w:w="602" w:type="pct"/>
          </w:tcPr>
          <w:p w:rsidR="00A63D34" w:rsidRDefault="00A63D34" w:rsidP="008767A4">
            <w:pPr>
              <w:pStyle w:val="01Tableheadingorsubheading"/>
              <w:keepNext w:val="0"/>
            </w:pPr>
            <w:r>
              <w:rPr>
                <w:snapToGrid w:val="0"/>
              </w:rPr>
              <w:t>Study design, duration and quality</w:t>
            </w:r>
          </w:p>
        </w:tc>
        <w:tc>
          <w:tcPr>
            <w:tcW w:w="507" w:type="pct"/>
          </w:tcPr>
          <w:p w:rsidR="00A63D34" w:rsidRDefault="00A63D34" w:rsidP="008767A4">
            <w:pPr>
              <w:pStyle w:val="01Tableheadingorsubheading"/>
              <w:keepNext w:val="0"/>
            </w:pPr>
            <w:r>
              <w:rPr>
                <w:snapToGrid w:val="0"/>
              </w:rPr>
              <w:t>Population</w:t>
            </w:r>
          </w:p>
        </w:tc>
        <w:tc>
          <w:tcPr>
            <w:tcW w:w="607" w:type="pct"/>
          </w:tcPr>
          <w:p w:rsidR="00A63D34" w:rsidRDefault="00A63D34" w:rsidP="008767A4">
            <w:pPr>
              <w:pStyle w:val="01Tableheadingorsubheading"/>
              <w:keepNext w:val="0"/>
            </w:pPr>
            <w:r>
              <w:rPr>
                <w:snapToGrid w:val="0"/>
              </w:rPr>
              <w:t>Relevant comparison</w:t>
            </w:r>
          </w:p>
        </w:tc>
        <w:tc>
          <w:tcPr>
            <w:tcW w:w="1266" w:type="pct"/>
          </w:tcPr>
          <w:p w:rsidR="00A63D34" w:rsidRDefault="00A63D34" w:rsidP="008767A4">
            <w:pPr>
              <w:pStyle w:val="01Tableheadingorsubheading"/>
              <w:keepNext w:val="0"/>
            </w:pPr>
            <w:r>
              <w:rPr>
                <w:snapToGrid w:val="0"/>
              </w:rPr>
              <w:t>Effect</w:t>
            </w:r>
          </w:p>
        </w:tc>
        <w:tc>
          <w:tcPr>
            <w:tcW w:w="1558" w:type="pct"/>
          </w:tcPr>
          <w:p w:rsidR="00A63D34" w:rsidRDefault="00A63D34" w:rsidP="008767A4">
            <w:pPr>
              <w:pStyle w:val="01Tableheadingorsubheading"/>
              <w:keepNext w:val="0"/>
            </w:pPr>
            <w:r>
              <w:rPr>
                <w:snapToGrid w:val="0"/>
              </w:rPr>
              <w:t>Authors’ conclusions</w:t>
            </w:r>
          </w:p>
        </w:tc>
      </w:tr>
      <w:tr w:rsidR="00A63D34" w:rsidTr="00C2042E">
        <w:tc>
          <w:tcPr>
            <w:tcW w:w="460" w:type="pct"/>
          </w:tcPr>
          <w:p w:rsidR="00A63D34" w:rsidRPr="00FD0389" w:rsidRDefault="00A63D34" w:rsidP="008767A4">
            <w:pPr>
              <w:pStyle w:val="02Tabletext"/>
              <w:keepNext w:val="0"/>
            </w:pPr>
            <w:r w:rsidRPr="00FD0389">
              <w:t>Dumas (2016)</w:t>
            </w:r>
          </w:p>
          <w:p w:rsidR="00A63D34" w:rsidRPr="00FD0389" w:rsidRDefault="00A63D34" w:rsidP="008767A4">
            <w:pPr>
              <w:pStyle w:val="03Tabletextspacebefore"/>
            </w:pPr>
            <w:r w:rsidRPr="00FD0389">
              <w:t>Canada</w:t>
            </w:r>
          </w:p>
        </w:tc>
        <w:tc>
          <w:tcPr>
            <w:tcW w:w="602" w:type="pct"/>
          </w:tcPr>
          <w:p w:rsidR="00A63D34" w:rsidRPr="00FD0389" w:rsidRDefault="00A63D34" w:rsidP="008767A4">
            <w:pPr>
              <w:pStyle w:val="02Tabletext"/>
              <w:keepNext w:val="0"/>
            </w:pPr>
            <w:r w:rsidRPr="00FD0389">
              <w:t>Prospective cohort study</w:t>
            </w:r>
          </w:p>
          <w:p w:rsidR="00A63D34" w:rsidRPr="00FD0389" w:rsidRDefault="00A63D34" w:rsidP="008767A4">
            <w:pPr>
              <w:pStyle w:val="03Tabletextspacebefore"/>
            </w:pPr>
            <w:r w:rsidRPr="00FD0389">
              <w:t>12 months</w:t>
            </w:r>
          </w:p>
          <w:p w:rsidR="00A63D34" w:rsidRPr="00FD0389" w:rsidRDefault="00FD0389" w:rsidP="008767A4">
            <w:pPr>
              <w:pStyle w:val="03Tabletextspacebefore"/>
            </w:pPr>
            <w:r w:rsidRPr="00FD0389">
              <w:rPr>
                <w:i/>
              </w:rPr>
              <w:t>Poor q</w:t>
            </w:r>
            <w:r w:rsidR="00A63D34" w:rsidRPr="00FD0389">
              <w:rPr>
                <w:i/>
              </w:rPr>
              <w:t>uality</w:t>
            </w:r>
          </w:p>
        </w:tc>
        <w:tc>
          <w:tcPr>
            <w:tcW w:w="507" w:type="pct"/>
          </w:tcPr>
          <w:p w:rsidR="00A63D34" w:rsidRDefault="00A63D34" w:rsidP="008767A4">
            <w:pPr>
              <w:pStyle w:val="02Tabletext"/>
            </w:pPr>
            <w:r>
              <w:t>Patients ≥18 years old starting warfarin</w:t>
            </w:r>
          </w:p>
        </w:tc>
        <w:tc>
          <w:tcPr>
            <w:tcW w:w="607" w:type="pct"/>
            <w:shd w:val="clear" w:color="auto" w:fill="auto"/>
          </w:tcPr>
          <w:p w:rsidR="00A63D34" w:rsidRPr="002F4533" w:rsidRDefault="00A63D34" w:rsidP="008767A4">
            <w:pPr>
              <w:pStyle w:val="02Tabletext"/>
              <w:keepNext w:val="0"/>
            </w:pPr>
            <w:r>
              <w:t>Pillbox packed by a pharmacist vs control (pillbox non users)</w:t>
            </w:r>
          </w:p>
        </w:tc>
        <w:tc>
          <w:tcPr>
            <w:tcW w:w="1266" w:type="pct"/>
          </w:tcPr>
          <w:p w:rsidR="00A63D34" w:rsidRDefault="00A63D34" w:rsidP="008767A4">
            <w:pPr>
              <w:pStyle w:val="02Tabletext"/>
            </w:pPr>
            <w:r>
              <w:t>Clinical outcomes</w:t>
            </w:r>
          </w:p>
          <w:p w:rsidR="00A63D34" w:rsidRDefault="00A63D34" w:rsidP="008767A4">
            <w:pPr>
              <w:pStyle w:val="06Tablebullet"/>
            </w:pPr>
            <w:r>
              <w:t>TTR &lt;60% at 3-6 mo 36.6% vs 30.4%</w:t>
            </w:r>
          </w:p>
          <w:p w:rsidR="00A63D34" w:rsidRDefault="00A63D34" w:rsidP="008767A4">
            <w:pPr>
              <w:pStyle w:val="06Tablebullet"/>
            </w:pPr>
            <w:r>
              <w:t>TTR &lt;60% at 6-9 mo: 24.1% vs 27.4%</w:t>
            </w:r>
          </w:p>
          <w:p w:rsidR="00A63D34" w:rsidRPr="009759EC" w:rsidRDefault="00A63D34" w:rsidP="008767A4">
            <w:pPr>
              <w:pStyle w:val="06Tablebullet"/>
            </w:pPr>
            <w:r>
              <w:t>TTR &lt;60% at 9-12 mo: 27.9% vs 28.5%</w:t>
            </w:r>
          </w:p>
        </w:tc>
        <w:tc>
          <w:tcPr>
            <w:tcW w:w="1558" w:type="pct"/>
          </w:tcPr>
          <w:p w:rsidR="00A63D34" w:rsidRDefault="00A63D34" w:rsidP="008767A4">
            <w:pPr>
              <w:pStyle w:val="02Tabletext"/>
              <w:keepNext w:val="0"/>
            </w:pPr>
            <w:r>
              <w:t>Pillbox use was not associated with TTR &lt; 60% or a specific INR instability pattern. The impact of self-prepared pillbox use was greater among younger patients, but results were not clinically significant.</w:t>
            </w:r>
          </w:p>
        </w:tc>
      </w:tr>
      <w:tr w:rsidR="00A63D34" w:rsidTr="00C2042E">
        <w:trPr>
          <w:cnfStyle w:val="000000010000" w:firstRow="0" w:lastRow="0" w:firstColumn="0" w:lastColumn="0" w:oddVBand="0" w:evenVBand="0" w:oddHBand="0" w:evenHBand="1" w:firstRowFirstColumn="0" w:firstRowLastColumn="0" w:lastRowFirstColumn="0" w:lastRowLastColumn="0"/>
        </w:trPr>
        <w:tc>
          <w:tcPr>
            <w:tcW w:w="460" w:type="pct"/>
          </w:tcPr>
          <w:p w:rsidR="00A63D34" w:rsidRDefault="00A63D34" w:rsidP="008767A4">
            <w:pPr>
              <w:pStyle w:val="02Tabletext"/>
              <w:keepNext w:val="0"/>
            </w:pPr>
            <w:r>
              <w:t>Dupclay (2012)</w:t>
            </w:r>
          </w:p>
          <w:p w:rsidR="00A63D34" w:rsidRPr="00865B8A" w:rsidRDefault="00A63D34" w:rsidP="008767A4">
            <w:pPr>
              <w:pStyle w:val="03Tabletextspacebefore"/>
            </w:pPr>
            <w:r>
              <w:t>US</w:t>
            </w:r>
          </w:p>
        </w:tc>
        <w:tc>
          <w:tcPr>
            <w:tcW w:w="602" w:type="pct"/>
          </w:tcPr>
          <w:p w:rsidR="00A63D34" w:rsidRDefault="00A63D34" w:rsidP="008767A4">
            <w:pPr>
              <w:pStyle w:val="02Tabletext"/>
              <w:keepNext w:val="0"/>
            </w:pPr>
            <w:r>
              <w:t>Retrospective matched cohort study</w:t>
            </w:r>
          </w:p>
          <w:p w:rsidR="00A63D34" w:rsidRDefault="00A63D34" w:rsidP="008767A4">
            <w:pPr>
              <w:pStyle w:val="03Tabletextspacebefore"/>
            </w:pPr>
            <w:r>
              <w:t>11 months</w:t>
            </w:r>
          </w:p>
          <w:p w:rsidR="00A63D34" w:rsidRPr="00B73F0A" w:rsidRDefault="00FD0389" w:rsidP="008767A4">
            <w:pPr>
              <w:pStyle w:val="03Tabletextspacebefore"/>
            </w:pPr>
            <w:r w:rsidRPr="00FD0389">
              <w:rPr>
                <w:i/>
              </w:rPr>
              <w:t xml:space="preserve">Poor </w:t>
            </w:r>
            <w:r w:rsidR="005D75F9">
              <w:rPr>
                <w:i/>
              </w:rPr>
              <w:t>q</w:t>
            </w:r>
            <w:r w:rsidR="00A63D34" w:rsidRPr="00FD0389">
              <w:rPr>
                <w:i/>
              </w:rPr>
              <w:t>uality</w:t>
            </w:r>
          </w:p>
        </w:tc>
        <w:tc>
          <w:tcPr>
            <w:tcW w:w="507" w:type="pct"/>
          </w:tcPr>
          <w:p w:rsidR="00A63D34" w:rsidRPr="00EB00CE" w:rsidRDefault="00A63D34" w:rsidP="008767A4">
            <w:pPr>
              <w:pStyle w:val="02Tabletext"/>
              <w:rPr>
                <w:vertAlign w:val="superscript"/>
              </w:rPr>
            </w:pPr>
            <w:r>
              <w:t xml:space="preserve">Patients ≥18 years old with hypertension </w:t>
            </w:r>
          </w:p>
        </w:tc>
        <w:tc>
          <w:tcPr>
            <w:tcW w:w="607" w:type="pct"/>
          </w:tcPr>
          <w:p w:rsidR="00A63D34" w:rsidRDefault="00A63D34" w:rsidP="008767A4">
            <w:pPr>
              <w:pStyle w:val="02Tabletext"/>
              <w:keepNext w:val="0"/>
            </w:pPr>
            <w:r>
              <w:t>Monthly blister pack vs control (no reminder packaging)</w:t>
            </w:r>
          </w:p>
        </w:tc>
        <w:tc>
          <w:tcPr>
            <w:tcW w:w="1266" w:type="pct"/>
          </w:tcPr>
          <w:p w:rsidR="00A63D34" w:rsidRDefault="00A63D34" w:rsidP="008767A4">
            <w:pPr>
              <w:pStyle w:val="02Tabletext"/>
            </w:pPr>
            <w:r>
              <w:t xml:space="preserve">Adherence </w:t>
            </w:r>
          </w:p>
          <w:p w:rsidR="00A63D34" w:rsidRDefault="00A63D34" w:rsidP="008767A4">
            <w:pPr>
              <w:pStyle w:val="06Tablebullet"/>
            </w:pPr>
            <w:r>
              <w:t>MPR: 80% vs 73%, P&lt;0.001</w:t>
            </w:r>
          </w:p>
          <w:p w:rsidR="00A63D34" w:rsidRDefault="00A63D34" w:rsidP="008767A4">
            <w:pPr>
              <w:pStyle w:val="06Tablebullet"/>
            </w:pPr>
            <w:r>
              <w:t>Proportion of days covered: 76% vs 63%, P&lt;0.001</w:t>
            </w:r>
          </w:p>
          <w:p w:rsidR="00A63D34" w:rsidRDefault="00A63D34" w:rsidP="008767A4">
            <w:pPr>
              <w:pStyle w:val="06Tablebullet"/>
            </w:pPr>
            <w:r>
              <w:t>Refill timing: 10 d vs 16 d, P&lt;0.001</w:t>
            </w:r>
          </w:p>
          <w:p w:rsidR="00A63D34" w:rsidRPr="00A516A6" w:rsidRDefault="00A63D34" w:rsidP="008767A4">
            <w:pPr>
              <w:pStyle w:val="06Tablebullet"/>
            </w:pPr>
            <w:r>
              <w:t>Time to discontinuation: 196 d vs 174 d, P&lt;0.001</w:t>
            </w:r>
          </w:p>
        </w:tc>
        <w:tc>
          <w:tcPr>
            <w:tcW w:w="1558" w:type="pct"/>
          </w:tcPr>
          <w:p w:rsidR="00A63D34" w:rsidRDefault="00A63D34" w:rsidP="008767A4">
            <w:pPr>
              <w:pStyle w:val="02Tabletext"/>
            </w:pPr>
            <w:r>
              <w:t>P</w:t>
            </w:r>
            <w:r w:rsidRPr="00AE6174">
              <w:t xml:space="preserve">atients who used </w:t>
            </w:r>
            <w:r>
              <w:t>reminder packaging (RP)</w:t>
            </w:r>
            <w:r w:rsidRPr="00AE6174">
              <w:t xml:space="preserve"> were more adherent </w:t>
            </w:r>
            <w:r>
              <w:t xml:space="preserve">and persistent with their treatment regimens </w:t>
            </w:r>
            <w:r w:rsidRPr="00AE6174">
              <w:t>and had a lower refill time than pat</w:t>
            </w:r>
            <w:r>
              <w:t>ients without RP.</w:t>
            </w:r>
          </w:p>
          <w:p w:rsidR="00A63D34" w:rsidRDefault="00A63D34" w:rsidP="008767A4">
            <w:pPr>
              <w:pStyle w:val="02Tabletext"/>
              <w:keepNext w:val="0"/>
            </w:pPr>
            <w:r>
              <w:t xml:space="preserve">A </w:t>
            </w:r>
            <w:r w:rsidRPr="00D035E0">
              <w:t>higher proportion of RP patients remained on therapy compared with non-RP patients, with patients in the RP group being 17% less likely to discontinue therapy compared with patients in the non-RP group</w:t>
            </w:r>
            <w:r>
              <w:t>.</w:t>
            </w:r>
          </w:p>
        </w:tc>
      </w:tr>
      <w:tr w:rsidR="00A63D34" w:rsidTr="00C2042E">
        <w:tc>
          <w:tcPr>
            <w:tcW w:w="460" w:type="pct"/>
          </w:tcPr>
          <w:p w:rsidR="00A63D34" w:rsidRDefault="00A63D34" w:rsidP="008767A4">
            <w:pPr>
              <w:pStyle w:val="02Tabletext"/>
              <w:keepNext w:val="0"/>
            </w:pPr>
            <w:r>
              <w:t>Schneider (2008)</w:t>
            </w:r>
          </w:p>
          <w:p w:rsidR="00A63D34" w:rsidRPr="00865B8A" w:rsidRDefault="00A63D34" w:rsidP="008767A4">
            <w:pPr>
              <w:pStyle w:val="03Tabletextspacebefore"/>
            </w:pPr>
            <w:r>
              <w:t xml:space="preserve">US </w:t>
            </w:r>
          </w:p>
        </w:tc>
        <w:tc>
          <w:tcPr>
            <w:tcW w:w="602" w:type="pct"/>
          </w:tcPr>
          <w:p w:rsidR="00A63D34" w:rsidRPr="00FD202C" w:rsidRDefault="00A63D34" w:rsidP="008767A4">
            <w:pPr>
              <w:pStyle w:val="03Tabletextspacebefore"/>
            </w:pPr>
            <w:r>
              <w:t>Multicentre RCT</w:t>
            </w:r>
          </w:p>
          <w:p w:rsidR="00A63D34" w:rsidRDefault="00A63D34" w:rsidP="008767A4">
            <w:pPr>
              <w:pStyle w:val="02Tabletext"/>
              <w:keepNext w:val="0"/>
            </w:pPr>
            <w:r>
              <w:t>12 months</w:t>
            </w:r>
          </w:p>
          <w:p w:rsidR="00A63D34" w:rsidRPr="00B17A63" w:rsidRDefault="00FD0389" w:rsidP="008767A4">
            <w:pPr>
              <w:pStyle w:val="03Tabletextspacebefore"/>
            </w:pPr>
            <w:r>
              <w:rPr>
                <w:i/>
              </w:rPr>
              <w:t>Fair quality</w:t>
            </w:r>
          </w:p>
        </w:tc>
        <w:tc>
          <w:tcPr>
            <w:tcW w:w="507" w:type="pct"/>
          </w:tcPr>
          <w:p w:rsidR="00A63D34" w:rsidRDefault="00A63D34" w:rsidP="008767A4">
            <w:pPr>
              <w:pStyle w:val="02Tabletext"/>
            </w:pPr>
            <w:r>
              <w:t>Patients aged ≥65</w:t>
            </w:r>
            <w:r w:rsidRPr="0082450B">
              <w:t xml:space="preserve"> years</w:t>
            </w:r>
            <w:r>
              <w:t xml:space="preserve"> with hypertension</w:t>
            </w:r>
          </w:p>
        </w:tc>
        <w:tc>
          <w:tcPr>
            <w:tcW w:w="607" w:type="pct"/>
          </w:tcPr>
          <w:p w:rsidR="00A63D34" w:rsidRDefault="00A63D34" w:rsidP="008767A4">
            <w:pPr>
              <w:pStyle w:val="02Tabletext"/>
              <w:keepNext w:val="0"/>
            </w:pPr>
            <w:r w:rsidRPr="005D62CD">
              <w:t>Multidrug punch card</w:t>
            </w:r>
            <w:r>
              <w:t>-blister pack (Pill Calender) vs control (traditional medicine bottles)</w:t>
            </w:r>
          </w:p>
        </w:tc>
        <w:tc>
          <w:tcPr>
            <w:tcW w:w="1266" w:type="pct"/>
          </w:tcPr>
          <w:p w:rsidR="00A63D34" w:rsidRDefault="00A63D34" w:rsidP="008767A4">
            <w:pPr>
              <w:pStyle w:val="02Tabletext"/>
            </w:pPr>
            <w:r>
              <w:t xml:space="preserve">Adherence </w:t>
            </w:r>
          </w:p>
          <w:p w:rsidR="00A63D34" w:rsidRDefault="0055178A" w:rsidP="008767A4">
            <w:pPr>
              <w:pStyle w:val="06Tablebullet"/>
            </w:pPr>
            <w:r>
              <w:t>MPR: 0.93 vs 0.87 (P =</w:t>
            </w:r>
            <w:r w:rsidR="00A63D34">
              <w:t>0.039)</w:t>
            </w:r>
          </w:p>
          <w:p w:rsidR="00A63D34" w:rsidRDefault="00A63D34" w:rsidP="008767A4">
            <w:pPr>
              <w:pStyle w:val="06Tablebullet"/>
            </w:pPr>
            <w:r>
              <w:t>Patients with their prescription refilled on-time (± 5 d): 80.4% vs 66.1% (P =0.012)</w:t>
            </w:r>
          </w:p>
          <w:p w:rsidR="00A63D34" w:rsidRDefault="00A63D34" w:rsidP="008767A4">
            <w:pPr>
              <w:pStyle w:val="02Tabletext"/>
            </w:pPr>
            <w:r>
              <w:t>Clinical outcomes</w:t>
            </w:r>
          </w:p>
          <w:p w:rsidR="00A63D34" w:rsidRDefault="00A63D34" w:rsidP="008767A4">
            <w:pPr>
              <w:pStyle w:val="06Tablebullet"/>
            </w:pPr>
            <w:r>
              <w:t xml:space="preserve">dBP at 6 mo: </w:t>
            </w:r>
            <w:r w:rsidRPr="00FF4C6F">
              <w:t xml:space="preserve">73.2 </w:t>
            </w:r>
            <w:r>
              <w:t xml:space="preserve">vs </w:t>
            </w:r>
            <w:r w:rsidR="0055178A">
              <w:t>77.7 (P =</w:t>
            </w:r>
            <w:r w:rsidRPr="00FF4C6F">
              <w:t>0.0367)</w:t>
            </w:r>
          </w:p>
          <w:p w:rsidR="00A63D34" w:rsidRDefault="00A63D34" w:rsidP="008767A4">
            <w:pPr>
              <w:pStyle w:val="06Tablebullet"/>
            </w:pPr>
            <w:r>
              <w:t>dBP at 12 mo: n.s.</w:t>
            </w:r>
          </w:p>
          <w:p w:rsidR="00A63D34" w:rsidRDefault="00A63D34" w:rsidP="008767A4">
            <w:pPr>
              <w:pStyle w:val="06Tablebullet"/>
            </w:pPr>
            <w:r>
              <w:t>No. of patients with decre</w:t>
            </w:r>
            <w:r w:rsidR="0055178A">
              <w:t>ased dBP at 12 mo: 12 vs 4 (P =</w:t>
            </w:r>
            <w:r>
              <w:t>0.031)</w:t>
            </w:r>
          </w:p>
          <w:p w:rsidR="00A63D34" w:rsidRDefault="00A63D34" w:rsidP="008767A4">
            <w:pPr>
              <w:pStyle w:val="06Tablebullet"/>
            </w:pPr>
            <w:r>
              <w:t>sBP at 6 and 12 mo: n.s.</w:t>
            </w:r>
          </w:p>
          <w:p w:rsidR="00A63D34" w:rsidRDefault="00A63D34" w:rsidP="008767A4">
            <w:pPr>
              <w:pStyle w:val="06Tablebullet"/>
            </w:pPr>
            <w:r>
              <w:t>Absolute change in BP: n.s.</w:t>
            </w:r>
          </w:p>
        </w:tc>
        <w:tc>
          <w:tcPr>
            <w:tcW w:w="1558" w:type="pct"/>
          </w:tcPr>
          <w:p w:rsidR="00A63D34" w:rsidRDefault="00A63D34" w:rsidP="008767A4">
            <w:pPr>
              <w:pStyle w:val="02Tabletext"/>
              <w:keepNext w:val="0"/>
            </w:pPr>
            <w:r>
              <w:t>The daily-dose blister pack (Pill Calender)</w:t>
            </w:r>
            <w:r w:rsidRPr="0082450B">
              <w:t xml:space="preserve"> improve</w:t>
            </w:r>
            <w:r>
              <w:t>d</w:t>
            </w:r>
            <w:r w:rsidRPr="0082450B">
              <w:t xml:space="preserve"> treatment regimen adh</w:t>
            </w:r>
            <w:r>
              <w:t xml:space="preserve">erence </w:t>
            </w:r>
            <w:r w:rsidRPr="0082450B">
              <w:t>and treatment outcomes</w:t>
            </w:r>
            <w:r>
              <w:t xml:space="preserve"> (e.g. improved BP values)</w:t>
            </w:r>
            <w:r w:rsidRPr="0082450B">
              <w:t xml:space="preserve"> in elderly patients</w:t>
            </w:r>
            <w:r>
              <w:t>.</w:t>
            </w:r>
          </w:p>
        </w:tc>
      </w:tr>
      <w:tr w:rsidR="00A63D34" w:rsidTr="00C2042E">
        <w:trPr>
          <w:cnfStyle w:val="000000010000" w:firstRow="0" w:lastRow="0" w:firstColumn="0" w:lastColumn="0" w:oddVBand="0" w:evenVBand="0" w:oddHBand="0" w:evenHBand="1" w:firstRowFirstColumn="0" w:firstRowLastColumn="0" w:lastRowFirstColumn="0" w:lastRowLastColumn="0"/>
        </w:trPr>
        <w:tc>
          <w:tcPr>
            <w:tcW w:w="460" w:type="pct"/>
          </w:tcPr>
          <w:p w:rsidR="00A63D34" w:rsidRDefault="00A63D34" w:rsidP="008767A4">
            <w:pPr>
              <w:pStyle w:val="02Tabletext"/>
              <w:keepNext w:val="0"/>
            </w:pPr>
            <w:r>
              <w:t xml:space="preserve">Huang (VITAL) (2000) </w:t>
            </w:r>
          </w:p>
          <w:p w:rsidR="00A63D34" w:rsidRPr="00865B8A" w:rsidRDefault="00A63D34" w:rsidP="008767A4">
            <w:pPr>
              <w:pStyle w:val="03Tabletextspacebefore"/>
            </w:pPr>
            <w:r>
              <w:t>US</w:t>
            </w:r>
          </w:p>
        </w:tc>
        <w:tc>
          <w:tcPr>
            <w:tcW w:w="602" w:type="pct"/>
          </w:tcPr>
          <w:p w:rsidR="00A63D34" w:rsidRDefault="00A63D34" w:rsidP="008767A4">
            <w:pPr>
              <w:pStyle w:val="02Tabletext"/>
              <w:keepNext w:val="0"/>
            </w:pPr>
            <w:r>
              <w:t>RCT</w:t>
            </w:r>
          </w:p>
          <w:p w:rsidR="00A63D34" w:rsidRDefault="00A63D34" w:rsidP="008767A4">
            <w:pPr>
              <w:pStyle w:val="03Tabletextspacebefore"/>
            </w:pPr>
            <w:r>
              <w:t>2 months</w:t>
            </w:r>
          </w:p>
          <w:p w:rsidR="00A63D34" w:rsidRPr="00B73F0A" w:rsidRDefault="00FD0389" w:rsidP="008767A4">
            <w:pPr>
              <w:pStyle w:val="03Tabletextspacebefore"/>
            </w:pPr>
            <w:r>
              <w:rPr>
                <w:i/>
              </w:rPr>
              <w:t>Fair quality</w:t>
            </w:r>
          </w:p>
        </w:tc>
        <w:tc>
          <w:tcPr>
            <w:tcW w:w="507" w:type="pct"/>
          </w:tcPr>
          <w:p w:rsidR="00A63D34" w:rsidRDefault="00A63D34" w:rsidP="008767A4">
            <w:pPr>
              <w:pStyle w:val="02Tabletext"/>
              <w:keepNext w:val="0"/>
            </w:pPr>
            <w:r>
              <w:t xml:space="preserve">Healthy subjects using </w:t>
            </w:r>
            <w:r w:rsidRPr="005932E6">
              <w:t xml:space="preserve">vitamin </w:t>
            </w:r>
            <w:r>
              <w:t xml:space="preserve">E </w:t>
            </w:r>
            <w:r w:rsidRPr="005932E6">
              <w:t>supplements</w:t>
            </w:r>
          </w:p>
        </w:tc>
        <w:tc>
          <w:tcPr>
            <w:tcW w:w="607" w:type="pct"/>
          </w:tcPr>
          <w:p w:rsidR="00A63D34" w:rsidRPr="002F4533" w:rsidRDefault="00A63D34" w:rsidP="008767A4">
            <w:pPr>
              <w:pStyle w:val="02Tabletext"/>
              <w:keepNext w:val="0"/>
            </w:pPr>
            <w:r>
              <w:t>M</w:t>
            </w:r>
            <w:r w:rsidRPr="002F4533">
              <w:t>ultidrug punch card</w:t>
            </w:r>
            <w:r>
              <w:t>-blister pack</w:t>
            </w:r>
            <w:r w:rsidRPr="002F4533">
              <w:t xml:space="preserve"> vs</w:t>
            </w:r>
          </w:p>
          <w:p w:rsidR="00A63D34" w:rsidRDefault="00A63D34" w:rsidP="008767A4">
            <w:pPr>
              <w:pStyle w:val="02Tabletext"/>
              <w:keepNext w:val="0"/>
            </w:pPr>
            <w:r>
              <w:t xml:space="preserve">multicompartment </w:t>
            </w:r>
            <w:r w:rsidRPr="002F4533">
              <w:t>adherence</w:t>
            </w:r>
            <w:r>
              <w:t xml:space="preserve"> aid</w:t>
            </w:r>
          </w:p>
        </w:tc>
        <w:tc>
          <w:tcPr>
            <w:tcW w:w="1266" w:type="pct"/>
          </w:tcPr>
          <w:p w:rsidR="00A63D34" w:rsidRDefault="00A63D34" w:rsidP="008767A4">
            <w:pPr>
              <w:pStyle w:val="02Tabletext"/>
            </w:pPr>
            <w:r>
              <w:t>Adherence</w:t>
            </w:r>
          </w:p>
          <w:p w:rsidR="00A63D34" w:rsidRDefault="00A63D34" w:rsidP="008767A4">
            <w:pPr>
              <w:pStyle w:val="06Tablebullet"/>
            </w:pPr>
            <w:r w:rsidRPr="002F4533">
              <w:t>Patients who took &gt;90%</w:t>
            </w:r>
            <w:r>
              <w:t xml:space="preserve"> </w:t>
            </w:r>
            <w:r w:rsidRPr="002F4533">
              <w:t>of pills: 93% vs 87%</w:t>
            </w:r>
            <w:r w:rsidR="0055178A">
              <w:t xml:space="preserve"> (P =</w:t>
            </w:r>
            <w:r>
              <w:t>0.05</w:t>
            </w:r>
            <w:r w:rsidRPr="00045858">
              <w:t>)</w:t>
            </w:r>
          </w:p>
          <w:p w:rsidR="00A63D34" w:rsidRDefault="00A63D34" w:rsidP="008767A4">
            <w:pPr>
              <w:pStyle w:val="06Tablebullet"/>
            </w:pPr>
            <w:r>
              <w:t>Serum vitamin levels: n.s.</w:t>
            </w:r>
          </w:p>
          <w:p w:rsidR="00A63D34" w:rsidRPr="00045858" w:rsidRDefault="00A63D34" w:rsidP="008767A4">
            <w:pPr>
              <w:pStyle w:val="06Tablebullet"/>
            </w:pPr>
            <w:r w:rsidRPr="00A76982">
              <w:t>Self-report total score: n.s</w:t>
            </w:r>
          </w:p>
          <w:p w:rsidR="00A63D34" w:rsidRDefault="00A63D34" w:rsidP="008767A4">
            <w:pPr>
              <w:pStyle w:val="06Tablebullet"/>
            </w:pPr>
            <w:r w:rsidRPr="002F4533">
              <w:t>Positive answer to</w:t>
            </w:r>
            <w:r>
              <w:t xml:space="preserve"> </w:t>
            </w:r>
            <w:r w:rsidRPr="00045858">
              <w:t>question ‘forgot to take</w:t>
            </w:r>
            <w:r>
              <w:t xml:space="preserve"> </w:t>
            </w:r>
            <w:r w:rsidRPr="00045858">
              <w:t>pills’: 21 % vs 31 %</w:t>
            </w:r>
            <w:r w:rsidR="0055178A">
              <w:t xml:space="preserve"> (P =</w:t>
            </w:r>
            <w:r>
              <w:t xml:space="preserve">0.05) </w:t>
            </w:r>
          </w:p>
        </w:tc>
        <w:tc>
          <w:tcPr>
            <w:tcW w:w="1558" w:type="pct"/>
          </w:tcPr>
          <w:p w:rsidR="00A63D34" w:rsidRPr="009322CF" w:rsidRDefault="009F62E3" w:rsidP="00E21FE7">
            <w:pPr>
              <w:pStyle w:val="02Tabletext"/>
              <w:keepNext w:val="0"/>
            </w:pPr>
            <w:r w:rsidRPr="009322CF">
              <w:t>When compared to pill organisers, t</w:t>
            </w:r>
            <w:r w:rsidR="00A63D34" w:rsidRPr="009322CF">
              <w:t>he u</w:t>
            </w:r>
            <w:r w:rsidR="00E21FE7" w:rsidRPr="009322CF">
              <w:t>se of blister packs</w:t>
            </w:r>
            <w:r w:rsidR="00A63D34" w:rsidRPr="009322CF">
              <w:t xml:space="preserve"> improved adherence as measured by pill counts</w:t>
            </w:r>
            <w:r w:rsidR="00E21FE7" w:rsidRPr="009322CF">
              <w:t xml:space="preserve"> (and not by serum vitamin levels)</w:t>
            </w:r>
            <w:r w:rsidR="00A63D34" w:rsidRPr="009322CF">
              <w:t xml:space="preserve"> among those with lower adherence.</w:t>
            </w:r>
            <w:r w:rsidRPr="009322CF">
              <w:t xml:space="preserve"> </w:t>
            </w:r>
          </w:p>
        </w:tc>
      </w:tr>
      <w:tr w:rsidR="00A63D34" w:rsidTr="00C2042E">
        <w:tc>
          <w:tcPr>
            <w:tcW w:w="460" w:type="pct"/>
          </w:tcPr>
          <w:p w:rsidR="00A63D34" w:rsidRDefault="00A63D34" w:rsidP="008767A4">
            <w:pPr>
              <w:pStyle w:val="02Tabletext"/>
              <w:keepNext w:val="0"/>
            </w:pPr>
            <w:r>
              <w:t>Simmons (2000)</w:t>
            </w:r>
          </w:p>
          <w:p w:rsidR="00A63D34" w:rsidRPr="00865B8A" w:rsidRDefault="00A63D34" w:rsidP="008767A4">
            <w:pPr>
              <w:pStyle w:val="03Tabletextspacebefore"/>
            </w:pPr>
            <w:r>
              <w:t>New Zealand</w:t>
            </w:r>
          </w:p>
        </w:tc>
        <w:tc>
          <w:tcPr>
            <w:tcW w:w="602" w:type="pct"/>
          </w:tcPr>
          <w:p w:rsidR="00A63D34" w:rsidRDefault="00A63D34" w:rsidP="008767A4">
            <w:pPr>
              <w:pStyle w:val="02Tabletext"/>
              <w:keepNext w:val="0"/>
            </w:pPr>
            <w:r>
              <w:t>RCT</w:t>
            </w:r>
          </w:p>
          <w:p w:rsidR="00A63D34" w:rsidRDefault="00A63D34" w:rsidP="008767A4">
            <w:pPr>
              <w:pStyle w:val="03Tabletextspacebefore"/>
            </w:pPr>
            <w:r>
              <w:t>8 months</w:t>
            </w:r>
          </w:p>
          <w:p w:rsidR="00A63D34" w:rsidRPr="00B73F0A" w:rsidRDefault="00FD0389" w:rsidP="008767A4">
            <w:pPr>
              <w:pStyle w:val="03Tabletextspacebefore"/>
            </w:pPr>
            <w:r>
              <w:rPr>
                <w:i/>
              </w:rPr>
              <w:t>Good quality</w:t>
            </w:r>
          </w:p>
        </w:tc>
        <w:tc>
          <w:tcPr>
            <w:tcW w:w="507" w:type="pct"/>
          </w:tcPr>
          <w:p w:rsidR="00A63D34" w:rsidRDefault="00A63D34" w:rsidP="008767A4">
            <w:pPr>
              <w:pStyle w:val="02Tabletext"/>
              <w:keepNext w:val="0"/>
            </w:pPr>
            <w:r>
              <w:t>Patients with poorly controlled diabetes</w:t>
            </w:r>
          </w:p>
        </w:tc>
        <w:tc>
          <w:tcPr>
            <w:tcW w:w="607" w:type="pct"/>
          </w:tcPr>
          <w:p w:rsidR="00A63D34" w:rsidRDefault="00A63D34" w:rsidP="008767A4">
            <w:pPr>
              <w:pStyle w:val="02Tabletext"/>
              <w:keepNext w:val="0"/>
            </w:pPr>
            <w:r>
              <w:t>Multi-drug punch c</w:t>
            </w:r>
            <w:r w:rsidRPr="00681FB4">
              <w:t>ard</w:t>
            </w:r>
            <w:r>
              <w:t>-calender blister pack vs control (</w:t>
            </w:r>
            <w:r w:rsidRPr="00066937">
              <w:t xml:space="preserve">usual </w:t>
            </w:r>
            <w:r>
              <w:t xml:space="preserve">medicine </w:t>
            </w:r>
            <w:r w:rsidRPr="00066937">
              <w:t>containers</w:t>
            </w:r>
            <w:r>
              <w:t>)</w:t>
            </w:r>
          </w:p>
        </w:tc>
        <w:tc>
          <w:tcPr>
            <w:tcW w:w="1266" w:type="pct"/>
          </w:tcPr>
          <w:p w:rsidR="00A63D34" w:rsidRDefault="00A63D34" w:rsidP="008767A4">
            <w:pPr>
              <w:pStyle w:val="02Tabletext"/>
            </w:pPr>
            <w:r>
              <w:t>Clinical outcomes at 4 and 8 mo (blister pack vs control)</w:t>
            </w:r>
          </w:p>
          <w:p w:rsidR="00A63D34" w:rsidRDefault="00A63D34" w:rsidP="008767A4">
            <w:pPr>
              <w:pStyle w:val="06Tablebullet"/>
            </w:pPr>
            <w:r>
              <w:t>dBP at 8 mo: -5.8 mmHg vs 0.1 mmHg (P &lt; 0.001)</w:t>
            </w:r>
          </w:p>
          <w:p w:rsidR="00A63D34" w:rsidRDefault="00A63D34" w:rsidP="008767A4">
            <w:pPr>
              <w:pStyle w:val="06Tablebullet"/>
            </w:pPr>
            <w:r>
              <w:t>sBP at 8 mo: n.s.</w:t>
            </w:r>
          </w:p>
          <w:p w:rsidR="00A63D34" w:rsidRDefault="00A63D34" w:rsidP="008767A4">
            <w:pPr>
              <w:pStyle w:val="06Tablebullet"/>
            </w:pPr>
            <w:r>
              <w:t>HbA</w:t>
            </w:r>
            <w:r w:rsidRPr="009D5240">
              <w:rPr>
                <w:vertAlign w:val="subscript"/>
              </w:rPr>
              <w:t>1C</w:t>
            </w:r>
            <w:r w:rsidR="0055178A">
              <w:t>: -0.95% vs -0.15% (P =</w:t>
            </w:r>
            <w:r>
              <w:t>0.026)</w:t>
            </w:r>
          </w:p>
          <w:p w:rsidR="00A63D34" w:rsidRDefault="00A63D34" w:rsidP="008767A4">
            <w:pPr>
              <w:pStyle w:val="06Tablebullet"/>
            </w:pPr>
            <w:r>
              <w:t>Usability: 77% vs 27% (P &lt; 0.001)</w:t>
            </w:r>
          </w:p>
        </w:tc>
        <w:tc>
          <w:tcPr>
            <w:tcW w:w="1558" w:type="pct"/>
          </w:tcPr>
          <w:p w:rsidR="00A63D34" w:rsidRDefault="00A63D34" w:rsidP="008767A4">
            <w:pPr>
              <w:pStyle w:val="02Tabletext"/>
              <w:keepNext w:val="0"/>
            </w:pPr>
            <w:r w:rsidRPr="001C1E78">
              <w:t>C</w:t>
            </w:r>
            <w:r>
              <w:t>alendar blister packs</w:t>
            </w:r>
            <w:r w:rsidRPr="001C1E78">
              <w:t xml:space="preserve"> should be considered among diabetic patien</w:t>
            </w:r>
            <w:r>
              <w:t>ts with poor glycaemic cont</w:t>
            </w:r>
            <w:r w:rsidRPr="001C1E78">
              <w:t>rol receiving multiple medications.</w:t>
            </w:r>
          </w:p>
        </w:tc>
      </w:tr>
      <w:tr w:rsidR="00A63D34" w:rsidTr="00C2042E">
        <w:trPr>
          <w:cnfStyle w:val="000000010000" w:firstRow="0" w:lastRow="0" w:firstColumn="0" w:lastColumn="0" w:oddVBand="0" w:evenVBand="0" w:oddHBand="0" w:evenHBand="1" w:firstRowFirstColumn="0" w:firstRowLastColumn="0" w:lastRowFirstColumn="0" w:lastRowLastColumn="0"/>
        </w:trPr>
        <w:tc>
          <w:tcPr>
            <w:tcW w:w="460" w:type="pct"/>
          </w:tcPr>
          <w:p w:rsidR="00A63D34" w:rsidRDefault="00A63D34" w:rsidP="008767A4">
            <w:pPr>
              <w:pStyle w:val="02Tabletext"/>
              <w:keepNext w:val="0"/>
            </w:pPr>
            <w:r>
              <w:lastRenderedPageBreak/>
              <w:t>Winland-Brown (2000)</w:t>
            </w:r>
          </w:p>
          <w:p w:rsidR="00A63D34" w:rsidRPr="006F4FEB" w:rsidRDefault="00A63D34" w:rsidP="008767A4">
            <w:pPr>
              <w:pStyle w:val="03Tabletextspacebefore"/>
            </w:pPr>
            <w:r>
              <w:t>US</w:t>
            </w:r>
          </w:p>
        </w:tc>
        <w:tc>
          <w:tcPr>
            <w:tcW w:w="602" w:type="pct"/>
          </w:tcPr>
          <w:p w:rsidR="00A63D34" w:rsidRDefault="00A63D34" w:rsidP="008767A4">
            <w:pPr>
              <w:pStyle w:val="02Tabletext"/>
              <w:keepNext w:val="0"/>
            </w:pPr>
            <w:r>
              <w:t>RCT</w:t>
            </w:r>
          </w:p>
          <w:p w:rsidR="00A63D34" w:rsidRDefault="00A63D34" w:rsidP="008767A4">
            <w:pPr>
              <w:pStyle w:val="03Tabletextspacebefore"/>
            </w:pPr>
            <w:r>
              <w:t>6 months</w:t>
            </w:r>
          </w:p>
          <w:p w:rsidR="00A63D34" w:rsidRPr="00B73F0A" w:rsidRDefault="00FD0389" w:rsidP="008767A4">
            <w:pPr>
              <w:pStyle w:val="03Tabletextspacebefore"/>
            </w:pPr>
            <w:r>
              <w:rPr>
                <w:i/>
              </w:rPr>
              <w:t>Poor quality</w:t>
            </w:r>
          </w:p>
        </w:tc>
        <w:tc>
          <w:tcPr>
            <w:tcW w:w="507" w:type="pct"/>
          </w:tcPr>
          <w:p w:rsidR="00A63D34" w:rsidRDefault="00A63D34" w:rsidP="008767A4">
            <w:pPr>
              <w:pStyle w:val="02Tabletext"/>
              <w:keepNext w:val="0"/>
            </w:pPr>
            <w:r>
              <w:t>Elderly patients who had were hospitalised due to a medicine mismanagement episode</w:t>
            </w:r>
          </w:p>
        </w:tc>
        <w:tc>
          <w:tcPr>
            <w:tcW w:w="607" w:type="pct"/>
          </w:tcPr>
          <w:p w:rsidR="00A63D34" w:rsidRDefault="00A63D34" w:rsidP="008767A4">
            <w:pPr>
              <w:pStyle w:val="02Tabletext"/>
              <w:keepNext w:val="0"/>
            </w:pPr>
            <w:r>
              <w:t>Prefilled pillbox vs control (standard medicine vials)</w:t>
            </w:r>
          </w:p>
        </w:tc>
        <w:tc>
          <w:tcPr>
            <w:tcW w:w="1266" w:type="pct"/>
          </w:tcPr>
          <w:p w:rsidR="00A63D34" w:rsidRDefault="00A63D34" w:rsidP="008767A4">
            <w:pPr>
              <w:pStyle w:val="02Tabletext"/>
            </w:pPr>
            <w:r>
              <w:t>Adherence</w:t>
            </w:r>
          </w:p>
          <w:p w:rsidR="00A63D34" w:rsidRDefault="00A63D34" w:rsidP="008767A4">
            <w:pPr>
              <w:pStyle w:val="06Tablebullet"/>
            </w:pPr>
            <w:r>
              <w:t>Pill count: n.s.</w:t>
            </w:r>
          </w:p>
          <w:p w:rsidR="00A63D34" w:rsidRDefault="00A63D34" w:rsidP="008767A4">
            <w:pPr>
              <w:pStyle w:val="06Tablebullet"/>
              <w:numPr>
                <w:ilvl w:val="0"/>
                <w:numId w:val="0"/>
              </w:numPr>
              <w:ind w:left="284" w:hanging="227"/>
            </w:pPr>
            <w:r>
              <w:t>Health care resource use</w:t>
            </w:r>
          </w:p>
          <w:p w:rsidR="00A63D34" w:rsidRDefault="00A63D34" w:rsidP="008767A4">
            <w:pPr>
              <w:pStyle w:val="06Tablebullet"/>
            </w:pPr>
            <w:r w:rsidRPr="00662261">
              <w:t>Hospital</w:t>
            </w:r>
            <w:r>
              <w:t xml:space="preserve"> admissions: 7 vs 4</w:t>
            </w:r>
          </w:p>
          <w:p w:rsidR="00A63D34" w:rsidRDefault="00A63D34" w:rsidP="008767A4">
            <w:pPr>
              <w:pStyle w:val="06Tablebullet"/>
            </w:pPr>
            <w:r w:rsidRPr="00662261">
              <w:t>Home</w:t>
            </w:r>
            <w:r>
              <w:t xml:space="preserve"> visits: 0 vs 0</w:t>
            </w:r>
          </w:p>
          <w:p w:rsidR="00A63D34" w:rsidRDefault="00A63D34" w:rsidP="008767A4">
            <w:pPr>
              <w:pStyle w:val="06Tablebullet"/>
            </w:pPr>
            <w:r w:rsidRPr="00662261">
              <w:t>Mean</w:t>
            </w:r>
            <w:r>
              <w:t xml:space="preserve"> (per patient) physician visits</w:t>
            </w:r>
            <w:r w:rsidRPr="00D62446">
              <w:t>: 1.5 vs 1.5</w:t>
            </w:r>
          </w:p>
          <w:p w:rsidR="00A63D34" w:rsidRDefault="00A63D34" w:rsidP="008767A4">
            <w:pPr>
              <w:pStyle w:val="06Tablebullet"/>
            </w:pPr>
            <w:r w:rsidRPr="00D62446">
              <w:t>Transition to higher level of care</w:t>
            </w:r>
            <w:r>
              <w:t>: NR</w:t>
            </w:r>
          </w:p>
        </w:tc>
        <w:tc>
          <w:tcPr>
            <w:tcW w:w="1558" w:type="pct"/>
          </w:tcPr>
          <w:p w:rsidR="00A63D34" w:rsidRDefault="00A63D34" w:rsidP="008767A4">
            <w:pPr>
              <w:pStyle w:val="02Tabletext"/>
              <w:keepNext w:val="0"/>
            </w:pPr>
            <w:r>
              <w:t xml:space="preserve">Participants who </w:t>
            </w:r>
            <w:r w:rsidRPr="00016030">
              <w:t>self-administered their own medications had more frequent physician office visits and increased hospitali</w:t>
            </w:r>
            <w:r>
              <w:t>s</w:t>
            </w:r>
            <w:r w:rsidRPr="00016030">
              <w:t>ations</w:t>
            </w:r>
            <w:r>
              <w:t>.</w:t>
            </w:r>
          </w:p>
        </w:tc>
      </w:tr>
      <w:tr w:rsidR="00A63D34" w:rsidTr="00C2042E">
        <w:tc>
          <w:tcPr>
            <w:tcW w:w="460" w:type="pct"/>
          </w:tcPr>
          <w:p w:rsidR="00A63D34" w:rsidRDefault="00A63D34" w:rsidP="008767A4">
            <w:pPr>
              <w:pStyle w:val="02Tabletext"/>
            </w:pPr>
            <w:r>
              <w:t>Skaer (Hypertension) (1993a)</w:t>
            </w:r>
          </w:p>
          <w:p w:rsidR="00A63D34" w:rsidRDefault="00A63D34" w:rsidP="008767A4">
            <w:pPr>
              <w:pStyle w:val="03Tabletextspacebefore"/>
            </w:pPr>
            <w:r>
              <w:t>US</w:t>
            </w:r>
          </w:p>
        </w:tc>
        <w:tc>
          <w:tcPr>
            <w:tcW w:w="602" w:type="pct"/>
          </w:tcPr>
          <w:p w:rsidR="00A63D34" w:rsidRDefault="00A63D34" w:rsidP="008767A4">
            <w:pPr>
              <w:pStyle w:val="02Tabletext"/>
              <w:keepNext w:val="0"/>
            </w:pPr>
            <w:r>
              <w:t>RCT</w:t>
            </w:r>
          </w:p>
          <w:p w:rsidR="00A63D34" w:rsidRDefault="00A63D34" w:rsidP="008767A4">
            <w:pPr>
              <w:pStyle w:val="03Tabletextspacebefore"/>
            </w:pPr>
            <w:r>
              <w:t>12 months</w:t>
            </w:r>
          </w:p>
          <w:p w:rsidR="00A63D34" w:rsidRPr="00B73F0A" w:rsidRDefault="00FD0389" w:rsidP="008767A4">
            <w:pPr>
              <w:pStyle w:val="03Tabletextspacebefore"/>
            </w:pPr>
            <w:r>
              <w:rPr>
                <w:i/>
              </w:rPr>
              <w:t>Poor quality</w:t>
            </w:r>
          </w:p>
        </w:tc>
        <w:tc>
          <w:tcPr>
            <w:tcW w:w="507" w:type="pct"/>
          </w:tcPr>
          <w:p w:rsidR="00A63D34" w:rsidRDefault="00A63D34" w:rsidP="008767A4">
            <w:pPr>
              <w:pStyle w:val="02Tabletext"/>
              <w:keepNext w:val="0"/>
            </w:pPr>
            <w:r>
              <w:t xml:space="preserve">Patients &lt;65 years old </w:t>
            </w:r>
            <w:r w:rsidRPr="00BB0618">
              <w:t xml:space="preserve">prescribed verapamil </w:t>
            </w:r>
            <w:r>
              <w:t>for untreated hypertension</w:t>
            </w:r>
          </w:p>
        </w:tc>
        <w:tc>
          <w:tcPr>
            <w:tcW w:w="607" w:type="pct"/>
          </w:tcPr>
          <w:p w:rsidR="00A63D34" w:rsidRPr="006D5656" w:rsidRDefault="00A63D34" w:rsidP="008767A4">
            <w:pPr>
              <w:pStyle w:val="02Tabletext"/>
              <w:keepNext w:val="0"/>
            </w:pPr>
            <w:r>
              <w:t>Unit-of-use packaging with standard pharmaceutical care vs control (standard pharmaceutical care with standard medicine vial)</w:t>
            </w:r>
          </w:p>
        </w:tc>
        <w:tc>
          <w:tcPr>
            <w:tcW w:w="1266" w:type="pct"/>
          </w:tcPr>
          <w:p w:rsidR="00A63D34" w:rsidRDefault="00A63D34" w:rsidP="008767A4">
            <w:pPr>
              <w:pStyle w:val="02Tabletext"/>
            </w:pPr>
            <w:r>
              <w:t>Adherence</w:t>
            </w:r>
          </w:p>
          <w:p w:rsidR="00A63D34" w:rsidRDefault="0055178A" w:rsidP="008767A4">
            <w:pPr>
              <w:pStyle w:val="06Tablebullet"/>
            </w:pPr>
            <w:r>
              <w:t>MPR: 0.67 vs 0.56 (P ≤</w:t>
            </w:r>
            <w:r w:rsidR="00A63D34">
              <w:t>0.05)</w:t>
            </w:r>
          </w:p>
        </w:tc>
        <w:tc>
          <w:tcPr>
            <w:tcW w:w="1558" w:type="pct"/>
          </w:tcPr>
          <w:p w:rsidR="00A63D34" w:rsidRDefault="00A63D34" w:rsidP="008767A4">
            <w:pPr>
              <w:pStyle w:val="02Tabletext"/>
              <w:keepNext w:val="0"/>
            </w:pPr>
            <w:r w:rsidRPr="002A731E">
              <w:t xml:space="preserve">The use of a unit-of-use </w:t>
            </w:r>
            <w:r>
              <w:t xml:space="preserve">reminder </w:t>
            </w:r>
            <w:r w:rsidRPr="002A731E">
              <w:t>packaging (alone or in combination with a refill reminder) sign</w:t>
            </w:r>
            <w:r>
              <w:t xml:space="preserve">ificantly increased the MPR for </w:t>
            </w:r>
            <w:r w:rsidRPr="002A731E">
              <w:t>anti</w:t>
            </w:r>
            <w:r>
              <w:t>-</w:t>
            </w:r>
            <w:r w:rsidRPr="002A731E">
              <w:t>hypertensiv</w:t>
            </w:r>
            <w:r>
              <w:t>e therapy relative to controls.</w:t>
            </w:r>
          </w:p>
        </w:tc>
      </w:tr>
      <w:tr w:rsidR="00A63D34" w:rsidTr="00C2042E">
        <w:trPr>
          <w:cnfStyle w:val="000000010000" w:firstRow="0" w:lastRow="0" w:firstColumn="0" w:lastColumn="0" w:oddVBand="0" w:evenVBand="0" w:oddHBand="0" w:evenHBand="1" w:firstRowFirstColumn="0" w:firstRowLastColumn="0" w:lastRowFirstColumn="0" w:lastRowLastColumn="0"/>
        </w:trPr>
        <w:tc>
          <w:tcPr>
            <w:tcW w:w="460" w:type="pct"/>
          </w:tcPr>
          <w:p w:rsidR="00A63D34" w:rsidRDefault="00A63D34" w:rsidP="008767A4">
            <w:pPr>
              <w:pStyle w:val="02Tabletext"/>
              <w:keepNext w:val="0"/>
            </w:pPr>
            <w:r>
              <w:t>Skaer (</w:t>
            </w:r>
            <w:r w:rsidRPr="00EB0ED1">
              <w:t>NIDDM</w:t>
            </w:r>
            <w:r>
              <w:t>) (1993b)</w:t>
            </w:r>
          </w:p>
          <w:p w:rsidR="00A63D34" w:rsidRPr="00FD202C" w:rsidRDefault="00A63D34" w:rsidP="008767A4">
            <w:pPr>
              <w:pStyle w:val="02Tabletext"/>
              <w:keepNext w:val="0"/>
            </w:pPr>
            <w:r>
              <w:t>US</w:t>
            </w:r>
          </w:p>
        </w:tc>
        <w:tc>
          <w:tcPr>
            <w:tcW w:w="602" w:type="pct"/>
          </w:tcPr>
          <w:p w:rsidR="00A63D34" w:rsidRDefault="00A63D34" w:rsidP="008767A4">
            <w:pPr>
              <w:pStyle w:val="02Tabletext"/>
              <w:keepNext w:val="0"/>
            </w:pPr>
            <w:r>
              <w:t>RCT</w:t>
            </w:r>
          </w:p>
          <w:p w:rsidR="00A63D34" w:rsidRDefault="00A63D34" w:rsidP="008767A4">
            <w:pPr>
              <w:pStyle w:val="03Tabletextspacebefore"/>
            </w:pPr>
            <w:r>
              <w:t>12 months</w:t>
            </w:r>
          </w:p>
          <w:p w:rsidR="00A63D34" w:rsidRPr="00B73F0A" w:rsidRDefault="00FD0389" w:rsidP="008767A4">
            <w:pPr>
              <w:pStyle w:val="03Tabletextspacebefore"/>
            </w:pPr>
            <w:r>
              <w:rPr>
                <w:i/>
              </w:rPr>
              <w:t>Poor quality</w:t>
            </w:r>
          </w:p>
        </w:tc>
        <w:tc>
          <w:tcPr>
            <w:tcW w:w="507" w:type="pct"/>
          </w:tcPr>
          <w:p w:rsidR="00A63D34" w:rsidRDefault="00A63D34" w:rsidP="008767A4">
            <w:pPr>
              <w:pStyle w:val="02Tabletext"/>
              <w:keepNext w:val="0"/>
            </w:pPr>
            <w:r>
              <w:t xml:space="preserve">Patients &lt;65 years old prescribed </w:t>
            </w:r>
            <w:r w:rsidRPr="00EB0FDD">
              <w:t>sul</w:t>
            </w:r>
            <w:r>
              <w:t>fonylurea glyburide for diabetes</w:t>
            </w:r>
          </w:p>
        </w:tc>
        <w:tc>
          <w:tcPr>
            <w:tcW w:w="607" w:type="pct"/>
          </w:tcPr>
          <w:p w:rsidR="00A63D34" w:rsidRPr="006D5656" w:rsidRDefault="00A63D34" w:rsidP="008767A4">
            <w:pPr>
              <w:pStyle w:val="02Tabletext"/>
              <w:keepNext w:val="0"/>
            </w:pPr>
            <w:r>
              <w:t xml:space="preserve">Unit-of-use packaging) </w:t>
            </w:r>
            <w:r w:rsidRPr="004D616C">
              <w:t xml:space="preserve">with standard pharmaceutical care vs </w:t>
            </w:r>
            <w:r w:rsidRPr="002A12EA">
              <w:t>control (standard pharmaceutical care with standard medicine vial)</w:t>
            </w:r>
          </w:p>
        </w:tc>
        <w:tc>
          <w:tcPr>
            <w:tcW w:w="1266" w:type="pct"/>
          </w:tcPr>
          <w:p w:rsidR="00A63D34" w:rsidRDefault="00A63D34" w:rsidP="008767A4">
            <w:pPr>
              <w:pStyle w:val="02Tabletext"/>
            </w:pPr>
            <w:r>
              <w:t>Adherence</w:t>
            </w:r>
          </w:p>
          <w:p w:rsidR="00A63D34" w:rsidRDefault="00A63D34" w:rsidP="008767A4">
            <w:pPr>
              <w:pStyle w:val="06Tablebullet"/>
            </w:pPr>
            <w:r>
              <w:t>MPR: 0.71 vs 0.58 (P ≤0.05)</w:t>
            </w:r>
          </w:p>
        </w:tc>
        <w:tc>
          <w:tcPr>
            <w:tcW w:w="1558" w:type="pct"/>
          </w:tcPr>
          <w:p w:rsidR="00A63D34" w:rsidRDefault="00A63D34" w:rsidP="008767A4">
            <w:pPr>
              <w:pStyle w:val="02Tabletext"/>
              <w:keepNext w:val="0"/>
            </w:pPr>
            <w:r w:rsidRPr="002A731E">
              <w:t>Unit-of-use packaging alone or in combination with refill reminders, significantly increased the MPR</w:t>
            </w:r>
            <w:r>
              <w:t xml:space="preserve"> for </w:t>
            </w:r>
            <w:r w:rsidRPr="00633852">
              <w:t>sulfonylurea therapy</w:t>
            </w:r>
            <w:r>
              <w:t xml:space="preserve"> relative to controls.</w:t>
            </w:r>
          </w:p>
        </w:tc>
      </w:tr>
      <w:tr w:rsidR="00A63D34" w:rsidTr="00C2042E">
        <w:tc>
          <w:tcPr>
            <w:tcW w:w="460" w:type="pct"/>
          </w:tcPr>
          <w:p w:rsidR="00A63D34" w:rsidRDefault="00A63D34" w:rsidP="008767A4">
            <w:pPr>
              <w:pStyle w:val="02Tabletext"/>
              <w:keepNext w:val="0"/>
            </w:pPr>
            <w:r>
              <w:t>Becker (1985)</w:t>
            </w:r>
          </w:p>
          <w:p w:rsidR="00A63D34" w:rsidRPr="00B17A63" w:rsidRDefault="00A63D34" w:rsidP="008767A4">
            <w:pPr>
              <w:pStyle w:val="03Tabletextspacebefore"/>
            </w:pPr>
            <w:r>
              <w:t>US</w:t>
            </w:r>
          </w:p>
        </w:tc>
        <w:tc>
          <w:tcPr>
            <w:tcW w:w="602" w:type="pct"/>
          </w:tcPr>
          <w:p w:rsidR="00A63D34" w:rsidRDefault="00A63D34" w:rsidP="008767A4">
            <w:pPr>
              <w:pStyle w:val="02Tabletext"/>
              <w:keepNext w:val="0"/>
            </w:pPr>
            <w:r>
              <w:t>RCT</w:t>
            </w:r>
          </w:p>
          <w:p w:rsidR="00A63D34" w:rsidRDefault="00A63D34" w:rsidP="008767A4">
            <w:pPr>
              <w:pStyle w:val="03Tabletextspacebefore"/>
            </w:pPr>
            <w:r>
              <w:t>12 months</w:t>
            </w:r>
          </w:p>
          <w:p w:rsidR="00A63D34" w:rsidRPr="00B73F0A" w:rsidRDefault="00FD0389" w:rsidP="008767A4">
            <w:pPr>
              <w:pStyle w:val="03Tabletextspacebefore"/>
            </w:pPr>
            <w:r>
              <w:rPr>
                <w:i/>
              </w:rPr>
              <w:t>Poor quality</w:t>
            </w:r>
          </w:p>
        </w:tc>
        <w:tc>
          <w:tcPr>
            <w:tcW w:w="507" w:type="pct"/>
          </w:tcPr>
          <w:p w:rsidR="00A63D34" w:rsidRDefault="00A63D34" w:rsidP="008767A4">
            <w:pPr>
              <w:pStyle w:val="02Tabletext"/>
              <w:keepNext w:val="0"/>
            </w:pPr>
            <w:r>
              <w:t>Patients with poorly controlled diastolic hypertension</w:t>
            </w:r>
          </w:p>
        </w:tc>
        <w:tc>
          <w:tcPr>
            <w:tcW w:w="607" w:type="pct"/>
          </w:tcPr>
          <w:p w:rsidR="00A63D34" w:rsidRDefault="00A63D34" w:rsidP="008767A4">
            <w:pPr>
              <w:pStyle w:val="02Tabletext"/>
              <w:keepNext w:val="0"/>
            </w:pPr>
            <w:r w:rsidRPr="006D5656">
              <w:t>Drug reminder packaging</w:t>
            </w:r>
            <w:r>
              <w:t>:</w:t>
            </w:r>
          </w:p>
          <w:p w:rsidR="00A63D34" w:rsidRPr="00AD5B83" w:rsidRDefault="00A63D34" w:rsidP="008767A4">
            <w:pPr>
              <w:pStyle w:val="02Tabletext"/>
              <w:keepNext w:val="0"/>
            </w:pPr>
            <w:r>
              <w:t>m</w:t>
            </w:r>
            <w:r w:rsidRPr="006D5656">
              <w:t>ultidrug punch card</w:t>
            </w:r>
          </w:p>
        </w:tc>
        <w:tc>
          <w:tcPr>
            <w:tcW w:w="1266" w:type="pct"/>
          </w:tcPr>
          <w:p w:rsidR="00A63D34" w:rsidRDefault="00A63D34" w:rsidP="008767A4">
            <w:pPr>
              <w:pStyle w:val="02Tabletext"/>
              <w:keepNext w:val="0"/>
            </w:pPr>
            <w:r>
              <w:t>Adherence:</w:t>
            </w:r>
          </w:p>
          <w:p w:rsidR="00A63D34" w:rsidRDefault="00A63D34" w:rsidP="008767A4">
            <w:pPr>
              <w:pStyle w:val="06Tablebullet"/>
            </w:pPr>
            <w:r>
              <w:t>Pill count: n.s.</w:t>
            </w:r>
          </w:p>
          <w:p w:rsidR="00A63D34" w:rsidRDefault="00A63D34" w:rsidP="008767A4">
            <w:pPr>
              <w:pStyle w:val="06Tablebullet"/>
            </w:pPr>
            <w:r>
              <w:t>Self-report: n.s.</w:t>
            </w:r>
          </w:p>
          <w:p w:rsidR="00A63D34" w:rsidRDefault="00A63D34" w:rsidP="008767A4">
            <w:pPr>
              <w:pStyle w:val="03Tabletextspacebefore"/>
            </w:pPr>
            <w:r>
              <w:t>Clinical outcomes:</w:t>
            </w:r>
          </w:p>
          <w:p w:rsidR="00A63D34" w:rsidRDefault="00A63D34" w:rsidP="008767A4">
            <w:pPr>
              <w:pStyle w:val="06Tablebullet"/>
            </w:pPr>
            <w:r>
              <w:t>dBP: n.s.</w:t>
            </w:r>
          </w:p>
        </w:tc>
        <w:tc>
          <w:tcPr>
            <w:tcW w:w="1558" w:type="pct"/>
          </w:tcPr>
          <w:p w:rsidR="00A63D34" w:rsidRDefault="00A63D34" w:rsidP="008767A4">
            <w:pPr>
              <w:pStyle w:val="02Tabletext"/>
              <w:keepNext w:val="0"/>
            </w:pPr>
            <w:r>
              <w:t>There was no</w:t>
            </w:r>
            <w:r w:rsidRPr="00A33BA9">
              <w:t xml:space="preserve"> significant improvement in compliance with special packaging of anti</w:t>
            </w:r>
            <w:r>
              <w:t>-</w:t>
            </w:r>
            <w:r w:rsidRPr="00A33BA9">
              <w:t>hypertensive medications</w:t>
            </w:r>
            <w:r>
              <w:t>.</w:t>
            </w:r>
          </w:p>
        </w:tc>
      </w:tr>
    </w:tbl>
    <w:p w:rsidR="00A63D34" w:rsidRDefault="00A63D34" w:rsidP="00A63D34">
      <w:pPr>
        <w:pStyle w:val="08Tablefootnotes"/>
      </w:pPr>
      <w:r>
        <w:t>Abbreviations: 13C-urea breath test; (s, d)BP, (systolic, diastolic) blood pressure; cg, control group; CI, confidence interval; FAME, Federal Study of Adherence to Medications in the Elderly; INR, international normalised ratio; LDL-C, low density lipoprotein-cholesterol; m, months; MPR, medication possession ratio; NIDDM, non–insulin–dependent diabetes mellitus; No., number; n.s., not significant; NR, not reported; RP, reminder packaging; TDM, therapeutic drug monitoring; TTR, time in therapeutic range.</w:t>
      </w:r>
    </w:p>
    <w:p w:rsidR="00FD0389" w:rsidRPr="00432976" w:rsidRDefault="00FD0389" w:rsidP="00FD0389">
      <w:pPr>
        <w:pStyle w:val="08Tablefootnotes"/>
      </w:pPr>
      <w:r w:rsidRPr="00047771">
        <w:t xml:space="preserve">Note: </w:t>
      </w:r>
      <w:r w:rsidRPr="00C2042E">
        <w:rPr>
          <w:b/>
        </w:rPr>
        <w:t>Quality assessment</w:t>
      </w:r>
      <w:r w:rsidRPr="00047771">
        <w:t xml:space="preserve"> was undertaken </w:t>
      </w:r>
      <w:r w:rsidR="00047771" w:rsidRPr="00047771">
        <w:t xml:space="preserve">for the purposes of this review </w:t>
      </w:r>
      <w:r w:rsidRPr="00047771">
        <w:t>and is presented in Appendix 6.</w:t>
      </w:r>
    </w:p>
    <w:p w:rsidR="00A63D34" w:rsidRDefault="00A63D34" w:rsidP="00A63D34">
      <w:pPr>
        <w:pStyle w:val="BodyText"/>
      </w:pPr>
    </w:p>
    <w:p w:rsidR="00A63D34" w:rsidRDefault="00A63D34" w:rsidP="00A63D34">
      <w:pPr>
        <w:pStyle w:val="BodyText"/>
        <w:sectPr w:rsidR="00A63D34" w:rsidSect="00C2042E">
          <w:footerReference w:type="default" r:id="rId22"/>
          <w:pgSz w:w="16838" w:h="11906" w:orient="landscape" w:code="9"/>
          <w:pgMar w:top="1134" w:right="1134" w:bottom="1134" w:left="1134" w:header="680" w:footer="680" w:gutter="0"/>
          <w:cols w:space="708"/>
          <w:docGrid w:linePitch="360"/>
        </w:sectPr>
      </w:pPr>
    </w:p>
    <w:p w:rsidR="00D47C6E" w:rsidRDefault="00A63D34" w:rsidP="00A63D34">
      <w:pPr>
        <w:pStyle w:val="BodyText"/>
      </w:pPr>
      <w:r w:rsidRPr="00414F46">
        <w:lastRenderedPageBreak/>
        <w:t xml:space="preserve">The study by Dumas et al (2016) is a prospective cohort study that examined the impact of a pharmacy-packed pillbox on two clinical outcomes, time in therapeutic range (TTR) and international normalised ratio (INR) instability, among warfarin users. The study also examined the effect of </w:t>
      </w:r>
      <w:r w:rsidR="00047771">
        <w:t>non-pillbox users</w:t>
      </w:r>
      <w:r w:rsidR="00D47C6E">
        <w:t>,</w:t>
      </w:r>
      <w:r w:rsidR="00047771">
        <w:t xml:space="preserve"> and users of </w:t>
      </w:r>
      <w:r w:rsidRPr="00414F46">
        <w:t>a self-prepared pillbox</w:t>
      </w:r>
      <w:r w:rsidR="00D47C6E">
        <w:t>,</w:t>
      </w:r>
      <w:r w:rsidRPr="00414F46">
        <w:t xml:space="preserve"> on the same outcomes. The study included 1,069 new warfarin users, with a mean age of 70 years, who initiated warfarin between May 2010 and July 2013 within 17 hospi</w:t>
      </w:r>
      <w:r>
        <w:t>tals</w:t>
      </w:r>
      <w:r w:rsidRPr="00414F46">
        <w:t xml:space="preserve"> in Quebec, Canada. Nearly 76% had atrial fibrillation as warfarin</w:t>
      </w:r>
      <w:r>
        <w:t>’</w:t>
      </w:r>
      <w:r w:rsidRPr="00414F46">
        <w:t xml:space="preserve">s primary indication, and 35.6% had a previous history of myocardial infarction or angina. The demographic and clinical characteristics differed between the pharmacist-packed pillbox users and nonusers, thus creating a source of </w:t>
      </w:r>
      <w:r>
        <w:t>bias. P</w:t>
      </w:r>
      <w:r w:rsidRPr="00414F46">
        <w:t>harmacist-prepared pillbox users were older, disproportionally female, less educated, differed in their alcohol and green vegetable intake, were less active, more diabetic, had a greater history of myocardial infarction or angina, and were less prone to have a mechanic valve replacement as a main indication for warfarin than nonusers</w:t>
      </w:r>
      <w:r>
        <w:t xml:space="preserve">. </w:t>
      </w:r>
    </w:p>
    <w:p w:rsidR="00A63D34" w:rsidRDefault="00A63D34" w:rsidP="00A63D34">
      <w:pPr>
        <w:pStyle w:val="BodyText"/>
      </w:pPr>
      <w:r w:rsidRPr="00414F46">
        <w:t>A major limitation of this study was the growing number of losses to follow-up and exclusions from analysis by the time of the 12-month follow-up interview. The main cause was the discontinuation or temporary cessation of warfarin. The authors also noted that they were not able to directly measure the impact of pillbox use on adherence as there were potentially multiple warfarin dose adjustments and the use of electronic pillboxes</w:t>
      </w:r>
      <w:r>
        <w:t xml:space="preserve">. </w:t>
      </w:r>
      <w:r w:rsidR="00D47C6E">
        <w:t xml:space="preserve">It </w:t>
      </w:r>
      <w:r w:rsidR="00D95C9F">
        <w:t>i</w:t>
      </w:r>
      <w:r w:rsidR="00D47C6E">
        <w:t>s unclear from the publication whether the pillboxes prepared by pharmacists were tamper-</w:t>
      </w:r>
      <w:r w:rsidR="00D95C9F">
        <w:t>evident devices</w:t>
      </w:r>
      <w:r w:rsidR="00D47C6E">
        <w:t>.</w:t>
      </w:r>
    </w:p>
    <w:p w:rsidR="00A63D34" w:rsidRDefault="00A63D34" w:rsidP="00A63D34">
      <w:pPr>
        <w:pStyle w:val="BodyText"/>
      </w:pPr>
      <w:r>
        <w:t xml:space="preserve">A retrospective study by Dupclay et al (2012) evaluated the impact of reminder packaging on patient adherence and persistence to antihypertensive combination therapy over 11 months. The </w:t>
      </w:r>
      <w:r w:rsidR="00F171F3">
        <w:t>reminder packaging</w:t>
      </w:r>
      <w:r>
        <w:t xml:space="preserve"> was a monthly blister-packaged container of 30 valsartan-hydrochlorothiazide combination tablets with clear labelling information (days supplied, brand/generic name, storage information, instructions for use) found on the front of the </w:t>
      </w:r>
      <w:r w:rsidR="00F171F3">
        <w:t>reminder packaging</w:t>
      </w:r>
      <w:r>
        <w:t xml:space="preserve"> container. The study included a total of 9266 matched patients who switched to using a single-pill combination of valsartan-hydrochlorothiazide in </w:t>
      </w:r>
      <w:r w:rsidR="00F171F3">
        <w:t>reminder packaging</w:t>
      </w:r>
      <w:r>
        <w:t xml:space="preserve"> at index date (6 months post-enrolment and starting antihypertensive combination therapy without packaging) compared with patients remaining on the combination without </w:t>
      </w:r>
      <w:r w:rsidR="00F171F3">
        <w:t>reminder packaging</w:t>
      </w:r>
      <w:r>
        <w:t xml:space="preserve"> (n=4633). Patients were propensity score-matched on baseline adherence and background demographic variables, including comorbidities. A major limitation of the study is its retrospective nature, thus introducing selection bias that may confound the relationship between treatment and the outcomes of interest. </w:t>
      </w:r>
    </w:p>
    <w:p w:rsidR="00A63D34" w:rsidRDefault="00A63D34" w:rsidP="00A63D34">
      <w:pPr>
        <w:pStyle w:val="BodyText"/>
      </w:pPr>
      <w:r>
        <w:t>The multicentre RCT by Schneider et al (2008)</w:t>
      </w:r>
      <w:r w:rsidRPr="00633852">
        <w:t xml:space="preserve"> </w:t>
      </w:r>
      <w:r w:rsidRPr="00691B24">
        <w:t>evaluate</w:t>
      </w:r>
      <w:r>
        <w:t>d</w:t>
      </w:r>
      <w:r w:rsidRPr="00691B24">
        <w:t xml:space="preserve"> medication </w:t>
      </w:r>
      <w:r>
        <w:t>adherence</w:t>
      </w:r>
      <w:r w:rsidRPr="00691B24">
        <w:t xml:space="preserve"> in elderly outpatients using daily-dose blister packaging (Pill Calendar) compared with medications packaged in bottles of loose tablets.</w:t>
      </w:r>
      <w:r>
        <w:t xml:space="preserve"> The study</w:t>
      </w:r>
      <w:r w:rsidRPr="00691B24">
        <w:t xml:space="preserve"> included 85 participants aged 65 years or older, prescribed </w:t>
      </w:r>
      <w:r w:rsidR="00D63E22">
        <w:t xml:space="preserve">the </w:t>
      </w:r>
      <w:r w:rsidR="00D63E22" w:rsidRPr="00691B24">
        <w:t>antihypertensive medicine</w:t>
      </w:r>
      <w:r w:rsidR="00D63E22">
        <w:t xml:space="preserve"> </w:t>
      </w:r>
      <w:r>
        <w:t>l</w:t>
      </w:r>
      <w:r w:rsidR="00D63E22">
        <w:t>isinopril</w:t>
      </w:r>
      <w:r>
        <w:t>. Forty-seven patients were randomised to</w:t>
      </w:r>
      <w:r w:rsidRPr="00691B24">
        <w:t xml:space="preserve"> receive daily-dose blister</w:t>
      </w:r>
      <w:r>
        <w:t xml:space="preserve"> packaged medicine (Pill Calenda</w:t>
      </w:r>
      <w:r w:rsidRPr="00691B24">
        <w:t>r, a single card containing 28 days of ther</w:t>
      </w:r>
      <w:r>
        <w:t>apy arranged in weekly rows,</w:t>
      </w:r>
      <w:r w:rsidRPr="00691B24">
        <w:t xml:space="preserve"> labelled with medication-specific instructions and the day of the week on which the dose was to be taken). Patients in the control group</w:t>
      </w:r>
      <w:r>
        <w:t xml:space="preserve"> (n=38)</w:t>
      </w:r>
      <w:r w:rsidRPr="00691B24">
        <w:t xml:space="preserve"> received their antihypertensive medicine in traditional bottles of loose tablets.</w:t>
      </w:r>
      <w:r w:rsidR="00443A35">
        <w:t xml:space="preserve"> </w:t>
      </w:r>
      <w:r w:rsidRPr="00691B24">
        <w:t>Patients returned for refills every 28 days during a 12 month period where the pharmacist would record the time between prescription refills for the medicine and any study-related problems</w:t>
      </w:r>
      <w:r>
        <w:t>. A major limitation of t</w:t>
      </w:r>
      <w:r w:rsidRPr="00603F99">
        <w:t xml:space="preserve">his study </w:t>
      </w:r>
      <w:r>
        <w:t>was the</w:t>
      </w:r>
      <w:r w:rsidRPr="00603F99">
        <w:t xml:space="preserve"> rela</w:t>
      </w:r>
      <w:r w:rsidR="007B7D50">
        <w:t>tively small number of patients,</w:t>
      </w:r>
      <w:r w:rsidRPr="00603F99">
        <w:t xml:space="preserve"> the tracking of only </w:t>
      </w:r>
      <w:r w:rsidR="00D63E22">
        <w:t>one disease, and the short time</w:t>
      </w:r>
      <w:r w:rsidRPr="00603F99">
        <w:t>frame relative to some of the long-term outcomes measured</w:t>
      </w:r>
      <w:r>
        <w:t xml:space="preserve">. </w:t>
      </w:r>
      <w:r w:rsidR="004C62B0">
        <w:t>The imbalance in patient numbers in each study arm was not justified by the authors.</w:t>
      </w:r>
    </w:p>
    <w:p w:rsidR="00A63D34" w:rsidRDefault="00A63D34" w:rsidP="00A63D34">
      <w:pPr>
        <w:pStyle w:val="BodyText"/>
      </w:pPr>
      <w:r>
        <w:t xml:space="preserve">The Vitamins, Teachers, and Longevity (VITAL) RCT by Huang et al (2000) compared the effect of different types of pill packaging on adherence in healthy subjects taking vitamin E. The study included 297 individuals randomised to one of two types of pill packaging (blister pack or pill bottles along with organisers) and to one of two supplement groups (placebo or an antioxidant </w:t>
      </w:r>
      <w:r>
        <w:lastRenderedPageBreak/>
        <w:t xml:space="preserve">vitamin preparation that provided 400 </w:t>
      </w:r>
      <w:r w:rsidR="00384AA1">
        <w:t>international units</w:t>
      </w:r>
      <w:r>
        <w:t xml:space="preserve">/day of vitamin E). Participants in the blister-pack group (n=149) received four packs of 31 blisters labelled with dates, whereas participants in the pill organiser group (n=148) packed their own pills. Baseline patient characteristics were well matched in the two groups. Unlike the other included studies, this trial did not include a control arm with no reminder packaging. The results should be interpreted with this in mind, as not all community patients would use pill organisers for vitamin E supplements. </w:t>
      </w:r>
    </w:p>
    <w:p w:rsidR="00A63D34" w:rsidRDefault="00A63D34" w:rsidP="00A63D34">
      <w:pPr>
        <w:pStyle w:val="BodyText"/>
      </w:pPr>
      <w:r w:rsidRPr="00176BE3">
        <w:t xml:space="preserve">The </w:t>
      </w:r>
      <w:r>
        <w:t xml:space="preserve">RCT by </w:t>
      </w:r>
      <w:r w:rsidRPr="00176BE3">
        <w:t xml:space="preserve">Simmons </w:t>
      </w:r>
      <w:r>
        <w:t>et al (</w:t>
      </w:r>
      <w:r w:rsidRPr="00176BE3">
        <w:t>2000</w:t>
      </w:r>
      <w:r>
        <w:t>)</w:t>
      </w:r>
      <w:r w:rsidRPr="00176BE3">
        <w:t xml:space="preserve"> examined the impact of calendar blister pack (CBP) use on glyc</w:t>
      </w:r>
      <w:r>
        <w:t>a</w:t>
      </w:r>
      <w:r w:rsidRPr="00176BE3">
        <w:t>emic</w:t>
      </w:r>
      <w:r>
        <w:t xml:space="preserve"> and blood pressure control. The study included 68 patients with an</w:t>
      </w:r>
      <w:r w:rsidRPr="00C41C77">
        <w:t xml:space="preserve"> average age of </w:t>
      </w:r>
      <w:r>
        <w:t>54 years, with poor blood glucose control (</w:t>
      </w:r>
      <w:r w:rsidR="004C62B0" w:rsidRPr="00C41C77">
        <w:t xml:space="preserve">glycated haemoglobin </w:t>
      </w:r>
      <w:r w:rsidR="004C62B0">
        <w:t>[</w:t>
      </w:r>
      <w:r w:rsidRPr="00176BE3">
        <w:t>HbA</w:t>
      </w:r>
      <w:r w:rsidR="004C62B0">
        <w:rPr>
          <w:vertAlign w:val="subscript"/>
        </w:rPr>
        <w:t>1</w:t>
      </w:r>
      <w:r w:rsidRPr="00176BE3">
        <w:rPr>
          <w:vertAlign w:val="subscript"/>
        </w:rPr>
        <w:t>c</w:t>
      </w:r>
      <w:r w:rsidR="004C62B0">
        <w:rPr>
          <w:vertAlign w:val="subscript"/>
        </w:rPr>
        <w:t>]</w:t>
      </w:r>
      <w:r w:rsidRPr="00176BE3">
        <w:rPr>
          <w:vertAlign w:val="subscript"/>
        </w:rPr>
        <w:t xml:space="preserve"> </w:t>
      </w:r>
      <w:r>
        <w:t xml:space="preserve">&gt;9%). Thirty six patients were </w:t>
      </w:r>
      <w:r w:rsidRPr="00176BE3">
        <w:t xml:space="preserve">randomised </w:t>
      </w:r>
      <w:r>
        <w:t xml:space="preserve">to receive a CBP prepared at one pharmacy, marked with the days of the week and the time of dosage. The control group (n=32) received the same packaging but with the medication contained within the usual containers. Outcome measures included </w:t>
      </w:r>
      <w:r w:rsidRPr="00C41C77">
        <w:t>glycated haemoglobin (HbA</w:t>
      </w:r>
      <w:r w:rsidRPr="00C41C77">
        <w:rPr>
          <w:vertAlign w:val="subscript"/>
        </w:rPr>
        <w:t>1c</w:t>
      </w:r>
      <w:r>
        <w:t xml:space="preserve">), systolic and diastolic blood pressure </w:t>
      </w:r>
      <w:r w:rsidRPr="00C41C77">
        <w:t>levels</w:t>
      </w:r>
      <w:r>
        <w:t xml:space="preserve"> at four and eight months</w:t>
      </w:r>
      <w:r w:rsidR="004C62B0">
        <w:t>’</w:t>
      </w:r>
      <w:r>
        <w:t xml:space="preserve"> follow-up. </w:t>
      </w:r>
    </w:p>
    <w:p w:rsidR="00A63D34" w:rsidRDefault="00A63D34" w:rsidP="007429A8">
      <w:pPr>
        <w:pStyle w:val="BodyText"/>
      </w:pPr>
      <w:r>
        <w:t>A</w:t>
      </w:r>
      <w:r w:rsidRPr="005923E5">
        <w:t xml:space="preserve"> small study by Winland-Brown (2000) examined the effect of a prefilled pillbox on medication </w:t>
      </w:r>
      <w:r w:rsidRPr="004C62B0">
        <w:t xml:space="preserve">adherence. </w:t>
      </w:r>
      <w:r w:rsidR="007429A8" w:rsidRPr="004C62B0">
        <w:t>The pillbox was marked with the days of the week in which individual doses were stored and pre-filled by the pharmacist on a weekly basis</w:t>
      </w:r>
      <w:r w:rsidR="006C5032" w:rsidRPr="004C62B0">
        <w:t xml:space="preserve">. It </w:t>
      </w:r>
      <w:r w:rsidR="00D95C9F">
        <w:t>is</w:t>
      </w:r>
      <w:r w:rsidR="006C5032" w:rsidRPr="004C62B0">
        <w:t xml:space="preserve"> unclear </w:t>
      </w:r>
      <w:r w:rsidR="00D95C9F">
        <w:t>from the publication whether the pillbox was tamper-evident</w:t>
      </w:r>
      <w:r w:rsidR="006C5032" w:rsidRPr="004C62B0">
        <w:t>.</w:t>
      </w:r>
      <w:r w:rsidR="007429A8" w:rsidRPr="004C62B0">
        <w:t xml:space="preserve"> </w:t>
      </w:r>
      <w:r w:rsidRPr="004C62B0">
        <w:t>The study included 61 independent elders aged &gt;70 years with a variety of medical conditions,</w:t>
      </w:r>
      <w:r w:rsidRPr="005923E5">
        <w:t xml:space="preserve"> who had experienced an episode of medication mismanageme</w:t>
      </w:r>
      <w:r w:rsidR="0055178A">
        <w:t>nt. The intervention group (n=</w:t>
      </w:r>
      <w:r w:rsidRPr="005923E5">
        <w:t>16) received a pillbox marked with the days of the week</w:t>
      </w:r>
      <w:r>
        <w:t>,</w:t>
      </w:r>
      <w:r w:rsidRPr="005923E5">
        <w:t xml:space="preserve"> which was prefilled on a weekly basis</w:t>
      </w:r>
      <w:r>
        <w:t>.</w:t>
      </w:r>
      <w:r w:rsidRPr="005923E5">
        <w:t xml:space="preserve"> </w:t>
      </w:r>
      <w:r>
        <w:t>T</w:t>
      </w:r>
      <w:r w:rsidR="0055178A">
        <w:t>he control group (n=</w:t>
      </w:r>
      <w:r w:rsidRPr="005923E5">
        <w:t xml:space="preserve">21) dispensed their own medications. </w:t>
      </w:r>
    </w:p>
    <w:p w:rsidR="00A63D34" w:rsidRDefault="00A63D34" w:rsidP="00A63D34">
      <w:pPr>
        <w:pStyle w:val="BodyText"/>
      </w:pPr>
      <w:r w:rsidRPr="005923E5">
        <w:t xml:space="preserve">The two Skaer trials (1993a; 1993b) examined the use of a </w:t>
      </w:r>
      <w:r w:rsidR="00757314">
        <w:t>unit-of-use packaging</w:t>
      </w:r>
      <w:r w:rsidRPr="005923E5">
        <w:t xml:space="preserve"> (with or without a refill reminder) on adherence in t</w:t>
      </w:r>
      <w:r w:rsidR="00276F96">
        <w:t>wo separate patient populations:</w:t>
      </w:r>
      <w:r w:rsidRPr="005923E5">
        <w:t xml:space="preserve"> hypertension and </w:t>
      </w:r>
      <w:r w:rsidR="004C62B0">
        <w:t>non-insulin dependent diabetes mellitus</w:t>
      </w:r>
      <w:r w:rsidR="004C62B0" w:rsidRPr="005923E5">
        <w:t xml:space="preserve"> </w:t>
      </w:r>
      <w:r w:rsidR="004C62B0">
        <w:t>(</w:t>
      </w:r>
      <w:r w:rsidRPr="005923E5">
        <w:t>NIDDM</w:t>
      </w:r>
      <w:r w:rsidR="004C62B0">
        <w:t>)</w:t>
      </w:r>
      <w:r w:rsidRPr="005923E5">
        <w:t xml:space="preserve">. The two studies used a factorial design with a reminder package and a medication-refill reminder </w:t>
      </w:r>
      <w:r>
        <w:t>(</w:t>
      </w:r>
      <w:r w:rsidRPr="005923E5">
        <w:t>sent by mail 10 days prior to each sequential refill date</w:t>
      </w:r>
      <w:r>
        <w:t xml:space="preserve">) </w:t>
      </w:r>
      <w:r w:rsidRPr="005923E5">
        <w:t>as interventions</w:t>
      </w:r>
      <w:r w:rsidRPr="00276F96">
        <w:t xml:space="preserve">. The </w:t>
      </w:r>
      <w:r w:rsidR="00757314" w:rsidRPr="00276F96">
        <w:t>unit-of-use</w:t>
      </w:r>
      <w:r w:rsidRPr="00276F96">
        <w:t xml:space="preserve"> packaging </w:t>
      </w:r>
      <w:r w:rsidR="006C5032" w:rsidRPr="00276F96">
        <w:t xml:space="preserve">was pharmacy-filled, and </w:t>
      </w:r>
      <w:r w:rsidRPr="00276F96">
        <w:t>was composed of a sequentially numbered 30-day supply inventory tray with easy access compartments, marked with the days of the week.</w:t>
      </w:r>
      <w:r w:rsidR="0081544B" w:rsidRPr="00276F96">
        <w:t xml:space="preserve"> </w:t>
      </w:r>
      <w:r w:rsidR="00D95C9F">
        <w:t>It is not clear from the publication whether the compliance aid was a tamper-evident device</w:t>
      </w:r>
      <w:r w:rsidR="0081544B" w:rsidRPr="00276F96">
        <w:t>.</w:t>
      </w:r>
      <w:r w:rsidRPr="00276F96">
        <w:t xml:space="preserve"> Each trial</w:t>
      </w:r>
      <w:r w:rsidRPr="005923E5">
        <w:t xml:space="preserve"> included four groups that provided comparisons made between the reminder pack versus control</w:t>
      </w:r>
      <w:r w:rsidR="00276F96">
        <w:t>,</w:t>
      </w:r>
      <w:r w:rsidRPr="005923E5">
        <w:t xml:space="preserve"> and reminder pack plus refill reminder versus refill reminder only. </w:t>
      </w:r>
      <w:r>
        <w:t xml:space="preserve">Both studies used </w:t>
      </w:r>
      <w:r w:rsidR="00276F96">
        <w:t>medication possession ratio</w:t>
      </w:r>
      <w:r w:rsidR="00276F96" w:rsidRPr="005923E5">
        <w:t xml:space="preserve"> </w:t>
      </w:r>
      <w:r w:rsidR="00276F96">
        <w:t>(</w:t>
      </w:r>
      <w:r w:rsidRPr="005923E5">
        <w:t>MPR</w:t>
      </w:r>
      <w:r w:rsidR="00276F96">
        <w:t>)</w:t>
      </w:r>
      <w:r w:rsidR="003B1917">
        <w:t xml:space="preserve"> to measure </w:t>
      </w:r>
      <w:r>
        <w:t>adherence</w:t>
      </w:r>
      <w:r w:rsidRPr="005923E5">
        <w:t xml:space="preserve">. </w:t>
      </w:r>
      <w:r>
        <w:t>C</w:t>
      </w:r>
      <w:r w:rsidRPr="005923E5" w:rsidDel="00B0544C">
        <w:t>osts were also calculated as the sum of anticipated prescription, physician, hospital and laboratory costs</w:t>
      </w:r>
      <w:r w:rsidDel="00B0544C">
        <w:t xml:space="preserve">, and are further discussed in </w:t>
      </w:r>
      <w:r w:rsidRPr="00883C7A" w:rsidDel="00B0544C">
        <w:t xml:space="preserve">Section </w:t>
      </w:r>
      <w:r w:rsidR="003B1917" w:rsidRPr="00883C7A">
        <w:fldChar w:fldCharType="begin"/>
      </w:r>
      <w:r w:rsidR="003B1917" w:rsidRPr="00883C7A">
        <w:instrText xml:space="preserve"> REF _Ref462732569 \r \h </w:instrText>
      </w:r>
      <w:r w:rsidR="00883C7A">
        <w:instrText xml:space="preserve"> \* MERGEFORMAT </w:instrText>
      </w:r>
      <w:r w:rsidR="003B1917" w:rsidRPr="00883C7A">
        <w:fldChar w:fldCharType="separate"/>
      </w:r>
      <w:r w:rsidR="00964233">
        <w:t>6</w:t>
      </w:r>
      <w:r w:rsidR="003B1917" w:rsidRPr="00883C7A">
        <w:fldChar w:fldCharType="end"/>
      </w:r>
      <w:r w:rsidRPr="00883C7A" w:rsidDel="00B0544C">
        <w:t xml:space="preserve"> of this Report.</w:t>
      </w:r>
    </w:p>
    <w:p w:rsidR="00A63D34" w:rsidRDefault="00A63D34" w:rsidP="00A63D34">
      <w:pPr>
        <w:pStyle w:val="BodyText"/>
      </w:pPr>
      <w:r>
        <w:t>The trial by Skaer et al (1993a) examined the impact of reminder packaging on prescription refill compliance with antihypertensive therapy. The study included 304 patients &lt;65 years old with untreated hypertension, prescribed calcium channel antagonist (verapamil) once daily. P</w:t>
      </w:r>
      <w:r w:rsidRPr="00A446E5">
        <w:t xml:space="preserve">atients were randomly assigned to one of the four groups </w:t>
      </w:r>
      <w:r>
        <w:t>described</w:t>
      </w:r>
      <w:r w:rsidRPr="00A446E5">
        <w:t xml:space="preserve"> above.</w:t>
      </w:r>
      <w:r>
        <w:t xml:space="preserve"> The intervention group (n=85) received standard pharmaceutical care and was provided unit-of-use reminder packaging with each prescription-refill request. Participants in the control cohort (n=78) received standard pharmaceutical care with each dispensing of antihypertensive therapy. </w:t>
      </w:r>
    </w:p>
    <w:p w:rsidR="00A63D34" w:rsidRDefault="00A63D34" w:rsidP="00A63D34">
      <w:pPr>
        <w:pStyle w:val="BodyText"/>
      </w:pPr>
      <w:r w:rsidRPr="005923E5">
        <w:t xml:space="preserve">The Skaer </w:t>
      </w:r>
      <w:r>
        <w:t>(</w:t>
      </w:r>
      <w:r w:rsidRPr="005923E5">
        <w:t>1993b</w:t>
      </w:r>
      <w:r>
        <w:t>)</w:t>
      </w:r>
      <w:r w:rsidRPr="005923E5">
        <w:t xml:space="preserve"> NIDDM </w:t>
      </w:r>
      <w:r>
        <w:t>RCT</w:t>
      </w:r>
      <w:r w:rsidRPr="005923E5">
        <w:t xml:space="preserve"> included a total of 258 </w:t>
      </w:r>
      <w:r>
        <w:t>patients aged &lt;65 years of age</w:t>
      </w:r>
      <w:r w:rsidRPr="005923E5">
        <w:t xml:space="preserve"> prescribed glyburide twice daily</w:t>
      </w:r>
      <w:r>
        <w:t>. Study participants</w:t>
      </w:r>
      <w:r w:rsidRPr="005923E5">
        <w:t xml:space="preserve"> were not to have received an alternative sulphonylurea or have utilised insulin post receipt of the initial prescription, and </w:t>
      </w:r>
      <w:r>
        <w:t xml:space="preserve">were </w:t>
      </w:r>
      <w:r w:rsidRPr="005923E5">
        <w:t xml:space="preserve">not to have prescription medicines for other disease states. Patients were randomly assigned to one of the four groups </w:t>
      </w:r>
      <w:r>
        <w:t>described</w:t>
      </w:r>
      <w:r w:rsidRPr="005923E5">
        <w:t xml:space="preserve"> above. Patients in the intervention group r</w:t>
      </w:r>
      <w:r w:rsidR="0055178A">
        <w:t>elevant to this assessment (n=</w:t>
      </w:r>
      <w:r w:rsidRPr="005923E5">
        <w:t>53) received standard pharmaceutical care and were provided unit-of-use packaging with each prescription refill request. The control</w:t>
      </w:r>
      <w:r w:rsidR="0055178A">
        <w:t xml:space="preserve"> group (n=</w:t>
      </w:r>
      <w:r w:rsidRPr="005923E5">
        <w:t xml:space="preserve">78) received standard pharmaceutical care with each dispensing of </w:t>
      </w:r>
      <w:r w:rsidRPr="005923E5">
        <w:lastRenderedPageBreak/>
        <w:t>glyburide. Analysis occurred at 0 to 3 months prior to receipt of the initial glyburide prescription, and 0 to 12 months post receipt of the initial glyburide prescription</w:t>
      </w:r>
      <w:r>
        <w:t>.</w:t>
      </w:r>
    </w:p>
    <w:p w:rsidR="00A63D34" w:rsidRDefault="00A63D34" w:rsidP="002C73AD">
      <w:pPr>
        <w:pStyle w:val="BodyText"/>
      </w:pPr>
      <w:r>
        <w:t>A major limitation of the two Skaer RCTs is that they</w:t>
      </w:r>
      <w:r w:rsidRPr="005923E5">
        <w:t xml:space="preserve"> did not relate findings on medication adherence to other aspects of </w:t>
      </w:r>
      <w:r>
        <w:t>disease self-management (e.g.</w:t>
      </w:r>
      <w:r w:rsidRPr="005923E5">
        <w:t xml:space="preserve"> self-monitoring of blood glucose or patient self-efficacy</w:t>
      </w:r>
      <w:r>
        <w:t>)</w:t>
      </w:r>
      <w:r w:rsidRPr="005923E5">
        <w:t>. Another limitation of th</w:t>
      </w:r>
      <w:r>
        <w:t>ese two studies</w:t>
      </w:r>
      <w:r w:rsidRPr="005923E5">
        <w:t xml:space="preserve"> is selection bias due to the methods of randomisation being unclear, with unbalanced groups in the in</w:t>
      </w:r>
      <w:r>
        <w:t>tervention and control groups</w:t>
      </w:r>
      <w:r w:rsidRPr="005923E5">
        <w:t>.</w:t>
      </w:r>
      <w:r>
        <w:t xml:space="preserve"> </w:t>
      </w:r>
    </w:p>
    <w:p w:rsidR="00A63D34" w:rsidRDefault="00A63D34" w:rsidP="00A63D34">
      <w:pPr>
        <w:pStyle w:val="BodyText"/>
      </w:pPr>
      <w:r w:rsidRPr="00254F8B">
        <w:t xml:space="preserve">The </w:t>
      </w:r>
      <w:r>
        <w:t>RCT</w:t>
      </w:r>
      <w:r w:rsidRPr="00254F8B">
        <w:t xml:space="preserve"> by Becker et al (1986) evaluated the use of special packaging of antihypertensive medication on compliance and blood pressure control. </w:t>
      </w:r>
      <w:r>
        <w:t>The study</w:t>
      </w:r>
      <w:r w:rsidRPr="00254F8B">
        <w:t xml:space="preserve"> included 180 patients aged 20 to 80 years taking medication for previously diagnosed hypertension. All patients had demonstrated poor blood pressure control (diastolic &gt; 90 mm Hg) on at least one visit during the preceding </w:t>
      </w:r>
      <w:r>
        <w:t>two years</w:t>
      </w:r>
      <w:r w:rsidRPr="00254F8B">
        <w:t>. Patients</w:t>
      </w:r>
      <w:r w:rsidR="0055178A">
        <w:t xml:space="preserve"> in the intervention group (n=</w:t>
      </w:r>
      <w:r w:rsidRPr="00254F8B">
        <w:t xml:space="preserve">86) received their medications in a single plastic blister sealed pack sealed with a foil backing on which was printed the day of the week and the time of day at which each medication was to be taken. Patients in the control group received all of their antihypertensive medicines in the conventional pill vials (separate vials for each pill that were labelled with the medicine name, the dosage, the medicine instructions, and the physician’s name). All medicines for both groups were provided free of charge to ensure that all patients would receive their medicines. </w:t>
      </w:r>
    </w:p>
    <w:p w:rsidR="00A63D34" w:rsidRPr="005923E5" w:rsidRDefault="00A63D34" w:rsidP="00A63D34">
      <w:pPr>
        <w:pStyle w:val="Heading3"/>
        <w:numPr>
          <w:ilvl w:val="2"/>
          <w:numId w:val="38"/>
        </w:numPr>
      </w:pPr>
      <w:bookmarkStart w:id="101" w:name="_Ref462753984"/>
      <w:bookmarkStart w:id="102" w:name="_Toc523230298"/>
      <w:r w:rsidRPr="005923E5">
        <w:t>Adherence</w:t>
      </w:r>
      <w:bookmarkEnd w:id="101"/>
      <w:bookmarkEnd w:id="102"/>
    </w:p>
    <w:p w:rsidR="00A63D34" w:rsidRDefault="00A63D34" w:rsidP="00527B90">
      <w:r>
        <w:t>Seven studies</w:t>
      </w:r>
      <w:r w:rsidR="005D75F9">
        <w:t>, all from the US,</w:t>
      </w:r>
      <w:r>
        <w:t xml:space="preserve"> </w:t>
      </w:r>
      <w:r w:rsidRPr="00633852">
        <w:t>provide</w:t>
      </w:r>
      <w:r>
        <w:t xml:space="preserve">d relevant </w:t>
      </w:r>
      <w:r w:rsidRPr="00633852">
        <w:t>information on adherence</w:t>
      </w:r>
      <w:r w:rsidR="005D75F9">
        <w:t xml:space="preserve">, measured either by MPR or pill count </w:t>
      </w:r>
      <w:r w:rsidR="00BE2592">
        <w:t xml:space="preserve">(see </w:t>
      </w:r>
      <w:r w:rsidR="00BE2592">
        <w:fldChar w:fldCharType="begin"/>
      </w:r>
      <w:r w:rsidR="00BE2592">
        <w:instrText xml:space="preserve"> REF _Ref463218449 \h </w:instrText>
      </w:r>
      <w:r w:rsidR="00BE2592">
        <w:fldChar w:fldCharType="separate"/>
      </w:r>
      <w:r w:rsidR="00964233" w:rsidRPr="00883C7A">
        <w:t xml:space="preserve">Table </w:t>
      </w:r>
      <w:r w:rsidR="00964233">
        <w:rPr>
          <w:noProof/>
        </w:rPr>
        <w:t>5</w:t>
      </w:r>
      <w:r w:rsidR="00964233">
        <w:t>.</w:t>
      </w:r>
      <w:r w:rsidR="00964233">
        <w:rPr>
          <w:noProof/>
        </w:rPr>
        <w:t>5</w:t>
      </w:r>
      <w:r w:rsidR="00BE2592">
        <w:fldChar w:fldCharType="end"/>
      </w:r>
      <w:r w:rsidR="00BE2592">
        <w:t>)</w:t>
      </w:r>
      <w:r>
        <w:t>.</w:t>
      </w:r>
    </w:p>
    <w:p w:rsidR="00C66CC3" w:rsidRDefault="00C66CC3" w:rsidP="00C66CC3">
      <w:pPr>
        <w:pStyle w:val="Caption"/>
      </w:pPr>
      <w:bookmarkStart w:id="103" w:name="_Ref463218449"/>
      <w:bookmarkStart w:id="104" w:name="_Toc523230337"/>
      <w:r w:rsidRPr="00883C7A">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5</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5</w:t>
      </w:r>
      <w:r w:rsidR="00964233">
        <w:rPr>
          <w:noProof/>
        </w:rPr>
        <w:fldChar w:fldCharType="end"/>
      </w:r>
      <w:bookmarkEnd w:id="103"/>
      <w:r w:rsidRPr="00883C7A">
        <w:tab/>
        <w:t xml:space="preserve">Summary of </w:t>
      </w:r>
      <w:r w:rsidR="00BE2592">
        <w:t>adherence outcomes</w:t>
      </w:r>
      <w:r w:rsidR="008D279D">
        <w:t xml:space="preserve"> from included primary studies</w:t>
      </w:r>
      <w:bookmarkEnd w:id="104"/>
    </w:p>
    <w:tbl>
      <w:tblPr>
        <w:tblStyle w:val="TableGrid"/>
        <w:tblW w:w="5000" w:type="pct"/>
        <w:tblLook w:val="04A0" w:firstRow="1" w:lastRow="0" w:firstColumn="1" w:lastColumn="0" w:noHBand="0" w:noVBand="1"/>
        <w:tblCaption w:val="Table 5.5"/>
        <w:tblDescription w:val="Summary of adherence outcomes from included primary studies"/>
      </w:tblPr>
      <w:tblGrid>
        <w:gridCol w:w="1954"/>
        <w:gridCol w:w="1507"/>
        <w:gridCol w:w="745"/>
        <w:gridCol w:w="953"/>
        <w:gridCol w:w="949"/>
        <w:gridCol w:w="815"/>
        <w:gridCol w:w="953"/>
        <w:gridCol w:w="949"/>
        <w:gridCol w:w="803"/>
      </w:tblGrid>
      <w:tr w:rsidR="00917D0A" w:rsidTr="00277A35">
        <w:trPr>
          <w:cnfStyle w:val="100000000000" w:firstRow="1" w:lastRow="0" w:firstColumn="0" w:lastColumn="0" w:oddVBand="0" w:evenVBand="0" w:oddHBand="0" w:evenHBand="0" w:firstRowFirstColumn="0" w:firstRowLastColumn="0" w:lastRowFirstColumn="0" w:lastRowLastColumn="0"/>
        </w:trPr>
        <w:tc>
          <w:tcPr>
            <w:tcW w:w="1014" w:type="pct"/>
            <w:tcBorders>
              <w:bottom w:val="nil"/>
            </w:tcBorders>
            <w:shd w:val="clear" w:color="auto" w:fill="1F4E79" w:themeFill="accent1" w:themeFillShade="80"/>
          </w:tcPr>
          <w:p w:rsidR="00917D0A" w:rsidRPr="006D5656" w:rsidRDefault="00917D0A" w:rsidP="00C66CC3">
            <w:pPr>
              <w:pStyle w:val="01Tableheaderrow"/>
              <w:rPr>
                <w:snapToGrid w:val="0"/>
              </w:rPr>
            </w:pPr>
          </w:p>
        </w:tc>
        <w:tc>
          <w:tcPr>
            <w:tcW w:w="782" w:type="pct"/>
            <w:tcBorders>
              <w:bottom w:val="nil"/>
            </w:tcBorders>
            <w:shd w:val="clear" w:color="auto" w:fill="1F4E79" w:themeFill="accent1" w:themeFillShade="80"/>
          </w:tcPr>
          <w:p w:rsidR="00917D0A" w:rsidRDefault="00917D0A" w:rsidP="00C66CC3">
            <w:pPr>
              <w:pStyle w:val="01Tableheaderrow"/>
            </w:pPr>
          </w:p>
        </w:tc>
        <w:tc>
          <w:tcPr>
            <w:tcW w:w="387" w:type="pct"/>
            <w:tcBorders>
              <w:bottom w:val="nil"/>
            </w:tcBorders>
            <w:shd w:val="clear" w:color="auto" w:fill="1F4E79" w:themeFill="accent1" w:themeFillShade="80"/>
          </w:tcPr>
          <w:p w:rsidR="00917D0A" w:rsidRDefault="00917D0A" w:rsidP="00883C7A">
            <w:pPr>
              <w:pStyle w:val="01Tableheaderrow"/>
              <w:jc w:val="right"/>
              <w:rPr>
                <w:snapToGrid w:val="0"/>
              </w:rPr>
            </w:pPr>
          </w:p>
        </w:tc>
        <w:tc>
          <w:tcPr>
            <w:tcW w:w="495" w:type="pct"/>
            <w:tcBorders>
              <w:bottom w:val="single" w:sz="4" w:space="0" w:color="auto"/>
              <w:right w:val="nil"/>
            </w:tcBorders>
            <w:shd w:val="clear" w:color="auto" w:fill="1F4E79" w:themeFill="accent1" w:themeFillShade="80"/>
          </w:tcPr>
          <w:p w:rsidR="00917D0A" w:rsidRDefault="00917D0A" w:rsidP="00883C7A">
            <w:pPr>
              <w:pStyle w:val="01Tableheaderrow"/>
              <w:jc w:val="right"/>
              <w:rPr>
                <w:snapToGrid w:val="0"/>
              </w:rPr>
            </w:pPr>
          </w:p>
        </w:tc>
        <w:tc>
          <w:tcPr>
            <w:tcW w:w="493" w:type="pct"/>
            <w:tcBorders>
              <w:left w:val="nil"/>
              <w:bottom w:val="single" w:sz="4" w:space="0" w:color="auto"/>
              <w:right w:val="nil"/>
            </w:tcBorders>
            <w:shd w:val="clear" w:color="auto" w:fill="1F4E79" w:themeFill="accent1" w:themeFillShade="80"/>
          </w:tcPr>
          <w:p w:rsidR="00917D0A" w:rsidRDefault="00917D0A" w:rsidP="00C66CC3">
            <w:pPr>
              <w:pStyle w:val="01Tableheaderrow"/>
              <w:rPr>
                <w:snapToGrid w:val="0"/>
              </w:rPr>
            </w:pPr>
            <w:r>
              <w:rPr>
                <w:snapToGrid w:val="0"/>
              </w:rPr>
              <w:t>MPR</w:t>
            </w:r>
          </w:p>
        </w:tc>
        <w:tc>
          <w:tcPr>
            <w:tcW w:w="423" w:type="pct"/>
            <w:tcBorders>
              <w:left w:val="nil"/>
            </w:tcBorders>
            <w:shd w:val="clear" w:color="auto" w:fill="1F4E79" w:themeFill="accent1" w:themeFillShade="80"/>
          </w:tcPr>
          <w:p w:rsidR="00917D0A" w:rsidRDefault="00917D0A" w:rsidP="00C66CC3">
            <w:pPr>
              <w:pStyle w:val="01Tableheaderrow"/>
              <w:rPr>
                <w:snapToGrid w:val="0"/>
              </w:rPr>
            </w:pPr>
          </w:p>
        </w:tc>
        <w:tc>
          <w:tcPr>
            <w:tcW w:w="495" w:type="pct"/>
            <w:tcBorders>
              <w:right w:val="nil"/>
            </w:tcBorders>
            <w:shd w:val="clear" w:color="auto" w:fill="1F4E79" w:themeFill="accent1" w:themeFillShade="80"/>
          </w:tcPr>
          <w:p w:rsidR="00917D0A" w:rsidRDefault="00917D0A" w:rsidP="00883C7A">
            <w:pPr>
              <w:pStyle w:val="01Tableheaderrow"/>
              <w:jc w:val="right"/>
              <w:rPr>
                <w:snapToGrid w:val="0"/>
              </w:rPr>
            </w:pPr>
            <w:r>
              <w:rPr>
                <w:snapToGrid w:val="0"/>
              </w:rPr>
              <w:t xml:space="preserve">Pill </w:t>
            </w:r>
          </w:p>
        </w:tc>
        <w:tc>
          <w:tcPr>
            <w:tcW w:w="493" w:type="pct"/>
            <w:tcBorders>
              <w:left w:val="nil"/>
              <w:right w:val="nil"/>
            </w:tcBorders>
            <w:shd w:val="clear" w:color="auto" w:fill="1F4E79" w:themeFill="accent1" w:themeFillShade="80"/>
          </w:tcPr>
          <w:p w:rsidR="00917D0A" w:rsidRDefault="00917D0A" w:rsidP="00C66CC3">
            <w:pPr>
              <w:pStyle w:val="01Tableheaderrow"/>
              <w:rPr>
                <w:snapToGrid w:val="0"/>
              </w:rPr>
            </w:pPr>
            <w:r>
              <w:rPr>
                <w:snapToGrid w:val="0"/>
              </w:rPr>
              <w:t>count</w:t>
            </w:r>
          </w:p>
        </w:tc>
        <w:tc>
          <w:tcPr>
            <w:tcW w:w="417" w:type="pct"/>
            <w:tcBorders>
              <w:left w:val="nil"/>
            </w:tcBorders>
            <w:shd w:val="clear" w:color="auto" w:fill="1F4E79" w:themeFill="accent1" w:themeFillShade="80"/>
          </w:tcPr>
          <w:p w:rsidR="00917D0A" w:rsidRDefault="00917D0A" w:rsidP="00C66CC3">
            <w:pPr>
              <w:pStyle w:val="01Tableheaderrow"/>
              <w:rPr>
                <w:snapToGrid w:val="0"/>
              </w:rPr>
            </w:pPr>
          </w:p>
        </w:tc>
      </w:tr>
      <w:tr w:rsidR="00917D0A" w:rsidTr="00277A35">
        <w:tc>
          <w:tcPr>
            <w:tcW w:w="1014" w:type="pct"/>
            <w:tcBorders>
              <w:top w:val="nil"/>
            </w:tcBorders>
            <w:shd w:val="clear" w:color="auto" w:fill="1F4E79" w:themeFill="accent1" w:themeFillShade="80"/>
          </w:tcPr>
          <w:p w:rsidR="00917D0A" w:rsidRDefault="00917D0A" w:rsidP="00C66CC3">
            <w:pPr>
              <w:pStyle w:val="01Tableheaderrow"/>
              <w:rPr>
                <w:snapToGrid w:val="0"/>
              </w:rPr>
            </w:pPr>
            <w:r w:rsidRPr="006D5656">
              <w:rPr>
                <w:snapToGrid w:val="0"/>
              </w:rPr>
              <w:t>Study ID</w:t>
            </w:r>
          </w:p>
          <w:p w:rsidR="00917D0A" w:rsidRPr="005D75F9" w:rsidRDefault="005D75F9" w:rsidP="00C66CC3">
            <w:pPr>
              <w:pStyle w:val="01Tableheaderrow"/>
              <w:rPr>
                <w:i/>
                <w:snapToGrid w:val="0"/>
              </w:rPr>
            </w:pPr>
            <w:r w:rsidRPr="005D75F9">
              <w:rPr>
                <w:i/>
                <w:snapToGrid w:val="0"/>
              </w:rPr>
              <w:t>Quality</w:t>
            </w:r>
          </w:p>
        </w:tc>
        <w:tc>
          <w:tcPr>
            <w:tcW w:w="782" w:type="pct"/>
            <w:tcBorders>
              <w:top w:val="nil"/>
            </w:tcBorders>
            <w:shd w:val="clear" w:color="auto" w:fill="1F4E79" w:themeFill="accent1" w:themeFillShade="80"/>
          </w:tcPr>
          <w:p w:rsidR="00917D0A" w:rsidRDefault="00917D0A" w:rsidP="00277A35">
            <w:pPr>
              <w:pStyle w:val="01Tableheaderrow"/>
              <w:jc w:val="center"/>
            </w:pPr>
            <w:r>
              <w:t>Medical condition</w:t>
            </w:r>
          </w:p>
        </w:tc>
        <w:tc>
          <w:tcPr>
            <w:tcW w:w="387" w:type="pct"/>
            <w:tcBorders>
              <w:top w:val="nil"/>
            </w:tcBorders>
            <w:shd w:val="clear" w:color="auto" w:fill="1F4E79" w:themeFill="accent1" w:themeFillShade="80"/>
          </w:tcPr>
          <w:p w:rsidR="00917D0A" w:rsidRDefault="00917D0A" w:rsidP="00277A35">
            <w:pPr>
              <w:pStyle w:val="01Tableheaderrow"/>
              <w:jc w:val="center"/>
              <w:rPr>
                <w:snapToGrid w:val="0"/>
              </w:rPr>
            </w:pPr>
            <w:r>
              <w:rPr>
                <w:snapToGrid w:val="0"/>
              </w:rPr>
              <w:t>N</w:t>
            </w:r>
          </w:p>
        </w:tc>
        <w:tc>
          <w:tcPr>
            <w:tcW w:w="495" w:type="pct"/>
            <w:tcBorders>
              <w:top w:val="single" w:sz="4" w:space="0" w:color="auto"/>
            </w:tcBorders>
            <w:shd w:val="clear" w:color="auto" w:fill="1F4E79" w:themeFill="accent1" w:themeFillShade="80"/>
          </w:tcPr>
          <w:p w:rsidR="00917D0A" w:rsidRPr="007A6D05" w:rsidRDefault="00917D0A" w:rsidP="00277A35">
            <w:pPr>
              <w:pStyle w:val="01Tableheaderrow"/>
              <w:jc w:val="center"/>
              <w:rPr>
                <w:snapToGrid w:val="0"/>
              </w:rPr>
            </w:pPr>
            <w:r>
              <w:rPr>
                <w:snapToGrid w:val="0"/>
              </w:rPr>
              <w:t>Reminder pack</w:t>
            </w:r>
          </w:p>
        </w:tc>
        <w:tc>
          <w:tcPr>
            <w:tcW w:w="493" w:type="pct"/>
            <w:tcBorders>
              <w:top w:val="single" w:sz="4" w:space="0" w:color="auto"/>
            </w:tcBorders>
            <w:shd w:val="clear" w:color="auto" w:fill="1F4E79" w:themeFill="accent1" w:themeFillShade="80"/>
          </w:tcPr>
          <w:p w:rsidR="00917D0A" w:rsidRDefault="00917D0A" w:rsidP="00277A35">
            <w:pPr>
              <w:pStyle w:val="01Tableheaderrow"/>
              <w:jc w:val="center"/>
            </w:pPr>
            <w:r>
              <w:rPr>
                <w:snapToGrid w:val="0"/>
              </w:rPr>
              <w:t>Control group</w:t>
            </w:r>
          </w:p>
        </w:tc>
        <w:tc>
          <w:tcPr>
            <w:tcW w:w="423" w:type="pct"/>
            <w:shd w:val="clear" w:color="auto" w:fill="1F4E79" w:themeFill="accent1" w:themeFillShade="80"/>
          </w:tcPr>
          <w:p w:rsidR="00917D0A" w:rsidRDefault="00917D0A" w:rsidP="00277A35">
            <w:pPr>
              <w:pStyle w:val="01Tableheaderrow"/>
              <w:jc w:val="center"/>
              <w:rPr>
                <w:snapToGrid w:val="0"/>
              </w:rPr>
            </w:pPr>
            <w:r w:rsidRPr="002B0C9F">
              <w:rPr>
                <w:snapToGrid w:val="0"/>
              </w:rPr>
              <w:t>P value</w:t>
            </w:r>
          </w:p>
        </w:tc>
        <w:tc>
          <w:tcPr>
            <w:tcW w:w="495" w:type="pct"/>
            <w:shd w:val="clear" w:color="auto" w:fill="1F4E79" w:themeFill="accent1" w:themeFillShade="80"/>
          </w:tcPr>
          <w:p w:rsidR="00917D0A" w:rsidRDefault="00917D0A" w:rsidP="00277A35">
            <w:pPr>
              <w:pStyle w:val="01Tableheaderrow"/>
              <w:jc w:val="center"/>
              <w:rPr>
                <w:snapToGrid w:val="0"/>
              </w:rPr>
            </w:pPr>
            <w:r>
              <w:rPr>
                <w:snapToGrid w:val="0"/>
              </w:rPr>
              <w:t>Reminder pack</w:t>
            </w:r>
          </w:p>
        </w:tc>
        <w:tc>
          <w:tcPr>
            <w:tcW w:w="493" w:type="pct"/>
            <w:shd w:val="clear" w:color="auto" w:fill="1F4E79" w:themeFill="accent1" w:themeFillShade="80"/>
          </w:tcPr>
          <w:p w:rsidR="00917D0A" w:rsidRDefault="00917D0A" w:rsidP="00277A35">
            <w:pPr>
              <w:pStyle w:val="01Tableheaderrow"/>
              <w:jc w:val="center"/>
              <w:rPr>
                <w:snapToGrid w:val="0"/>
              </w:rPr>
            </w:pPr>
            <w:r>
              <w:rPr>
                <w:snapToGrid w:val="0"/>
              </w:rPr>
              <w:t>Control group</w:t>
            </w:r>
          </w:p>
        </w:tc>
        <w:tc>
          <w:tcPr>
            <w:tcW w:w="417" w:type="pct"/>
            <w:shd w:val="clear" w:color="auto" w:fill="1F4E79" w:themeFill="accent1" w:themeFillShade="80"/>
          </w:tcPr>
          <w:p w:rsidR="00917D0A" w:rsidRDefault="00917D0A" w:rsidP="00277A35">
            <w:pPr>
              <w:pStyle w:val="01Tableheaderrow"/>
              <w:jc w:val="center"/>
              <w:rPr>
                <w:snapToGrid w:val="0"/>
              </w:rPr>
            </w:pPr>
            <w:r>
              <w:rPr>
                <w:snapToGrid w:val="0"/>
              </w:rPr>
              <w:t>P value</w:t>
            </w:r>
          </w:p>
        </w:tc>
      </w:tr>
      <w:tr w:rsidR="00917D0A" w:rsidTr="00277A35">
        <w:trPr>
          <w:cnfStyle w:val="000000010000" w:firstRow="0" w:lastRow="0" w:firstColumn="0" w:lastColumn="0" w:oddVBand="0" w:evenVBand="0" w:oddHBand="0" w:evenHBand="1" w:firstRowFirstColumn="0" w:firstRowLastColumn="0" w:lastRowFirstColumn="0" w:lastRowLastColumn="0"/>
        </w:trPr>
        <w:tc>
          <w:tcPr>
            <w:tcW w:w="1014" w:type="pct"/>
            <w:shd w:val="clear" w:color="auto" w:fill="auto"/>
          </w:tcPr>
          <w:p w:rsidR="00917D0A" w:rsidRDefault="005D75F9" w:rsidP="00C66CC3">
            <w:pPr>
              <w:pStyle w:val="02Tabletext"/>
            </w:pPr>
            <w:r>
              <w:t>Dupclay (2012)</w:t>
            </w:r>
          </w:p>
          <w:p w:rsidR="005D75F9" w:rsidRPr="005D75F9" w:rsidRDefault="005D75F9" w:rsidP="005D75F9">
            <w:pPr>
              <w:pStyle w:val="03Tabletextspacebefore"/>
            </w:pPr>
            <w:r>
              <w:rPr>
                <w:i/>
              </w:rPr>
              <w:t>Poor</w:t>
            </w:r>
            <w:r w:rsidRPr="005D75F9">
              <w:rPr>
                <w:i/>
              </w:rPr>
              <w:t xml:space="preserve"> quality</w:t>
            </w:r>
          </w:p>
        </w:tc>
        <w:tc>
          <w:tcPr>
            <w:tcW w:w="782" w:type="pct"/>
            <w:shd w:val="clear" w:color="auto" w:fill="auto"/>
          </w:tcPr>
          <w:p w:rsidR="00917D0A" w:rsidRPr="00C66CC3" w:rsidRDefault="00917D0A" w:rsidP="00277A35">
            <w:pPr>
              <w:pStyle w:val="02Tabletext"/>
              <w:jc w:val="center"/>
            </w:pPr>
            <w:r w:rsidRPr="00C66CC3">
              <w:t>Hypertension</w:t>
            </w:r>
          </w:p>
        </w:tc>
        <w:tc>
          <w:tcPr>
            <w:tcW w:w="387" w:type="pct"/>
            <w:shd w:val="clear" w:color="auto" w:fill="auto"/>
          </w:tcPr>
          <w:p w:rsidR="00917D0A" w:rsidRPr="00C66CC3" w:rsidRDefault="00917D0A" w:rsidP="00277A35">
            <w:pPr>
              <w:pStyle w:val="02Tabletext"/>
              <w:jc w:val="center"/>
            </w:pPr>
            <w:r>
              <w:t>9266</w:t>
            </w:r>
          </w:p>
        </w:tc>
        <w:tc>
          <w:tcPr>
            <w:tcW w:w="495" w:type="pct"/>
            <w:shd w:val="clear" w:color="auto" w:fill="auto"/>
          </w:tcPr>
          <w:p w:rsidR="00917D0A" w:rsidRPr="00C66CC3" w:rsidRDefault="00917D0A" w:rsidP="00277A35">
            <w:pPr>
              <w:pStyle w:val="02Tabletext"/>
              <w:jc w:val="center"/>
            </w:pPr>
            <w:r w:rsidRPr="00C66CC3">
              <w:t>80%</w:t>
            </w:r>
          </w:p>
        </w:tc>
        <w:tc>
          <w:tcPr>
            <w:tcW w:w="493" w:type="pct"/>
            <w:shd w:val="clear" w:color="auto" w:fill="auto"/>
          </w:tcPr>
          <w:p w:rsidR="00917D0A" w:rsidRPr="00C66CC3" w:rsidRDefault="00917D0A" w:rsidP="00277A35">
            <w:pPr>
              <w:pStyle w:val="02Tabletext"/>
              <w:jc w:val="center"/>
            </w:pPr>
            <w:r w:rsidRPr="00C66CC3">
              <w:t>73%</w:t>
            </w:r>
          </w:p>
        </w:tc>
        <w:tc>
          <w:tcPr>
            <w:tcW w:w="423" w:type="pct"/>
            <w:shd w:val="clear" w:color="auto" w:fill="auto"/>
          </w:tcPr>
          <w:p w:rsidR="00917D0A" w:rsidRPr="00C66CC3" w:rsidRDefault="00917D0A" w:rsidP="00277A35">
            <w:pPr>
              <w:pStyle w:val="02Tabletext"/>
              <w:jc w:val="center"/>
            </w:pPr>
            <w:r w:rsidRPr="00C66CC3">
              <w:t>&lt;0.001</w:t>
            </w:r>
          </w:p>
        </w:tc>
        <w:tc>
          <w:tcPr>
            <w:tcW w:w="495" w:type="pct"/>
            <w:shd w:val="clear" w:color="auto" w:fill="auto"/>
          </w:tcPr>
          <w:p w:rsidR="00917D0A" w:rsidRPr="00C66CC3" w:rsidRDefault="00917D0A" w:rsidP="00277A35">
            <w:pPr>
              <w:pStyle w:val="02Tabletext"/>
              <w:jc w:val="center"/>
            </w:pPr>
            <w:r w:rsidRPr="00C66CC3">
              <w:t>NR</w:t>
            </w:r>
          </w:p>
        </w:tc>
        <w:tc>
          <w:tcPr>
            <w:tcW w:w="493" w:type="pct"/>
            <w:shd w:val="clear" w:color="auto" w:fill="auto"/>
          </w:tcPr>
          <w:p w:rsidR="00917D0A" w:rsidRPr="00C66CC3" w:rsidRDefault="00917D0A" w:rsidP="00277A35">
            <w:pPr>
              <w:pStyle w:val="02Tabletext"/>
              <w:jc w:val="center"/>
            </w:pPr>
            <w:r w:rsidRPr="00C66CC3">
              <w:t>NR</w:t>
            </w:r>
          </w:p>
        </w:tc>
        <w:tc>
          <w:tcPr>
            <w:tcW w:w="417" w:type="pct"/>
            <w:shd w:val="clear" w:color="auto" w:fill="auto"/>
          </w:tcPr>
          <w:p w:rsidR="00917D0A" w:rsidRPr="00C66CC3" w:rsidRDefault="00917D0A" w:rsidP="00277A35">
            <w:pPr>
              <w:pStyle w:val="02Tabletext"/>
              <w:jc w:val="center"/>
            </w:pPr>
            <w:r w:rsidRPr="00C66CC3">
              <w:t>NR</w:t>
            </w:r>
          </w:p>
        </w:tc>
      </w:tr>
      <w:tr w:rsidR="00917D0A" w:rsidTr="00277A35">
        <w:tc>
          <w:tcPr>
            <w:tcW w:w="1014" w:type="pct"/>
            <w:shd w:val="clear" w:color="auto" w:fill="DEEAF6" w:themeFill="accent1" w:themeFillTint="33"/>
          </w:tcPr>
          <w:p w:rsidR="00917D0A" w:rsidRDefault="005D75F9" w:rsidP="00C66CC3">
            <w:pPr>
              <w:pStyle w:val="02Tabletext"/>
            </w:pPr>
            <w:r>
              <w:t>Schneider (2008)</w:t>
            </w:r>
          </w:p>
          <w:p w:rsidR="005D75F9" w:rsidRPr="005D75F9" w:rsidRDefault="005D75F9" w:rsidP="005D75F9">
            <w:pPr>
              <w:pStyle w:val="03Tabletextspacebefore"/>
              <w:rPr>
                <w:i/>
              </w:rPr>
            </w:pPr>
            <w:r w:rsidRPr="005D75F9">
              <w:rPr>
                <w:i/>
              </w:rPr>
              <w:t>Fair quality</w:t>
            </w:r>
          </w:p>
        </w:tc>
        <w:tc>
          <w:tcPr>
            <w:tcW w:w="782" w:type="pct"/>
            <w:shd w:val="clear" w:color="auto" w:fill="DEEAF6" w:themeFill="accent1" w:themeFillTint="33"/>
          </w:tcPr>
          <w:p w:rsidR="00917D0A" w:rsidRPr="00C66CC3" w:rsidRDefault="00917D0A" w:rsidP="00277A35">
            <w:pPr>
              <w:pStyle w:val="02Tabletext"/>
              <w:jc w:val="center"/>
            </w:pPr>
            <w:r w:rsidRPr="00C66CC3">
              <w:t>Hypertension</w:t>
            </w:r>
          </w:p>
        </w:tc>
        <w:tc>
          <w:tcPr>
            <w:tcW w:w="387" w:type="pct"/>
            <w:shd w:val="clear" w:color="auto" w:fill="DEEAF6" w:themeFill="accent1" w:themeFillTint="33"/>
          </w:tcPr>
          <w:p w:rsidR="00917D0A" w:rsidRPr="00C66CC3" w:rsidRDefault="00277A35" w:rsidP="00277A35">
            <w:pPr>
              <w:pStyle w:val="02Tabletext"/>
              <w:jc w:val="center"/>
            </w:pPr>
            <w:r>
              <w:t>85</w:t>
            </w:r>
          </w:p>
        </w:tc>
        <w:tc>
          <w:tcPr>
            <w:tcW w:w="495" w:type="pct"/>
            <w:shd w:val="clear" w:color="auto" w:fill="DEEAF6" w:themeFill="accent1" w:themeFillTint="33"/>
          </w:tcPr>
          <w:p w:rsidR="00917D0A" w:rsidRPr="00C66CC3" w:rsidRDefault="00917D0A" w:rsidP="00277A35">
            <w:pPr>
              <w:pStyle w:val="02Tabletext"/>
              <w:jc w:val="center"/>
            </w:pPr>
            <w:r w:rsidRPr="00C66CC3">
              <w:t>93%</w:t>
            </w:r>
          </w:p>
        </w:tc>
        <w:tc>
          <w:tcPr>
            <w:tcW w:w="493" w:type="pct"/>
            <w:shd w:val="clear" w:color="auto" w:fill="DEEAF6" w:themeFill="accent1" w:themeFillTint="33"/>
          </w:tcPr>
          <w:p w:rsidR="00917D0A" w:rsidRPr="00C66CC3" w:rsidRDefault="00917D0A" w:rsidP="00277A35">
            <w:pPr>
              <w:pStyle w:val="02Tabletext"/>
              <w:jc w:val="center"/>
            </w:pPr>
            <w:r w:rsidRPr="00C66CC3">
              <w:t>87%</w:t>
            </w:r>
          </w:p>
        </w:tc>
        <w:tc>
          <w:tcPr>
            <w:tcW w:w="423" w:type="pct"/>
            <w:shd w:val="clear" w:color="auto" w:fill="DEEAF6" w:themeFill="accent1" w:themeFillTint="33"/>
          </w:tcPr>
          <w:p w:rsidR="00917D0A" w:rsidRPr="00C66CC3" w:rsidRDefault="00917D0A" w:rsidP="00277A35">
            <w:pPr>
              <w:pStyle w:val="02Tabletext"/>
              <w:jc w:val="center"/>
            </w:pPr>
            <w:r w:rsidRPr="00C66CC3">
              <w:t>0.039</w:t>
            </w:r>
          </w:p>
        </w:tc>
        <w:tc>
          <w:tcPr>
            <w:tcW w:w="495" w:type="pct"/>
            <w:shd w:val="clear" w:color="auto" w:fill="DEEAF6" w:themeFill="accent1" w:themeFillTint="33"/>
          </w:tcPr>
          <w:p w:rsidR="00917D0A" w:rsidRPr="00C66CC3" w:rsidRDefault="00917D0A" w:rsidP="00277A35">
            <w:pPr>
              <w:pStyle w:val="02Tabletext"/>
              <w:jc w:val="center"/>
            </w:pPr>
            <w:r w:rsidRPr="00C66CC3">
              <w:t>NR</w:t>
            </w:r>
          </w:p>
        </w:tc>
        <w:tc>
          <w:tcPr>
            <w:tcW w:w="493" w:type="pct"/>
            <w:shd w:val="clear" w:color="auto" w:fill="DEEAF6" w:themeFill="accent1" w:themeFillTint="33"/>
          </w:tcPr>
          <w:p w:rsidR="00917D0A" w:rsidRPr="00C66CC3" w:rsidRDefault="00917D0A" w:rsidP="00277A35">
            <w:pPr>
              <w:pStyle w:val="02Tabletext"/>
              <w:jc w:val="center"/>
            </w:pPr>
            <w:r w:rsidRPr="00C66CC3">
              <w:t>NR</w:t>
            </w:r>
          </w:p>
        </w:tc>
        <w:tc>
          <w:tcPr>
            <w:tcW w:w="417" w:type="pct"/>
            <w:shd w:val="clear" w:color="auto" w:fill="DEEAF6" w:themeFill="accent1" w:themeFillTint="33"/>
          </w:tcPr>
          <w:p w:rsidR="00917D0A" w:rsidRPr="00C66CC3" w:rsidRDefault="00917D0A" w:rsidP="00277A35">
            <w:pPr>
              <w:pStyle w:val="02Tabletext"/>
              <w:jc w:val="center"/>
            </w:pPr>
            <w:r w:rsidRPr="00C66CC3">
              <w:t>NR</w:t>
            </w:r>
          </w:p>
        </w:tc>
      </w:tr>
      <w:tr w:rsidR="00917D0A" w:rsidTr="00277A35">
        <w:trPr>
          <w:cnfStyle w:val="000000010000" w:firstRow="0" w:lastRow="0" w:firstColumn="0" w:lastColumn="0" w:oddVBand="0" w:evenVBand="0" w:oddHBand="0" w:evenHBand="1" w:firstRowFirstColumn="0" w:firstRowLastColumn="0" w:lastRowFirstColumn="0" w:lastRowLastColumn="0"/>
        </w:trPr>
        <w:tc>
          <w:tcPr>
            <w:tcW w:w="1014" w:type="pct"/>
            <w:shd w:val="clear" w:color="auto" w:fill="auto"/>
          </w:tcPr>
          <w:p w:rsidR="00917D0A" w:rsidRDefault="005D75F9" w:rsidP="00C66CC3">
            <w:pPr>
              <w:pStyle w:val="02Tabletext"/>
            </w:pPr>
            <w:r>
              <w:t xml:space="preserve">Huang (2000) </w:t>
            </w:r>
          </w:p>
          <w:p w:rsidR="005D75F9" w:rsidRPr="005D75F9" w:rsidRDefault="005D75F9" w:rsidP="005D75F9">
            <w:pPr>
              <w:pStyle w:val="03Tabletextspacebefore"/>
            </w:pPr>
            <w:r w:rsidRPr="005D75F9">
              <w:rPr>
                <w:i/>
              </w:rPr>
              <w:t>Fair quality</w:t>
            </w:r>
          </w:p>
        </w:tc>
        <w:tc>
          <w:tcPr>
            <w:tcW w:w="782" w:type="pct"/>
            <w:shd w:val="clear" w:color="auto" w:fill="auto"/>
          </w:tcPr>
          <w:p w:rsidR="00917D0A" w:rsidRPr="00C66CC3" w:rsidRDefault="00917D0A" w:rsidP="00277A35">
            <w:pPr>
              <w:pStyle w:val="02Tabletext"/>
              <w:jc w:val="center"/>
            </w:pPr>
            <w:r w:rsidRPr="00C66CC3">
              <w:t>Disease prevention</w:t>
            </w:r>
          </w:p>
        </w:tc>
        <w:tc>
          <w:tcPr>
            <w:tcW w:w="387" w:type="pct"/>
            <w:shd w:val="clear" w:color="auto" w:fill="auto"/>
          </w:tcPr>
          <w:p w:rsidR="00917D0A" w:rsidRPr="00C66CC3" w:rsidRDefault="00277A35" w:rsidP="00277A35">
            <w:pPr>
              <w:pStyle w:val="02Tabletext"/>
              <w:jc w:val="center"/>
            </w:pPr>
            <w:r>
              <w:t>297</w:t>
            </w:r>
          </w:p>
        </w:tc>
        <w:tc>
          <w:tcPr>
            <w:tcW w:w="495" w:type="pct"/>
            <w:shd w:val="clear" w:color="auto" w:fill="auto"/>
          </w:tcPr>
          <w:p w:rsidR="00917D0A" w:rsidRPr="00C66CC3" w:rsidRDefault="00917D0A" w:rsidP="00277A35">
            <w:pPr>
              <w:pStyle w:val="02Tabletext"/>
              <w:jc w:val="center"/>
            </w:pPr>
            <w:r w:rsidRPr="00C66CC3">
              <w:t>NR</w:t>
            </w:r>
          </w:p>
        </w:tc>
        <w:tc>
          <w:tcPr>
            <w:tcW w:w="493" w:type="pct"/>
            <w:shd w:val="clear" w:color="auto" w:fill="auto"/>
          </w:tcPr>
          <w:p w:rsidR="00917D0A" w:rsidRPr="00C66CC3" w:rsidRDefault="00917D0A" w:rsidP="00277A35">
            <w:pPr>
              <w:pStyle w:val="02Tabletext"/>
              <w:jc w:val="center"/>
            </w:pPr>
            <w:r w:rsidRPr="00C66CC3">
              <w:t>NR</w:t>
            </w:r>
          </w:p>
        </w:tc>
        <w:tc>
          <w:tcPr>
            <w:tcW w:w="423" w:type="pct"/>
            <w:shd w:val="clear" w:color="auto" w:fill="auto"/>
          </w:tcPr>
          <w:p w:rsidR="00917D0A" w:rsidRPr="00C66CC3" w:rsidRDefault="00917D0A" w:rsidP="00277A35">
            <w:pPr>
              <w:pStyle w:val="02Tabletext"/>
              <w:jc w:val="center"/>
            </w:pPr>
            <w:r w:rsidRPr="00C66CC3">
              <w:t>NR</w:t>
            </w:r>
          </w:p>
        </w:tc>
        <w:tc>
          <w:tcPr>
            <w:tcW w:w="495" w:type="pct"/>
            <w:shd w:val="clear" w:color="auto" w:fill="auto"/>
          </w:tcPr>
          <w:p w:rsidR="00917D0A" w:rsidRPr="00C66CC3" w:rsidRDefault="00277A35" w:rsidP="00277A35">
            <w:pPr>
              <w:pStyle w:val="02Tabletext"/>
              <w:jc w:val="center"/>
            </w:pPr>
            <w:r>
              <w:t>93%</w:t>
            </w:r>
            <w:r w:rsidRPr="00277A35">
              <w:rPr>
                <w:vertAlign w:val="superscript"/>
              </w:rPr>
              <w:t>a</w:t>
            </w:r>
          </w:p>
        </w:tc>
        <w:tc>
          <w:tcPr>
            <w:tcW w:w="493" w:type="pct"/>
            <w:shd w:val="clear" w:color="auto" w:fill="auto"/>
          </w:tcPr>
          <w:p w:rsidR="00917D0A" w:rsidRPr="00C66CC3" w:rsidRDefault="00277A35" w:rsidP="00277A35">
            <w:pPr>
              <w:pStyle w:val="02Tabletext"/>
              <w:jc w:val="center"/>
            </w:pPr>
            <w:r>
              <w:t>87%</w:t>
            </w:r>
            <w:r w:rsidRPr="00277A35">
              <w:rPr>
                <w:vertAlign w:val="superscript"/>
              </w:rPr>
              <w:t>a</w:t>
            </w:r>
          </w:p>
        </w:tc>
        <w:tc>
          <w:tcPr>
            <w:tcW w:w="417" w:type="pct"/>
            <w:shd w:val="clear" w:color="auto" w:fill="auto"/>
          </w:tcPr>
          <w:p w:rsidR="00917D0A" w:rsidRPr="00C66CC3" w:rsidRDefault="00917D0A" w:rsidP="00277A35">
            <w:pPr>
              <w:pStyle w:val="02Tabletext"/>
              <w:jc w:val="center"/>
            </w:pPr>
            <w:r w:rsidRPr="00C66CC3">
              <w:t>0.05</w:t>
            </w:r>
          </w:p>
        </w:tc>
      </w:tr>
      <w:tr w:rsidR="00917D0A" w:rsidTr="00277A35">
        <w:tc>
          <w:tcPr>
            <w:tcW w:w="1014" w:type="pct"/>
            <w:shd w:val="clear" w:color="auto" w:fill="DEEAF6" w:themeFill="accent1" w:themeFillTint="33"/>
          </w:tcPr>
          <w:p w:rsidR="005D75F9" w:rsidRDefault="005D75F9" w:rsidP="005D75F9">
            <w:pPr>
              <w:pStyle w:val="02Tabletext"/>
            </w:pPr>
            <w:r>
              <w:t>Winland-Brown (2000)</w:t>
            </w:r>
          </w:p>
          <w:p w:rsidR="005D75F9" w:rsidRPr="005D75F9" w:rsidRDefault="005D75F9" w:rsidP="005D75F9">
            <w:pPr>
              <w:pStyle w:val="02Tabletext"/>
            </w:pPr>
            <w:r>
              <w:rPr>
                <w:i/>
              </w:rPr>
              <w:t>Poor</w:t>
            </w:r>
            <w:r w:rsidRPr="005D75F9">
              <w:rPr>
                <w:i/>
              </w:rPr>
              <w:t xml:space="preserve"> quality</w:t>
            </w:r>
          </w:p>
        </w:tc>
        <w:tc>
          <w:tcPr>
            <w:tcW w:w="782" w:type="pct"/>
            <w:shd w:val="clear" w:color="auto" w:fill="DEEAF6" w:themeFill="accent1" w:themeFillTint="33"/>
          </w:tcPr>
          <w:p w:rsidR="00917D0A" w:rsidRPr="00C66CC3" w:rsidRDefault="00917D0A" w:rsidP="00277A35">
            <w:pPr>
              <w:pStyle w:val="02Tabletext"/>
              <w:jc w:val="center"/>
            </w:pPr>
            <w:r w:rsidRPr="00C66CC3">
              <w:t>Multiple comorbidities</w:t>
            </w:r>
          </w:p>
        </w:tc>
        <w:tc>
          <w:tcPr>
            <w:tcW w:w="387" w:type="pct"/>
            <w:shd w:val="clear" w:color="auto" w:fill="DEEAF6" w:themeFill="accent1" w:themeFillTint="33"/>
          </w:tcPr>
          <w:p w:rsidR="00917D0A" w:rsidRPr="00C66CC3" w:rsidRDefault="00277A35" w:rsidP="00277A35">
            <w:pPr>
              <w:pStyle w:val="02Tabletext"/>
              <w:jc w:val="center"/>
            </w:pPr>
            <w:r>
              <w:t>61</w:t>
            </w:r>
          </w:p>
        </w:tc>
        <w:tc>
          <w:tcPr>
            <w:tcW w:w="495" w:type="pct"/>
            <w:shd w:val="clear" w:color="auto" w:fill="DEEAF6" w:themeFill="accent1" w:themeFillTint="33"/>
          </w:tcPr>
          <w:p w:rsidR="00917D0A" w:rsidRPr="00C66CC3" w:rsidRDefault="00917D0A" w:rsidP="00277A35">
            <w:pPr>
              <w:pStyle w:val="02Tabletext"/>
              <w:jc w:val="center"/>
            </w:pPr>
            <w:r w:rsidRPr="00C66CC3">
              <w:t>NR</w:t>
            </w:r>
          </w:p>
        </w:tc>
        <w:tc>
          <w:tcPr>
            <w:tcW w:w="493" w:type="pct"/>
            <w:shd w:val="clear" w:color="auto" w:fill="DEEAF6" w:themeFill="accent1" w:themeFillTint="33"/>
          </w:tcPr>
          <w:p w:rsidR="00917D0A" w:rsidRPr="00C66CC3" w:rsidRDefault="00917D0A" w:rsidP="00277A35">
            <w:pPr>
              <w:pStyle w:val="02Tabletext"/>
              <w:jc w:val="center"/>
            </w:pPr>
            <w:r w:rsidRPr="00C66CC3">
              <w:t>NR</w:t>
            </w:r>
          </w:p>
        </w:tc>
        <w:tc>
          <w:tcPr>
            <w:tcW w:w="423" w:type="pct"/>
            <w:shd w:val="clear" w:color="auto" w:fill="DEEAF6" w:themeFill="accent1" w:themeFillTint="33"/>
          </w:tcPr>
          <w:p w:rsidR="00917D0A" w:rsidRPr="00C66CC3" w:rsidRDefault="00917D0A" w:rsidP="00277A35">
            <w:pPr>
              <w:pStyle w:val="02Tabletext"/>
              <w:jc w:val="center"/>
            </w:pPr>
            <w:r w:rsidRPr="00C66CC3">
              <w:t>NR</w:t>
            </w:r>
          </w:p>
        </w:tc>
        <w:tc>
          <w:tcPr>
            <w:tcW w:w="495" w:type="pct"/>
            <w:shd w:val="clear" w:color="auto" w:fill="DEEAF6" w:themeFill="accent1" w:themeFillTint="33"/>
          </w:tcPr>
          <w:p w:rsidR="00917D0A" w:rsidRPr="00C66CC3" w:rsidRDefault="00917D0A" w:rsidP="00277A35">
            <w:pPr>
              <w:pStyle w:val="02Tabletext"/>
              <w:jc w:val="center"/>
            </w:pPr>
            <w:r w:rsidRPr="00C66CC3">
              <w:t>n.s.</w:t>
            </w:r>
          </w:p>
        </w:tc>
        <w:tc>
          <w:tcPr>
            <w:tcW w:w="493" w:type="pct"/>
            <w:shd w:val="clear" w:color="auto" w:fill="DEEAF6" w:themeFill="accent1" w:themeFillTint="33"/>
          </w:tcPr>
          <w:p w:rsidR="00917D0A" w:rsidRPr="00C66CC3" w:rsidRDefault="00917D0A" w:rsidP="00277A35">
            <w:pPr>
              <w:pStyle w:val="02Tabletext"/>
              <w:jc w:val="center"/>
            </w:pPr>
            <w:r w:rsidRPr="00C66CC3">
              <w:t>n.s.</w:t>
            </w:r>
          </w:p>
        </w:tc>
        <w:tc>
          <w:tcPr>
            <w:tcW w:w="417" w:type="pct"/>
            <w:shd w:val="clear" w:color="auto" w:fill="DEEAF6" w:themeFill="accent1" w:themeFillTint="33"/>
          </w:tcPr>
          <w:p w:rsidR="00917D0A" w:rsidRPr="00C66CC3" w:rsidRDefault="00917D0A" w:rsidP="00277A35">
            <w:pPr>
              <w:pStyle w:val="02Tabletext"/>
              <w:jc w:val="center"/>
            </w:pPr>
            <w:r w:rsidRPr="00C66CC3">
              <w:t>n.s.</w:t>
            </w:r>
          </w:p>
        </w:tc>
      </w:tr>
      <w:tr w:rsidR="00917D0A" w:rsidTr="00277A35">
        <w:trPr>
          <w:cnfStyle w:val="000000010000" w:firstRow="0" w:lastRow="0" w:firstColumn="0" w:lastColumn="0" w:oddVBand="0" w:evenVBand="0" w:oddHBand="0" w:evenHBand="1" w:firstRowFirstColumn="0" w:firstRowLastColumn="0" w:lastRowFirstColumn="0" w:lastRowLastColumn="0"/>
        </w:trPr>
        <w:tc>
          <w:tcPr>
            <w:tcW w:w="1014" w:type="pct"/>
            <w:shd w:val="clear" w:color="auto" w:fill="auto"/>
          </w:tcPr>
          <w:p w:rsidR="00917D0A" w:rsidRDefault="005D75F9" w:rsidP="00C66CC3">
            <w:pPr>
              <w:pStyle w:val="02Tabletext"/>
            </w:pPr>
            <w:r>
              <w:t>Skaer (1993a)</w:t>
            </w:r>
          </w:p>
          <w:p w:rsidR="005D75F9" w:rsidRPr="005D75F9" w:rsidRDefault="005D75F9" w:rsidP="005D75F9">
            <w:pPr>
              <w:pStyle w:val="03Tabletextspacebefore"/>
            </w:pPr>
            <w:r>
              <w:rPr>
                <w:i/>
              </w:rPr>
              <w:t>Poor</w:t>
            </w:r>
            <w:r w:rsidRPr="005D75F9">
              <w:rPr>
                <w:i/>
              </w:rPr>
              <w:t xml:space="preserve"> quality</w:t>
            </w:r>
          </w:p>
        </w:tc>
        <w:tc>
          <w:tcPr>
            <w:tcW w:w="782" w:type="pct"/>
            <w:shd w:val="clear" w:color="auto" w:fill="auto"/>
          </w:tcPr>
          <w:p w:rsidR="00917D0A" w:rsidRPr="00C66CC3" w:rsidRDefault="00917D0A" w:rsidP="00277A35">
            <w:pPr>
              <w:pStyle w:val="02Tabletext"/>
              <w:jc w:val="center"/>
            </w:pPr>
            <w:r w:rsidRPr="00C66CC3">
              <w:t>Hypertension</w:t>
            </w:r>
          </w:p>
        </w:tc>
        <w:tc>
          <w:tcPr>
            <w:tcW w:w="387" w:type="pct"/>
            <w:shd w:val="clear" w:color="auto" w:fill="auto"/>
          </w:tcPr>
          <w:p w:rsidR="00917D0A" w:rsidRPr="00C66CC3" w:rsidRDefault="00277A35" w:rsidP="00277A35">
            <w:pPr>
              <w:pStyle w:val="02Tabletext"/>
              <w:jc w:val="center"/>
            </w:pPr>
            <w:r>
              <w:t>304</w:t>
            </w:r>
          </w:p>
        </w:tc>
        <w:tc>
          <w:tcPr>
            <w:tcW w:w="495" w:type="pct"/>
            <w:shd w:val="clear" w:color="auto" w:fill="auto"/>
          </w:tcPr>
          <w:p w:rsidR="00917D0A" w:rsidRPr="00C66CC3" w:rsidRDefault="00917D0A" w:rsidP="00277A35">
            <w:pPr>
              <w:pStyle w:val="02Tabletext"/>
              <w:jc w:val="center"/>
            </w:pPr>
            <w:r w:rsidRPr="00C66CC3">
              <w:t>67%</w:t>
            </w:r>
          </w:p>
        </w:tc>
        <w:tc>
          <w:tcPr>
            <w:tcW w:w="493" w:type="pct"/>
            <w:shd w:val="clear" w:color="auto" w:fill="auto"/>
          </w:tcPr>
          <w:p w:rsidR="00917D0A" w:rsidRPr="00C66CC3" w:rsidRDefault="00917D0A" w:rsidP="00277A35">
            <w:pPr>
              <w:pStyle w:val="02Tabletext"/>
              <w:jc w:val="center"/>
            </w:pPr>
            <w:r w:rsidRPr="00C66CC3">
              <w:t>56%</w:t>
            </w:r>
          </w:p>
        </w:tc>
        <w:tc>
          <w:tcPr>
            <w:tcW w:w="423" w:type="pct"/>
            <w:shd w:val="clear" w:color="auto" w:fill="auto"/>
          </w:tcPr>
          <w:p w:rsidR="00917D0A" w:rsidRPr="00C66CC3" w:rsidRDefault="0055178A" w:rsidP="00277A35">
            <w:pPr>
              <w:pStyle w:val="02Tabletext"/>
              <w:jc w:val="center"/>
            </w:pPr>
            <w:r>
              <w:t>≤</w:t>
            </w:r>
            <w:r w:rsidR="00917D0A" w:rsidRPr="00C66CC3">
              <w:t>0.05</w:t>
            </w:r>
          </w:p>
        </w:tc>
        <w:tc>
          <w:tcPr>
            <w:tcW w:w="495" w:type="pct"/>
            <w:shd w:val="clear" w:color="auto" w:fill="auto"/>
          </w:tcPr>
          <w:p w:rsidR="00917D0A" w:rsidRPr="00C66CC3" w:rsidRDefault="00917D0A" w:rsidP="00277A35">
            <w:pPr>
              <w:pStyle w:val="02Tabletext"/>
              <w:jc w:val="center"/>
            </w:pPr>
            <w:r w:rsidRPr="00C66CC3">
              <w:t>NR</w:t>
            </w:r>
          </w:p>
        </w:tc>
        <w:tc>
          <w:tcPr>
            <w:tcW w:w="493" w:type="pct"/>
            <w:shd w:val="clear" w:color="auto" w:fill="auto"/>
          </w:tcPr>
          <w:p w:rsidR="00917D0A" w:rsidRPr="00C66CC3" w:rsidRDefault="00917D0A" w:rsidP="00277A35">
            <w:pPr>
              <w:pStyle w:val="02Tabletext"/>
              <w:jc w:val="center"/>
            </w:pPr>
            <w:r w:rsidRPr="00C66CC3">
              <w:t>NR</w:t>
            </w:r>
          </w:p>
        </w:tc>
        <w:tc>
          <w:tcPr>
            <w:tcW w:w="417" w:type="pct"/>
            <w:shd w:val="clear" w:color="auto" w:fill="auto"/>
          </w:tcPr>
          <w:p w:rsidR="00917D0A" w:rsidRPr="00C66CC3" w:rsidRDefault="00917D0A" w:rsidP="00277A35">
            <w:pPr>
              <w:pStyle w:val="02Tabletext"/>
              <w:jc w:val="center"/>
            </w:pPr>
            <w:r w:rsidRPr="00C66CC3">
              <w:t>NR</w:t>
            </w:r>
          </w:p>
        </w:tc>
      </w:tr>
      <w:tr w:rsidR="00917D0A" w:rsidTr="00277A35">
        <w:tc>
          <w:tcPr>
            <w:tcW w:w="1014" w:type="pct"/>
            <w:shd w:val="clear" w:color="auto" w:fill="DEEAF6" w:themeFill="accent1" w:themeFillTint="33"/>
          </w:tcPr>
          <w:p w:rsidR="00917D0A" w:rsidRDefault="005D75F9" w:rsidP="00C66CC3">
            <w:pPr>
              <w:pStyle w:val="02Tabletext"/>
            </w:pPr>
            <w:r>
              <w:t>Skaer (1993b)</w:t>
            </w:r>
          </w:p>
          <w:p w:rsidR="005D75F9" w:rsidRPr="005D75F9" w:rsidRDefault="005D75F9" w:rsidP="005D75F9">
            <w:pPr>
              <w:pStyle w:val="03Tabletextspacebefore"/>
            </w:pPr>
            <w:r>
              <w:rPr>
                <w:i/>
              </w:rPr>
              <w:t>Poor</w:t>
            </w:r>
            <w:r w:rsidRPr="005D75F9">
              <w:rPr>
                <w:i/>
              </w:rPr>
              <w:t xml:space="preserve"> quality</w:t>
            </w:r>
          </w:p>
        </w:tc>
        <w:tc>
          <w:tcPr>
            <w:tcW w:w="782" w:type="pct"/>
            <w:shd w:val="clear" w:color="auto" w:fill="DEEAF6" w:themeFill="accent1" w:themeFillTint="33"/>
          </w:tcPr>
          <w:p w:rsidR="00917D0A" w:rsidRPr="00C66CC3" w:rsidRDefault="00917D0A" w:rsidP="00277A35">
            <w:pPr>
              <w:pStyle w:val="02Tabletext"/>
              <w:jc w:val="center"/>
            </w:pPr>
            <w:r w:rsidRPr="00C66CC3">
              <w:t>Diabetes</w:t>
            </w:r>
          </w:p>
        </w:tc>
        <w:tc>
          <w:tcPr>
            <w:tcW w:w="387" w:type="pct"/>
            <w:shd w:val="clear" w:color="auto" w:fill="DEEAF6" w:themeFill="accent1" w:themeFillTint="33"/>
          </w:tcPr>
          <w:p w:rsidR="00917D0A" w:rsidRPr="00C66CC3" w:rsidRDefault="00277A35" w:rsidP="00277A35">
            <w:pPr>
              <w:pStyle w:val="02Tabletext"/>
              <w:jc w:val="center"/>
            </w:pPr>
            <w:r>
              <w:t>258</w:t>
            </w:r>
          </w:p>
        </w:tc>
        <w:tc>
          <w:tcPr>
            <w:tcW w:w="495" w:type="pct"/>
            <w:shd w:val="clear" w:color="auto" w:fill="DEEAF6" w:themeFill="accent1" w:themeFillTint="33"/>
          </w:tcPr>
          <w:p w:rsidR="00917D0A" w:rsidRPr="00C66CC3" w:rsidRDefault="00917D0A" w:rsidP="00277A35">
            <w:pPr>
              <w:pStyle w:val="02Tabletext"/>
              <w:jc w:val="center"/>
            </w:pPr>
            <w:r w:rsidRPr="00C66CC3">
              <w:t>71%</w:t>
            </w:r>
          </w:p>
        </w:tc>
        <w:tc>
          <w:tcPr>
            <w:tcW w:w="493" w:type="pct"/>
            <w:shd w:val="clear" w:color="auto" w:fill="DEEAF6" w:themeFill="accent1" w:themeFillTint="33"/>
          </w:tcPr>
          <w:p w:rsidR="00917D0A" w:rsidRPr="00C66CC3" w:rsidRDefault="00917D0A" w:rsidP="00277A35">
            <w:pPr>
              <w:pStyle w:val="02Tabletext"/>
              <w:jc w:val="center"/>
            </w:pPr>
            <w:r w:rsidRPr="00C66CC3">
              <w:t>58%</w:t>
            </w:r>
          </w:p>
        </w:tc>
        <w:tc>
          <w:tcPr>
            <w:tcW w:w="423" w:type="pct"/>
            <w:shd w:val="clear" w:color="auto" w:fill="DEEAF6" w:themeFill="accent1" w:themeFillTint="33"/>
          </w:tcPr>
          <w:p w:rsidR="00917D0A" w:rsidRPr="00C66CC3" w:rsidRDefault="0055178A" w:rsidP="00277A35">
            <w:pPr>
              <w:pStyle w:val="02Tabletext"/>
              <w:jc w:val="center"/>
            </w:pPr>
            <w:r>
              <w:t>≤</w:t>
            </w:r>
            <w:r w:rsidR="00917D0A" w:rsidRPr="00C66CC3">
              <w:t>0.05</w:t>
            </w:r>
          </w:p>
        </w:tc>
        <w:tc>
          <w:tcPr>
            <w:tcW w:w="495" w:type="pct"/>
            <w:shd w:val="clear" w:color="auto" w:fill="DEEAF6" w:themeFill="accent1" w:themeFillTint="33"/>
          </w:tcPr>
          <w:p w:rsidR="00917D0A" w:rsidRPr="00C66CC3" w:rsidRDefault="00917D0A" w:rsidP="00277A35">
            <w:pPr>
              <w:pStyle w:val="02Tabletext"/>
              <w:jc w:val="center"/>
            </w:pPr>
            <w:r w:rsidRPr="00C66CC3">
              <w:t>NR</w:t>
            </w:r>
          </w:p>
        </w:tc>
        <w:tc>
          <w:tcPr>
            <w:tcW w:w="493" w:type="pct"/>
            <w:shd w:val="clear" w:color="auto" w:fill="DEEAF6" w:themeFill="accent1" w:themeFillTint="33"/>
          </w:tcPr>
          <w:p w:rsidR="00917D0A" w:rsidRPr="00C66CC3" w:rsidRDefault="00917D0A" w:rsidP="00277A35">
            <w:pPr>
              <w:pStyle w:val="02Tabletext"/>
              <w:jc w:val="center"/>
            </w:pPr>
            <w:r w:rsidRPr="00C66CC3">
              <w:t>NR</w:t>
            </w:r>
          </w:p>
        </w:tc>
        <w:tc>
          <w:tcPr>
            <w:tcW w:w="417" w:type="pct"/>
            <w:shd w:val="clear" w:color="auto" w:fill="DEEAF6" w:themeFill="accent1" w:themeFillTint="33"/>
          </w:tcPr>
          <w:p w:rsidR="00917D0A" w:rsidRPr="00C66CC3" w:rsidRDefault="00917D0A" w:rsidP="00277A35">
            <w:pPr>
              <w:pStyle w:val="02Tabletext"/>
              <w:jc w:val="center"/>
            </w:pPr>
            <w:r w:rsidRPr="00C66CC3">
              <w:t>NR</w:t>
            </w:r>
          </w:p>
        </w:tc>
      </w:tr>
      <w:tr w:rsidR="00917D0A" w:rsidTr="00277A35">
        <w:trPr>
          <w:cnfStyle w:val="000000010000" w:firstRow="0" w:lastRow="0" w:firstColumn="0" w:lastColumn="0" w:oddVBand="0" w:evenVBand="0" w:oddHBand="0" w:evenHBand="1" w:firstRowFirstColumn="0" w:firstRowLastColumn="0" w:lastRowFirstColumn="0" w:lastRowLastColumn="0"/>
        </w:trPr>
        <w:tc>
          <w:tcPr>
            <w:tcW w:w="1014" w:type="pct"/>
            <w:shd w:val="clear" w:color="auto" w:fill="auto"/>
          </w:tcPr>
          <w:p w:rsidR="00917D0A" w:rsidRDefault="005D75F9" w:rsidP="00C66CC3">
            <w:pPr>
              <w:pStyle w:val="02Tabletext"/>
            </w:pPr>
            <w:r>
              <w:t>Becker (1985)</w:t>
            </w:r>
          </w:p>
          <w:p w:rsidR="005D75F9" w:rsidRPr="005D75F9" w:rsidRDefault="005D75F9" w:rsidP="005D75F9">
            <w:pPr>
              <w:pStyle w:val="03Tabletextspacebefore"/>
            </w:pPr>
            <w:r>
              <w:rPr>
                <w:i/>
              </w:rPr>
              <w:t>Poor</w:t>
            </w:r>
            <w:r w:rsidRPr="005D75F9">
              <w:rPr>
                <w:i/>
              </w:rPr>
              <w:t xml:space="preserve"> quality</w:t>
            </w:r>
          </w:p>
        </w:tc>
        <w:tc>
          <w:tcPr>
            <w:tcW w:w="782" w:type="pct"/>
            <w:shd w:val="clear" w:color="auto" w:fill="auto"/>
          </w:tcPr>
          <w:p w:rsidR="00917D0A" w:rsidRPr="00C66CC3" w:rsidRDefault="00917D0A" w:rsidP="00277A35">
            <w:pPr>
              <w:pStyle w:val="02Tabletext"/>
              <w:jc w:val="center"/>
            </w:pPr>
            <w:r w:rsidRPr="00C66CC3">
              <w:t>Hypertension</w:t>
            </w:r>
          </w:p>
        </w:tc>
        <w:tc>
          <w:tcPr>
            <w:tcW w:w="387" w:type="pct"/>
            <w:shd w:val="clear" w:color="auto" w:fill="auto"/>
          </w:tcPr>
          <w:p w:rsidR="00917D0A" w:rsidRPr="00C66CC3" w:rsidRDefault="00277A35" w:rsidP="00277A35">
            <w:pPr>
              <w:pStyle w:val="02Tabletext"/>
              <w:jc w:val="center"/>
            </w:pPr>
            <w:r>
              <w:t>180</w:t>
            </w:r>
          </w:p>
        </w:tc>
        <w:tc>
          <w:tcPr>
            <w:tcW w:w="495" w:type="pct"/>
            <w:shd w:val="clear" w:color="auto" w:fill="auto"/>
          </w:tcPr>
          <w:p w:rsidR="00917D0A" w:rsidRPr="00C66CC3" w:rsidRDefault="00917D0A" w:rsidP="00277A35">
            <w:pPr>
              <w:pStyle w:val="02Tabletext"/>
              <w:jc w:val="center"/>
            </w:pPr>
            <w:r w:rsidRPr="00C66CC3">
              <w:t>NR</w:t>
            </w:r>
          </w:p>
        </w:tc>
        <w:tc>
          <w:tcPr>
            <w:tcW w:w="493" w:type="pct"/>
            <w:shd w:val="clear" w:color="auto" w:fill="auto"/>
          </w:tcPr>
          <w:p w:rsidR="00917D0A" w:rsidRPr="00C66CC3" w:rsidRDefault="00917D0A" w:rsidP="00277A35">
            <w:pPr>
              <w:pStyle w:val="02Tabletext"/>
              <w:jc w:val="center"/>
            </w:pPr>
            <w:r w:rsidRPr="00C66CC3">
              <w:t>NR</w:t>
            </w:r>
          </w:p>
        </w:tc>
        <w:tc>
          <w:tcPr>
            <w:tcW w:w="423" w:type="pct"/>
            <w:shd w:val="clear" w:color="auto" w:fill="auto"/>
          </w:tcPr>
          <w:p w:rsidR="00917D0A" w:rsidRPr="00C66CC3" w:rsidRDefault="00917D0A" w:rsidP="00277A35">
            <w:pPr>
              <w:pStyle w:val="02Tabletext"/>
              <w:jc w:val="center"/>
            </w:pPr>
            <w:r w:rsidRPr="00C66CC3">
              <w:t>NR</w:t>
            </w:r>
          </w:p>
        </w:tc>
        <w:tc>
          <w:tcPr>
            <w:tcW w:w="495" w:type="pct"/>
            <w:shd w:val="clear" w:color="auto" w:fill="auto"/>
          </w:tcPr>
          <w:p w:rsidR="00917D0A" w:rsidRPr="00C66CC3" w:rsidRDefault="00917D0A" w:rsidP="00277A35">
            <w:pPr>
              <w:pStyle w:val="02Tabletext"/>
              <w:jc w:val="center"/>
            </w:pPr>
            <w:r w:rsidRPr="00C66CC3">
              <w:t>n.s.</w:t>
            </w:r>
          </w:p>
        </w:tc>
        <w:tc>
          <w:tcPr>
            <w:tcW w:w="493" w:type="pct"/>
            <w:shd w:val="clear" w:color="auto" w:fill="auto"/>
          </w:tcPr>
          <w:p w:rsidR="00917D0A" w:rsidRPr="00C66CC3" w:rsidRDefault="00917D0A" w:rsidP="00277A35">
            <w:pPr>
              <w:pStyle w:val="02Tabletext"/>
              <w:jc w:val="center"/>
            </w:pPr>
            <w:r w:rsidRPr="00C66CC3">
              <w:t>n.s.</w:t>
            </w:r>
          </w:p>
        </w:tc>
        <w:tc>
          <w:tcPr>
            <w:tcW w:w="417" w:type="pct"/>
            <w:shd w:val="clear" w:color="auto" w:fill="auto"/>
          </w:tcPr>
          <w:p w:rsidR="00917D0A" w:rsidRPr="00C66CC3" w:rsidRDefault="00917D0A" w:rsidP="00277A35">
            <w:pPr>
              <w:pStyle w:val="02Tabletext"/>
              <w:jc w:val="center"/>
            </w:pPr>
            <w:r w:rsidRPr="00C66CC3">
              <w:t>n.s.</w:t>
            </w:r>
          </w:p>
        </w:tc>
      </w:tr>
    </w:tbl>
    <w:p w:rsidR="00A63D34" w:rsidRDefault="00A63D34" w:rsidP="00277A35">
      <w:pPr>
        <w:pStyle w:val="08Tablefootnotes"/>
      </w:pPr>
      <w:r>
        <w:t>Abbreviations: MPR, medication possession ratio; NR, not reported; n.s., not significant; US, United Sta</w:t>
      </w:r>
      <w:r w:rsidR="00277A35">
        <w:t>tes.</w:t>
      </w:r>
    </w:p>
    <w:p w:rsidR="00277A35" w:rsidRDefault="00277A35" w:rsidP="00C2042E">
      <w:pPr>
        <w:pStyle w:val="09Tablefootnoteslast-nostick"/>
        <w:spacing w:after="0"/>
      </w:pPr>
      <w:r w:rsidRPr="00277A35">
        <w:rPr>
          <w:b/>
        </w:rPr>
        <w:t>a</w:t>
      </w:r>
      <w:r>
        <w:t xml:space="preserve"> Patients with&gt;90% pill intake.</w:t>
      </w:r>
    </w:p>
    <w:p w:rsidR="00C2042E" w:rsidRPr="00432976" w:rsidRDefault="00C2042E" w:rsidP="00C2042E">
      <w:pPr>
        <w:pStyle w:val="08Tablefootnotes"/>
        <w:spacing w:after="360"/>
      </w:pPr>
      <w:r w:rsidRPr="00047771">
        <w:t xml:space="preserve">Note: </w:t>
      </w:r>
      <w:r w:rsidRPr="00C2042E">
        <w:rPr>
          <w:b/>
        </w:rPr>
        <w:t>Quality assessment</w:t>
      </w:r>
      <w:r w:rsidRPr="00047771">
        <w:t xml:space="preserve"> was undertaken for the purposes of this review and is presented in Appendix 6.</w:t>
      </w:r>
    </w:p>
    <w:p w:rsidR="00A63D34" w:rsidRDefault="00A63D34" w:rsidP="00A63D34">
      <w:pPr>
        <w:pStyle w:val="BodyText"/>
      </w:pPr>
      <w:r>
        <w:t xml:space="preserve">In the retrospective matched cohort study by Dupclay et al (2012), improvements in adherence were assessed by increases in MPR and proportion of days covered. An increase in persistence was measured by shorter gaps between successive refills (time to refill) in the </w:t>
      </w:r>
      <w:r w:rsidR="00F171F3">
        <w:t>reminder packaging</w:t>
      </w:r>
      <w:r>
        <w:t xml:space="preserve"> cohort over an 11-month period. The study found that adherence was</w:t>
      </w:r>
      <w:r w:rsidR="00F171F3">
        <w:t xml:space="preserve"> significantly higher in the </w:t>
      </w:r>
      <w:r w:rsidR="00F171F3">
        <w:lastRenderedPageBreak/>
        <w:t xml:space="preserve">reminder packaging </w:t>
      </w:r>
      <w:r>
        <w:t>cohort compared with patients in the non-</w:t>
      </w:r>
      <w:r w:rsidR="00F171F3">
        <w:t>reminder packaging</w:t>
      </w:r>
      <w:r>
        <w:t xml:space="preserve"> cohort, with MPR of 80% in the </w:t>
      </w:r>
      <w:r w:rsidR="00F171F3">
        <w:t>reminder packaging</w:t>
      </w:r>
      <w:r>
        <w:t xml:space="preserve"> group versus 73% in the non-</w:t>
      </w:r>
      <w:r w:rsidR="00F171F3">
        <w:t>reminder packaging</w:t>
      </w:r>
      <w:r>
        <w:t xml:space="preserve"> group (P&lt;0.001). The proportion of days covered for the </w:t>
      </w:r>
      <w:r w:rsidR="00F171F3">
        <w:t>reminder packaging</w:t>
      </w:r>
      <w:r>
        <w:t xml:space="preserve"> group was reported to be 76% versus 63% in the non-</w:t>
      </w:r>
      <w:r w:rsidR="00F171F3">
        <w:t>reminder packaging</w:t>
      </w:r>
      <w:r>
        <w:t xml:space="preserve"> group (P&lt;0.001). Refill timing was 10 days for </w:t>
      </w:r>
      <w:r w:rsidR="00F171F3">
        <w:t>reminder packaging</w:t>
      </w:r>
      <w:r>
        <w:t xml:space="preserve"> patients versus 16 days for non-</w:t>
      </w:r>
      <w:r w:rsidR="00F171F3">
        <w:t>reminder packaging</w:t>
      </w:r>
      <w:r>
        <w:t xml:space="preserve"> patients (P&lt;0.001). Similar trends were observed with respect to time to discontinuation (</w:t>
      </w:r>
      <w:r w:rsidR="00F171F3">
        <w:t>reminder packaging</w:t>
      </w:r>
      <w:r>
        <w:t xml:space="preserve"> 196 days, non-</w:t>
      </w:r>
      <w:r w:rsidR="00F171F3">
        <w:t>reminder packaging</w:t>
      </w:r>
      <w:r>
        <w:t xml:space="preserve"> 174 days; P&lt;0.001). A higher proportion of </w:t>
      </w:r>
      <w:r w:rsidR="00F171F3">
        <w:t>reminder packaging</w:t>
      </w:r>
      <w:r>
        <w:t xml:space="preserve"> patients remained on therapy compared with non-</w:t>
      </w:r>
      <w:r w:rsidR="00F171F3">
        <w:t>reminder packaging</w:t>
      </w:r>
      <w:r>
        <w:t xml:space="preserve"> patients, with patients in the </w:t>
      </w:r>
      <w:r w:rsidR="00F171F3">
        <w:t>reminder packaging</w:t>
      </w:r>
      <w:r>
        <w:t xml:space="preserve"> group being 17% less likely to discontinue therapy compared with patients in the non-</w:t>
      </w:r>
      <w:r w:rsidR="00F171F3">
        <w:t>reminder packaging</w:t>
      </w:r>
      <w:r>
        <w:t xml:space="preserve"> group (hazards ratio 0.833; 95% CI 0.79–0.87). The authors concluded that the use of </w:t>
      </w:r>
      <w:r w:rsidR="00F171F3">
        <w:t>reminder packaging</w:t>
      </w:r>
      <w:r>
        <w:t xml:space="preserve"> improved patients’ adherence and persistence to antihypertensive medication regimen. </w:t>
      </w:r>
    </w:p>
    <w:p w:rsidR="00A63D34" w:rsidRDefault="00A63D34" w:rsidP="00A63D34">
      <w:pPr>
        <w:pStyle w:val="BodyText"/>
      </w:pPr>
      <w:r>
        <w:t>In the RCT by Schneider et al (2008), adherence was measured using MPR, defined as the sum of the day’s supply for all prescriptions received during the study, divided by the number of days between the dates of the first and last prescription dispensing.</w:t>
      </w:r>
      <w:r w:rsidRPr="00691B24">
        <w:t xml:space="preserve"> </w:t>
      </w:r>
      <w:r w:rsidR="008D279D" w:rsidRPr="00E05E0A">
        <w:t xml:space="preserve">MPR was significantly higher for the </w:t>
      </w:r>
      <w:r w:rsidR="008D279D">
        <w:t>blister packaging group than the control group, al</w:t>
      </w:r>
      <w:r w:rsidR="008D279D" w:rsidRPr="00E05E0A">
        <w:t xml:space="preserve">though the absolute difference was small (6%). </w:t>
      </w:r>
      <w:r>
        <w:t xml:space="preserve">The study </w:t>
      </w:r>
      <w:r w:rsidR="008D279D">
        <w:t xml:space="preserve">also </w:t>
      </w:r>
      <w:r>
        <w:t>found that the</w:t>
      </w:r>
      <w:r w:rsidRPr="00E05E0A">
        <w:t xml:space="preserve"> percentage of on-time refills was significantly higher</w:t>
      </w:r>
      <w:r>
        <w:t xml:space="preserve"> by 13.7%</w:t>
      </w:r>
      <w:r w:rsidRPr="00E05E0A">
        <w:t xml:space="preserve"> for the </w:t>
      </w:r>
      <w:r>
        <w:t>blister packaging</w:t>
      </w:r>
      <w:r w:rsidRPr="00E05E0A">
        <w:t xml:space="preserve"> group tha</w:t>
      </w:r>
      <w:r>
        <w:t>n the control group.</w:t>
      </w:r>
      <w:r w:rsidRPr="00E05E0A">
        <w:t xml:space="preserve"> </w:t>
      </w:r>
      <w:r>
        <w:t>Both effects were retained after adjusting for age and gender.</w:t>
      </w:r>
      <w:r w:rsidRPr="00603F99">
        <w:t xml:space="preserve"> </w:t>
      </w:r>
      <w:r>
        <w:t>The authors concluded that reminder packaging significantly improved adheren</w:t>
      </w:r>
      <w:r w:rsidR="008D279D">
        <w:t>ce to antihypertensive therapy.</w:t>
      </w:r>
    </w:p>
    <w:p w:rsidR="00A63D34" w:rsidRDefault="00A63D34" w:rsidP="00A63D34">
      <w:pPr>
        <w:pStyle w:val="BodyText"/>
      </w:pPr>
      <w:r>
        <w:t>In the VITAL RCT (Huang et al, 2000), adherence to pill taking was measured by pill counts, serum vitamin (alpha-tocopherol) levels, and self-reports using a standardised instrument (Morisky scale). Follow-up data was provided by 294 participants (99%). The study found that the percentage of participants who took 90% or more of pills was 93% in the blister-pack group versus 87% in the self-packed pill-organiser group. Distribution of pill counts were similar among healthy individuals and among persons who had at least one chronic medical condition. Adherence measured by serum vitamin levels was similar in the blister-pack and the pill organiser groups, while the pattern of adherence as measured by pill counts suggested that the use of blister packs may have improved adherence, particularly among those with lower adherence. This was also the finding of self-reported adherence, with the percentage of participants who reported having ever forgotten to take study pills being lower in the blister-pack group than in the organiser group.</w:t>
      </w:r>
      <w:r w:rsidRPr="00946675">
        <w:t xml:space="preserve"> The authors concluded that the use of blister packs improved adherence as measured by pill counts among those with lower adherence, however neither pill delivery systems improved adherence as measured by serum vitamin levels</w:t>
      </w:r>
      <w:r>
        <w:t>.</w:t>
      </w:r>
    </w:p>
    <w:p w:rsidR="00A63D34" w:rsidRDefault="00A63D34" w:rsidP="00A63D34">
      <w:pPr>
        <w:pStyle w:val="BodyText"/>
      </w:pPr>
      <w:r w:rsidRPr="005923E5">
        <w:t xml:space="preserve">The </w:t>
      </w:r>
      <w:r>
        <w:t xml:space="preserve">small </w:t>
      </w:r>
      <w:r w:rsidRPr="005923E5">
        <w:t xml:space="preserve">study by Winland-Brown (2000) reported the number of missed doses of medications (pill count) in each group at one, three and six months. The study </w:t>
      </w:r>
      <w:r>
        <w:t>found</w:t>
      </w:r>
      <w:r w:rsidRPr="005923E5">
        <w:t xml:space="preserve"> no significant effect with the use of a prefilled pillbox on the mean number of missed doses</w:t>
      </w:r>
      <w:r>
        <w:t>;</w:t>
      </w:r>
      <w:r w:rsidRPr="005923E5">
        <w:t xml:space="preserve"> however, results from this study are inconclusive as there was insufficient information on the number of study medications taken by participants and substantial gaps in the information published. </w:t>
      </w:r>
    </w:p>
    <w:p w:rsidR="00A63D34" w:rsidRPr="005923E5" w:rsidRDefault="00A63D34" w:rsidP="00A63D34">
      <w:pPr>
        <w:pStyle w:val="BodyText"/>
      </w:pPr>
      <w:r>
        <w:t>The Skaer et al (1993a) hypertension RCT showed that patients receiving reminder packaging achieved a significant increase in the MPR for antihypertensive therapy relative to controls. The percentage o</w:t>
      </w:r>
      <w:r w:rsidRPr="009E4E9F">
        <w:t>f pills</w:t>
      </w:r>
      <w:r>
        <w:t xml:space="preserve"> taken</w:t>
      </w:r>
      <w:r w:rsidRPr="009E4E9F">
        <w:t xml:space="preserve"> was 85% in the reminder packaging group versus 78% in the control group</w:t>
      </w:r>
      <w:r>
        <w:t xml:space="preserve"> (P</w:t>
      </w:r>
      <w:r w:rsidR="00BE6542">
        <w:t xml:space="preserve"> </w:t>
      </w:r>
      <w:r>
        <w:rPr>
          <w:rFonts w:cs="Times New Roman"/>
        </w:rPr>
        <w:t>≤</w:t>
      </w:r>
      <w:r>
        <w:t>0.05).</w:t>
      </w:r>
      <w:r w:rsidRPr="009E4E9F">
        <w:t xml:space="preserve"> </w:t>
      </w:r>
    </w:p>
    <w:p w:rsidR="00A63D34" w:rsidRDefault="00A63D34" w:rsidP="00A63D34">
      <w:pPr>
        <w:pStyle w:val="BodyText"/>
      </w:pPr>
      <w:r>
        <w:t xml:space="preserve">Results from the Skaer (1993b) NIDDM RCT showed that the use of specialised packaging </w:t>
      </w:r>
      <w:r w:rsidRPr="005923E5">
        <w:t>significantly increased the</w:t>
      </w:r>
      <w:r>
        <w:t xml:space="preserve"> MPR for sulfonylurea therapy relative to control. The percentage</w:t>
      </w:r>
      <w:r w:rsidRPr="00107387">
        <w:t xml:space="preserve"> of pills</w:t>
      </w:r>
      <w:r>
        <w:t xml:space="preserve"> taken</w:t>
      </w:r>
      <w:r w:rsidRPr="00107387">
        <w:t xml:space="preserve"> was 71% in the reminder packaging group versus 58% in the control group</w:t>
      </w:r>
      <w:r>
        <w:t xml:space="preserve"> (P</w:t>
      </w:r>
      <w:r w:rsidR="00BE6542">
        <w:t xml:space="preserve"> </w:t>
      </w:r>
      <w:r>
        <w:rPr>
          <w:rFonts w:cs="Times New Roman"/>
        </w:rPr>
        <w:t>≤</w:t>
      </w:r>
      <w:r>
        <w:t xml:space="preserve">0.05). </w:t>
      </w:r>
    </w:p>
    <w:p w:rsidR="00A63D34" w:rsidRDefault="00A63D34" w:rsidP="00A63D34">
      <w:pPr>
        <w:pStyle w:val="BodyText"/>
      </w:pPr>
      <w:r w:rsidRPr="00254F8B">
        <w:lastRenderedPageBreak/>
        <w:t xml:space="preserve">The </w:t>
      </w:r>
      <w:r>
        <w:t>RCT by Becker et al (1986)</w:t>
      </w:r>
      <w:r w:rsidRPr="00254F8B">
        <w:t xml:space="preserve"> did not find any statistically significant improvement in adherence for hypertensive </w:t>
      </w:r>
      <w:r>
        <w:t xml:space="preserve">therapy in </w:t>
      </w:r>
      <w:r w:rsidRPr="00254F8B">
        <w:t xml:space="preserve">patients receiving </w:t>
      </w:r>
      <w:r>
        <w:t>their medications in a single blister sealed pack</w:t>
      </w:r>
      <w:r w:rsidRPr="00BA6102">
        <w:t xml:space="preserve"> </w:t>
      </w:r>
      <w:r>
        <w:t>compared with conventional pill vials (data not reported).</w:t>
      </w:r>
    </w:p>
    <w:p w:rsidR="003D7DEF" w:rsidRPr="006E7F84" w:rsidRDefault="00A63D34" w:rsidP="002C73AD">
      <w:pPr>
        <w:pStyle w:val="BodyText"/>
        <w:rPr>
          <w:i/>
        </w:rPr>
      </w:pPr>
      <w:r w:rsidRPr="005728E8">
        <w:rPr>
          <w:b/>
        </w:rPr>
        <w:t>Findings:</w:t>
      </w:r>
      <w:r w:rsidRPr="00D86F9C">
        <w:t xml:space="preserve"> </w:t>
      </w:r>
      <w:r w:rsidRPr="006E7F84">
        <w:rPr>
          <w:i/>
        </w:rPr>
        <w:t xml:space="preserve">The evidence on the effectiveness of DAAs on adherence to medication is mixed. </w:t>
      </w:r>
      <w:r w:rsidR="00C2042E">
        <w:rPr>
          <w:i/>
        </w:rPr>
        <w:t xml:space="preserve"> </w:t>
      </w:r>
      <w:r w:rsidR="00BE6542" w:rsidRPr="006E7F84">
        <w:rPr>
          <w:i/>
        </w:rPr>
        <w:t>Four</w:t>
      </w:r>
      <w:r w:rsidRPr="006E7F84">
        <w:rPr>
          <w:i/>
        </w:rPr>
        <w:t xml:space="preserve"> studies </w:t>
      </w:r>
      <w:r w:rsidR="003D7DEF" w:rsidRPr="006E7F84">
        <w:rPr>
          <w:i/>
        </w:rPr>
        <w:t>(three RCTs and one retrospective matched cohort study)</w:t>
      </w:r>
      <w:r w:rsidR="006C676B">
        <w:rPr>
          <w:i/>
        </w:rPr>
        <w:t xml:space="preserve"> </w:t>
      </w:r>
      <w:r w:rsidRPr="006E7F84">
        <w:rPr>
          <w:i/>
        </w:rPr>
        <w:t xml:space="preserve">showed that the use of DAAs </w:t>
      </w:r>
      <w:r w:rsidR="00883C7A" w:rsidRPr="006E7F84">
        <w:rPr>
          <w:i/>
        </w:rPr>
        <w:t>or similar medicine compliance aids</w:t>
      </w:r>
      <w:r w:rsidRPr="006E7F84">
        <w:rPr>
          <w:i/>
        </w:rPr>
        <w:t xml:space="preserve"> significantly improved adherence to medication </w:t>
      </w:r>
      <w:r w:rsidR="00BE6542" w:rsidRPr="006E7F84">
        <w:rPr>
          <w:i/>
        </w:rPr>
        <w:t xml:space="preserve">for diabetes and hypertension, </w:t>
      </w:r>
      <w:r w:rsidRPr="006E7F84">
        <w:rPr>
          <w:i/>
        </w:rPr>
        <w:t xml:space="preserve">as manifested by improvements in MPR. </w:t>
      </w:r>
      <w:r w:rsidR="00C2042E">
        <w:rPr>
          <w:i/>
        </w:rPr>
        <w:t xml:space="preserve"> </w:t>
      </w:r>
      <w:r w:rsidRPr="006E7F84">
        <w:rPr>
          <w:i/>
        </w:rPr>
        <w:t xml:space="preserve">However, </w:t>
      </w:r>
      <w:r w:rsidR="00BE6542" w:rsidRPr="006E7F84">
        <w:rPr>
          <w:i/>
        </w:rPr>
        <w:t xml:space="preserve">the evidence was less convincing for adherence measured by pill counts, with </w:t>
      </w:r>
      <w:r w:rsidRPr="006E7F84">
        <w:rPr>
          <w:i/>
        </w:rPr>
        <w:t xml:space="preserve">two </w:t>
      </w:r>
      <w:r w:rsidR="00BE6542" w:rsidRPr="006E7F84">
        <w:rPr>
          <w:i/>
        </w:rPr>
        <w:t xml:space="preserve">of three </w:t>
      </w:r>
      <w:r w:rsidRPr="006E7F84">
        <w:rPr>
          <w:i/>
        </w:rPr>
        <w:t>studies show</w:t>
      </w:r>
      <w:r w:rsidR="00BE6542" w:rsidRPr="006E7F84">
        <w:rPr>
          <w:i/>
        </w:rPr>
        <w:t>ing</w:t>
      </w:r>
      <w:r w:rsidRPr="006E7F84">
        <w:rPr>
          <w:i/>
        </w:rPr>
        <w:t xml:space="preserve"> no effect. </w:t>
      </w:r>
      <w:r w:rsidR="00C2042E">
        <w:rPr>
          <w:i/>
        </w:rPr>
        <w:t xml:space="preserve"> </w:t>
      </w:r>
      <w:r w:rsidR="00BE6542" w:rsidRPr="006E7F84">
        <w:rPr>
          <w:i/>
        </w:rPr>
        <w:t>T</w:t>
      </w:r>
      <w:r w:rsidRPr="006E7F84">
        <w:rPr>
          <w:i/>
        </w:rPr>
        <w:t xml:space="preserve">he effect </w:t>
      </w:r>
      <w:r w:rsidR="00BE6542" w:rsidRPr="006E7F84">
        <w:rPr>
          <w:i/>
        </w:rPr>
        <w:t>of drug reminder packaging was more pronounced</w:t>
      </w:r>
      <w:r w:rsidRPr="006E7F84">
        <w:rPr>
          <w:i/>
        </w:rPr>
        <w:t xml:space="preserve"> </w:t>
      </w:r>
      <w:r w:rsidR="003D7DEF" w:rsidRPr="006E7F84">
        <w:rPr>
          <w:i/>
        </w:rPr>
        <w:t xml:space="preserve">when used in combination with other </w:t>
      </w:r>
      <w:r w:rsidRPr="006E7F84">
        <w:rPr>
          <w:i/>
        </w:rPr>
        <w:t xml:space="preserve">interventions </w:t>
      </w:r>
      <w:r w:rsidR="003D7DEF" w:rsidRPr="006E7F84">
        <w:rPr>
          <w:i/>
        </w:rPr>
        <w:t>such as a refill reminder</w:t>
      </w:r>
      <w:r w:rsidRPr="006E7F84">
        <w:rPr>
          <w:i/>
        </w:rPr>
        <w:t xml:space="preserve">. </w:t>
      </w:r>
    </w:p>
    <w:p w:rsidR="00A63D34" w:rsidRPr="006E7F84" w:rsidRDefault="00A63D34" w:rsidP="002C73AD">
      <w:pPr>
        <w:pStyle w:val="BodyText"/>
        <w:rPr>
          <w:i/>
        </w:rPr>
      </w:pPr>
      <w:r w:rsidRPr="006E7F84">
        <w:rPr>
          <w:i/>
        </w:rPr>
        <w:t xml:space="preserve">The current evidence base consists of </w:t>
      </w:r>
      <w:r w:rsidR="003D7DEF" w:rsidRPr="006E7F84">
        <w:rPr>
          <w:i/>
        </w:rPr>
        <w:t>poor to fair</w:t>
      </w:r>
      <w:r w:rsidRPr="006E7F84">
        <w:rPr>
          <w:i/>
        </w:rPr>
        <w:t xml:space="preserve"> quality studies with signif</w:t>
      </w:r>
      <w:r w:rsidR="003D7DEF" w:rsidRPr="006E7F84">
        <w:rPr>
          <w:i/>
        </w:rPr>
        <w:t>icant methodological limitation, inadequate length of follow-up,</w:t>
      </w:r>
      <w:r w:rsidRPr="006E7F84">
        <w:rPr>
          <w:i/>
        </w:rPr>
        <w:t xml:space="preserve"> and mode</w:t>
      </w:r>
      <w:r w:rsidR="003D7DEF" w:rsidRPr="006E7F84">
        <w:rPr>
          <w:i/>
        </w:rPr>
        <w:t>rate-to-high risk of bias.</w:t>
      </w:r>
      <w:r w:rsidR="00C2042E">
        <w:rPr>
          <w:i/>
        </w:rPr>
        <w:t xml:space="preserve"> </w:t>
      </w:r>
      <w:r w:rsidR="003D7DEF" w:rsidRPr="006E7F84">
        <w:rPr>
          <w:i/>
        </w:rPr>
        <w:t xml:space="preserve"> </w:t>
      </w:r>
      <w:r w:rsidRPr="006E7F84">
        <w:rPr>
          <w:i/>
        </w:rPr>
        <w:t>Therefore, findings from these studies should be interpreted with caution.</w:t>
      </w:r>
    </w:p>
    <w:p w:rsidR="00A63D34" w:rsidRPr="006E7F84" w:rsidRDefault="00A63D34" w:rsidP="002C73AD">
      <w:pPr>
        <w:pStyle w:val="BodyText"/>
        <w:rPr>
          <w:i/>
        </w:rPr>
      </w:pPr>
      <w:r w:rsidRPr="006E7F84">
        <w:rPr>
          <w:i/>
        </w:rPr>
        <w:t xml:space="preserve">There are currently no studies that assessed the effect of the Australian DAA </w:t>
      </w:r>
      <w:r w:rsidR="009278FF">
        <w:rPr>
          <w:i/>
        </w:rPr>
        <w:t>initiative</w:t>
      </w:r>
      <w:r w:rsidRPr="006E7F84">
        <w:rPr>
          <w:i/>
        </w:rPr>
        <w:t xml:space="preserve"> on adherence to medication. </w:t>
      </w:r>
      <w:r w:rsidR="00C2042E">
        <w:rPr>
          <w:i/>
        </w:rPr>
        <w:t xml:space="preserve"> </w:t>
      </w:r>
      <w:r w:rsidRPr="006E7F84">
        <w:rPr>
          <w:i/>
        </w:rPr>
        <w:t xml:space="preserve">Further high-quality studies of adequate size and duration, assessing the use of DAAs or similar medicine compliance aids on adherence to self-administered long-term medication use are required to draw firm conclusions. </w:t>
      </w:r>
    </w:p>
    <w:p w:rsidR="00A63D34" w:rsidRPr="006C7BF5" w:rsidRDefault="00A63D34" w:rsidP="00A63D34">
      <w:pPr>
        <w:pStyle w:val="BodyText"/>
      </w:pPr>
      <w:r w:rsidRPr="00134576">
        <w:rPr>
          <w:i/>
        </w:rPr>
        <w:t>It also appears that there is a lack of a thorough and patient-centred assessment tool that pharmacists can use to assist with determining if patient nonadherence is intentional or unintentional, as DAAs are probably not effective in improving intentional</w:t>
      </w:r>
      <w:r w:rsidRPr="00163F72">
        <w:rPr>
          <w:i/>
        </w:rPr>
        <w:t xml:space="preserve"> </w:t>
      </w:r>
      <w:r w:rsidRPr="0050598F">
        <w:rPr>
          <w:i/>
        </w:rPr>
        <w:t>nonadherence.</w:t>
      </w:r>
    </w:p>
    <w:p w:rsidR="00A63D34" w:rsidRPr="00FC266E" w:rsidRDefault="00A63D34" w:rsidP="00A63D34">
      <w:pPr>
        <w:pStyle w:val="Heading3"/>
        <w:numPr>
          <w:ilvl w:val="2"/>
          <w:numId w:val="38"/>
        </w:numPr>
      </w:pPr>
      <w:bookmarkStart w:id="105" w:name="_Toc523230299"/>
      <w:r w:rsidRPr="00FC266E">
        <w:t>Clinical outcomes</w:t>
      </w:r>
      <w:bookmarkEnd w:id="105"/>
    </w:p>
    <w:p w:rsidR="00A63D34" w:rsidRPr="00DA770D" w:rsidRDefault="00A63D34" w:rsidP="00A63D34">
      <w:pPr>
        <w:pStyle w:val="Heading4"/>
      </w:pPr>
      <w:r w:rsidRPr="00DA770D">
        <w:t xml:space="preserve">Warfarin </w:t>
      </w:r>
      <w:r w:rsidRPr="006C7BF5">
        <w:t>use</w:t>
      </w:r>
    </w:p>
    <w:p w:rsidR="00A63D34" w:rsidRDefault="00A63D34" w:rsidP="00A63D34">
      <w:pPr>
        <w:pStyle w:val="BodyText"/>
      </w:pPr>
      <w:r w:rsidRPr="00414F46">
        <w:t xml:space="preserve">Only one </w:t>
      </w:r>
      <w:r w:rsidR="005D75F9">
        <w:t xml:space="preserve">poor quality prospective cohort </w:t>
      </w:r>
      <w:r w:rsidRPr="00414F46">
        <w:t xml:space="preserve">study </w:t>
      </w:r>
      <w:r>
        <w:t xml:space="preserve">(Dumas et al, 2016) </w:t>
      </w:r>
      <w:r w:rsidRPr="00414F46">
        <w:t xml:space="preserve">reported on the results of pharmacist-packed pill box use on clinical outcomes in patients taking warfarin therapy for atrial fibrillation or other indications. </w:t>
      </w:r>
    </w:p>
    <w:p w:rsidR="00A63D34" w:rsidRPr="00255A94" w:rsidRDefault="00A63D34" w:rsidP="00A63D34">
      <w:pPr>
        <w:pStyle w:val="BodyText"/>
        <w:rPr>
          <w:szCs w:val="24"/>
        </w:rPr>
      </w:pPr>
      <w:r>
        <w:t>T</w:t>
      </w:r>
      <w:r w:rsidRPr="00414F46">
        <w:t>he</w:t>
      </w:r>
      <w:r>
        <w:t xml:space="preserve"> primary outcome in the prospective cohort</w:t>
      </w:r>
      <w:r w:rsidRPr="00414F46">
        <w:t xml:space="preserve"> study </w:t>
      </w:r>
      <w:r>
        <w:t>was TTR</w:t>
      </w:r>
      <w:r w:rsidRPr="00414F46">
        <w:t xml:space="preserve"> &lt;60%, which represents a low percentage of time in the INR therapeutic range or an unstable patient. The secondary outcome was the INR instability pattern (unstable below range; unstable over range; unstable with erratic pattern; and stable) to better describe pati</w:t>
      </w:r>
      <w:r>
        <w:t>ent INR profiles. The study</w:t>
      </w:r>
      <w:r w:rsidRPr="00414F46">
        <w:t xml:space="preserve"> found that </w:t>
      </w:r>
      <w:r w:rsidRPr="00255A94">
        <w:rPr>
          <w:szCs w:val="24"/>
        </w:rPr>
        <w:t xml:space="preserve">pharmacist-prepared pillbox use </w:t>
      </w:r>
      <w:r>
        <w:rPr>
          <w:szCs w:val="24"/>
        </w:rPr>
        <w:t xml:space="preserve">was not associated with a TTR &lt;60% </w:t>
      </w:r>
      <w:r w:rsidRPr="00255A94">
        <w:rPr>
          <w:szCs w:val="24"/>
        </w:rPr>
        <w:t>or with a specific INR instability pattern at any time during follow-up</w:t>
      </w:r>
      <w:r>
        <w:rPr>
          <w:szCs w:val="24"/>
        </w:rPr>
        <w:t xml:space="preserve"> (see </w:t>
      </w:r>
      <w:r w:rsidRPr="00255A94">
        <w:rPr>
          <w:szCs w:val="24"/>
        </w:rPr>
        <w:fldChar w:fldCharType="begin"/>
      </w:r>
      <w:r w:rsidRPr="00255A94">
        <w:rPr>
          <w:szCs w:val="24"/>
        </w:rPr>
        <w:instrText xml:space="preserve"> REF _Ref462044394 \h  \* MERGEFORMAT </w:instrText>
      </w:r>
      <w:r w:rsidRPr="00255A94">
        <w:rPr>
          <w:szCs w:val="24"/>
        </w:rPr>
      </w:r>
      <w:r w:rsidRPr="00255A94">
        <w:rPr>
          <w:szCs w:val="24"/>
        </w:rPr>
        <w:fldChar w:fldCharType="separate"/>
      </w:r>
      <w:r w:rsidR="00964233" w:rsidRPr="00964233">
        <w:rPr>
          <w:iCs/>
          <w:szCs w:val="24"/>
        </w:rPr>
        <w:t xml:space="preserve">Table </w:t>
      </w:r>
      <w:r w:rsidR="00964233" w:rsidRPr="00964233">
        <w:rPr>
          <w:iCs/>
          <w:noProof/>
          <w:szCs w:val="24"/>
        </w:rPr>
        <w:t>5.6</w:t>
      </w:r>
      <w:r w:rsidRPr="00255A94">
        <w:rPr>
          <w:szCs w:val="24"/>
        </w:rPr>
        <w:fldChar w:fldCharType="end"/>
      </w:r>
      <w:r>
        <w:rPr>
          <w:szCs w:val="24"/>
        </w:rPr>
        <w:t>)</w:t>
      </w:r>
      <w:r w:rsidRPr="00255A94">
        <w:rPr>
          <w:szCs w:val="24"/>
        </w:rPr>
        <w:t>.</w:t>
      </w:r>
      <w:r w:rsidRPr="00255A94">
        <w:t xml:space="preserve"> </w:t>
      </w:r>
      <w:r>
        <w:t xml:space="preserve">Similar results were obtained when </w:t>
      </w:r>
      <w:r w:rsidRPr="00255A94">
        <w:rPr>
          <w:szCs w:val="24"/>
        </w:rPr>
        <w:t>the threshold to define INR instability</w:t>
      </w:r>
      <w:r>
        <w:rPr>
          <w:szCs w:val="24"/>
        </w:rPr>
        <w:t xml:space="preserve"> was changed </w:t>
      </w:r>
      <w:r w:rsidRPr="00255A94">
        <w:rPr>
          <w:szCs w:val="24"/>
        </w:rPr>
        <w:t>to TTR &lt; 45%</w:t>
      </w:r>
      <w:r>
        <w:rPr>
          <w:szCs w:val="24"/>
        </w:rPr>
        <w:t xml:space="preserve"> and using the same confounders. </w:t>
      </w:r>
    </w:p>
    <w:p w:rsidR="00A63D34" w:rsidRPr="0056792C" w:rsidRDefault="00A63D34" w:rsidP="0056792C">
      <w:pPr>
        <w:pStyle w:val="Caption"/>
      </w:pPr>
      <w:bookmarkStart w:id="106" w:name="_Ref462044394"/>
      <w:bookmarkStart w:id="107" w:name="_Toc523230338"/>
      <w:r w:rsidRPr="0056792C">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5</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6</w:t>
      </w:r>
      <w:r w:rsidR="00964233">
        <w:rPr>
          <w:noProof/>
        </w:rPr>
        <w:fldChar w:fldCharType="end"/>
      </w:r>
      <w:bookmarkEnd w:id="106"/>
      <w:r w:rsidRPr="0056792C">
        <w:tab/>
        <w:t>Association between pillbox use for warfarin and TTR &lt;60%</w:t>
      </w:r>
      <w:bookmarkEnd w:id="107"/>
    </w:p>
    <w:tbl>
      <w:tblPr>
        <w:tblStyle w:val="TableGrid"/>
        <w:tblW w:w="5000" w:type="pct"/>
        <w:tblLook w:val="04A0" w:firstRow="1" w:lastRow="0" w:firstColumn="1" w:lastColumn="0" w:noHBand="0" w:noVBand="1"/>
        <w:tblCaption w:val="Table 5.6"/>
        <w:tblDescription w:val="Association between pillbox use for warfarin and TTR &lt;60%"/>
      </w:tblPr>
      <w:tblGrid>
        <w:gridCol w:w="1505"/>
        <w:gridCol w:w="1002"/>
        <w:gridCol w:w="1002"/>
        <w:gridCol w:w="1002"/>
        <w:gridCol w:w="1002"/>
        <w:gridCol w:w="1001"/>
        <w:gridCol w:w="1001"/>
        <w:gridCol w:w="1254"/>
        <w:gridCol w:w="859"/>
      </w:tblGrid>
      <w:tr w:rsidR="00A63D34" w:rsidTr="00401020">
        <w:trPr>
          <w:cnfStyle w:val="100000000000" w:firstRow="1" w:lastRow="0" w:firstColumn="0" w:lastColumn="0" w:oddVBand="0" w:evenVBand="0" w:oddHBand="0" w:evenHBand="0" w:firstRowFirstColumn="0" w:firstRowLastColumn="0" w:lastRowFirstColumn="0" w:lastRowLastColumn="0"/>
        </w:trPr>
        <w:tc>
          <w:tcPr>
            <w:tcW w:w="781" w:type="pct"/>
            <w:tcBorders>
              <w:bottom w:val="nil"/>
            </w:tcBorders>
          </w:tcPr>
          <w:p w:rsidR="00A63D34" w:rsidRPr="006A51F0" w:rsidRDefault="00A63D34" w:rsidP="008767A4">
            <w:pPr>
              <w:pStyle w:val="01Tableheaderrow"/>
            </w:pPr>
          </w:p>
        </w:tc>
        <w:tc>
          <w:tcPr>
            <w:tcW w:w="520" w:type="pct"/>
            <w:tcBorders>
              <w:right w:val="nil"/>
            </w:tcBorders>
          </w:tcPr>
          <w:p w:rsidR="00A63D34" w:rsidRDefault="00A63D34" w:rsidP="008767A4">
            <w:pPr>
              <w:pStyle w:val="01Tableheaderrow"/>
              <w:jc w:val="right"/>
            </w:pPr>
            <w:r>
              <w:t xml:space="preserve">3-6 </w:t>
            </w:r>
          </w:p>
        </w:tc>
        <w:tc>
          <w:tcPr>
            <w:tcW w:w="520" w:type="pct"/>
            <w:tcBorders>
              <w:left w:val="nil"/>
            </w:tcBorders>
          </w:tcPr>
          <w:p w:rsidR="00A63D34" w:rsidRDefault="00A63D34" w:rsidP="008767A4">
            <w:pPr>
              <w:pStyle w:val="01Tableheaderrow"/>
            </w:pPr>
            <w:r>
              <w:t>months</w:t>
            </w:r>
          </w:p>
        </w:tc>
        <w:tc>
          <w:tcPr>
            <w:tcW w:w="520" w:type="pct"/>
            <w:tcBorders>
              <w:right w:val="nil"/>
            </w:tcBorders>
          </w:tcPr>
          <w:p w:rsidR="00A63D34" w:rsidRPr="006A51F0" w:rsidRDefault="00A63D34" w:rsidP="008767A4">
            <w:pPr>
              <w:pStyle w:val="01Tableheaderrow"/>
              <w:jc w:val="right"/>
            </w:pPr>
            <w:r>
              <w:t>6-9</w:t>
            </w:r>
          </w:p>
        </w:tc>
        <w:tc>
          <w:tcPr>
            <w:tcW w:w="520" w:type="pct"/>
            <w:tcBorders>
              <w:left w:val="nil"/>
            </w:tcBorders>
          </w:tcPr>
          <w:p w:rsidR="00A63D34" w:rsidRDefault="00A63D34" w:rsidP="008767A4">
            <w:pPr>
              <w:pStyle w:val="01Tableheaderrow"/>
            </w:pPr>
            <w:r>
              <w:t>months</w:t>
            </w:r>
          </w:p>
        </w:tc>
        <w:tc>
          <w:tcPr>
            <w:tcW w:w="520" w:type="pct"/>
            <w:tcBorders>
              <w:right w:val="nil"/>
            </w:tcBorders>
          </w:tcPr>
          <w:p w:rsidR="00A63D34" w:rsidRDefault="00A63D34" w:rsidP="008767A4">
            <w:pPr>
              <w:pStyle w:val="01Tableheaderrow"/>
              <w:jc w:val="right"/>
            </w:pPr>
            <w:r>
              <w:t>9-12</w:t>
            </w:r>
          </w:p>
        </w:tc>
        <w:tc>
          <w:tcPr>
            <w:tcW w:w="520" w:type="pct"/>
            <w:tcBorders>
              <w:left w:val="nil"/>
            </w:tcBorders>
          </w:tcPr>
          <w:p w:rsidR="00A63D34" w:rsidRDefault="00A63D34" w:rsidP="008767A4">
            <w:pPr>
              <w:pStyle w:val="01Tableheaderrow"/>
            </w:pPr>
            <w:r>
              <w:t>months</w:t>
            </w:r>
          </w:p>
        </w:tc>
        <w:tc>
          <w:tcPr>
            <w:tcW w:w="651" w:type="pct"/>
            <w:tcBorders>
              <w:bottom w:val="nil"/>
            </w:tcBorders>
          </w:tcPr>
          <w:p w:rsidR="00A63D34" w:rsidRDefault="00A63D34" w:rsidP="008767A4">
            <w:pPr>
              <w:pStyle w:val="01Tableheaderrow"/>
            </w:pPr>
          </w:p>
        </w:tc>
        <w:tc>
          <w:tcPr>
            <w:tcW w:w="446" w:type="pct"/>
            <w:tcBorders>
              <w:bottom w:val="nil"/>
            </w:tcBorders>
          </w:tcPr>
          <w:p w:rsidR="00A63D34" w:rsidRDefault="00A63D34" w:rsidP="008767A4">
            <w:pPr>
              <w:pStyle w:val="01Tableheaderrow"/>
            </w:pPr>
          </w:p>
        </w:tc>
      </w:tr>
      <w:tr w:rsidR="00A63D34" w:rsidTr="00401020">
        <w:tc>
          <w:tcPr>
            <w:tcW w:w="781" w:type="pct"/>
            <w:tcBorders>
              <w:top w:val="nil"/>
            </w:tcBorders>
            <w:shd w:val="clear" w:color="auto" w:fill="000000" w:themeFill="text1"/>
          </w:tcPr>
          <w:p w:rsidR="00A63D34" w:rsidRDefault="006718E3" w:rsidP="008767A4">
            <w:pPr>
              <w:pStyle w:val="01Tableheaderrow"/>
            </w:pPr>
            <w:r>
              <w:t>Independent v</w:t>
            </w:r>
            <w:r w:rsidR="00A63D34" w:rsidRPr="006A51F0">
              <w:t>ariable</w:t>
            </w:r>
          </w:p>
        </w:tc>
        <w:tc>
          <w:tcPr>
            <w:tcW w:w="520" w:type="pct"/>
            <w:shd w:val="clear" w:color="auto" w:fill="000000" w:themeFill="text1"/>
          </w:tcPr>
          <w:p w:rsidR="00A63D34" w:rsidRDefault="00A63D34" w:rsidP="008767A4">
            <w:pPr>
              <w:pStyle w:val="01Tableheaderrow"/>
            </w:pPr>
            <w:r>
              <w:t>n (%)</w:t>
            </w:r>
          </w:p>
        </w:tc>
        <w:tc>
          <w:tcPr>
            <w:tcW w:w="520" w:type="pct"/>
            <w:shd w:val="clear" w:color="auto" w:fill="000000" w:themeFill="text1"/>
          </w:tcPr>
          <w:p w:rsidR="00A63D34" w:rsidRDefault="00A63D34" w:rsidP="008767A4">
            <w:pPr>
              <w:pStyle w:val="01Tableheaderrow"/>
            </w:pPr>
            <w:r>
              <w:t>TTR &lt;60%</w:t>
            </w:r>
          </w:p>
          <w:p w:rsidR="00A63D34" w:rsidRDefault="00A63D34" w:rsidP="008767A4">
            <w:pPr>
              <w:pStyle w:val="01Tableheaderrow"/>
            </w:pPr>
            <w:r>
              <w:t>n (%)</w:t>
            </w:r>
          </w:p>
        </w:tc>
        <w:tc>
          <w:tcPr>
            <w:tcW w:w="520" w:type="pct"/>
            <w:shd w:val="clear" w:color="auto" w:fill="000000" w:themeFill="text1"/>
          </w:tcPr>
          <w:p w:rsidR="00A63D34" w:rsidRDefault="00A63D34" w:rsidP="008767A4">
            <w:pPr>
              <w:pStyle w:val="01Tableheaderrow"/>
            </w:pPr>
            <w:r w:rsidRPr="006A51F0">
              <w:t>n (%)</w:t>
            </w:r>
          </w:p>
        </w:tc>
        <w:tc>
          <w:tcPr>
            <w:tcW w:w="520" w:type="pct"/>
            <w:shd w:val="clear" w:color="auto" w:fill="000000" w:themeFill="text1"/>
          </w:tcPr>
          <w:p w:rsidR="00A63D34" w:rsidRDefault="00A63D34" w:rsidP="008767A4">
            <w:pPr>
              <w:pStyle w:val="01Tableheaderrow"/>
            </w:pPr>
            <w:r>
              <w:t>TTR &lt;60%</w:t>
            </w:r>
          </w:p>
          <w:p w:rsidR="00A63D34" w:rsidRDefault="00A63D34" w:rsidP="008767A4">
            <w:pPr>
              <w:pStyle w:val="01Tableheaderrow"/>
            </w:pPr>
            <w:r>
              <w:t>n (%)</w:t>
            </w:r>
          </w:p>
        </w:tc>
        <w:tc>
          <w:tcPr>
            <w:tcW w:w="520" w:type="pct"/>
            <w:shd w:val="clear" w:color="auto" w:fill="000000" w:themeFill="text1"/>
          </w:tcPr>
          <w:p w:rsidR="00A63D34" w:rsidRDefault="00A63D34" w:rsidP="008767A4">
            <w:pPr>
              <w:pStyle w:val="01Tableheaderrow"/>
            </w:pPr>
            <w:r>
              <w:t>n (%)</w:t>
            </w:r>
          </w:p>
        </w:tc>
        <w:tc>
          <w:tcPr>
            <w:tcW w:w="520" w:type="pct"/>
            <w:shd w:val="clear" w:color="auto" w:fill="000000" w:themeFill="text1"/>
          </w:tcPr>
          <w:p w:rsidR="00A63D34" w:rsidRDefault="00A63D34" w:rsidP="008767A4">
            <w:pPr>
              <w:pStyle w:val="01Tableheaderrow"/>
            </w:pPr>
            <w:r>
              <w:t>TTR &lt;60%</w:t>
            </w:r>
          </w:p>
          <w:p w:rsidR="00A63D34" w:rsidRDefault="00A63D34" w:rsidP="008767A4">
            <w:pPr>
              <w:pStyle w:val="01Tableheaderrow"/>
            </w:pPr>
            <w:r>
              <w:t>n (%)</w:t>
            </w:r>
          </w:p>
        </w:tc>
        <w:tc>
          <w:tcPr>
            <w:tcW w:w="651" w:type="pct"/>
            <w:tcBorders>
              <w:top w:val="nil"/>
            </w:tcBorders>
            <w:shd w:val="clear" w:color="auto" w:fill="000000" w:themeFill="text1"/>
          </w:tcPr>
          <w:p w:rsidR="00A63D34" w:rsidRDefault="00A63D34" w:rsidP="008767A4">
            <w:pPr>
              <w:pStyle w:val="01Tableheaderrow"/>
            </w:pPr>
            <w:r>
              <w:t>Adjusted OR</w:t>
            </w:r>
            <w:r>
              <w:rPr>
                <w:vertAlign w:val="superscript"/>
              </w:rPr>
              <w:t>a</w:t>
            </w:r>
            <w:r>
              <w:t xml:space="preserve"> (95% CI)</w:t>
            </w:r>
          </w:p>
        </w:tc>
        <w:tc>
          <w:tcPr>
            <w:tcW w:w="446" w:type="pct"/>
            <w:tcBorders>
              <w:top w:val="nil"/>
            </w:tcBorders>
            <w:shd w:val="clear" w:color="auto" w:fill="000000" w:themeFill="text1"/>
          </w:tcPr>
          <w:p w:rsidR="00A63D34" w:rsidRDefault="00A63D34" w:rsidP="008767A4">
            <w:pPr>
              <w:pStyle w:val="01Tableheaderrow"/>
            </w:pPr>
            <w:r>
              <w:t>P value</w:t>
            </w:r>
          </w:p>
        </w:tc>
      </w:tr>
      <w:tr w:rsidR="00A63D34" w:rsidTr="00401020">
        <w:trPr>
          <w:cnfStyle w:val="000000010000" w:firstRow="0" w:lastRow="0" w:firstColumn="0" w:lastColumn="0" w:oddVBand="0" w:evenVBand="0" w:oddHBand="0" w:evenHBand="1" w:firstRowFirstColumn="0" w:firstRowLastColumn="0" w:lastRowFirstColumn="0" w:lastRowLastColumn="0"/>
        </w:trPr>
        <w:tc>
          <w:tcPr>
            <w:tcW w:w="781" w:type="pct"/>
            <w:shd w:val="clear" w:color="auto" w:fill="auto"/>
          </w:tcPr>
          <w:p w:rsidR="00A63D34" w:rsidRDefault="00A63D34" w:rsidP="008767A4">
            <w:pPr>
              <w:pStyle w:val="02Tabletext"/>
            </w:pPr>
            <w:r w:rsidRPr="006A51F0">
              <w:t>Self-prepared pillbox</w:t>
            </w:r>
          </w:p>
        </w:tc>
        <w:tc>
          <w:tcPr>
            <w:tcW w:w="520" w:type="pct"/>
            <w:shd w:val="clear" w:color="auto" w:fill="auto"/>
          </w:tcPr>
          <w:p w:rsidR="00A63D34" w:rsidRDefault="00A63D34" w:rsidP="008767A4">
            <w:pPr>
              <w:pStyle w:val="02Tabletext"/>
            </w:pPr>
            <w:r>
              <w:t>342 (32.0)</w:t>
            </w:r>
          </w:p>
        </w:tc>
        <w:tc>
          <w:tcPr>
            <w:tcW w:w="520" w:type="pct"/>
            <w:shd w:val="clear" w:color="auto" w:fill="auto"/>
          </w:tcPr>
          <w:p w:rsidR="00A63D34" w:rsidRDefault="00A63D34" w:rsidP="008767A4">
            <w:pPr>
              <w:pStyle w:val="02Tabletext"/>
            </w:pPr>
            <w:r w:rsidRPr="00435A2B">
              <w:t>104 (30.4)</w:t>
            </w:r>
          </w:p>
        </w:tc>
        <w:tc>
          <w:tcPr>
            <w:tcW w:w="520" w:type="pct"/>
            <w:shd w:val="clear" w:color="auto" w:fill="auto"/>
          </w:tcPr>
          <w:p w:rsidR="00A63D34" w:rsidRDefault="00A63D34" w:rsidP="008767A4">
            <w:pPr>
              <w:pStyle w:val="02Tabletext"/>
            </w:pPr>
            <w:r w:rsidRPr="00542B01">
              <w:t>358 (33.5)</w:t>
            </w:r>
          </w:p>
        </w:tc>
        <w:tc>
          <w:tcPr>
            <w:tcW w:w="520" w:type="pct"/>
            <w:shd w:val="clear" w:color="auto" w:fill="auto"/>
          </w:tcPr>
          <w:p w:rsidR="00A63D34" w:rsidRDefault="00A63D34" w:rsidP="008767A4">
            <w:pPr>
              <w:pStyle w:val="02Tabletext"/>
            </w:pPr>
            <w:r w:rsidRPr="00542B01">
              <w:t>92 (25.7)</w:t>
            </w:r>
          </w:p>
        </w:tc>
        <w:tc>
          <w:tcPr>
            <w:tcW w:w="520" w:type="pct"/>
            <w:shd w:val="clear" w:color="auto" w:fill="auto"/>
          </w:tcPr>
          <w:p w:rsidR="00A63D34" w:rsidRDefault="00A63D34" w:rsidP="008767A4">
            <w:pPr>
              <w:pStyle w:val="02Tabletext"/>
            </w:pPr>
            <w:r w:rsidRPr="00542B01">
              <w:t>354 (33.1)</w:t>
            </w:r>
          </w:p>
        </w:tc>
        <w:tc>
          <w:tcPr>
            <w:tcW w:w="520" w:type="pct"/>
            <w:shd w:val="clear" w:color="auto" w:fill="auto"/>
          </w:tcPr>
          <w:p w:rsidR="00A63D34" w:rsidRDefault="00A63D34" w:rsidP="008767A4">
            <w:pPr>
              <w:pStyle w:val="02Tabletext"/>
            </w:pPr>
            <w:r>
              <w:t>97 (27.4)</w:t>
            </w:r>
          </w:p>
        </w:tc>
        <w:tc>
          <w:tcPr>
            <w:tcW w:w="651" w:type="pct"/>
            <w:shd w:val="clear" w:color="auto" w:fill="auto"/>
          </w:tcPr>
          <w:p w:rsidR="00A63D34" w:rsidRDefault="00A63D34" w:rsidP="008767A4">
            <w:pPr>
              <w:pStyle w:val="02Tabletext"/>
            </w:pPr>
            <w:r w:rsidRPr="00435A2B">
              <w:t>0.86 (0.70-1.05)</w:t>
            </w:r>
          </w:p>
        </w:tc>
        <w:tc>
          <w:tcPr>
            <w:tcW w:w="446" w:type="pct"/>
            <w:shd w:val="clear" w:color="auto" w:fill="auto"/>
          </w:tcPr>
          <w:p w:rsidR="00A63D34" w:rsidRDefault="00A63D34" w:rsidP="008767A4">
            <w:pPr>
              <w:pStyle w:val="02Tabletext"/>
            </w:pPr>
            <w:r>
              <w:t>0.129</w:t>
            </w:r>
          </w:p>
        </w:tc>
      </w:tr>
      <w:tr w:rsidR="00A63D34" w:rsidTr="00401020">
        <w:tc>
          <w:tcPr>
            <w:tcW w:w="781" w:type="pct"/>
            <w:shd w:val="clear" w:color="auto" w:fill="auto"/>
          </w:tcPr>
          <w:p w:rsidR="00A63D34" w:rsidRDefault="00A63D34" w:rsidP="008767A4">
            <w:pPr>
              <w:pStyle w:val="02Tabletext"/>
            </w:pPr>
            <w:r w:rsidRPr="006A51F0">
              <w:t>Pharmacist-prepared pillbox</w:t>
            </w:r>
          </w:p>
        </w:tc>
        <w:tc>
          <w:tcPr>
            <w:tcW w:w="520" w:type="pct"/>
            <w:shd w:val="clear" w:color="auto" w:fill="auto"/>
          </w:tcPr>
          <w:p w:rsidR="00A63D34" w:rsidRDefault="00A63D34" w:rsidP="008767A4">
            <w:pPr>
              <w:pStyle w:val="02Tabletext"/>
            </w:pPr>
            <w:r w:rsidRPr="00435A2B">
              <w:t>112 (10.5)</w:t>
            </w:r>
          </w:p>
        </w:tc>
        <w:tc>
          <w:tcPr>
            <w:tcW w:w="520" w:type="pct"/>
            <w:shd w:val="clear" w:color="auto" w:fill="auto"/>
          </w:tcPr>
          <w:p w:rsidR="00A63D34" w:rsidRDefault="00A63D34" w:rsidP="008767A4">
            <w:pPr>
              <w:pStyle w:val="02Tabletext"/>
            </w:pPr>
            <w:r w:rsidRPr="00435A2B">
              <w:t>41 (36.6)</w:t>
            </w:r>
          </w:p>
        </w:tc>
        <w:tc>
          <w:tcPr>
            <w:tcW w:w="520" w:type="pct"/>
            <w:shd w:val="clear" w:color="auto" w:fill="auto"/>
          </w:tcPr>
          <w:p w:rsidR="00A63D34" w:rsidRDefault="00A63D34" w:rsidP="008767A4">
            <w:pPr>
              <w:pStyle w:val="02Tabletext"/>
            </w:pPr>
            <w:r w:rsidRPr="00542B01">
              <w:t>116 (10.9)</w:t>
            </w:r>
          </w:p>
        </w:tc>
        <w:tc>
          <w:tcPr>
            <w:tcW w:w="520" w:type="pct"/>
            <w:shd w:val="clear" w:color="auto" w:fill="auto"/>
          </w:tcPr>
          <w:p w:rsidR="00A63D34" w:rsidRDefault="00A63D34" w:rsidP="008767A4">
            <w:pPr>
              <w:pStyle w:val="02Tabletext"/>
            </w:pPr>
            <w:r w:rsidRPr="00542B01">
              <w:t>28 (24.1)</w:t>
            </w:r>
          </w:p>
        </w:tc>
        <w:tc>
          <w:tcPr>
            <w:tcW w:w="520" w:type="pct"/>
            <w:shd w:val="clear" w:color="auto" w:fill="auto"/>
          </w:tcPr>
          <w:p w:rsidR="00A63D34" w:rsidRDefault="00A63D34" w:rsidP="008767A4">
            <w:pPr>
              <w:pStyle w:val="02Tabletext"/>
            </w:pPr>
            <w:r w:rsidRPr="00542B01">
              <w:t>111 (10.4)</w:t>
            </w:r>
          </w:p>
        </w:tc>
        <w:tc>
          <w:tcPr>
            <w:tcW w:w="520" w:type="pct"/>
            <w:shd w:val="clear" w:color="auto" w:fill="auto"/>
          </w:tcPr>
          <w:p w:rsidR="00A63D34" w:rsidRDefault="00A63D34" w:rsidP="008767A4">
            <w:pPr>
              <w:pStyle w:val="02Tabletext"/>
            </w:pPr>
            <w:r>
              <w:t>21 (27.9)</w:t>
            </w:r>
          </w:p>
        </w:tc>
        <w:tc>
          <w:tcPr>
            <w:tcW w:w="651" w:type="pct"/>
            <w:shd w:val="clear" w:color="auto" w:fill="auto"/>
          </w:tcPr>
          <w:p w:rsidR="00A63D34" w:rsidRDefault="00A63D34" w:rsidP="008767A4">
            <w:pPr>
              <w:pStyle w:val="02Tabletext"/>
            </w:pPr>
            <w:r w:rsidRPr="00435A2B">
              <w:t>1.15 (0.85-1.56)</w:t>
            </w:r>
          </w:p>
        </w:tc>
        <w:tc>
          <w:tcPr>
            <w:tcW w:w="446" w:type="pct"/>
            <w:shd w:val="clear" w:color="auto" w:fill="auto"/>
          </w:tcPr>
          <w:p w:rsidR="00A63D34" w:rsidRDefault="00A63D34" w:rsidP="008767A4">
            <w:pPr>
              <w:pStyle w:val="02Tabletext"/>
            </w:pPr>
            <w:r>
              <w:t>0.357</w:t>
            </w:r>
          </w:p>
        </w:tc>
      </w:tr>
      <w:tr w:rsidR="00401020" w:rsidTr="00401020">
        <w:trPr>
          <w:cnfStyle w:val="000000010000" w:firstRow="0" w:lastRow="0" w:firstColumn="0" w:lastColumn="0" w:oddVBand="0" w:evenVBand="0" w:oddHBand="0" w:evenHBand="1" w:firstRowFirstColumn="0" w:firstRowLastColumn="0" w:lastRowFirstColumn="0" w:lastRowLastColumn="0"/>
        </w:trPr>
        <w:tc>
          <w:tcPr>
            <w:tcW w:w="781" w:type="pct"/>
            <w:shd w:val="clear" w:color="auto" w:fill="auto"/>
          </w:tcPr>
          <w:p w:rsidR="00401020" w:rsidRDefault="00401020" w:rsidP="008767A4">
            <w:pPr>
              <w:pStyle w:val="02Tabletext"/>
            </w:pPr>
            <w:r w:rsidRPr="006A51F0">
              <w:t>No pillbox</w:t>
            </w:r>
          </w:p>
        </w:tc>
        <w:tc>
          <w:tcPr>
            <w:tcW w:w="520" w:type="pct"/>
            <w:shd w:val="clear" w:color="auto" w:fill="auto"/>
          </w:tcPr>
          <w:p w:rsidR="00401020" w:rsidRDefault="00401020" w:rsidP="008767A4">
            <w:pPr>
              <w:pStyle w:val="02Tabletext"/>
            </w:pPr>
            <w:r w:rsidRPr="00435A2B">
              <w:t>519 (48.6)</w:t>
            </w:r>
          </w:p>
        </w:tc>
        <w:tc>
          <w:tcPr>
            <w:tcW w:w="520" w:type="pct"/>
            <w:shd w:val="clear" w:color="auto" w:fill="auto"/>
          </w:tcPr>
          <w:p w:rsidR="00401020" w:rsidRDefault="00401020" w:rsidP="008767A4">
            <w:pPr>
              <w:pStyle w:val="02Tabletext"/>
            </w:pPr>
            <w:r w:rsidRPr="00435A2B">
              <w:t>158 (30.4)</w:t>
            </w:r>
          </w:p>
        </w:tc>
        <w:tc>
          <w:tcPr>
            <w:tcW w:w="520" w:type="pct"/>
            <w:shd w:val="clear" w:color="auto" w:fill="auto"/>
          </w:tcPr>
          <w:p w:rsidR="00401020" w:rsidRDefault="00401020" w:rsidP="008767A4">
            <w:pPr>
              <w:pStyle w:val="02Tabletext"/>
            </w:pPr>
            <w:r w:rsidRPr="00542B01">
              <w:t>431 (40.3)</w:t>
            </w:r>
          </w:p>
        </w:tc>
        <w:tc>
          <w:tcPr>
            <w:tcW w:w="520" w:type="pct"/>
            <w:shd w:val="clear" w:color="auto" w:fill="auto"/>
          </w:tcPr>
          <w:p w:rsidR="00401020" w:rsidRDefault="00401020" w:rsidP="008767A4">
            <w:pPr>
              <w:pStyle w:val="02Tabletext"/>
            </w:pPr>
            <w:r w:rsidRPr="00542B01">
              <w:t>118 (27.4)</w:t>
            </w:r>
          </w:p>
        </w:tc>
        <w:tc>
          <w:tcPr>
            <w:tcW w:w="520" w:type="pct"/>
            <w:shd w:val="clear" w:color="auto" w:fill="auto"/>
          </w:tcPr>
          <w:p w:rsidR="00401020" w:rsidRDefault="00401020" w:rsidP="008767A4">
            <w:pPr>
              <w:pStyle w:val="02Tabletext"/>
            </w:pPr>
            <w:r w:rsidRPr="00542B01">
              <w:t>382 (35.7)</w:t>
            </w:r>
          </w:p>
        </w:tc>
        <w:tc>
          <w:tcPr>
            <w:tcW w:w="520" w:type="pct"/>
            <w:shd w:val="clear" w:color="auto" w:fill="auto"/>
          </w:tcPr>
          <w:p w:rsidR="00401020" w:rsidRDefault="00401020" w:rsidP="008767A4">
            <w:pPr>
              <w:pStyle w:val="02Tabletext"/>
            </w:pPr>
            <w:r>
              <w:t>109 (28.5)</w:t>
            </w:r>
          </w:p>
        </w:tc>
        <w:tc>
          <w:tcPr>
            <w:tcW w:w="651" w:type="pct"/>
            <w:shd w:val="clear" w:color="auto" w:fill="auto"/>
          </w:tcPr>
          <w:p w:rsidR="00401020" w:rsidRDefault="00401020" w:rsidP="008767A4">
            <w:pPr>
              <w:pStyle w:val="02Tabletext"/>
            </w:pPr>
            <w:r>
              <w:t>reference</w:t>
            </w:r>
          </w:p>
        </w:tc>
        <w:tc>
          <w:tcPr>
            <w:tcW w:w="446" w:type="pct"/>
            <w:shd w:val="clear" w:color="auto" w:fill="auto"/>
          </w:tcPr>
          <w:p w:rsidR="00401020" w:rsidRDefault="00401020" w:rsidP="008767A4">
            <w:pPr>
              <w:pStyle w:val="02Tabletext"/>
            </w:pPr>
            <w:r>
              <w:t>reference</w:t>
            </w:r>
          </w:p>
        </w:tc>
      </w:tr>
    </w:tbl>
    <w:p w:rsidR="00A63D34" w:rsidRDefault="00A63D34" w:rsidP="00A63D34">
      <w:pPr>
        <w:pStyle w:val="08Tablefootnotes"/>
      </w:pPr>
      <w:r>
        <w:t>Source: Dumas (2016), Table 2, p. 681</w:t>
      </w:r>
    </w:p>
    <w:p w:rsidR="00A63D34" w:rsidRDefault="00A63D34" w:rsidP="00A63D34">
      <w:pPr>
        <w:pStyle w:val="08Tablefootnotes"/>
      </w:pPr>
      <w:r>
        <w:t xml:space="preserve">Abbreviations: CI, confidence interval; OR, odds ratio; TTR, </w:t>
      </w:r>
      <w:r w:rsidRPr="003E65DF">
        <w:t>time in therapeutic range.</w:t>
      </w:r>
    </w:p>
    <w:p w:rsidR="00A63D34" w:rsidRDefault="00A63D34" w:rsidP="00A63D34">
      <w:pPr>
        <w:pStyle w:val="09Tablefootnoteslast-nostick"/>
      </w:pPr>
      <w:r w:rsidRPr="00D27BC2">
        <w:rPr>
          <w:b/>
        </w:rPr>
        <w:t>a</w:t>
      </w:r>
      <w:r>
        <w:t xml:space="preserve"> Adjusted with pillbox use, age, sex, warfarin’s indication, hypertension, dyslipidaemia, diabetes, myocardial infarction or angina history, stroke history, green vegetable intake, and genotype.</w:t>
      </w:r>
    </w:p>
    <w:p w:rsidR="00A63D34" w:rsidRPr="00D704E0" w:rsidRDefault="00A63D34" w:rsidP="00A63D34">
      <w:pPr>
        <w:pStyle w:val="BodyText"/>
        <w:rPr>
          <w:szCs w:val="24"/>
        </w:rPr>
      </w:pPr>
      <w:r>
        <w:rPr>
          <w:szCs w:val="24"/>
        </w:rPr>
        <w:lastRenderedPageBreak/>
        <w:t>In the pharmacist-prepared pillbox group, t</w:t>
      </w:r>
      <w:r w:rsidRPr="00D704E0">
        <w:rPr>
          <w:szCs w:val="24"/>
        </w:rPr>
        <w:t xml:space="preserve">he </w:t>
      </w:r>
      <w:r>
        <w:rPr>
          <w:szCs w:val="24"/>
        </w:rPr>
        <w:t xml:space="preserve">proportion of patients with stable TTR &gt;60% increased from 48% at the first tertile of warfarin therapy (between three and six months) to 57% at the end of 12 months follow-up, whereas the proportion of </w:t>
      </w:r>
      <w:r w:rsidRPr="00D704E0">
        <w:rPr>
          <w:szCs w:val="24"/>
        </w:rPr>
        <w:t>unstable pa</w:t>
      </w:r>
      <w:r>
        <w:rPr>
          <w:szCs w:val="24"/>
        </w:rPr>
        <w:t xml:space="preserve">tients below range </w:t>
      </w:r>
      <w:r w:rsidRPr="00D704E0">
        <w:rPr>
          <w:szCs w:val="24"/>
        </w:rPr>
        <w:t>decreased</w:t>
      </w:r>
      <w:r>
        <w:rPr>
          <w:szCs w:val="24"/>
        </w:rPr>
        <w:t xml:space="preserve"> from 21% to 12% over the same</w:t>
      </w:r>
      <w:r w:rsidRPr="00D704E0">
        <w:rPr>
          <w:szCs w:val="24"/>
        </w:rPr>
        <w:t xml:space="preserve"> </w:t>
      </w:r>
      <w:r>
        <w:rPr>
          <w:szCs w:val="24"/>
        </w:rPr>
        <w:t xml:space="preserve">follow-up period. However, these changes were not statistically significant different from pillbox nonusers. </w:t>
      </w:r>
    </w:p>
    <w:p w:rsidR="00A63D34" w:rsidRPr="005D19B6" w:rsidRDefault="00A63D34" w:rsidP="00A63D34">
      <w:pPr>
        <w:pStyle w:val="Heading4"/>
      </w:pPr>
      <w:r w:rsidRPr="005D19B6">
        <w:t>Hypertension</w:t>
      </w:r>
    </w:p>
    <w:p w:rsidR="00A63D34" w:rsidRDefault="00A63D34" w:rsidP="00A63D34">
      <w:pPr>
        <w:pStyle w:val="BodyText"/>
      </w:pPr>
      <w:r w:rsidRPr="00FA754B">
        <w:t>Three studies reported the effects of DAAs or similar medication com</w:t>
      </w:r>
      <w:r w:rsidR="00D07327">
        <w:t xml:space="preserve">pliance aids on blood pressure: </w:t>
      </w:r>
      <w:r w:rsidRPr="00FA754B">
        <w:t xml:space="preserve">Schneider </w:t>
      </w:r>
      <w:r>
        <w:t xml:space="preserve">et al, </w:t>
      </w:r>
      <w:r w:rsidRPr="00FA754B">
        <w:t>2008</w:t>
      </w:r>
      <w:r w:rsidR="00D07327">
        <w:t xml:space="preserve"> (fair quality)</w:t>
      </w:r>
      <w:r w:rsidRPr="00FA754B">
        <w:t xml:space="preserve">; Simmons </w:t>
      </w:r>
      <w:r>
        <w:t xml:space="preserve">et al, </w:t>
      </w:r>
      <w:r w:rsidRPr="00FA754B">
        <w:t>2000</w:t>
      </w:r>
      <w:r w:rsidR="00D07327">
        <w:t xml:space="preserve"> (good quality)</w:t>
      </w:r>
      <w:r w:rsidRPr="00FA754B">
        <w:t>; Becker</w:t>
      </w:r>
      <w:r>
        <w:t xml:space="preserve"> et al</w:t>
      </w:r>
      <w:r w:rsidRPr="00FA754B">
        <w:t>, 1986</w:t>
      </w:r>
      <w:r w:rsidR="00D07327">
        <w:t xml:space="preserve"> (poor quality</w:t>
      </w:r>
      <w:r w:rsidRPr="00FA754B">
        <w:t xml:space="preserve">). </w:t>
      </w:r>
    </w:p>
    <w:p w:rsidR="00A63D34" w:rsidRDefault="00A63D34" w:rsidP="00A63D34">
      <w:pPr>
        <w:pStyle w:val="BodyText"/>
      </w:pPr>
      <w:r>
        <w:t>The Schneider et al (2008) RCT reported</w:t>
      </w:r>
      <w:r w:rsidRPr="00FF4C6F">
        <w:t xml:space="preserve"> a statistically significant difference in diastolic blood pressure at six months between </w:t>
      </w:r>
      <w:r>
        <w:t>blister package</w:t>
      </w:r>
      <w:r w:rsidRPr="00FF4C6F">
        <w:t xml:space="preserve"> and control patients</w:t>
      </w:r>
      <w:r>
        <w:t xml:space="preserve"> aged 65 years or over taking lisinopril for hypertension</w:t>
      </w:r>
      <w:r w:rsidRPr="00FF4C6F">
        <w:t>. The mean (± SD) diastolic blood pressure was 73.2 ± 8.8 mmHg in study patients compared with 77.7 ± 10.</w:t>
      </w:r>
      <w:r w:rsidR="00D07327">
        <w:t>2 mmHg in control patients (P =</w:t>
      </w:r>
      <w:r w:rsidRPr="00FF4C6F">
        <w:t>0.0367). There was no statistically significant difference in systolic blood pressure</w:t>
      </w:r>
      <w:r w:rsidR="00116D53">
        <w:t xml:space="preserve"> at six months (132.7 ± 17.3 mm</w:t>
      </w:r>
      <w:r w:rsidRPr="00FF4C6F">
        <w:t xml:space="preserve">Hg </w:t>
      </w:r>
      <w:r>
        <w:t>vs</w:t>
      </w:r>
      <w:r w:rsidR="00D07327">
        <w:t xml:space="preserve"> 1</w:t>
      </w:r>
      <w:r w:rsidR="00116D53">
        <w:t>38.2 ± 22.2 mm</w:t>
      </w:r>
      <w:r w:rsidR="00D07327">
        <w:t>Hg, P =</w:t>
      </w:r>
      <w:r w:rsidRPr="00FF4C6F">
        <w:t>0.2143). At 12</w:t>
      </w:r>
      <w:r>
        <w:t xml:space="preserve"> </w:t>
      </w:r>
      <w:r w:rsidRPr="00FF4C6F">
        <w:t>months there was no significant difference in both systolic and diastolic blood pressure between participants in the two groups.</w:t>
      </w:r>
    </w:p>
    <w:p w:rsidR="00A63D34" w:rsidRPr="00176BE3" w:rsidRDefault="00A63D34" w:rsidP="00A63D34">
      <w:pPr>
        <w:pStyle w:val="BodyText"/>
      </w:pPr>
      <w:r w:rsidRPr="00F573E0">
        <w:t xml:space="preserve">The </w:t>
      </w:r>
      <w:r>
        <w:t>Simmons et al (2000) RCT</w:t>
      </w:r>
      <w:r w:rsidRPr="00F573E0">
        <w:t xml:space="preserve"> reported a significant </w:t>
      </w:r>
      <w:r>
        <w:t>reduction in diastolic blood pressure at eight months (-</w:t>
      </w:r>
      <w:r w:rsidRPr="00F573E0">
        <w:t>5.8 ± 1.5 mmHg</w:t>
      </w:r>
      <w:r>
        <w:t>)</w:t>
      </w:r>
      <w:r w:rsidRPr="00F573E0">
        <w:t xml:space="preserve"> in the </w:t>
      </w:r>
      <w:r>
        <w:t>CBP</w:t>
      </w:r>
      <w:r w:rsidRPr="00F573E0">
        <w:t xml:space="preserve"> group, and </w:t>
      </w:r>
      <w:r>
        <w:t>an increase</w:t>
      </w:r>
      <w:r w:rsidRPr="00F573E0">
        <w:t xml:space="preserve"> </w:t>
      </w:r>
      <w:r>
        <w:t>(</w:t>
      </w:r>
      <w:r w:rsidRPr="00F573E0">
        <w:t>0.1 ± 1.9 mmHg</w:t>
      </w:r>
      <w:r>
        <w:t>)</w:t>
      </w:r>
      <w:r w:rsidRPr="00F573E0">
        <w:t xml:space="preserve"> in the control group (P &lt;0.001). There was no significant change in systolic blood pressure at eight months (intervention -3.6 ± 2.3 mmHg versus control -2.6 ± 2.8</w:t>
      </w:r>
      <w:r w:rsidR="00D07327">
        <w:t xml:space="preserve"> mmHg, P =</w:t>
      </w:r>
      <w:r w:rsidRPr="00F573E0">
        <w:t xml:space="preserve">0.89). </w:t>
      </w:r>
      <w:r>
        <w:t xml:space="preserve">According to the authors, it was unclear why the use of a CBP had an effect on diastolic </w:t>
      </w:r>
      <w:r w:rsidR="00D07327">
        <w:t>but not systolic blood pressure</w:t>
      </w:r>
      <w:r>
        <w:t>.</w:t>
      </w:r>
    </w:p>
    <w:p w:rsidR="00A63D34" w:rsidRDefault="00A63D34" w:rsidP="00A63D34">
      <w:pPr>
        <w:pStyle w:val="BodyText"/>
      </w:pPr>
      <w:r>
        <w:t xml:space="preserve">The RCT by </w:t>
      </w:r>
      <w:r w:rsidRPr="00BA6102">
        <w:t>Becker</w:t>
      </w:r>
      <w:r>
        <w:t xml:space="preserve"> et al (</w:t>
      </w:r>
      <w:r w:rsidRPr="00BA6102">
        <w:t>1986</w:t>
      </w:r>
      <w:r>
        <w:t xml:space="preserve">) </w:t>
      </w:r>
      <w:r w:rsidRPr="00BA6102">
        <w:t xml:space="preserve">did not find any </w:t>
      </w:r>
      <w:r>
        <w:t xml:space="preserve">statistically significant improvement </w:t>
      </w:r>
      <w:r w:rsidR="00D07327">
        <w:t xml:space="preserve">at 12 months </w:t>
      </w:r>
      <w:r>
        <w:t>in</w:t>
      </w:r>
      <w:r w:rsidRPr="00BA6102">
        <w:t xml:space="preserve"> blood pressure control for hypertensive patients receiving</w:t>
      </w:r>
      <w:r>
        <w:t xml:space="preserve"> their medications in a single blister sealed pack</w:t>
      </w:r>
      <w:r w:rsidRPr="00BA6102">
        <w:t xml:space="preserve"> </w:t>
      </w:r>
      <w:r>
        <w:t>compared with conventional pill vials (data not reported).</w:t>
      </w:r>
    </w:p>
    <w:p w:rsidR="00A63D34" w:rsidRPr="005D19B6" w:rsidRDefault="00A63D34" w:rsidP="00A63D34">
      <w:pPr>
        <w:pStyle w:val="Heading4"/>
      </w:pPr>
      <w:r w:rsidRPr="005D19B6">
        <w:t xml:space="preserve">Glycated </w:t>
      </w:r>
      <w:r>
        <w:t>h</w:t>
      </w:r>
      <w:r w:rsidRPr="005D19B6">
        <w:t>aemoglobin</w:t>
      </w:r>
    </w:p>
    <w:p w:rsidR="00A63D34" w:rsidRDefault="00A63D34" w:rsidP="00A63D34">
      <w:pPr>
        <w:pStyle w:val="BodyText"/>
      </w:pPr>
      <w:r>
        <w:t xml:space="preserve">The </w:t>
      </w:r>
      <w:r w:rsidR="00D07327">
        <w:t>RCT</w:t>
      </w:r>
      <w:r>
        <w:t xml:space="preserve"> by Simmons et al (2000) reported the effects of a reminder package intervention on HbA</w:t>
      </w:r>
      <w:r w:rsidRPr="001979B2">
        <w:rPr>
          <w:vertAlign w:val="subscript"/>
        </w:rPr>
        <w:t>1c</w:t>
      </w:r>
      <w:r>
        <w:t xml:space="preserve"> in patients with poor blood glucose control. </w:t>
      </w:r>
      <w:r w:rsidRPr="001979B2">
        <w:t>The study found that HbA</w:t>
      </w:r>
      <w:r w:rsidRPr="006C7BF5">
        <w:rPr>
          <w:vertAlign w:val="subscript"/>
        </w:rPr>
        <w:t>1c</w:t>
      </w:r>
      <w:r w:rsidRPr="001979B2">
        <w:t xml:space="preserve"> was reduced by 0.95 ± 0.22% in the intervention group, compared with 0.15 ± </w:t>
      </w:r>
      <w:r w:rsidR="00D07327">
        <w:t>0.25% in the control group (P =</w:t>
      </w:r>
      <w:r w:rsidRPr="001979B2">
        <w:t>0.026.)</w:t>
      </w:r>
      <w:r>
        <w:t xml:space="preserve"> at eight months of follow-up</w:t>
      </w:r>
      <w:r w:rsidRPr="001979B2">
        <w:t>. The authors concluded that the use of CBPs in a group with poor glucose control was associated with a reduction in HbA</w:t>
      </w:r>
      <w:r w:rsidRPr="001979B2">
        <w:rPr>
          <w:vertAlign w:val="subscript"/>
        </w:rPr>
        <w:t>1 c</w:t>
      </w:r>
      <w:r w:rsidRPr="001979B2">
        <w:t xml:space="preserve"> over an eight month period</w:t>
      </w:r>
      <w:r w:rsidR="00D07327">
        <w:t>, which was</w:t>
      </w:r>
      <w:r w:rsidRPr="001979B2">
        <w:t xml:space="preserve"> equivalent to that required to achieve a clinically meaningful reduction in risk of complications.</w:t>
      </w:r>
    </w:p>
    <w:p w:rsidR="00A63D34" w:rsidRDefault="00A63D34" w:rsidP="00A63D34">
      <w:pPr>
        <w:pStyle w:val="BodyText"/>
        <w:rPr>
          <w:i/>
        </w:rPr>
      </w:pPr>
      <w:r w:rsidRPr="00EA12CA">
        <w:rPr>
          <w:b/>
        </w:rPr>
        <w:t>Findings:</w:t>
      </w:r>
      <w:r w:rsidRPr="00EA12CA">
        <w:t xml:space="preserve"> </w:t>
      </w:r>
      <w:r>
        <w:rPr>
          <w:i/>
        </w:rPr>
        <w:t>A</w:t>
      </w:r>
      <w:r w:rsidRPr="006A51F0">
        <w:rPr>
          <w:i/>
        </w:rPr>
        <w:t xml:space="preserve"> single prospective cohort study </w:t>
      </w:r>
      <w:r w:rsidRPr="00EC2CC1">
        <w:rPr>
          <w:i/>
        </w:rPr>
        <w:t xml:space="preserve">of </w:t>
      </w:r>
      <w:r w:rsidR="007246FE" w:rsidRPr="00EC2CC1">
        <w:rPr>
          <w:i/>
        </w:rPr>
        <w:t>poor</w:t>
      </w:r>
      <w:r w:rsidRPr="00EC2CC1">
        <w:rPr>
          <w:i/>
        </w:rPr>
        <w:t xml:space="preserve"> quality</w:t>
      </w:r>
      <w:r>
        <w:rPr>
          <w:i/>
        </w:rPr>
        <w:t xml:space="preserve"> assessed the impact of pillbox </w:t>
      </w:r>
      <w:r w:rsidRPr="006A51F0">
        <w:rPr>
          <w:i/>
        </w:rPr>
        <w:t xml:space="preserve">use on </w:t>
      </w:r>
      <w:r w:rsidR="006718E3">
        <w:rPr>
          <w:i/>
        </w:rPr>
        <w:t xml:space="preserve">clinical outcomes in </w:t>
      </w:r>
      <w:r w:rsidRPr="006A51F0">
        <w:rPr>
          <w:i/>
        </w:rPr>
        <w:t>warfarin user</w:t>
      </w:r>
      <w:r>
        <w:rPr>
          <w:i/>
        </w:rPr>
        <w:t>s.</w:t>
      </w:r>
      <w:r w:rsidRPr="006A51F0">
        <w:rPr>
          <w:i/>
        </w:rPr>
        <w:t xml:space="preserve"> </w:t>
      </w:r>
      <w:r>
        <w:rPr>
          <w:i/>
        </w:rPr>
        <w:t>The study found</w:t>
      </w:r>
      <w:r w:rsidRPr="006A51F0">
        <w:rPr>
          <w:i/>
        </w:rPr>
        <w:t xml:space="preserve"> that pillbox use was not associated with TTR &lt;60% or INR instability</w:t>
      </w:r>
      <w:r>
        <w:rPr>
          <w:i/>
        </w:rPr>
        <w:t>;</w:t>
      </w:r>
      <w:r w:rsidRPr="006A51F0">
        <w:rPr>
          <w:i/>
        </w:rPr>
        <w:t xml:space="preserve"> however</w:t>
      </w:r>
      <w:r>
        <w:rPr>
          <w:i/>
        </w:rPr>
        <w:t>,</w:t>
      </w:r>
      <w:r w:rsidRPr="006A51F0">
        <w:rPr>
          <w:i/>
        </w:rPr>
        <w:t xml:space="preserve"> these results may be biased by unmeasured confounders such as concomitant drug use. Therefore, the effect of pillbox on INR instability among warfarin users remains inconclusive and further research is still needed in this area.</w:t>
      </w:r>
    </w:p>
    <w:p w:rsidR="00A63D34" w:rsidRPr="006A51F0" w:rsidRDefault="00A63D34" w:rsidP="00A63D34">
      <w:pPr>
        <w:pStyle w:val="BodyText"/>
        <w:rPr>
          <w:i/>
        </w:rPr>
      </w:pPr>
      <w:r w:rsidRPr="00EA12CA">
        <w:rPr>
          <w:i/>
        </w:rPr>
        <w:t xml:space="preserve">Evidence from two RCTs </w:t>
      </w:r>
      <w:r w:rsidR="00EC2CC1">
        <w:rPr>
          <w:i/>
        </w:rPr>
        <w:t xml:space="preserve">(one fair quality and one good quality) </w:t>
      </w:r>
      <w:r w:rsidRPr="00EA12CA">
        <w:rPr>
          <w:i/>
        </w:rPr>
        <w:t xml:space="preserve">showed that </w:t>
      </w:r>
      <w:r>
        <w:rPr>
          <w:i/>
        </w:rPr>
        <w:t xml:space="preserve">the use of </w:t>
      </w:r>
      <w:r w:rsidRPr="00EA12CA">
        <w:rPr>
          <w:i/>
        </w:rPr>
        <w:t xml:space="preserve">reminder packaging </w:t>
      </w:r>
      <w:r w:rsidR="007B09C7">
        <w:rPr>
          <w:i/>
        </w:rPr>
        <w:t xml:space="preserve">in patients taking antihypertensive medication </w:t>
      </w:r>
      <w:r w:rsidRPr="00EA12CA">
        <w:rPr>
          <w:i/>
        </w:rPr>
        <w:t>significantly decreased diastolic blood pressure but not systolic blood pressure</w:t>
      </w:r>
      <w:r w:rsidR="00EC2CC1">
        <w:rPr>
          <w:i/>
        </w:rPr>
        <w:t>, compared with control</w:t>
      </w:r>
      <w:r w:rsidRPr="00EA12CA">
        <w:rPr>
          <w:i/>
        </w:rPr>
        <w:t xml:space="preserve">. An older study </w:t>
      </w:r>
      <w:r w:rsidR="00EC2CC1">
        <w:rPr>
          <w:i/>
        </w:rPr>
        <w:t xml:space="preserve">of poor quality </w:t>
      </w:r>
      <w:r w:rsidRPr="00EA12CA">
        <w:rPr>
          <w:i/>
        </w:rPr>
        <w:t xml:space="preserve">failed to demonstrate </w:t>
      </w:r>
      <w:r w:rsidR="00EC2CC1">
        <w:rPr>
          <w:i/>
        </w:rPr>
        <w:t>an effect of reminder packaging on blood pressure control</w:t>
      </w:r>
      <w:r w:rsidR="00594BB3">
        <w:rPr>
          <w:i/>
        </w:rPr>
        <w:t xml:space="preserve"> (or </w:t>
      </w:r>
      <w:r w:rsidR="00A40625">
        <w:rPr>
          <w:i/>
        </w:rPr>
        <w:t xml:space="preserve">on </w:t>
      </w:r>
      <w:r w:rsidR="00594BB3">
        <w:rPr>
          <w:i/>
        </w:rPr>
        <w:t>adherence)</w:t>
      </w:r>
      <w:r w:rsidRPr="00EA12CA">
        <w:rPr>
          <w:i/>
        </w:rPr>
        <w:t xml:space="preserve">. </w:t>
      </w:r>
    </w:p>
    <w:p w:rsidR="00A63D34" w:rsidRDefault="00A63D34" w:rsidP="00A63D34">
      <w:pPr>
        <w:pStyle w:val="BodyText"/>
        <w:rPr>
          <w:i/>
        </w:rPr>
      </w:pPr>
      <w:r w:rsidRPr="00EA12CA">
        <w:rPr>
          <w:i/>
        </w:rPr>
        <w:t xml:space="preserve">Evidence </w:t>
      </w:r>
      <w:r>
        <w:rPr>
          <w:i/>
        </w:rPr>
        <w:t xml:space="preserve">from a </w:t>
      </w:r>
      <w:r w:rsidR="00EC2CC1" w:rsidRPr="00EC2CC1">
        <w:rPr>
          <w:i/>
        </w:rPr>
        <w:t>good</w:t>
      </w:r>
      <w:r w:rsidR="00EC2CC1">
        <w:rPr>
          <w:i/>
        </w:rPr>
        <w:t xml:space="preserve"> quality</w:t>
      </w:r>
      <w:r>
        <w:rPr>
          <w:i/>
        </w:rPr>
        <w:t xml:space="preserve"> RCT</w:t>
      </w:r>
      <w:r w:rsidRPr="00EA12CA">
        <w:rPr>
          <w:i/>
        </w:rPr>
        <w:t xml:space="preserve"> </w:t>
      </w:r>
      <w:r>
        <w:rPr>
          <w:i/>
        </w:rPr>
        <w:t xml:space="preserve">of small size </w:t>
      </w:r>
      <w:r w:rsidR="00EC2CC1">
        <w:rPr>
          <w:i/>
        </w:rPr>
        <w:t xml:space="preserve">showed that in patients with poorly controlled diabetes, reminder packaging </w:t>
      </w:r>
      <w:r w:rsidRPr="00EA12CA">
        <w:rPr>
          <w:i/>
        </w:rPr>
        <w:t xml:space="preserve">significantly decreased </w:t>
      </w:r>
      <w:r>
        <w:rPr>
          <w:i/>
        </w:rPr>
        <w:t>glycated haemoglobi</w:t>
      </w:r>
      <w:r w:rsidR="00EC2CC1">
        <w:rPr>
          <w:i/>
        </w:rPr>
        <w:t>n at eight months of follow up compared with original packaging.</w:t>
      </w:r>
    </w:p>
    <w:p w:rsidR="00A63D34" w:rsidRPr="00EA12CA" w:rsidRDefault="00A63D34" w:rsidP="00A63D34">
      <w:pPr>
        <w:pStyle w:val="BodyText"/>
        <w:rPr>
          <w:i/>
        </w:rPr>
      </w:pPr>
      <w:r w:rsidRPr="00EA12CA">
        <w:rPr>
          <w:i/>
        </w:rPr>
        <w:lastRenderedPageBreak/>
        <w:t>High</w:t>
      </w:r>
      <w:r>
        <w:rPr>
          <w:i/>
        </w:rPr>
        <w:t xml:space="preserve"> </w:t>
      </w:r>
      <w:r w:rsidRPr="00EA12CA">
        <w:rPr>
          <w:i/>
        </w:rPr>
        <w:t xml:space="preserve">quality studies of adequate size and duration assessing the clinical effectiveness of reminder packaging interventions are </w:t>
      </w:r>
      <w:r>
        <w:rPr>
          <w:i/>
        </w:rPr>
        <w:t>required before firm conclusions can be drawn.</w:t>
      </w:r>
    </w:p>
    <w:p w:rsidR="00A63D34" w:rsidRDefault="00A63D34" w:rsidP="00A63D34">
      <w:pPr>
        <w:pStyle w:val="Heading3"/>
        <w:numPr>
          <w:ilvl w:val="2"/>
          <w:numId w:val="38"/>
        </w:numPr>
      </w:pPr>
      <w:bookmarkStart w:id="108" w:name="_Toc523230300"/>
      <w:r>
        <w:t>Adverse drug reactions</w:t>
      </w:r>
      <w:bookmarkEnd w:id="108"/>
    </w:p>
    <w:p w:rsidR="00A63D34" w:rsidRDefault="00A63D34" w:rsidP="00A63D34">
      <w:pPr>
        <w:pStyle w:val="BodyText"/>
      </w:pPr>
      <w:r>
        <w:t xml:space="preserve">None of the included studies specifically reported outcomes relating to adverse drug events, adverse drug </w:t>
      </w:r>
      <w:r w:rsidRPr="002122AF">
        <w:t xml:space="preserve">reactions </w:t>
      </w:r>
      <w:r>
        <w:t>or</w:t>
      </w:r>
      <w:r w:rsidRPr="002122AF">
        <w:t xml:space="preserve"> medication-related problems</w:t>
      </w:r>
      <w:r>
        <w:t>.</w:t>
      </w:r>
    </w:p>
    <w:p w:rsidR="00A63D34" w:rsidRDefault="00A63D34" w:rsidP="00A63D34">
      <w:pPr>
        <w:pStyle w:val="Heading3"/>
        <w:numPr>
          <w:ilvl w:val="2"/>
          <w:numId w:val="38"/>
        </w:numPr>
      </w:pPr>
      <w:bookmarkStart w:id="109" w:name="_Toc523230301"/>
      <w:r>
        <w:t>Mortality</w:t>
      </w:r>
      <w:bookmarkEnd w:id="109"/>
    </w:p>
    <w:p w:rsidR="00A63D34" w:rsidRPr="002122AF" w:rsidRDefault="00A63D34" w:rsidP="00A63D34">
      <w:pPr>
        <w:pStyle w:val="BodyText"/>
      </w:pPr>
      <w:r>
        <w:t>None of the included studies reported deaths.</w:t>
      </w:r>
    </w:p>
    <w:p w:rsidR="00A63D34" w:rsidRDefault="00A63D34" w:rsidP="00A63D34">
      <w:pPr>
        <w:pStyle w:val="Heading3"/>
        <w:numPr>
          <w:ilvl w:val="2"/>
          <w:numId w:val="38"/>
        </w:numPr>
      </w:pPr>
      <w:bookmarkStart w:id="110" w:name="_Toc523230302"/>
      <w:r>
        <w:t>Health care resource use</w:t>
      </w:r>
      <w:bookmarkEnd w:id="110"/>
    </w:p>
    <w:p w:rsidR="00A63D34" w:rsidRDefault="00A63D34" w:rsidP="00A63D34">
      <w:pPr>
        <w:pStyle w:val="BodyText"/>
      </w:pPr>
      <w:r>
        <w:t>The study by Winland-Brown et al (2000) examined the effect of a prefilled pillbox on health</w:t>
      </w:r>
      <w:r w:rsidRPr="00AD543C">
        <w:t xml:space="preserve"> </w:t>
      </w:r>
      <w:r>
        <w:t xml:space="preserve">care resource utilisation (hospitalisation and admission rates) in elderly patients </w:t>
      </w:r>
      <w:r w:rsidRPr="005923E5">
        <w:t xml:space="preserve">with a variety of medical conditions, </w:t>
      </w:r>
      <w:r>
        <w:t>who had experienced a previous</w:t>
      </w:r>
      <w:r w:rsidRPr="005923E5">
        <w:t xml:space="preserve"> episode of medication mismanagement</w:t>
      </w:r>
      <w:r>
        <w:t>. However, the effect of the intervention could not be determined as there was insufficient information to draw a useful conclusion.</w:t>
      </w:r>
    </w:p>
    <w:p w:rsidR="00007AA6" w:rsidRDefault="002C37B3" w:rsidP="00A63D34">
      <w:pPr>
        <w:pStyle w:val="BodyText"/>
      </w:pPr>
      <w:r>
        <w:t>S</w:t>
      </w:r>
      <w:r w:rsidR="00007AA6">
        <w:t xml:space="preserve">tudies reporting </w:t>
      </w:r>
      <w:r>
        <w:t xml:space="preserve">the impact of DAAs on </w:t>
      </w:r>
      <w:r w:rsidR="00007AA6">
        <w:t xml:space="preserve">health care costs </w:t>
      </w:r>
      <w:r>
        <w:t>(</w:t>
      </w:r>
      <w:r w:rsidR="00007AA6" w:rsidRPr="00E16CE2">
        <w:t>prescription, physician, hospital and laboratory costs</w:t>
      </w:r>
      <w:r>
        <w:t xml:space="preserve">) are shown in Section </w:t>
      </w:r>
      <w:r>
        <w:fldChar w:fldCharType="begin"/>
      </w:r>
      <w:r>
        <w:instrText xml:space="preserve"> REF _Ref463297096 \r \h </w:instrText>
      </w:r>
      <w:r>
        <w:fldChar w:fldCharType="separate"/>
      </w:r>
      <w:r w:rsidR="00964233">
        <w:t>6.1</w:t>
      </w:r>
      <w:r>
        <w:fldChar w:fldCharType="end"/>
      </w:r>
      <w:r>
        <w:t>.</w:t>
      </w:r>
    </w:p>
    <w:p w:rsidR="00A63D34" w:rsidRDefault="00A63D34" w:rsidP="00A63D34">
      <w:pPr>
        <w:pStyle w:val="Heading3"/>
        <w:numPr>
          <w:ilvl w:val="2"/>
          <w:numId w:val="38"/>
        </w:numPr>
      </w:pPr>
      <w:bookmarkStart w:id="111" w:name="_Toc523230303"/>
      <w:r>
        <w:t>Patient satisfaction</w:t>
      </w:r>
      <w:bookmarkEnd w:id="111"/>
    </w:p>
    <w:p w:rsidR="00A63D34" w:rsidRDefault="00A63D34" w:rsidP="00A63D34">
      <w:pPr>
        <w:pStyle w:val="BodyText"/>
      </w:pPr>
      <w:r>
        <w:t xml:space="preserve">Three of the included studies reported on the usefulness of </w:t>
      </w:r>
      <w:r w:rsidR="00A40625">
        <w:t>medication compliance</w:t>
      </w:r>
      <w:r>
        <w:t xml:space="preserve"> aids</w:t>
      </w:r>
      <w:r w:rsidR="00A40625">
        <w:t xml:space="preserve"> from the patients’ perspective</w:t>
      </w:r>
      <w:r>
        <w:t>. The remaining six studies provided no information on patients’ satisfaction, harms or barriers to use with their medication packaging.</w:t>
      </w:r>
    </w:p>
    <w:p w:rsidR="00A63D34" w:rsidRDefault="00A63D34" w:rsidP="00A63D34">
      <w:pPr>
        <w:pStyle w:val="BodyText"/>
      </w:pPr>
      <w:r>
        <w:t>The Simmons et al (2000) RCT reported that 77% (26/34) of the calendar blister package group found the packaging to be useful, as opposed to 27% (7/26) in the group that r</w:t>
      </w:r>
      <w:r w:rsidR="00A40625">
        <w:t>eceived original packaging (P &lt;</w:t>
      </w:r>
      <w:r>
        <w:t>0.001). The authors did not describe the tool used to collect this information.</w:t>
      </w:r>
    </w:p>
    <w:p w:rsidR="00A63D34" w:rsidRDefault="00A63D34" w:rsidP="00A63D34">
      <w:pPr>
        <w:pStyle w:val="BodyText"/>
      </w:pPr>
      <w:r>
        <w:t xml:space="preserve">The VITAL </w:t>
      </w:r>
      <w:r w:rsidR="00A40625">
        <w:t>RCT</w:t>
      </w:r>
      <w:r>
        <w:t xml:space="preserve"> by Huang et al (2000) collected data on self-reported adherence to pill taking (vitamin E supplementation) through a self-administered questionnaire that contained questions about how frequently (never, rarely, sometimes, most of the time, all of the time) participants ever decided not to take study pills, forgot to take pills, skipped taking pills, took pills incorrectly because of carelessness, or took more than the assigned pills. The study found that the percentage of participants who reported any problem with pill taking was somewhat higher in the pill organiser group than in the blister pack group (39.3% vs 28.7%, P</w:t>
      </w:r>
      <w:r w:rsidR="00A40625">
        <w:t xml:space="preserve"> </w:t>
      </w:r>
      <w:r>
        <w:t>=0.06). A higher percentage of persons in the pill organiser group reported the problem of forgetting to take their pills (31.0% vs 21.0%, P</w:t>
      </w:r>
      <w:r w:rsidR="00B16FF2">
        <w:t xml:space="preserve"> =0.05).</w:t>
      </w:r>
    </w:p>
    <w:p w:rsidR="00A63D34" w:rsidRDefault="00A63D34" w:rsidP="00A63D34">
      <w:pPr>
        <w:pStyle w:val="BodyText"/>
      </w:pPr>
      <w:r>
        <w:t>The RCT by Becker et al (1986) reported on patient satisfaction in regards to using the reminder blister pack. Patients in this study found that the “special package” was more difficult and less convenient to use than did patients who received their medications in the regular format; however, the study reported no actual data to support this. The authors suggested that “future studies might compare different forms of the more streamlined packages now becoming available.”</w:t>
      </w:r>
    </w:p>
    <w:p w:rsidR="00A63D34" w:rsidRDefault="00A63D34" w:rsidP="00A63D34">
      <w:pPr>
        <w:pStyle w:val="BodyText"/>
        <w:rPr>
          <w:i/>
        </w:rPr>
      </w:pPr>
      <w:r w:rsidRPr="00986163">
        <w:rPr>
          <w:b/>
        </w:rPr>
        <w:t>Findings:</w:t>
      </w:r>
      <w:r>
        <w:t xml:space="preserve"> </w:t>
      </w:r>
      <w:r w:rsidRPr="00134576">
        <w:rPr>
          <w:i/>
        </w:rPr>
        <w:t xml:space="preserve">There is insufficient evidence to assess patient </w:t>
      </w:r>
      <w:r>
        <w:rPr>
          <w:i/>
        </w:rPr>
        <w:t xml:space="preserve">acceptance or </w:t>
      </w:r>
      <w:r w:rsidRPr="00134576">
        <w:rPr>
          <w:i/>
        </w:rPr>
        <w:t xml:space="preserve">satisfaction with </w:t>
      </w:r>
      <w:r>
        <w:rPr>
          <w:i/>
        </w:rPr>
        <w:t>pharmacist-prepared DAAs or similar medicine compliance aids</w:t>
      </w:r>
      <w:r w:rsidRPr="00134576">
        <w:rPr>
          <w:i/>
        </w:rPr>
        <w:t xml:space="preserve">. </w:t>
      </w:r>
      <w:r w:rsidR="00C2042E">
        <w:rPr>
          <w:i/>
        </w:rPr>
        <w:t xml:space="preserve"> </w:t>
      </w:r>
      <w:r w:rsidRPr="00134576">
        <w:rPr>
          <w:i/>
        </w:rPr>
        <w:t>Patient satisfaction was marginally reported</w:t>
      </w:r>
      <w:r w:rsidR="00B16FF2">
        <w:rPr>
          <w:i/>
        </w:rPr>
        <w:t>,</w:t>
      </w:r>
      <w:r w:rsidRPr="00134576">
        <w:rPr>
          <w:i/>
        </w:rPr>
        <w:t xml:space="preserve"> with only three of the included studies </w:t>
      </w:r>
      <w:r>
        <w:rPr>
          <w:i/>
        </w:rPr>
        <w:t>reflecting</w:t>
      </w:r>
      <w:r w:rsidRPr="00134576">
        <w:rPr>
          <w:i/>
        </w:rPr>
        <w:t xml:space="preserve"> on this outcome. </w:t>
      </w:r>
      <w:r w:rsidR="00C2042E">
        <w:rPr>
          <w:i/>
        </w:rPr>
        <w:t xml:space="preserve"> </w:t>
      </w:r>
      <w:r w:rsidRPr="00134576">
        <w:rPr>
          <w:i/>
        </w:rPr>
        <w:t xml:space="preserve">Future research into adherence aids should incorporate the opinions of study participants to identify what </w:t>
      </w:r>
      <w:r w:rsidRPr="00134576">
        <w:rPr>
          <w:i/>
        </w:rPr>
        <w:lastRenderedPageBreak/>
        <w:t xml:space="preserve">they would desire in a medicine compliance aid and how they evaluate current devices available, with consideration given to their ease of opening, transportability and display features. </w:t>
      </w:r>
    </w:p>
    <w:p w:rsidR="00A63D34" w:rsidRDefault="00A63D34" w:rsidP="00A63D34">
      <w:pPr>
        <w:pStyle w:val="Heading3"/>
        <w:numPr>
          <w:ilvl w:val="2"/>
          <w:numId w:val="38"/>
        </w:numPr>
      </w:pPr>
      <w:bookmarkStart w:id="112" w:name="_Toc523230304"/>
      <w:r>
        <w:t>Health-related quality of life</w:t>
      </w:r>
      <w:bookmarkEnd w:id="112"/>
    </w:p>
    <w:p w:rsidR="00A63D34" w:rsidRPr="002122AF" w:rsidRDefault="00A63D34" w:rsidP="00A63D34">
      <w:pPr>
        <w:pStyle w:val="BodyText"/>
      </w:pPr>
      <w:r>
        <w:t xml:space="preserve">None of the included studies reported health-related quality of life outcomes. </w:t>
      </w:r>
    </w:p>
    <w:p w:rsidR="00A63D34" w:rsidRDefault="00A63D34" w:rsidP="00A63D34">
      <w:pPr>
        <w:pStyle w:val="Heading3"/>
        <w:numPr>
          <w:ilvl w:val="2"/>
          <w:numId w:val="38"/>
        </w:numPr>
      </w:pPr>
      <w:bookmarkStart w:id="113" w:name="_Toc523230305"/>
      <w:r>
        <w:t>Safety</w:t>
      </w:r>
      <w:bookmarkEnd w:id="113"/>
    </w:p>
    <w:p w:rsidR="00A63D34" w:rsidRPr="00A63317" w:rsidRDefault="00A63D34" w:rsidP="00A63D34">
      <w:pPr>
        <w:pStyle w:val="BodyText"/>
      </w:pPr>
      <w:r>
        <w:t>None of the included studies provided information on the safety or harms associated with DAA use, such as dispensing or packaging errors.</w:t>
      </w:r>
    </w:p>
    <w:p w:rsidR="00603F99" w:rsidRDefault="00603F99" w:rsidP="008228DE">
      <w:pPr>
        <w:pStyle w:val="BodyText"/>
        <w:rPr>
          <w:highlight w:val="yellow"/>
        </w:rPr>
      </w:pPr>
    </w:p>
    <w:p w:rsidR="003E54D0" w:rsidRPr="003E54D0" w:rsidRDefault="003E54D0" w:rsidP="008228DE">
      <w:pPr>
        <w:pStyle w:val="BodyText"/>
        <w:sectPr w:rsidR="003E54D0" w:rsidRPr="003E54D0" w:rsidSect="00E6729C">
          <w:footerReference w:type="default" r:id="rId23"/>
          <w:pgSz w:w="11906" w:h="16838" w:code="9"/>
          <w:pgMar w:top="1134" w:right="1134" w:bottom="1134" w:left="1134" w:header="680" w:footer="851" w:gutter="0"/>
          <w:cols w:space="708"/>
          <w:docGrid w:linePitch="360"/>
        </w:sectPr>
      </w:pPr>
    </w:p>
    <w:p w:rsidR="009D56DD" w:rsidRDefault="00D97462" w:rsidP="009D56DD">
      <w:pPr>
        <w:pStyle w:val="Heading1"/>
      </w:pPr>
      <w:bookmarkStart w:id="114" w:name="_Ref462731958"/>
      <w:bookmarkStart w:id="115" w:name="_Ref462732569"/>
      <w:bookmarkStart w:id="116" w:name="_Toc523230306"/>
      <w:bookmarkStart w:id="117" w:name="_Toc374972260"/>
      <w:bookmarkStart w:id="118" w:name="_Toc374972621"/>
      <w:bookmarkEnd w:id="34"/>
      <w:bookmarkEnd w:id="35"/>
      <w:r>
        <w:lastRenderedPageBreak/>
        <w:t>Published evidence relating to cost</w:t>
      </w:r>
      <w:r w:rsidR="00165A92">
        <w:t xml:space="preserve"> and cost-effectiveness</w:t>
      </w:r>
      <w:bookmarkEnd w:id="114"/>
      <w:bookmarkEnd w:id="115"/>
      <w:bookmarkEnd w:id="116"/>
    </w:p>
    <w:p w:rsidR="00C67D39" w:rsidRDefault="00BF48E6" w:rsidP="00BF48E6">
      <w:pPr>
        <w:pStyle w:val="BodyText"/>
      </w:pPr>
      <w:r>
        <w:t>This S</w:t>
      </w:r>
      <w:r w:rsidRPr="0034151E">
        <w:t xml:space="preserve">ection presents the evidence identified in the systematic literature review relating to the cost and cost-effectiveness of DAAs in relation to the research questions and the PICO criteria outlined in Section 3.1.1. </w:t>
      </w:r>
      <w:r w:rsidR="00C67D39">
        <w:t xml:space="preserve">None of the included studies assessed the impact of an incentive payment to pharmacists for the provision of DAAs to community patients. </w:t>
      </w:r>
    </w:p>
    <w:p w:rsidR="00BF48E6" w:rsidRDefault="00BF48E6" w:rsidP="00BF48E6">
      <w:pPr>
        <w:pStyle w:val="BodyText"/>
      </w:pPr>
      <w:r w:rsidRPr="0034151E">
        <w:t>This section does not include evidence reported in previous evaluations of the PPI</w:t>
      </w:r>
      <w:r w:rsidR="00566C62">
        <w:t xml:space="preserve"> </w:t>
      </w:r>
      <w:r w:rsidRPr="0034151E">
        <w:t>P</w:t>
      </w:r>
      <w:r w:rsidR="00566C62">
        <w:t>rogram</w:t>
      </w:r>
      <w:r w:rsidRPr="0034151E">
        <w:t xml:space="preserve"> DAA incentive, which was summarised in Section 4.</w:t>
      </w:r>
      <w:r>
        <w:t xml:space="preserve"> </w:t>
      </w:r>
    </w:p>
    <w:p w:rsidR="00BF48E6" w:rsidRPr="00730FD0" w:rsidRDefault="00BF48E6" w:rsidP="00BF48E6">
      <w:pPr>
        <w:pStyle w:val="Heading2"/>
      </w:pPr>
      <w:bookmarkStart w:id="119" w:name="_Ref463297096"/>
      <w:bookmarkStart w:id="120" w:name="_Toc523230307"/>
      <w:r>
        <w:t>Evidence for impact of medicine compliance aids on health care expenditure</w:t>
      </w:r>
      <w:bookmarkEnd w:id="119"/>
      <w:bookmarkEnd w:id="120"/>
    </w:p>
    <w:p w:rsidR="00BF48E6" w:rsidRDefault="00BF48E6" w:rsidP="00BF48E6">
      <w:pPr>
        <w:pStyle w:val="BodyText"/>
      </w:pPr>
      <w:r>
        <w:t xml:space="preserve">Two studies by Skaer et al examined the use of reminder packaging on health care resource costs in hypertensive (1993a) and diabetic (1993b) patients in the US. </w:t>
      </w:r>
      <w:r w:rsidR="00C2042E">
        <w:t xml:space="preserve"> </w:t>
      </w:r>
      <w:r>
        <w:t xml:space="preserve">Total health care costs were </w:t>
      </w:r>
      <w:r w:rsidRPr="00E16CE2">
        <w:t>calculated as the sum of prescription, physician, hospital and laboratory costs</w:t>
      </w:r>
      <w:r>
        <w:t xml:space="preserve">. </w:t>
      </w:r>
      <w:r w:rsidRPr="00A1734D">
        <w:t>N</w:t>
      </w:r>
      <w:r>
        <w:t>either</w:t>
      </w:r>
      <w:r w:rsidRPr="00A1734D">
        <w:t xml:space="preserve"> of the included studies </w:t>
      </w:r>
      <w:r>
        <w:t>reported the cost of the reminder packaging intervention itself.</w:t>
      </w:r>
    </w:p>
    <w:p w:rsidR="00BF48E6" w:rsidRDefault="00BF48E6" w:rsidP="00BF48E6">
      <w:pPr>
        <w:pStyle w:val="BodyText"/>
      </w:pPr>
      <w:r>
        <w:t xml:space="preserve">A summary of the results from the two studies is presented in </w:t>
      </w:r>
      <w:r>
        <w:fldChar w:fldCharType="begin"/>
      </w:r>
      <w:r>
        <w:instrText xml:space="preserve"> REF _Ref462150065 \h </w:instrText>
      </w:r>
      <w:r>
        <w:fldChar w:fldCharType="separate"/>
      </w:r>
      <w:r w:rsidR="00964233">
        <w:t xml:space="preserve">Table </w:t>
      </w:r>
      <w:r w:rsidR="00964233">
        <w:rPr>
          <w:noProof/>
        </w:rPr>
        <w:t>6</w:t>
      </w:r>
      <w:r w:rsidR="00964233">
        <w:t>.</w:t>
      </w:r>
      <w:r w:rsidR="00964233">
        <w:rPr>
          <w:noProof/>
        </w:rPr>
        <w:t>1</w:t>
      </w:r>
      <w:r>
        <w:fldChar w:fldCharType="end"/>
      </w:r>
      <w:r>
        <w:t>.</w:t>
      </w:r>
    </w:p>
    <w:p w:rsidR="00BF48E6" w:rsidRDefault="00BF48E6" w:rsidP="00BF48E6">
      <w:pPr>
        <w:pStyle w:val="BodyText"/>
      </w:pPr>
    </w:p>
    <w:p w:rsidR="00BF48E6" w:rsidRDefault="00BF48E6" w:rsidP="00BF48E6">
      <w:pPr>
        <w:pStyle w:val="Caption"/>
        <w:sectPr w:rsidR="00BF48E6" w:rsidSect="00E6729C">
          <w:footerReference w:type="default" r:id="rId24"/>
          <w:pgSz w:w="11906" w:h="16838" w:code="9"/>
          <w:pgMar w:top="1134" w:right="1134" w:bottom="1134" w:left="1134" w:header="680" w:footer="851" w:gutter="0"/>
          <w:cols w:space="708"/>
          <w:docGrid w:linePitch="360"/>
        </w:sectPr>
      </w:pPr>
    </w:p>
    <w:p w:rsidR="00BF48E6" w:rsidRDefault="00BF48E6" w:rsidP="00BF48E6">
      <w:pPr>
        <w:pStyle w:val="Caption"/>
      </w:pPr>
      <w:bookmarkStart w:id="121" w:name="_Ref462150065"/>
      <w:bookmarkStart w:id="122" w:name="_Toc523230339"/>
      <w:r>
        <w:lastRenderedPageBreak/>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6</w:t>
      </w:r>
      <w:r w:rsidR="00964233">
        <w:rPr>
          <w:noProof/>
        </w:rPr>
        <w:fldChar w:fldCharType="end"/>
      </w:r>
      <w:r w:rsidR="00BF6408">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1</w:t>
      </w:r>
      <w:r w:rsidR="00964233">
        <w:rPr>
          <w:noProof/>
        </w:rPr>
        <w:fldChar w:fldCharType="end"/>
      </w:r>
      <w:bookmarkEnd w:id="121"/>
      <w:r>
        <w:tab/>
        <w:t>Summary of included studies that examined health care expenditure</w:t>
      </w:r>
      <w:bookmarkEnd w:id="122"/>
    </w:p>
    <w:tbl>
      <w:tblPr>
        <w:tblStyle w:val="TableGrid"/>
        <w:tblW w:w="5000" w:type="pct"/>
        <w:tblLook w:val="04A0" w:firstRow="1" w:lastRow="0" w:firstColumn="1" w:lastColumn="0" w:noHBand="0" w:noVBand="1"/>
        <w:tblCaption w:val="Table 6.1"/>
        <w:tblDescription w:val="Summary of included studies that examined health care expenditure"/>
      </w:tblPr>
      <w:tblGrid>
        <w:gridCol w:w="1325"/>
        <w:gridCol w:w="1237"/>
        <w:gridCol w:w="1389"/>
        <w:gridCol w:w="1625"/>
        <w:gridCol w:w="2064"/>
        <w:gridCol w:w="3084"/>
        <w:gridCol w:w="3836"/>
      </w:tblGrid>
      <w:tr w:rsidR="00BF48E6" w:rsidTr="00E6729C">
        <w:trPr>
          <w:cnfStyle w:val="100000000000" w:firstRow="1" w:lastRow="0" w:firstColumn="0" w:lastColumn="0" w:oddVBand="0" w:evenVBand="0" w:oddHBand="0" w:evenHBand="0" w:firstRowFirstColumn="0" w:firstRowLastColumn="0" w:lastRowFirstColumn="0" w:lastRowLastColumn="0"/>
        </w:trPr>
        <w:tc>
          <w:tcPr>
            <w:tcW w:w="430" w:type="pct"/>
            <w:vAlign w:val="center"/>
          </w:tcPr>
          <w:p w:rsidR="00BF48E6" w:rsidRDefault="00BF48E6" w:rsidP="00E6729C">
            <w:pPr>
              <w:pStyle w:val="01Tableheaderrow"/>
              <w:rPr>
                <w:snapToGrid w:val="0"/>
              </w:rPr>
            </w:pPr>
            <w:r w:rsidRPr="006D5656">
              <w:rPr>
                <w:snapToGrid w:val="0"/>
              </w:rPr>
              <w:t>Study ID</w:t>
            </w:r>
          </w:p>
          <w:p w:rsidR="00BF48E6" w:rsidRPr="00E4501E" w:rsidRDefault="00BF48E6" w:rsidP="00E6729C">
            <w:pPr>
              <w:pStyle w:val="01Tableheaderrow"/>
              <w:rPr>
                <w:i/>
              </w:rPr>
            </w:pPr>
            <w:r>
              <w:rPr>
                <w:snapToGrid w:val="0"/>
              </w:rPr>
              <w:t>Country</w:t>
            </w:r>
          </w:p>
        </w:tc>
        <w:tc>
          <w:tcPr>
            <w:tcW w:w="429" w:type="pct"/>
            <w:vAlign w:val="center"/>
          </w:tcPr>
          <w:p w:rsidR="00BF48E6" w:rsidRDefault="00BF48E6" w:rsidP="00E6729C">
            <w:pPr>
              <w:pStyle w:val="01Tableheaderrow"/>
              <w:jc w:val="center"/>
              <w:rPr>
                <w:snapToGrid w:val="0"/>
              </w:rPr>
            </w:pPr>
            <w:r>
              <w:rPr>
                <w:snapToGrid w:val="0"/>
              </w:rPr>
              <w:t>Study design</w:t>
            </w:r>
          </w:p>
          <w:p w:rsidR="00BF48E6" w:rsidRPr="00E4501E" w:rsidRDefault="00BF48E6" w:rsidP="00E6729C">
            <w:pPr>
              <w:pStyle w:val="01Tableheaderrow"/>
              <w:jc w:val="center"/>
              <w:rPr>
                <w:i/>
              </w:rPr>
            </w:pPr>
            <w:r w:rsidRPr="00E4501E">
              <w:rPr>
                <w:i/>
                <w:snapToGrid w:val="0"/>
              </w:rPr>
              <w:t>Quality</w:t>
            </w:r>
          </w:p>
        </w:tc>
        <w:tc>
          <w:tcPr>
            <w:tcW w:w="481" w:type="pct"/>
            <w:vAlign w:val="center"/>
          </w:tcPr>
          <w:p w:rsidR="00BF48E6" w:rsidRDefault="00BF48E6" w:rsidP="00E6729C">
            <w:pPr>
              <w:pStyle w:val="01Tableheaderrow"/>
              <w:jc w:val="center"/>
              <w:rPr>
                <w:snapToGrid w:val="0"/>
              </w:rPr>
            </w:pPr>
            <w:r>
              <w:rPr>
                <w:snapToGrid w:val="0"/>
              </w:rPr>
              <w:t>Population</w:t>
            </w:r>
          </w:p>
        </w:tc>
        <w:tc>
          <w:tcPr>
            <w:tcW w:w="562" w:type="pct"/>
            <w:vAlign w:val="center"/>
          </w:tcPr>
          <w:p w:rsidR="00BF48E6" w:rsidRDefault="00BF48E6" w:rsidP="00E6729C">
            <w:pPr>
              <w:pStyle w:val="01Tableheaderrow"/>
              <w:jc w:val="center"/>
            </w:pPr>
            <w:r>
              <w:rPr>
                <w:snapToGrid w:val="0"/>
              </w:rPr>
              <w:t>Comparison</w:t>
            </w:r>
          </w:p>
        </w:tc>
        <w:tc>
          <w:tcPr>
            <w:tcW w:w="713" w:type="pct"/>
            <w:vAlign w:val="center"/>
          </w:tcPr>
          <w:p w:rsidR="00BF48E6" w:rsidRDefault="00BF48E6" w:rsidP="00E6729C">
            <w:pPr>
              <w:pStyle w:val="01Tableheaderrow"/>
              <w:jc w:val="center"/>
            </w:pPr>
            <w:r>
              <w:rPr>
                <w:snapToGrid w:val="0"/>
              </w:rPr>
              <w:t>Economic outcomes</w:t>
            </w:r>
          </w:p>
        </w:tc>
        <w:tc>
          <w:tcPr>
            <w:tcW w:w="1063" w:type="pct"/>
            <w:vAlign w:val="center"/>
          </w:tcPr>
          <w:p w:rsidR="00BF48E6" w:rsidRDefault="00BF48E6" w:rsidP="00E6729C">
            <w:pPr>
              <w:pStyle w:val="01Tableheaderrow"/>
              <w:jc w:val="center"/>
            </w:pPr>
            <w:r>
              <w:rPr>
                <w:snapToGrid w:val="0"/>
              </w:rPr>
              <w:t>Results (relative to control)</w:t>
            </w:r>
          </w:p>
        </w:tc>
        <w:tc>
          <w:tcPr>
            <w:tcW w:w="1321" w:type="pct"/>
            <w:vAlign w:val="center"/>
          </w:tcPr>
          <w:p w:rsidR="00BF48E6" w:rsidRDefault="00BF48E6" w:rsidP="00E6729C">
            <w:pPr>
              <w:pStyle w:val="01Tableheaderrow"/>
              <w:jc w:val="center"/>
            </w:pPr>
            <w:r>
              <w:rPr>
                <w:snapToGrid w:val="0"/>
              </w:rPr>
              <w:t>Authors’ conclusions</w:t>
            </w:r>
          </w:p>
        </w:tc>
      </w:tr>
      <w:tr w:rsidR="00BF48E6" w:rsidTr="00E6729C">
        <w:tc>
          <w:tcPr>
            <w:tcW w:w="430" w:type="pct"/>
          </w:tcPr>
          <w:p w:rsidR="00BF48E6" w:rsidRDefault="00BF48E6" w:rsidP="00BF48E6">
            <w:pPr>
              <w:pStyle w:val="02Tabletext"/>
            </w:pPr>
            <w:r>
              <w:t>Skaer (Hypertension) (1993a)</w:t>
            </w:r>
          </w:p>
          <w:p w:rsidR="00BF48E6" w:rsidRPr="0019208E" w:rsidRDefault="00BF48E6" w:rsidP="00BF48E6">
            <w:pPr>
              <w:pStyle w:val="02Tabletext"/>
              <w:rPr>
                <w:i/>
              </w:rPr>
            </w:pPr>
            <w:r>
              <w:t>US</w:t>
            </w:r>
          </w:p>
        </w:tc>
        <w:tc>
          <w:tcPr>
            <w:tcW w:w="429" w:type="pct"/>
          </w:tcPr>
          <w:p w:rsidR="00BF48E6" w:rsidRPr="0081544B" w:rsidRDefault="00BF48E6" w:rsidP="00BF48E6">
            <w:pPr>
              <w:pStyle w:val="02Tabletext"/>
            </w:pPr>
            <w:r w:rsidRPr="0081544B">
              <w:t>RCT</w:t>
            </w:r>
          </w:p>
          <w:p w:rsidR="00BF48E6" w:rsidRPr="0081544B" w:rsidRDefault="00BF48E6" w:rsidP="00BF48E6">
            <w:pPr>
              <w:pStyle w:val="02Tabletext"/>
            </w:pPr>
            <w:r w:rsidRPr="0081544B">
              <w:t>12 months</w:t>
            </w:r>
          </w:p>
          <w:p w:rsidR="00BF48E6" w:rsidRPr="0081544B" w:rsidRDefault="00BF48E6" w:rsidP="00BF48E6">
            <w:pPr>
              <w:pStyle w:val="02Tabletext"/>
            </w:pPr>
            <w:r w:rsidRPr="0081544B">
              <w:t>N=304</w:t>
            </w:r>
          </w:p>
          <w:p w:rsidR="00BF48E6" w:rsidRPr="0081544B" w:rsidRDefault="00BF48E6" w:rsidP="00BF48E6">
            <w:pPr>
              <w:pStyle w:val="02Tabletext"/>
              <w:rPr>
                <w:i/>
              </w:rPr>
            </w:pPr>
            <w:r w:rsidRPr="0081544B">
              <w:rPr>
                <w:i/>
              </w:rPr>
              <w:t>Poor</w:t>
            </w:r>
          </w:p>
        </w:tc>
        <w:tc>
          <w:tcPr>
            <w:tcW w:w="481" w:type="pct"/>
          </w:tcPr>
          <w:p w:rsidR="00BF48E6" w:rsidDel="000605DA" w:rsidRDefault="00BF48E6" w:rsidP="00BF48E6">
            <w:pPr>
              <w:pStyle w:val="02Tabletext"/>
            </w:pPr>
            <w:r w:rsidRPr="00BB0618">
              <w:t>Medicaid beneficia</w:t>
            </w:r>
            <w:r>
              <w:t xml:space="preserve">ries &lt;65 years old with untreated </w:t>
            </w:r>
            <w:r w:rsidRPr="00BB0618">
              <w:t>hypertension, prescribed verapamil once daily</w:t>
            </w:r>
          </w:p>
        </w:tc>
        <w:tc>
          <w:tcPr>
            <w:tcW w:w="562" w:type="pct"/>
          </w:tcPr>
          <w:p w:rsidR="00BF48E6" w:rsidRDefault="00BF48E6" w:rsidP="00BF48E6">
            <w:pPr>
              <w:pStyle w:val="02Tabletext"/>
            </w:pPr>
            <w:r>
              <w:t xml:space="preserve">Pharmacy-filled unit-of-use packaging (n=85) vs </w:t>
            </w:r>
            <w:r w:rsidRPr="009C16BE">
              <w:t xml:space="preserve">standard </w:t>
            </w:r>
            <w:r>
              <w:t>medicine vial (n=78)</w:t>
            </w:r>
          </w:p>
        </w:tc>
        <w:tc>
          <w:tcPr>
            <w:tcW w:w="713" w:type="pct"/>
          </w:tcPr>
          <w:p w:rsidR="00BF48E6" w:rsidRPr="00BF48E6" w:rsidRDefault="00BF48E6" w:rsidP="00BF48E6">
            <w:pPr>
              <w:pStyle w:val="06Tablebullet"/>
            </w:pPr>
            <w:r w:rsidRPr="00BF48E6">
              <w:t>prescription expenditure</w:t>
            </w:r>
          </w:p>
          <w:p w:rsidR="00BF48E6" w:rsidRPr="00BF48E6" w:rsidRDefault="00BF48E6" w:rsidP="00BF48E6">
            <w:pPr>
              <w:pStyle w:val="06Tablebullet"/>
            </w:pPr>
            <w:r w:rsidRPr="00BF48E6">
              <w:t>all other expenditure (physician, laboratory, hospital)</w:t>
            </w:r>
          </w:p>
        </w:tc>
        <w:tc>
          <w:tcPr>
            <w:tcW w:w="1063" w:type="pct"/>
          </w:tcPr>
          <w:p w:rsidR="00BF48E6" w:rsidRPr="00BF48E6" w:rsidRDefault="00BF48E6" w:rsidP="00BF48E6">
            <w:pPr>
              <w:pStyle w:val="06Tablebullet"/>
            </w:pPr>
            <w:r w:rsidRPr="00BF48E6">
              <w:t>Adjusted mean annual prescription costs per person: US$48.17 increase (P ≤0.05)</w:t>
            </w:r>
          </w:p>
          <w:p w:rsidR="002455B2" w:rsidRDefault="00BF48E6" w:rsidP="002455B2">
            <w:pPr>
              <w:pStyle w:val="06Tablebullet"/>
            </w:pPr>
            <w:r w:rsidRPr="00BF48E6">
              <w:t>Adjusted mean annual total health care costs per person: US$13.66 decrease (n.s.)</w:t>
            </w:r>
            <w:r w:rsidR="002455B2" w:rsidRPr="00BF48E6">
              <w:t xml:space="preserve"> </w:t>
            </w:r>
          </w:p>
          <w:p w:rsidR="002455B2" w:rsidRPr="00BF48E6" w:rsidRDefault="002455B2" w:rsidP="002455B2">
            <w:pPr>
              <w:pStyle w:val="06Tablebullet"/>
            </w:pPr>
            <w:r w:rsidRPr="00BF48E6">
              <w:t>Adjusted mean annual phys</w:t>
            </w:r>
            <w:r>
              <w:t>ician costs per person: US$32.85</w:t>
            </w:r>
            <w:r w:rsidRPr="00BF48E6">
              <w:t xml:space="preserve"> decrease (n.s.)</w:t>
            </w:r>
          </w:p>
          <w:p w:rsidR="002455B2" w:rsidRPr="00BF48E6" w:rsidRDefault="002455B2" w:rsidP="002455B2">
            <w:pPr>
              <w:pStyle w:val="06Tablebullet"/>
            </w:pPr>
            <w:r w:rsidRPr="00BF48E6">
              <w:t>Adjusted mean annual labo</w:t>
            </w:r>
            <w:r>
              <w:t>ratory costs per person: US$3.06</w:t>
            </w:r>
            <w:r w:rsidRPr="00BF48E6">
              <w:t xml:space="preserve"> decrease (n.s.)</w:t>
            </w:r>
          </w:p>
          <w:p w:rsidR="00BF48E6" w:rsidRDefault="002455B2" w:rsidP="002455B2">
            <w:pPr>
              <w:pStyle w:val="06Tablebullet"/>
            </w:pPr>
            <w:r w:rsidRPr="00BF48E6">
              <w:t>Adjusted mean annual hos</w:t>
            </w:r>
            <w:r>
              <w:t>pital costs per person: US$25.92</w:t>
            </w:r>
            <w:r w:rsidRPr="00BF48E6">
              <w:t xml:space="preserve"> decrease (n.s.)</w:t>
            </w:r>
          </w:p>
        </w:tc>
        <w:tc>
          <w:tcPr>
            <w:tcW w:w="1321" w:type="pct"/>
          </w:tcPr>
          <w:p w:rsidR="00BF48E6" w:rsidRPr="00770905" w:rsidRDefault="00BF48E6" w:rsidP="00BF48E6">
            <w:pPr>
              <w:pStyle w:val="02Tabletext"/>
            </w:pPr>
            <w:r w:rsidRPr="00770905">
              <w:t>Receipt of unit-of-use packaging resulted in a s</w:t>
            </w:r>
            <w:r w:rsidR="0087404B">
              <w:t>ignificant increase in program</w:t>
            </w:r>
            <w:r w:rsidRPr="00770905">
              <w:t xml:space="preserve"> expenditures for a</w:t>
            </w:r>
            <w:r>
              <w:t>ntihypertensive</w:t>
            </w:r>
            <w:r w:rsidRPr="00770905">
              <w:t xml:space="preserve"> therapy relative to patients provided with standard pharmaceutical care. </w:t>
            </w:r>
          </w:p>
          <w:p w:rsidR="00BF48E6" w:rsidRDefault="00BF48E6" w:rsidP="00BF48E6">
            <w:pPr>
              <w:pStyle w:val="02Tabletext"/>
            </w:pPr>
            <w:r w:rsidRPr="00770905">
              <w:t xml:space="preserve">There was a non-significant reduction in </w:t>
            </w:r>
            <w:r>
              <w:t>total health care costs</w:t>
            </w:r>
            <w:r w:rsidRPr="00770905">
              <w:t xml:space="preserve"> relative to patients provided with standard pharmaceutical care.</w:t>
            </w:r>
          </w:p>
          <w:p w:rsidR="00757314" w:rsidRPr="00757314" w:rsidRDefault="00757314" w:rsidP="00757314">
            <w:pPr>
              <w:pStyle w:val="03Tabletextspacebefore"/>
            </w:pPr>
            <w:r w:rsidRPr="00757314">
              <w:t>Patients receiving the unit-of-use packaging together with a refill reminder recorded significant reductions in the use of physician</w:t>
            </w:r>
            <w:r>
              <w:t xml:space="preserve"> and</w:t>
            </w:r>
            <w:r w:rsidRPr="00757314">
              <w:t xml:space="preserve"> hospital services relative to patients provided with standard pharmaceutical care.</w:t>
            </w:r>
          </w:p>
        </w:tc>
      </w:tr>
      <w:tr w:rsidR="00BF48E6" w:rsidTr="00E6729C">
        <w:trPr>
          <w:cnfStyle w:val="000000010000" w:firstRow="0" w:lastRow="0" w:firstColumn="0" w:lastColumn="0" w:oddVBand="0" w:evenVBand="0" w:oddHBand="0" w:evenHBand="1" w:firstRowFirstColumn="0" w:firstRowLastColumn="0" w:lastRowFirstColumn="0" w:lastRowLastColumn="0"/>
        </w:trPr>
        <w:tc>
          <w:tcPr>
            <w:tcW w:w="430" w:type="pct"/>
          </w:tcPr>
          <w:p w:rsidR="00BF48E6" w:rsidRDefault="00BF48E6" w:rsidP="00BF48E6">
            <w:pPr>
              <w:pStyle w:val="02Tabletext"/>
            </w:pPr>
            <w:r>
              <w:t>Skaer (</w:t>
            </w:r>
            <w:r w:rsidRPr="00EB0ED1">
              <w:t>NIDDM</w:t>
            </w:r>
            <w:r>
              <w:t>) (1993b)</w:t>
            </w:r>
          </w:p>
          <w:p w:rsidR="00BF48E6" w:rsidRPr="00731FB7" w:rsidRDefault="00BF48E6" w:rsidP="00BF48E6">
            <w:pPr>
              <w:pStyle w:val="02Tabletext"/>
            </w:pPr>
            <w:r>
              <w:t>US</w:t>
            </w:r>
          </w:p>
        </w:tc>
        <w:tc>
          <w:tcPr>
            <w:tcW w:w="429" w:type="pct"/>
          </w:tcPr>
          <w:p w:rsidR="00BF48E6" w:rsidRPr="0081544B" w:rsidRDefault="00BF48E6" w:rsidP="00BF48E6">
            <w:pPr>
              <w:pStyle w:val="02Tabletext"/>
            </w:pPr>
            <w:r w:rsidRPr="0081544B">
              <w:t>RCT</w:t>
            </w:r>
          </w:p>
          <w:p w:rsidR="00BF48E6" w:rsidRPr="0081544B" w:rsidRDefault="00BF48E6" w:rsidP="00BF48E6">
            <w:pPr>
              <w:pStyle w:val="02Tabletext"/>
            </w:pPr>
            <w:r w:rsidRPr="0081544B">
              <w:t>12 months</w:t>
            </w:r>
          </w:p>
          <w:p w:rsidR="00BF48E6" w:rsidRPr="0081544B" w:rsidRDefault="00BF48E6" w:rsidP="00BF48E6">
            <w:pPr>
              <w:pStyle w:val="02Tabletext"/>
            </w:pPr>
            <w:r w:rsidRPr="0081544B">
              <w:t>N=258</w:t>
            </w:r>
          </w:p>
          <w:p w:rsidR="00BF48E6" w:rsidRPr="0081544B" w:rsidRDefault="00BF48E6" w:rsidP="00BF48E6">
            <w:pPr>
              <w:pStyle w:val="02Tabletext"/>
              <w:rPr>
                <w:i/>
              </w:rPr>
            </w:pPr>
            <w:r w:rsidRPr="0081544B">
              <w:rPr>
                <w:i/>
              </w:rPr>
              <w:t>Poor</w:t>
            </w:r>
          </w:p>
        </w:tc>
        <w:tc>
          <w:tcPr>
            <w:tcW w:w="481" w:type="pct"/>
          </w:tcPr>
          <w:p w:rsidR="00BF48E6" w:rsidDel="000605DA" w:rsidRDefault="00BF48E6" w:rsidP="00BF48E6">
            <w:pPr>
              <w:pStyle w:val="02Tabletext"/>
            </w:pPr>
            <w:r w:rsidRPr="00EB0FDD">
              <w:t>Medica</w:t>
            </w:r>
            <w:r>
              <w:t xml:space="preserve">id beneficiaries &lt;65 years old prescribed </w:t>
            </w:r>
            <w:r w:rsidRPr="00EB0FDD">
              <w:t>sul</w:t>
            </w:r>
            <w:r>
              <w:t>fonylurea glyburide twice daily for Type 2 diabetes</w:t>
            </w:r>
          </w:p>
        </w:tc>
        <w:tc>
          <w:tcPr>
            <w:tcW w:w="562" w:type="pct"/>
          </w:tcPr>
          <w:p w:rsidR="00BF48E6" w:rsidRDefault="00BF48E6" w:rsidP="00BF48E6">
            <w:pPr>
              <w:pStyle w:val="02Tabletext"/>
            </w:pPr>
            <w:r>
              <w:t xml:space="preserve">Pharmacy-filled unit-of-use packaging (n=53) vs </w:t>
            </w:r>
            <w:r w:rsidRPr="00936B69">
              <w:t xml:space="preserve">standard </w:t>
            </w:r>
            <w:r>
              <w:t>medicine vial (n=78)</w:t>
            </w:r>
          </w:p>
        </w:tc>
        <w:tc>
          <w:tcPr>
            <w:tcW w:w="713" w:type="pct"/>
          </w:tcPr>
          <w:p w:rsidR="00BF48E6" w:rsidRPr="00BF48E6" w:rsidRDefault="00BF48E6" w:rsidP="00BF48E6">
            <w:pPr>
              <w:pStyle w:val="06Tablebullet"/>
            </w:pPr>
            <w:r w:rsidRPr="00BF48E6">
              <w:t>prescription expenditure</w:t>
            </w:r>
          </w:p>
          <w:p w:rsidR="00BF48E6" w:rsidRPr="00BF48E6" w:rsidRDefault="00BF48E6" w:rsidP="00BF48E6">
            <w:pPr>
              <w:pStyle w:val="06Tablebullet"/>
            </w:pPr>
            <w:r w:rsidRPr="00BF48E6">
              <w:t>all other expenditure (physician, laboratory, hospital)</w:t>
            </w:r>
          </w:p>
        </w:tc>
        <w:tc>
          <w:tcPr>
            <w:tcW w:w="1063" w:type="pct"/>
          </w:tcPr>
          <w:p w:rsidR="00BF48E6" w:rsidRPr="00BF48E6" w:rsidRDefault="00BF48E6" w:rsidP="00BF48E6">
            <w:pPr>
              <w:pStyle w:val="06Tablebullet"/>
            </w:pPr>
            <w:r w:rsidRPr="00BF48E6">
              <w:t>Adjusted mean annual prescription costs per person: US$74.09 increase (P ≤0.05)</w:t>
            </w:r>
          </w:p>
          <w:p w:rsidR="00BF48E6" w:rsidRPr="00BF48E6" w:rsidRDefault="00BF48E6" w:rsidP="00BF48E6">
            <w:pPr>
              <w:pStyle w:val="06Tablebullet"/>
            </w:pPr>
            <w:r w:rsidRPr="00BF48E6">
              <w:t>Adjusted mean annual total health care costs per person: US$22.94 increase (n.s.)</w:t>
            </w:r>
          </w:p>
          <w:p w:rsidR="00BF48E6" w:rsidRPr="00BF48E6" w:rsidRDefault="00BF48E6" w:rsidP="00BF48E6">
            <w:pPr>
              <w:pStyle w:val="06Tablebullet"/>
            </w:pPr>
            <w:r w:rsidRPr="00BF48E6">
              <w:t>Adjusted mean annual physician costs per person: US$19.51 decrease (n.s.)</w:t>
            </w:r>
          </w:p>
          <w:p w:rsidR="00BF48E6" w:rsidRPr="00BF48E6" w:rsidRDefault="00BF48E6" w:rsidP="00BF48E6">
            <w:pPr>
              <w:pStyle w:val="06Tablebullet"/>
            </w:pPr>
            <w:r w:rsidRPr="00BF48E6">
              <w:t>Adjusted mean annual laboratory costs per person: US$6.73 decrease (n.s.)</w:t>
            </w:r>
          </w:p>
          <w:p w:rsidR="00BF48E6" w:rsidRDefault="00BF48E6" w:rsidP="00BF48E6">
            <w:pPr>
              <w:pStyle w:val="06Tablebullet"/>
            </w:pPr>
            <w:r w:rsidRPr="00BF48E6">
              <w:t>Adjusted mean annual hospital costs per person: US$22.91 decrease (n.s.)</w:t>
            </w:r>
          </w:p>
        </w:tc>
        <w:tc>
          <w:tcPr>
            <w:tcW w:w="1321" w:type="pct"/>
          </w:tcPr>
          <w:p w:rsidR="00BF48E6" w:rsidRDefault="00BF48E6" w:rsidP="00BF48E6">
            <w:pPr>
              <w:pStyle w:val="02Tabletext"/>
            </w:pPr>
            <w:r>
              <w:t>Receipt of unit-of-use packaging resulted in a s</w:t>
            </w:r>
            <w:r w:rsidR="0087404B">
              <w:t>ignificant increase in program</w:t>
            </w:r>
            <w:r>
              <w:t xml:space="preserve"> expenditures for sulfonylurea therapy relative to patients provided with standard pharmaceutical care.</w:t>
            </w:r>
          </w:p>
          <w:p w:rsidR="00BF48E6" w:rsidRPr="00770905" w:rsidRDefault="00BF48E6" w:rsidP="00BF48E6">
            <w:pPr>
              <w:pStyle w:val="02Tabletext"/>
            </w:pPr>
            <w:r>
              <w:t>There was a non-significant reduction in the use of physician, laboratory and hospital services relative to patients provided with standard pharmaceutical care.</w:t>
            </w:r>
          </w:p>
          <w:p w:rsidR="00BF48E6" w:rsidRPr="00770905" w:rsidRDefault="00BF48E6" w:rsidP="00BF48E6">
            <w:pPr>
              <w:pStyle w:val="02Tabletext"/>
            </w:pPr>
            <w:r>
              <w:t>Patients receiving the unit-of-use packaging together with a refill reminder recorded significant reductions in the use of physician</w:t>
            </w:r>
            <w:r w:rsidR="00757314">
              <w:t>,</w:t>
            </w:r>
            <w:r>
              <w:t xml:space="preserve"> laboratory and hospital services relative to patients provided with standard pharmaceutical care.</w:t>
            </w:r>
          </w:p>
        </w:tc>
      </w:tr>
    </w:tbl>
    <w:p w:rsidR="00BF48E6" w:rsidRDefault="00BF48E6" w:rsidP="00BF48E6">
      <w:pPr>
        <w:pStyle w:val="08Tablefootnotes"/>
      </w:pPr>
      <w:r>
        <w:t>Abbreviations: CI, confidence interval; mo, month/s; NIDDM, noninsulin-dependent diabetes mellitus; n.s.; not significant; RCT, randomised controlled trial; US, United States.</w:t>
      </w:r>
    </w:p>
    <w:p w:rsidR="00BF48E6" w:rsidRDefault="00BF48E6" w:rsidP="00C2042E">
      <w:pPr>
        <w:pStyle w:val="09Tablefootnoteslast-nostick"/>
        <w:spacing w:after="0"/>
      </w:pPr>
      <w:r>
        <w:t>Note: In the two studies by Skaer et al (1993a and 1993b), results relating to refill reminders used alone or with a drug reminder packaging are excluded from this Review.</w:t>
      </w:r>
    </w:p>
    <w:p w:rsidR="00C2042E" w:rsidRPr="00432976" w:rsidRDefault="00C2042E" w:rsidP="00C2042E">
      <w:pPr>
        <w:pStyle w:val="08Tablefootnotes"/>
      </w:pPr>
      <w:r w:rsidRPr="00047771">
        <w:t xml:space="preserve">Note: </w:t>
      </w:r>
      <w:r w:rsidRPr="00C2042E">
        <w:rPr>
          <w:b/>
        </w:rPr>
        <w:t>Quality assessment</w:t>
      </w:r>
      <w:r w:rsidRPr="00047771">
        <w:t xml:space="preserve"> was undertaken for the purposes of this review and is presented in Appendix 6.</w:t>
      </w:r>
    </w:p>
    <w:p w:rsidR="00C2042E" w:rsidRPr="00C2042E" w:rsidRDefault="00C2042E" w:rsidP="00C2042E">
      <w:pPr>
        <w:pStyle w:val="BodyText"/>
      </w:pPr>
    </w:p>
    <w:p w:rsidR="00BF48E6" w:rsidRDefault="00BF48E6" w:rsidP="00BF48E6">
      <w:pPr>
        <w:pStyle w:val="BodyText"/>
        <w:sectPr w:rsidR="00BF48E6" w:rsidSect="00E6729C">
          <w:footerReference w:type="default" r:id="rId25"/>
          <w:pgSz w:w="16838" w:h="11906" w:orient="landscape" w:code="9"/>
          <w:pgMar w:top="1134" w:right="1134" w:bottom="1134" w:left="1134" w:header="680" w:footer="851" w:gutter="0"/>
          <w:cols w:space="708"/>
          <w:docGrid w:linePitch="360"/>
        </w:sectPr>
      </w:pPr>
    </w:p>
    <w:p w:rsidR="00BF48E6" w:rsidRDefault="00BF48E6" w:rsidP="00B10E02">
      <w:pPr>
        <w:pStyle w:val="BodyText"/>
      </w:pPr>
      <w:r w:rsidRPr="001E1DAA">
        <w:lastRenderedPageBreak/>
        <w:t>Skaer</w:t>
      </w:r>
      <w:r>
        <w:t xml:space="preserve"> et al</w:t>
      </w:r>
      <w:r w:rsidRPr="001E1DAA">
        <w:t xml:space="preserve"> </w:t>
      </w:r>
      <w:r>
        <w:t xml:space="preserve">(1993a) conducted an RCT of 304 patients with </w:t>
      </w:r>
      <w:r w:rsidRPr="001E1DAA">
        <w:t>mild to moderate hypertension</w:t>
      </w:r>
      <w:r>
        <w:t xml:space="preserve"> receiving M</w:t>
      </w:r>
      <w:r w:rsidRPr="001E1DAA">
        <w:t>ed</w:t>
      </w:r>
      <w:r>
        <w:t>icaid benefits</w:t>
      </w:r>
      <w:r w:rsidRPr="001E1DAA">
        <w:t xml:space="preserve">. The intervention group </w:t>
      </w:r>
      <w:r>
        <w:t xml:space="preserve">(n=78) </w:t>
      </w:r>
      <w:r w:rsidRPr="001E1DAA">
        <w:t>received pharmaceutical care and unit</w:t>
      </w:r>
      <w:r>
        <w:t>-</w:t>
      </w:r>
      <w:r w:rsidRPr="001E1DAA">
        <w:t>of</w:t>
      </w:r>
      <w:r>
        <w:t>-</w:t>
      </w:r>
      <w:r w:rsidRPr="001E1DAA">
        <w:t>use packaging (30-day supply inventory tray w</w:t>
      </w:r>
      <w:r>
        <w:t>ith easy access compartments), whereas t</w:t>
      </w:r>
      <w:r w:rsidRPr="001E1DAA">
        <w:t xml:space="preserve">he control group received standard </w:t>
      </w:r>
      <w:r w:rsidRPr="0026750B">
        <w:t>pharmaceutical care. Information regarding health service utilisation was derived from the state of South Carolina’s Medicaid computer archive. Patient-level paid claims data files contained extensive information regarding the health services received, including type of service (e.g. hospitalisation), date of service, units of service (e.g. days), and ICD-9-CM code. The date of service for the first verapamil prescription was used to partition the patient level data into pre and post time periods. The Medicaid progra</w:t>
      </w:r>
      <w:r w:rsidR="0087404B" w:rsidRPr="0026750B">
        <w:t>m</w:t>
      </w:r>
      <w:r w:rsidRPr="0026750B">
        <w:t xml:space="preserve"> authorised the dispensing of prescription medication in 30-day supplies of therapy. The MPR for verapamil therapy was defined at the patient-level as the number of days’ supply of medication obtained throughout the 360-day (12-month) study period. Thus, the optimal outcome would result in a ratio of 1:1 (360 days’ supply of therapy obtained over a 360-day period); a less desirable outcome would be a ratio of &lt;1:1. A higher MPR was hypothesised as being correlated with an increase in prescription expenditure and a decrease in expenditure for physician, laboratory and hospital services.</w:t>
      </w:r>
    </w:p>
    <w:p w:rsidR="00BF48E6" w:rsidRDefault="00BF48E6" w:rsidP="00B10E02">
      <w:pPr>
        <w:pStyle w:val="BodyText"/>
      </w:pPr>
      <w:r w:rsidRPr="00B10E02">
        <w:t>The</w:t>
      </w:r>
      <w:r>
        <w:t xml:space="preserve"> study showed that patients receiving units-of-use packaging achieved a significant (P </w:t>
      </w:r>
      <w:r>
        <w:rPr>
          <w:rFonts w:cs="Times New Roman"/>
        </w:rPr>
        <w:t>≤</w:t>
      </w:r>
      <w:r>
        <w:t>0.05) increase in the mean number of days’ supply of therapy obtained, and thus MPR, relative to controls. The use of reminder packaging resulted in a small but statistically significant increase in prescription expenditure (</w:t>
      </w:r>
      <w:r w:rsidRPr="00963645">
        <w:t xml:space="preserve">adjusted mean annual </w:t>
      </w:r>
      <w:r w:rsidRPr="008C0BE2">
        <w:t>prescription costs</w:t>
      </w:r>
      <w:r>
        <w:t xml:space="preserve"> per patient of +US$48.17, P </w:t>
      </w:r>
      <w:r>
        <w:rPr>
          <w:rFonts w:cs="Times New Roman"/>
        </w:rPr>
        <w:t>≤</w:t>
      </w:r>
      <w:r>
        <w:t xml:space="preserve">0.05), and a </w:t>
      </w:r>
      <w:r w:rsidRPr="00963645">
        <w:t xml:space="preserve">non-significant </w:t>
      </w:r>
      <w:r>
        <w:t>decrease</w:t>
      </w:r>
      <w:r w:rsidRPr="00963645">
        <w:t xml:space="preserve"> in total costs in the reminder packaging group (adjusted mean annual total health c</w:t>
      </w:r>
      <w:r>
        <w:t xml:space="preserve">are costs per patient of -US$13.66) when compared to the control group, which implied the potential for cost savings. </w:t>
      </w:r>
    </w:p>
    <w:p w:rsidR="00BF48E6" w:rsidRDefault="00BF48E6" w:rsidP="00B10E02">
      <w:pPr>
        <w:pStyle w:val="BodyText"/>
      </w:pPr>
      <w:r>
        <w:t>The Skaer (1993b) NIDDM</w:t>
      </w:r>
      <w:r w:rsidRPr="00284592">
        <w:t xml:space="preserve"> </w:t>
      </w:r>
      <w:r>
        <w:t xml:space="preserve">RCT included 258 Medicaid patients with NIDDM. The </w:t>
      </w:r>
      <w:r w:rsidRPr="00284592">
        <w:t>intervention group</w:t>
      </w:r>
      <w:r>
        <w:t xml:space="preserve"> (n=53)</w:t>
      </w:r>
      <w:r w:rsidRPr="00284592">
        <w:t xml:space="preserve"> received standard pharmaceutical services and </w:t>
      </w:r>
      <w:r>
        <w:t>unit-of-use packaging</w:t>
      </w:r>
      <w:r w:rsidRPr="00284592">
        <w:t xml:space="preserve"> </w:t>
      </w:r>
      <w:r>
        <w:t>(</w:t>
      </w:r>
      <w:r w:rsidRPr="001E1DAA">
        <w:t>30-day supply inventory tray with easy access compartments</w:t>
      </w:r>
      <w:r>
        <w:t>)</w:t>
      </w:r>
      <w:r w:rsidRPr="00284592">
        <w:t>. The control group</w:t>
      </w:r>
      <w:r>
        <w:t xml:space="preserve"> (n=78)</w:t>
      </w:r>
      <w:r w:rsidRPr="00284592">
        <w:t xml:space="preserve"> received standard pharmaceutical care. </w:t>
      </w:r>
      <w:r>
        <w:t xml:space="preserve">Patients receiving units-of-use packaging achieved a significant (P </w:t>
      </w:r>
      <w:r>
        <w:rPr>
          <w:rFonts w:cs="Times New Roman"/>
        </w:rPr>
        <w:t>≤</w:t>
      </w:r>
      <w:r>
        <w:t xml:space="preserve">0.05) increase in the mean number of days’ supply of therapy obtained, and thus MPR, relative to controls. The study found a non-significant </w:t>
      </w:r>
      <w:r w:rsidRPr="00F36657">
        <w:t>increase in total costs in the reminder packaging group</w:t>
      </w:r>
      <w:r>
        <w:t xml:space="preserve"> (a</w:t>
      </w:r>
      <w:r w:rsidRPr="009C16BE">
        <w:t>djusted mean annual to</w:t>
      </w:r>
      <w:r>
        <w:t>tal health care costs per patient</w:t>
      </w:r>
      <w:r w:rsidRPr="009C16BE">
        <w:t xml:space="preserve"> </w:t>
      </w:r>
      <w:r>
        <w:t>of</w:t>
      </w:r>
      <w:r w:rsidRPr="00B37726">
        <w:t xml:space="preserve"> </w:t>
      </w:r>
      <w:r>
        <w:t>+US$</w:t>
      </w:r>
      <w:r w:rsidRPr="00B37726">
        <w:t>22.9</w:t>
      </w:r>
      <w:r>
        <w:t>). However, the study reported that patients receiving a reminder packaging in combination with a mailed refill reminder achieved a significant reduction in the use of physician, laboratory, and hospital services relative to patients provided standard pharmaceutical care (a</w:t>
      </w:r>
      <w:r w:rsidRPr="009C16BE">
        <w:t>djusted mean annual total hea</w:t>
      </w:r>
      <w:r>
        <w:t>lth care costs per patient of -US$67.67,</w:t>
      </w:r>
      <w:r w:rsidRPr="008C0BE2">
        <w:t xml:space="preserve"> </w:t>
      </w:r>
      <w:r>
        <w:t>P ≤0.05).</w:t>
      </w:r>
      <w:r w:rsidRPr="00B37726">
        <w:t xml:space="preserve"> </w:t>
      </w:r>
    </w:p>
    <w:p w:rsidR="00BF48E6" w:rsidRDefault="00BF48E6" w:rsidP="00B10E02">
      <w:pPr>
        <w:pStyle w:val="BodyText"/>
      </w:pPr>
      <w:r>
        <w:t>The two studies by Skaer showed that the use of unit-of-use packaging alone resulted in a non-significant trend to reduced total health care expenditures associated with an increase in medication adherence (</w:t>
      </w:r>
      <w:r w:rsidRPr="00710D60">
        <w:t xml:space="preserve">adherence outcomes measured by MPR are discussed previously in </w:t>
      </w:r>
      <w:r w:rsidRPr="007246FE">
        <w:t xml:space="preserve">Section </w:t>
      </w:r>
      <w:r w:rsidR="007246FE" w:rsidRPr="007246FE">
        <w:fldChar w:fldCharType="begin"/>
      </w:r>
      <w:r w:rsidR="007246FE" w:rsidRPr="007246FE">
        <w:instrText xml:space="preserve"> REF _Ref462753984 \r \h </w:instrText>
      </w:r>
      <w:r w:rsidR="007246FE">
        <w:instrText xml:space="preserve"> \* MERGEFORMAT </w:instrText>
      </w:r>
      <w:r w:rsidR="007246FE" w:rsidRPr="007246FE">
        <w:fldChar w:fldCharType="separate"/>
      </w:r>
      <w:r w:rsidR="00964233">
        <w:t>5.2.1</w:t>
      </w:r>
      <w:r w:rsidR="007246FE" w:rsidRPr="007246FE">
        <w:fldChar w:fldCharType="end"/>
      </w:r>
      <w:r w:rsidRPr="007246FE">
        <w:t>). However, both studies showed that combining the unit-of-use packaging with</w:t>
      </w:r>
      <w:r>
        <w:t xml:space="preserve"> a mailed refill reminder was associated with a significantly greater improvement in adherence (MPR), w</w:t>
      </w:r>
      <w:r w:rsidR="002E5046">
        <w:t xml:space="preserve">hich was reflected in </w:t>
      </w:r>
      <w:r>
        <w:t>higher mean annual prescription costs per patient than for either intervention alone, and</w:t>
      </w:r>
      <w:r w:rsidR="002E5046">
        <w:t xml:space="preserve"> a significant </w:t>
      </w:r>
      <w:r>
        <w:t xml:space="preserve">reduction in mean physician, hospital and total health care expenditures. </w:t>
      </w:r>
    </w:p>
    <w:p w:rsidR="00BF48E6" w:rsidRDefault="00BF48E6" w:rsidP="00B10E02">
      <w:pPr>
        <w:pStyle w:val="BodyText"/>
      </w:pPr>
      <w:r>
        <w:t xml:space="preserve">It is important to note that the two studies by Skaer (1993a; 1993b) were </w:t>
      </w:r>
      <w:r w:rsidR="0026750B">
        <w:t>conducted</w:t>
      </w:r>
      <w:r>
        <w:t xml:space="preserve"> in the context of the US Medicaid system, with patient-level archive data regarding the use of, and expenditure for, healthcare services derived from the South Carolina Medicaid computer archive. These studies therefore have limited applicability to the Australian context. The two</w:t>
      </w:r>
      <w:r w:rsidR="0065523F">
        <w:t xml:space="preserve"> </w:t>
      </w:r>
      <w:r>
        <w:t>studies were also of poor methodological quality and their results should be interpreted with caution.</w:t>
      </w:r>
    </w:p>
    <w:p w:rsidR="00BF48E6" w:rsidRDefault="00BF48E6" w:rsidP="00B10E02">
      <w:pPr>
        <w:pStyle w:val="Heading2"/>
      </w:pPr>
      <w:bookmarkStart w:id="123" w:name="_Toc523230308"/>
      <w:r>
        <w:lastRenderedPageBreak/>
        <w:t>Evidence for cost-</w:t>
      </w:r>
      <w:r w:rsidRPr="00B10E02">
        <w:t>effectiveness</w:t>
      </w:r>
      <w:r>
        <w:t xml:space="preserve"> of medicine compliance aids</w:t>
      </w:r>
      <w:bookmarkEnd w:id="123"/>
    </w:p>
    <w:p w:rsidR="008228DE" w:rsidRDefault="00BF48E6" w:rsidP="008228DE">
      <w:pPr>
        <w:pStyle w:val="BodyText"/>
      </w:pPr>
      <w:r>
        <w:t>No studies were identified that assess the cost-effectiveness of DAAs or similar medicine compliance aids.</w:t>
      </w:r>
      <w:bookmarkEnd w:id="117"/>
      <w:bookmarkEnd w:id="118"/>
    </w:p>
    <w:p w:rsidR="00E066A6" w:rsidRDefault="00E066A6" w:rsidP="00E066A6">
      <w:pPr>
        <w:pStyle w:val="Heading1"/>
      </w:pPr>
      <w:bookmarkStart w:id="124" w:name="_Toc523230309"/>
      <w:r>
        <w:lastRenderedPageBreak/>
        <w:t>DAA utilisation analysis</w:t>
      </w:r>
      <w:bookmarkEnd w:id="124"/>
    </w:p>
    <w:p w:rsidR="00BF6408" w:rsidRDefault="00BF6408" w:rsidP="00BF6408">
      <w:pPr>
        <w:pStyle w:val="Heading2"/>
      </w:pPr>
      <w:bookmarkStart w:id="125" w:name="_Toc463537993"/>
      <w:bookmarkStart w:id="126" w:name="_Toc523230310"/>
      <w:r>
        <w:t>DAA initiative participating pharmacies and claims made</w:t>
      </w:r>
      <w:bookmarkEnd w:id="125"/>
      <w:bookmarkEnd w:id="126"/>
    </w:p>
    <w:p w:rsidR="00BF6408" w:rsidRDefault="00BF6408" w:rsidP="00BF6408">
      <w:pPr>
        <w:pStyle w:val="BodyText"/>
      </w:pPr>
      <w:r>
        <w:t>Between 2012 and 2016, 7,509 pharmacies have participated in the DAA incentive program, peaking in 2014 at 5,857 pharmacies</w:t>
      </w:r>
      <w:r>
        <w:rPr>
          <w:rStyle w:val="FootnoteReference"/>
        </w:rPr>
        <w:footnoteReference w:id="8"/>
      </w:r>
      <w:r>
        <w:t>. As 2016 is a part year, it is under-represented in the data and thus largely excluded in the analysis (</w:t>
      </w:r>
      <w:r>
        <w:fldChar w:fldCharType="begin"/>
      </w:r>
      <w:r>
        <w:instrText xml:space="preserve"> REF _Ref463539200 \h </w:instrText>
      </w:r>
      <w:r>
        <w:fldChar w:fldCharType="separate"/>
      </w:r>
      <w:r w:rsidR="00964233">
        <w:t xml:space="preserve">Table </w:t>
      </w:r>
      <w:r w:rsidR="00964233">
        <w:rPr>
          <w:noProof/>
        </w:rPr>
        <w:t>7</w:t>
      </w:r>
      <w:r w:rsidR="00964233">
        <w:t>.</w:t>
      </w:r>
      <w:r w:rsidR="00964233">
        <w:rPr>
          <w:noProof/>
        </w:rPr>
        <w:t>1</w:t>
      </w:r>
      <w:r>
        <w:fldChar w:fldCharType="end"/>
      </w:r>
      <w:r>
        <w:t>).</w:t>
      </w:r>
    </w:p>
    <w:p w:rsidR="00BF6408" w:rsidRDefault="00BF6408" w:rsidP="00BF6408">
      <w:pPr>
        <w:pStyle w:val="Caption"/>
      </w:pPr>
      <w:bookmarkStart w:id="127" w:name="_Ref463539200"/>
      <w:bookmarkStart w:id="128" w:name="_Toc523230340"/>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7</w:t>
      </w:r>
      <w:r w:rsidR="00964233">
        <w:rPr>
          <w:noProof/>
        </w:rPr>
        <w:fldChar w:fldCharType="end"/>
      </w:r>
      <w:r>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1</w:t>
      </w:r>
      <w:r w:rsidR="00964233">
        <w:rPr>
          <w:noProof/>
        </w:rPr>
        <w:fldChar w:fldCharType="end"/>
      </w:r>
      <w:bookmarkEnd w:id="127"/>
      <w:r>
        <w:tab/>
        <w:t>Summary of pharmacy DAA claims 2012 – 2016</w:t>
      </w:r>
      <w:bookmarkEnd w:id="128"/>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1"/>
        <w:tblDescription w:val="Summary of pharmacy DAA claims 2012 – 2016"/>
      </w:tblPr>
      <w:tblGrid>
        <w:gridCol w:w="1606"/>
        <w:gridCol w:w="1606"/>
        <w:gridCol w:w="1607"/>
        <w:gridCol w:w="1607"/>
        <w:gridCol w:w="1607"/>
        <w:gridCol w:w="1607"/>
      </w:tblGrid>
      <w:tr w:rsidR="00BF6408" w:rsidRPr="00EE3770" w:rsidTr="00E6729C">
        <w:trPr>
          <w:trHeight w:hRule="exact" w:val="907"/>
          <w:tblHeader/>
        </w:trPr>
        <w:tc>
          <w:tcPr>
            <w:tcW w:w="1512" w:type="dxa"/>
            <w:shd w:val="clear" w:color="000000" w:fill="366091"/>
            <w:vAlign w:val="center"/>
            <w:hideMark/>
          </w:tcPr>
          <w:p w:rsidR="00BF6408" w:rsidRPr="00EE3770" w:rsidRDefault="00BF6408" w:rsidP="00E6729C">
            <w:pPr>
              <w:spacing w:after="0"/>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Claim year</w:t>
            </w:r>
          </w:p>
        </w:tc>
        <w:tc>
          <w:tcPr>
            <w:tcW w:w="1512" w:type="dxa"/>
            <w:shd w:val="clear" w:color="000000" w:fill="366091"/>
            <w:vAlign w:val="center"/>
            <w:hideMark/>
          </w:tcPr>
          <w:p w:rsidR="00BF6408" w:rsidRPr="00EE3770"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No of pharmacies with claims</w:t>
            </w:r>
          </w:p>
        </w:tc>
        <w:tc>
          <w:tcPr>
            <w:tcW w:w="1512" w:type="dxa"/>
            <w:shd w:val="clear" w:color="000000" w:fill="366091"/>
            <w:vAlign w:val="center"/>
            <w:hideMark/>
          </w:tcPr>
          <w:p w:rsidR="00BF6408" w:rsidRPr="00EE3770"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Value of claims</w:t>
            </w:r>
          </w:p>
        </w:tc>
        <w:tc>
          <w:tcPr>
            <w:tcW w:w="1512" w:type="dxa"/>
            <w:shd w:val="clear" w:color="000000" w:fill="366091"/>
            <w:vAlign w:val="center"/>
            <w:hideMark/>
          </w:tcPr>
          <w:p w:rsidR="00BF6408" w:rsidRPr="00EE3770"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Volume of patient</w:t>
            </w:r>
            <w:r w:rsidRPr="001B0967">
              <w:rPr>
                <w:rFonts w:eastAsia="Times New Roman" w:cs="Times New Roman"/>
                <w:b/>
                <w:bCs/>
                <w:color w:val="FFFFFF"/>
                <w:sz w:val="18"/>
                <w:szCs w:val="18"/>
                <w:lang w:eastAsia="en-AU"/>
              </w:rPr>
              <w:t xml:space="preserve"> DAAs</w:t>
            </w:r>
            <w:r>
              <w:rPr>
                <w:rFonts w:eastAsia="Times New Roman" w:cs="Times New Roman"/>
                <w:b/>
                <w:bCs/>
                <w:color w:val="FFFFFF"/>
                <w:sz w:val="18"/>
                <w:szCs w:val="18"/>
                <w:lang w:eastAsia="en-AU"/>
              </w:rPr>
              <w:t xml:space="preserve"> supplied</w:t>
            </w:r>
          </w:p>
        </w:tc>
        <w:tc>
          <w:tcPr>
            <w:tcW w:w="1512" w:type="dxa"/>
            <w:shd w:val="clear" w:color="000000" w:fill="366091"/>
            <w:vAlign w:val="center"/>
            <w:hideMark/>
          </w:tcPr>
          <w:p w:rsidR="00BF6408" w:rsidRPr="00EE3770"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Average claim amount per DAA</w:t>
            </w:r>
          </w:p>
        </w:tc>
        <w:tc>
          <w:tcPr>
            <w:tcW w:w="1512" w:type="dxa"/>
            <w:shd w:val="clear" w:color="000000" w:fill="366091"/>
            <w:vAlign w:val="center"/>
            <w:hideMark/>
          </w:tcPr>
          <w:p w:rsidR="00BF6408" w:rsidRPr="00EE3770"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Average claim per participating pharmacy</w:t>
            </w:r>
          </w:p>
        </w:tc>
      </w:tr>
      <w:tr w:rsidR="00BF6408" w:rsidRPr="00EE3770" w:rsidTr="00E6729C">
        <w:trPr>
          <w:trHeight w:hRule="exact" w:val="284"/>
        </w:trPr>
        <w:tc>
          <w:tcPr>
            <w:tcW w:w="1512" w:type="dxa"/>
            <w:shd w:val="clear" w:color="auto" w:fill="auto"/>
            <w:vAlign w:val="center"/>
            <w:hideMark/>
          </w:tcPr>
          <w:p w:rsidR="00BF6408" w:rsidRPr="00EE3770" w:rsidRDefault="00BF6408" w:rsidP="00E6729C">
            <w:pPr>
              <w:spacing w:after="0"/>
              <w:rPr>
                <w:rFonts w:eastAsia="Times New Roman" w:cs="Times New Roman"/>
                <w:color w:val="000000"/>
                <w:sz w:val="18"/>
                <w:szCs w:val="18"/>
                <w:lang w:eastAsia="en-AU"/>
              </w:rPr>
            </w:pPr>
            <w:r w:rsidRPr="00EE3770">
              <w:rPr>
                <w:rFonts w:eastAsia="Times New Roman" w:cs="Times New Roman"/>
                <w:color w:val="000000"/>
                <w:sz w:val="18"/>
                <w:szCs w:val="18"/>
                <w:lang w:eastAsia="en-AU"/>
              </w:rPr>
              <w:t>2012</w:t>
            </w:r>
          </w:p>
        </w:tc>
        <w:tc>
          <w:tcPr>
            <w:tcW w:w="1512" w:type="dxa"/>
            <w:shd w:val="clear" w:color="auto" w:fill="auto"/>
            <w:vAlign w:val="center"/>
            <w:hideMark/>
          </w:tcPr>
          <w:p w:rsidR="00BF6408" w:rsidRDefault="00BF6408" w:rsidP="00982A19">
            <w:pPr>
              <w:spacing w:after="0"/>
              <w:jc w:val="right"/>
              <w:rPr>
                <w:color w:val="000000"/>
                <w:sz w:val="18"/>
                <w:szCs w:val="18"/>
              </w:rPr>
            </w:pPr>
            <w:r>
              <w:rPr>
                <w:color w:val="000000"/>
                <w:sz w:val="18"/>
                <w:szCs w:val="18"/>
              </w:rPr>
              <w:t>4,931</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$38,066,849</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9,826,102</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$3.87</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$7,720</w:t>
            </w:r>
          </w:p>
        </w:tc>
      </w:tr>
      <w:tr w:rsidR="00BF6408" w:rsidRPr="00EE3770" w:rsidTr="00E6729C">
        <w:trPr>
          <w:trHeight w:hRule="exact" w:val="284"/>
        </w:trPr>
        <w:tc>
          <w:tcPr>
            <w:tcW w:w="1512" w:type="dxa"/>
            <w:shd w:val="clear" w:color="000000" w:fill="DEEAF6"/>
            <w:vAlign w:val="center"/>
            <w:hideMark/>
          </w:tcPr>
          <w:p w:rsidR="00BF6408" w:rsidRPr="00EE3770" w:rsidRDefault="00BF6408" w:rsidP="00E6729C">
            <w:pPr>
              <w:spacing w:after="0"/>
              <w:rPr>
                <w:rFonts w:eastAsia="Times New Roman" w:cs="Times New Roman"/>
                <w:color w:val="000000"/>
                <w:sz w:val="18"/>
                <w:szCs w:val="18"/>
                <w:lang w:eastAsia="en-AU"/>
              </w:rPr>
            </w:pPr>
            <w:r w:rsidRPr="00EE3770">
              <w:rPr>
                <w:rFonts w:eastAsia="Times New Roman" w:cs="Times New Roman"/>
                <w:color w:val="000000"/>
                <w:sz w:val="18"/>
                <w:szCs w:val="18"/>
                <w:lang w:eastAsia="en-AU"/>
              </w:rPr>
              <w:t>2013</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4,910</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$22,292,547</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9,435,206</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$2.36</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$4,540</w:t>
            </w:r>
          </w:p>
        </w:tc>
      </w:tr>
      <w:tr w:rsidR="00BF6408" w:rsidRPr="00EE3770" w:rsidTr="00E6729C">
        <w:trPr>
          <w:trHeight w:hRule="exact" w:val="284"/>
        </w:trPr>
        <w:tc>
          <w:tcPr>
            <w:tcW w:w="1512" w:type="dxa"/>
            <w:shd w:val="clear" w:color="auto" w:fill="auto"/>
            <w:vAlign w:val="center"/>
            <w:hideMark/>
          </w:tcPr>
          <w:p w:rsidR="00BF6408" w:rsidRPr="00EE3770" w:rsidRDefault="00BF6408" w:rsidP="00E6729C">
            <w:pPr>
              <w:spacing w:after="0"/>
              <w:rPr>
                <w:rFonts w:eastAsia="Times New Roman" w:cs="Times New Roman"/>
                <w:color w:val="000000"/>
                <w:sz w:val="18"/>
                <w:szCs w:val="18"/>
                <w:lang w:eastAsia="en-AU"/>
              </w:rPr>
            </w:pPr>
            <w:r w:rsidRPr="00EE3770">
              <w:rPr>
                <w:rFonts w:eastAsia="Times New Roman" w:cs="Times New Roman"/>
                <w:color w:val="000000"/>
                <w:sz w:val="18"/>
                <w:szCs w:val="18"/>
                <w:lang w:eastAsia="en-AU"/>
              </w:rPr>
              <w:t>2014</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5,857</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$33,520,542</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11,391,921</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$2.94</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$5,723</w:t>
            </w:r>
          </w:p>
        </w:tc>
      </w:tr>
      <w:tr w:rsidR="00BF6408" w:rsidRPr="00EE3770" w:rsidTr="00E6729C">
        <w:trPr>
          <w:trHeight w:hRule="exact" w:val="284"/>
        </w:trPr>
        <w:tc>
          <w:tcPr>
            <w:tcW w:w="1512" w:type="dxa"/>
            <w:shd w:val="clear" w:color="000000" w:fill="DEEAF6"/>
            <w:vAlign w:val="center"/>
            <w:hideMark/>
          </w:tcPr>
          <w:p w:rsidR="00BF6408" w:rsidRPr="00EE3770" w:rsidRDefault="00BF6408" w:rsidP="00E6729C">
            <w:pPr>
              <w:spacing w:after="0"/>
              <w:rPr>
                <w:rFonts w:eastAsia="Times New Roman" w:cs="Times New Roman"/>
                <w:color w:val="000000"/>
                <w:sz w:val="18"/>
                <w:szCs w:val="18"/>
                <w:lang w:eastAsia="en-AU"/>
              </w:rPr>
            </w:pPr>
            <w:r w:rsidRPr="00EE3770">
              <w:rPr>
                <w:rFonts w:eastAsia="Times New Roman" w:cs="Times New Roman"/>
                <w:color w:val="000000"/>
                <w:sz w:val="18"/>
                <w:szCs w:val="18"/>
                <w:lang w:eastAsia="en-AU"/>
              </w:rPr>
              <w:t>2015</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5,000</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$42,245,894</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13,237,575</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$3.19</w:t>
            </w:r>
          </w:p>
        </w:tc>
        <w:tc>
          <w:tcPr>
            <w:tcW w:w="1512" w:type="dxa"/>
            <w:shd w:val="clear" w:color="000000" w:fill="DEEAF6"/>
            <w:vAlign w:val="center"/>
            <w:hideMark/>
          </w:tcPr>
          <w:p w:rsidR="00BF6408" w:rsidRDefault="00BF6408" w:rsidP="00982A19">
            <w:pPr>
              <w:jc w:val="right"/>
              <w:rPr>
                <w:color w:val="000000"/>
                <w:sz w:val="18"/>
                <w:szCs w:val="18"/>
              </w:rPr>
            </w:pPr>
            <w:r>
              <w:rPr>
                <w:color w:val="000000"/>
                <w:sz w:val="18"/>
                <w:szCs w:val="18"/>
              </w:rPr>
              <w:t>$8,449</w:t>
            </w:r>
          </w:p>
        </w:tc>
      </w:tr>
      <w:tr w:rsidR="00BF6408" w:rsidRPr="00EE3770" w:rsidTr="00E6729C">
        <w:trPr>
          <w:trHeight w:hRule="exact" w:val="284"/>
        </w:trPr>
        <w:tc>
          <w:tcPr>
            <w:tcW w:w="1512" w:type="dxa"/>
            <w:shd w:val="clear" w:color="auto" w:fill="auto"/>
            <w:vAlign w:val="center"/>
            <w:hideMark/>
          </w:tcPr>
          <w:p w:rsidR="00BF6408" w:rsidRPr="00EE3770" w:rsidRDefault="00BF6408" w:rsidP="00E6729C">
            <w:pPr>
              <w:spacing w:after="0"/>
              <w:rPr>
                <w:rFonts w:eastAsia="Times New Roman" w:cs="Times New Roman"/>
                <w:color w:val="000000"/>
                <w:sz w:val="18"/>
                <w:szCs w:val="18"/>
                <w:lang w:eastAsia="en-AU"/>
              </w:rPr>
            </w:pPr>
            <w:r w:rsidRPr="00EE3770">
              <w:rPr>
                <w:rFonts w:eastAsia="Times New Roman" w:cs="Times New Roman"/>
                <w:color w:val="000000"/>
                <w:sz w:val="18"/>
                <w:szCs w:val="18"/>
                <w:lang w:eastAsia="en-AU"/>
              </w:rPr>
              <w:t>2016</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46</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$158,705</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41,381</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$3.84</w:t>
            </w:r>
          </w:p>
        </w:tc>
        <w:tc>
          <w:tcPr>
            <w:tcW w:w="1512" w:type="dxa"/>
            <w:shd w:val="clear" w:color="auto" w:fill="auto"/>
            <w:vAlign w:val="center"/>
            <w:hideMark/>
          </w:tcPr>
          <w:p w:rsidR="00BF6408" w:rsidRDefault="00BF6408" w:rsidP="00982A19">
            <w:pPr>
              <w:jc w:val="right"/>
              <w:rPr>
                <w:color w:val="000000"/>
                <w:sz w:val="18"/>
                <w:szCs w:val="18"/>
              </w:rPr>
            </w:pPr>
            <w:r>
              <w:rPr>
                <w:color w:val="000000"/>
                <w:sz w:val="18"/>
                <w:szCs w:val="18"/>
              </w:rPr>
              <w:t>$3,450</w:t>
            </w:r>
          </w:p>
        </w:tc>
      </w:tr>
      <w:tr w:rsidR="00BF6408" w:rsidRPr="00EE3770" w:rsidTr="00982A19">
        <w:trPr>
          <w:trHeight w:hRule="exact" w:val="284"/>
        </w:trPr>
        <w:tc>
          <w:tcPr>
            <w:tcW w:w="1512" w:type="dxa"/>
            <w:shd w:val="clear" w:color="000000" w:fill="DEEAF6"/>
            <w:vAlign w:val="center"/>
            <w:hideMark/>
          </w:tcPr>
          <w:p w:rsidR="00BF6408" w:rsidRPr="00EE3770" w:rsidRDefault="00BF6408" w:rsidP="00982A19">
            <w:pPr>
              <w:spacing w:after="0"/>
              <w:rPr>
                <w:rFonts w:eastAsia="Times New Roman" w:cs="Times New Roman"/>
                <w:b/>
                <w:bCs/>
                <w:color w:val="000000"/>
                <w:sz w:val="18"/>
                <w:szCs w:val="18"/>
                <w:lang w:eastAsia="en-AU"/>
              </w:rPr>
            </w:pPr>
            <w:r w:rsidRPr="00EE3770">
              <w:rPr>
                <w:rFonts w:eastAsia="Times New Roman" w:cs="Times New Roman"/>
                <w:b/>
                <w:bCs/>
                <w:color w:val="000000"/>
                <w:sz w:val="18"/>
                <w:szCs w:val="18"/>
                <w:lang w:eastAsia="en-AU"/>
              </w:rPr>
              <w:t xml:space="preserve">Total </w:t>
            </w:r>
          </w:p>
        </w:tc>
        <w:tc>
          <w:tcPr>
            <w:tcW w:w="151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7,509</w:t>
            </w:r>
          </w:p>
        </w:tc>
        <w:tc>
          <w:tcPr>
            <w:tcW w:w="151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$136,284,537</w:t>
            </w:r>
          </w:p>
        </w:tc>
        <w:tc>
          <w:tcPr>
            <w:tcW w:w="151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43,932,185</w:t>
            </w:r>
          </w:p>
        </w:tc>
        <w:tc>
          <w:tcPr>
            <w:tcW w:w="151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$3.10</w:t>
            </w:r>
          </w:p>
        </w:tc>
        <w:tc>
          <w:tcPr>
            <w:tcW w:w="151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$18,149</w:t>
            </w:r>
          </w:p>
        </w:tc>
      </w:tr>
    </w:tbl>
    <w:p w:rsidR="00BF6408" w:rsidRDefault="00BF6408" w:rsidP="00BF6408">
      <w:pPr>
        <w:pStyle w:val="09Tablefootnoteslast-nostick"/>
      </w:pPr>
      <w:r>
        <w:t>Source: Claims payment data supplied in PPI Total Data Compilation_Copy.xls</w:t>
      </w:r>
    </w:p>
    <w:p w:rsidR="00BF6408" w:rsidRDefault="00BF6408" w:rsidP="00BF6408">
      <w:pPr>
        <w:pStyle w:val="BodyText"/>
      </w:pPr>
      <w:r>
        <w:t>Table 7.1 shows that the volume of patient DAAs supplied has increased 34.7% from 9.8 million in 2012 to 13.2 million in 2015, matched to corresponding increase of 1.4% in the number of participating pharmacies indicating that participating pharmacies have substantially increased their volumes.  It also shows that the average amount earned by pharmacies per patient DAA has decreased by 17.6%, going from $3.87 in 2012 to $3.19 in 2015, however the average total annual amount claimed by participating pharmacies has increased from $7,720 to $8,449 (9.4% increase), which has been driven by the higher volumes.</w:t>
      </w:r>
    </w:p>
    <w:p w:rsidR="00BF6408" w:rsidRDefault="00BF6408" w:rsidP="00BF6408">
      <w:pPr>
        <w:pStyle w:val="BodyText"/>
      </w:pPr>
      <w:r>
        <w:fldChar w:fldCharType="begin"/>
      </w:r>
      <w:r>
        <w:instrText xml:space="preserve"> REF _Ref463437071 \h </w:instrText>
      </w:r>
      <w:r>
        <w:fldChar w:fldCharType="separate"/>
      </w:r>
      <w:r w:rsidR="00964233">
        <w:t xml:space="preserve">Table </w:t>
      </w:r>
      <w:r w:rsidR="00964233">
        <w:rPr>
          <w:noProof/>
        </w:rPr>
        <w:t>7</w:t>
      </w:r>
      <w:r w:rsidR="00964233">
        <w:t>.</w:t>
      </w:r>
      <w:r w:rsidR="00964233">
        <w:rPr>
          <w:noProof/>
        </w:rPr>
        <w:t>2</w:t>
      </w:r>
      <w:r>
        <w:fldChar w:fldCharType="end"/>
      </w:r>
      <w:r>
        <w:t xml:space="preserve"> deconstructs the same data by Australian Bureau of Statistics (ABS) remoteness. Pharmacies classified as Major Cities of Australia have consistently received greater claims payments per patient DAA than the other remoteness classifications (with an average of $3.25 over the period). Remote Australia and Very Remote Australia have received the least per patient DAA supplied (with an averages of $2.40 and $2.29 respectively.  This variation arises as a result of the weighting for the number of prescriptions dispensed per pharmacy used in the claims calculation, since patient DAA volumes tend to be higher in metropolitan areas.</w:t>
      </w:r>
    </w:p>
    <w:p w:rsidR="00BF6408" w:rsidRDefault="00BF6408" w:rsidP="00BF6408">
      <w:pPr>
        <w:pStyle w:val="Caption"/>
      </w:pPr>
      <w:bookmarkStart w:id="129" w:name="_Ref463437071"/>
      <w:bookmarkStart w:id="130" w:name="_Toc523230341"/>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7</w:t>
      </w:r>
      <w:r w:rsidR="00964233">
        <w:rPr>
          <w:noProof/>
        </w:rPr>
        <w:fldChar w:fldCharType="end"/>
      </w:r>
      <w:r>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2</w:t>
      </w:r>
      <w:r w:rsidR="00964233">
        <w:rPr>
          <w:noProof/>
        </w:rPr>
        <w:fldChar w:fldCharType="end"/>
      </w:r>
      <w:bookmarkEnd w:id="129"/>
      <w:r>
        <w:tab/>
        <w:t>Summary of pharmacy DAA claims 2012 – 2016 by ABS Remoteness</w:t>
      </w:r>
      <w:bookmarkEnd w:id="130"/>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2"/>
        <w:tblDescription w:val="Summary of pharmacy DAA claims 2012 – 2016 by ABS Remoteness"/>
      </w:tblPr>
      <w:tblGrid>
        <w:gridCol w:w="2298"/>
        <w:gridCol w:w="819"/>
        <w:gridCol w:w="1324"/>
        <w:gridCol w:w="1414"/>
        <w:gridCol w:w="1251"/>
        <w:gridCol w:w="1097"/>
        <w:gridCol w:w="1425"/>
      </w:tblGrid>
      <w:tr w:rsidR="00BF6408" w:rsidRPr="001B0967" w:rsidTr="00982A19">
        <w:trPr>
          <w:trHeight w:hRule="exact" w:val="907"/>
          <w:tblHeader/>
        </w:trPr>
        <w:tc>
          <w:tcPr>
            <w:tcW w:w="2163" w:type="dxa"/>
            <w:shd w:val="clear" w:color="000000" w:fill="366091"/>
            <w:noWrap/>
            <w:vAlign w:val="center"/>
            <w:hideMark/>
          </w:tcPr>
          <w:p w:rsidR="00BF6408" w:rsidRPr="001B0967" w:rsidRDefault="00BF6408" w:rsidP="00982A19">
            <w:pPr>
              <w:spacing w:after="0"/>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ABF Remoteness</w:t>
            </w:r>
          </w:p>
        </w:tc>
        <w:tc>
          <w:tcPr>
            <w:tcW w:w="771" w:type="dxa"/>
            <w:shd w:val="clear" w:color="000000" w:fill="366091"/>
            <w:vAlign w:val="center"/>
            <w:hideMark/>
          </w:tcPr>
          <w:p w:rsidR="00BF6408" w:rsidRPr="001B0967"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Claim year</w:t>
            </w:r>
          </w:p>
        </w:tc>
        <w:tc>
          <w:tcPr>
            <w:tcW w:w="1246" w:type="dxa"/>
            <w:shd w:val="clear" w:color="000000" w:fill="366091"/>
            <w:vAlign w:val="center"/>
            <w:hideMark/>
          </w:tcPr>
          <w:p w:rsidR="00BF6408" w:rsidRPr="001B0967"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No of pharmacies with claims</w:t>
            </w:r>
          </w:p>
        </w:tc>
        <w:tc>
          <w:tcPr>
            <w:tcW w:w="1331" w:type="dxa"/>
            <w:shd w:val="clear" w:color="000000" w:fill="366091"/>
            <w:vAlign w:val="center"/>
            <w:hideMark/>
          </w:tcPr>
          <w:p w:rsidR="00BF6408" w:rsidRPr="001B0967"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Value of claims</w:t>
            </w:r>
          </w:p>
        </w:tc>
        <w:tc>
          <w:tcPr>
            <w:tcW w:w="1177" w:type="dxa"/>
            <w:shd w:val="clear" w:color="000000" w:fill="366091"/>
            <w:vAlign w:val="center"/>
            <w:hideMark/>
          </w:tcPr>
          <w:p w:rsidR="00BF6408" w:rsidRPr="001B0967"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Volume of patient DAAs supplied</w:t>
            </w:r>
          </w:p>
        </w:tc>
        <w:tc>
          <w:tcPr>
            <w:tcW w:w="1032" w:type="dxa"/>
            <w:shd w:val="clear" w:color="000000" w:fill="366091"/>
            <w:vAlign w:val="center"/>
            <w:hideMark/>
          </w:tcPr>
          <w:p w:rsidR="00BF6408" w:rsidRPr="001B0967"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Average claim amount per DAA</w:t>
            </w:r>
          </w:p>
        </w:tc>
        <w:tc>
          <w:tcPr>
            <w:tcW w:w="1341" w:type="dxa"/>
            <w:shd w:val="clear" w:color="000000" w:fill="366091"/>
            <w:vAlign w:val="center"/>
            <w:hideMark/>
          </w:tcPr>
          <w:p w:rsidR="00BF6408" w:rsidRPr="001B0967" w:rsidRDefault="00BF6408" w:rsidP="00982A19">
            <w:pPr>
              <w:spacing w:after="0"/>
              <w:jc w:val="center"/>
              <w:rPr>
                <w:rFonts w:eastAsia="Times New Roman" w:cs="Times New Roman"/>
                <w:b/>
                <w:bCs/>
                <w:color w:val="FFFFFF"/>
                <w:sz w:val="18"/>
                <w:szCs w:val="18"/>
                <w:lang w:eastAsia="en-AU"/>
              </w:rPr>
            </w:pPr>
            <w:r w:rsidRPr="001B0967">
              <w:rPr>
                <w:rFonts w:eastAsia="Times New Roman" w:cs="Times New Roman"/>
                <w:b/>
                <w:bCs/>
                <w:color w:val="FFFFFF"/>
                <w:sz w:val="18"/>
                <w:szCs w:val="18"/>
                <w:lang w:eastAsia="en-AU"/>
              </w:rPr>
              <w:t>Average claim per participating pharmacy</w:t>
            </w:r>
          </w:p>
        </w:tc>
      </w:tr>
      <w:tr w:rsidR="00BF6408" w:rsidRPr="001B0967" w:rsidTr="00982A19">
        <w:trPr>
          <w:trHeight w:hRule="exact" w:val="284"/>
        </w:trPr>
        <w:tc>
          <w:tcPr>
            <w:tcW w:w="2163" w:type="dxa"/>
            <w:vMerge w:val="restart"/>
            <w:shd w:val="clear" w:color="000000" w:fill="FFFFFF"/>
            <w:vAlign w:val="center"/>
            <w:hideMark/>
          </w:tcPr>
          <w:p w:rsidR="00BF6408" w:rsidRPr="001B0967" w:rsidRDefault="00BF6408" w:rsidP="00982A19">
            <w:pPr>
              <w:spacing w:after="0"/>
              <w:rPr>
                <w:rFonts w:eastAsia="Times New Roman" w:cs="Times New Roman"/>
                <w:color w:val="363636"/>
                <w:sz w:val="18"/>
                <w:szCs w:val="18"/>
                <w:lang w:eastAsia="en-AU"/>
              </w:rPr>
            </w:pPr>
            <w:r w:rsidRPr="001B0967">
              <w:rPr>
                <w:rFonts w:eastAsia="Times New Roman" w:cs="Times New Roman"/>
                <w:color w:val="363636"/>
                <w:sz w:val="18"/>
                <w:szCs w:val="18"/>
                <w:lang w:eastAsia="en-AU"/>
              </w:rPr>
              <w:t>Inner Regional Australia</w:t>
            </w: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2012</w:t>
            </w:r>
          </w:p>
        </w:tc>
        <w:tc>
          <w:tcPr>
            <w:tcW w:w="1246" w:type="dxa"/>
            <w:shd w:val="clear" w:color="auto" w:fill="auto"/>
            <w:vAlign w:val="center"/>
            <w:hideMark/>
          </w:tcPr>
          <w:p w:rsidR="00BF6408" w:rsidRDefault="00BF6408" w:rsidP="00982A19">
            <w:pPr>
              <w:spacing w:after="0"/>
              <w:jc w:val="right"/>
              <w:rPr>
                <w:color w:val="000000"/>
                <w:sz w:val="18"/>
                <w:szCs w:val="18"/>
              </w:rPr>
            </w:pPr>
            <w:r>
              <w:rPr>
                <w:color w:val="000000"/>
                <w:sz w:val="18"/>
                <w:szCs w:val="18"/>
              </w:rPr>
              <w:t>1,002</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$9,132,733</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2,477,867</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$3.69</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$9,115</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2013</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973</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$5,183,295</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2,274,457</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$2.28</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$5,327</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2014</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1,188</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$8,062,823</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2,852,121</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$2.83</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$6,787</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2015</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978</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$10,195,463</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3,328,392</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$3.06</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$10,425</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2016</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6</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$29,108</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7,872</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$3.70</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$4,851</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rPr>
                <w:rFonts w:eastAsia="Times New Roman" w:cs="Times New Roman"/>
                <w:b/>
                <w:bCs/>
                <w:color w:val="000000"/>
                <w:sz w:val="18"/>
                <w:szCs w:val="18"/>
                <w:lang w:eastAsia="en-AU"/>
              </w:rPr>
            </w:pPr>
            <w:r w:rsidRPr="001B0967">
              <w:rPr>
                <w:rFonts w:eastAsia="Times New Roman" w:cs="Times New Roman"/>
                <w:b/>
                <w:bCs/>
                <w:color w:val="000000"/>
                <w:sz w:val="18"/>
                <w:szCs w:val="18"/>
                <w:lang w:eastAsia="en-AU"/>
              </w:rPr>
              <w:t xml:space="preserve">Total </w:t>
            </w:r>
          </w:p>
        </w:tc>
        <w:tc>
          <w:tcPr>
            <w:tcW w:w="1246"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1,555</w:t>
            </w:r>
          </w:p>
        </w:tc>
        <w:tc>
          <w:tcPr>
            <w:tcW w:w="133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$32,603,422</w:t>
            </w:r>
          </w:p>
        </w:tc>
        <w:tc>
          <w:tcPr>
            <w:tcW w:w="1177"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10,940,709</w:t>
            </w:r>
          </w:p>
        </w:tc>
        <w:tc>
          <w:tcPr>
            <w:tcW w:w="103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$2.98</w:t>
            </w:r>
          </w:p>
        </w:tc>
        <w:tc>
          <w:tcPr>
            <w:tcW w:w="134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$20,967</w:t>
            </w:r>
          </w:p>
        </w:tc>
      </w:tr>
      <w:tr w:rsidR="00BF6408" w:rsidRPr="001B0967" w:rsidTr="00982A19">
        <w:trPr>
          <w:trHeight w:hRule="exact" w:val="284"/>
        </w:trPr>
        <w:tc>
          <w:tcPr>
            <w:tcW w:w="2163" w:type="dxa"/>
            <w:vMerge w:val="restart"/>
            <w:shd w:val="clear" w:color="auto" w:fill="DEEAF6" w:themeFill="accent1" w:themeFillTint="33"/>
            <w:vAlign w:val="center"/>
            <w:hideMark/>
          </w:tcPr>
          <w:p w:rsidR="00BF6408" w:rsidRPr="001B0967" w:rsidRDefault="00BF6408" w:rsidP="00982A19">
            <w:pPr>
              <w:pageBreakBefore/>
              <w:spacing w:after="0"/>
              <w:rPr>
                <w:rFonts w:eastAsia="Times New Roman" w:cs="Times New Roman"/>
                <w:color w:val="363636"/>
                <w:sz w:val="18"/>
                <w:szCs w:val="18"/>
                <w:lang w:eastAsia="en-AU"/>
              </w:rPr>
            </w:pPr>
            <w:r w:rsidRPr="001B0967">
              <w:rPr>
                <w:rFonts w:eastAsia="Times New Roman" w:cs="Times New Roman"/>
                <w:color w:val="363636"/>
                <w:sz w:val="18"/>
                <w:szCs w:val="18"/>
                <w:lang w:eastAsia="en-AU"/>
              </w:rPr>
              <w:lastRenderedPageBreak/>
              <w:t>Major Cities of Australia</w:t>
            </w: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2012</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3,356</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$23,971,788</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5,844,431</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$4.10</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$7,143</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2013</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3,357</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$14,126,713</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5,739,105</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$2.46</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$4,208</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2014</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4,021</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$20,711,856</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6,722,413</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$3.08</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$5,151</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2015</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3,374</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$26,111,172</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7,858,296</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$3.32</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$7,739</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2016</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34</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$114,589</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29,521</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$3.88</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$3,370</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rPr>
                <w:rFonts w:eastAsia="Times New Roman" w:cs="Times New Roman"/>
                <w:b/>
                <w:bCs/>
                <w:color w:val="000000"/>
                <w:sz w:val="18"/>
                <w:szCs w:val="18"/>
                <w:lang w:eastAsia="en-AU"/>
              </w:rPr>
            </w:pPr>
            <w:r w:rsidRPr="001B0967">
              <w:rPr>
                <w:rFonts w:eastAsia="Times New Roman" w:cs="Times New Roman"/>
                <w:b/>
                <w:bCs/>
                <w:color w:val="000000"/>
                <w:sz w:val="18"/>
                <w:szCs w:val="18"/>
                <w:lang w:eastAsia="en-AU"/>
              </w:rPr>
              <w:t xml:space="preserve">Total </w:t>
            </w:r>
          </w:p>
        </w:tc>
        <w:tc>
          <w:tcPr>
            <w:tcW w:w="1246"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5,120</w:t>
            </w:r>
          </w:p>
        </w:tc>
        <w:tc>
          <w:tcPr>
            <w:tcW w:w="133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$85,036,118</w:t>
            </w:r>
          </w:p>
        </w:tc>
        <w:tc>
          <w:tcPr>
            <w:tcW w:w="1177"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26,193,766</w:t>
            </w:r>
          </w:p>
        </w:tc>
        <w:tc>
          <w:tcPr>
            <w:tcW w:w="103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$3.25</w:t>
            </w:r>
          </w:p>
        </w:tc>
        <w:tc>
          <w:tcPr>
            <w:tcW w:w="134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$16,609</w:t>
            </w:r>
          </w:p>
        </w:tc>
      </w:tr>
      <w:tr w:rsidR="00BF6408" w:rsidRPr="001B0967" w:rsidTr="00982A19">
        <w:trPr>
          <w:trHeight w:hRule="exact" w:val="284"/>
        </w:trPr>
        <w:tc>
          <w:tcPr>
            <w:tcW w:w="2163" w:type="dxa"/>
            <w:vMerge w:val="restart"/>
            <w:shd w:val="clear" w:color="000000" w:fill="FFFFFF"/>
            <w:vAlign w:val="center"/>
            <w:hideMark/>
          </w:tcPr>
          <w:p w:rsidR="00BF6408" w:rsidRPr="001B0967" w:rsidRDefault="00BF6408" w:rsidP="00982A19">
            <w:pPr>
              <w:spacing w:after="0"/>
              <w:rPr>
                <w:rFonts w:eastAsia="Times New Roman" w:cs="Times New Roman"/>
                <w:color w:val="363636"/>
                <w:sz w:val="18"/>
                <w:szCs w:val="18"/>
                <w:lang w:eastAsia="en-AU"/>
              </w:rPr>
            </w:pPr>
            <w:r w:rsidRPr="001B0967">
              <w:rPr>
                <w:rFonts w:eastAsia="Times New Roman" w:cs="Times New Roman"/>
                <w:color w:val="363636"/>
                <w:sz w:val="18"/>
                <w:szCs w:val="18"/>
                <w:lang w:eastAsia="en-AU"/>
              </w:rPr>
              <w:t>Outer Regional Australia</w:t>
            </w: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2012</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479</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$4,274,802</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1,250,919</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$3.42</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$8,924</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2013</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484</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$2,506,270</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1,165,976</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$2.15</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$5,178</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2014</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618</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$3,805,897</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1,396,423</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$2.73</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$6,158</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2015</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539</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$4,815,529</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1,611,050</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$2.99</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$8,934</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2016</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5</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$13,953</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3,689</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$3.78</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$2,791</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rPr>
                <w:rFonts w:eastAsia="Times New Roman" w:cs="Times New Roman"/>
                <w:b/>
                <w:bCs/>
                <w:color w:val="000000"/>
                <w:sz w:val="18"/>
                <w:szCs w:val="18"/>
                <w:lang w:eastAsia="en-AU"/>
              </w:rPr>
            </w:pPr>
            <w:r w:rsidRPr="001B0967">
              <w:rPr>
                <w:rFonts w:eastAsia="Times New Roman" w:cs="Times New Roman"/>
                <w:b/>
                <w:bCs/>
                <w:color w:val="000000"/>
                <w:sz w:val="18"/>
                <w:szCs w:val="18"/>
                <w:lang w:eastAsia="en-AU"/>
              </w:rPr>
              <w:t xml:space="preserve">Total </w:t>
            </w:r>
          </w:p>
        </w:tc>
        <w:tc>
          <w:tcPr>
            <w:tcW w:w="1246"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791</w:t>
            </w:r>
          </w:p>
        </w:tc>
        <w:tc>
          <w:tcPr>
            <w:tcW w:w="133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$15,416,451</w:t>
            </w:r>
          </w:p>
        </w:tc>
        <w:tc>
          <w:tcPr>
            <w:tcW w:w="1177"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5,428,057</w:t>
            </w:r>
          </w:p>
        </w:tc>
        <w:tc>
          <w:tcPr>
            <w:tcW w:w="103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$2.84</w:t>
            </w:r>
          </w:p>
        </w:tc>
        <w:tc>
          <w:tcPr>
            <w:tcW w:w="134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$19,490</w:t>
            </w:r>
          </w:p>
        </w:tc>
      </w:tr>
      <w:tr w:rsidR="00BF6408" w:rsidRPr="001B0967" w:rsidTr="00982A19">
        <w:trPr>
          <w:trHeight w:hRule="exact" w:val="284"/>
        </w:trPr>
        <w:tc>
          <w:tcPr>
            <w:tcW w:w="2163" w:type="dxa"/>
            <w:vMerge w:val="restart"/>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r w:rsidRPr="001B0967">
              <w:rPr>
                <w:rFonts w:eastAsia="Times New Roman" w:cs="Times New Roman"/>
                <w:color w:val="363636"/>
                <w:sz w:val="18"/>
                <w:szCs w:val="18"/>
                <w:lang w:eastAsia="en-AU"/>
              </w:rPr>
              <w:t>Remote Australia</w:t>
            </w: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2012</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61</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$402,641</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137,354</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$2.93</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$6,601</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2013</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60</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$285,697</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152,581</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$1.87</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$4,762</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2014</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83</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$556,285</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246,721</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$2.25</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$6,702</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2015</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73</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$731,511</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286,423</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$2.55</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$10,021</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2016</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1</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$1,055</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299</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$3.53</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$1,055</w:t>
            </w:r>
          </w:p>
        </w:tc>
      </w:tr>
      <w:tr w:rsidR="00BF6408" w:rsidRPr="001B0967" w:rsidTr="00982A19">
        <w:trPr>
          <w:trHeight w:hRule="exact" w:val="284"/>
        </w:trPr>
        <w:tc>
          <w:tcPr>
            <w:tcW w:w="2163" w:type="dxa"/>
            <w:vMerge/>
            <w:shd w:val="clear" w:color="auto" w:fill="DEEAF6" w:themeFill="accent1" w:themeFillTint="33"/>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rPr>
                <w:rFonts w:eastAsia="Times New Roman" w:cs="Times New Roman"/>
                <w:b/>
                <w:bCs/>
                <w:color w:val="000000"/>
                <w:sz w:val="18"/>
                <w:szCs w:val="18"/>
                <w:lang w:eastAsia="en-AU"/>
              </w:rPr>
            </w:pPr>
            <w:r w:rsidRPr="001B0967">
              <w:rPr>
                <w:rFonts w:eastAsia="Times New Roman" w:cs="Times New Roman"/>
                <w:b/>
                <w:bCs/>
                <w:color w:val="000000"/>
                <w:sz w:val="18"/>
                <w:szCs w:val="18"/>
                <w:lang w:eastAsia="en-AU"/>
              </w:rPr>
              <w:t xml:space="preserve">Total </w:t>
            </w:r>
          </w:p>
        </w:tc>
        <w:tc>
          <w:tcPr>
            <w:tcW w:w="1246"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105</w:t>
            </w:r>
          </w:p>
        </w:tc>
        <w:tc>
          <w:tcPr>
            <w:tcW w:w="133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$1,977,188</w:t>
            </w:r>
          </w:p>
        </w:tc>
        <w:tc>
          <w:tcPr>
            <w:tcW w:w="1177"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823,378</w:t>
            </w:r>
          </w:p>
        </w:tc>
        <w:tc>
          <w:tcPr>
            <w:tcW w:w="103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$2.40</w:t>
            </w:r>
          </w:p>
        </w:tc>
        <w:tc>
          <w:tcPr>
            <w:tcW w:w="134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$18,830</w:t>
            </w:r>
          </w:p>
        </w:tc>
      </w:tr>
      <w:tr w:rsidR="00BF6408" w:rsidRPr="001B0967" w:rsidTr="00982A19">
        <w:trPr>
          <w:trHeight w:hRule="exact" w:val="284"/>
        </w:trPr>
        <w:tc>
          <w:tcPr>
            <w:tcW w:w="2163" w:type="dxa"/>
            <w:vMerge w:val="restart"/>
            <w:shd w:val="clear" w:color="000000" w:fill="FFFFFF"/>
            <w:vAlign w:val="center"/>
            <w:hideMark/>
          </w:tcPr>
          <w:p w:rsidR="00BF6408" w:rsidRPr="001B0967" w:rsidRDefault="00BF6408" w:rsidP="00982A19">
            <w:pPr>
              <w:spacing w:after="0"/>
              <w:rPr>
                <w:rFonts w:eastAsia="Times New Roman" w:cs="Times New Roman"/>
                <w:color w:val="363636"/>
                <w:sz w:val="18"/>
                <w:szCs w:val="18"/>
                <w:lang w:eastAsia="en-AU"/>
              </w:rPr>
            </w:pPr>
            <w:r w:rsidRPr="001B0967">
              <w:rPr>
                <w:rFonts w:eastAsia="Times New Roman" w:cs="Times New Roman"/>
                <w:color w:val="363636"/>
                <w:sz w:val="18"/>
                <w:szCs w:val="18"/>
                <w:lang w:eastAsia="en-AU"/>
              </w:rPr>
              <w:t>Very Remote Australia</w:t>
            </w: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2012</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33</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$284,884</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115,531</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$2.47</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$8,633</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2013</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36</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$190,573</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103,087</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$1.85</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$5,294</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2014</w:t>
            </w:r>
          </w:p>
        </w:tc>
        <w:tc>
          <w:tcPr>
            <w:tcW w:w="1246" w:type="dxa"/>
            <w:shd w:val="clear" w:color="auto" w:fill="auto"/>
            <w:vAlign w:val="center"/>
            <w:hideMark/>
          </w:tcPr>
          <w:p w:rsidR="00BF6408" w:rsidRDefault="00BF6408" w:rsidP="00982A19">
            <w:pPr>
              <w:jc w:val="right"/>
              <w:rPr>
                <w:color w:val="000000"/>
                <w:sz w:val="18"/>
                <w:szCs w:val="18"/>
              </w:rPr>
            </w:pPr>
            <w:r>
              <w:rPr>
                <w:color w:val="000000"/>
                <w:sz w:val="18"/>
                <w:szCs w:val="18"/>
              </w:rPr>
              <w:t>51</w:t>
            </w:r>
          </w:p>
        </w:tc>
        <w:tc>
          <w:tcPr>
            <w:tcW w:w="1331" w:type="dxa"/>
            <w:shd w:val="clear" w:color="auto" w:fill="auto"/>
            <w:vAlign w:val="center"/>
            <w:hideMark/>
          </w:tcPr>
          <w:p w:rsidR="00BF6408" w:rsidRDefault="00BF6408" w:rsidP="00982A19">
            <w:pPr>
              <w:jc w:val="right"/>
              <w:rPr>
                <w:color w:val="000000"/>
                <w:sz w:val="18"/>
                <w:szCs w:val="18"/>
              </w:rPr>
            </w:pPr>
            <w:r>
              <w:rPr>
                <w:color w:val="000000"/>
                <w:sz w:val="18"/>
                <w:szCs w:val="18"/>
              </w:rPr>
              <w:t>$383,681</w:t>
            </w:r>
          </w:p>
        </w:tc>
        <w:tc>
          <w:tcPr>
            <w:tcW w:w="1177" w:type="dxa"/>
            <w:shd w:val="clear" w:color="auto" w:fill="auto"/>
            <w:vAlign w:val="center"/>
            <w:hideMark/>
          </w:tcPr>
          <w:p w:rsidR="00BF6408" w:rsidRDefault="00BF6408" w:rsidP="00982A19">
            <w:pPr>
              <w:jc w:val="right"/>
              <w:rPr>
                <w:color w:val="000000"/>
                <w:sz w:val="18"/>
                <w:szCs w:val="18"/>
              </w:rPr>
            </w:pPr>
            <w:r>
              <w:rPr>
                <w:color w:val="000000"/>
                <w:sz w:val="18"/>
                <w:szCs w:val="18"/>
              </w:rPr>
              <w:t>174,243</w:t>
            </w:r>
          </w:p>
        </w:tc>
        <w:tc>
          <w:tcPr>
            <w:tcW w:w="1032" w:type="dxa"/>
            <w:shd w:val="clear" w:color="auto" w:fill="auto"/>
            <w:vAlign w:val="center"/>
            <w:hideMark/>
          </w:tcPr>
          <w:p w:rsidR="00BF6408" w:rsidRDefault="00BF6408" w:rsidP="00982A19">
            <w:pPr>
              <w:jc w:val="right"/>
              <w:rPr>
                <w:color w:val="000000"/>
                <w:sz w:val="18"/>
                <w:szCs w:val="18"/>
              </w:rPr>
            </w:pPr>
            <w:r>
              <w:rPr>
                <w:color w:val="000000"/>
                <w:sz w:val="18"/>
                <w:szCs w:val="18"/>
              </w:rPr>
              <w:t>$2.20</w:t>
            </w:r>
          </w:p>
        </w:tc>
        <w:tc>
          <w:tcPr>
            <w:tcW w:w="1341" w:type="dxa"/>
            <w:shd w:val="clear" w:color="auto" w:fill="auto"/>
            <w:vAlign w:val="center"/>
            <w:hideMark/>
          </w:tcPr>
          <w:p w:rsidR="00BF6408" w:rsidRDefault="00BF6408" w:rsidP="00982A19">
            <w:pPr>
              <w:jc w:val="right"/>
              <w:rPr>
                <w:color w:val="000000"/>
                <w:sz w:val="18"/>
                <w:szCs w:val="18"/>
              </w:rPr>
            </w:pPr>
            <w:r>
              <w:rPr>
                <w:color w:val="000000"/>
                <w:sz w:val="18"/>
                <w:szCs w:val="18"/>
              </w:rPr>
              <w:t>$7,523</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000000" w:fill="DEEAF6"/>
            <w:vAlign w:val="center"/>
            <w:hideMark/>
          </w:tcPr>
          <w:p w:rsidR="00BF6408" w:rsidRPr="001B0967" w:rsidRDefault="00BF6408" w:rsidP="00982A19">
            <w:pPr>
              <w:spacing w:after="0"/>
              <w:jc w:val="right"/>
              <w:rPr>
                <w:rFonts w:eastAsia="Times New Roman" w:cs="Times New Roman"/>
                <w:color w:val="000000"/>
                <w:sz w:val="18"/>
                <w:szCs w:val="18"/>
                <w:lang w:eastAsia="en-AU"/>
              </w:rPr>
            </w:pPr>
            <w:r w:rsidRPr="001B0967">
              <w:rPr>
                <w:rFonts w:eastAsia="Times New Roman" w:cs="Times New Roman"/>
                <w:color w:val="000000"/>
                <w:sz w:val="18"/>
                <w:szCs w:val="18"/>
                <w:lang w:eastAsia="en-AU"/>
              </w:rPr>
              <w:t>2015</w:t>
            </w:r>
          </w:p>
        </w:tc>
        <w:tc>
          <w:tcPr>
            <w:tcW w:w="1246" w:type="dxa"/>
            <w:shd w:val="clear" w:color="000000" w:fill="DEEAF6"/>
            <w:vAlign w:val="center"/>
            <w:hideMark/>
          </w:tcPr>
          <w:p w:rsidR="00BF6408" w:rsidRDefault="00BF6408" w:rsidP="00982A19">
            <w:pPr>
              <w:jc w:val="right"/>
              <w:rPr>
                <w:color w:val="000000"/>
                <w:sz w:val="18"/>
                <w:szCs w:val="18"/>
              </w:rPr>
            </w:pPr>
            <w:r>
              <w:rPr>
                <w:color w:val="000000"/>
                <w:sz w:val="18"/>
                <w:szCs w:val="18"/>
              </w:rPr>
              <w:t>44</w:t>
            </w:r>
          </w:p>
        </w:tc>
        <w:tc>
          <w:tcPr>
            <w:tcW w:w="1331" w:type="dxa"/>
            <w:shd w:val="clear" w:color="000000" w:fill="DEEAF6"/>
            <w:vAlign w:val="center"/>
            <w:hideMark/>
          </w:tcPr>
          <w:p w:rsidR="00BF6408" w:rsidRDefault="00BF6408" w:rsidP="00982A19">
            <w:pPr>
              <w:jc w:val="right"/>
              <w:rPr>
                <w:color w:val="000000"/>
                <w:sz w:val="18"/>
                <w:szCs w:val="18"/>
              </w:rPr>
            </w:pPr>
            <w:r>
              <w:rPr>
                <w:color w:val="000000"/>
                <w:sz w:val="18"/>
                <w:szCs w:val="18"/>
              </w:rPr>
              <w:t>$392,219</w:t>
            </w:r>
          </w:p>
        </w:tc>
        <w:tc>
          <w:tcPr>
            <w:tcW w:w="1177" w:type="dxa"/>
            <w:shd w:val="clear" w:color="000000" w:fill="DEEAF6"/>
            <w:vAlign w:val="center"/>
            <w:hideMark/>
          </w:tcPr>
          <w:p w:rsidR="00BF6408" w:rsidRDefault="00BF6408" w:rsidP="00982A19">
            <w:pPr>
              <w:jc w:val="right"/>
              <w:rPr>
                <w:color w:val="000000"/>
                <w:sz w:val="18"/>
                <w:szCs w:val="18"/>
              </w:rPr>
            </w:pPr>
            <w:r>
              <w:rPr>
                <w:color w:val="000000"/>
                <w:sz w:val="18"/>
                <w:szCs w:val="18"/>
              </w:rPr>
              <w:t>153,414</w:t>
            </w:r>
          </w:p>
        </w:tc>
        <w:tc>
          <w:tcPr>
            <w:tcW w:w="1032" w:type="dxa"/>
            <w:shd w:val="clear" w:color="000000" w:fill="DEEAF6"/>
            <w:vAlign w:val="center"/>
            <w:hideMark/>
          </w:tcPr>
          <w:p w:rsidR="00BF6408" w:rsidRDefault="00BF6408" w:rsidP="00982A19">
            <w:pPr>
              <w:jc w:val="right"/>
              <w:rPr>
                <w:color w:val="000000"/>
                <w:sz w:val="18"/>
                <w:szCs w:val="18"/>
              </w:rPr>
            </w:pPr>
            <w:r>
              <w:rPr>
                <w:color w:val="000000"/>
                <w:sz w:val="18"/>
                <w:szCs w:val="18"/>
              </w:rPr>
              <w:t>$2.56</w:t>
            </w:r>
          </w:p>
        </w:tc>
        <w:tc>
          <w:tcPr>
            <w:tcW w:w="1341" w:type="dxa"/>
            <w:shd w:val="clear" w:color="000000" w:fill="DEEAF6"/>
            <w:vAlign w:val="center"/>
            <w:hideMark/>
          </w:tcPr>
          <w:p w:rsidR="00BF6408" w:rsidRDefault="00BF6408" w:rsidP="00982A19">
            <w:pPr>
              <w:jc w:val="right"/>
              <w:rPr>
                <w:color w:val="000000"/>
                <w:sz w:val="18"/>
                <w:szCs w:val="18"/>
              </w:rPr>
            </w:pPr>
            <w:r>
              <w:rPr>
                <w:color w:val="000000"/>
                <w:sz w:val="18"/>
                <w:szCs w:val="18"/>
              </w:rPr>
              <w:t>$8,914</w:t>
            </w:r>
          </w:p>
        </w:tc>
      </w:tr>
      <w:tr w:rsidR="00BF6408" w:rsidRPr="001B0967" w:rsidTr="00982A19">
        <w:trPr>
          <w:trHeight w:hRule="exact" w:val="284"/>
        </w:trPr>
        <w:tc>
          <w:tcPr>
            <w:tcW w:w="2163" w:type="dxa"/>
            <w:vMerge/>
            <w:vAlign w:val="center"/>
            <w:hideMark/>
          </w:tcPr>
          <w:p w:rsidR="00BF6408" w:rsidRPr="001B0967" w:rsidRDefault="00BF6408" w:rsidP="00982A19">
            <w:pPr>
              <w:spacing w:after="0"/>
              <w:rPr>
                <w:rFonts w:eastAsia="Times New Roman" w:cs="Times New Roman"/>
                <w:color w:val="363636"/>
                <w:sz w:val="18"/>
                <w:szCs w:val="18"/>
                <w:lang w:eastAsia="en-AU"/>
              </w:rPr>
            </w:pPr>
          </w:p>
        </w:tc>
        <w:tc>
          <w:tcPr>
            <w:tcW w:w="771" w:type="dxa"/>
            <w:shd w:val="clear" w:color="auto" w:fill="auto"/>
            <w:vAlign w:val="center"/>
            <w:hideMark/>
          </w:tcPr>
          <w:p w:rsidR="00BF6408" w:rsidRPr="001B0967" w:rsidRDefault="00BF6408" w:rsidP="00982A19">
            <w:pPr>
              <w:spacing w:after="0"/>
              <w:rPr>
                <w:rFonts w:eastAsia="Times New Roman" w:cs="Times New Roman"/>
                <w:b/>
                <w:bCs/>
                <w:color w:val="000000"/>
                <w:sz w:val="18"/>
                <w:szCs w:val="18"/>
                <w:lang w:eastAsia="en-AU"/>
              </w:rPr>
            </w:pPr>
            <w:r w:rsidRPr="001B0967">
              <w:rPr>
                <w:rFonts w:eastAsia="Times New Roman" w:cs="Times New Roman"/>
                <w:b/>
                <w:bCs/>
                <w:color w:val="000000"/>
                <w:sz w:val="18"/>
                <w:szCs w:val="18"/>
                <w:lang w:eastAsia="en-AU"/>
              </w:rPr>
              <w:t xml:space="preserve">Total </w:t>
            </w:r>
          </w:p>
        </w:tc>
        <w:tc>
          <w:tcPr>
            <w:tcW w:w="1246" w:type="dxa"/>
            <w:shd w:val="clear" w:color="auto" w:fill="auto"/>
            <w:vAlign w:val="center"/>
            <w:hideMark/>
          </w:tcPr>
          <w:p w:rsidR="00BF6408" w:rsidRDefault="00BF6408" w:rsidP="00982A19">
            <w:pPr>
              <w:jc w:val="right"/>
              <w:rPr>
                <w:b/>
                <w:bCs/>
                <w:color w:val="000000"/>
                <w:sz w:val="18"/>
                <w:szCs w:val="18"/>
              </w:rPr>
            </w:pPr>
            <w:r>
              <w:rPr>
                <w:b/>
                <w:bCs/>
                <w:color w:val="000000"/>
                <w:sz w:val="18"/>
                <w:szCs w:val="18"/>
              </w:rPr>
              <w:t>62</w:t>
            </w:r>
          </w:p>
        </w:tc>
        <w:tc>
          <w:tcPr>
            <w:tcW w:w="1331" w:type="dxa"/>
            <w:shd w:val="clear" w:color="auto" w:fill="auto"/>
            <w:vAlign w:val="center"/>
            <w:hideMark/>
          </w:tcPr>
          <w:p w:rsidR="00BF6408" w:rsidRDefault="00BF6408" w:rsidP="00982A19">
            <w:pPr>
              <w:jc w:val="right"/>
              <w:rPr>
                <w:b/>
                <w:bCs/>
                <w:color w:val="000000"/>
                <w:sz w:val="18"/>
                <w:szCs w:val="18"/>
              </w:rPr>
            </w:pPr>
            <w:r>
              <w:rPr>
                <w:b/>
                <w:bCs/>
                <w:color w:val="000000"/>
                <w:sz w:val="18"/>
                <w:szCs w:val="18"/>
              </w:rPr>
              <w:t>$1,251,358</w:t>
            </w:r>
          </w:p>
        </w:tc>
        <w:tc>
          <w:tcPr>
            <w:tcW w:w="1177" w:type="dxa"/>
            <w:shd w:val="clear" w:color="auto" w:fill="auto"/>
            <w:vAlign w:val="center"/>
            <w:hideMark/>
          </w:tcPr>
          <w:p w:rsidR="00BF6408" w:rsidRDefault="00BF6408" w:rsidP="00982A19">
            <w:pPr>
              <w:jc w:val="right"/>
              <w:rPr>
                <w:b/>
                <w:bCs/>
                <w:color w:val="000000"/>
                <w:sz w:val="18"/>
                <w:szCs w:val="18"/>
              </w:rPr>
            </w:pPr>
            <w:r>
              <w:rPr>
                <w:b/>
                <w:bCs/>
                <w:color w:val="000000"/>
                <w:sz w:val="18"/>
                <w:szCs w:val="18"/>
              </w:rPr>
              <w:t>546,275</w:t>
            </w:r>
          </w:p>
        </w:tc>
        <w:tc>
          <w:tcPr>
            <w:tcW w:w="1032" w:type="dxa"/>
            <w:shd w:val="clear" w:color="auto" w:fill="auto"/>
            <w:vAlign w:val="center"/>
            <w:hideMark/>
          </w:tcPr>
          <w:p w:rsidR="00BF6408" w:rsidRDefault="00BF6408" w:rsidP="00982A19">
            <w:pPr>
              <w:jc w:val="right"/>
              <w:rPr>
                <w:b/>
                <w:bCs/>
                <w:color w:val="000000"/>
                <w:sz w:val="18"/>
                <w:szCs w:val="18"/>
              </w:rPr>
            </w:pPr>
            <w:r>
              <w:rPr>
                <w:b/>
                <w:bCs/>
                <w:color w:val="000000"/>
                <w:sz w:val="18"/>
                <w:szCs w:val="18"/>
              </w:rPr>
              <w:t>$2.29</w:t>
            </w:r>
          </w:p>
        </w:tc>
        <w:tc>
          <w:tcPr>
            <w:tcW w:w="1341" w:type="dxa"/>
            <w:shd w:val="clear" w:color="auto" w:fill="auto"/>
            <w:vAlign w:val="center"/>
            <w:hideMark/>
          </w:tcPr>
          <w:p w:rsidR="00BF6408" w:rsidRDefault="00BF6408" w:rsidP="00982A19">
            <w:pPr>
              <w:jc w:val="right"/>
              <w:rPr>
                <w:b/>
                <w:bCs/>
                <w:color w:val="000000"/>
                <w:sz w:val="18"/>
                <w:szCs w:val="18"/>
              </w:rPr>
            </w:pPr>
            <w:r>
              <w:rPr>
                <w:b/>
                <w:bCs/>
                <w:color w:val="000000"/>
                <w:sz w:val="18"/>
                <w:szCs w:val="18"/>
              </w:rPr>
              <w:t>$20,183</w:t>
            </w:r>
          </w:p>
        </w:tc>
      </w:tr>
      <w:tr w:rsidR="00BF6408" w:rsidRPr="001B0967" w:rsidTr="00982A19">
        <w:trPr>
          <w:trHeight w:hRule="exact" w:val="284"/>
        </w:trPr>
        <w:tc>
          <w:tcPr>
            <w:tcW w:w="2163" w:type="dxa"/>
            <w:shd w:val="clear" w:color="000000" w:fill="DEEAF6"/>
            <w:vAlign w:val="center"/>
            <w:hideMark/>
          </w:tcPr>
          <w:p w:rsidR="00BF6408" w:rsidRPr="001B0967" w:rsidRDefault="00BF6408" w:rsidP="00982A19">
            <w:pPr>
              <w:spacing w:after="0"/>
              <w:rPr>
                <w:rFonts w:eastAsia="Times New Roman" w:cs="Times New Roman"/>
                <w:b/>
                <w:bCs/>
                <w:color w:val="000000"/>
                <w:sz w:val="18"/>
                <w:szCs w:val="18"/>
                <w:lang w:eastAsia="en-AU"/>
              </w:rPr>
            </w:pPr>
            <w:r w:rsidRPr="001B0967">
              <w:rPr>
                <w:rFonts w:eastAsia="Times New Roman" w:cs="Times New Roman"/>
                <w:b/>
                <w:bCs/>
                <w:color w:val="000000"/>
                <w:sz w:val="18"/>
                <w:szCs w:val="18"/>
                <w:lang w:eastAsia="en-AU"/>
              </w:rPr>
              <w:t xml:space="preserve">Total </w:t>
            </w:r>
          </w:p>
        </w:tc>
        <w:tc>
          <w:tcPr>
            <w:tcW w:w="771" w:type="dxa"/>
            <w:shd w:val="clear" w:color="000000" w:fill="DEEAF6"/>
            <w:vAlign w:val="center"/>
            <w:hideMark/>
          </w:tcPr>
          <w:p w:rsidR="00BF6408" w:rsidRPr="001B0967" w:rsidRDefault="00BF6408" w:rsidP="00982A19">
            <w:pPr>
              <w:spacing w:after="0"/>
              <w:rPr>
                <w:rFonts w:eastAsia="Times New Roman" w:cs="Times New Roman"/>
                <w:b/>
                <w:bCs/>
                <w:color w:val="000000"/>
                <w:sz w:val="18"/>
                <w:szCs w:val="18"/>
                <w:lang w:eastAsia="en-AU"/>
              </w:rPr>
            </w:pPr>
          </w:p>
        </w:tc>
        <w:tc>
          <w:tcPr>
            <w:tcW w:w="1246"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7,509</w:t>
            </w:r>
          </w:p>
        </w:tc>
        <w:tc>
          <w:tcPr>
            <w:tcW w:w="133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$136,284,537</w:t>
            </w:r>
          </w:p>
        </w:tc>
        <w:tc>
          <w:tcPr>
            <w:tcW w:w="1177"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43,932,185</w:t>
            </w:r>
          </w:p>
        </w:tc>
        <w:tc>
          <w:tcPr>
            <w:tcW w:w="1032"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$3.10</w:t>
            </w:r>
          </w:p>
        </w:tc>
        <w:tc>
          <w:tcPr>
            <w:tcW w:w="1341" w:type="dxa"/>
            <w:shd w:val="clear" w:color="000000" w:fill="DEEAF6"/>
            <w:vAlign w:val="center"/>
            <w:hideMark/>
          </w:tcPr>
          <w:p w:rsidR="00BF6408" w:rsidRDefault="00BF6408" w:rsidP="00982A19">
            <w:pPr>
              <w:jc w:val="right"/>
              <w:rPr>
                <w:b/>
                <w:bCs/>
                <w:color w:val="000000"/>
                <w:sz w:val="18"/>
                <w:szCs w:val="18"/>
              </w:rPr>
            </w:pPr>
            <w:r>
              <w:rPr>
                <w:b/>
                <w:bCs/>
                <w:color w:val="000000"/>
                <w:sz w:val="18"/>
                <w:szCs w:val="18"/>
              </w:rPr>
              <w:t>$18,149</w:t>
            </w:r>
          </w:p>
        </w:tc>
      </w:tr>
    </w:tbl>
    <w:p w:rsidR="00BF6408" w:rsidRDefault="00BF6408" w:rsidP="00BF6408">
      <w:pPr>
        <w:pStyle w:val="08Tablefootnotes"/>
        <w:rPr>
          <w:color w:val="000000" w:themeColor="text1"/>
        </w:rPr>
      </w:pPr>
      <w:r>
        <w:t xml:space="preserve">Source: Claims payment data supplied in PPI Total Data Compilation_Copy.xls in conjunction with ABS postcode to remoteness.xls available from </w:t>
      </w:r>
      <w:hyperlink r:id="rId26"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p w:rsidR="00BF6408" w:rsidRDefault="00BF6408" w:rsidP="00BF6408">
      <w:pPr>
        <w:pStyle w:val="09Tablefootnoteslast-nostick"/>
      </w:pPr>
      <w:r>
        <w:t>Abbreviations: ABS, Australian Bureau of Statistics; DAA, Dose Administration Aids.</w:t>
      </w:r>
    </w:p>
    <w:p w:rsidR="00BF6408" w:rsidRDefault="00BF6408" w:rsidP="00BF6408">
      <w:pPr>
        <w:pStyle w:val="BodyText"/>
      </w:pPr>
      <w:r>
        <w:t>The Very Remote Australia classification has experienced the highest relative increase in participating pharmacies, with numbers growing 33% (from 33 to 44) between 2012 and 2015 and Remote Australia classification, growing 20% (from 61 to 73).</w:t>
      </w:r>
    </w:p>
    <w:p w:rsidR="00BF6408" w:rsidRDefault="00BF6408" w:rsidP="00BF6408">
      <w:pPr>
        <w:pStyle w:val="BodyText"/>
      </w:pPr>
      <w:r>
        <w:t>It is evident from the claims payment data that the volume of patient DAAs supplied has increased substantially between 2012 and 2015 nationally, and that the number of participating pharmacies has also increased, especially in remote and very remote regions. Growth in the program suggests it is considered effective, but the available data do not allow a determ</w:t>
      </w:r>
      <w:r w:rsidRPr="00FA373D">
        <w:t>ination of the reasons for growth (e.g. motivation for take-up of the incentive payment,</w:t>
      </w:r>
      <w:r>
        <w:t xml:space="preserve"> or favourable patient feedback on the program, or both).</w:t>
      </w:r>
    </w:p>
    <w:p w:rsidR="00BF6408" w:rsidRDefault="00BF6408" w:rsidP="00BF6408">
      <w:pPr>
        <w:pStyle w:val="Heading2"/>
      </w:pPr>
      <w:bookmarkStart w:id="131" w:name="_Toc463537994"/>
      <w:bookmarkStart w:id="132" w:name="_Toc523230311"/>
      <w:r>
        <w:t>DAA initiative reach to target populations</w:t>
      </w:r>
      <w:bookmarkEnd w:id="131"/>
      <w:bookmarkEnd w:id="132"/>
    </w:p>
    <w:p w:rsidR="00BF6408" w:rsidRPr="00DE3D9B" w:rsidRDefault="00BF6408" w:rsidP="00527B90">
      <w:r>
        <w:t xml:space="preserve">The </w:t>
      </w:r>
      <w:r w:rsidRPr="00DE3D9B">
        <w:t xml:space="preserve">claims data </w:t>
      </w:r>
      <w:r>
        <w:t xml:space="preserve">do not include any information on the characteristics of the </w:t>
      </w:r>
      <w:r w:rsidRPr="00DE3D9B">
        <w:t>patient</w:t>
      </w:r>
      <w:r>
        <w:t xml:space="preserve">s receiving the DAA service such as </w:t>
      </w:r>
      <w:r w:rsidRPr="00DE3D9B">
        <w:t xml:space="preserve">age, </w:t>
      </w:r>
      <w:r>
        <w:t xml:space="preserve">or indicators of </w:t>
      </w:r>
      <w:r w:rsidRPr="00DE3D9B">
        <w:t>frailty, mental faculties or health</w:t>
      </w:r>
      <w:r>
        <w:t xml:space="preserve"> status</w:t>
      </w:r>
      <w:r w:rsidRPr="00DE3D9B">
        <w:t xml:space="preserve">; or indeed any other </w:t>
      </w:r>
      <w:r>
        <w:t xml:space="preserve">data that would assist in </w:t>
      </w:r>
      <w:r w:rsidRPr="00DE3D9B">
        <w:t>determin</w:t>
      </w:r>
      <w:r>
        <w:t xml:space="preserve">ing whether the </w:t>
      </w:r>
      <w:r w:rsidRPr="00DE3D9B">
        <w:t>patient population</w:t>
      </w:r>
      <w:r>
        <w:t xml:space="preserve"> reached by the DAA program is consistent with what is intended (PSA Guidelines) and/or whether the program is effective</w:t>
      </w:r>
      <w:r w:rsidRPr="00DE3D9B">
        <w:t>.</w:t>
      </w:r>
    </w:p>
    <w:p w:rsidR="00BF6408" w:rsidRDefault="00BF6408" w:rsidP="00BF6408">
      <w:pPr>
        <w:pStyle w:val="BodyText"/>
        <w:rPr>
          <w:iCs/>
        </w:rPr>
      </w:pPr>
      <w:r w:rsidRPr="00E56C08">
        <w:lastRenderedPageBreak/>
        <w:t xml:space="preserve">Nonetheless, assuming that the program </w:t>
      </w:r>
      <w:r>
        <w:t>is</w:t>
      </w:r>
      <w:r w:rsidRPr="00E56C08">
        <w:t xml:space="preserve"> reaching the intended target groups, it should be possible to observe a relationship between</w:t>
      </w:r>
      <w:r>
        <w:t>, for example,</w:t>
      </w:r>
      <w:r w:rsidRPr="00E56C08">
        <w:t xml:space="preserve"> chronic disease prevalence and the per-capita volumes</w:t>
      </w:r>
      <w:r w:rsidRPr="00E56C08">
        <w:rPr>
          <w:iCs/>
        </w:rPr>
        <w:t xml:space="preserve"> of DAAs claimed for pharmacies</w:t>
      </w:r>
      <w:bookmarkStart w:id="133" w:name="_Ref463437207"/>
      <w:r w:rsidRPr="00E56C08">
        <w:rPr>
          <w:iCs/>
        </w:rPr>
        <w:t xml:space="preserve"> at </w:t>
      </w:r>
      <w:r>
        <w:rPr>
          <w:iCs/>
        </w:rPr>
        <w:t xml:space="preserve">geographic </w:t>
      </w:r>
      <w:r w:rsidRPr="00E56C08">
        <w:rPr>
          <w:iCs/>
        </w:rPr>
        <w:t xml:space="preserve">area level (i.e. </w:t>
      </w:r>
      <w:r>
        <w:rPr>
          <w:iCs/>
        </w:rPr>
        <w:t xml:space="preserve">it might be expected that </w:t>
      </w:r>
      <w:r w:rsidRPr="00E56C08">
        <w:rPr>
          <w:iCs/>
        </w:rPr>
        <w:t xml:space="preserve">areas with high chronic disease prevalence would also have a high </w:t>
      </w:r>
      <w:r>
        <w:rPr>
          <w:iCs/>
        </w:rPr>
        <w:t xml:space="preserve">per capita </w:t>
      </w:r>
      <w:r w:rsidRPr="00E56C08">
        <w:rPr>
          <w:iCs/>
        </w:rPr>
        <w:t xml:space="preserve">incidence of </w:t>
      </w:r>
      <w:r>
        <w:rPr>
          <w:iCs/>
        </w:rPr>
        <w:t xml:space="preserve">DAA services and </w:t>
      </w:r>
      <w:r w:rsidRPr="00E56C08">
        <w:rPr>
          <w:iCs/>
        </w:rPr>
        <w:t>claims</w:t>
      </w:r>
      <w:r>
        <w:rPr>
          <w:iCs/>
        </w:rPr>
        <w:t>)</w:t>
      </w:r>
      <w:r w:rsidRPr="00E56C08">
        <w:rPr>
          <w:iCs/>
        </w:rPr>
        <w:t>.</w:t>
      </w:r>
    </w:p>
    <w:p w:rsidR="00BF6408" w:rsidRDefault="00BF6408" w:rsidP="00BF6408">
      <w:pPr>
        <w:pStyle w:val="BodyText"/>
        <w:rPr>
          <w:iCs/>
          <w:szCs w:val="24"/>
        </w:rPr>
      </w:pPr>
      <w:r>
        <w:rPr>
          <w:iCs/>
        </w:rPr>
        <w:t xml:space="preserve">To illustrate, Table 7.3 </w:t>
      </w:r>
      <w:r w:rsidRPr="00E56C08">
        <w:rPr>
          <w:iCs/>
          <w:szCs w:val="24"/>
        </w:rPr>
        <w:t xml:space="preserve">looks at the distribution </w:t>
      </w:r>
      <w:r>
        <w:rPr>
          <w:iCs/>
          <w:szCs w:val="24"/>
        </w:rPr>
        <w:t xml:space="preserve">across </w:t>
      </w:r>
      <w:r w:rsidRPr="00E56C08">
        <w:rPr>
          <w:iCs/>
          <w:szCs w:val="24"/>
        </w:rPr>
        <w:t xml:space="preserve">PHNs </w:t>
      </w:r>
      <w:r>
        <w:rPr>
          <w:iCs/>
          <w:szCs w:val="24"/>
        </w:rPr>
        <w:t xml:space="preserve">areas </w:t>
      </w:r>
      <w:r w:rsidRPr="00E56C08">
        <w:rPr>
          <w:iCs/>
          <w:szCs w:val="24"/>
        </w:rPr>
        <w:t xml:space="preserve">for DAA </w:t>
      </w:r>
      <w:r>
        <w:rPr>
          <w:iCs/>
          <w:szCs w:val="24"/>
        </w:rPr>
        <w:t xml:space="preserve">service </w:t>
      </w:r>
      <w:r w:rsidRPr="00E56C08">
        <w:rPr>
          <w:iCs/>
          <w:szCs w:val="24"/>
        </w:rPr>
        <w:t xml:space="preserve">volumes against estimated </w:t>
      </w:r>
      <w:r>
        <w:rPr>
          <w:iCs/>
          <w:szCs w:val="24"/>
        </w:rPr>
        <w:t xml:space="preserve">diabetes (as an illustrative chronic disease) prevalence (i.e. proportion of the </w:t>
      </w:r>
      <w:r w:rsidRPr="00E56C08">
        <w:rPr>
          <w:iCs/>
          <w:szCs w:val="24"/>
        </w:rPr>
        <w:t>population</w:t>
      </w:r>
      <w:r>
        <w:rPr>
          <w:iCs/>
          <w:szCs w:val="24"/>
        </w:rPr>
        <w:t xml:space="preserve"> in the PHN area with diabetes</w:t>
      </w:r>
      <w:r w:rsidRPr="00E56C08">
        <w:rPr>
          <w:iCs/>
          <w:szCs w:val="24"/>
        </w:rPr>
        <w:t xml:space="preserve">). </w:t>
      </w:r>
      <w:r>
        <w:rPr>
          <w:iCs/>
          <w:szCs w:val="24"/>
        </w:rPr>
        <w:t xml:space="preserve"> Please note that t</w:t>
      </w:r>
      <w:r w:rsidRPr="00E56C08">
        <w:rPr>
          <w:iCs/>
          <w:szCs w:val="24"/>
        </w:rPr>
        <w:t>he high, medium and low groupings in</w:t>
      </w:r>
      <w:r>
        <w:rPr>
          <w:iCs/>
          <w:szCs w:val="24"/>
        </w:rPr>
        <w:t xml:space="preserve"> Table 7.3 </w:t>
      </w:r>
      <w:r w:rsidRPr="00E56C08">
        <w:rPr>
          <w:iCs/>
          <w:szCs w:val="24"/>
        </w:rPr>
        <w:t>are calculated by dividing the values for each of the metrics into three even segments between the highest and lowest values for all PHNs.  Microsoft Excel is used to apply heat map colour coding to show where the range of values for each metric fall.</w:t>
      </w:r>
    </w:p>
    <w:p w:rsidR="00BF6408" w:rsidRDefault="00BF6408" w:rsidP="00BF6408">
      <w:pPr>
        <w:pStyle w:val="Caption"/>
      </w:pPr>
      <w:bookmarkStart w:id="134" w:name="_Toc523230342"/>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7</w:t>
      </w:r>
      <w:r w:rsidR="00964233">
        <w:rPr>
          <w:noProof/>
        </w:rPr>
        <w:fldChar w:fldCharType="end"/>
      </w:r>
      <w:r>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3</w:t>
      </w:r>
      <w:r w:rsidR="00964233">
        <w:rPr>
          <w:noProof/>
        </w:rPr>
        <w:fldChar w:fldCharType="end"/>
      </w:r>
      <w:r>
        <w:tab/>
        <w:t>Diabetes prevalence and DAA service volumes and dollars claimed</w:t>
      </w:r>
      <w:r w:rsidRPr="007D5DFE">
        <w:t xml:space="preserve"> </w:t>
      </w:r>
      <w:r>
        <w:t>per capita, 2015</w:t>
      </w:r>
      <w:bookmarkEnd w:id="134"/>
    </w:p>
    <w:tbl>
      <w:tblPr>
        <w:tblW w:w="5000" w:type="pct"/>
        <w:tblLayout w:type="fixed"/>
        <w:tblCellMar>
          <w:left w:w="57" w:type="dxa"/>
          <w:right w:w="57" w:type="dxa"/>
        </w:tblCellMar>
        <w:tblLook w:val="04A0" w:firstRow="1" w:lastRow="0" w:firstColumn="1" w:lastColumn="0" w:noHBand="0" w:noVBand="1"/>
        <w:tblCaption w:val="Table 7.3"/>
        <w:tblDescription w:val="Diabetes prevalence and DAA service volumes and dollars claimed per capita, 2015"/>
      </w:tblPr>
      <w:tblGrid>
        <w:gridCol w:w="3304"/>
        <w:gridCol w:w="1052"/>
        <w:gridCol w:w="1052"/>
        <w:gridCol w:w="1053"/>
        <w:gridCol w:w="1052"/>
        <w:gridCol w:w="1052"/>
        <w:gridCol w:w="1053"/>
      </w:tblGrid>
      <w:tr w:rsidR="00BF6408" w:rsidRPr="00852D1D" w:rsidTr="00982A19">
        <w:trPr>
          <w:trHeight w:val="227"/>
        </w:trPr>
        <w:tc>
          <w:tcPr>
            <w:tcW w:w="3109" w:type="dxa"/>
            <w:tcBorders>
              <w:top w:val="single" w:sz="8" w:space="0" w:color="auto"/>
              <w:left w:val="single" w:sz="8" w:space="0" w:color="auto"/>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P</w:t>
            </w:r>
            <w:r>
              <w:rPr>
                <w:rFonts w:eastAsia="Times New Roman" w:cs="Times New Roman"/>
                <w:b/>
                <w:bCs/>
                <w:color w:val="FFFFFF"/>
                <w:sz w:val="18"/>
                <w:szCs w:val="18"/>
                <w:lang w:eastAsia="en-AU"/>
              </w:rPr>
              <w:t xml:space="preserve">rimary </w:t>
            </w:r>
            <w:r w:rsidRPr="00852D1D">
              <w:rPr>
                <w:rFonts w:eastAsia="Times New Roman" w:cs="Times New Roman"/>
                <w:b/>
                <w:bCs/>
                <w:color w:val="FFFFFF"/>
                <w:sz w:val="18"/>
                <w:szCs w:val="18"/>
                <w:lang w:eastAsia="en-AU"/>
              </w:rPr>
              <w:t>H</w:t>
            </w:r>
            <w:r>
              <w:rPr>
                <w:rFonts w:eastAsia="Times New Roman" w:cs="Times New Roman"/>
                <w:b/>
                <w:bCs/>
                <w:color w:val="FFFFFF"/>
                <w:sz w:val="18"/>
                <w:szCs w:val="18"/>
                <w:lang w:eastAsia="en-AU"/>
              </w:rPr>
              <w:t xml:space="preserve">ealth </w:t>
            </w:r>
            <w:r w:rsidRPr="00852D1D">
              <w:rPr>
                <w:rFonts w:eastAsia="Times New Roman" w:cs="Times New Roman"/>
                <w:b/>
                <w:bCs/>
                <w:color w:val="FFFFFF"/>
                <w:sz w:val="18"/>
                <w:szCs w:val="18"/>
                <w:lang w:eastAsia="en-AU"/>
              </w:rPr>
              <w:t>N</w:t>
            </w:r>
            <w:r>
              <w:rPr>
                <w:rFonts w:eastAsia="Times New Roman" w:cs="Times New Roman"/>
                <w:b/>
                <w:bCs/>
                <w:color w:val="FFFFFF"/>
                <w:sz w:val="18"/>
                <w:szCs w:val="18"/>
                <w:lang w:eastAsia="en-AU"/>
              </w:rPr>
              <w:t>etwork</w:t>
            </w:r>
          </w:p>
        </w:tc>
        <w:tc>
          <w:tcPr>
            <w:tcW w:w="990" w:type="dxa"/>
            <w:tcBorders>
              <w:top w:val="single" w:sz="8" w:space="0" w:color="auto"/>
              <w:left w:val="nil"/>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Diabetes </w:t>
            </w:r>
            <w:r>
              <w:rPr>
                <w:rFonts w:eastAsia="Times New Roman" w:cs="Times New Roman"/>
                <w:b/>
                <w:bCs/>
                <w:color w:val="FFFFFF"/>
                <w:sz w:val="18"/>
                <w:szCs w:val="18"/>
                <w:lang w:eastAsia="en-AU"/>
              </w:rPr>
              <w:t>p</w:t>
            </w:r>
            <w:r w:rsidRPr="00852D1D">
              <w:rPr>
                <w:rFonts w:eastAsia="Times New Roman" w:cs="Times New Roman"/>
                <w:b/>
                <w:bCs/>
                <w:color w:val="FFFFFF"/>
                <w:sz w:val="18"/>
                <w:szCs w:val="18"/>
                <w:lang w:eastAsia="en-AU"/>
              </w:rPr>
              <w:t>revalence</w:t>
            </w:r>
          </w:p>
        </w:tc>
        <w:tc>
          <w:tcPr>
            <w:tcW w:w="990" w:type="dxa"/>
            <w:tcBorders>
              <w:top w:val="single" w:sz="8" w:space="0" w:color="auto"/>
              <w:left w:val="nil"/>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Diabetes </w:t>
            </w:r>
            <w:r>
              <w:rPr>
                <w:rFonts w:eastAsia="Times New Roman" w:cs="Times New Roman"/>
                <w:b/>
                <w:bCs/>
                <w:color w:val="FFFFFF"/>
                <w:sz w:val="18"/>
                <w:szCs w:val="18"/>
                <w:lang w:eastAsia="en-AU"/>
              </w:rPr>
              <w:t>prevalence r</w:t>
            </w:r>
            <w:r w:rsidRPr="00852D1D">
              <w:rPr>
                <w:rFonts w:eastAsia="Times New Roman" w:cs="Times New Roman"/>
                <w:b/>
                <w:bCs/>
                <w:color w:val="FFFFFF"/>
                <w:sz w:val="18"/>
                <w:szCs w:val="18"/>
                <w:lang w:eastAsia="en-AU"/>
              </w:rPr>
              <w:t>ange</w:t>
            </w:r>
          </w:p>
        </w:tc>
        <w:tc>
          <w:tcPr>
            <w:tcW w:w="991" w:type="dxa"/>
            <w:tcBorders>
              <w:top w:val="single" w:sz="8" w:space="0" w:color="auto"/>
              <w:left w:val="nil"/>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Average DAA s</w:t>
            </w:r>
            <w:r w:rsidRPr="00852D1D">
              <w:rPr>
                <w:rFonts w:eastAsia="Times New Roman" w:cs="Times New Roman"/>
                <w:b/>
                <w:bCs/>
                <w:color w:val="FFFFFF"/>
                <w:sz w:val="18"/>
                <w:szCs w:val="18"/>
                <w:lang w:eastAsia="en-AU"/>
              </w:rPr>
              <w:t xml:space="preserve">ervices per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apita</w:t>
            </w:r>
          </w:p>
        </w:tc>
        <w:tc>
          <w:tcPr>
            <w:tcW w:w="990" w:type="dxa"/>
            <w:tcBorders>
              <w:top w:val="single" w:sz="8" w:space="0" w:color="auto"/>
              <w:left w:val="nil"/>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s</w:t>
            </w:r>
            <w:r w:rsidRPr="00852D1D">
              <w:rPr>
                <w:rFonts w:eastAsia="Times New Roman" w:cs="Times New Roman"/>
                <w:b/>
                <w:bCs/>
                <w:color w:val="FFFFFF"/>
                <w:sz w:val="18"/>
                <w:szCs w:val="18"/>
                <w:lang w:eastAsia="en-AU"/>
              </w:rPr>
              <w:t>ervices</w:t>
            </w:r>
            <w:r>
              <w:rPr>
                <w:rFonts w:eastAsia="Times New Roman" w:cs="Times New Roman"/>
                <w:b/>
                <w:bCs/>
                <w:color w:val="FFFFFF"/>
                <w:sz w:val="18"/>
                <w:szCs w:val="18"/>
                <w:lang w:eastAsia="en-AU"/>
              </w:rPr>
              <w:t xml:space="preserve"> /capita</w:t>
            </w:r>
            <w:r w:rsidRPr="00852D1D">
              <w:rPr>
                <w:rFonts w:eastAsia="Times New Roman" w:cs="Times New Roman"/>
                <w:b/>
                <w:bCs/>
                <w:color w:val="FFFFFF"/>
                <w:sz w:val="18"/>
                <w:szCs w:val="18"/>
                <w:lang w:eastAsia="en-AU"/>
              </w:rPr>
              <w:t xml:space="preserve"> </w:t>
            </w:r>
            <w:r>
              <w:rPr>
                <w:rFonts w:eastAsia="Times New Roman" w:cs="Times New Roman"/>
                <w:b/>
                <w:bCs/>
                <w:color w:val="FFFFFF"/>
                <w:sz w:val="18"/>
                <w:szCs w:val="18"/>
                <w:lang w:eastAsia="en-AU"/>
              </w:rPr>
              <w:t>r</w:t>
            </w:r>
            <w:r w:rsidRPr="00852D1D">
              <w:rPr>
                <w:rFonts w:eastAsia="Times New Roman" w:cs="Times New Roman"/>
                <w:b/>
                <w:bCs/>
                <w:color w:val="FFFFFF"/>
                <w:sz w:val="18"/>
                <w:szCs w:val="18"/>
                <w:lang w:eastAsia="en-AU"/>
              </w:rPr>
              <w:t>ange</w:t>
            </w:r>
          </w:p>
        </w:tc>
        <w:tc>
          <w:tcPr>
            <w:tcW w:w="990" w:type="dxa"/>
            <w:tcBorders>
              <w:top w:val="single" w:sz="8" w:space="0" w:color="auto"/>
              <w:left w:val="nil"/>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 xml:space="preserve">Average </w:t>
            </w: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 xml:space="preserve">laim per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apita</w:t>
            </w:r>
          </w:p>
        </w:tc>
        <w:tc>
          <w:tcPr>
            <w:tcW w:w="991" w:type="dxa"/>
            <w:tcBorders>
              <w:top w:val="single" w:sz="8" w:space="0" w:color="auto"/>
              <w:left w:val="nil"/>
              <w:bottom w:val="single" w:sz="8" w:space="0" w:color="auto"/>
              <w:right w:val="single" w:sz="8" w:space="0" w:color="auto"/>
            </w:tcBorders>
            <w:shd w:val="clear" w:color="000000" w:fill="366091"/>
            <w:tcMar>
              <w:left w:w="0" w:type="dxa"/>
              <w:right w:w="0" w:type="dxa"/>
            </w:tcMar>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laim</w:t>
            </w:r>
            <w:r>
              <w:rPr>
                <w:rFonts w:eastAsia="Times New Roman" w:cs="Times New Roman"/>
                <w:b/>
                <w:bCs/>
                <w:color w:val="FFFFFF"/>
                <w:sz w:val="18"/>
                <w:szCs w:val="18"/>
                <w:lang w:eastAsia="en-AU"/>
              </w:rPr>
              <w:t xml:space="preserve"> /capita ra</w:t>
            </w:r>
            <w:r w:rsidRPr="00852D1D">
              <w:rPr>
                <w:rFonts w:eastAsia="Times New Roman" w:cs="Times New Roman"/>
                <w:b/>
                <w:bCs/>
                <w:color w:val="FFFFFF"/>
                <w:sz w:val="18"/>
                <w:szCs w:val="18"/>
                <w:lang w:eastAsia="en-AU"/>
              </w:rPr>
              <w:t>nge</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Queensland</w:t>
            </w:r>
          </w:p>
        </w:tc>
        <w:tc>
          <w:tcPr>
            <w:tcW w:w="990"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2.1%</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85A8D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0.442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Queensland</w:t>
            </w:r>
          </w:p>
        </w:tc>
        <w:tc>
          <w:tcPr>
            <w:tcW w:w="990" w:type="dxa"/>
            <w:tcBorders>
              <w:top w:val="nil"/>
              <w:left w:val="nil"/>
              <w:bottom w:val="single" w:sz="8" w:space="0" w:color="auto"/>
              <w:right w:val="single" w:sz="8" w:space="0" w:color="auto"/>
            </w:tcBorders>
            <w:shd w:val="clear" w:color="000000" w:fill="A5BFE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DFE7F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0.594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E2EAF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$1.81</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Eastern Melbourne</w:t>
            </w:r>
          </w:p>
        </w:tc>
        <w:tc>
          <w:tcPr>
            <w:tcW w:w="990" w:type="dxa"/>
            <w:tcBorders>
              <w:top w:val="nil"/>
              <w:left w:val="nil"/>
              <w:bottom w:val="single" w:sz="8" w:space="0" w:color="auto"/>
              <w:right w:val="single" w:sz="8" w:space="0" w:color="auto"/>
            </w:tcBorders>
            <w:shd w:val="clear" w:color="000000" w:fill="C6D6E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3.1%</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7099C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0.406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82A6D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Territory</w:t>
            </w:r>
          </w:p>
        </w:tc>
        <w:tc>
          <w:tcPr>
            <w:tcW w:w="990" w:type="dxa"/>
            <w:tcBorders>
              <w:top w:val="nil"/>
              <w:left w:val="nil"/>
              <w:bottom w:val="single" w:sz="8" w:space="0" w:color="auto"/>
              <w:right w:val="single" w:sz="8" w:space="0" w:color="auto"/>
            </w:tcBorders>
            <w:shd w:val="clear" w:color="000000" w:fill="C6D6E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3.1%</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1.350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0" w:type="dxa"/>
            <w:tcBorders>
              <w:top w:val="nil"/>
              <w:left w:val="nil"/>
              <w:bottom w:val="single" w:sz="8" w:space="0" w:color="auto"/>
              <w:right w:val="single" w:sz="8" w:space="0" w:color="auto"/>
            </w:tcBorders>
            <w:shd w:val="clear" w:color="000000" w:fill="F9808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$3.27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Brisbane North</w:t>
            </w:r>
          </w:p>
        </w:tc>
        <w:tc>
          <w:tcPr>
            <w:tcW w:w="990" w:type="dxa"/>
            <w:tcBorders>
              <w:top w:val="nil"/>
              <w:left w:val="nil"/>
              <w:bottom w:val="single" w:sz="8" w:space="0" w:color="auto"/>
              <w:right w:val="single" w:sz="8" w:space="0" w:color="auto"/>
            </w:tcBorders>
            <w:shd w:val="clear" w:color="000000" w:fill="D0DDE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A7C0E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0.500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B5CAE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Country WA</w:t>
            </w:r>
          </w:p>
        </w:tc>
        <w:tc>
          <w:tcPr>
            <w:tcW w:w="990" w:type="dxa"/>
            <w:tcBorders>
              <w:top w:val="nil"/>
              <w:left w:val="nil"/>
              <w:bottom w:val="single" w:sz="8" w:space="0" w:color="auto"/>
              <w:right w:val="single" w:sz="8" w:space="0" w:color="auto"/>
            </w:tcBorders>
            <w:shd w:val="clear" w:color="000000" w:fill="D0DDE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FCDFE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0.785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CE6E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$2.16</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Eastern Melbourne</w:t>
            </w:r>
          </w:p>
        </w:tc>
        <w:tc>
          <w:tcPr>
            <w:tcW w:w="990" w:type="dxa"/>
            <w:tcBorders>
              <w:top w:val="nil"/>
              <w:left w:val="nil"/>
              <w:bottom w:val="single" w:sz="8" w:space="0" w:color="auto"/>
              <w:right w:val="single" w:sz="8" w:space="0" w:color="auto"/>
            </w:tcBorders>
            <w:shd w:val="clear" w:color="000000" w:fill="D0DDE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85A8D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0.442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94B2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Australian Capital Territory</w:t>
            </w:r>
          </w:p>
        </w:tc>
        <w:tc>
          <w:tcPr>
            <w:tcW w:w="990" w:type="dxa"/>
            <w:tcBorders>
              <w:top w:val="nil"/>
              <w:left w:val="nil"/>
              <w:bottom w:val="single" w:sz="8" w:space="0" w:color="auto"/>
              <w:right w:val="single" w:sz="8" w:space="0" w:color="auto"/>
            </w:tcBorders>
            <w:shd w:val="clear" w:color="000000" w:fill="DBE5F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CF8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0.663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D3DFF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$1.75</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Murray</w:t>
            </w:r>
          </w:p>
        </w:tc>
        <w:tc>
          <w:tcPr>
            <w:tcW w:w="990" w:type="dxa"/>
            <w:tcBorders>
              <w:top w:val="nil"/>
              <w:left w:val="nil"/>
              <w:bottom w:val="single" w:sz="8" w:space="0" w:color="auto"/>
              <w:right w:val="single" w:sz="8" w:space="0" w:color="auto"/>
            </w:tcBorders>
            <w:shd w:val="clear" w:color="000000" w:fill="DBE5F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BCBC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0.880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DB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$2.78</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Sydney</w:t>
            </w:r>
          </w:p>
        </w:tc>
        <w:tc>
          <w:tcPr>
            <w:tcW w:w="990" w:type="dxa"/>
            <w:tcBorders>
              <w:top w:val="nil"/>
              <w:left w:val="nil"/>
              <w:bottom w:val="single" w:sz="8" w:space="0" w:color="auto"/>
              <w:right w:val="single" w:sz="8" w:space="0" w:color="auto"/>
            </w:tcBorders>
            <w:shd w:val="clear" w:color="000000" w:fill="DBE5F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A95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0.396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6692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Victoria</w:t>
            </w:r>
          </w:p>
        </w:tc>
        <w:tc>
          <w:tcPr>
            <w:tcW w:w="990" w:type="dxa"/>
            <w:tcBorders>
              <w:top w:val="nil"/>
              <w:left w:val="nil"/>
              <w:bottom w:val="single" w:sz="8" w:space="0" w:color="auto"/>
              <w:right w:val="single" w:sz="8" w:space="0" w:color="auto"/>
            </w:tcBorders>
            <w:shd w:val="clear" w:color="000000" w:fill="DBE5F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BCFD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0.864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BBDC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$2.60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Perth North</w:t>
            </w:r>
          </w:p>
        </w:tc>
        <w:tc>
          <w:tcPr>
            <w:tcW w:w="990" w:type="dxa"/>
            <w:tcBorders>
              <w:top w:val="nil"/>
              <w:left w:val="nil"/>
              <w:bottom w:val="single" w:sz="8" w:space="0" w:color="auto"/>
              <w:right w:val="single" w:sz="8" w:space="0" w:color="auto"/>
            </w:tcBorders>
            <w:shd w:val="clear" w:color="000000" w:fill="E6ECF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95B3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0.469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94B2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Gippsland</w:t>
            </w:r>
          </w:p>
        </w:tc>
        <w:tc>
          <w:tcPr>
            <w:tcW w:w="990" w:type="dxa"/>
            <w:tcBorders>
              <w:top w:val="nil"/>
              <w:left w:val="nil"/>
              <w:bottom w:val="single" w:sz="8" w:space="0" w:color="auto"/>
              <w:right w:val="single" w:sz="8" w:space="0" w:color="auto"/>
            </w:tcBorders>
            <w:shd w:val="clear" w:color="000000" w:fill="F1F4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CE1E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0.773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BC8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$2.49</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Gold Coast</w:t>
            </w:r>
          </w:p>
        </w:tc>
        <w:tc>
          <w:tcPr>
            <w:tcW w:w="990" w:type="dxa"/>
            <w:tcBorders>
              <w:top w:val="nil"/>
              <w:left w:val="nil"/>
              <w:bottom w:val="single" w:sz="8" w:space="0" w:color="auto"/>
              <w:right w:val="single" w:sz="8" w:space="0" w:color="auto"/>
            </w:tcBorders>
            <w:shd w:val="clear" w:color="000000" w:fill="F1F4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A95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0.396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7FA4D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Perth South</w:t>
            </w:r>
          </w:p>
        </w:tc>
        <w:tc>
          <w:tcPr>
            <w:tcW w:w="990" w:type="dxa"/>
            <w:tcBorders>
              <w:top w:val="nil"/>
              <w:left w:val="nil"/>
              <w:bottom w:val="single" w:sz="8" w:space="0" w:color="auto"/>
              <w:right w:val="single" w:sz="8" w:space="0" w:color="auto"/>
            </w:tcBorders>
            <w:shd w:val="clear" w:color="000000" w:fill="F1F4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7CA2D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0.427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759DC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$1.38</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Brisbane South</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92B1D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0.464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A0BBD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$1.55</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Darling Downs and West Moreton</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CE3E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0.764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BD0D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$2.40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Nepean Blue Mountains</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CEDBE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0.565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$1.91</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NSW</w:t>
            </w:r>
          </w:p>
        </w:tc>
        <w:tc>
          <w:tcPr>
            <w:tcW w:w="990" w:type="dxa"/>
            <w:tcBorders>
              <w:top w:val="nil"/>
              <w:left w:val="nil"/>
              <w:bottom w:val="single" w:sz="8" w:space="0" w:color="auto"/>
              <w:right w:val="single" w:sz="8" w:space="0" w:color="auto"/>
            </w:tcBorders>
            <w:shd w:val="clear" w:color="000000" w:fill="FCEDF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98B8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1.190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0"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$3.52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 Western Melbourne</w:t>
            </w:r>
          </w:p>
        </w:tc>
        <w:tc>
          <w:tcPr>
            <w:tcW w:w="990" w:type="dxa"/>
            <w:tcBorders>
              <w:top w:val="nil"/>
              <w:left w:val="nil"/>
              <w:bottom w:val="single" w:sz="8" w:space="0" w:color="auto"/>
              <w:right w:val="single" w:sz="8" w:space="0" w:color="auto"/>
            </w:tcBorders>
            <w:shd w:val="clear" w:color="000000" w:fill="FCE5E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0.368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6B96C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$1.34</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Hunter New England and Central Coast</w:t>
            </w:r>
          </w:p>
        </w:tc>
        <w:tc>
          <w:tcPr>
            <w:tcW w:w="990" w:type="dxa"/>
            <w:tcBorders>
              <w:top w:val="nil"/>
              <w:left w:val="nil"/>
              <w:bottom w:val="single" w:sz="8" w:space="0" w:color="auto"/>
              <w:right w:val="single" w:sz="8" w:space="0" w:color="auto"/>
            </w:tcBorders>
            <w:shd w:val="clear" w:color="000000" w:fill="FCDEE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BC6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0.904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CA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$2.79</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Murrumbidgee</w:t>
            </w:r>
          </w:p>
        </w:tc>
        <w:tc>
          <w:tcPr>
            <w:tcW w:w="990" w:type="dxa"/>
            <w:tcBorders>
              <w:top w:val="nil"/>
              <w:left w:val="nil"/>
              <w:bottom w:val="single" w:sz="8" w:space="0" w:color="auto"/>
              <w:right w:val="single" w:sz="8" w:space="0" w:color="auto"/>
            </w:tcBorders>
            <w:shd w:val="clear" w:color="000000" w:fill="FCDEE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A9B9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1.110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0" w:type="dxa"/>
            <w:tcBorders>
              <w:top w:val="nil"/>
              <w:left w:val="nil"/>
              <w:bottom w:val="single" w:sz="8" w:space="0" w:color="auto"/>
              <w:right w:val="single" w:sz="8" w:space="0" w:color="auto"/>
            </w:tcBorders>
            <w:shd w:val="clear" w:color="000000" w:fill="F97C7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Central Queensland, Wide Bay, Sunshine Coast</w:t>
            </w:r>
          </w:p>
        </w:tc>
        <w:tc>
          <w:tcPr>
            <w:tcW w:w="990" w:type="dxa"/>
            <w:tcBorders>
              <w:top w:val="nil"/>
              <w:left w:val="nil"/>
              <w:bottom w:val="single" w:sz="8" w:space="0" w:color="auto"/>
              <w:right w:val="single" w:sz="8" w:space="0" w:color="auto"/>
            </w:tcBorders>
            <w:shd w:val="clear" w:color="000000" w:fill="FBD6D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4.1%</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0.643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FCECE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$2.09</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Central and Eastern Sydney</w:t>
            </w:r>
          </w:p>
        </w:tc>
        <w:tc>
          <w:tcPr>
            <w:tcW w:w="990" w:type="dxa"/>
            <w:tcBorders>
              <w:top w:val="nil"/>
              <w:left w:val="nil"/>
              <w:bottom w:val="single" w:sz="8" w:space="0" w:color="auto"/>
              <w:right w:val="single" w:sz="8" w:space="0" w:color="auto"/>
            </w:tcBorders>
            <w:shd w:val="clear" w:color="000000" w:fill="FBCED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390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0.384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6491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$1.31</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Tasmania</w:t>
            </w:r>
          </w:p>
        </w:tc>
        <w:tc>
          <w:tcPr>
            <w:tcW w:w="990" w:type="dxa"/>
            <w:tcBorders>
              <w:top w:val="nil"/>
              <w:left w:val="nil"/>
              <w:bottom w:val="single" w:sz="8" w:space="0" w:color="auto"/>
              <w:right w:val="single" w:sz="8" w:space="0" w:color="auto"/>
            </w:tcBorders>
            <w:shd w:val="clear" w:color="000000" w:fill="FBC6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CE1E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0.773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CDCD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$2.27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Sydney</w:t>
            </w:r>
          </w:p>
        </w:tc>
        <w:tc>
          <w:tcPr>
            <w:tcW w:w="990" w:type="dxa"/>
            <w:tcBorders>
              <w:top w:val="nil"/>
              <w:left w:val="nil"/>
              <w:bottom w:val="single" w:sz="8" w:space="0" w:color="auto"/>
              <w:right w:val="single" w:sz="8" w:space="0" w:color="auto"/>
            </w:tcBorders>
            <w:shd w:val="clear" w:color="000000" w:fill="FBC6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692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0.389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82A6D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 Coast</w:t>
            </w:r>
          </w:p>
        </w:tc>
        <w:tc>
          <w:tcPr>
            <w:tcW w:w="990" w:type="dxa"/>
            <w:tcBorders>
              <w:top w:val="nil"/>
              <w:left w:val="nil"/>
              <w:bottom w:val="single" w:sz="8" w:space="0" w:color="auto"/>
              <w:right w:val="single" w:sz="8" w:space="0" w:color="auto"/>
            </w:tcBorders>
            <w:shd w:val="clear" w:color="000000" w:fill="FAAFB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C8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0.896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B1B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$2.74</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Eastern NSW</w:t>
            </w:r>
          </w:p>
        </w:tc>
        <w:tc>
          <w:tcPr>
            <w:tcW w:w="990" w:type="dxa"/>
            <w:tcBorders>
              <w:top w:val="nil"/>
              <w:left w:val="nil"/>
              <w:bottom w:val="single" w:sz="8" w:space="0" w:color="auto"/>
              <w:right w:val="single" w:sz="8" w:space="0" w:color="auto"/>
            </w:tcBorders>
            <w:shd w:val="clear" w:color="000000" w:fill="FAA0A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B7B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0.979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2A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$2.90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Country SA</w:t>
            </w:r>
          </w:p>
        </w:tc>
        <w:tc>
          <w:tcPr>
            <w:tcW w:w="990" w:type="dxa"/>
            <w:tcBorders>
              <w:top w:val="nil"/>
              <w:left w:val="nil"/>
              <w:bottom w:val="single" w:sz="8" w:space="0" w:color="auto"/>
              <w:right w:val="single" w:sz="8" w:space="0" w:color="auto"/>
            </w:tcBorders>
            <w:shd w:val="clear" w:color="000000" w:fill="FA989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BBB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0.956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6A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$2.86</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Adelaide</w:t>
            </w:r>
          </w:p>
        </w:tc>
        <w:tc>
          <w:tcPr>
            <w:tcW w:w="990" w:type="dxa"/>
            <w:tcBorders>
              <w:top w:val="nil"/>
              <w:left w:val="nil"/>
              <w:bottom w:val="single" w:sz="8" w:space="0" w:color="auto"/>
              <w:right w:val="single" w:sz="8" w:space="0" w:color="auto"/>
            </w:tcBorders>
            <w:shd w:val="clear" w:color="000000" w:fill="F9818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5.2%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F7F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0.670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FCE7E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$2.14</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Western Sydney</w:t>
            </w:r>
          </w:p>
        </w:tc>
        <w:tc>
          <w:tcPr>
            <w:tcW w:w="990"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5.5%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93B2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0.465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B5CAE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Total</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3.8%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0.554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$1.77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r>
    </w:tbl>
    <w:p w:rsidR="00BF6408" w:rsidRDefault="00BF6408" w:rsidP="00BF6408">
      <w:pPr>
        <w:pStyle w:val="08Tablefootnotes"/>
      </w:pPr>
      <w:r>
        <w:t>Source:</w:t>
      </w:r>
      <w:r w:rsidRPr="00B6242F">
        <w:t xml:space="preserve"> </w:t>
      </w:r>
      <w:r>
        <w:t xml:space="preserve">Claims payment data supplied in PPI Total Data Compilation_Copy.xls in conjunction with Phidu_data_pha_aust.xls available from </w:t>
      </w:r>
      <w:hyperlink r:id="rId27" w:anchor="population-projections" w:history="1">
        <w:r w:rsidRPr="00367A7B">
          <w:rPr>
            <w:rStyle w:val="Hyperlink"/>
          </w:rPr>
          <w:t>http://www.phidu.torrens.edu.au/social-health-atlases/indicators-and-notes-on-the-data/social-health-atlases-of-australia-contents#population-projections</w:t>
        </w:r>
      </w:hyperlink>
      <w:r>
        <w:rPr>
          <w:color w:val="1F497D"/>
        </w:rPr>
        <w:t xml:space="preserve"> </w:t>
      </w:r>
      <w:r w:rsidRPr="00E137D0">
        <w:t>(accessed 5</w:t>
      </w:r>
      <w:r w:rsidRPr="00A7428D">
        <w:rPr>
          <w:vertAlign w:val="superscript"/>
        </w:rPr>
        <w:t>th</w:t>
      </w:r>
      <w:r>
        <w:t xml:space="preserve"> </w:t>
      </w:r>
      <w:r w:rsidRPr="00E137D0">
        <w:t>October, 2016)</w:t>
      </w:r>
    </w:p>
    <w:p w:rsidR="00BF6408" w:rsidRDefault="00BF6408" w:rsidP="00BF6408">
      <w:pPr>
        <w:pStyle w:val="09Tablefootnoteslast-nostick"/>
      </w:pPr>
      <w:r>
        <w:t>Abbreviations: DAA, Dose Administration Aids.</w:t>
      </w:r>
    </w:p>
    <w:p w:rsidR="00BF6408" w:rsidRDefault="00BF6408" w:rsidP="00BF6408">
      <w:pPr>
        <w:pStyle w:val="BodyText"/>
        <w:rPr>
          <w:iCs/>
          <w:szCs w:val="24"/>
        </w:rPr>
      </w:pPr>
      <w:r>
        <w:rPr>
          <w:iCs/>
          <w:szCs w:val="24"/>
        </w:rPr>
        <w:t xml:space="preserve">Visual examination of Table 7.3 reveals that there is little relationship between diabetes prevalence and DAA services provided or DAA resources applied.  It shows that only </w:t>
      </w:r>
      <w:r w:rsidRPr="00B6242F">
        <w:rPr>
          <w:iCs/>
          <w:szCs w:val="24"/>
        </w:rPr>
        <w:t>10 of 31 PHNs have the same banding for both disease prevalence</w:t>
      </w:r>
      <w:r>
        <w:rPr>
          <w:iCs/>
          <w:szCs w:val="24"/>
        </w:rPr>
        <w:t>,</w:t>
      </w:r>
      <w:r w:rsidRPr="00B6242F">
        <w:rPr>
          <w:iCs/>
          <w:szCs w:val="24"/>
        </w:rPr>
        <w:t xml:space="preserve"> </w:t>
      </w:r>
      <w:r>
        <w:rPr>
          <w:iCs/>
          <w:szCs w:val="24"/>
        </w:rPr>
        <w:t xml:space="preserve">and average </w:t>
      </w:r>
      <w:r w:rsidRPr="00B6242F">
        <w:rPr>
          <w:iCs/>
          <w:szCs w:val="24"/>
        </w:rPr>
        <w:t xml:space="preserve">DAA </w:t>
      </w:r>
      <w:r>
        <w:rPr>
          <w:iCs/>
          <w:szCs w:val="24"/>
        </w:rPr>
        <w:t>service volume</w:t>
      </w:r>
      <w:r w:rsidRPr="00B6242F">
        <w:rPr>
          <w:iCs/>
          <w:szCs w:val="24"/>
        </w:rPr>
        <w:t xml:space="preserve"> per capita</w:t>
      </w:r>
      <w:r>
        <w:rPr>
          <w:iCs/>
          <w:szCs w:val="24"/>
        </w:rPr>
        <w:t xml:space="preserve"> and average </w:t>
      </w:r>
      <w:r>
        <w:rPr>
          <w:iCs/>
          <w:szCs w:val="24"/>
        </w:rPr>
        <w:lastRenderedPageBreak/>
        <w:t>DAA resources (claims) per capita.  In fact, none of the five highest prevalence diabetes PHNs feature as high DAA services PHNs. The degree of similarity in the heat map coloration of each column is negligible.</w:t>
      </w:r>
    </w:p>
    <w:p w:rsidR="00BF6408" w:rsidRDefault="00BF6408" w:rsidP="00BF6408">
      <w:pPr>
        <w:pStyle w:val="BodyText"/>
        <w:rPr>
          <w:iCs/>
          <w:szCs w:val="24"/>
        </w:rPr>
      </w:pPr>
      <w:r>
        <w:rPr>
          <w:iCs/>
          <w:szCs w:val="24"/>
        </w:rPr>
        <w:t xml:space="preserve">As another illustration, </w:t>
      </w:r>
      <w:r>
        <w:rPr>
          <w:iCs/>
          <w:szCs w:val="24"/>
        </w:rPr>
        <w:fldChar w:fldCharType="begin"/>
      </w:r>
      <w:r>
        <w:rPr>
          <w:iCs/>
          <w:szCs w:val="24"/>
        </w:rPr>
        <w:instrText xml:space="preserve"> REF _Ref463539235 \h </w:instrText>
      </w:r>
      <w:r>
        <w:rPr>
          <w:iCs/>
          <w:szCs w:val="24"/>
        </w:rPr>
      </w:r>
      <w:r>
        <w:rPr>
          <w:iCs/>
          <w:szCs w:val="24"/>
        </w:rPr>
        <w:fldChar w:fldCharType="separate"/>
      </w:r>
      <w:r w:rsidR="00964233">
        <w:t xml:space="preserve">Table </w:t>
      </w:r>
      <w:r w:rsidR="00964233">
        <w:rPr>
          <w:noProof/>
        </w:rPr>
        <w:t>7</w:t>
      </w:r>
      <w:r w:rsidR="00964233">
        <w:t>.</w:t>
      </w:r>
      <w:r w:rsidR="00964233">
        <w:rPr>
          <w:noProof/>
        </w:rPr>
        <w:t>4</w:t>
      </w:r>
      <w:r>
        <w:rPr>
          <w:iCs/>
          <w:szCs w:val="24"/>
        </w:rPr>
        <w:fldChar w:fldCharType="end"/>
      </w:r>
      <w:r>
        <w:rPr>
          <w:iCs/>
          <w:szCs w:val="24"/>
        </w:rPr>
        <w:t xml:space="preserve"> </w:t>
      </w:r>
      <w:r w:rsidRPr="00E56C08">
        <w:rPr>
          <w:iCs/>
          <w:szCs w:val="24"/>
        </w:rPr>
        <w:t xml:space="preserve">looks at the distribution </w:t>
      </w:r>
      <w:r>
        <w:rPr>
          <w:iCs/>
          <w:szCs w:val="24"/>
        </w:rPr>
        <w:t xml:space="preserve">across </w:t>
      </w:r>
      <w:r w:rsidRPr="00E56C08">
        <w:rPr>
          <w:iCs/>
          <w:szCs w:val="24"/>
        </w:rPr>
        <w:t xml:space="preserve">PHNs </w:t>
      </w:r>
      <w:r>
        <w:rPr>
          <w:iCs/>
          <w:szCs w:val="24"/>
        </w:rPr>
        <w:t xml:space="preserve">areas </w:t>
      </w:r>
      <w:r w:rsidRPr="00E56C08">
        <w:rPr>
          <w:iCs/>
          <w:szCs w:val="24"/>
        </w:rPr>
        <w:t xml:space="preserve">for DAA </w:t>
      </w:r>
      <w:r>
        <w:rPr>
          <w:iCs/>
          <w:szCs w:val="24"/>
        </w:rPr>
        <w:t xml:space="preserve">service </w:t>
      </w:r>
      <w:r w:rsidRPr="00E56C08">
        <w:rPr>
          <w:iCs/>
          <w:szCs w:val="24"/>
        </w:rPr>
        <w:t xml:space="preserve">volumes against estimated </w:t>
      </w:r>
      <w:r>
        <w:rPr>
          <w:iCs/>
          <w:szCs w:val="24"/>
        </w:rPr>
        <w:t xml:space="preserve">mental health issues prevalence (i.e. proportion of the </w:t>
      </w:r>
      <w:r w:rsidRPr="00E56C08">
        <w:rPr>
          <w:iCs/>
          <w:szCs w:val="24"/>
        </w:rPr>
        <w:t>population</w:t>
      </w:r>
      <w:r>
        <w:rPr>
          <w:iCs/>
          <w:szCs w:val="24"/>
        </w:rPr>
        <w:t xml:space="preserve"> in the PHN area with a mental health issue.  The same heat mapping approach is used.</w:t>
      </w:r>
    </w:p>
    <w:p w:rsidR="00BF6408" w:rsidRDefault="00BF6408" w:rsidP="00BF6408">
      <w:pPr>
        <w:pStyle w:val="Caption"/>
      </w:pPr>
      <w:bookmarkStart w:id="135" w:name="_Ref463539235"/>
      <w:bookmarkStart w:id="136" w:name="_Toc523230343"/>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7</w:t>
      </w:r>
      <w:r w:rsidR="00964233">
        <w:rPr>
          <w:noProof/>
        </w:rPr>
        <w:fldChar w:fldCharType="end"/>
      </w:r>
      <w:r>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4</w:t>
      </w:r>
      <w:r w:rsidR="00964233">
        <w:rPr>
          <w:noProof/>
        </w:rPr>
        <w:fldChar w:fldCharType="end"/>
      </w:r>
      <w:bookmarkEnd w:id="135"/>
      <w:r>
        <w:tab/>
        <w:t>Mental health prevalence and DAA service volumes and dollars claimed</w:t>
      </w:r>
      <w:r w:rsidRPr="007D5DFE">
        <w:t xml:space="preserve"> </w:t>
      </w:r>
      <w:r>
        <w:t>per capita, 2015</w:t>
      </w:r>
      <w:bookmarkEnd w:id="136"/>
    </w:p>
    <w:tbl>
      <w:tblPr>
        <w:tblW w:w="5000" w:type="pct"/>
        <w:tblLayout w:type="fixed"/>
        <w:tblCellMar>
          <w:left w:w="57" w:type="dxa"/>
          <w:right w:w="57" w:type="dxa"/>
        </w:tblCellMar>
        <w:tblLook w:val="04A0" w:firstRow="1" w:lastRow="0" w:firstColumn="1" w:lastColumn="0" w:noHBand="0" w:noVBand="1"/>
        <w:tblCaption w:val="Table 7.4"/>
        <w:tblDescription w:val="Mental health prevalence and DAA service volumes and dollars claimed per capita, 2015"/>
      </w:tblPr>
      <w:tblGrid>
        <w:gridCol w:w="3304"/>
        <w:gridCol w:w="1052"/>
        <w:gridCol w:w="1052"/>
        <w:gridCol w:w="1053"/>
        <w:gridCol w:w="1052"/>
        <w:gridCol w:w="1052"/>
        <w:gridCol w:w="1053"/>
      </w:tblGrid>
      <w:tr w:rsidR="00BF6408" w:rsidRPr="00852D1D" w:rsidTr="00982A19">
        <w:trPr>
          <w:trHeight w:val="198"/>
        </w:trPr>
        <w:tc>
          <w:tcPr>
            <w:tcW w:w="3109" w:type="dxa"/>
            <w:tcBorders>
              <w:top w:val="single" w:sz="8" w:space="0" w:color="auto"/>
              <w:left w:val="single" w:sz="8" w:space="0" w:color="auto"/>
              <w:bottom w:val="single" w:sz="8" w:space="0" w:color="auto"/>
              <w:right w:val="single" w:sz="8" w:space="0" w:color="auto"/>
            </w:tcBorders>
            <w:shd w:val="clear" w:color="000000" w:fill="366091"/>
            <w:vAlign w:val="center"/>
            <w:hideMark/>
          </w:tcPr>
          <w:p w:rsidR="00BF6408" w:rsidRPr="00852D1D" w:rsidRDefault="00BF6408" w:rsidP="00982A19">
            <w:pPr>
              <w:spacing w:after="0"/>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P</w:t>
            </w:r>
            <w:r>
              <w:rPr>
                <w:rFonts w:eastAsia="Times New Roman" w:cs="Times New Roman"/>
                <w:b/>
                <w:bCs/>
                <w:color w:val="FFFFFF"/>
                <w:sz w:val="18"/>
                <w:szCs w:val="18"/>
                <w:lang w:eastAsia="en-AU"/>
              </w:rPr>
              <w:t>rimary Health Network</w:t>
            </w:r>
          </w:p>
        </w:tc>
        <w:tc>
          <w:tcPr>
            <w:tcW w:w="990"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Mental health</w:t>
            </w:r>
            <w:r w:rsidRPr="00852D1D">
              <w:rPr>
                <w:rFonts w:eastAsia="Times New Roman" w:cs="Times New Roman"/>
                <w:b/>
                <w:bCs/>
                <w:color w:val="FFFFFF"/>
                <w:sz w:val="18"/>
                <w:szCs w:val="18"/>
                <w:lang w:eastAsia="en-AU"/>
              </w:rPr>
              <w:t xml:space="preserve"> </w:t>
            </w:r>
            <w:r>
              <w:rPr>
                <w:rFonts w:eastAsia="Times New Roman" w:cs="Times New Roman"/>
                <w:b/>
                <w:bCs/>
                <w:color w:val="FFFFFF"/>
                <w:sz w:val="18"/>
                <w:szCs w:val="18"/>
                <w:lang w:eastAsia="en-AU"/>
              </w:rPr>
              <w:t>p</w:t>
            </w:r>
            <w:r w:rsidRPr="00852D1D">
              <w:rPr>
                <w:rFonts w:eastAsia="Times New Roman" w:cs="Times New Roman"/>
                <w:b/>
                <w:bCs/>
                <w:color w:val="FFFFFF"/>
                <w:sz w:val="18"/>
                <w:szCs w:val="18"/>
                <w:lang w:eastAsia="en-AU"/>
              </w:rPr>
              <w:t>revalence</w:t>
            </w:r>
          </w:p>
        </w:tc>
        <w:tc>
          <w:tcPr>
            <w:tcW w:w="990"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Mental health</w:t>
            </w:r>
            <w:r w:rsidRPr="00852D1D">
              <w:rPr>
                <w:rFonts w:eastAsia="Times New Roman" w:cs="Times New Roman"/>
                <w:b/>
                <w:bCs/>
                <w:color w:val="FFFFFF"/>
                <w:sz w:val="18"/>
                <w:szCs w:val="18"/>
                <w:lang w:eastAsia="en-AU"/>
              </w:rPr>
              <w:t xml:space="preserve"> </w:t>
            </w:r>
            <w:r>
              <w:rPr>
                <w:rFonts w:eastAsia="Times New Roman" w:cs="Times New Roman"/>
                <w:b/>
                <w:bCs/>
                <w:color w:val="FFFFFF"/>
                <w:sz w:val="18"/>
                <w:szCs w:val="18"/>
                <w:lang w:eastAsia="en-AU"/>
              </w:rPr>
              <w:t>prevalence r</w:t>
            </w:r>
            <w:r w:rsidRPr="00852D1D">
              <w:rPr>
                <w:rFonts w:eastAsia="Times New Roman" w:cs="Times New Roman"/>
                <w:b/>
                <w:bCs/>
                <w:color w:val="FFFFFF"/>
                <w:sz w:val="18"/>
                <w:szCs w:val="18"/>
                <w:lang w:eastAsia="en-AU"/>
              </w:rPr>
              <w:t>ange</w:t>
            </w:r>
          </w:p>
        </w:tc>
        <w:tc>
          <w:tcPr>
            <w:tcW w:w="991"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Average DAA s</w:t>
            </w:r>
            <w:r w:rsidRPr="00852D1D">
              <w:rPr>
                <w:rFonts w:eastAsia="Times New Roman" w:cs="Times New Roman"/>
                <w:b/>
                <w:bCs/>
                <w:color w:val="FFFFFF"/>
                <w:sz w:val="18"/>
                <w:szCs w:val="18"/>
                <w:lang w:eastAsia="en-AU"/>
              </w:rPr>
              <w:t xml:space="preserve">ervices per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apita</w:t>
            </w:r>
          </w:p>
        </w:tc>
        <w:tc>
          <w:tcPr>
            <w:tcW w:w="990"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s</w:t>
            </w:r>
            <w:r w:rsidRPr="00852D1D">
              <w:rPr>
                <w:rFonts w:eastAsia="Times New Roman" w:cs="Times New Roman"/>
                <w:b/>
                <w:bCs/>
                <w:color w:val="FFFFFF"/>
                <w:sz w:val="18"/>
                <w:szCs w:val="18"/>
                <w:lang w:eastAsia="en-AU"/>
              </w:rPr>
              <w:t>ervices</w:t>
            </w:r>
            <w:r>
              <w:rPr>
                <w:rFonts w:eastAsia="Times New Roman" w:cs="Times New Roman"/>
                <w:b/>
                <w:bCs/>
                <w:color w:val="FFFFFF"/>
                <w:sz w:val="18"/>
                <w:szCs w:val="18"/>
                <w:lang w:eastAsia="en-AU"/>
              </w:rPr>
              <w:t xml:space="preserve"> /capita</w:t>
            </w:r>
            <w:r w:rsidRPr="00852D1D">
              <w:rPr>
                <w:rFonts w:eastAsia="Times New Roman" w:cs="Times New Roman"/>
                <w:b/>
                <w:bCs/>
                <w:color w:val="FFFFFF"/>
                <w:sz w:val="18"/>
                <w:szCs w:val="18"/>
                <w:lang w:eastAsia="en-AU"/>
              </w:rPr>
              <w:t xml:space="preserve"> </w:t>
            </w:r>
            <w:r>
              <w:rPr>
                <w:rFonts w:eastAsia="Times New Roman" w:cs="Times New Roman"/>
                <w:b/>
                <w:bCs/>
                <w:color w:val="FFFFFF"/>
                <w:sz w:val="18"/>
                <w:szCs w:val="18"/>
                <w:lang w:eastAsia="en-AU"/>
              </w:rPr>
              <w:t>r</w:t>
            </w:r>
            <w:r w:rsidRPr="00852D1D">
              <w:rPr>
                <w:rFonts w:eastAsia="Times New Roman" w:cs="Times New Roman"/>
                <w:b/>
                <w:bCs/>
                <w:color w:val="FFFFFF"/>
                <w:sz w:val="18"/>
                <w:szCs w:val="18"/>
                <w:lang w:eastAsia="en-AU"/>
              </w:rPr>
              <w:t>ange</w:t>
            </w:r>
          </w:p>
        </w:tc>
        <w:tc>
          <w:tcPr>
            <w:tcW w:w="990"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 xml:space="preserve">Average </w:t>
            </w: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 xml:space="preserve">laim per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apita</w:t>
            </w:r>
          </w:p>
        </w:tc>
        <w:tc>
          <w:tcPr>
            <w:tcW w:w="991"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laim</w:t>
            </w:r>
            <w:r>
              <w:rPr>
                <w:rFonts w:eastAsia="Times New Roman" w:cs="Times New Roman"/>
                <w:b/>
                <w:bCs/>
                <w:color w:val="FFFFFF"/>
                <w:sz w:val="18"/>
                <w:szCs w:val="18"/>
                <w:lang w:eastAsia="en-AU"/>
              </w:rPr>
              <w:t xml:space="preserve"> /capita ra</w:t>
            </w:r>
            <w:r w:rsidRPr="00852D1D">
              <w:rPr>
                <w:rFonts w:eastAsia="Times New Roman" w:cs="Times New Roman"/>
                <w:b/>
                <w:bCs/>
                <w:color w:val="FFFFFF"/>
                <w:sz w:val="18"/>
                <w:szCs w:val="18"/>
                <w:lang w:eastAsia="en-AU"/>
              </w:rPr>
              <w:t>nge</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Territory</w:t>
            </w:r>
          </w:p>
        </w:tc>
        <w:tc>
          <w:tcPr>
            <w:tcW w:w="990"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7.9%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1.350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0" w:type="dxa"/>
            <w:tcBorders>
              <w:top w:val="nil"/>
              <w:left w:val="nil"/>
              <w:bottom w:val="single" w:sz="8" w:space="0" w:color="auto"/>
              <w:right w:val="single" w:sz="8" w:space="0" w:color="auto"/>
            </w:tcBorders>
            <w:shd w:val="clear" w:color="000000" w:fill="F9808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$3.27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Queensland</w:t>
            </w:r>
          </w:p>
        </w:tc>
        <w:tc>
          <w:tcPr>
            <w:tcW w:w="990" w:type="dxa"/>
            <w:tcBorders>
              <w:top w:val="nil"/>
              <w:left w:val="nil"/>
              <w:bottom w:val="single" w:sz="8" w:space="0" w:color="auto"/>
              <w:right w:val="single" w:sz="8" w:space="0" w:color="auto"/>
            </w:tcBorders>
            <w:shd w:val="clear" w:color="000000" w:fill="6390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8.2%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1" w:type="dxa"/>
            <w:tcBorders>
              <w:top w:val="nil"/>
              <w:left w:val="nil"/>
              <w:bottom w:val="single" w:sz="8" w:space="0" w:color="auto"/>
              <w:right w:val="single" w:sz="8" w:space="0" w:color="auto"/>
            </w:tcBorders>
            <w:shd w:val="clear" w:color="000000" w:fill="85A8D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0.442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Sydney</w:t>
            </w:r>
          </w:p>
        </w:tc>
        <w:tc>
          <w:tcPr>
            <w:tcW w:w="990" w:type="dxa"/>
            <w:tcBorders>
              <w:top w:val="nil"/>
              <w:left w:val="nil"/>
              <w:bottom w:val="single" w:sz="8" w:space="0" w:color="auto"/>
              <w:right w:val="single" w:sz="8" w:space="0" w:color="auto"/>
            </w:tcBorders>
            <w:shd w:val="clear" w:color="000000" w:fill="B9CDE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10.8%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692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0.389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82A6D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Queensland</w:t>
            </w:r>
          </w:p>
        </w:tc>
        <w:tc>
          <w:tcPr>
            <w:tcW w:w="990" w:type="dxa"/>
            <w:tcBorders>
              <w:top w:val="nil"/>
              <w:left w:val="nil"/>
              <w:bottom w:val="single" w:sz="8" w:space="0" w:color="auto"/>
              <w:right w:val="single" w:sz="8" w:space="0" w:color="auto"/>
            </w:tcBorders>
            <w:shd w:val="clear" w:color="000000" w:fill="C3D4E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11.1%</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DFE7F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0.594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E2EAF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$1.81</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 Western Melbourne</w:t>
            </w:r>
          </w:p>
        </w:tc>
        <w:tc>
          <w:tcPr>
            <w:tcW w:w="990" w:type="dxa"/>
            <w:tcBorders>
              <w:top w:val="nil"/>
              <w:left w:val="nil"/>
              <w:bottom w:val="single" w:sz="8" w:space="0" w:color="auto"/>
              <w:right w:val="single" w:sz="8" w:space="0" w:color="auto"/>
            </w:tcBorders>
            <w:shd w:val="clear" w:color="000000" w:fill="C3D4E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11.1%</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0.368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6B96C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$1.34</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Country WA</w:t>
            </w:r>
          </w:p>
        </w:tc>
        <w:tc>
          <w:tcPr>
            <w:tcW w:w="990" w:type="dxa"/>
            <w:tcBorders>
              <w:top w:val="nil"/>
              <w:left w:val="nil"/>
              <w:bottom w:val="single" w:sz="8" w:space="0" w:color="auto"/>
              <w:right w:val="single" w:sz="8" w:space="0" w:color="auto"/>
            </w:tcBorders>
            <w:shd w:val="clear" w:color="000000" w:fill="CAD9E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CDFE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0.785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CE6E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$2.16</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Eastern Melbourne</w:t>
            </w:r>
          </w:p>
        </w:tc>
        <w:tc>
          <w:tcPr>
            <w:tcW w:w="990" w:type="dxa"/>
            <w:tcBorders>
              <w:top w:val="nil"/>
              <w:left w:val="nil"/>
              <w:bottom w:val="single" w:sz="8" w:space="0" w:color="auto"/>
              <w:right w:val="single" w:sz="8" w:space="0" w:color="auto"/>
            </w:tcBorders>
            <w:shd w:val="clear" w:color="000000" w:fill="CDDBE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7099C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0.406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82A6D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Sydney</w:t>
            </w:r>
          </w:p>
        </w:tc>
        <w:tc>
          <w:tcPr>
            <w:tcW w:w="990" w:type="dxa"/>
            <w:tcBorders>
              <w:top w:val="nil"/>
              <w:left w:val="nil"/>
              <w:bottom w:val="single" w:sz="8" w:space="0" w:color="auto"/>
              <w:right w:val="single" w:sz="8" w:space="0" w:color="auto"/>
            </w:tcBorders>
            <w:shd w:val="clear" w:color="000000" w:fill="CDDBE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A95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0.396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6692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Western Sydney</w:t>
            </w:r>
          </w:p>
        </w:tc>
        <w:tc>
          <w:tcPr>
            <w:tcW w:w="990" w:type="dxa"/>
            <w:tcBorders>
              <w:top w:val="nil"/>
              <w:left w:val="nil"/>
              <w:bottom w:val="single" w:sz="8" w:space="0" w:color="auto"/>
              <w:right w:val="single" w:sz="8" w:space="0" w:color="auto"/>
            </w:tcBorders>
            <w:shd w:val="clear" w:color="000000" w:fill="D1DDE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93B2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0.465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B5CAE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Eastern Melbourne</w:t>
            </w:r>
          </w:p>
        </w:tc>
        <w:tc>
          <w:tcPr>
            <w:tcW w:w="990" w:type="dxa"/>
            <w:tcBorders>
              <w:top w:val="nil"/>
              <w:left w:val="nil"/>
              <w:bottom w:val="single" w:sz="8" w:space="0" w:color="auto"/>
              <w:right w:val="single" w:sz="8" w:space="0" w:color="auto"/>
            </w:tcBorders>
            <w:shd w:val="clear" w:color="000000" w:fill="D7E2F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85A8D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0.442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94B2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Perth North</w:t>
            </w:r>
          </w:p>
        </w:tc>
        <w:tc>
          <w:tcPr>
            <w:tcW w:w="990" w:type="dxa"/>
            <w:tcBorders>
              <w:top w:val="nil"/>
              <w:left w:val="nil"/>
              <w:bottom w:val="single" w:sz="8" w:space="0" w:color="auto"/>
              <w:right w:val="single" w:sz="8" w:space="0" w:color="auto"/>
            </w:tcBorders>
            <w:shd w:val="clear" w:color="000000" w:fill="DAE4F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95B3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0.469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94B2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Central and Eastern Sydney</w:t>
            </w:r>
          </w:p>
        </w:tc>
        <w:tc>
          <w:tcPr>
            <w:tcW w:w="990" w:type="dxa"/>
            <w:tcBorders>
              <w:top w:val="nil"/>
              <w:left w:val="nil"/>
              <w:bottom w:val="single" w:sz="8" w:space="0" w:color="auto"/>
              <w:right w:val="single" w:sz="8" w:space="0" w:color="auto"/>
            </w:tcBorders>
            <w:shd w:val="clear" w:color="000000" w:fill="DAE4F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6390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0.384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6491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$1.31</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Nepean Blue Mountains</w:t>
            </w:r>
          </w:p>
        </w:tc>
        <w:tc>
          <w:tcPr>
            <w:tcW w:w="990" w:type="dxa"/>
            <w:tcBorders>
              <w:top w:val="nil"/>
              <w:left w:val="nil"/>
              <w:bottom w:val="single" w:sz="8" w:space="0" w:color="auto"/>
              <w:right w:val="single" w:sz="8" w:space="0" w:color="auto"/>
            </w:tcBorders>
            <w:shd w:val="clear" w:color="000000" w:fill="DEE7F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CEDBE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0.565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$1.91</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Perth South</w:t>
            </w:r>
          </w:p>
        </w:tc>
        <w:tc>
          <w:tcPr>
            <w:tcW w:w="990" w:type="dxa"/>
            <w:tcBorders>
              <w:top w:val="nil"/>
              <w:left w:val="nil"/>
              <w:bottom w:val="single" w:sz="8" w:space="0" w:color="auto"/>
              <w:right w:val="single" w:sz="8" w:space="0" w:color="auto"/>
            </w:tcBorders>
            <w:shd w:val="clear" w:color="000000" w:fill="EEF2F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7CA2D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0.427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759DC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$1.38</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NSW</w:t>
            </w:r>
          </w:p>
        </w:tc>
        <w:tc>
          <w:tcPr>
            <w:tcW w:w="990" w:type="dxa"/>
            <w:tcBorders>
              <w:top w:val="nil"/>
              <w:left w:val="nil"/>
              <w:bottom w:val="single" w:sz="8" w:space="0" w:color="auto"/>
              <w:right w:val="single" w:sz="8" w:space="0" w:color="auto"/>
            </w:tcBorders>
            <w:shd w:val="clear" w:color="000000" w:fill="F8F9F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98B8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1.190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0"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$3.52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Brisbane South</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92B1D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0.464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A0BBD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$1.55</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Murrumbidgee</w:t>
            </w:r>
          </w:p>
        </w:tc>
        <w:tc>
          <w:tcPr>
            <w:tcW w:w="990"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12.8%</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1" w:type="dxa"/>
            <w:tcBorders>
              <w:top w:val="nil"/>
              <w:left w:val="nil"/>
              <w:bottom w:val="single" w:sz="8" w:space="0" w:color="auto"/>
              <w:right w:val="single" w:sz="8" w:space="0" w:color="auto"/>
            </w:tcBorders>
            <w:shd w:val="clear" w:color="000000" w:fill="FA9B9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1.110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0" w:type="dxa"/>
            <w:tcBorders>
              <w:top w:val="nil"/>
              <w:left w:val="nil"/>
              <w:bottom w:val="single" w:sz="8" w:space="0" w:color="auto"/>
              <w:right w:val="single" w:sz="8" w:space="0" w:color="auto"/>
            </w:tcBorders>
            <w:shd w:val="clear" w:color="000000" w:fill="F97C7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Brisbane North</w:t>
            </w:r>
          </w:p>
        </w:tc>
        <w:tc>
          <w:tcPr>
            <w:tcW w:w="990" w:type="dxa"/>
            <w:tcBorders>
              <w:top w:val="nil"/>
              <w:left w:val="nil"/>
              <w:bottom w:val="single" w:sz="8" w:space="0" w:color="auto"/>
              <w:right w:val="single" w:sz="8" w:space="0" w:color="auto"/>
            </w:tcBorders>
            <w:shd w:val="clear" w:color="000000" w:fill="FCDFE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A7C0E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0.500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B5CAE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$1.63</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Victoria</w:t>
            </w:r>
          </w:p>
        </w:tc>
        <w:tc>
          <w:tcPr>
            <w:tcW w:w="990" w:type="dxa"/>
            <w:tcBorders>
              <w:top w:val="nil"/>
              <w:left w:val="nil"/>
              <w:bottom w:val="single" w:sz="8" w:space="0" w:color="auto"/>
              <w:right w:val="single" w:sz="8" w:space="0" w:color="auto"/>
            </w:tcBorders>
            <w:shd w:val="clear" w:color="000000" w:fill="FCDFE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CFD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0.864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BBDC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$2.60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Eastern NSW</w:t>
            </w:r>
          </w:p>
        </w:tc>
        <w:tc>
          <w:tcPr>
            <w:tcW w:w="990" w:type="dxa"/>
            <w:tcBorders>
              <w:top w:val="nil"/>
              <w:left w:val="nil"/>
              <w:bottom w:val="single" w:sz="8" w:space="0" w:color="auto"/>
              <w:right w:val="single" w:sz="8" w:space="0" w:color="auto"/>
            </w:tcBorders>
            <w:shd w:val="clear" w:color="000000" w:fill="FCDFE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B7B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0.979</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2A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$2.90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Murray</w:t>
            </w:r>
          </w:p>
        </w:tc>
        <w:tc>
          <w:tcPr>
            <w:tcW w:w="990" w:type="dxa"/>
            <w:tcBorders>
              <w:top w:val="nil"/>
              <w:left w:val="nil"/>
              <w:bottom w:val="single" w:sz="8" w:space="0" w:color="auto"/>
              <w:right w:val="single" w:sz="8" w:space="0" w:color="auto"/>
            </w:tcBorders>
            <w:shd w:val="clear" w:color="000000" w:fill="FCD9D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CBC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0.880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DB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$2.78</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Gold Coast</w:t>
            </w:r>
          </w:p>
        </w:tc>
        <w:tc>
          <w:tcPr>
            <w:tcW w:w="990" w:type="dxa"/>
            <w:tcBorders>
              <w:top w:val="nil"/>
              <w:left w:val="nil"/>
              <w:bottom w:val="single" w:sz="8" w:space="0" w:color="auto"/>
              <w:right w:val="single" w:sz="8" w:space="0" w:color="auto"/>
            </w:tcBorders>
            <w:shd w:val="clear" w:color="000000" w:fill="FBC8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6A95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0.396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7FA4D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$1.42</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Darling Downs and West Moreton</w:t>
            </w:r>
          </w:p>
        </w:tc>
        <w:tc>
          <w:tcPr>
            <w:tcW w:w="990" w:type="dxa"/>
            <w:tcBorders>
              <w:top w:val="nil"/>
              <w:left w:val="nil"/>
              <w:bottom w:val="single" w:sz="8" w:space="0" w:color="auto"/>
              <w:right w:val="single" w:sz="8" w:space="0" w:color="auto"/>
            </w:tcBorders>
            <w:shd w:val="clear" w:color="000000" w:fill="FBC8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E3E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0.764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BD0D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$2.40</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Hunter New England and Central Coast</w:t>
            </w:r>
          </w:p>
        </w:tc>
        <w:tc>
          <w:tcPr>
            <w:tcW w:w="990" w:type="dxa"/>
            <w:tcBorders>
              <w:top w:val="nil"/>
              <w:left w:val="nil"/>
              <w:bottom w:val="single" w:sz="8" w:space="0" w:color="auto"/>
              <w:right w:val="single" w:sz="8" w:space="0" w:color="auto"/>
            </w:tcBorders>
            <w:shd w:val="clear" w:color="000000" w:fill="FBC8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13.7%</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C6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0.904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CA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$2.79</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Australian Capital Territory</w:t>
            </w:r>
          </w:p>
        </w:tc>
        <w:tc>
          <w:tcPr>
            <w:tcW w:w="990" w:type="dxa"/>
            <w:tcBorders>
              <w:top w:val="nil"/>
              <w:left w:val="nil"/>
              <w:bottom w:val="single" w:sz="8" w:space="0" w:color="auto"/>
              <w:right w:val="single" w:sz="8" w:space="0" w:color="auto"/>
            </w:tcBorders>
            <w:shd w:val="clear" w:color="000000" w:fill="FBB6B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F8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0.663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D3DFF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$1.75</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Country SA</w:t>
            </w:r>
          </w:p>
        </w:tc>
        <w:tc>
          <w:tcPr>
            <w:tcW w:w="990" w:type="dxa"/>
            <w:tcBorders>
              <w:top w:val="nil"/>
              <w:left w:val="nil"/>
              <w:bottom w:val="single" w:sz="8" w:space="0" w:color="auto"/>
              <w:right w:val="single" w:sz="8" w:space="0" w:color="auto"/>
            </w:tcBorders>
            <w:shd w:val="clear" w:color="000000" w:fill="FBB6B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BBB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0.956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A6A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$2.86</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Adelaide</w:t>
            </w:r>
          </w:p>
        </w:tc>
        <w:tc>
          <w:tcPr>
            <w:tcW w:w="990" w:type="dxa"/>
            <w:tcBorders>
              <w:top w:val="nil"/>
              <w:left w:val="nil"/>
              <w:bottom w:val="single" w:sz="8" w:space="0" w:color="auto"/>
              <w:right w:val="single" w:sz="8" w:space="0" w:color="auto"/>
            </w:tcBorders>
            <w:shd w:val="clear" w:color="000000" w:fill="FBB6B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F7F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0.670</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FCE7E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$2.14</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Gippsland</w:t>
            </w:r>
          </w:p>
        </w:tc>
        <w:tc>
          <w:tcPr>
            <w:tcW w:w="990" w:type="dxa"/>
            <w:tcBorders>
              <w:top w:val="nil"/>
              <w:left w:val="nil"/>
              <w:bottom w:val="single" w:sz="8" w:space="0" w:color="auto"/>
              <w:right w:val="single" w:sz="8" w:space="0" w:color="auto"/>
            </w:tcBorders>
            <w:shd w:val="clear" w:color="000000" w:fill="FAAAA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14.2%</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E1E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0.773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BC8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$2.49</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Central Queensland, Wide Bay, Sunshine Coast</w:t>
            </w:r>
          </w:p>
        </w:tc>
        <w:tc>
          <w:tcPr>
            <w:tcW w:w="990" w:type="dxa"/>
            <w:tcBorders>
              <w:top w:val="nil"/>
              <w:left w:val="nil"/>
              <w:bottom w:val="single" w:sz="8" w:space="0" w:color="auto"/>
              <w:right w:val="single" w:sz="8" w:space="0" w:color="auto"/>
            </w:tcBorders>
            <w:shd w:val="clear" w:color="000000" w:fill="FA999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0.643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90" w:type="dxa"/>
            <w:tcBorders>
              <w:top w:val="nil"/>
              <w:left w:val="nil"/>
              <w:bottom w:val="single" w:sz="8" w:space="0" w:color="auto"/>
              <w:right w:val="single" w:sz="8" w:space="0" w:color="auto"/>
            </w:tcBorders>
            <w:shd w:val="clear" w:color="000000" w:fill="FCECE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$2.09</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Tasmania</w:t>
            </w:r>
          </w:p>
        </w:tc>
        <w:tc>
          <w:tcPr>
            <w:tcW w:w="990" w:type="dxa"/>
            <w:tcBorders>
              <w:top w:val="nil"/>
              <w:left w:val="nil"/>
              <w:bottom w:val="single" w:sz="8" w:space="0" w:color="auto"/>
              <w:right w:val="single" w:sz="8" w:space="0" w:color="auto"/>
            </w:tcBorders>
            <w:shd w:val="clear" w:color="000000" w:fill="FA999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CE1E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0.773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CDCD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$2.27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 Coast</w:t>
            </w:r>
          </w:p>
        </w:tc>
        <w:tc>
          <w:tcPr>
            <w:tcW w:w="990"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15.3%</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91" w:type="dxa"/>
            <w:tcBorders>
              <w:top w:val="nil"/>
              <w:left w:val="nil"/>
              <w:bottom w:val="single" w:sz="8" w:space="0" w:color="auto"/>
              <w:right w:val="single" w:sz="8" w:space="0" w:color="auto"/>
            </w:tcBorders>
            <w:shd w:val="clear" w:color="000000" w:fill="FBC8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0.896</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90" w:type="dxa"/>
            <w:tcBorders>
              <w:top w:val="nil"/>
              <w:left w:val="nil"/>
              <w:bottom w:val="single" w:sz="8" w:space="0" w:color="auto"/>
              <w:right w:val="single" w:sz="8" w:space="0" w:color="auto"/>
            </w:tcBorders>
            <w:shd w:val="clear" w:color="000000" w:fill="FAB1B3"/>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$2.74</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Total</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12.5%</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0.554</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c>
          <w:tcPr>
            <w:tcW w:w="99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$1.77</w:t>
            </w:r>
          </w:p>
        </w:tc>
        <w:tc>
          <w:tcPr>
            <w:tcW w:w="99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r>
    </w:tbl>
    <w:p w:rsidR="00BF6408" w:rsidRDefault="00BF6408" w:rsidP="00BF6408">
      <w:pPr>
        <w:pStyle w:val="08Tablefootnotes"/>
      </w:pPr>
      <w:r>
        <w:t>Source:</w:t>
      </w:r>
      <w:r w:rsidRPr="00B6242F">
        <w:t xml:space="preserve"> </w:t>
      </w:r>
      <w:r>
        <w:t xml:space="preserve">Claims payment data supplied in PPI Total Data Compilation_Copy.xls in conjunction with Phidu_data_pha_aust.xls available from </w:t>
      </w:r>
      <w:hyperlink r:id="rId28" w:anchor="population-projections" w:history="1">
        <w:r w:rsidRPr="00367A7B">
          <w:rPr>
            <w:rStyle w:val="Hyperlink"/>
          </w:rPr>
          <w:t>http://www.phidu.torrens.edu.au/social-health-atlases/indicators-and-notes-on-the-data/social-health-atlases-of-australia-contents#population-projections</w:t>
        </w:r>
      </w:hyperlink>
      <w:r>
        <w:rPr>
          <w:color w:val="1F497D"/>
        </w:rPr>
        <w:t xml:space="preserve"> </w:t>
      </w:r>
      <w:r w:rsidRPr="00E137D0">
        <w:t>(accessed 5</w:t>
      </w:r>
      <w:r w:rsidRPr="00A7428D">
        <w:rPr>
          <w:vertAlign w:val="superscript"/>
        </w:rPr>
        <w:t>th</w:t>
      </w:r>
      <w:r>
        <w:t xml:space="preserve"> </w:t>
      </w:r>
      <w:r w:rsidRPr="00E137D0">
        <w:t>October, 2016)</w:t>
      </w:r>
    </w:p>
    <w:p w:rsidR="00BF6408" w:rsidRPr="00852D1D" w:rsidRDefault="00BF6408" w:rsidP="00BF6408">
      <w:pPr>
        <w:pStyle w:val="BodyText"/>
        <w:rPr>
          <w:sz w:val="16"/>
          <w:szCs w:val="16"/>
        </w:rPr>
      </w:pPr>
      <w:r w:rsidRPr="00852D1D">
        <w:rPr>
          <w:sz w:val="16"/>
          <w:szCs w:val="16"/>
        </w:rPr>
        <w:t>Abbreviations: COPD, chronic obstructive pulmonary disease; DAA, Dose Administration Aids</w:t>
      </w:r>
    </w:p>
    <w:p w:rsidR="00BF6408" w:rsidRDefault="00BF6408" w:rsidP="00BF6408">
      <w:pPr>
        <w:pStyle w:val="BodyText"/>
        <w:rPr>
          <w:iCs/>
          <w:szCs w:val="24"/>
        </w:rPr>
      </w:pPr>
      <w:r>
        <w:rPr>
          <w:iCs/>
          <w:szCs w:val="24"/>
        </w:rPr>
        <w:t xml:space="preserve">Visual examination of </w:t>
      </w:r>
      <w:r>
        <w:rPr>
          <w:iCs/>
          <w:szCs w:val="24"/>
        </w:rPr>
        <w:fldChar w:fldCharType="begin"/>
      </w:r>
      <w:r>
        <w:rPr>
          <w:iCs/>
          <w:szCs w:val="24"/>
        </w:rPr>
        <w:instrText xml:space="preserve"> REF _Ref463539235 \h </w:instrText>
      </w:r>
      <w:r>
        <w:rPr>
          <w:iCs/>
          <w:szCs w:val="24"/>
        </w:rPr>
      </w:r>
      <w:r>
        <w:rPr>
          <w:iCs/>
          <w:szCs w:val="24"/>
        </w:rPr>
        <w:fldChar w:fldCharType="separate"/>
      </w:r>
      <w:r w:rsidR="00964233">
        <w:t xml:space="preserve">Table </w:t>
      </w:r>
      <w:r w:rsidR="00964233">
        <w:rPr>
          <w:noProof/>
        </w:rPr>
        <w:t>7</w:t>
      </w:r>
      <w:r w:rsidR="00964233">
        <w:t>.</w:t>
      </w:r>
      <w:r w:rsidR="00964233">
        <w:rPr>
          <w:noProof/>
        </w:rPr>
        <w:t>4</w:t>
      </w:r>
      <w:r>
        <w:rPr>
          <w:iCs/>
          <w:szCs w:val="24"/>
        </w:rPr>
        <w:fldChar w:fldCharType="end"/>
      </w:r>
      <w:r>
        <w:rPr>
          <w:iCs/>
          <w:szCs w:val="24"/>
        </w:rPr>
        <w:t xml:space="preserve"> reveals a slightly stronger relationship at PHN area level between the prevalence of mental health issues, and DAA services provided per capital and DAA resources applied per capita.  The heat map colouration does pool many of the PHNs with the lowest and highest per capita DAA service rate into the same half of the table possibly suggesting an underlying connection. That said, </w:t>
      </w:r>
      <w:r w:rsidRPr="00B6242F">
        <w:rPr>
          <w:iCs/>
          <w:szCs w:val="24"/>
        </w:rPr>
        <w:t>just 2 of 31 PHNs share the same bandings</w:t>
      </w:r>
      <w:r>
        <w:rPr>
          <w:iCs/>
          <w:szCs w:val="24"/>
        </w:rPr>
        <w:t xml:space="preserve"> for mental health issues prevalence, and average </w:t>
      </w:r>
      <w:r w:rsidRPr="00B6242F">
        <w:rPr>
          <w:iCs/>
          <w:szCs w:val="24"/>
        </w:rPr>
        <w:t xml:space="preserve">DAA </w:t>
      </w:r>
      <w:r>
        <w:rPr>
          <w:iCs/>
          <w:szCs w:val="24"/>
        </w:rPr>
        <w:t>service volume</w:t>
      </w:r>
      <w:r w:rsidRPr="00B6242F">
        <w:rPr>
          <w:iCs/>
          <w:szCs w:val="24"/>
        </w:rPr>
        <w:t xml:space="preserve"> per capita</w:t>
      </w:r>
      <w:r>
        <w:rPr>
          <w:iCs/>
          <w:szCs w:val="24"/>
        </w:rPr>
        <w:t xml:space="preserve"> and average DAA resources (claims) per capita.</w:t>
      </w:r>
    </w:p>
    <w:p w:rsidR="00BF6408" w:rsidRDefault="00BF6408" w:rsidP="00BF6408">
      <w:pPr>
        <w:pStyle w:val="BodyText"/>
        <w:rPr>
          <w:iCs/>
          <w:szCs w:val="24"/>
        </w:rPr>
      </w:pPr>
      <w:r>
        <w:rPr>
          <w:iCs/>
          <w:szCs w:val="24"/>
        </w:rPr>
        <w:lastRenderedPageBreak/>
        <w:t xml:space="preserve">As another illustration, using the same heat map approach, </w:t>
      </w:r>
      <w:r>
        <w:rPr>
          <w:iCs/>
          <w:szCs w:val="24"/>
        </w:rPr>
        <w:fldChar w:fldCharType="begin"/>
      </w:r>
      <w:r>
        <w:rPr>
          <w:iCs/>
          <w:szCs w:val="24"/>
        </w:rPr>
        <w:instrText xml:space="preserve"> REF _Ref463539271 \h </w:instrText>
      </w:r>
      <w:r>
        <w:rPr>
          <w:iCs/>
          <w:szCs w:val="24"/>
        </w:rPr>
      </w:r>
      <w:r>
        <w:rPr>
          <w:iCs/>
          <w:szCs w:val="24"/>
        </w:rPr>
        <w:fldChar w:fldCharType="separate"/>
      </w:r>
      <w:r w:rsidR="00964233">
        <w:t xml:space="preserve">Table </w:t>
      </w:r>
      <w:r w:rsidR="00964233">
        <w:rPr>
          <w:noProof/>
        </w:rPr>
        <w:t>7</w:t>
      </w:r>
      <w:r w:rsidR="00964233">
        <w:t>.</w:t>
      </w:r>
      <w:r w:rsidR="00964233">
        <w:rPr>
          <w:noProof/>
        </w:rPr>
        <w:t>5</w:t>
      </w:r>
      <w:r>
        <w:rPr>
          <w:iCs/>
          <w:szCs w:val="24"/>
        </w:rPr>
        <w:fldChar w:fldCharType="end"/>
      </w:r>
      <w:r>
        <w:rPr>
          <w:iCs/>
          <w:szCs w:val="24"/>
        </w:rPr>
        <w:t xml:space="preserve"> examines for each PHN area, the proportion of the population that is aged over 65 years against the </w:t>
      </w:r>
      <w:r w:rsidRPr="00B6242F">
        <w:rPr>
          <w:iCs/>
          <w:szCs w:val="24"/>
        </w:rPr>
        <w:t xml:space="preserve">DAA </w:t>
      </w:r>
      <w:r>
        <w:rPr>
          <w:iCs/>
          <w:szCs w:val="24"/>
        </w:rPr>
        <w:t>services volume</w:t>
      </w:r>
      <w:r w:rsidRPr="00B6242F">
        <w:rPr>
          <w:iCs/>
          <w:szCs w:val="24"/>
        </w:rPr>
        <w:t xml:space="preserve"> per capita</w:t>
      </w:r>
      <w:r>
        <w:rPr>
          <w:iCs/>
          <w:szCs w:val="24"/>
        </w:rPr>
        <w:t xml:space="preserve"> (only for those aged over 65 years).  Please note that the Northern Territory has been excluded from the heat mapping as it is an outlier in terms of the proportion of the population aged over 65 years.</w:t>
      </w:r>
    </w:p>
    <w:p w:rsidR="00BF6408" w:rsidRDefault="00BF6408" w:rsidP="00BF6408">
      <w:pPr>
        <w:pStyle w:val="Caption"/>
      </w:pPr>
      <w:bookmarkStart w:id="137" w:name="_Ref463539271"/>
      <w:bookmarkStart w:id="138" w:name="_Toc523230344"/>
      <w:r>
        <w:t xml:space="preserve">Table </w:t>
      </w:r>
      <w:r w:rsidR="00964233">
        <w:rPr>
          <w:noProof/>
        </w:rPr>
        <w:fldChar w:fldCharType="begin"/>
      </w:r>
      <w:r w:rsidR="00964233">
        <w:rPr>
          <w:noProof/>
        </w:rPr>
        <w:instrText xml:space="preserve"> STYLEREF 1 \s </w:instrText>
      </w:r>
      <w:r w:rsidR="00964233">
        <w:rPr>
          <w:noProof/>
        </w:rPr>
        <w:fldChar w:fldCharType="separate"/>
      </w:r>
      <w:r w:rsidR="00964233">
        <w:rPr>
          <w:noProof/>
        </w:rPr>
        <w:t>7</w:t>
      </w:r>
      <w:r w:rsidR="00964233">
        <w:rPr>
          <w:noProof/>
        </w:rPr>
        <w:fldChar w:fldCharType="end"/>
      </w:r>
      <w:r>
        <w:t>.</w:t>
      </w:r>
      <w:r w:rsidR="00964233">
        <w:rPr>
          <w:noProof/>
        </w:rPr>
        <w:fldChar w:fldCharType="begin"/>
      </w:r>
      <w:r w:rsidR="00964233">
        <w:rPr>
          <w:noProof/>
        </w:rPr>
        <w:instrText xml:space="preserve"> SEQ Table \* ARABIC \s 1 </w:instrText>
      </w:r>
      <w:r w:rsidR="00964233">
        <w:rPr>
          <w:noProof/>
        </w:rPr>
        <w:fldChar w:fldCharType="separate"/>
      </w:r>
      <w:r w:rsidR="00964233">
        <w:rPr>
          <w:noProof/>
        </w:rPr>
        <w:t>5</w:t>
      </w:r>
      <w:r w:rsidR="00964233">
        <w:rPr>
          <w:noProof/>
        </w:rPr>
        <w:fldChar w:fldCharType="end"/>
      </w:r>
      <w:bookmarkEnd w:id="137"/>
      <w:r>
        <w:tab/>
        <w:t>Proportion of population over 65 and DAA service volumes and dollars claimed</w:t>
      </w:r>
      <w:r w:rsidRPr="007D5DFE">
        <w:t xml:space="preserve"> </w:t>
      </w:r>
      <w:r>
        <w:t>per capita (age over 65), 2015</w:t>
      </w:r>
      <w:bookmarkEnd w:id="138"/>
    </w:p>
    <w:tbl>
      <w:tblPr>
        <w:tblW w:w="5000" w:type="pct"/>
        <w:tblLayout w:type="fixed"/>
        <w:tblCellMar>
          <w:left w:w="57" w:type="dxa"/>
          <w:right w:w="57" w:type="dxa"/>
        </w:tblCellMar>
        <w:tblLook w:val="04A0" w:firstRow="1" w:lastRow="0" w:firstColumn="1" w:lastColumn="0" w:noHBand="0" w:noVBand="1"/>
        <w:tblCaption w:val="Table 7.5"/>
        <w:tblDescription w:val="Proportion of population over 65 and DAA service volumes and dollars claimed per capita (age over 65), 2015"/>
      </w:tblPr>
      <w:tblGrid>
        <w:gridCol w:w="3304"/>
        <w:gridCol w:w="1096"/>
        <w:gridCol w:w="1008"/>
        <w:gridCol w:w="1073"/>
        <w:gridCol w:w="1073"/>
        <w:gridCol w:w="1032"/>
        <w:gridCol w:w="1032"/>
      </w:tblGrid>
      <w:tr w:rsidR="00BF6408" w:rsidRPr="00852D1D" w:rsidTr="00982A19">
        <w:trPr>
          <w:trHeight w:val="227"/>
        </w:trPr>
        <w:tc>
          <w:tcPr>
            <w:tcW w:w="3109" w:type="dxa"/>
            <w:tcBorders>
              <w:top w:val="single" w:sz="8" w:space="0" w:color="auto"/>
              <w:left w:val="single" w:sz="8" w:space="0" w:color="auto"/>
              <w:bottom w:val="single" w:sz="8" w:space="0" w:color="auto"/>
              <w:right w:val="single" w:sz="8" w:space="0" w:color="auto"/>
            </w:tcBorders>
            <w:shd w:val="clear" w:color="000000" w:fill="366091"/>
            <w:vAlign w:val="center"/>
            <w:hideMark/>
          </w:tcPr>
          <w:p w:rsidR="00BF6408" w:rsidRPr="00852D1D" w:rsidRDefault="00BF6408" w:rsidP="00982A19">
            <w:pPr>
              <w:spacing w:after="0"/>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P</w:t>
            </w:r>
            <w:r>
              <w:rPr>
                <w:rFonts w:eastAsia="Times New Roman" w:cs="Times New Roman"/>
                <w:b/>
                <w:bCs/>
                <w:color w:val="FFFFFF"/>
                <w:sz w:val="18"/>
                <w:szCs w:val="18"/>
                <w:lang w:eastAsia="en-AU"/>
              </w:rPr>
              <w:t>rimary Health Network</w:t>
            </w:r>
          </w:p>
        </w:tc>
        <w:tc>
          <w:tcPr>
            <w:tcW w:w="1031"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 aged over 65 years</w:t>
            </w:r>
          </w:p>
        </w:tc>
        <w:tc>
          <w:tcPr>
            <w:tcW w:w="949"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 aged over 65 years r</w:t>
            </w:r>
            <w:r w:rsidRPr="00852D1D">
              <w:rPr>
                <w:rFonts w:eastAsia="Times New Roman" w:cs="Times New Roman"/>
                <w:b/>
                <w:bCs/>
                <w:color w:val="FFFFFF"/>
                <w:sz w:val="18"/>
                <w:szCs w:val="18"/>
                <w:lang w:eastAsia="en-AU"/>
              </w:rPr>
              <w:t>ange</w:t>
            </w:r>
          </w:p>
        </w:tc>
        <w:tc>
          <w:tcPr>
            <w:tcW w:w="1010"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Average DAA s</w:t>
            </w:r>
            <w:r w:rsidRPr="00852D1D">
              <w:rPr>
                <w:rFonts w:eastAsia="Times New Roman" w:cs="Times New Roman"/>
                <w:b/>
                <w:bCs/>
                <w:color w:val="FFFFFF"/>
                <w:sz w:val="18"/>
                <w:szCs w:val="18"/>
                <w:lang w:eastAsia="en-AU"/>
              </w:rPr>
              <w:t xml:space="preserve">ervices per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apita</w:t>
            </w:r>
          </w:p>
        </w:tc>
        <w:tc>
          <w:tcPr>
            <w:tcW w:w="1010"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s</w:t>
            </w:r>
            <w:r w:rsidRPr="00852D1D">
              <w:rPr>
                <w:rFonts w:eastAsia="Times New Roman" w:cs="Times New Roman"/>
                <w:b/>
                <w:bCs/>
                <w:color w:val="FFFFFF"/>
                <w:sz w:val="18"/>
                <w:szCs w:val="18"/>
                <w:lang w:eastAsia="en-AU"/>
              </w:rPr>
              <w:t>ervices</w:t>
            </w:r>
            <w:r>
              <w:rPr>
                <w:rFonts w:eastAsia="Times New Roman" w:cs="Times New Roman"/>
                <w:b/>
                <w:bCs/>
                <w:color w:val="FFFFFF"/>
                <w:sz w:val="18"/>
                <w:szCs w:val="18"/>
                <w:lang w:eastAsia="en-AU"/>
              </w:rPr>
              <w:t xml:space="preserve"> /capita</w:t>
            </w:r>
            <w:r w:rsidRPr="00852D1D">
              <w:rPr>
                <w:rFonts w:eastAsia="Times New Roman" w:cs="Times New Roman"/>
                <w:b/>
                <w:bCs/>
                <w:color w:val="FFFFFF"/>
                <w:sz w:val="18"/>
                <w:szCs w:val="18"/>
                <w:lang w:eastAsia="en-AU"/>
              </w:rPr>
              <w:t xml:space="preserve"> </w:t>
            </w:r>
            <w:r>
              <w:rPr>
                <w:rFonts w:eastAsia="Times New Roman" w:cs="Times New Roman"/>
                <w:b/>
                <w:bCs/>
                <w:color w:val="FFFFFF"/>
                <w:sz w:val="18"/>
                <w:szCs w:val="18"/>
                <w:lang w:eastAsia="en-AU"/>
              </w:rPr>
              <w:t>r</w:t>
            </w:r>
            <w:r w:rsidRPr="00852D1D">
              <w:rPr>
                <w:rFonts w:eastAsia="Times New Roman" w:cs="Times New Roman"/>
                <w:b/>
                <w:bCs/>
                <w:color w:val="FFFFFF"/>
                <w:sz w:val="18"/>
                <w:szCs w:val="18"/>
                <w:lang w:eastAsia="en-AU"/>
              </w:rPr>
              <w:t>ange</w:t>
            </w:r>
          </w:p>
        </w:tc>
        <w:tc>
          <w:tcPr>
            <w:tcW w:w="971"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Pr>
                <w:rFonts w:eastAsia="Times New Roman" w:cs="Times New Roman"/>
                <w:b/>
                <w:bCs/>
                <w:color w:val="FFFFFF"/>
                <w:sz w:val="18"/>
                <w:szCs w:val="18"/>
                <w:lang w:eastAsia="en-AU"/>
              </w:rPr>
              <w:t xml:space="preserve">Average </w:t>
            </w: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 xml:space="preserve">laim per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apita</w:t>
            </w:r>
          </w:p>
        </w:tc>
        <w:tc>
          <w:tcPr>
            <w:tcW w:w="971" w:type="dxa"/>
            <w:tcBorders>
              <w:top w:val="single" w:sz="8" w:space="0" w:color="auto"/>
              <w:left w:val="nil"/>
              <w:bottom w:val="single" w:sz="8" w:space="0" w:color="auto"/>
              <w:right w:val="single" w:sz="8" w:space="0" w:color="auto"/>
            </w:tcBorders>
            <w:shd w:val="clear" w:color="000000" w:fill="366091"/>
            <w:vAlign w:val="center"/>
            <w:hideMark/>
          </w:tcPr>
          <w:p w:rsidR="00BF6408" w:rsidRPr="00852D1D" w:rsidRDefault="00BF6408" w:rsidP="00982A19">
            <w:pPr>
              <w:spacing w:after="0"/>
              <w:jc w:val="center"/>
              <w:rPr>
                <w:rFonts w:eastAsia="Times New Roman" w:cs="Times New Roman"/>
                <w:b/>
                <w:bCs/>
                <w:color w:val="FFFFFF"/>
                <w:sz w:val="18"/>
                <w:szCs w:val="18"/>
                <w:lang w:eastAsia="en-AU"/>
              </w:rPr>
            </w:pPr>
            <w:r w:rsidRPr="00852D1D">
              <w:rPr>
                <w:rFonts w:eastAsia="Times New Roman" w:cs="Times New Roman"/>
                <w:b/>
                <w:bCs/>
                <w:color w:val="FFFFFF"/>
                <w:sz w:val="18"/>
                <w:szCs w:val="18"/>
                <w:lang w:eastAsia="en-AU"/>
              </w:rPr>
              <w:t xml:space="preserve">DAA </w:t>
            </w:r>
            <w:r>
              <w:rPr>
                <w:rFonts w:eastAsia="Times New Roman" w:cs="Times New Roman"/>
                <w:b/>
                <w:bCs/>
                <w:color w:val="FFFFFF"/>
                <w:sz w:val="18"/>
                <w:szCs w:val="18"/>
                <w:lang w:eastAsia="en-AU"/>
              </w:rPr>
              <w:t>c</w:t>
            </w:r>
            <w:r w:rsidRPr="00852D1D">
              <w:rPr>
                <w:rFonts w:eastAsia="Times New Roman" w:cs="Times New Roman"/>
                <w:b/>
                <w:bCs/>
                <w:color w:val="FFFFFF"/>
                <w:sz w:val="18"/>
                <w:szCs w:val="18"/>
                <w:lang w:eastAsia="en-AU"/>
              </w:rPr>
              <w:t>laim</w:t>
            </w:r>
            <w:r>
              <w:rPr>
                <w:rFonts w:eastAsia="Times New Roman" w:cs="Times New Roman"/>
                <w:b/>
                <w:bCs/>
                <w:color w:val="FFFFFF"/>
                <w:sz w:val="18"/>
                <w:szCs w:val="18"/>
                <w:lang w:eastAsia="en-AU"/>
              </w:rPr>
              <w:t xml:space="preserve"> /capita ra</w:t>
            </w:r>
            <w:r w:rsidRPr="00852D1D">
              <w:rPr>
                <w:rFonts w:eastAsia="Times New Roman" w:cs="Times New Roman"/>
                <w:b/>
                <w:bCs/>
                <w:color w:val="FFFFFF"/>
                <w:sz w:val="18"/>
                <w:szCs w:val="18"/>
                <w:lang w:eastAsia="en-AU"/>
              </w:rPr>
              <w:t>nge</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Territory</w:t>
            </w:r>
          </w:p>
        </w:tc>
        <w:tc>
          <w:tcPr>
            <w:tcW w:w="103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7.0%</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19.17</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$46.47</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 Western Melbourne</w:t>
            </w:r>
          </w:p>
        </w:tc>
        <w:tc>
          <w:tcPr>
            <w:tcW w:w="1031"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11.1%</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B3C8E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3.31</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EBF0F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$12.10</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Queensland</w:t>
            </w:r>
          </w:p>
        </w:tc>
        <w:tc>
          <w:tcPr>
            <w:tcW w:w="1031" w:type="dxa"/>
            <w:tcBorders>
              <w:top w:val="nil"/>
              <w:left w:val="nil"/>
              <w:bottom w:val="single" w:sz="8" w:space="0" w:color="auto"/>
              <w:right w:val="single" w:sz="8" w:space="0" w:color="auto"/>
            </w:tcBorders>
            <w:shd w:val="clear" w:color="000000" w:fill="6B96C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11.5%</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3F6F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3.85</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BCCFE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$11.07</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Australian Capital Territory</w:t>
            </w:r>
          </w:p>
        </w:tc>
        <w:tc>
          <w:tcPr>
            <w:tcW w:w="1031" w:type="dxa"/>
            <w:tcBorders>
              <w:top w:val="nil"/>
              <w:left w:val="nil"/>
              <w:bottom w:val="single" w:sz="8" w:space="0" w:color="auto"/>
              <w:right w:val="single" w:sz="8" w:space="0" w:color="auto"/>
            </w:tcBorders>
            <w:shd w:val="clear" w:color="000000" w:fill="7DA2D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11.9%</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AA4A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5.57</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71" w:type="dxa"/>
            <w:tcBorders>
              <w:top w:val="nil"/>
              <w:left w:val="nil"/>
              <w:bottom w:val="single" w:sz="8" w:space="0" w:color="auto"/>
              <w:right w:val="single" w:sz="8" w:space="0" w:color="auto"/>
            </w:tcBorders>
            <w:shd w:val="clear" w:color="000000" w:fill="FBCFD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$14.70</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Brisbane South</w:t>
            </w:r>
          </w:p>
        </w:tc>
        <w:tc>
          <w:tcPr>
            <w:tcW w:w="1031" w:type="dxa"/>
            <w:tcBorders>
              <w:top w:val="nil"/>
              <w:left w:val="nil"/>
              <w:bottom w:val="single" w:sz="8" w:space="0" w:color="auto"/>
              <w:right w:val="single" w:sz="8" w:space="0" w:color="auto"/>
            </w:tcBorders>
            <w:shd w:val="clear" w:color="000000" w:fill="85A8D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12.1%</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2F5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3.84</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FCF6F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$12.79</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Queensland</w:t>
            </w:r>
          </w:p>
        </w:tc>
        <w:tc>
          <w:tcPr>
            <w:tcW w:w="1031" w:type="dxa"/>
            <w:tcBorders>
              <w:top w:val="nil"/>
              <w:left w:val="nil"/>
              <w:bottom w:val="single" w:sz="8" w:space="0" w:color="auto"/>
              <w:right w:val="single" w:sz="8" w:space="0" w:color="auto"/>
            </w:tcBorders>
            <w:shd w:val="clear" w:color="000000" w:fill="8AABD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12.2%</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BC8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4.89</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BCCC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$14.87</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Perth North</w:t>
            </w:r>
          </w:p>
        </w:tc>
        <w:tc>
          <w:tcPr>
            <w:tcW w:w="1031" w:type="dxa"/>
            <w:tcBorders>
              <w:top w:val="nil"/>
              <w:left w:val="nil"/>
              <w:bottom w:val="single" w:sz="8" w:space="0" w:color="auto"/>
              <w:right w:val="single" w:sz="8" w:space="0" w:color="auto"/>
            </w:tcBorders>
            <w:shd w:val="clear" w:color="000000" w:fill="8EAED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12.3%</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0F4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3.82</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F2F4F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$12.24</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Sydney</w:t>
            </w:r>
          </w:p>
        </w:tc>
        <w:tc>
          <w:tcPr>
            <w:tcW w:w="1031" w:type="dxa"/>
            <w:tcBorders>
              <w:top w:val="nil"/>
              <w:left w:val="nil"/>
              <w:bottom w:val="single" w:sz="8" w:space="0" w:color="auto"/>
              <w:right w:val="single" w:sz="8" w:space="0" w:color="auto"/>
            </w:tcBorders>
            <w:shd w:val="clear" w:color="000000" w:fill="8EAED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12.3%</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A2BDD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3.18</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D7E2F2"/>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$11.66</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Country WA</w:t>
            </w:r>
          </w:p>
        </w:tc>
        <w:tc>
          <w:tcPr>
            <w:tcW w:w="1031" w:type="dxa"/>
            <w:tcBorders>
              <w:top w:val="nil"/>
              <w:left w:val="nil"/>
              <w:bottom w:val="single" w:sz="8" w:space="0" w:color="auto"/>
              <w:right w:val="single" w:sz="8" w:space="0" w:color="auto"/>
            </w:tcBorders>
            <w:shd w:val="clear" w:color="000000" w:fill="A0BBD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12.7%</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9848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6.16</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71" w:type="dxa"/>
            <w:tcBorders>
              <w:top w:val="nil"/>
              <w:left w:val="nil"/>
              <w:bottom w:val="single" w:sz="8" w:space="0" w:color="auto"/>
              <w:right w:val="single" w:sz="8" w:space="0" w:color="auto"/>
            </w:tcBorders>
            <w:shd w:val="clear" w:color="000000" w:fill="FAA2A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$16.92</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Central and Eastern Sydney</w:t>
            </w:r>
          </w:p>
        </w:tc>
        <w:tc>
          <w:tcPr>
            <w:tcW w:w="1031" w:type="dxa"/>
            <w:tcBorders>
              <w:top w:val="nil"/>
              <w:left w:val="nil"/>
              <w:bottom w:val="single" w:sz="8" w:space="0" w:color="auto"/>
              <w:right w:val="single" w:sz="8" w:space="0" w:color="auto"/>
            </w:tcBorders>
            <w:shd w:val="clear" w:color="000000" w:fill="A4BEE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12.8%</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8DAED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3.00</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98B5D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$10.26</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Brisbane North</w:t>
            </w:r>
          </w:p>
        </w:tc>
        <w:tc>
          <w:tcPr>
            <w:tcW w:w="1031" w:type="dxa"/>
            <w:tcBorders>
              <w:top w:val="nil"/>
              <w:left w:val="nil"/>
              <w:bottom w:val="single" w:sz="8" w:space="0" w:color="auto"/>
              <w:right w:val="single" w:sz="8" w:space="0" w:color="auto"/>
            </w:tcBorders>
            <w:shd w:val="clear" w:color="000000" w:fill="B1C7E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13.1%</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EFF3F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3.82</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FAFBF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$12.43</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Nepean Blue Mountains</w:t>
            </w:r>
          </w:p>
        </w:tc>
        <w:tc>
          <w:tcPr>
            <w:tcW w:w="1031" w:type="dxa"/>
            <w:tcBorders>
              <w:top w:val="nil"/>
              <w:left w:val="nil"/>
              <w:bottom w:val="single" w:sz="8" w:space="0" w:color="auto"/>
              <w:right w:val="single" w:sz="8" w:space="0" w:color="auto"/>
            </w:tcBorders>
            <w:shd w:val="clear" w:color="000000" w:fill="BACDE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13.3%</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CEAE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4.26</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BD5D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$14.41</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Perth South</w:t>
            </w:r>
          </w:p>
        </w:tc>
        <w:tc>
          <w:tcPr>
            <w:tcW w:w="1031" w:type="dxa"/>
            <w:tcBorders>
              <w:top w:val="nil"/>
              <w:left w:val="nil"/>
              <w:bottom w:val="single" w:sz="8" w:space="0" w:color="auto"/>
              <w:right w:val="single" w:sz="8" w:space="0" w:color="auto"/>
            </w:tcBorders>
            <w:shd w:val="clear" w:color="000000" w:fill="BACDE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13.3%</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A7C0E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3.22</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9EB9D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$10.39</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Western Sydney</w:t>
            </w:r>
          </w:p>
        </w:tc>
        <w:tc>
          <w:tcPr>
            <w:tcW w:w="1031" w:type="dxa"/>
            <w:tcBorders>
              <w:top w:val="nil"/>
              <w:left w:val="nil"/>
              <w:bottom w:val="single" w:sz="8" w:space="0" w:color="auto"/>
              <w:right w:val="single" w:sz="8" w:space="0" w:color="auto"/>
            </w:tcBorders>
            <w:shd w:val="clear" w:color="000000" w:fill="BED0E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13.4%</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C7D7E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3.48</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EFF3F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$12.19</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Eastern Melbourne</w:t>
            </w:r>
          </w:p>
        </w:tc>
        <w:tc>
          <w:tcPr>
            <w:tcW w:w="1031" w:type="dxa"/>
            <w:tcBorders>
              <w:top w:val="nil"/>
              <w:left w:val="nil"/>
              <w:bottom w:val="single" w:sz="8" w:space="0" w:color="auto"/>
              <w:right w:val="single" w:sz="8" w:space="0" w:color="auto"/>
            </w:tcBorders>
            <w:shd w:val="clear" w:color="000000" w:fill="F7F8F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14.7%</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8DAED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3.00</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94B3D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$10.19</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Darling Downs and West Moreton</w:t>
            </w:r>
          </w:p>
        </w:tc>
        <w:tc>
          <w:tcPr>
            <w:tcW w:w="1031"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14.8%</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FBBAB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5.15</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AB1B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$16.16</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Northern Sydney</w:t>
            </w:r>
          </w:p>
        </w:tc>
        <w:tc>
          <w:tcPr>
            <w:tcW w:w="1031"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14.8%</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1010" w:type="dxa"/>
            <w:tcBorders>
              <w:top w:val="nil"/>
              <w:left w:val="nil"/>
              <w:bottom w:val="single" w:sz="8" w:space="0" w:color="auto"/>
              <w:right w:val="single" w:sz="8" w:space="0" w:color="auto"/>
            </w:tcBorders>
            <w:shd w:val="clear" w:color="000000" w:fill="6692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2.67</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$8.89</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Gold Coast</w:t>
            </w:r>
          </w:p>
        </w:tc>
        <w:tc>
          <w:tcPr>
            <w:tcW w:w="1031" w:type="dxa"/>
            <w:tcBorders>
              <w:top w:val="nil"/>
              <w:left w:val="nil"/>
              <w:bottom w:val="single" w:sz="8" w:space="0" w:color="auto"/>
              <w:right w:val="single" w:sz="8" w:space="0" w:color="auto"/>
            </w:tcBorders>
            <w:shd w:val="clear" w:color="000000" w:fill="FCF1F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15.4%</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5A8A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2.57</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6B96C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$9.27</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Eastern Melbourne</w:t>
            </w:r>
          </w:p>
        </w:tc>
        <w:tc>
          <w:tcPr>
            <w:tcW w:w="1031" w:type="dxa"/>
            <w:tcBorders>
              <w:top w:val="nil"/>
              <w:left w:val="nil"/>
              <w:bottom w:val="single" w:sz="8" w:space="0" w:color="auto"/>
              <w:right w:val="single" w:sz="8" w:space="0" w:color="auto"/>
            </w:tcBorders>
            <w:shd w:val="clear" w:color="000000" w:fill="FCEDF0"/>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15.6%</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5D8CC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2.60</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6592C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$9.15</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Adelaide</w:t>
            </w:r>
          </w:p>
        </w:tc>
        <w:tc>
          <w:tcPr>
            <w:tcW w:w="1031" w:type="dxa"/>
            <w:tcBorders>
              <w:top w:val="nil"/>
              <w:left w:val="nil"/>
              <w:bottom w:val="single" w:sz="8" w:space="0" w:color="auto"/>
              <w:right w:val="single" w:sz="8" w:space="0" w:color="auto"/>
            </w:tcBorders>
            <w:shd w:val="clear" w:color="000000" w:fill="FCDCD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16.5%</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FCF5F8"/>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4.05</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CF3F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$12.95</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NSW</w:t>
            </w:r>
          </w:p>
        </w:tc>
        <w:tc>
          <w:tcPr>
            <w:tcW w:w="1031" w:type="dxa"/>
            <w:tcBorders>
              <w:top w:val="nil"/>
              <w:left w:val="nil"/>
              <w:bottom w:val="single" w:sz="8" w:space="0" w:color="auto"/>
              <w:right w:val="single" w:sz="8" w:space="0" w:color="auto"/>
            </w:tcBorders>
            <w:shd w:val="clear" w:color="000000" w:fill="FBC3C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17.8%</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6.67</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71"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$19.71</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Tasmania</w:t>
            </w:r>
          </w:p>
        </w:tc>
        <w:tc>
          <w:tcPr>
            <w:tcW w:w="1031" w:type="dxa"/>
            <w:tcBorders>
              <w:top w:val="nil"/>
              <w:left w:val="nil"/>
              <w:bottom w:val="single" w:sz="8" w:space="0" w:color="auto"/>
              <w:right w:val="single" w:sz="8" w:space="0" w:color="auto"/>
            </w:tcBorders>
            <w:shd w:val="clear" w:color="000000" w:fill="FBBCBE"/>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18.2%</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FCEBE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4.25</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CFCFF"/>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$12.49</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Western Victoria</w:t>
            </w:r>
          </w:p>
        </w:tc>
        <w:tc>
          <w:tcPr>
            <w:tcW w:w="1031" w:type="dxa"/>
            <w:tcBorders>
              <w:top w:val="nil"/>
              <w:left w:val="nil"/>
              <w:bottom w:val="single" w:sz="8" w:space="0" w:color="auto"/>
              <w:right w:val="single" w:sz="8" w:space="0" w:color="auto"/>
            </w:tcBorders>
            <w:shd w:val="clear" w:color="000000" w:fill="FBB8B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18.4%</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FBD3D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4.70</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CDAD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$14.17</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Central Queensland, Wide Bay, Sunshine Coast</w:t>
            </w:r>
          </w:p>
        </w:tc>
        <w:tc>
          <w:tcPr>
            <w:tcW w:w="1031" w:type="dxa"/>
            <w:tcBorders>
              <w:top w:val="nil"/>
              <w:left w:val="nil"/>
              <w:bottom w:val="single" w:sz="8" w:space="0" w:color="auto"/>
              <w:right w:val="single" w:sz="8" w:space="0" w:color="auto"/>
            </w:tcBorders>
            <w:shd w:val="clear" w:color="000000" w:fill="FBB4B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18.6%</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1010" w:type="dxa"/>
            <w:tcBorders>
              <w:top w:val="nil"/>
              <w:left w:val="nil"/>
              <w:bottom w:val="single" w:sz="8" w:space="0" w:color="auto"/>
              <w:right w:val="single" w:sz="8" w:space="0" w:color="auto"/>
            </w:tcBorders>
            <w:shd w:val="clear" w:color="000000" w:fill="C4D5E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3.46</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C4D4E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$11.23</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Murrumbidgee</w:t>
            </w:r>
          </w:p>
        </w:tc>
        <w:tc>
          <w:tcPr>
            <w:tcW w:w="1031" w:type="dxa"/>
            <w:tcBorders>
              <w:top w:val="nil"/>
              <w:left w:val="nil"/>
              <w:bottom w:val="single" w:sz="8" w:space="0" w:color="auto"/>
              <w:right w:val="single" w:sz="8" w:space="0" w:color="auto"/>
            </w:tcBorders>
            <w:shd w:val="clear" w:color="000000" w:fill="FAAEB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18.9%</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FA9395"/>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5.89</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971" w:type="dxa"/>
            <w:tcBorders>
              <w:top w:val="nil"/>
              <w:left w:val="nil"/>
              <w:bottom w:val="single" w:sz="8" w:space="0" w:color="auto"/>
              <w:right w:val="single" w:sz="8" w:space="0" w:color="auto"/>
            </w:tcBorders>
            <w:shd w:val="clear" w:color="000000" w:fill="FA949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$17.61</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Hunter New England and Central Coast</w:t>
            </w:r>
          </w:p>
        </w:tc>
        <w:tc>
          <w:tcPr>
            <w:tcW w:w="1031" w:type="dxa"/>
            <w:tcBorders>
              <w:top w:val="nil"/>
              <w:left w:val="nil"/>
              <w:bottom w:val="single" w:sz="8" w:space="0" w:color="auto"/>
              <w:right w:val="single" w:sz="8" w:space="0" w:color="auto"/>
            </w:tcBorders>
            <w:shd w:val="clear" w:color="000000" w:fill="FAAAAD"/>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19.1%</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FBD1D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4.73</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BD1D4"/>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$14.60</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Murray</w:t>
            </w:r>
          </w:p>
        </w:tc>
        <w:tc>
          <w:tcPr>
            <w:tcW w:w="1031" w:type="dxa"/>
            <w:tcBorders>
              <w:top w:val="nil"/>
              <w:left w:val="nil"/>
              <w:bottom w:val="single" w:sz="8" w:space="0" w:color="auto"/>
              <w:right w:val="single" w:sz="8" w:space="0" w:color="auto"/>
            </w:tcBorders>
            <w:shd w:val="clear" w:color="000000" w:fill="FAA7A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19.3%</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FCDAD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4.57</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BD4D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$14.45</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Country SA</w:t>
            </w:r>
          </w:p>
        </w:tc>
        <w:tc>
          <w:tcPr>
            <w:tcW w:w="1031" w:type="dxa"/>
            <w:tcBorders>
              <w:top w:val="nil"/>
              <w:left w:val="nil"/>
              <w:bottom w:val="single" w:sz="8" w:space="0" w:color="auto"/>
              <w:right w:val="single" w:sz="8" w:space="0" w:color="auto"/>
            </w:tcBorders>
            <w:shd w:val="clear" w:color="000000" w:fill="FAA5A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19.4%</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FBC7C9"/>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4.93</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BCED1"/>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$14.73</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South Eastern NSW</w:t>
            </w:r>
          </w:p>
        </w:tc>
        <w:tc>
          <w:tcPr>
            <w:tcW w:w="1031" w:type="dxa"/>
            <w:tcBorders>
              <w:top w:val="nil"/>
              <w:left w:val="nil"/>
              <w:bottom w:val="single" w:sz="8" w:space="0" w:color="auto"/>
              <w:right w:val="single" w:sz="8" w:space="0" w:color="auto"/>
            </w:tcBorders>
            <w:shd w:val="clear" w:color="000000" w:fill="FA999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20.0%</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FBC8C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4.89</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FBD3D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$14.50</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Gippsland</w:t>
            </w:r>
          </w:p>
        </w:tc>
        <w:tc>
          <w:tcPr>
            <w:tcW w:w="1031" w:type="dxa"/>
            <w:tcBorders>
              <w:top w:val="nil"/>
              <w:left w:val="nil"/>
              <w:bottom w:val="single" w:sz="8" w:space="0" w:color="auto"/>
              <w:right w:val="single" w:sz="8" w:space="0" w:color="auto"/>
            </w:tcBorders>
            <w:shd w:val="clear" w:color="000000" w:fill="F98A8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20.8%</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E4EBF6"/>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3.72</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c>
          <w:tcPr>
            <w:tcW w:w="971" w:type="dxa"/>
            <w:tcBorders>
              <w:top w:val="nil"/>
              <w:left w:val="nil"/>
              <w:bottom w:val="single" w:sz="8" w:space="0" w:color="auto"/>
              <w:right w:val="single" w:sz="8" w:space="0" w:color="auto"/>
            </w:tcBorders>
            <w:shd w:val="clear" w:color="000000" w:fill="E6ECF7"/>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$11.98</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color w:val="000000"/>
                <w:sz w:val="18"/>
                <w:szCs w:val="18"/>
                <w:lang w:eastAsia="en-AU"/>
              </w:rPr>
            </w:pPr>
            <w:r w:rsidRPr="00852D1D">
              <w:rPr>
                <w:rFonts w:eastAsia="Times New Roman" w:cs="Times New Roman"/>
                <w:color w:val="000000"/>
                <w:sz w:val="18"/>
                <w:szCs w:val="18"/>
                <w:lang w:eastAsia="en-AU"/>
              </w:rPr>
              <w:t>North Coast</w:t>
            </w:r>
          </w:p>
        </w:tc>
        <w:tc>
          <w:tcPr>
            <w:tcW w:w="1031" w:type="dxa"/>
            <w:tcBorders>
              <w:top w:val="nil"/>
              <w:left w:val="nil"/>
              <w:bottom w:val="single" w:sz="8" w:space="0" w:color="auto"/>
              <w:right w:val="single" w:sz="8" w:space="0" w:color="auto"/>
            </w:tcBorders>
            <w:shd w:val="clear" w:color="000000" w:fill="F8696B"/>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22.5%</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High</w:t>
            </w:r>
          </w:p>
        </w:tc>
        <w:tc>
          <w:tcPr>
            <w:tcW w:w="1010" w:type="dxa"/>
            <w:tcBorders>
              <w:top w:val="nil"/>
              <w:left w:val="nil"/>
              <w:bottom w:val="single" w:sz="8" w:space="0" w:color="auto"/>
              <w:right w:val="single" w:sz="8" w:space="0" w:color="auto"/>
            </w:tcBorders>
            <w:shd w:val="clear" w:color="000000" w:fill="FCF9FC"/>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3.98</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Mid</w:t>
            </w:r>
          </w:p>
        </w:tc>
        <w:tc>
          <w:tcPr>
            <w:tcW w:w="971" w:type="dxa"/>
            <w:tcBorders>
              <w:top w:val="nil"/>
              <w:left w:val="nil"/>
              <w:bottom w:val="single" w:sz="8" w:space="0" w:color="auto"/>
              <w:right w:val="single" w:sz="8" w:space="0" w:color="auto"/>
            </w:tcBorders>
            <w:shd w:val="clear" w:color="000000" w:fill="EEF2FA"/>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$12.17</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color w:val="000000"/>
                <w:sz w:val="18"/>
                <w:szCs w:val="18"/>
                <w:lang w:eastAsia="en-AU"/>
              </w:rPr>
            </w:pPr>
            <w:r w:rsidRPr="00852D1D">
              <w:rPr>
                <w:rFonts w:eastAsia="Times New Roman" w:cs="Times New Roman"/>
                <w:color w:val="000000"/>
                <w:sz w:val="18"/>
                <w:szCs w:val="18"/>
                <w:lang w:eastAsia="en-AU"/>
              </w:rPr>
              <w:t>Low</w:t>
            </w:r>
          </w:p>
        </w:tc>
      </w:tr>
      <w:tr w:rsidR="00BF6408" w:rsidRPr="00852D1D" w:rsidTr="00982A19">
        <w:trPr>
          <w:trHeight w:hRule="exact" w:val="227"/>
        </w:trPr>
        <w:tc>
          <w:tcPr>
            <w:tcW w:w="3109" w:type="dxa"/>
            <w:tcBorders>
              <w:top w:val="nil"/>
              <w:left w:val="single" w:sz="8" w:space="0" w:color="auto"/>
              <w:bottom w:val="single" w:sz="8" w:space="0" w:color="auto"/>
              <w:right w:val="single" w:sz="8" w:space="0" w:color="auto"/>
            </w:tcBorders>
            <w:shd w:val="clear" w:color="auto" w:fill="auto"/>
            <w:vAlign w:val="center"/>
            <w:hideMark/>
          </w:tcPr>
          <w:p w:rsidR="00BF6408" w:rsidRPr="00852D1D" w:rsidRDefault="00BF6408" w:rsidP="00982A19">
            <w:pPr>
              <w:spacing w:after="0"/>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xml:space="preserve">Total </w:t>
            </w:r>
          </w:p>
        </w:tc>
        <w:tc>
          <w:tcPr>
            <w:tcW w:w="103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14.9%</w:t>
            </w:r>
          </w:p>
        </w:tc>
        <w:tc>
          <w:tcPr>
            <w:tcW w:w="949"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3.71</w:t>
            </w:r>
          </w:p>
        </w:tc>
        <w:tc>
          <w:tcPr>
            <w:tcW w:w="1010"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$11.85</w:t>
            </w:r>
          </w:p>
        </w:tc>
        <w:tc>
          <w:tcPr>
            <w:tcW w:w="971" w:type="dxa"/>
            <w:tcBorders>
              <w:top w:val="nil"/>
              <w:left w:val="nil"/>
              <w:bottom w:val="single" w:sz="8" w:space="0" w:color="auto"/>
              <w:right w:val="single" w:sz="8" w:space="0" w:color="auto"/>
            </w:tcBorders>
            <w:shd w:val="clear" w:color="auto" w:fill="auto"/>
            <w:vAlign w:val="center"/>
            <w:hideMark/>
          </w:tcPr>
          <w:p w:rsidR="00BF6408" w:rsidRPr="00852D1D" w:rsidRDefault="00BF6408" w:rsidP="00982A19">
            <w:pPr>
              <w:spacing w:after="0"/>
              <w:jc w:val="center"/>
              <w:rPr>
                <w:rFonts w:eastAsia="Times New Roman" w:cs="Times New Roman"/>
                <w:b/>
                <w:bCs/>
                <w:color w:val="000000"/>
                <w:sz w:val="18"/>
                <w:szCs w:val="18"/>
                <w:lang w:eastAsia="en-AU"/>
              </w:rPr>
            </w:pPr>
            <w:r w:rsidRPr="00852D1D">
              <w:rPr>
                <w:rFonts w:eastAsia="Times New Roman" w:cs="Times New Roman"/>
                <w:b/>
                <w:bCs/>
                <w:color w:val="000000"/>
                <w:sz w:val="18"/>
                <w:szCs w:val="18"/>
                <w:lang w:eastAsia="en-AU"/>
              </w:rPr>
              <w:t> </w:t>
            </w:r>
          </w:p>
        </w:tc>
      </w:tr>
    </w:tbl>
    <w:p w:rsidR="00BF6408" w:rsidRDefault="00BF6408" w:rsidP="00BF6408">
      <w:pPr>
        <w:pStyle w:val="08Tablefootnotes"/>
      </w:pPr>
      <w:r>
        <w:t>Note: Northern Territory has been excluded from the heat-map colouration in this table, due to the impact the relative variations in metrics had on readability.</w:t>
      </w:r>
    </w:p>
    <w:p w:rsidR="00BF6408" w:rsidRDefault="00BF6408" w:rsidP="00BF6408">
      <w:pPr>
        <w:pStyle w:val="08Tablefootnotes"/>
      </w:pPr>
      <w:r>
        <w:t xml:space="preserve">Source: Claims payment data supplied in PPI Total Data Compilation_Copy.xls in conjunction with Phidu_data_pha_aust.xls available from </w:t>
      </w:r>
      <w:hyperlink r:id="rId29" w:anchor="population-projections" w:history="1">
        <w:r w:rsidRPr="00367A7B">
          <w:rPr>
            <w:rStyle w:val="Hyperlink"/>
          </w:rPr>
          <w:t>http://www.phidu.torrens.edu.au/social-health-atlases/indicators-and-notes-on-the-data/social-health-atlases-of-australia-contents#population-projections</w:t>
        </w:r>
      </w:hyperlink>
      <w:r>
        <w:rPr>
          <w:color w:val="1F497D"/>
        </w:rPr>
        <w:t xml:space="preserve"> </w:t>
      </w:r>
      <w:r w:rsidRPr="00E137D0">
        <w:t>(accessed 5</w:t>
      </w:r>
      <w:r w:rsidRPr="00A7428D">
        <w:rPr>
          <w:vertAlign w:val="superscript"/>
        </w:rPr>
        <w:t>th</w:t>
      </w:r>
      <w:r>
        <w:t xml:space="preserve"> </w:t>
      </w:r>
      <w:r w:rsidRPr="00E137D0">
        <w:t>October, 2016)</w:t>
      </w:r>
    </w:p>
    <w:p w:rsidR="00BF6408" w:rsidRDefault="00BF6408" w:rsidP="00BF6408">
      <w:pPr>
        <w:pStyle w:val="BodyText"/>
        <w:rPr>
          <w:sz w:val="16"/>
          <w:szCs w:val="16"/>
        </w:rPr>
      </w:pPr>
      <w:r w:rsidRPr="00B6242F">
        <w:rPr>
          <w:sz w:val="16"/>
          <w:szCs w:val="16"/>
        </w:rPr>
        <w:t>Abbreviations: COPD, chronic obstructive pulmonary disease; DAA, Dose Administration Aids</w:t>
      </w:r>
    </w:p>
    <w:p w:rsidR="00BF6408" w:rsidRDefault="00BF6408" w:rsidP="00BF6408">
      <w:pPr>
        <w:pStyle w:val="BodyText"/>
        <w:rPr>
          <w:iCs/>
          <w:szCs w:val="24"/>
        </w:rPr>
      </w:pPr>
      <w:r>
        <w:rPr>
          <w:iCs/>
          <w:szCs w:val="24"/>
        </w:rPr>
        <w:t xml:space="preserve">Visual examination of </w:t>
      </w:r>
      <w:r>
        <w:rPr>
          <w:iCs/>
          <w:szCs w:val="24"/>
        </w:rPr>
        <w:fldChar w:fldCharType="begin"/>
      </w:r>
      <w:r>
        <w:rPr>
          <w:iCs/>
          <w:szCs w:val="24"/>
        </w:rPr>
        <w:instrText xml:space="preserve"> REF _Ref463539271 \h </w:instrText>
      </w:r>
      <w:r>
        <w:rPr>
          <w:iCs/>
          <w:szCs w:val="24"/>
        </w:rPr>
      </w:r>
      <w:r>
        <w:rPr>
          <w:iCs/>
          <w:szCs w:val="24"/>
        </w:rPr>
        <w:fldChar w:fldCharType="separate"/>
      </w:r>
      <w:r w:rsidR="00964233">
        <w:t xml:space="preserve">Table </w:t>
      </w:r>
      <w:r w:rsidR="00964233">
        <w:rPr>
          <w:noProof/>
        </w:rPr>
        <w:t>7</w:t>
      </w:r>
      <w:r w:rsidR="00964233">
        <w:t>.</w:t>
      </w:r>
      <w:r w:rsidR="00964233">
        <w:rPr>
          <w:noProof/>
        </w:rPr>
        <w:t>5</w:t>
      </w:r>
      <w:r>
        <w:rPr>
          <w:iCs/>
          <w:szCs w:val="24"/>
        </w:rPr>
        <w:fldChar w:fldCharType="end"/>
      </w:r>
      <w:r>
        <w:rPr>
          <w:iCs/>
          <w:szCs w:val="24"/>
        </w:rPr>
        <w:t xml:space="preserve"> reveals little relationship between the proportions of the population aged over 65 years and the DAA services provided or DAA resources applied.  However, nearly half (15 of the 31) of the PHNs </w:t>
      </w:r>
      <w:r w:rsidRPr="00B6242F">
        <w:rPr>
          <w:iCs/>
          <w:szCs w:val="24"/>
        </w:rPr>
        <w:t xml:space="preserve">have the same banding for </w:t>
      </w:r>
      <w:r>
        <w:rPr>
          <w:iCs/>
          <w:szCs w:val="24"/>
        </w:rPr>
        <w:t xml:space="preserve">proportion of population over 65 years, and average </w:t>
      </w:r>
      <w:r w:rsidRPr="00B6242F">
        <w:rPr>
          <w:iCs/>
          <w:szCs w:val="24"/>
        </w:rPr>
        <w:t xml:space="preserve">DAA </w:t>
      </w:r>
      <w:r>
        <w:rPr>
          <w:iCs/>
          <w:szCs w:val="24"/>
        </w:rPr>
        <w:t>service volume</w:t>
      </w:r>
      <w:r w:rsidRPr="00B6242F">
        <w:rPr>
          <w:iCs/>
          <w:szCs w:val="24"/>
        </w:rPr>
        <w:t xml:space="preserve"> per capita</w:t>
      </w:r>
      <w:r>
        <w:rPr>
          <w:iCs/>
          <w:szCs w:val="24"/>
        </w:rPr>
        <w:t xml:space="preserve"> and average DAA resources (claims) per capita.  But there is little consistency, as illustrated by the fact that only one of the seven PHNs (Murrumbidgee) with the highest proportion of population aged over 65 years, is also amongst the highest per capita users of DAA services.</w:t>
      </w:r>
    </w:p>
    <w:p w:rsidR="00BF6408" w:rsidRDefault="00BF6408" w:rsidP="00BF6408">
      <w:pPr>
        <w:pStyle w:val="BodyText"/>
        <w:rPr>
          <w:iCs/>
          <w:szCs w:val="24"/>
        </w:rPr>
      </w:pPr>
      <w:r>
        <w:rPr>
          <w:iCs/>
          <w:szCs w:val="24"/>
        </w:rPr>
        <w:lastRenderedPageBreak/>
        <w:t>Overall, t</w:t>
      </w:r>
      <w:r w:rsidRPr="00B6242F">
        <w:rPr>
          <w:iCs/>
          <w:szCs w:val="24"/>
        </w:rPr>
        <w:t xml:space="preserve">hese results </w:t>
      </w:r>
      <w:r>
        <w:rPr>
          <w:iCs/>
          <w:szCs w:val="24"/>
        </w:rPr>
        <w:t>are insufficient to</w:t>
      </w:r>
      <w:r w:rsidRPr="00B6242F">
        <w:rPr>
          <w:iCs/>
          <w:szCs w:val="24"/>
        </w:rPr>
        <w:t xml:space="preserve"> demonstrate a clear relationship between the </w:t>
      </w:r>
      <w:r>
        <w:rPr>
          <w:iCs/>
          <w:szCs w:val="24"/>
        </w:rPr>
        <w:t>factors that describe the target population according to the PSA Guidelines and the take up rates for the DAA services.  To shed further light on the issue, parametric statistical analysis using correlation coefficients was attempted, but this work was similarly inconclusive, and therefore is not presented here.</w:t>
      </w:r>
    </w:p>
    <w:p w:rsidR="00BF6408" w:rsidRDefault="00BF6408" w:rsidP="00BF6408">
      <w:bookmarkStart w:id="139" w:name="_Ref463437244"/>
      <w:bookmarkEnd w:id="133"/>
      <w:r>
        <w:t>It is clear that to make a more robust assessment of the impact of the DAA program, more comprehensive data are required.  Such data should include the characteristics of patients receiving the DAA services to enable funders and providers to be confident that the initiative is applying resources to the intended target populations.</w:t>
      </w:r>
    </w:p>
    <w:p w:rsidR="00BF6408" w:rsidRPr="00030EF6" w:rsidRDefault="00BF6408" w:rsidP="00BF6408">
      <w:r>
        <w:t>Ideally the additional data collected should also include measures of interim and final clinical outcomes, as well as patient reported measures of experience with the program, to enable an assessment of clinical and cost effectiveness.  It is acknowledged that this type\s of data could probably only be collected in the context of a structured trial of the DAA program.</w:t>
      </w:r>
      <w:bookmarkEnd w:id="139"/>
    </w:p>
    <w:p w:rsidR="00AD0FA5" w:rsidRPr="00B6242F" w:rsidRDefault="00AD0FA5" w:rsidP="00852D1D">
      <w:pPr>
        <w:pStyle w:val="BodyText"/>
        <w:rPr>
          <w:sz w:val="16"/>
          <w:szCs w:val="16"/>
        </w:rPr>
      </w:pPr>
    </w:p>
    <w:p w:rsidR="00852D1D" w:rsidRPr="00852D1D" w:rsidRDefault="00852D1D" w:rsidP="00852D1D">
      <w:pPr>
        <w:pStyle w:val="BodyText"/>
        <w:sectPr w:rsidR="00852D1D" w:rsidRPr="00852D1D" w:rsidSect="00E6729C">
          <w:footerReference w:type="default" r:id="rId30"/>
          <w:pgSz w:w="11906" w:h="16838" w:code="9"/>
          <w:pgMar w:top="1134" w:right="1134" w:bottom="1134" w:left="1134" w:header="680" w:footer="851" w:gutter="0"/>
          <w:cols w:space="708"/>
          <w:docGrid w:linePitch="360"/>
        </w:sectPr>
      </w:pPr>
    </w:p>
    <w:p w:rsidR="00FC650D" w:rsidRPr="00B14B4F" w:rsidRDefault="00B14B4F" w:rsidP="00B14B4F">
      <w:pPr>
        <w:pStyle w:val="Heading1"/>
        <w:numPr>
          <w:ilvl w:val="0"/>
          <w:numId w:val="0"/>
        </w:numPr>
        <w:ind w:left="510" w:hanging="510"/>
      </w:pPr>
      <w:bookmarkStart w:id="140" w:name="_Toc523230312"/>
      <w:r>
        <w:lastRenderedPageBreak/>
        <w:t xml:space="preserve">APPENDIX 1 </w:t>
      </w:r>
      <w:r w:rsidR="00FC650D" w:rsidRPr="00EE7005">
        <w:rPr>
          <w:rStyle w:val="Heading2Char"/>
          <w:b/>
        </w:rPr>
        <w:t>References</w:t>
      </w:r>
      <w:bookmarkEnd w:id="140"/>
    </w:p>
    <w:p w:rsidR="004F001F" w:rsidRDefault="003C2D67" w:rsidP="00527B90">
      <w:r>
        <w:t>Aslani P, Krass I</w:t>
      </w:r>
      <w:r w:rsidR="004F001F" w:rsidRPr="004F001F">
        <w:t xml:space="preserve"> (2009). Adherence: a review of education, research, practice and policy in Australia</w:t>
      </w:r>
      <w:r>
        <w:t>. Pharm Pract (Internet), 7(1):</w:t>
      </w:r>
      <w:r w:rsidR="004F001F" w:rsidRPr="004F001F">
        <w:t>1-10.</w:t>
      </w:r>
    </w:p>
    <w:p w:rsidR="00BF0990" w:rsidRDefault="00BF0990" w:rsidP="00BF0990">
      <w:pPr>
        <w:pStyle w:val="BodyText"/>
      </w:pPr>
      <w:r>
        <w:t>Becker LA, Glanz K, Sobel E, Mossey J, Zinn SL, Knott KA (1986). A randomized trial of special packaging of antihypertensive medications. J Fam Pract, 22(4):357-61.</w:t>
      </w:r>
    </w:p>
    <w:p w:rsidR="00BF0990" w:rsidRDefault="00BF0990" w:rsidP="00BF0990">
      <w:pPr>
        <w:pStyle w:val="BodyText"/>
      </w:pPr>
      <w:r>
        <w:t>Boeni F, Hersberger KE, Arnet I (2014). Multidrug punch cards in primary care: A mixed methods study on patients' preferences and impact on adherence. Frontiers in Pharmacology, 5 (OCT) (no pagination)(220).</w:t>
      </w:r>
    </w:p>
    <w:p w:rsidR="006820F1" w:rsidRDefault="006820F1" w:rsidP="00BF0990">
      <w:pPr>
        <w:pStyle w:val="BodyText"/>
      </w:pPr>
      <w:r>
        <w:t xml:space="preserve">Cochrane GM </w:t>
      </w:r>
      <w:r w:rsidRPr="006820F1">
        <w:t>(1996). Compliance and outcomes in patients wit</w:t>
      </w:r>
      <w:r>
        <w:t>h asthma. Drugs, 52(6):</w:t>
      </w:r>
      <w:r w:rsidRPr="006820F1">
        <w:t>2-19</w:t>
      </w:r>
      <w:r>
        <w:t>.</w:t>
      </w:r>
    </w:p>
    <w:p w:rsidR="006820F1" w:rsidRDefault="006820F1" w:rsidP="00BF0990">
      <w:pPr>
        <w:pStyle w:val="BodyText"/>
      </w:pPr>
      <w:r>
        <w:t>Cramer JA, Roy</w:t>
      </w:r>
      <w:r w:rsidRPr="006820F1">
        <w:t xml:space="preserve"> A, Burrell A, Fairchild C, Fu</w:t>
      </w:r>
      <w:r>
        <w:t xml:space="preserve">ldeore M, Ollendorf DA, Wong PK (2008). </w:t>
      </w:r>
      <w:r w:rsidRPr="006820F1">
        <w:t>Medication compliance and persisten</w:t>
      </w:r>
      <w:r>
        <w:t>ce: Terminology and definitions.</w:t>
      </w:r>
      <w:r w:rsidRPr="006820F1">
        <w:t xml:space="preserve"> Value in Health, </w:t>
      </w:r>
      <w:r>
        <w:t>11(1):</w:t>
      </w:r>
      <w:r w:rsidRPr="006820F1">
        <w:t>44-47.</w:t>
      </w:r>
    </w:p>
    <w:p w:rsidR="00BF0990" w:rsidRDefault="00BF0990" w:rsidP="00BF0990">
      <w:pPr>
        <w:pStyle w:val="BodyText"/>
      </w:pPr>
      <w:r>
        <w:t>Dumas S, Rouleau-Mailloux E, Bouchama N, Lahcene H, Talajic M, Tardif JC, et al. (2016). Pillbox use and INR stability in a prospective cohort of new warfarin users. Journal of Managed Care and Specialty Pharmacy, 22(6):676-84.</w:t>
      </w:r>
    </w:p>
    <w:p w:rsidR="00BF0990" w:rsidRDefault="00BF0990" w:rsidP="00BF0990">
      <w:pPr>
        <w:pStyle w:val="BodyText"/>
      </w:pPr>
      <w:r>
        <w:t>Dupclay L, Eaddy M, Jackson J, Raju A, Shim A (2012). Real-world impact of reminder packaging on antihypertensive treatment adherence and persistence. Patient Preference and Adherence, 6:499-507.</w:t>
      </w:r>
    </w:p>
    <w:p w:rsidR="00C05167" w:rsidRDefault="00C05167" w:rsidP="00C05167">
      <w:pPr>
        <w:pStyle w:val="BodyText"/>
      </w:pPr>
      <w:r>
        <w:t>Easton K, Morgan T, Williamson M. Medication safety in the community: A review of the literature. National Prescribing Service. Sydney, June 2009.</w:t>
      </w:r>
    </w:p>
    <w:p w:rsidR="00BF0990" w:rsidRDefault="00BF0990" w:rsidP="00BF0990">
      <w:pPr>
        <w:pStyle w:val="BodyText"/>
      </w:pPr>
      <w:r>
        <w:t>Heneghan CJ, Glasziou P, Perera R (2006). Reminder packaging for improving adherence to self-administered long-term medications. Cochrane Database of Systematic Reviews, (1):CD005025.</w:t>
      </w:r>
    </w:p>
    <w:p w:rsidR="00BF0990" w:rsidRDefault="00BF0990" w:rsidP="00BF0990">
      <w:pPr>
        <w:pStyle w:val="BodyText"/>
      </w:pPr>
      <w:r>
        <w:t xml:space="preserve">Huang HY, Maguire MG, Miller ER, 3rd, Appel LJ (2000). Impact of pill organizers and blister packs on adherence to pill taking in two vitamin supplementation trials. Am J Epidemiol, </w:t>
      </w:r>
      <w:r w:rsidR="006A14B2">
        <w:t>152(8):780-87.</w:t>
      </w:r>
    </w:p>
    <w:p w:rsidR="00BF0990" w:rsidRDefault="00BF0990" w:rsidP="00BF0990">
      <w:pPr>
        <w:pStyle w:val="BodyText"/>
      </w:pPr>
      <w:r>
        <w:t>Lee JK, Grace KA, Taylor AJ (2006). Effect of a pharmacy care program on medication adherence and persistence, blood pressure, and low-density lipoprotein cholesterol: a randomized controlled trial. Jama, 296(21):2563-71.</w:t>
      </w:r>
    </w:p>
    <w:p w:rsidR="00BF0990" w:rsidRDefault="00BF0990" w:rsidP="00BF0990">
      <w:pPr>
        <w:pStyle w:val="BodyText"/>
      </w:pPr>
      <w:r>
        <w:t>Mahtani KR, Heneghan CJ, Glasziou PP, Perera R (2011). Reminder packaging for improving adherence to self-administered long-term medications. Cochrane Database of Systematic Reviews, (9):CD005025.</w:t>
      </w:r>
    </w:p>
    <w:p w:rsidR="00B104F8" w:rsidRDefault="00B104F8" w:rsidP="00B104F8">
      <w:pPr>
        <w:pStyle w:val="BodyText"/>
      </w:pPr>
      <w:r>
        <w:t xml:space="preserve">Pharmaceutical Society of Australia (PSA). Guidelines and standards for pharmacists: Dose Administration Aids Service. July 2007. Retrieved from </w:t>
      </w:r>
      <w:hyperlink r:id="rId31" w:history="1">
        <w:r w:rsidR="002C5991" w:rsidRPr="00674105">
          <w:rPr>
            <w:rStyle w:val="Hyperlink"/>
          </w:rPr>
          <w:t>http://www.psa.org.au/downloads/community-pharmacy-agreements/dose-administration-aids/dose-administration-service-guidelines.pdf</w:t>
        </w:r>
      </w:hyperlink>
    </w:p>
    <w:p w:rsidR="002C5991" w:rsidRDefault="002C5991" w:rsidP="00B104F8">
      <w:pPr>
        <w:pStyle w:val="BodyText"/>
      </w:pPr>
      <w:r>
        <w:t>Pharmacy Guild of Australia and McCrindle. The 2016 Healthy Futures Report. Part 2. Openness, mood and perceptions towards Dose Administration Aids. February 2016. Retrieved from http://mccrindle.com.au/blog/2016/03/PharmacyGuild_HealthyFuturesReport_Part2_McCrindle_Feb2016.pdf</w:t>
      </w:r>
    </w:p>
    <w:p w:rsidR="007246FE" w:rsidRDefault="007246FE" w:rsidP="007246FE">
      <w:pPr>
        <w:pStyle w:val="BodyText"/>
      </w:pPr>
      <w:r>
        <w:lastRenderedPageBreak/>
        <w:t xml:space="preserve">PricewaterhouseCoopers (2015). Combined Review of Fifth Community Pharmacy Agreement Medication Management Programmes (Final Report). Retrieved from </w:t>
      </w:r>
      <w:hyperlink r:id="rId32" w:history="1">
        <w:r w:rsidR="00616CFD" w:rsidRPr="00674105">
          <w:rPr>
            <w:rStyle w:val="Hyperlink"/>
          </w:rPr>
          <w:t>https://www.health.gov.au/internet/main/publishing.nsf/Content/6EF022DE87761986CA257EC80013198B/$File/combined-review-5cpa-medication-management-programmes-final-report-and-appendices.pdf</w:t>
        </w:r>
      </w:hyperlink>
    </w:p>
    <w:p w:rsidR="007246FE" w:rsidRDefault="007246FE" w:rsidP="007246FE">
      <w:pPr>
        <w:pStyle w:val="BodyText"/>
      </w:pPr>
      <w:r>
        <w:t xml:space="preserve">PricewaterhouseCoopers (2010). Australian Department of Health and Ageing. Evaluation of the DAA/PMP Programs. Retrieved from </w:t>
      </w:r>
      <w:hyperlink r:id="rId33" w:history="1">
        <w:r w:rsidR="001A0C49" w:rsidRPr="000A5249">
          <w:rPr>
            <w:rStyle w:val="Hyperlink"/>
          </w:rPr>
          <w:t>https://www.health.gov.au/internet/main/publishing.nsf/Content/F520A0D5EDEA0172CA257BF0001D7B4D/$File/DAA%20PMP%20Report.pdf</w:t>
        </w:r>
      </w:hyperlink>
    </w:p>
    <w:p w:rsidR="001A0C49" w:rsidRDefault="001A0C49" w:rsidP="007246FE">
      <w:pPr>
        <w:pStyle w:val="BodyText"/>
      </w:pPr>
      <w:r w:rsidRPr="001A0C49">
        <w:t>Q</w:t>
      </w:r>
      <w:r>
        <w:t xml:space="preserve">uality Medication Care Pty Ltd and </w:t>
      </w:r>
      <w:r w:rsidRPr="001A0C49">
        <w:t xml:space="preserve">University of Queensland </w:t>
      </w:r>
      <w:r>
        <w:t xml:space="preserve">(2004). Effectiveness and cost-effectiveness of Dose Administration Aids (DAAs). Phase 2. Final Report. Retrieved from </w:t>
      </w:r>
      <w:hyperlink r:id="rId34" w:history="1">
        <w:r w:rsidRPr="0013603D">
          <w:rPr>
            <w:rStyle w:val="Hyperlink"/>
          </w:rPr>
          <w:t>http://6cpa.com.au/wp-content/uploads/Effectiveness-and-cost-effectiveness-of-Dose-Administration-Aids-executive-summary.pdf</w:t>
        </w:r>
      </w:hyperlink>
    </w:p>
    <w:p w:rsidR="007246FE" w:rsidRDefault="001A0C49" w:rsidP="007246FE">
      <w:pPr>
        <w:pStyle w:val="BodyText"/>
      </w:pPr>
      <w:r w:rsidRPr="001A0C49">
        <w:t>Q</w:t>
      </w:r>
      <w:r>
        <w:t xml:space="preserve">uality Medication Care Pty Ltd and </w:t>
      </w:r>
      <w:r w:rsidRPr="001A0C49">
        <w:t>University of Queensland</w:t>
      </w:r>
      <w:r>
        <w:t xml:space="preserve"> </w:t>
      </w:r>
      <w:r w:rsidR="006A14B2">
        <w:t xml:space="preserve">(2006). </w:t>
      </w:r>
      <w:r w:rsidR="007246FE">
        <w:t xml:space="preserve">Effectiveness and cost-effectiveness of Dose Administration Aids (DAAs). Phase 3. Final Report. Retrieved from </w:t>
      </w:r>
      <w:hyperlink r:id="rId35" w:history="1">
        <w:r w:rsidR="00B104F8" w:rsidRPr="0013603D">
          <w:rPr>
            <w:rStyle w:val="Hyperlink"/>
          </w:rPr>
          <w:t>http://6cpa.com.au/wp-content/uploads/Effectiveness-and-cost-effectiveness-of-Dose-Administration-Aids-phase-3-DAA-phase-3-Final-Report.pdf</w:t>
        </w:r>
      </w:hyperlink>
    </w:p>
    <w:p w:rsidR="00B104F8" w:rsidRDefault="00B104F8" w:rsidP="007246FE">
      <w:pPr>
        <w:pStyle w:val="BodyText"/>
      </w:pPr>
      <w:r>
        <w:t>Schneider PJ, Murphy JE, Pedersen CA (2008). Impact of medication packaging on adherence and treatment outcomes in older ambulatory patients. J Am Pharm Assoc (2003), 48(1):58-63.</w:t>
      </w:r>
    </w:p>
    <w:p w:rsidR="00BF0990" w:rsidRDefault="00BF0990" w:rsidP="00BF0990">
      <w:pPr>
        <w:pStyle w:val="BodyText"/>
      </w:pPr>
      <w:r>
        <w:t>Simmons D, Upjohn M, Gamble GD (2000). Can medication packaging improve glycemic control and blood pressure in type 2 diabetes? Results from a randomized controlled trial. Diabetes Care, 23(2):153-6.</w:t>
      </w:r>
    </w:p>
    <w:p w:rsidR="00710339" w:rsidRDefault="00710339" w:rsidP="00BF0990">
      <w:pPr>
        <w:pStyle w:val="BodyText"/>
      </w:pPr>
      <w:r>
        <w:t>Sinnemaki J, Sihvo S, Isojarvi J, Blom M, Air</w:t>
      </w:r>
      <w:r w:rsidR="00942A17">
        <w:t>aksinen M, Mantyla A (2013). Automated dose dispensing service for primary healthcare patients: a systematic review. Systematic Reviews, 2(1):1-7.</w:t>
      </w:r>
    </w:p>
    <w:p w:rsidR="00BF0990" w:rsidRDefault="00BF0990" w:rsidP="00BF0990">
      <w:pPr>
        <w:pStyle w:val="BodyText"/>
      </w:pPr>
      <w:r>
        <w:t>Skaer TL, Sclar DA, Markowski DJ, Won JKH (1993</w:t>
      </w:r>
      <w:r w:rsidR="001A0C49">
        <w:t>a</w:t>
      </w:r>
      <w:r>
        <w:t>). Effect of value-added utilities on prescription refill compliance and health care expenditures for hypertension. Journal of Human Hypertension, 7(5):515-8.</w:t>
      </w:r>
    </w:p>
    <w:p w:rsidR="00BF0990" w:rsidRDefault="00BF0990" w:rsidP="00BF0990">
      <w:pPr>
        <w:pStyle w:val="BodyText"/>
      </w:pPr>
      <w:r>
        <w:t>Skaer TL, Sclar DA, Markowski DJ, Won JKH (1993</w:t>
      </w:r>
      <w:r w:rsidR="001A0C49">
        <w:t>b</w:t>
      </w:r>
      <w:r>
        <w:t>). Effect of value-added utilities on prescription refill compliance and Medicaid health care expenditures - A study of patients with non-insulin-dependent diabetes mellitus. Journal of Clinical Pharmacy and Therapeutics, 18(4):295-9.</w:t>
      </w:r>
    </w:p>
    <w:p w:rsidR="00BF0990" w:rsidRDefault="00BF0990" w:rsidP="00BF0990">
      <w:pPr>
        <w:pStyle w:val="BodyText"/>
      </w:pPr>
      <w:r>
        <w:t>Valenstein M, Kavanagh J, Lee T, Reilly P, Dalack GW, Grabowski J, et al. (2011). Using a pharmacy-based intervention to improve antipsychotic adherence among patients with serious mental illness. Schizophr Bull, 37(4):727-36.</w:t>
      </w:r>
    </w:p>
    <w:p w:rsidR="00BF0990" w:rsidRDefault="00BF0990" w:rsidP="00BF0990">
      <w:pPr>
        <w:pStyle w:val="BodyText"/>
      </w:pPr>
      <w:r>
        <w:t>Winland-Brown JE, Valiante J (2000). Effectiveness of different medication management approaches on elders' medication adherence. Outcomes Manag Nurs Pract, 4(4):172-6.</w:t>
      </w:r>
    </w:p>
    <w:p w:rsidR="00BF0990" w:rsidRDefault="00BF0990" w:rsidP="00BF0990">
      <w:pPr>
        <w:pStyle w:val="BodyText"/>
      </w:pPr>
      <w:r>
        <w:t>Zedler BK, Kakad P, Colilla S, Murrelle L, Shah NR (2011). Does packaging with a calendar feature improve adherence to self-administered medication for long-term use? A systematic review. Clinical Therapeutics, 33(1):62-73.</w:t>
      </w:r>
    </w:p>
    <w:p w:rsidR="00632F6D" w:rsidRDefault="00632F6D" w:rsidP="00103385">
      <w:pPr>
        <w:pStyle w:val="BodyText"/>
      </w:pPr>
    </w:p>
    <w:p w:rsidR="00BF0990" w:rsidRPr="00632F6D" w:rsidRDefault="00BF0990" w:rsidP="00103385">
      <w:pPr>
        <w:pStyle w:val="BodyText"/>
        <w:sectPr w:rsidR="00BF0990" w:rsidRPr="00632F6D" w:rsidSect="00E6729C">
          <w:pgSz w:w="11906" w:h="16838" w:code="9"/>
          <w:pgMar w:top="1134" w:right="1134" w:bottom="1134" w:left="1134" w:header="680" w:footer="851" w:gutter="0"/>
          <w:cols w:space="708"/>
          <w:docGrid w:linePitch="360"/>
        </w:sectPr>
      </w:pPr>
    </w:p>
    <w:p w:rsidR="00FC650D" w:rsidRDefault="00B14B4F" w:rsidP="00B14B4F">
      <w:pPr>
        <w:pStyle w:val="Heading1"/>
        <w:numPr>
          <w:ilvl w:val="0"/>
          <w:numId w:val="0"/>
        </w:numPr>
        <w:ind w:left="510" w:hanging="510"/>
      </w:pPr>
      <w:bookmarkStart w:id="141" w:name="_Toc523230313"/>
      <w:r>
        <w:lastRenderedPageBreak/>
        <w:t xml:space="preserve">APPENDIX 2 </w:t>
      </w:r>
      <w:r w:rsidR="008B6E37">
        <w:t>Working Group</w:t>
      </w:r>
      <w:r w:rsidR="00FC650D">
        <w:t xml:space="preserve"> Members</w:t>
      </w:r>
      <w:bookmarkEnd w:id="141"/>
    </w:p>
    <w:p w:rsidR="008B6E37" w:rsidRDefault="001D2F39" w:rsidP="00C72AA9">
      <w:pPr>
        <w:pStyle w:val="BodyText"/>
        <w:keepNext/>
      </w:pPr>
      <w:bookmarkStart w:id="142" w:name="_Ref522872787"/>
      <w:r>
        <w:t>T</w:t>
      </w:r>
      <w:r w:rsidR="008B6E37" w:rsidRPr="008B6E37">
        <w:t>he Department of Health established a Working Group of nominated representatives</w:t>
      </w:r>
      <w:r w:rsidR="00B14B4F">
        <w:t xml:space="preserve"> (</w:t>
      </w:r>
      <w:bookmarkEnd w:id="142"/>
      <w:r w:rsidR="00964233">
        <w:fldChar w:fldCharType="begin"/>
      </w:r>
      <w:r w:rsidR="00964233">
        <w:instrText xml:space="preserve"> REF _Ref523230465 \h </w:instrText>
      </w:r>
      <w:r w:rsidR="00964233">
        <w:fldChar w:fldCharType="separate"/>
      </w:r>
      <w:r w:rsidR="00964233">
        <w:t>Table A-2.</w:t>
      </w:r>
      <w:r w:rsidR="00964233">
        <w:rPr>
          <w:noProof/>
        </w:rPr>
        <w:t>1</w:t>
      </w:r>
      <w:r w:rsidR="00964233">
        <w:fldChar w:fldCharType="end"/>
      </w:r>
      <w:r w:rsidR="007F54F5">
        <w:t xml:space="preserve">) </w:t>
      </w:r>
      <w:r w:rsidR="008B6E37" w:rsidRPr="008B6E37">
        <w:t xml:space="preserve">to provide advice to the Department </w:t>
      </w:r>
      <w:r>
        <w:t xml:space="preserve">and the Assessment Group </w:t>
      </w:r>
      <w:r w:rsidR="008B6E37" w:rsidRPr="008B6E37">
        <w:t xml:space="preserve">on the </w:t>
      </w:r>
      <w:r w:rsidR="00B56E96">
        <w:t xml:space="preserve">research questions and </w:t>
      </w:r>
      <w:r>
        <w:t xml:space="preserve">PICO criteria for the literature review, the literature search terms, </w:t>
      </w:r>
      <w:r w:rsidR="00B56E96">
        <w:t>utilisation data and analysis</w:t>
      </w:r>
      <w:r w:rsidR="008B6E37" w:rsidRPr="008B6E37">
        <w:t>.</w:t>
      </w:r>
      <w:r w:rsidR="00B14B4F">
        <w:t xml:space="preserve"> </w:t>
      </w:r>
    </w:p>
    <w:p w:rsidR="00AA145E" w:rsidRDefault="00964233" w:rsidP="00964233">
      <w:pPr>
        <w:pStyle w:val="Caption"/>
      </w:pPr>
      <w:bookmarkStart w:id="143" w:name="_Hlk522872828"/>
      <w:bookmarkStart w:id="144" w:name="_Ref523230465"/>
      <w:r>
        <w:t>Table A-2.</w:t>
      </w:r>
      <w:r w:rsidR="00390694">
        <w:rPr>
          <w:noProof/>
        </w:rPr>
        <w:fldChar w:fldCharType="begin"/>
      </w:r>
      <w:r w:rsidR="00390694">
        <w:rPr>
          <w:noProof/>
        </w:rPr>
        <w:instrText xml:space="preserve"> SEQ Table_A-2. \* ARABIC </w:instrText>
      </w:r>
      <w:r w:rsidR="00390694">
        <w:rPr>
          <w:noProof/>
        </w:rPr>
        <w:fldChar w:fldCharType="separate"/>
      </w:r>
      <w:r>
        <w:rPr>
          <w:noProof/>
        </w:rPr>
        <w:t>1</w:t>
      </w:r>
      <w:r w:rsidR="00390694">
        <w:rPr>
          <w:noProof/>
        </w:rPr>
        <w:fldChar w:fldCharType="end"/>
      </w:r>
      <w:bookmarkEnd w:id="143"/>
      <w:bookmarkEnd w:id="144"/>
      <w:r w:rsidR="007F54F5">
        <w:t xml:space="preserve"> </w:t>
      </w:r>
      <w:r w:rsidR="001D2F39">
        <w:t xml:space="preserve">Members of the </w:t>
      </w:r>
      <w:r w:rsidR="001D2F39">
        <w:rPr>
          <w:noProof/>
        </w:rPr>
        <w:t xml:space="preserve">Working Group for the </w:t>
      </w:r>
      <w:r w:rsidR="00B56E96">
        <w:rPr>
          <w:noProof/>
        </w:rPr>
        <w:t>evaluation of the medication adherence PPI</w:t>
      </w:r>
      <w:r w:rsidR="00566C62">
        <w:rPr>
          <w:noProof/>
        </w:rPr>
        <w:t xml:space="preserve"> </w:t>
      </w:r>
      <w:r w:rsidR="00B56E96">
        <w:rPr>
          <w:noProof/>
        </w:rPr>
        <w:t>P</w:t>
      </w:r>
      <w:r w:rsidR="00566C62">
        <w:rPr>
          <w:noProof/>
        </w:rPr>
        <w:t>rogram</w:t>
      </w:r>
      <w:r w:rsidR="00B56E96">
        <w:rPr>
          <w:noProof/>
        </w:rPr>
        <w:t>s</w:t>
      </w:r>
    </w:p>
    <w:tbl>
      <w:tblPr>
        <w:tblStyle w:val="TableGrid"/>
        <w:tblW w:w="5000" w:type="pct"/>
        <w:tblLook w:val="04A0" w:firstRow="1" w:lastRow="0" w:firstColumn="1" w:lastColumn="0" w:noHBand="0" w:noVBand="1"/>
        <w:tblCaption w:val="Table A-2.1"/>
        <w:tblDescription w:val="Members of the Working Group for the evaluation of the medication adherence PPI Programs"/>
      </w:tblPr>
      <w:tblGrid>
        <w:gridCol w:w="2405"/>
        <w:gridCol w:w="7223"/>
      </w:tblGrid>
      <w:tr w:rsidR="002F32AE" w:rsidTr="00E6729C">
        <w:trPr>
          <w:cnfStyle w:val="100000000000" w:firstRow="1" w:lastRow="0" w:firstColumn="0" w:lastColumn="0" w:oddVBand="0" w:evenVBand="0" w:oddHBand="0" w:evenHBand="0" w:firstRowFirstColumn="0" w:firstRowLastColumn="0" w:lastRowFirstColumn="0" w:lastRowLastColumn="0"/>
        </w:trPr>
        <w:tc>
          <w:tcPr>
            <w:tcW w:w="1249" w:type="pct"/>
            <w:vAlign w:val="center"/>
          </w:tcPr>
          <w:p w:rsidR="002F32AE" w:rsidRDefault="002F32AE" w:rsidP="002F32AE">
            <w:pPr>
              <w:pStyle w:val="01Tableheadingorsubheading"/>
            </w:pPr>
            <w:r w:rsidRPr="002F32AE">
              <w:t>Name</w:t>
            </w:r>
          </w:p>
        </w:tc>
        <w:tc>
          <w:tcPr>
            <w:tcW w:w="3751" w:type="pct"/>
            <w:vAlign w:val="center"/>
          </w:tcPr>
          <w:p w:rsidR="002F32AE" w:rsidRDefault="002F32AE" w:rsidP="002F32AE">
            <w:pPr>
              <w:pStyle w:val="01Tableheadingorsubheading"/>
            </w:pPr>
            <w:r w:rsidRPr="002F32AE">
              <w:t>Representing</w:t>
            </w:r>
          </w:p>
        </w:tc>
      </w:tr>
    </w:tbl>
    <w:p w:rsidR="002F32AE" w:rsidRPr="002F32AE" w:rsidRDefault="002F32AE" w:rsidP="00E937EE">
      <w:pPr>
        <w:pStyle w:val="09Tablefootnoteslast-nostick"/>
      </w:pPr>
    </w:p>
    <w:p w:rsidR="00A91BFC" w:rsidRDefault="00A91BFC" w:rsidP="00103385">
      <w:pPr>
        <w:pStyle w:val="BodyText"/>
      </w:pPr>
    </w:p>
    <w:p w:rsidR="00103385" w:rsidRPr="00FC650D" w:rsidRDefault="00103385" w:rsidP="00103385">
      <w:pPr>
        <w:pStyle w:val="BodyText"/>
        <w:sectPr w:rsidR="00103385" w:rsidRPr="00FC650D" w:rsidSect="00E6729C">
          <w:footerReference w:type="default" r:id="rId36"/>
          <w:pgSz w:w="11906" w:h="16838" w:code="9"/>
          <w:pgMar w:top="1134" w:right="1134" w:bottom="1134" w:left="1134" w:header="680" w:footer="851" w:gutter="0"/>
          <w:cols w:space="708"/>
          <w:docGrid w:linePitch="360"/>
        </w:sectPr>
      </w:pPr>
    </w:p>
    <w:p w:rsidR="00FC650D" w:rsidRDefault="00B14B4F" w:rsidP="00B14B4F">
      <w:pPr>
        <w:pStyle w:val="Heading1"/>
        <w:numPr>
          <w:ilvl w:val="0"/>
          <w:numId w:val="0"/>
        </w:numPr>
        <w:ind w:left="510" w:hanging="510"/>
      </w:pPr>
      <w:bookmarkStart w:id="145" w:name="_Toc523230314"/>
      <w:r>
        <w:lastRenderedPageBreak/>
        <w:t xml:space="preserve">APPENDIX 3 </w:t>
      </w:r>
      <w:r w:rsidR="000F23F4">
        <w:t>Search strategy</w:t>
      </w:r>
      <w:bookmarkEnd w:id="145"/>
    </w:p>
    <w:p w:rsidR="003A69C6" w:rsidRDefault="0059629F" w:rsidP="00103385">
      <w:pPr>
        <w:pStyle w:val="BodyText"/>
      </w:pPr>
      <w:r>
        <w:t xml:space="preserve">The </w:t>
      </w:r>
      <w:r w:rsidR="00143449">
        <w:t>DAA search strategies</w:t>
      </w:r>
      <w:r w:rsidR="00B56E96">
        <w:t xml:space="preserve"> for </w:t>
      </w:r>
      <w:r w:rsidR="00EC6FE6" w:rsidRPr="00EC6FE6">
        <w:t xml:space="preserve">Embase, Medline, International Pharmaceutical Abstracts and Cochrane databases are outlined in </w:t>
      </w:r>
      <w:r w:rsidR="00EC6FE6">
        <w:fldChar w:fldCharType="begin"/>
      </w:r>
      <w:r w:rsidR="00EC6FE6">
        <w:instrText xml:space="preserve"> REF _Ref522873965 \h </w:instrText>
      </w:r>
      <w:r w:rsidR="00EC6FE6">
        <w:fldChar w:fldCharType="separate"/>
      </w:r>
      <w:r w:rsidR="00964233">
        <w:t xml:space="preserve">Table A-3. </w:t>
      </w:r>
      <w:r w:rsidR="00964233">
        <w:rPr>
          <w:noProof/>
        </w:rPr>
        <w:t>1</w:t>
      </w:r>
      <w:r w:rsidR="00EC6FE6">
        <w:fldChar w:fldCharType="end"/>
      </w:r>
      <w:r w:rsidR="00EC6FE6">
        <w:t xml:space="preserve">, </w:t>
      </w:r>
      <w:r w:rsidR="00EC6FE6">
        <w:fldChar w:fldCharType="begin"/>
      </w:r>
      <w:r w:rsidR="00EC6FE6">
        <w:instrText xml:space="preserve"> REF _Ref522874281 \h </w:instrText>
      </w:r>
      <w:r w:rsidR="00EC6FE6">
        <w:fldChar w:fldCharType="separate"/>
      </w:r>
      <w:r w:rsidR="00964233">
        <w:t xml:space="preserve">Table A-3. </w:t>
      </w:r>
      <w:r w:rsidR="00964233">
        <w:rPr>
          <w:noProof/>
        </w:rPr>
        <w:t>2</w:t>
      </w:r>
      <w:r w:rsidR="00EC6FE6">
        <w:fldChar w:fldCharType="end"/>
      </w:r>
      <w:r w:rsidR="00EC6FE6">
        <w:t xml:space="preserve">, </w:t>
      </w:r>
      <w:r w:rsidR="00EC6FE6">
        <w:fldChar w:fldCharType="begin"/>
      </w:r>
      <w:r w:rsidR="00EC6FE6">
        <w:instrText xml:space="preserve"> REF _Ref522874287 \h </w:instrText>
      </w:r>
      <w:r w:rsidR="00EC6FE6">
        <w:fldChar w:fldCharType="separate"/>
      </w:r>
      <w:r w:rsidR="00964233">
        <w:t xml:space="preserve">Table A-3. </w:t>
      </w:r>
      <w:r w:rsidR="00964233">
        <w:rPr>
          <w:noProof/>
        </w:rPr>
        <w:t>3</w:t>
      </w:r>
      <w:r w:rsidR="00EC6FE6">
        <w:fldChar w:fldCharType="end"/>
      </w:r>
      <w:r w:rsidR="00EC6FE6">
        <w:t xml:space="preserve">, </w:t>
      </w:r>
      <w:r w:rsidR="00EC6FE6">
        <w:fldChar w:fldCharType="begin"/>
      </w:r>
      <w:r w:rsidR="00EC6FE6">
        <w:instrText xml:space="preserve"> REF _Ref522874290 \h </w:instrText>
      </w:r>
      <w:r w:rsidR="00EC6FE6">
        <w:fldChar w:fldCharType="separate"/>
      </w:r>
      <w:r w:rsidR="00964233">
        <w:t xml:space="preserve">Table A-3. </w:t>
      </w:r>
      <w:r w:rsidR="00964233">
        <w:rPr>
          <w:noProof/>
        </w:rPr>
        <w:t>4</w:t>
      </w:r>
      <w:r w:rsidR="00EC6FE6">
        <w:fldChar w:fldCharType="end"/>
      </w:r>
      <w:r w:rsidR="00EC6FE6">
        <w:t xml:space="preserve">. </w:t>
      </w:r>
    </w:p>
    <w:p w:rsidR="00143449" w:rsidRDefault="00EF244A" w:rsidP="00EF244A">
      <w:pPr>
        <w:pStyle w:val="Caption"/>
      </w:pPr>
      <w:bookmarkStart w:id="146" w:name="_Ref522873965"/>
      <w:r>
        <w:t xml:space="preserve">Table A-3. </w:t>
      </w:r>
      <w:r w:rsidR="00964233">
        <w:rPr>
          <w:noProof/>
        </w:rPr>
        <w:fldChar w:fldCharType="begin"/>
      </w:r>
      <w:r w:rsidR="00964233">
        <w:rPr>
          <w:noProof/>
        </w:rPr>
        <w:instrText xml:space="preserve"> SEQ Table_A-3. \* ARABIC </w:instrText>
      </w:r>
      <w:r w:rsidR="00964233">
        <w:rPr>
          <w:noProof/>
        </w:rPr>
        <w:fldChar w:fldCharType="separate"/>
      </w:r>
      <w:r w:rsidR="00964233">
        <w:rPr>
          <w:noProof/>
        </w:rPr>
        <w:t>1</w:t>
      </w:r>
      <w:r w:rsidR="00964233">
        <w:rPr>
          <w:noProof/>
        </w:rPr>
        <w:fldChar w:fldCharType="end"/>
      </w:r>
      <w:bookmarkEnd w:id="146"/>
      <w:r w:rsidR="00EC6FE6">
        <w:t xml:space="preserve"> </w:t>
      </w:r>
      <w:r w:rsidR="007151D9">
        <w:t>Embase search strategy</w:t>
      </w:r>
      <w:r w:rsidR="00836559">
        <w:t xml:space="preserve"> (23</w:t>
      </w:r>
      <w:r w:rsidR="00836559" w:rsidRPr="003F290A">
        <w:rPr>
          <w:vertAlign w:val="superscript"/>
        </w:rPr>
        <w:t>rd</w:t>
      </w:r>
      <w:r w:rsidR="00836559">
        <w:t xml:space="preserve"> August 2016)</w:t>
      </w:r>
    </w:p>
    <w:tbl>
      <w:tblPr>
        <w:tblStyle w:val="TableGrid"/>
        <w:tblW w:w="5000" w:type="pct"/>
        <w:tblLook w:val="04A0" w:firstRow="1" w:lastRow="0" w:firstColumn="1" w:lastColumn="0" w:noHBand="0" w:noVBand="1"/>
        <w:tblCaption w:val="Table A-3.1"/>
        <w:tblDescription w:val="Embase search strategy (23rd August 2016)"/>
      </w:tblPr>
      <w:tblGrid>
        <w:gridCol w:w="447"/>
        <w:gridCol w:w="7681"/>
        <w:gridCol w:w="1500"/>
      </w:tblGrid>
      <w:tr w:rsidR="0049208F" w:rsidTr="00C2042E">
        <w:trPr>
          <w:cnfStyle w:val="100000000000" w:firstRow="1" w:lastRow="0" w:firstColumn="0" w:lastColumn="0" w:oddVBand="0" w:evenVBand="0" w:oddHBand="0" w:evenHBand="0" w:firstRowFirstColumn="0" w:firstRowLastColumn="0" w:lastRowFirstColumn="0" w:lastRowLastColumn="0"/>
        </w:trPr>
        <w:tc>
          <w:tcPr>
            <w:tcW w:w="232" w:type="pct"/>
            <w:vAlign w:val="center"/>
          </w:tcPr>
          <w:p w:rsidR="0049208F" w:rsidRDefault="00B7109E" w:rsidP="00C2042E">
            <w:pPr>
              <w:pStyle w:val="01Tableheaderrow"/>
              <w:keepNext w:val="0"/>
              <w:jc w:val="center"/>
            </w:pPr>
            <w:r>
              <w:t>#</w:t>
            </w:r>
          </w:p>
        </w:tc>
        <w:tc>
          <w:tcPr>
            <w:tcW w:w="3989" w:type="pct"/>
            <w:vAlign w:val="center"/>
          </w:tcPr>
          <w:p w:rsidR="0049208F" w:rsidRDefault="00B7109E" w:rsidP="00C2042E">
            <w:pPr>
              <w:pStyle w:val="01Tableheaderrow"/>
              <w:keepNext w:val="0"/>
            </w:pPr>
            <w:r>
              <w:t>Search term</w:t>
            </w:r>
          </w:p>
        </w:tc>
        <w:tc>
          <w:tcPr>
            <w:tcW w:w="779" w:type="pct"/>
            <w:vAlign w:val="center"/>
          </w:tcPr>
          <w:p w:rsidR="0049208F" w:rsidRDefault="00B7109E" w:rsidP="00C2042E">
            <w:pPr>
              <w:pStyle w:val="01Tableheaderrow"/>
              <w:keepNext w:val="0"/>
              <w:jc w:val="center"/>
            </w:pPr>
            <w:r>
              <w:t>Number of citations</w:t>
            </w:r>
          </w:p>
        </w:tc>
      </w:tr>
      <w:tr w:rsidR="0049208F" w:rsidTr="00E6729C">
        <w:tc>
          <w:tcPr>
            <w:tcW w:w="232" w:type="pct"/>
          </w:tcPr>
          <w:p w:rsidR="0049208F" w:rsidRDefault="001F1646" w:rsidP="00143449">
            <w:pPr>
              <w:pStyle w:val="02Tabletext"/>
              <w:keepNext w:val="0"/>
            </w:pPr>
            <w:r>
              <w:t>1</w:t>
            </w:r>
          </w:p>
        </w:tc>
        <w:tc>
          <w:tcPr>
            <w:tcW w:w="3989" w:type="pct"/>
          </w:tcPr>
          <w:p w:rsidR="0049208F" w:rsidRDefault="00B7109E" w:rsidP="00143449">
            <w:pPr>
              <w:pStyle w:val="02Tabletext"/>
              <w:keepNext w:val="0"/>
            </w:pPr>
            <w:r w:rsidRPr="00B7109E">
              <w:t>dose administration aid</w:t>
            </w:r>
            <w:r w:rsidR="001F1646">
              <w:t>*</w:t>
            </w:r>
            <w:r w:rsidRPr="00B7109E">
              <w:t>.mp</w:t>
            </w:r>
            <w:r w:rsidR="004C35DD">
              <w:t>.</w:t>
            </w:r>
          </w:p>
        </w:tc>
        <w:tc>
          <w:tcPr>
            <w:tcW w:w="779" w:type="pct"/>
          </w:tcPr>
          <w:p w:rsidR="0049208F" w:rsidRDefault="00B7109E" w:rsidP="00143449">
            <w:pPr>
              <w:pStyle w:val="02Tabletext"/>
              <w:keepNext w:val="0"/>
            </w:pPr>
            <w:r>
              <w:t>21</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2</w:t>
            </w:r>
          </w:p>
        </w:tc>
        <w:tc>
          <w:tcPr>
            <w:tcW w:w="3989" w:type="pct"/>
          </w:tcPr>
          <w:p w:rsidR="00B7109E" w:rsidRPr="00B7109E" w:rsidRDefault="00B7109E" w:rsidP="00143449">
            <w:pPr>
              <w:pStyle w:val="02Tabletext"/>
              <w:keepNext w:val="0"/>
            </w:pPr>
            <w:r w:rsidRPr="00B7109E">
              <w:t xml:space="preserve">reminder </w:t>
            </w:r>
            <w:r>
              <w:t>system.mp. or reminder system/</w:t>
            </w:r>
          </w:p>
        </w:tc>
        <w:tc>
          <w:tcPr>
            <w:tcW w:w="779" w:type="pct"/>
          </w:tcPr>
          <w:p w:rsidR="00B7109E" w:rsidRDefault="00B7109E" w:rsidP="00143449">
            <w:pPr>
              <w:pStyle w:val="02Tabletext"/>
              <w:keepNext w:val="0"/>
            </w:pPr>
            <w:r>
              <w:t>2177</w:t>
            </w:r>
          </w:p>
        </w:tc>
      </w:tr>
      <w:tr w:rsidR="0049208F" w:rsidTr="00E6729C">
        <w:tc>
          <w:tcPr>
            <w:tcW w:w="232" w:type="pct"/>
          </w:tcPr>
          <w:p w:rsidR="0049208F" w:rsidRDefault="001F1646" w:rsidP="00143449">
            <w:pPr>
              <w:pStyle w:val="02Tabletext"/>
              <w:keepNext w:val="0"/>
            </w:pPr>
            <w:r>
              <w:t>3</w:t>
            </w:r>
          </w:p>
        </w:tc>
        <w:tc>
          <w:tcPr>
            <w:tcW w:w="3989" w:type="pct"/>
          </w:tcPr>
          <w:p w:rsidR="0049208F" w:rsidRDefault="00B7109E" w:rsidP="00143449">
            <w:pPr>
              <w:pStyle w:val="02Tabletext"/>
              <w:keepNext w:val="0"/>
            </w:pPr>
            <w:r w:rsidRPr="00B7109E">
              <w:t>drug packaging.mp.</w:t>
            </w:r>
          </w:p>
        </w:tc>
        <w:tc>
          <w:tcPr>
            <w:tcW w:w="779" w:type="pct"/>
          </w:tcPr>
          <w:p w:rsidR="0049208F" w:rsidRDefault="00B7109E" w:rsidP="00143449">
            <w:pPr>
              <w:pStyle w:val="02Tabletext"/>
              <w:keepNext w:val="0"/>
            </w:pPr>
            <w:r>
              <w:t>8649</w:t>
            </w:r>
          </w:p>
        </w:tc>
      </w:tr>
      <w:tr w:rsidR="0049208F"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49208F" w:rsidRDefault="001F1646" w:rsidP="00143449">
            <w:pPr>
              <w:pStyle w:val="02Tabletext"/>
              <w:keepNext w:val="0"/>
            </w:pPr>
            <w:r>
              <w:t>4</w:t>
            </w:r>
          </w:p>
        </w:tc>
        <w:tc>
          <w:tcPr>
            <w:tcW w:w="3989" w:type="pct"/>
          </w:tcPr>
          <w:p w:rsidR="0049208F" w:rsidRDefault="004C35DD" w:rsidP="00143449">
            <w:pPr>
              <w:pStyle w:val="02Tabletext"/>
              <w:keepNext w:val="0"/>
            </w:pPr>
            <w:r w:rsidRPr="004C35DD">
              <w:t>drug delivery system.mp.</w:t>
            </w:r>
          </w:p>
        </w:tc>
        <w:tc>
          <w:tcPr>
            <w:tcW w:w="779" w:type="pct"/>
          </w:tcPr>
          <w:p w:rsidR="0049208F" w:rsidRDefault="004C35DD" w:rsidP="00143449">
            <w:pPr>
              <w:pStyle w:val="02Tabletext"/>
              <w:keepNext w:val="0"/>
            </w:pPr>
            <w:r>
              <w:t>98641</w:t>
            </w:r>
          </w:p>
        </w:tc>
      </w:tr>
      <w:tr w:rsidR="0049208F" w:rsidTr="00E6729C">
        <w:tc>
          <w:tcPr>
            <w:tcW w:w="232" w:type="pct"/>
          </w:tcPr>
          <w:p w:rsidR="0049208F" w:rsidRDefault="001F1646" w:rsidP="00143449">
            <w:pPr>
              <w:pStyle w:val="02Tabletext"/>
              <w:keepNext w:val="0"/>
            </w:pPr>
            <w:r>
              <w:t>5</w:t>
            </w:r>
          </w:p>
        </w:tc>
        <w:tc>
          <w:tcPr>
            <w:tcW w:w="3989" w:type="pct"/>
          </w:tcPr>
          <w:p w:rsidR="0049208F" w:rsidRDefault="004C35DD" w:rsidP="00143449">
            <w:pPr>
              <w:pStyle w:val="02Tabletext"/>
              <w:keepNext w:val="0"/>
            </w:pPr>
            <w:r w:rsidRPr="004C35DD">
              <w:t>webster pack.mp</w:t>
            </w:r>
            <w:r>
              <w:t>.</w:t>
            </w:r>
          </w:p>
        </w:tc>
        <w:tc>
          <w:tcPr>
            <w:tcW w:w="779" w:type="pct"/>
          </w:tcPr>
          <w:p w:rsidR="0049208F" w:rsidRDefault="004C35DD" w:rsidP="00143449">
            <w:pPr>
              <w:pStyle w:val="02Tabletext"/>
              <w:keepNext w:val="0"/>
            </w:pPr>
            <w:r>
              <w:t>1</w:t>
            </w:r>
          </w:p>
        </w:tc>
      </w:tr>
      <w:tr w:rsidR="0049208F"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49208F" w:rsidRDefault="001F1646" w:rsidP="00143449">
            <w:pPr>
              <w:pStyle w:val="02Tabletext"/>
              <w:keepNext w:val="0"/>
            </w:pPr>
            <w:r>
              <w:t>6</w:t>
            </w:r>
          </w:p>
        </w:tc>
        <w:tc>
          <w:tcPr>
            <w:tcW w:w="3989" w:type="pct"/>
          </w:tcPr>
          <w:p w:rsidR="0049208F" w:rsidRDefault="004C35DD" w:rsidP="00143449">
            <w:pPr>
              <w:pStyle w:val="02Tabletext"/>
              <w:keepNext w:val="0"/>
            </w:pPr>
            <w:r w:rsidRPr="004C35DD">
              <w:t>webster pak.m</w:t>
            </w:r>
            <w:r>
              <w:t>p.</w:t>
            </w:r>
          </w:p>
        </w:tc>
        <w:tc>
          <w:tcPr>
            <w:tcW w:w="779" w:type="pct"/>
          </w:tcPr>
          <w:p w:rsidR="0049208F" w:rsidRDefault="004C35DD" w:rsidP="00143449">
            <w:pPr>
              <w:pStyle w:val="02Tabletext"/>
              <w:keepNext w:val="0"/>
            </w:pPr>
            <w:r>
              <w:t>6</w:t>
            </w:r>
          </w:p>
        </w:tc>
      </w:tr>
      <w:tr w:rsidR="0049208F" w:rsidTr="00E6729C">
        <w:tc>
          <w:tcPr>
            <w:tcW w:w="232" w:type="pct"/>
          </w:tcPr>
          <w:p w:rsidR="0049208F" w:rsidRDefault="001F1646" w:rsidP="00143449">
            <w:pPr>
              <w:pStyle w:val="02Tabletext"/>
              <w:keepNext w:val="0"/>
            </w:pPr>
            <w:r>
              <w:t>7</w:t>
            </w:r>
          </w:p>
        </w:tc>
        <w:tc>
          <w:tcPr>
            <w:tcW w:w="3989" w:type="pct"/>
          </w:tcPr>
          <w:p w:rsidR="0049208F" w:rsidRDefault="004C35DD" w:rsidP="00143449">
            <w:pPr>
              <w:pStyle w:val="02Tabletext"/>
              <w:keepNext w:val="0"/>
            </w:pPr>
            <w:r w:rsidRPr="004C35DD">
              <w:t>webstercare.mp.</w:t>
            </w:r>
          </w:p>
        </w:tc>
        <w:tc>
          <w:tcPr>
            <w:tcW w:w="779" w:type="pct"/>
          </w:tcPr>
          <w:p w:rsidR="0049208F" w:rsidRDefault="004C35DD" w:rsidP="00143449">
            <w:pPr>
              <w:pStyle w:val="02Tabletext"/>
              <w:keepNext w:val="0"/>
            </w:pPr>
            <w:r>
              <w:t>2</w:t>
            </w:r>
          </w:p>
        </w:tc>
      </w:tr>
      <w:tr w:rsidR="0049208F"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49208F" w:rsidRDefault="001F1646" w:rsidP="00143449">
            <w:pPr>
              <w:pStyle w:val="02Tabletext"/>
              <w:keepNext w:val="0"/>
            </w:pPr>
            <w:r>
              <w:t>8</w:t>
            </w:r>
          </w:p>
        </w:tc>
        <w:tc>
          <w:tcPr>
            <w:tcW w:w="3989" w:type="pct"/>
          </w:tcPr>
          <w:p w:rsidR="0049208F" w:rsidRDefault="004C35DD" w:rsidP="00143449">
            <w:pPr>
              <w:pStyle w:val="02Tabletext"/>
              <w:keepNext w:val="0"/>
            </w:pPr>
            <w:r w:rsidRPr="004C35DD">
              <w:t>unit dose pack.mp</w:t>
            </w:r>
            <w:r>
              <w:t>.</w:t>
            </w:r>
          </w:p>
        </w:tc>
        <w:tc>
          <w:tcPr>
            <w:tcW w:w="779" w:type="pct"/>
          </w:tcPr>
          <w:p w:rsidR="0049208F" w:rsidRDefault="004C35DD" w:rsidP="00143449">
            <w:pPr>
              <w:pStyle w:val="02Tabletext"/>
              <w:keepNext w:val="0"/>
            </w:pPr>
            <w:r>
              <w:t>4</w:t>
            </w:r>
          </w:p>
        </w:tc>
      </w:tr>
      <w:tr w:rsidR="00B7109E" w:rsidTr="00E6729C">
        <w:tc>
          <w:tcPr>
            <w:tcW w:w="232" w:type="pct"/>
          </w:tcPr>
          <w:p w:rsidR="00B7109E" w:rsidRDefault="001F1646" w:rsidP="00143449">
            <w:pPr>
              <w:pStyle w:val="02Tabletext"/>
              <w:keepNext w:val="0"/>
            </w:pPr>
            <w:r>
              <w:t>9</w:t>
            </w:r>
          </w:p>
        </w:tc>
        <w:tc>
          <w:tcPr>
            <w:tcW w:w="3989" w:type="pct"/>
          </w:tcPr>
          <w:p w:rsidR="00B7109E" w:rsidRDefault="004C35DD" w:rsidP="00143449">
            <w:pPr>
              <w:pStyle w:val="02Tabletext"/>
              <w:keepNext w:val="0"/>
            </w:pPr>
            <w:r>
              <w:t>m</w:t>
            </w:r>
            <w:r w:rsidRPr="004C35DD">
              <w:t>ulti</w:t>
            </w:r>
            <w:r>
              <w:t xml:space="preserve"> </w:t>
            </w:r>
            <w:r w:rsidRPr="004C35DD">
              <w:t>dose pack.mp.</w:t>
            </w:r>
          </w:p>
        </w:tc>
        <w:tc>
          <w:tcPr>
            <w:tcW w:w="779" w:type="pct"/>
          </w:tcPr>
          <w:p w:rsidR="00B7109E" w:rsidRDefault="004C35DD" w:rsidP="00143449">
            <w:pPr>
              <w:pStyle w:val="02Tabletext"/>
              <w:keepNext w:val="0"/>
            </w:pPr>
            <w:r>
              <w:t>0</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10</w:t>
            </w:r>
          </w:p>
        </w:tc>
        <w:tc>
          <w:tcPr>
            <w:tcW w:w="3989" w:type="pct"/>
          </w:tcPr>
          <w:p w:rsidR="00B7109E" w:rsidRDefault="004C35DD" w:rsidP="00143449">
            <w:pPr>
              <w:pStyle w:val="02Tabletext"/>
              <w:keepNext w:val="0"/>
            </w:pPr>
            <w:r w:rsidRPr="004C35DD">
              <w:t>PacMED.mp.</w:t>
            </w:r>
          </w:p>
        </w:tc>
        <w:tc>
          <w:tcPr>
            <w:tcW w:w="779" w:type="pct"/>
          </w:tcPr>
          <w:p w:rsidR="00B7109E" w:rsidRDefault="004C35DD" w:rsidP="00143449">
            <w:pPr>
              <w:pStyle w:val="02Tabletext"/>
              <w:keepNext w:val="0"/>
            </w:pPr>
            <w:r>
              <w:t>5</w:t>
            </w:r>
          </w:p>
        </w:tc>
      </w:tr>
      <w:tr w:rsidR="00B7109E" w:rsidTr="00E6729C">
        <w:tc>
          <w:tcPr>
            <w:tcW w:w="232" w:type="pct"/>
          </w:tcPr>
          <w:p w:rsidR="00B7109E" w:rsidRDefault="001F1646" w:rsidP="00143449">
            <w:pPr>
              <w:pStyle w:val="02Tabletext"/>
              <w:keepNext w:val="0"/>
            </w:pPr>
            <w:r>
              <w:t>11</w:t>
            </w:r>
          </w:p>
        </w:tc>
        <w:tc>
          <w:tcPr>
            <w:tcW w:w="3989" w:type="pct"/>
          </w:tcPr>
          <w:p w:rsidR="00B7109E" w:rsidRDefault="004C35DD" w:rsidP="00143449">
            <w:pPr>
              <w:pStyle w:val="02Tabletext"/>
              <w:keepNext w:val="0"/>
            </w:pPr>
            <w:r w:rsidRPr="004C35DD">
              <w:t>Meditech.mp.</w:t>
            </w:r>
          </w:p>
        </w:tc>
        <w:tc>
          <w:tcPr>
            <w:tcW w:w="779" w:type="pct"/>
          </w:tcPr>
          <w:p w:rsidR="00B7109E" w:rsidRDefault="004C35DD" w:rsidP="00143449">
            <w:pPr>
              <w:pStyle w:val="02Tabletext"/>
              <w:keepNext w:val="0"/>
            </w:pPr>
            <w:r>
              <w:t>665</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12</w:t>
            </w:r>
          </w:p>
        </w:tc>
        <w:tc>
          <w:tcPr>
            <w:tcW w:w="3989" w:type="pct"/>
          </w:tcPr>
          <w:p w:rsidR="00B7109E" w:rsidRDefault="004C35DD" w:rsidP="00143449">
            <w:pPr>
              <w:pStyle w:val="02Tabletext"/>
              <w:keepNext w:val="0"/>
            </w:pPr>
            <w:r w:rsidRPr="004C35DD">
              <w:t>medico pack.mp.</w:t>
            </w:r>
          </w:p>
        </w:tc>
        <w:tc>
          <w:tcPr>
            <w:tcW w:w="779" w:type="pct"/>
          </w:tcPr>
          <w:p w:rsidR="00B7109E" w:rsidRDefault="004C35DD" w:rsidP="00143449">
            <w:pPr>
              <w:pStyle w:val="02Tabletext"/>
              <w:keepNext w:val="0"/>
            </w:pPr>
            <w:r>
              <w:t>0</w:t>
            </w:r>
          </w:p>
        </w:tc>
      </w:tr>
      <w:tr w:rsidR="00B7109E" w:rsidTr="00E6729C">
        <w:tc>
          <w:tcPr>
            <w:tcW w:w="232" w:type="pct"/>
          </w:tcPr>
          <w:p w:rsidR="00B7109E" w:rsidRDefault="001F1646" w:rsidP="00143449">
            <w:pPr>
              <w:pStyle w:val="02Tabletext"/>
              <w:keepNext w:val="0"/>
            </w:pPr>
            <w:r>
              <w:t>13</w:t>
            </w:r>
          </w:p>
        </w:tc>
        <w:tc>
          <w:tcPr>
            <w:tcW w:w="3989" w:type="pct"/>
          </w:tcPr>
          <w:p w:rsidR="00B7109E" w:rsidRDefault="004C35DD" w:rsidP="00143449">
            <w:pPr>
              <w:pStyle w:val="02Tabletext"/>
              <w:keepNext w:val="0"/>
            </w:pPr>
            <w:r>
              <w:t>Medi</w:t>
            </w:r>
            <w:r w:rsidRPr="004C35DD">
              <w:t>wheel.mp.</w:t>
            </w:r>
            <w:r>
              <w:t xml:space="preserve"> or Medi-wheel.mp.</w:t>
            </w:r>
          </w:p>
        </w:tc>
        <w:tc>
          <w:tcPr>
            <w:tcW w:w="779" w:type="pct"/>
          </w:tcPr>
          <w:p w:rsidR="00B7109E" w:rsidRDefault="004C35DD" w:rsidP="00143449">
            <w:pPr>
              <w:pStyle w:val="02Tabletext"/>
              <w:keepNext w:val="0"/>
            </w:pPr>
            <w:r>
              <w:t>1</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14</w:t>
            </w:r>
          </w:p>
        </w:tc>
        <w:tc>
          <w:tcPr>
            <w:tcW w:w="3989" w:type="pct"/>
          </w:tcPr>
          <w:p w:rsidR="00B7109E" w:rsidRDefault="004C35DD" w:rsidP="00143449">
            <w:pPr>
              <w:pStyle w:val="02Tabletext"/>
              <w:keepNext w:val="0"/>
            </w:pPr>
            <w:r>
              <w:t>Medi</w:t>
            </w:r>
            <w:r w:rsidRPr="004C35DD">
              <w:t>chest.mp.</w:t>
            </w:r>
          </w:p>
        </w:tc>
        <w:tc>
          <w:tcPr>
            <w:tcW w:w="779" w:type="pct"/>
          </w:tcPr>
          <w:p w:rsidR="00B7109E" w:rsidRDefault="004C35DD" w:rsidP="00143449">
            <w:pPr>
              <w:pStyle w:val="02Tabletext"/>
              <w:keepNext w:val="0"/>
            </w:pPr>
            <w:r>
              <w:t>0</w:t>
            </w:r>
          </w:p>
        </w:tc>
      </w:tr>
      <w:tr w:rsidR="00B7109E" w:rsidTr="00E6729C">
        <w:tc>
          <w:tcPr>
            <w:tcW w:w="232" w:type="pct"/>
          </w:tcPr>
          <w:p w:rsidR="00B7109E" w:rsidRDefault="001F1646" w:rsidP="00143449">
            <w:pPr>
              <w:pStyle w:val="02Tabletext"/>
              <w:keepNext w:val="0"/>
            </w:pPr>
            <w:r>
              <w:t>15</w:t>
            </w:r>
          </w:p>
        </w:tc>
        <w:tc>
          <w:tcPr>
            <w:tcW w:w="3989" w:type="pct"/>
          </w:tcPr>
          <w:p w:rsidR="00B7109E" w:rsidRDefault="004C35DD" w:rsidP="00143449">
            <w:pPr>
              <w:pStyle w:val="02Tabletext"/>
              <w:keepNext w:val="0"/>
            </w:pPr>
            <w:r w:rsidRPr="004C35DD">
              <w:t>automated packing.mp</w:t>
            </w:r>
          </w:p>
        </w:tc>
        <w:tc>
          <w:tcPr>
            <w:tcW w:w="779" w:type="pct"/>
          </w:tcPr>
          <w:p w:rsidR="00B7109E" w:rsidRDefault="004C35DD" w:rsidP="00143449">
            <w:pPr>
              <w:pStyle w:val="02Tabletext"/>
              <w:keepNext w:val="0"/>
            </w:pPr>
            <w:r>
              <w:t>1</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16</w:t>
            </w:r>
          </w:p>
        </w:tc>
        <w:tc>
          <w:tcPr>
            <w:tcW w:w="3989" w:type="pct"/>
          </w:tcPr>
          <w:p w:rsidR="00B7109E" w:rsidRDefault="001272D4" w:rsidP="00143449">
            <w:pPr>
              <w:pStyle w:val="02Tabletext"/>
              <w:keepNext w:val="0"/>
            </w:pPr>
            <w:r w:rsidRPr="001272D4">
              <w:t>drug administration management.mp.</w:t>
            </w:r>
          </w:p>
        </w:tc>
        <w:tc>
          <w:tcPr>
            <w:tcW w:w="779" w:type="pct"/>
          </w:tcPr>
          <w:p w:rsidR="00B7109E" w:rsidRDefault="001272D4" w:rsidP="00143449">
            <w:pPr>
              <w:pStyle w:val="02Tabletext"/>
              <w:keepNext w:val="0"/>
            </w:pPr>
            <w:r>
              <w:t>1</w:t>
            </w:r>
          </w:p>
        </w:tc>
      </w:tr>
      <w:tr w:rsidR="00B7109E" w:rsidTr="00E6729C">
        <w:tc>
          <w:tcPr>
            <w:tcW w:w="232" w:type="pct"/>
          </w:tcPr>
          <w:p w:rsidR="00B7109E" w:rsidRDefault="001F1646" w:rsidP="00143449">
            <w:pPr>
              <w:pStyle w:val="02Tabletext"/>
              <w:keepNext w:val="0"/>
            </w:pPr>
            <w:r>
              <w:t>17</w:t>
            </w:r>
          </w:p>
        </w:tc>
        <w:tc>
          <w:tcPr>
            <w:tcW w:w="3989" w:type="pct"/>
          </w:tcPr>
          <w:p w:rsidR="00B7109E" w:rsidRDefault="001272D4" w:rsidP="00143449">
            <w:pPr>
              <w:pStyle w:val="02Tabletext"/>
              <w:keepNext w:val="0"/>
            </w:pPr>
            <w:r w:rsidRPr="001272D4">
              <w:t>medication pack.mp</w:t>
            </w:r>
          </w:p>
        </w:tc>
        <w:tc>
          <w:tcPr>
            <w:tcW w:w="779" w:type="pct"/>
          </w:tcPr>
          <w:p w:rsidR="00B7109E" w:rsidRDefault="001272D4" w:rsidP="00143449">
            <w:pPr>
              <w:pStyle w:val="02Tabletext"/>
              <w:keepNext w:val="0"/>
            </w:pPr>
            <w:r>
              <w:t>3</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18</w:t>
            </w:r>
          </w:p>
        </w:tc>
        <w:tc>
          <w:tcPr>
            <w:tcW w:w="3989" w:type="pct"/>
          </w:tcPr>
          <w:p w:rsidR="00B7109E" w:rsidRDefault="001272D4" w:rsidP="00143449">
            <w:pPr>
              <w:pStyle w:val="02Tabletext"/>
              <w:keepNext w:val="0"/>
            </w:pPr>
            <w:r w:rsidRPr="001272D4">
              <w:t>venalink.mp</w:t>
            </w:r>
          </w:p>
        </w:tc>
        <w:tc>
          <w:tcPr>
            <w:tcW w:w="779" w:type="pct"/>
          </w:tcPr>
          <w:p w:rsidR="00B7109E" w:rsidRDefault="001272D4" w:rsidP="00143449">
            <w:pPr>
              <w:pStyle w:val="02Tabletext"/>
              <w:keepNext w:val="0"/>
            </w:pPr>
            <w:r>
              <w:t>9</w:t>
            </w:r>
          </w:p>
        </w:tc>
      </w:tr>
      <w:tr w:rsidR="00B7109E" w:rsidTr="00E6729C">
        <w:tc>
          <w:tcPr>
            <w:tcW w:w="232" w:type="pct"/>
          </w:tcPr>
          <w:p w:rsidR="00B7109E" w:rsidRDefault="001F1646" w:rsidP="00143449">
            <w:pPr>
              <w:pStyle w:val="02Tabletext"/>
              <w:keepNext w:val="0"/>
            </w:pPr>
            <w:r>
              <w:t>19</w:t>
            </w:r>
          </w:p>
        </w:tc>
        <w:tc>
          <w:tcPr>
            <w:tcW w:w="3989" w:type="pct"/>
          </w:tcPr>
          <w:p w:rsidR="00B7109E" w:rsidRDefault="001272D4" w:rsidP="00143449">
            <w:pPr>
              <w:pStyle w:val="02Tabletext"/>
              <w:keepNext w:val="0"/>
            </w:pPr>
            <w:r w:rsidRPr="001272D4">
              <w:t>blister pack.mp. or exp blister pack/</w:t>
            </w:r>
          </w:p>
        </w:tc>
        <w:tc>
          <w:tcPr>
            <w:tcW w:w="779" w:type="pct"/>
          </w:tcPr>
          <w:p w:rsidR="00B7109E" w:rsidRDefault="001272D4" w:rsidP="00143449">
            <w:pPr>
              <w:pStyle w:val="02Tabletext"/>
              <w:keepNext w:val="0"/>
            </w:pPr>
            <w:r>
              <w:t>568</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20</w:t>
            </w:r>
          </w:p>
        </w:tc>
        <w:tc>
          <w:tcPr>
            <w:tcW w:w="3989" w:type="pct"/>
          </w:tcPr>
          <w:p w:rsidR="00B7109E" w:rsidRDefault="001272D4" w:rsidP="00143449">
            <w:pPr>
              <w:pStyle w:val="02Tabletext"/>
              <w:keepNext w:val="0"/>
            </w:pPr>
            <w:r w:rsidRPr="001272D4">
              <w:t>(blister adj2 (pack* or pak*)).mp.</w:t>
            </w:r>
          </w:p>
        </w:tc>
        <w:tc>
          <w:tcPr>
            <w:tcW w:w="779" w:type="pct"/>
          </w:tcPr>
          <w:p w:rsidR="00B7109E" w:rsidRDefault="001272D4" w:rsidP="00143449">
            <w:pPr>
              <w:pStyle w:val="02Tabletext"/>
              <w:keepNext w:val="0"/>
            </w:pPr>
            <w:r>
              <w:t>770</w:t>
            </w:r>
          </w:p>
        </w:tc>
      </w:tr>
      <w:tr w:rsidR="00B7109E" w:rsidTr="00E6729C">
        <w:tc>
          <w:tcPr>
            <w:tcW w:w="232" w:type="pct"/>
          </w:tcPr>
          <w:p w:rsidR="00B7109E" w:rsidRDefault="001F1646" w:rsidP="00143449">
            <w:pPr>
              <w:pStyle w:val="02Tabletext"/>
              <w:keepNext w:val="0"/>
            </w:pPr>
            <w:r>
              <w:t>21</w:t>
            </w:r>
          </w:p>
        </w:tc>
        <w:tc>
          <w:tcPr>
            <w:tcW w:w="3989" w:type="pct"/>
          </w:tcPr>
          <w:p w:rsidR="00B7109E" w:rsidRDefault="001272D4" w:rsidP="00143449">
            <w:pPr>
              <w:pStyle w:val="02Tabletext"/>
              <w:keepNext w:val="0"/>
            </w:pPr>
            <w:r w:rsidRPr="001272D4">
              <w:t>(calendar adj2 (pack* or pak*)).mp.</w:t>
            </w:r>
          </w:p>
        </w:tc>
        <w:tc>
          <w:tcPr>
            <w:tcW w:w="779" w:type="pct"/>
          </w:tcPr>
          <w:p w:rsidR="00B7109E" w:rsidRDefault="001272D4" w:rsidP="00143449">
            <w:pPr>
              <w:pStyle w:val="02Tabletext"/>
              <w:keepNext w:val="0"/>
            </w:pPr>
            <w:r>
              <w:t>50</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22</w:t>
            </w:r>
          </w:p>
        </w:tc>
        <w:tc>
          <w:tcPr>
            <w:tcW w:w="3989" w:type="pct"/>
          </w:tcPr>
          <w:p w:rsidR="00B7109E" w:rsidRDefault="001272D4" w:rsidP="00143449">
            <w:pPr>
              <w:pStyle w:val="02Tabletext"/>
              <w:keepNext w:val="0"/>
            </w:pPr>
            <w:r w:rsidRPr="001272D4">
              <w:t>(c-pak or c-pack or c-cap*).mp.</w:t>
            </w:r>
          </w:p>
        </w:tc>
        <w:tc>
          <w:tcPr>
            <w:tcW w:w="779" w:type="pct"/>
          </w:tcPr>
          <w:p w:rsidR="00B7109E" w:rsidRDefault="001272D4" w:rsidP="00143449">
            <w:pPr>
              <w:pStyle w:val="02Tabletext"/>
              <w:keepNext w:val="0"/>
            </w:pPr>
            <w:r>
              <w:t>929</w:t>
            </w:r>
          </w:p>
        </w:tc>
      </w:tr>
      <w:tr w:rsidR="00B7109E" w:rsidTr="00E6729C">
        <w:tc>
          <w:tcPr>
            <w:tcW w:w="232" w:type="pct"/>
          </w:tcPr>
          <w:p w:rsidR="00B7109E" w:rsidRDefault="001F1646" w:rsidP="00143449">
            <w:pPr>
              <w:pStyle w:val="02Tabletext"/>
              <w:keepNext w:val="0"/>
            </w:pPr>
            <w:r>
              <w:t>23</w:t>
            </w:r>
          </w:p>
        </w:tc>
        <w:tc>
          <w:tcPr>
            <w:tcW w:w="3989" w:type="pct"/>
          </w:tcPr>
          <w:p w:rsidR="00B7109E" w:rsidRDefault="001272D4" w:rsidP="00143449">
            <w:pPr>
              <w:pStyle w:val="02Tabletext"/>
              <w:keepNext w:val="0"/>
            </w:pPr>
            <w:r w:rsidRPr="001272D4">
              <w:t>(bubble adj2 (pack* or pak*)).mp</w:t>
            </w:r>
          </w:p>
        </w:tc>
        <w:tc>
          <w:tcPr>
            <w:tcW w:w="779" w:type="pct"/>
          </w:tcPr>
          <w:p w:rsidR="00B7109E" w:rsidRDefault="001272D4" w:rsidP="00143449">
            <w:pPr>
              <w:pStyle w:val="02Tabletext"/>
              <w:keepNext w:val="0"/>
            </w:pPr>
            <w:r>
              <w:t>25</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24</w:t>
            </w:r>
          </w:p>
        </w:tc>
        <w:tc>
          <w:tcPr>
            <w:tcW w:w="3989" w:type="pct"/>
          </w:tcPr>
          <w:p w:rsidR="00B7109E" w:rsidRDefault="001272D4" w:rsidP="00143449">
            <w:pPr>
              <w:pStyle w:val="02Tabletext"/>
              <w:keepNext w:val="0"/>
            </w:pPr>
            <w:r w:rsidRPr="001272D4">
              <w:t>((pil* or medication*) adj2 (pack* or organi?er* or delivery system* or container* or box* or dispenser* or device*)).mp.</w:t>
            </w:r>
            <w:r>
              <w:t>.</w:t>
            </w:r>
          </w:p>
        </w:tc>
        <w:tc>
          <w:tcPr>
            <w:tcW w:w="779" w:type="pct"/>
          </w:tcPr>
          <w:p w:rsidR="00B7109E" w:rsidRDefault="001272D4" w:rsidP="00143449">
            <w:pPr>
              <w:pStyle w:val="02Tabletext"/>
              <w:keepNext w:val="0"/>
            </w:pPr>
            <w:r>
              <w:t>1697</w:t>
            </w:r>
          </w:p>
        </w:tc>
      </w:tr>
      <w:tr w:rsidR="00B7109E" w:rsidTr="00E6729C">
        <w:tc>
          <w:tcPr>
            <w:tcW w:w="232" w:type="pct"/>
          </w:tcPr>
          <w:p w:rsidR="00B7109E" w:rsidRDefault="001F1646" w:rsidP="00143449">
            <w:pPr>
              <w:pStyle w:val="02Tabletext"/>
              <w:keepNext w:val="0"/>
            </w:pPr>
            <w:r>
              <w:t>25</w:t>
            </w:r>
          </w:p>
        </w:tc>
        <w:tc>
          <w:tcPr>
            <w:tcW w:w="3989" w:type="pct"/>
          </w:tcPr>
          <w:p w:rsidR="00B7109E" w:rsidRDefault="001272D4" w:rsidP="00143449">
            <w:pPr>
              <w:pStyle w:val="02Tabletext"/>
              <w:keepNext w:val="0"/>
            </w:pPr>
            <w:r w:rsidRPr="001272D4">
              <w:t>((multicompartment or multi-compartment) adj2 (pack* or organi?er* or delivery system* or container* or box* or dispenser* or device*)).mp</w:t>
            </w:r>
            <w:r>
              <w:t>.</w:t>
            </w:r>
          </w:p>
        </w:tc>
        <w:tc>
          <w:tcPr>
            <w:tcW w:w="779" w:type="pct"/>
          </w:tcPr>
          <w:p w:rsidR="00B7109E" w:rsidRDefault="001272D4" w:rsidP="00143449">
            <w:pPr>
              <w:pStyle w:val="02Tabletext"/>
              <w:keepNext w:val="0"/>
            </w:pPr>
            <w:r>
              <w:t>19</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26</w:t>
            </w:r>
          </w:p>
        </w:tc>
        <w:tc>
          <w:tcPr>
            <w:tcW w:w="3989" w:type="pct"/>
          </w:tcPr>
          <w:p w:rsidR="00B7109E" w:rsidRDefault="001272D4" w:rsidP="00143449">
            <w:pPr>
              <w:pStyle w:val="02Tabletext"/>
              <w:keepNext w:val="0"/>
            </w:pPr>
            <w:r w:rsidRPr="001272D4">
              <w:t>pillbox*.mp.</w:t>
            </w:r>
          </w:p>
        </w:tc>
        <w:tc>
          <w:tcPr>
            <w:tcW w:w="779" w:type="pct"/>
          </w:tcPr>
          <w:p w:rsidR="00B7109E" w:rsidRDefault="001272D4" w:rsidP="00143449">
            <w:pPr>
              <w:pStyle w:val="02Tabletext"/>
              <w:keepNext w:val="0"/>
            </w:pPr>
            <w:r>
              <w:t>187</w:t>
            </w:r>
          </w:p>
        </w:tc>
      </w:tr>
      <w:tr w:rsidR="00B7109E" w:rsidTr="00E6729C">
        <w:tc>
          <w:tcPr>
            <w:tcW w:w="232" w:type="pct"/>
          </w:tcPr>
          <w:p w:rsidR="00B7109E" w:rsidRDefault="001F1646" w:rsidP="00143449">
            <w:pPr>
              <w:pStyle w:val="02Tabletext"/>
              <w:keepNext w:val="0"/>
            </w:pPr>
            <w:r>
              <w:t>27</w:t>
            </w:r>
          </w:p>
        </w:tc>
        <w:tc>
          <w:tcPr>
            <w:tcW w:w="3989" w:type="pct"/>
          </w:tcPr>
          <w:p w:rsidR="00B7109E" w:rsidRDefault="001272D4" w:rsidP="00143449">
            <w:pPr>
              <w:pStyle w:val="02Tabletext"/>
              <w:keepNext w:val="0"/>
            </w:pPr>
            <w:r>
              <w:t>doset*.mp.</w:t>
            </w:r>
          </w:p>
        </w:tc>
        <w:tc>
          <w:tcPr>
            <w:tcW w:w="779" w:type="pct"/>
          </w:tcPr>
          <w:p w:rsidR="00B7109E" w:rsidRDefault="001272D4" w:rsidP="00143449">
            <w:pPr>
              <w:pStyle w:val="02Tabletext"/>
              <w:keepNext w:val="0"/>
            </w:pPr>
            <w:r>
              <w:t>220</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28</w:t>
            </w:r>
          </w:p>
        </w:tc>
        <w:tc>
          <w:tcPr>
            <w:tcW w:w="3989" w:type="pct"/>
          </w:tcPr>
          <w:p w:rsidR="00B7109E" w:rsidRDefault="001272D4" w:rsidP="00143449">
            <w:pPr>
              <w:pStyle w:val="02Tabletext"/>
              <w:keepNext w:val="0"/>
            </w:pPr>
            <w:r w:rsidRPr="001272D4">
              <w:t>((prescription* or refill* or medication*) adj2 reminder*).mp.</w:t>
            </w:r>
          </w:p>
        </w:tc>
        <w:tc>
          <w:tcPr>
            <w:tcW w:w="779" w:type="pct"/>
          </w:tcPr>
          <w:p w:rsidR="00B7109E" w:rsidRDefault="001272D4" w:rsidP="00143449">
            <w:pPr>
              <w:pStyle w:val="02Tabletext"/>
              <w:keepNext w:val="0"/>
            </w:pPr>
            <w:r>
              <w:t>307</w:t>
            </w:r>
          </w:p>
        </w:tc>
      </w:tr>
      <w:tr w:rsidR="00B7109E" w:rsidTr="00E6729C">
        <w:tc>
          <w:tcPr>
            <w:tcW w:w="232" w:type="pct"/>
          </w:tcPr>
          <w:p w:rsidR="00B7109E" w:rsidRDefault="001F1646" w:rsidP="00143449">
            <w:pPr>
              <w:pStyle w:val="02Tabletext"/>
              <w:keepNext w:val="0"/>
            </w:pPr>
            <w:r>
              <w:t>29</w:t>
            </w:r>
          </w:p>
        </w:tc>
        <w:tc>
          <w:tcPr>
            <w:tcW w:w="3989" w:type="pct"/>
          </w:tcPr>
          <w:p w:rsidR="00B7109E" w:rsidRDefault="001272D4" w:rsidP="00143449">
            <w:pPr>
              <w:pStyle w:val="02Tabletext"/>
              <w:keepNext w:val="0"/>
            </w:pPr>
            <w:r w:rsidRPr="001272D4">
              <w:t>((prescription* or medication* or drug* or compliance or adherence) adj2 refill*).mp.</w:t>
            </w:r>
          </w:p>
        </w:tc>
        <w:tc>
          <w:tcPr>
            <w:tcW w:w="779" w:type="pct"/>
          </w:tcPr>
          <w:p w:rsidR="00B7109E" w:rsidRDefault="001272D4" w:rsidP="00143449">
            <w:pPr>
              <w:pStyle w:val="02Tabletext"/>
              <w:keepNext w:val="0"/>
            </w:pPr>
            <w:r>
              <w:t>1607</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30</w:t>
            </w:r>
          </w:p>
        </w:tc>
        <w:tc>
          <w:tcPr>
            <w:tcW w:w="3989" w:type="pct"/>
          </w:tcPr>
          <w:p w:rsidR="00B7109E" w:rsidRDefault="001272D4" w:rsidP="00143449">
            <w:pPr>
              <w:pStyle w:val="02Tabletext"/>
              <w:keepNext w:val="0"/>
            </w:pPr>
            <w:r w:rsidRPr="001272D4">
              <w:t>((adherence or compliance or persist* or accept* or reminder or prompt*) adj (device* or aid*)).mp.</w:t>
            </w:r>
          </w:p>
        </w:tc>
        <w:tc>
          <w:tcPr>
            <w:tcW w:w="779" w:type="pct"/>
          </w:tcPr>
          <w:p w:rsidR="00B7109E" w:rsidRDefault="001272D4" w:rsidP="00143449">
            <w:pPr>
              <w:pStyle w:val="02Tabletext"/>
              <w:keepNext w:val="0"/>
            </w:pPr>
            <w:r>
              <w:t>439</w:t>
            </w:r>
          </w:p>
        </w:tc>
      </w:tr>
      <w:tr w:rsidR="00B7109E" w:rsidTr="00E6729C">
        <w:tc>
          <w:tcPr>
            <w:tcW w:w="232" w:type="pct"/>
          </w:tcPr>
          <w:p w:rsidR="00B7109E" w:rsidRDefault="001F1646" w:rsidP="00143449">
            <w:pPr>
              <w:pStyle w:val="02Tabletext"/>
              <w:keepNext w:val="0"/>
            </w:pPr>
            <w:r>
              <w:t>31</w:t>
            </w:r>
          </w:p>
        </w:tc>
        <w:tc>
          <w:tcPr>
            <w:tcW w:w="3989" w:type="pct"/>
          </w:tcPr>
          <w:p w:rsidR="00B7109E" w:rsidRDefault="001272D4" w:rsidP="00143449">
            <w:pPr>
              <w:pStyle w:val="02Tabletext"/>
              <w:keepNext w:val="0"/>
            </w:pPr>
            <w:r w:rsidRPr="001272D4">
              <w:t>mediset.mp</w:t>
            </w:r>
          </w:p>
        </w:tc>
        <w:tc>
          <w:tcPr>
            <w:tcW w:w="779" w:type="pct"/>
          </w:tcPr>
          <w:p w:rsidR="00B7109E" w:rsidRDefault="001272D4" w:rsidP="00143449">
            <w:pPr>
              <w:pStyle w:val="02Tabletext"/>
              <w:keepNext w:val="0"/>
            </w:pPr>
            <w:r>
              <w:t>9</w:t>
            </w:r>
          </w:p>
        </w:tc>
      </w:tr>
      <w:tr w:rsidR="00B7109E"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B7109E" w:rsidRDefault="001F1646" w:rsidP="00143449">
            <w:pPr>
              <w:pStyle w:val="02Tabletext"/>
              <w:keepNext w:val="0"/>
            </w:pPr>
            <w:r>
              <w:t>32</w:t>
            </w:r>
          </w:p>
        </w:tc>
        <w:tc>
          <w:tcPr>
            <w:tcW w:w="3989" w:type="pct"/>
          </w:tcPr>
          <w:p w:rsidR="00B7109E" w:rsidRDefault="001272D4" w:rsidP="00143449">
            <w:pPr>
              <w:pStyle w:val="02Tabletext"/>
              <w:keepNext w:val="0"/>
            </w:pPr>
            <w:r w:rsidRPr="001272D4">
              <w:t>medidos.mp.</w:t>
            </w:r>
          </w:p>
        </w:tc>
        <w:tc>
          <w:tcPr>
            <w:tcW w:w="779" w:type="pct"/>
          </w:tcPr>
          <w:p w:rsidR="00B7109E" w:rsidRDefault="001272D4" w:rsidP="00143449">
            <w:pPr>
              <w:pStyle w:val="02Tabletext"/>
              <w:keepNext w:val="0"/>
            </w:pPr>
            <w:r>
              <w:t>30</w:t>
            </w:r>
          </w:p>
        </w:tc>
      </w:tr>
      <w:tr w:rsidR="00B7109E" w:rsidTr="00E6729C">
        <w:tc>
          <w:tcPr>
            <w:tcW w:w="232" w:type="pct"/>
          </w:tcPr>
          <w:p w:rsidR="00B7109E" w:rsidRDefault="001F1646" w:rsidP="00143449">
            <w:pPr>
              <w:pStyle w:val="02Tabletext"/>
              <w:keepNext w:val="0"/>
            </w:pPr>
            <w:r>
              <w:t>33</w:t>
            </w:r>
          </w:p>
        </w:tc>
        <w:tc>
          <w:tcPr>
            <w:tcW w:w="3989" w:type="pct"/>
          </w:tcPr>
          <w:p w:rsidR="00B7109E" w:rsidRDefault="001272D4" w:rsidP="00143449">
            <w:pPr>
              <w:pStyle w:val="02Tabletext"/>
              <w:keepNext w:val="0"/>
            </w:pPr>
            <w:r>
              <w:t>manrex.mp.</w:t>
            </w:r>
          </w:p>
        </w:tc>
        <w:tc>
          <w:tcPr>
            <w:tcW w:w="779" w:type="pct"/>
          </w:tcPr>
          <w:p w:rsidR="00B7109E" w:rsidRDefault="001272D4" w:rsidP="00143449">
            <w:pPr>
              <w:pStyle w:val="02Tabletext"/>
              <w:keepNext w:val="0"/>
            </w:pPr>
            <w:r>
              <w:t>1</w:t>
            </w:r>
          </w:p>
        </w:tc>
      </w:tr>
      <w:tr w:rsidR="001272D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1272D4" w:rsidRDefault="001F1646" w:rsidP="00143449">
            <w:pPr>
              <w:pStyle w:val="02Tabletext"/>
              <w:keepNext w:val="0"/>
            </w:pPr>
            <w:r>
              <w:t>34</w:t>
            </w:r>
          </w:p>
        </w:tc>
        <w:tc>
          <w:tcPr>
            <w:tcW w:w="3989" w:type="pct"/>
          </w:tcPr>
          <w:p w:rsidR="001272D4" w:rsidRDefault="001272D4" w:rsidP="00143449">
            <w:pPr>
              <w:pStyle w:val="02Tabletext"/>
              <w:keepNext w:val="0"/>
            </w:pPr>
            <w:r w:rsidRPr="001272D4">
              <w:t>pre-pack*.mp.</w:t>
            </w:r>
          </w:p>
        </w:tc>
        <w:tc>
          <w:tcPr>
            <w:tcW w:w="779" w:type="pct"/>
          </w:tcPr>
          <w:p w:rsidR="001272D4" w:rsidRDefault="001272D4" w:rsidP="00143449">
            <w:pPr>
              <w:pStyle w:val="02Tabletext"/>
              <w:keepNext w:val="0"/>
            </w:pPr>
            <w:r>
              <w:t>469</w:t>
            </w:r>
          </w:p>
        </w:tc>
      </w:tr>
      <w:tr w:rsidR="001272D4" w:rsidTr="00E6729C">
        <w:tc>
          <w:tcPr>
            <w:tcW w:w="232" w:type="pct"/>
          </w:tcPr>
          <w:p w:rsidR="001272D4" w:rsidRDefault="001F1646" w:rsidP="00143449">
            <w:pPr>
              <w:pStyle w:val="02Tabletext"/>
              <w:keepNext w:val="0"/>
            </w:pPr>
            <w:r>
              <w:t>35</w:t>
            </w:r>
          </w:p>
        </w:tc>
        <w:tc>
          <w:tcPr>
            <w:tcW w:w="3989" w:type="pct"/>
          </w:tcPr>
          <w:p w:rsidR="001272D4" w:rsidRDefault="001272D4" w:rsidP="00143449">
            <w:pPr>
              <w:pStyle w:val="02Tabletext"/>
              <w:keepNext w:val="0"/>
            </w:pPr>
            <w:r w:rsidRPr="001272D4">
              <w:t>nomad*.mp.</w:t>
            </w:r>
          </w:p>
        </w:tc>
        <w:tc>
          <w:tcPr>
            <w:tcW w:w="779" w:type="pct"/>
          </w:tcPr>
          <w:p w:rsidR="001272D4" w:rsidRDefault="001272D4" w:rsidP="00143449">
            <w:pPr>
              <w:pStyle w:val="02Tabletext"/>
              <w:keepNext w:val="0"/>
            </w:pPr>
            <w:r>
              <w:t>1399</w:t>
            </w:r>
          </w:p>
        </w:tc>
      </w:tr>
      <w:tr w:rsidR="001F1646"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1F1646" w:rsidRDefault="001F1646" w:rsidP="00143449">
            <w:pPr>
              <w:pStyle w:val="02Tabletext"/>
              <w:keepNext w:val="0"/>
            </w:pPr>
            <w:r>
              <w:lastRenderedPageBreak/>
              <w:t>36</w:t>
            </w:r>
          </w:p>
        </w:tc>
        <w:tc>
          <w:tcPr>
            <w:tcW w:w="3989" w:type="pct"/>
          </w:tcPr>
          <w:p w:rsidR="001F1646" w:rsidRPr="001272D4" w:rsidRDefault="001F1646" w:rsidP="00143449">
            <w:pPr>
              <w:pStyle w:val="02Tabletext"/>
              <w:keepNext w:val="0"/>
            </w:pPr>
            <w:r w:rsidRPr="001F1646">
              <w:t xml:space="preserve">1 or 2 or 3 or 4 or 5 or 6 or 7 or 8 or 9 or 10 or 11 or 12 or 13 or 14 or 15 or 16 or 17 or 18 or 19 or 20 or 21 or 22 or 23 or 24 or 25 or 26 or 27 or 28 or 29 or 30 or 31 or </w:t>
            </w:r>
            <w:r>
              <w:t>32 or 33 or 34 or 35</w:t>
            </w:r>
          </w:p>
        </w:tc>
        <w:tc>
          <w:tcPr>
            <w:tcW w:w="779" w:type="pct"/>
          </w:tcPr>
          <w:p w:rsidR="001F1646" w:rsidRDefault="001F1646" w:rsidP="00143449">
            <w:pPr>
              <w:pStyle w:val="02Tabletext"/>
              <w:keepNext w:val="0"/>
            </w:pPr>
            <w:r w:rsidRPr="001F1646">
              <w:t>116704</w:t>
            </w:r>
          </w:p>
        </w:tc>
      </w:tr>
      <w:tr w:rsidR="001272D4" w:rsidTr="00E6729C">
        <w:tc>
          <w:tcPr>
            <w:tcW w:w="232" w:type="pct"/>
          </w:tcPr>
          <w:p w:rsidR="001272D4" w:rsidRDefault="00C827D3" w:rsidP="00143449">
            <w:pPr>
              <w:pStyle w:val="02Tabletext"/>
              <w:keepNext w:val="0"/>
            </w:pPr>
            <w:r>
              <w:t>37</w:t>
            </w:r>
          </w:p>
        </w:tc>
        <w:tc>
          <w:tcPr>
            <w:tcW w:w="3989" w:type="pct"/>
          </w:tcPr>
          <w:p w:rsidR="001272D4" w:rsidRDefault="001272D4" w:rsidP="00143449">
            <w:pPr>
              <w:pStyle w:val="02Tabletext"/>
              <w:keepNext w:val="0"/>
            </w:pPr>
            <w:r w:rsidRPr="001272D4">
              <w:t>(complian* or noncomplian* or non-complian*).mp.</w:t>
            </w:r>
          </w:p>
        </w:tc>
        <w:tc>
          <w:tcPr>
            <w:tcW w:w="779" w:type="pct"/>
          </w:tcPr>
          <w:p w:rsidR="001272D4" w:rsidRDefault="001272D4" w:rsidP="00143449">
            <w:pPr>
              <w:pStyle w:val="02Tabletext"/>
              <w:keepNext w:val="0"/>
            </w:pPr>
            <w:r>
              <w:t>259463</w:t>
            </w:r>
          </w:p>
        </w:tc>
      </w:tr>
      <w:tr w:rsidR="001272D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1272D4" w:rsidRDefault="00C827D3" w:rsidP="00143449">
            <w:pPr>
              <w:pStyle w:val="02Tabletext"/>
              <w:keepNext w:val="0"/>
            </w:pPr>
            <w:r>
              <w:t>38</w:t>
            </w:r>
          </w:p>
        </w:tc>
        <w:tc>
          <w:tcPr>
            <w:tcW w:w="3989" w:type="pct"/>
          </w:tcPr>
          <w:p w:rsidR="001272D4" w:rsidRPr="001272D4" w:rsidRDefault="001272D4" w:rsidP="00143449">
            <w:pPr>
              <w:pStyle w:val="02Tabletext"/>
              <w:keepNext w:val="0"/>
            </w:pPr>
            <w:r w:rsidRPr="001272D4">
              <w:t>(adhere* o</w:t>
            </w:r>
            <w:r>
              <w:t>r nonadhere* or non-adhere*).mp.</w:t>
            </w:r>
          </w:p>
        </w:tc>
        <w:tc>
          <w:tcPr>
            <w:tcW w:w="779" w:type="pct"/>
          </w:tcPr>
          <w:p w:rsidR="001272D4" w:rsidRDefault="001272D4" w:rsidP="00143449">
            <w:pPr>
              <w:pStyle w:val="02Tabletext"/>
              <w:keepNext w:val="0"/>
            </w:pPr>
            <w:r>
              <w:t>208984</w:t>
            </w:r>
          </w:p>
        </w:tc>
      </w:tr>
      <w:tr w:rsidR="001272D4" w:rsidTr="00E6729C">
        <w:tc>
          <w:tcPr>
            <w:tcW w:w="232" w:type="pct"/>
          </w:tcPr>
          <w:p w:rsidR="001272D4" w:rsidRDefault="00C827D3" w:rsidP="00143449">
            <w:pPr>
              <w:pStyle w:val="02Tabletext"/>
              <w:keepNext w:val="0"/>
            </w:pPr>
            <w:r>
              <w:t>39</w:t>
            </w:r>
          </w:p>
        </w:tc>
        <w:tc>
          <w:tcPr>
            <w:tcW w:w="3989" w:type="pct"/>
          </w:tcPr>
          <w:p w:rsidR="001272D4" w:rsidRPr="001272D4" w:rsidRDefault="001272D4" w:rsidP="00143449">
            <w:pPr>
              <w:pStyle w:val="02Tabletext"/>
              <w:keepNext w:val="0"/>
            </w:pPr>
            <w:r>
              <w:t>persist*.mp.</w:t>
            </w:r>
          </w:p>
        </w:tc>
        <w:tc>
          <w:tcPr>
            <w:tcW w:w="779" w:type="pct"/>
          </w:tcPr>
          <w:p w:rsidR="001272D4" w:rsidRDefault="001272D4" w:rsidP="00143449">
            <w:pPr>
              <w:pStyle w:val="02Tabletext"/>
              <w:keepNext w:val="0"/>
            </w:pPr>
            <w:r w:rsidRPr="001272D4">
              <w:t>496503</w:t>
            </w:r>
          </w:p>
        </w:tc>
      </w:tr>
      <w:tr w:rsidR="001272D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1272D4" w:rsidRDefault="00C827D3" w:rsidP="00143449">
            <w:pPr>
              <w:pStyle w:val="02Tabletext"/>
              <w:keepNext w:val="0"/>
            </w:pPr>
            <w:r>
              <w:t>40</w:t>
            </w:r>
          </w:p>
        </w:tc>
        <w:tc>
          <w:tcPr>
            <w:tcW w:w="3989" w:type="pct"/>
          </w:tcPr>
          <w:p w:rsidR="001272D4" w:rsidRPr="001272D4" w:rsidRDefault="001272D4" w:rsidP="00143449">
            <w:pPr>
              <w:pStyle w:val="02Tabletext"/>
              <w:keepNext w:val="0"/>
            </w:pPr>
            <w:r w:rsidRPr="001272D4">
              <w:t>accept*.mp</w:t>
            </w:r>
            <w:r>
              <w:t>.</w:t>
            </w:r>
          </w:p>
        </w:tc>
        <w:tc>
          <w:tcPr>
            <w:tcW w:w="779" w:type="pct"/>
          </w:tcPr>
          <w:p w:rsidR="001272D4" w:rsidRDefault="001272D4" w:rsidP="00143449">
            <w:pPr>
              <w:pStyle w:val="02Tabletext"/>
              <w:keepNext w:val="0"/>
            </w:pPr>
            <w:r w:rsidRPr="001272D4">
              <w:t>455644</w:t>
            </w:r>
          </w:p>
        </w:tc>
      </w:tr>
      <w:tr w:rsidR="001272D4" w:rsidTr="00E6729C">
        <w:tc>
          <w:tcPr>
            <w:tcW w:w="232" w:type="pct"/>
          </w:tcPr>
          <w:p w:rsidR="001272D4" w:rsidRDefault="00C827D3" w:rsidP="00143449">
            <w:pPr>
              <w:pStyle w:val="02Tabletext"/>
              <w:keepNext w:val="0"/>
            </w:pPr>
            <w:r>
              <w:t>41</w:t>
            </w:r>
          </w:p>
        </w:tc>
        <w:tc>
          <w:tcPr>
            <w:tcW w:w="3989" w:type="pct"/>
          </w:tcPr>
          <w:p w:rsidR="001272D4" w:rsidRPr="001272D4" w:rsidRDefault="001272D4" w:rsidP="00143449">
            <w:pPr>
              <w:pStyle w:val="02Tabletext"/>
              <w:keepNext w:val="0"/>
            </w:pPr>
            <w:r>
              <w:t>concordance.mp.</w:t>
            </w:r>
          </w:p>
        </w:tc>
        <w:tc>
          <w:tcPr>
            <w:tcW w:w="779" w:type="pct"/>
          </w:tcPr>
          <w:p w:rsidR="001272D4" w:rsidRDefault="001272D4" w:rsidP="00143449">
            <w:pPr>
              <w:pStyle w:val="02Tabletext"/>
              <w:keepNext w:val="0"/>
            </w:pPr>
            <w:r w:rsidRPr="001272D4">
              <w:t xml:space="preserve">48227  </w:t>
            </w:r>
          </w:p>
        </w:tc>
      </w:tr>
      <w:tr w:rsidR="00C827D3"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C827D3" w:rsidRDefault="00C827D3" w:rsidP="00143449">
            <w:pPr>
              <w:pStyle w:val="02Tabletext"/>
              <w:keepNext w:val="0"/>
            </w:pPr>
            <w:r>
              <w:t>42</w:t>
            </w:r>
          </w:p>
        </w:tc>
        <w:tc>
          <w:tcPr>
            <w:tcW w:w="3989" w:type="pct"/>
          </w:tcPr>
          <w:p w:rsidR="00C827D3" w:rsidRDefault="00C827D3" w:rsidP="00143449">
            <w:pPr>
              <w:pStyle w:val="02Tabletext"/>
              <w:keepNext w:val="0"/>
            </w:pPr>
            <w:r>
              <w:t>37 or 38 or 39 or 40 or 41</w:t>
            </w:r>
          </w:p>
        </w:tc>
        <w:tc>
          <w:tcPr>
            <w:tcW w:w="779" w:type="pct"/>
          </w:tcPr>
          <w:p w:rsidR="00C827D3" w:rsidRPr="001272D4" w:rsidRDefault="00C827D3" w:rsidP="00143449">
            <w:pPr>
              <w:pStyle w:val="02Tabletext"/>
              <w:keepNext w:val="0"/>
            </w:pPr>
            <w:r w:rsidRPr="00C827D3">
              <w:t>1378644</w:t>
            </w:r>
          </w:p>
        </w:tc>
      </w:tr>
      <w:tr w:rsidR="001272D4" w:rsidTr="00E6729C">
        <w:tc>
          <w:tcPr>
            <w:tcW w:w="232" w:type="pct"/>
          </w:tcPr>
          <w:p w:rsidR="001272D4" w:rsidRDefault="00C827D3" w:rsidP="00143449">
            <w:pPr>
              <w:pStyle w:val="02Tabletext"/>
              <w:keepNext w:val="0"/>
            </w:pPr>
            <w:r>
              <w:t>43</w:t>
            </w:r>
          </w:p>
        </w:tc>
        <w:tc>
          <w:tcPr>
            <w:tcW w:w="3989" w:type="pct"/>
          </w:tcPr>
          <w:p w:rsidR="001272D4" w:rsidRDefault="001F1646" w:rsidP="00143449">
            <w:pPr>
              <w:pStyle w:val="02Tabletext"/>
              <w:keepNext w:val="0"/>
            </w:pPr>
            <w:r>
              <w:t>pharmac*.mp.</w:t>
            </w:r>
          </w:p>
        </w:tc>
        <w:tc>
          <w:tcPr>
            <w:tcW w:w="779" w:type="pct"/>
          </w:tcPr>
          <w:p w:rsidR="001272D4" w:rsidRPr="001272D4" w:rsidRDefault="001272D4" w:rsidP="00143449">
            <w:pPr>
              <w:pStyle w:val="02Tabletext"/>
              <w:keepNext w:val="0"/>
            </w:pPr>
            <w:r w:rsidRPr="001272D4">
              <w:t xml:space="preserve">1199299  </w:t>
            </w:r>
          </w:p>
        </w:tc>
      </w:tr>
      <w:tr w:rsidR="001272D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1272D4" w:rsidRDefault="00C827D3" w:rsidP="00143449">
            <w:pPr>
              <w:pStyle w:val="02Tabletext"/>
              <w:keepNext w:val="0"/>
            </w:pPr>
            <w:r>
              <w:t>44</w:t>
            </w:r>
          </w:p>
        </w:tc>
        <w:tc>
          <w:tcPr>
            <w:tcW w:w="3989" w:type="pct"/>
          </w:tcPr>
          <w:p w:rsidR="001272D4" w:rsidRDefault="001272D4" w:rsidP="00143449">
            <w:pPr>
              <w:pStyle w:val="02Tabletext"/>
              <w:keepNext w:val="0"/>
            </w:pPr>
            <w:r w:rsidRPr="001272D4">
              <w:t>community pharmac*.mp.</w:t>
            </w:r>
          </w:p>
        </w:tc>
        <w:tc>
          <w:tcPr>
            <w:tcW w:w="779" w:type="pct"/>
          </w:tcPr>
          <w:p w:rsidR="001272D4" w:rsidRPr="001272D4" w:rsidRDefault="001272D4" w:rsidP="00143449">
            <w:pPr>
              <w:pStyle w:val="02Tabletext"/>
              <w:keepNext w:val="0"/>
            </w:pPr>
            <w:r>
              <w:t>9142</w:t>
            </w:r>
          </w:p>
        </w:tc>
      </w:tr>
      <w:tr w:rsidR="001F1646" w:rsidTr="00E6729C">
        <w:tc>
          <w:tcPr>
            <w:tcW w:w="232" w:type="pct"/>
          </w:tcPr>
          <w:p w:rsidR="001F1646" w:rsidRDefault="00C827D3" w:rsidP="00143449">
            <w:pPr>
              <w:pStyle w:val="02Tabletext"/>
              <w:keepNext w:val="0"/>
            </w:pPr>
            <w:r>
              <w:t>45</w:t>
            </w:r>
          </w:p>
        </w:tc>
        <w:tc>
          <w:tcPr>
            <w:tcW w:w="3989" w:type="pct"/>
          </w:tcPr>
          <w:p w:rsidR="001F1646" w:rsidRPr="001272D4" w:rsidRDefault="00C827D3" w:rsidP="00143449">
            <w:pPr>
              <w:pStyle w:val="02Tabletext"/>
              <w:keepNext w:val="0"/>
            </w:pPr>
            <w:r>
              <w:t>43 or 44</w:t>
            </w:r>
          </w:p>
        </w:tc>
        <w:tc>
          <w:tcPr>
            <w:tcW w:w="779" w:type="pct"/>
          </w:tcPr>
          <w:p w:rsidR="001F1646" w:rsidRDefault="00C827D3" w:rsidP="00143449">
            <w:pPr>
              <w:pStyle w:val="02Tabletext"/>
              <w:keepNext w:val="0"/>
            </w:pPr>
            <w:r w:rsidRPr="00C827D3">
              <w:t>1199299</w:t>
            </w:r>
          </w:p>
        </w:tc>
      </w:tr>
      <w:tr w:rsidR="001F1646"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1F1646" w:rsidRDefault="00C827D3" w:rsidP="00143449">
            <w:pPr>
              <w:pStyle w:val="02Tabletext"/>
              <w:keepNext w:val="0"/>
            </w:pPr>
            <w:r>
              <w:t>46</w:t>
            </w:r>
          </w:p>
        </w:tc>
        <w:tc>
          <w:tcPr>
            <w:tcW w:w="3989" w:type="pct"/>
          </w:tcPr>
          <w:p w:rsidR="001F1646" w:rsidRPr="001272D4" w:rsidRDefault="00C827D3" w:rsidP="00143449">
            <w:pPr>
              <w:pStyle w:val="02Tabletext"/>
              <w:keepNext w:val="0"/>
            </w:pPr>
            <w:r>
              <w:t>36 and 42 and 45</w:t>
            </w:r>
          </w:p>
        </w:tc>
        <w:tc>
          <w:tcPr>
            <w:tcW w:w="779" w:type="pct"/>
          </w:tcPr>
          <w:p w:rsidR="001F1646" w:rsidRDefault="00C827D3" w:rsidP="00143449">
            <w:pPr>
              <w:pStyle w:val="02Tabletext"/>
              <w:keepNext w:val="0"/>
            </w:pPr>
            <w:r>
              <w:t>3513</w:t>
            </w:r>
          </w:p>
        </w:tc>
      </w:tr>
      <w:tr w:rsidR="001F1646" w:rsidTr="00E6729C">
        <w:tc>
          <w:tcPr>
            <w:tcW w:w="232" w:type="pct"/>
          </w:tcPr>
          <w:p w:rsidR="001F1646" w:rsidRDefault="00C827D3" w:rsidP="00143449">
            <w:pPr>
              <w:pStyle w:val="02Tabletext"/>
              <w:keepNext w:val="0"/>
            </w:pPr>
            <w:r>
              <w:t>47</w:t>
            </w:r>
          </w:p>
        </w:tc>
        <w:tc>
          <w:tcPr>
            <w:tcW w:w="3989" w:type="pct"/>
          </w:tcPr>
          <w:p w:rsidR="001F1646" w:rsidRPr="001272D4" w:rsidRDefault="00C827D3" w:rsidP="00143449">
            <w:pPr>
              <w:pStyle w:val="02Tabletext"/>
              <w:keepNext w:val="0"/>
            </w:pPr>
            <w:r w:rsidRPr="00C827D3">
              <w:t>li</w:t>
            </w:r>
            <w:r>
              <w:t>mit 46</w:t>
            </w:r>
            <w:r w:rsidRPr="00C827D3">
              <w:t xml:space="preserve"> to (hum</w:t>
            </w:r>
            <w:r>
              <w:t>an and english language)</w:t>
            </w:r>
          </w:p>
        </w:tc>
        <w:tc>
          <w:tcPr>
            <w:tcW w:w="779" w:type="pct"/>
          </w:tcPr>
          <w:p w:rsidR="001F1646" w:rsidRDefault="00C827D3" w:rsidP="00143449">
            <w:pPr>
              <w:pStyle w:val="02Tabletext"/>
              <w:keepNext w:val="0"/>
            </w:pPr>
            <w:r>
              <w:t>2447</w:t>
            </w:r>
          </w:p>
        </w:tc>
      </w:tr>
      <w:tr w:rsidR="00C827D3"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C827D3" w:rsidRDefault="00C827D3" w:rsidP="00143449">
            <w:pPr>
              <w:pStyle w:val="02Tabletext"/>
              <w:keepNext w:val="0"/>
            </w:pPr>
            <w:r>
              <w:t>48</w:t>
            </w:r>
          </w:p>
        </w:tc>
        <w:tc>
          <w:tcPr>
            <w:tcW w:w="3989" w:type="pct"/>
          </w:tcPr>
          <w:p w:rsidR="00C827D3" w:rsidRPr="00C827D3" w:rsidRDefault="00C827D3" w:rsidP="00143449">
            <w:pPr>
              <w:pStyle w:val="02Tabletext"/>
              <w:keepNext w:val="0"/>
            </w:pPr>
            <w:r>
              <w:t>limit 47</w:t>
            </w:r>
            <w:r w:rsidRPr="00C827D3">
              <w:t xml:space="preserve"> to (book or boo</w:t>
            </w:r>
            <w:r w:rsidR="00DB2AF3">
              <w:t xml:space="preserve">k series or </w:t>
            </w:r>
            <w:r w:rsidRPr="00C827D3">
              <w:t>conference proceeding or "conference review" or editorial or</w:t>
            </w:r>
            <w:r>
              <w:t xml:space="preserve"> erratum or letter or note)</w:t>
            </w:r>
          </w:p>
        </w:tc>
        <w:tc>
          <w:tcPr>
            <w:tcW w:w="779" w:type="pct"/>
          </w:tcPr>
          <w:p w:rsidR="00C827D3" w:rsidRDefault="00143449" w:rsidP="00143449">
            <w:pPr>
              <w:pStyle w:val="02Tabletext"/>
              <w:keepNext w:val="0"/>
            </w:pPr>
            <w:r>
              <w:t>689</w:t>
            </w:r>
          </w:p>
        </w:tc>
      </w:tr>
      <w:tr w:rsidR="00C827D3" w:rsidTr="00E6729C">
        <w:tc>
          <w:tcPr>
            <w:tcW w:w="232" w:type="pct"/>
          </w:tcPr>
          <w:p w:rsidR="00C827D3" w:rsidRDefault="00C827D3" w:rsidP="00143449">
            <w:pPr>
              <w:pStyle w:val="02Tabletext"/>
              <w:keepNext w:val="0"/>
            </w:pPr>
            <w:r>
              <w:t>49</w:t>
            </w:r>
          </w:p>
        </w:tc>
        <w:tc>
          <w:tcPr>
            <w:tcW w:w="3989" w:type="pct"/>
          </w:tcPr>
          <w:p w:rsidR="00C827D3" w:rsidRDefault="00C827D3" w:rsidP="00143449">
            <w:pPr>
              <w:pStyle w:val="02Tabletext"/>
              <w:keepNext w:val="0"/>
            </w:pPr>
            <w:r>
              <w:t>47 not 48</w:t>
            </w:r>
          </w:p>
        </w:tc>
        <w:tc>
          <w:tcPr>
            <w:tcW w:w="779" w:type="pct"/>
          </w:tcPr>
          <w:p w:rsidR="00C827D3" w:rsidRDefault="00143449" w:rsidP="00143449">
            <w:pPr>
              <w:pStyle w:val="02Tabletext"/>
              <w:keepNext w:val="0"/>
            </w:pPr>
            <w:r>
              <w:t>1758</w:t>
            </w:r>
          </w:p>
        </w:tc>
      </w:tr>
    </w:tbl>
    <w:p w:rsidR="00103385" w:rsidRDefault="001272D4" w:rsidP="001272D4">
      <w:pPr>
        <w:pStyle w:val="08Tablefootnotes"/>
      </w:pPr>
      <w:r>
        <w:t>m</w:t>
      </w:r>
      <w:r w:rsidRPr="001272D4">
        <w:t>p</w:t>
      </w:r>
      <w:r>
        <w:t xml:space="preserve"> </w:t>
      </w:r>
      <w:r w:rsidRPr="001272D4">
        <w:t>=</w:t>
      </w:r>
      <w:r>
        <w:t xml:space="preserve"> </w:t>
      </w:r>
      <w:r w:rsidRPr="001272D4">
        <w:t>title, abstract, heading word, drug trade name, original title, device manufacturer, drug manufacturer, device trade name, keyword</w:t>
      </w:r>
    </w:p>
    <w:p w:rsidR="00103385" w:rsidRDefault="00103385" w:rsidP="00103385">
      <w:pPr>
        <w:pStyle w:val="BodyText"/>
      </w:pPr>
    </w:p>
    <w:p w:rsidR="007151D9" w:rsidRDefault="00EC6FE6" w:rsidP="00EF244A">
      <w:pPr>
        <w:pStyle w:val="Caption"/>
      </w:pPr>
      <w:bookmarkStart w:id="147" w:name="_Ref522874281"/>
      <w:r>
        <w:t xml:space="preserve">Table A-3. </w:t>
      </w:r>
      <w:r w:rsidR="00964233">
        <w:rPr>
          <w:noProof/>
        </w:rPr>
        <w:fldChar w:fldCharType="begin"/>
      </w:r>
      <w:r w:rsidR="00964233">
        <w:rPr>
          <w:noProof/>
        </w:rPr>
        <w:instrText xml:space="preserve"> SEQ Table_A-3. \* ARABIC </w:instrText>
      </w:r>
      <w:r w:rsidR="00964233">
        <w:rPr>
          <w:noProof/>
        </w:rPr>
        <w:fldChar w:fldCharType="separate"/>
      </w:r>
      <w:r w:rsidR="00964233">
        <w:rPr>
          <w:noProof/>
        </w:rPr>
        <w:t>2</w:t>
      </w:r>
      <w:r w:rsidR="00964233">
        <w:rPr>
          <w:noProof/>
        </w:rPr>
        <w:fldChar w:fldCharType="end"/>
      </w:r>
      <w:bookmarkEnd w:id="147"/>
      <w:r w:rsidR="00EF244A">
        <w:t xml:space="preserve">  </w:t>
      </w:r>
      <w:r w:rsidR="007151D9">
        <w:t>Medline search strategy</w:t>
      </w:r>
      <w:r w:rsidR="00836559">
        <w:t xml:space="preserve"> (23</w:t>
      </w:r>
      <w:r w:rsidR="00836559" w:rsidRPr="003F290A">
        <w:rPr>
          <w:vertAlign w:val="superscript"/>
        </w:rPr>
        <w:t>rd</w:t>
      </w:r>
      <w:r w:rsidR="00836559">
        <w:t xml:space="preserve"> August 2016)</w:t>
      </w:r>
    </w:p>
    <w:tbl>
      <w:tblPr>
        <w:tblStyle w:val="TableGrid"/>
        <w:tblW w:w="5000" w:type="pct"/>
        <w:tblLook w:val="04A0" w:firstRow="1" w:lastRow="0" w:firstColumn="1" w:lastColumn="0" w:noHBand="0" w:noVBand="1"/>
        <w:tblCaption w:val="Table A-3.2"/>
        <w:tblDescription w:val="Medline search strategy (23rd August 2016)"/>
      </w:tblPr>
      <w:tblGrid>
        <w:gridCol w:w="447"/>
        <w:gridCol w:w="7681"/>
        <w:gridCol w:w="1500"/>
      </w:tblGrid>
      <w:tr w:rsidR="007151D9" w:rsidTr="00E6729C">
        <w:trPr>
          <w:cnfStyle w:val="100000000000" w:firstRow="1" w:lastRow="0" w:firstColumn="0" w:lastColumn="0" w:oddVBand="0" w:evenVBand="0" w:oddHBand="0" w:evenHBand="0" w:firstRowFirstColumn="0" w:firstRowLastColumn="0" w:lastRowFirstColumn="0" w:lastRowLastColumn="0"/>
        </w:trPr>
        <w:tc>
          <w:tcPr>
            <w:tcW w:w="232" w:type="pct"/>
          </w:tcPr>
          <w:p w:rsidR="007151D9" w:rsidRDefault="007151D9" w:rsidP="007151D9">
            <w:pPr>
              <w:pStyle w:val="01Tableheaderrow"/>
              <w:keepNext w:val="0"/>
            </w:pPr>
            <w:r>
              <w:t>#</w:t>
            </w:r>
          </w:p>
        </w:tc>
        <w:tc>
          <w:tcPr>
            <w:tcW w:w="3989" w:type="pct"/>
          </w:tcPr>
          <w:p w:rsidR="007151D9" w:rsidRDefault="007151D9" w:rsidP="007151D9">
            <w:pPr>
              <w:pStyle w:val="01Tableheaderrow"/>
              <w:keepNext w:val="0"/>
            </w:pPr>
            <w:r>
              <w:t>Search term</w:t>
            </w:r>
          </w:p>
        </w:tc>
        <w:tc>
          <w:tcPr>
            <w:tcW w:w="779" w:type="pct"/>
          </w:tcPr>
          <w:p w:rsidR="007151D9" w:rsidRDefault="007151D9" w:rsidP="007151D9">
            <w:pPr>
              <w:pStyle w:val="01Tableheaderrow"/>
              <w:keepNext w:val="0"/>
            </w:pPr>
            <w:r>
              <w:t>Number of citations</w:t>
            </w:r>
          </w:p>
        </w:tc>
      </w:tr>
      <w:tr w:rsidR="007151D9" w:rsidTr="00E6729C">
        <w:tc>
          <w:tcPr>
            <w:tcW w:w="232" w:type="pct"/>
          </w:tcPr>
          <w:p w:rsidR="007151D9" w:rsidRDefault="007151D9" w:rsidP="007151D9">
            <w:pPr>
              <w:pStyle w:val="02Tabletext"/>
              <w:keepNext w:val="0"/>
            </w:pPr>
            <w:r>
              <w:t>1</w:t>
            </w:r>
          </w:p>
        </w:tc>
        <w:tc>
          <w:tcPr>
            <w:tcW w:w="3989" w:type="pct"/>
          </w:tcPr>
          <w:p w:rsidR="007151D9" w:rsidRDefault="007151D9" w:rsidP="007151D9">
            <w:pPr>
              <w:pStyle w:val="02Tabletext"/>
              <w:keepNext w:val="0"/>
            </w:pPr>
            <w:r w:rsidRPr="00B7109E">
              <w:t>dose administration aid</w:t>
            </w:r>
            <w:r>
              <w:t>*</w:t>
            </w:r>
            <w:r w:rsidRPr="00B7109E">
              <w:t>.mp</w:t>
            </w:r>
            <w:r>
              <w:t>.</w:t>
            </w:r>
          </w:p>
        </w:tc>
        <w:tc>
          <w:tcPr>
            <w:tcW w:w="779" w:type="pct"/>
          </w:tcPr>
          <w:p w:rsidR="007151D9" w:rsidRDefault="007151D9" w:rsidP="007151D9">
            <w:pPr>
              <w:pStyle w:val="02Tabletext"/>
              <w:keepNext w:val="0"/>
            </w:pPr>
            <w:r>
              <w:t>6</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2</w:t>
            </w:r>
          </w:p>
        </w:tc>
        <w:tc>
          <w:tcPr>
            <w:tcW w:w="3989" w:type="pct"/>
          </w:tcPr>
          <w:p w:rsidR="007151D9" w:rsidRPr="00B7109E" w:rsidRDefault="007151D9" w:rsidP="007151D9">
            <w:pPr>
              <w:pStyle w:val="02Tabletext"/>
              <w:keepNext w:val="0"/>
            </w:pPr>
            <w:r w:rsidRPr="00B7109E">
              <w:t xml:space="preserve">reminder </w:t>
            </w:r>
            <w:r>
              <w:t>system.mp. or reminder system/</w:t>
            </w:r>
          </w:p>
        </w:tc>
        <w:tc>
          <w:tcPr>
            <w:tcW w:w="779" w:type="pct"/>
          </w:tcPr>
          <w:p w:rsidR="007151D9" w:rsidRDefault="007151D9" w:rsidP="007151D9">
            <w:pPr>
              <w:pStyle w:val="02Tabletext"/>
              <w:keepNext w:val="0"/>
            </w:pPr>
            <w:r>
              <w:t>323</w:t>
            </w:r>
          </w:p>
        </w:tc>
      </w:tr>
      <w:tr w:rsidR="007151D9" w:rsidTr="00E6729C">
        <w:tc>
          <w:tcPr>
            <w:tcW w:w="232" w:type="pct"/>
          </w:tcPr>
          <w:p w:rsidR="007151D9" w:rsidRDefault="007151D9" w:rsidP="007151D9">
            <w:pPr>
              <w:pStyle w:val="02Tabletext"/>
              <w:keepNext w:val="0"/>
            </w:pPr>
            <w:r>
              <w:t>3</w:t>
            </w:r>
          </w:p>
        </w:tc>
        <w:tc>
          <w:tcPr>
            <w:tcW w:w="3989" w:type="pct"/>
          </w:tcPr>
          <w:p w:rsidR="007151D9" w:rsidRDefault="007151D9" w:rsidP="007151D9">
            <w:pPr>
              <w:pStyle w:val="02Tabletext"/>
              <w:keepNext w:val="0"/>
            </w:pPr>
            <w:r w:rsidRPr="00B7109E">
              <w:t>drug packaging.mp.</w:t>
            </w:r>
          </w:p>
        </w:tc>
        <w:tc>
          <w:tcPr>
            <w:tcW w:w="779" w:type="pct"/>
          </w:tcPr>
          <w:p w:rsidR="007151D9" w:rsidRDefault="007151D9" w:rsidP="007151D9">
            <w:pPr>
              <w:pStyle w:val="02Tabletext"/>
              <w:keepNext w:val="0"/>
            </w:pPr>
            <w:r>
              <w:t>4623</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4</w:t>
            </w:r>
          </w:p>
        </w:tc>
        <w:tc>
          <w:tcPr>
            <w:tcW w:w="3989" w:type="pct"/>
          </w:tcPr>
          <w:p w:rsidR="007151D9" w:rsidRDefault="007151D9" w:rsidP="007151D9">
            <w:pPr>
              <w:pStyle w:val="02Tabletext"/>
              <w:keepNext w:val="0"/>
            </w:pPr>
            <w:r w:rsidRPr="004C35DD">
              <w:t>drug delivery system.mp.</w:t>
            </w:r>
          </w:p>
        </w:tc>
        <w:tc>
          <w:tcPr>
            <w:tcW w:w="779" w:type="pct"/>
          </w:tcPr>
          <w:p w:rsidR="007151D9" w:rsidRDefault="007151D9" w:rsidP="007151D9">
            <w:pPr>
              <w:pStyle w:val="02Tabletext"/>
              <w:keepNext w:val="0"/>
            </w:pPr>
            <w:r>
              <w:t>6331</w:t>
            </w:r>
          </w:p>
        </w:tc>
      </w:tr>
      <w:tr w:rsidR="007151D9" w:rsidTr="00E6729C">
        <w:tc>
          <w:tcPr>
            <w:tcW w:w="232" w:type="pct"/>
          </w:tcPr>
          <w:p w:rsidR="007151D9" w:rsidRDefault="007151D9" w:rsidP="007151D9">
            <w:pPr>
              <w:pStyle w:val="02Tabletext"/>
              <w:keepNext w:val="0"/>
            </w:pPr>
            <w:r>
              <w:t>5</w:t>
            </w:r>
          </w:p>
        </w:tc>
        <w:tc>
          <w:tcPr>
            <w:tcW w:w="3989" w:type="pct"/>
          </w:tcPr>
          <w:p w:rsidR="007151D9" w:rsidRDefault="007151D9" w:rsidP="007151D9">
            <w:pPr>
              <w:pStyle w:val="02Tabletext"/>
              <w:keepNext w:val="0"/>
            </w:pPr>
            <w:r w:rsidRPr="004C35DD">
              <w:t>webster pack.mp</w:t>
            </w:r>
            <w:r>
              <w:t>.</w:t>
            </w:r>
          </w:p>
        </w:tc>
        <w:tc>
          <w:tcPr>
            <w:tcW w:w="779" w:type="pct"/>
          </w:tcPr>
          <w:p w:rsidR="007151D9" w:rsidRDefault="007151D9" w:rsidP="007151D9">
            <w:pPr>
              <w:pStyle w:val="02Tabletext"/>
              <w:keepNext w:val="0"/>
            </w:pPr>
            <w:r>
              <w:t>0</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6</w:t>
            </w:r>
          </w:p>
        </w:tc>
        <w:tc>
          <w:tcPr>
            <w:tcW w:w="3989" w:type="pct"/>
          </w:tcPr>
          <w:p w:rsidR="007151D9" w:rsidRDefault="007151D9" w:rsidP="007151D9">
            <w:pPr>
              <w:pStyle w:val="02Tabletext"/>
              <w:keepNext w:val="0"/>
            </w:pPr>
            <w:r w:rsidRPr="004C35DD">
              <w:t>webster pak.m</w:t>
            </w:r>
            <w:r>
              <w:t>p.</w:t>
            </w:r>
          </w:p>
        </w:tc>
        <w:tc>
          <w:tcPr>
            <w:tcW w:w="779" w:type="pct"/>
          </w:tcPr>
          <w:p w:rsidR="007151D9" w:rsidRDefault="007151D9" w:rsidP="007151D9">
            <w:pPr>
              <w:pStyle w:val="02Tabletext"/>
              <w:keepNext w:val="0"/>
            </w:pPr>
            <w:r>
              <w:t>1</w:t>
            </w:r>
          </w:p>
        </w:tc>
      </w:tr>
      <w:tr w:rsidR="007151D9" w:rsidTr="00E6729C">
        <w:tc>
          <w:tcPr>
            <w:tcW w:w="232" w:type="pct"/>
          </w:tcPr>
          <w:p w:rsidR="007151D9" w:rsidRDefault="007151D9" w:rsidP="007151D9">
            <w:pPr>
              <w:pStyle w:val="02Tabletext"/>
              <w:keepNext w:val="0"/>
            </w:pPr>
            <w:r>
              <w:t>7</w:t>
            </w:r>
          </w:p>
        </w:tc>
        <w:tc>
          <w:tcPr>
            <w:tcW w:w="3989" w:type="pct"/>
          </w:tcPr>
          <w:p w:rsidR="007151D9" w:rsidRDefault="007151D9" w:rsidP="007151D9">
            <w:pPr>
              <w:pStyle w:val="02Tabletext"/>
              <w:keepNext w:val="0"/>
            </w:pPr>
            <w:r w:rsidRPr="004C35DD">
              <w:t>webstercare.mp.</w:t>
            </w:r>
          </w:p>
        </w:tc>
        <w:tc>
          <w:tcPr>
            <w:tcW w:w="779" w:type="pct"/>
          </w:tcPr>
          <w:p w:rsidR="007151D9" w:rsidRDefault="007151D9" w:rsidP="007151D9">
            <w:pPr>
              <w:pStyle w:val="02Tabletext"/>
              <w:keepNext w:val="0"/>
            </w:pPr>
            <w:r>
              <w:t>0</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8</w:t>
            </w:r>
          </w:p>
        </w:tc>
        <w:tc>
          <w:tcPr>
            <w:tcW w:w="3989" w:type="pct"/>
          </w:tcPr>
          <w:p w:rsidR="007151D9" w:rsidRDefault="007151D9" w:rsidP="007151D9">
            <w:pPr>
              <w:pStyle w:val="02Tabletext"/>
              <w:keepNext w:val="0"/>
            </w:pPr>
            <w:r w:rsidRPr="004C35DD">
              <w:t>unit dose pack.mp</w:t>
            </w:r>
            <w:r>
              <w:t>.</w:t>
            </w:r>
          </w:p>
        </w:tc>
        <w:tc>
          <w:tcPr>
            <w:tcW w:w="779" w:type="pct"/>
          </w:tcPr>
          <w:p w:rsidR="007151D9" w:rsidRDefault="007151D9" w:rsidP="007151D9">
            <w:pPr>
              <w:pStyle w:val="02Tabletext"/>
              <w:keepNext w:val="0"/>
            </w:pPr>
            <w:r>
              <w:t>0</w:t>
            </w:r>
          </w:p>
        </w:tc>
      </w:tr>
      <w:tr w:rsidR="007151D9" w:rsidTr="00E6729C">
        <w:tc>
          <w:tcPr>
            <w:tcW w:w="232" w:type="pct"/>
          </w:tcPr>
          <w:p w:rsidR="007151D9" w:rsidRDefault="007151D9" w:rsidP="007151D9">
            <w:pPr>
              <w:pStyle w:val="02Tabletext"/>
              <w:keepNext w:val="0"/>
            </w:pPr>
            <w:r>
              <w:t>9</w:t>
            </w:r>
          </w:p>
        </w:tc>
        <w:tc>
          <w:tcPr>
            <w:tcW w:w="3989" w:type="pct"/>
          </w:tcPr>
          <w:p w:rsidR="007151D9" w:rsidRDefault="007151D9" w:rsidP="007151D9">
            <w:pPr>
              <w:pStyle w:val="02Tabletext"/>
              <w:keepNext w:val="0"/>
            </w:pPr>
            <w:r>
              <w:t>m</w:t>
            </w:r>
            <w:r w:rsidRPr="004C35DD">
              <w:t>ulti</w:t>
            </w:r>
            <w:r>
              <w:t xml:space="preserve"> </w:t>
            </w:r>
            <w:r w:rsidRPr="004C35DD">
              <w:t>dose pack.mp.</w:t>
            </w:r>
          </w:p>
        </w:tc>
        <w:tc>
          <w:tcPr>
            <w:tcW w:w="779" w:type="pct"/>
          </w:tcPr>
          <w:p w:rsidR="007151D9" w:rsidRDefault="007151D9" w:rsidP="007151D9">
            <w:pPr>
              <w:pStyle w:val="02Tabletext"/>
              <w:keepNext w:val="0"/>
            </w:pPr>
            <w:r>
              <w:t>0</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10</w:t>
            </w:r>
          </w:p>
        </w:tc>
        <w:tc>
          <w:tcPr>
            <w:tcW w:w="3989" w:type="pct"/>
          </w:tcPr>
          <w:p w:rsidR="007151D9" w:rsidRDefault="007151D9" w:rsidP="007151D9">
            <w:pPr>
              <w:pStyle w:val="02Tabletext"/>
              <w:keepNext w:val="0"/>
            </w:pPr>
            <w:r w:rsidRPr="004C35DD">
              <w:t>PacMED.mp.</w:t>
            </w:r>
          </w:p>
        </w:tc>
        <w:tc>
          <w:tcPr>
            <w:tcW w:w="779" w:type="pct"/>
          </w:tcPr>
          <w:p w:rsidR="007151D9" w:rsidRDefault="007151D9" w:rsidP="007151D9">
            <w:pPr>
              <w:pStyle w:val="02Tabletext"/>
              <w:keepNext w:val="0"/>
            </w:pPr>
            <w:r>
              <w:t>2</w:t>
            </w:r>
          </w:p>
        </w:tc>
      </w:tr>
      <w:tr w:rsidR="007151D9" w:rsidTr="00E6729C">
        <w:tc>
          <w:tcPr>
            <w:tcW w:w="232" w:type="pct"/>
          </w:tcPr>
          <w:p w:rsidR="007151D9" w:rsidRDefault="007151D9" w:rsidP="007151D9">
            <w:pPr>
              <w:pStyle w:val="02Tabletext"/>
              <w:keepNext w:val="0"/>
            </w:pPr>
            <w:r>
              <w:t>11</w:t>
            </w:r>
          </w:p>
        </w:tc>
        <w:tc>
          <w:tcPr>
            <w:tcW w:w="3989" w:type="pct"/>
          </w:tcPr>
          <w:p w:rsidR="007151D9" w:rsidRDefault="007151D9" w:rsidP="007151D9">
            <w:pPr>
              <w:pStyle w:val="02Tabletext"/>
              <w:keepNext w:val="0"/>
            </w:pPr>
            <w:r w:rsidRPr="004C35DD">
              <w:t>Meditech.mp.</w:t>
            </w:r>
          </w:p>
        </w:tc>
        <w:tc>
          <w:tcPr>
            <w:tcW w:w="779" w:type="pct"/>
          </w:tcPr>
          <w:p w:rsidR="007151D9" w:rsidRDefault="007151D9" w:rsidP="007151D9">
            <w:pPr>
              <w:pStyle w:val="02Tabletext"/>
              <w:keepNext w:val="0"/>
            </w:pPr>
            <w:r>
              <w:t>79</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12</w:t>
            </w:r>
          </w:p>
        </w:tc>
        <w:tc>
          <w:tcPr>
            <w:tcW w:w="3989" w:type="pct"/>
          </w:tcPr>
          <w:p w:rsidR="007151D9" w:rsidRDefault="007151D9" w:rsidP="007151D9">
            <w:pPr>
              <w:pStyle w:val="02Tabletext"/>
              <w:keepNext w:val="0"/>
            </w:pPr>
            <w:r w:rsidRPr="004C35DD">
              <w:t>medico pack.mp.</w:t>
            </w:r>
          </w:p>
        </w:tc>
        <w:tc>
          <w:tcPr>
            <w:tcW w:w="779" w:type="pct"/>
          </w:tcPr>
          <w:p w:rsidR="007151D9" w:rsidRDefault="007151D9" w:rsidP="007151D9">
            <w:pPr>
              <w:pStyle w:val="02Tabletext"/>
              <w:keepNext w:val="0"/>
            </w:pPr>
            <w:r>
              <w:t>0</w:t>
            </w:r>
          </w:p>
        </w:tc>
      </w:tr>
      <w:tr w:rsidR="007151D9" w:rsidTr="00E6729C">
        <w:tc>
          <w:tcPr>
            <w:tcW w:w="232" w:type="pct"/>
          </w:tcPr>
          <w:p w:rsidR="007151D9" w:rsidRDefault="007151D9" w:rsidP="007151D9">
            <w:pPr>
              <w:pStyle w:val="02Tabletext"/>
              <w:keepNext w:val="0"/>
            </w:pPr>
            <w:r>
              <w:t>13</w:t>
            </w:r>
          </w:p>
        </w:tc>
        <w:tc>
          <w:tcPr>
            <w:tcW w:w="3989" w:type="pct"/>
          </w:tcPr>
          <w:p w:rsidR="007151D9" w:rsidRDefault="007151D9" w:rsidP="007151D9">
            <w:pPr>
              <w:pStyle w:val="02Tabletext"/>
              <w:keepNext w:val="0"/>
            </w:pPr>
            <w:r>
              <w:t>Medi</w:t>
            </w:r>
            <w:r w:rsidRPr="004C35DD">
              <w:t>wheel.mp.</w:t>
            </w:r>
            <w:r>
              <w:t xml:space="preserve"> or Medi-wheel.mp.</w:t>
            </w:r>
          </w:p>
        </w:tc>
        <w:tc>
          <w:tcPr>
            <w:tcW w:w="779" w:type="pct"/>
          </w:tcPr>
          <w:p w:rsidR="007151D9" w:rsidRDefault="007151D9" w:rsidP="007151D9">
            <w:pPr>
              <w:pStyle w:val="02Tabletext"/>
              <w:keepNext w:val="0"/>
            </w:pPr>
            <w:r>
              <w:t>0</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14</w:t>
            </w:r>
          </w:p>
        </w:tc>
        <w:tc>
          <w:tcPr>
            <w:tcW w:w="3989" w:type="pct"/>
          </w:tcPr>
          <w:p w:rsidR="007151D9" w:rsidRDefault="007151D9" w:rsidP="007151D9">
            <w:pPr>
              <w:pStyle w:val="02Tabletext"/>
              <w:keepNext w:val="0"/>
            </w:pPr>
            <w:r>
              <w:t>Medi</w:t>
            </w:r>
            <w:r w:rsidRPr="004C35DD">
              <w:t>chest.mp.</w:t>
            </w:r>
          </w:p>
        </w:tc>
        <w:tc>
          <w:tcPr>
            <w:tcW w:w="779" w:type="pct"/>
          </w:tcPr>
          <w:p w:rsidR="007151D9" w:rsidRDefault="007151D9" w:rsidP="007151D9">
            <w:pPr>
              <w:pStyle w:val="02Tabletext"/>
              <w:keepNext w:val="0"/>
            </w:pPr>
            <w:r>
              <w:t>0</w:t>
            </w:r>
          </w:p>
        </w:tc>
      </w:tr>
      <w:tr w:rsidR="007151D9" w:rsidTr="00E6729C">
        <w:tc>
          <w:tcPr>
            <w:tcW w:w="232" w:type="pct"/>
          </w:tcPr>
          <w:p w:rsidR="007151D9" w:rsidRDefault="007151D9" w:rsidP="007151D9">
            <w:pPr>
              <w:pStyle w:val="02Tabletext"/>
              <w:keepNext w:val="0"/>
            </w:pPr>
            <w:r>
              <w:t>15</w:t>
            </w:r>
          </w:p>
        </w:tc>
        <w:tc>
          <w:tcPr>
            <w:tcW w:w="3989" w:type="pct"/>
          </w:tcPr>
          <w:p w:rsidR="007151D9" w:rsidRDefault="007151D9" w:rsidP="007151D9">
            <w:pPr>
              <w:pStyle w:val="02Tabletext"/>
              <w:keepNext w:val="0"/>
            </w:pPr>
            <w:r w:rsidRPr="004C35DD">
              <w:t>automated packing.mp</w:t>
            </w:r>
          </w:p>
        </w:tc>
        <w:tc>
          <w:tcPr>
            <w:tcW w:w="779" w:type="pct"/>
          </w:tcPr>
          <w:p w:rsidR="007151D9" w:rsidRDefault="007151D9" w:rsidP="007151D9">
            <w:pPr>
              <w:pStyle w:val="02Tabletext"/>
              <w:keepNext w:val="0"/>
            </w:pPr>
            <w:r>
              <w:t>1</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16</w:t>
            </w:r>
          </w:p>
        </w:tc>
        <w:tc>
          <w:tcPr>
            <w:tcW w:w="3989" w:type="pct"/>
          </w:tcPr>
          <w:p w:rsidR="007151D9" w:rsidRDefault="007151D9" w:rsidP="007151D9">
            <w:pPr>
              <w:pStyle w:val="02Tabletext"/>
              <w:keepNext w:val="0"/>
            </w:pPr>
            <w:r w:rsidRPr="001272D4">
              <w:t>drug administration management.mp.</w:t>
            </w:r>
          </w:p>
        </w:tc>
        <w:tc>
          <w:tcPr>
            <w:tcW w:w="779" w:type="pct"/>
          </w:tcPr>
          <w:p w:rsidR="007151D9" w:rsidRDefault="007151D9" w:rsidP="007151D9">
            <w:pPr>
              <w:pStyle w:val="02Tabletext"/>
              <w:keepNext w:val="0"/>
            </w:pPr>
            <w:r>
              <w:t>1</w:t>
            </w:r>
          </w:p>
        </w:tc>
      </w:tr>
      <w:tr w:rsidR="007151D9" w:rsidTr="00E6729C">
        <w:tc>
          <w:tcPr>
            <w:tcW w:w="232" w:type="pct"/>
          </w:tcPr>
          <w:p w:rsidR="007151D9" w:rsidRDefault="007151D9" w:rsidP="007151D9">
            <w:pPr>
              <w:pStyle w:val="02Tabletext"/>
              <w:keepNext w:val="0"/>
            </w:pPr>
            <w:r>
              <w:t>17</w:t>
            </w:r>
          </w:p>
        </w:tc>
        <w:tc>
          <w:tcPr>
            <w:tcW w:w="3989" w:type="pct"/>
          </w:tcPr>
          <w:p w:rsidR="007151D9" w:rsidRDefault="007151D9" w:rsidP="007151D9">
            <w:pPr>
              <w:pStyle w:val="02Tabletext"/>
              <w:keepNext w:val="0"/>
            </w:pPr>
            <w:r w:rsidRPr="001272D4">
              <w:t>medication pack.mp</w:t>
            </w:r>
          </w:p>
        </w:tc>
        <w:tc>
          <w:tcPr>
            <w:tcW w:w="779" w:type="pct"/>
          </w:tcPr>
          <w:p w:rsidR="007151D9" w:rsidRDefault="007151D9" w:rsidP="007151D9">
            <w:pPr>
              <w:pStyle w:val="02Tabletext"/>
              <w:keepNext w:val="0"/>
            </w:pPr>
            <w:r>
              <w:t>2</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18</w:t>
            </w:r>
          </w:p>
        </w:tc>
        <w:tc>
          <w:tcPr>
            <w:tcW w:w="3989" w:type="pct"/>
          </w:tcPr>
          <w:p w:rsidR="007151D9" w:rsidRDefault="007151D9" w:rsidP="007151D9">
            <w:pPr>
              <w:pStyle w:val="02Tabletext"/>
              <w:keepNext w:val="0"/>
            </w:pPr>
            <w:r w:rsidRPr="001272D4">
              <w:t>venalink.mp</w:t>
            </w:r>
          </w:p>
        </w:tc>
        <w:tc>
          <w:tcPr>
            <w:tcW w:w="779" w:type="pct"/>
          </w:tcPr>
          <w:p w:rsidR="007151D9" w:rsidRDefault="007151D9" w:rsidP="007151D9">
            <w:pPr>
              <w:pStyle w:val="02Tabletext"/>
              <w:keepNext w:val="0"/>
            </w:pPr>
            <w:r>
              <w:t>2</w:t>
            </w:r>
          </w:p>
        </w:tc>
      </w:tr>
      <w:tr w:rsidR="007151D9" w:rsidTr="00E6729C">
        <w:tc>
          <w:tcPr>
            <w:tcW w:w="232" w:type="pct"/>
          </w:tcPr>
          <w:p w:rsidR="007151D9" w:rsidRDefault="007151D9" w:rsidP="007151D9">
            <w:pPr>
              <w:pStyle w:val="02Tabletext"/>
              <w:keepNext w:val="0"/>
            </w:pPr>
            <w:r>
              <w:t>19</w:t>
            </w:r>
          </w:p>
        </w:tc>
        <w:tc>
          <w:tcPr>
            <w:tcW w:w="3989" w:type="pct"/>
          </w:tcPr>
          <w:p w:rsidR="007151D9" w:rsidRDefault="007151D9" w:rsidP="007151D9">
            <w:pPr>
              <w:pStyle w:val="02Tabletext"/>
              <w:keepNext w:val="0"/>
            </w:pPr>
            <w:r w:rsidRPr="001272D4">
              <w:t>blister pack.mp. or exp blister pack/</w:t>
            </w:r>
          </w:p>
        </w:tc>
        <w:tc>
          <w:tcPr>
            <w:tcW w:w="779" w:type="pct"/>
          </w:tcPr>
          <w:p w:rsidR="007151D9" w:rsidRDefault="007151D9" w:rsidP="007151D9">
            <w:pPr>
              <w:pStyle w:val="02Tabletext"/>
              <w:keepNext w:val="0"/>
            </w:pPr>
            <w:r>
              <w:t>64</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20</w:t>
            </w:r>
          </w:p>
        </w:tc>
        <w:tc>
          <w:tcPr>
            <w:tcW w:w="3989" w:type="pct"/>
          </w:tcPr>
          <w:p w:rsidR="007151D9" w:rsidRDefault="007151D9" w:rsidP="007151D9">
            <w:pPr>
              <w:pStyle w:val="02Tabletext"/>
              <w:keepNext w:val="0"/>
            </w:pPr>
            <w:r w:rsidRPr="001272D4">
              <w:t>(blister adj2 (pack* or pak*)).mp.</w:t>
            </w:r>
          </w:p>
        </w:tc>
        <w:tc>
          <w:tcPr>
            <w:tcW w:w="779" w:type="pct"/>
          </w:tcPr>
          <w:p w:rsidR="007151D9" w:rsidRDefault="007151D9" w:rsidP="007151D9">
            <w:pPr>
              <w:pStyle w:val="02Tabletext"/>
              <w:keepNext w:val="0"/>
            </w:pPr>
            <w:r>
              <w:t>207</w:t>
            </w:r>
          </w:p>
        </w:tc>
      </w:tr>
      <w:tr w:rsidR="007151D9" w:rsidTr="00E6729C">
        <w:tc>
          <w:tcPr>
            <w:tcW w:w="232" w:type="pct"/>
          </w:tcPr>
          <w:p w:rsidR="007151D9" w:rsidRDefault="007151D9" w:rsidP="007151D9">
            <w:pPr>
              <w:pStyle w:val="02Tabletext"/>
              <w:keepNext w:val="0"/>
            </w:pPr>
            <w:r>
              <w:t>21</w:t>
            </w:r>
          </w:p>
        </w:tc>
        <w:tc>
          <w:tcPr>
            <w:tcW w:w="3989" w:type="pct"/>
          </w:tcPr>
          <w:p w:rsidR="007151D9" w:rsidRDefault="007151D9" w:rsidP="007151D9">
            <w:pPr>
              <w:pStyle w:val="02Tabletext"/>
              <w:keepNext w:val="0"/>
            </w:pPr>
            <w:r w:rsidRPr="001272D4">
              <w:t>(calendar adj2 (pack* or pak*)).mp.</w:t>
            </w:r>
          </w:p>
        </w:tc>
        <w:tc>
          <w:tcPr>
            <w:tcW w:w="779" w:type="pct"/>
          </w:tcPr>
          <w:p w:rsidR="007151D9" w:rsidRDefault="007151D9" w:rsidP="007151D9">
            <w:pPr>
              <w:pStyle w:val="02Tabletext"/>
              <w:keepNext w:val="0"/>
            </w:pPr>
            <w:r>
              <w:t>37</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22</w:t>
            </w:r>
          </w:p>
        </w:tc>
        <w:tc>
          <w:tcPr>
            <w:tcW w:w="3989" w:type="pct"/>
          </w:tcPr>
          <w:p w:rsidR="007151D9" w:rsidRDefault="007151D9" w:rsidP="007151D9">
            <w:pPr>
              <w:pStyle w:val="02Tabletext"/>
              <w:keepNext w:val="0"/>
            </w:pPr>
            <w:r w:rsidRPr="001272D4">
              <w:t>(c-pak or c-pack or c-cap*).mp.</w:t>
            </w:r>
          </w:p>
        </w:tc>
        <w:tc>
          <w:tcPr>
            <w:tcW w:w="779" w:type="pct"/>
          </w:tcPr>
          <w:p w:rsidR="007151D9" w:rsidRDefault="007151D9" w:rsidP="007151D9">
            <w:pPr>
              <w:pStyle w:val="02Tabletext"/>
              <w:keepNext w:val="0"/>
            </w:pPr>
            <w:r>
              <w:t>791</w:t>
            </w:r>
          </w:p>
        </w:tc>
      </w:tr>
      <w:tr w:rsidR="007151D9" w:rsidTr="00E6729C">
        <w:tc>
          <w:tcPr>
            <w:tcW w:w="232" w:type="pct"/>
          </w:tcPr>
          <w:p w:rsidR="007151D9" w:rsidRDefault="007151D9" w:rsidP="007151D9">
            <w:pPr>
              <w:pStyle w:val="02Tabletext"/>
              <w:keepNext w:val="0"/>
            </w:pPr>
            <w:r>
              <w:lastRenderedPageBreak/>
              <w:t>23</w:t>
            </w:r>
          </w:p>
        </w:tc>
        <w:tc>
          <w:tcPr>
            <w:tcW w:w="3989" w:type="pct"/>
          </w:tcPr>
          <w:p w:rsidR="007151D9" w:rsidRDefault="007151D9" w:rsidP="007151D9">
            <w:pPr>
              <w:pStyle w:val="02Tabletext"/>
              <w:keepNext w:val="0"/>
            </w:pPr>
            <w:r w:rsidRPr="001272D4">
              <w:t>(bubble adj2 (pack* or pak*)).mp</w:t>
            </w:r>
          </w:p>
        </w:tc>
        <w:tc>
          <w:tcPr>
            <w:tcW w:w="779" w:type="pct"/>
          </w:tcPr>
          <w:p w:rsidR="007151D9" w:rsidRDefault="007151D9" w:rsidP="007151D9">
            <w:pPr>
              <w:pStyle w:val="02Tabletext"/>
              <w:keepNext w:val="0"/>
            </w:pPr>
            <w:r>
              <w:t>9</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24</w:t>
            </w:r>
          </w:p>
        </w:tc>
        <w:tc>
          <w:tcPr>
            <w:tcW w:w="3989" w:type="pct"/>
          </w:tcPr>
          <w:p w:rsidR="007151D9" w:rsidRDefault="007151D9" w:rsidP="007151D9">
            <w:pPr>
              <w:pStyle w:val="02Tabletext"/>
              <w:keepNext w:val="0"/>
            </w:pPr>
            <w:r w:rsidRPr="001272D4">
              <w:t>((pil* or medication*) adj2 (pack* or organi?er* or delivery system* or container* or box* or dispenser* or device*)).mp.</w:t>
            </w:r>
            <w:r>
              <w:t>.</w:t>
            </w:r>
          </w:p>
        </w:tc>
        <w:tc>
          <w:tcPr>
            <w:tcW w:w="779" w:type="pct"/>
          </w:tcPr>
          <w:p w:rsidR="007151D9" w:rsidRDefault="007151D9" w:rsidP="007151D9">
            <w:pPr>
              <w:pStyle w:val="02Tabletext"/>
              <w:keepNext w:val="0"/>
            </w:pPr>
            <w:r>
              <w:t>942</w:t>
            </w:r>
          </w:p>
        </w:tc>
      </w:tr>
      <w:tr w:rsidR="007151D9" w:rsidTr="00E6729C">
        <w:tc>
          <w:tcPr>
            <w:tcW w:w="232" w:type="pct"/>
          </w:tcPr>
          <w:p w:rsidR="007151D9" w:rsidRDefault="007151D9" w:rsidP="007151D9">
            <w:pPr>
              <w:pStyle w:val="02Tabletext"/>
              <w:keepNext w:val="0"/>
            </w:pPr>
            <w:r>
              <w:t>25</w:t>
            </w:r>
          </w:p>
        </w:tc>
        <w:tc>
          <w:tcPr>
            <w:tcW w:w="3989" w:type="pct"/>
          </w:tcPr>
          <w:p w:rsidR="007151D9" w:rsidRDefault="007151D9" w:rsidP="007151D9">
            <w:pPr>
              <w:pStyle w:val="02Tabletext"/>
              <w:keepNext w:val="0"/>
            </w:pPr>
            <w:r w:rsidRPr="001272D4">
              <w:t>((multicompartment or multi-compartment) adj2 (pack* or organi?er* or delivery system* or container* or box* or dispenser* or device*)).mp</w:t>
            </w:r>
            <w:r>
              <w:t>.</w:t>
            </w:r>
          </w:p>
        </w:tc>
        <w:tc>
          <w:tcPr>
            <w:tcW w:w="779" w:type="pct"/>
          </w:tcPr>
          <w:p w:rsidR="007151D9" w:rsidRDefault="007151D9" w:rsidP="007151D9">
            <w:pPr>
              <w:pStyle w:val="02Tabletext"/>
              <w:keepNext w:val="0"/>
            </w:pPr>
            <w:r>
              <w:t>16</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26</w:t>
            </w:r>
          </w:p>
        </w:tc>
        <w:tc>
          <w:tcPr>
            <w:tcW w:w="3989" w:type="pct"/>
          </w:tcPr>
          <w:p w:rsidR="007151D9" w:rsidRDefault="007151D9" w:rsidP="007151D9">
            <w:pPr>
              <w:pStyle w:val="02Tabletext"/>
              <w:keepNext w:val="0"/>
            </w:pPr>
            <w:r w:rsidRPr="001272D4">
              <w:t>pillbox*.mp.</w:t>
            </w:r>
          </w:p>
        </w:tc>
        <w:tc>
          <w:tcPr>
            <w:tcW w:w="779" w:type="pct"/>
          </w:tcPr>
          <w:p w:rsidR="007151D9" w:rsidRDefault="007151D9" w:rsidP="007151D9">
            <w:pPr>
              <w:pStyle w:val="02Tabletext"/>
              <w:keepNext w:val="0"/>
            </w:pPr>
            <w:r>
              <w:t>89</w:t>
            </w:r>
          </w:p>
        </w:tc>
      </w:tr>
      <w:tr w:rsidR="007151D9" w:rsidTr="00E6729C">
        <w:tc>
          <w:tcPr>
            <w:tcW w:w="232" w:type="pct"/>
          </w:tcPr>
          <w:p w:rsidR="007151D9" w:rsidRDefault="007151D9" w:rsidP="007151D9">
            <w:pPr>
              <w:pStyle w:val="02Tabletext"/>
              <w:keepNext w:val="0"/>
            </w:pPr>
            <w:r>
              <w:t>27</w:t>
            </w:r>
          </w:p>
        </w:tc>
        <w:tc>
          <w:tcPr>
            <w:tcW w:w="3989" w:type="pct"/>
          </w:tcPr>
          <w:p w:rsidR="007151D9" w:rsidRDefault="007151D9" w:rsidP="007151D9">
            <w:pPr>
              <w:pStyle w:val="02Tabletext"/>
              <w:keepNext w:val="0"/>
            </w:pPr>
            <w:r>
              <w:t>doset*.mp.</w:t>
            </w:r>
          </w:p>
        </w:tc>
        <w:tc>
          <w:tcPr>
            <w:tcW w:w="779" w:type="pct"/>
          </w:tcPr>
          <w:p w:rsidR="007151D9" w:rsidRDefault="007151D9" w:rsidP="007151D9">
            <w:pPr>
              <w:pStyle w:val="02Tabletext"/>
              <w:keepNext w:val="0"/>
            </w:pPr>
            <w:r>
              <w:t>12</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28</w:t>
            </w:r>
          </w:p>
        </w:tc>
        <w:tc>
          <w:tcPr>
            <w:tcW w:w="3989" w:type="pct"/>
          </w:tcPr>
          <w:p w:rsidR="007151D9" w:rsidRDefault="007151D9" w:rsidP="007151D9">
            <w:pPr>
              <w:pStyle w:val="02Tabletext"/>
              <w:keepNext w:val="0"/>
            </w:pPr>
            <w:r w:rsidRPr="001272D4">
              <w:t>((prescription* or refill* or medication*) adj2 reminder*).mp.</w:t>
            </w:r>
          </w:p>
        </w:tc>
        <w:tc>
          <w:tcPr>
            <w:tcW w:w="779" w:type="pct"/>
          </w:tcPr>
          <w:p w:rsidR="007151D9" w:rsidRDefault="007151D9" w:rsidP="007151D9">
            <w:pPr>
              <w:pStyle w:val="02Tabletext"/>
              <w:keepNext w:val="0"/>
            </w:pPr>
            <w:r>
              <w:t>149</w:t>
            </w:r>
          </w:p>
        </w:tc>
      </w:tr>
      <w:tr w:rsidR="007151D9" w:rsidTr="00E6729C">
        <w:tc>
          <w:tcPr>
            <w:tcW w:w="232" w:type="pct"/>
          </w:tcPr>
          <w:p w:rsidR="007151D9" w:rsidRDefault="007151D9" w:rsidP="007151D9">
            <w:pPr>
              <w:pStyle w:val="02Tabletext"/>
              <w:keepNext w:val="0"/>
            </w:pPr>
            <w:r>
              <w:t>29</w:t>
            </w:r>
          </w:p>
        </w:tc>
        <w:tc>
          <w:tcPr>
            <w:tcW w:w="3989" w:type="pct"/>
          </w:tcPr>
          <w:p w:rsidR="007151D9" w:rsidRDefault="007151D9" w:rsidP="007151D9">
            <w:pPr>
              <w:pStyle w:val="02Tabletext"/>
              <w:keepNext w:val="0"/>
            </w:pPr>
            <w:r w:rsidRPr="001272D4">
              <w:t>((prescription* or medication* or drug* or compliance or adherence) adj2 refill*).mp.</w:t>
            </w:r>
          </w:p>
        </w:tc>
        <w:tc>
          <w:tcPr>
            <w:tcW w:w="779" w:type="pct"/>
          </w:tcPr>
          <w:p w:rsidR="007151D9" w:rsidRDefault="007151D9" w:rsidP="007151D9">
            <w:pPr>
              <w:pStyle w:val="02Tabletext"/>
              <w:keepNext w:val="0"/>
            </w:pPr>
            <w:r>
              <w:t>792</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30</w:t>
            </w:r>
          </w:p>
        </w:tc>
        <w:tc>
          <w:tcPr>
            <w:tcW w:w="3989" w:type="pct"/>
          </w:tcPr>
          <w:p w:rsidR="007151D9" w:rsidRDefault="007151D9" w:rsidP="007151D9">
            <w:pPr>
              <w:pStyle w:val="02Tabletext"/>
              <w:keepNext w:val="0"/>
            </w:pPr>
            <w:r w:rsidRPr="001272D4">
              <w:t>((adherence or compliance or persist* or accept* or reminder or prompt*) adj (device* or aid*)).mp.</w:t>
            </w:r>
          </w:p>
        </w:tc>
        <w:tc>
          <w:tcPr>
            <w:tcW w:w="779" w:type="pct"/>
          </w:tcPr>
          <w:p w:rsidR="007151D9" w:rsidRDefault="007151D9" w:rsidP="007151D9">
            <w:pPr>
              <w:pStyle w:val="02Tabletext"/>
              <w:keepNext w:val="0"/>
            </w:pPr>
            <w:r>
              <w:t>274</w:t>
            </w:r>
          </w:p>
        </w:tc>
      </w:tr>
      <w:tr w:rsidR="007151D9" w:rsidTr="00E6729C">
        <w:tc>
          <w:tcPr>
            <w:tcW w:w="232" w:type="pct"/>
          </w:tcPr>
          <w:p w:rsidR="007151D9" w:rsidRDefault="007151D9" w:rsidP="007151D9">
            <w:pPr>
              <w:pStyle w:val="02Tabletext"/>
              <w:keepNext w:val="0"/>
            </w:pPr>
            <w:r>
              <w:t>31</w:t>
            </w:r>
          </w:p>
        </w:tc>
        <w:tc>
          <w:tcPr>
            <w:tcW w:w="3989" w:type="pct"/>
          </w:tcPr>
          <w:p w:rsidR="007151D9" w:rsidRDefault="007151D9" w:rsidP="007151D9">
            <w:pPr>
              <w:pStyle w:val="02Tabletext"/>
              <w:keepNext w:val="0"/>
            </w:pPr>
            <w:r w:rsidRPr="001272D4">
              <w:t>mediset.mp</w:t>
            </w:r>
          </w:p>
        </w:tc>
        <w:tc>
          <w:tcPr>
            <w:tcW w:w="779" w:type="pct"/>
          </w:tcPr>
          <w:p w:rsidR="007151D9" w:rsidRDefault="007151D9" w:rsidP="007151D9">
            <w:pPr>
              <w:pStyle w:val="02Tabletext"/>
              <w:keepNext w:val="0"/>
            </w:pPr>
            <w:r>
              <w:t>7</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32</w:t>
            </w:r>
          </w:p>
        </w:tc>
        <w:tc>
          <w:tcPr>
            <w:tcW w:w="3989" w:type="pct"/>
          </w:tcPr>
          <w:p w:rsidR="007151D9" w:rsidRDefault="007151D9" w:rsidP="007151D9">
            <w:pPr>
              <w:pStyle w:val="02Tabletext"/>
              <w:keepNext w:val="0"/>
            </w:pPr>
            <w:r w:rsidRPr="001272D4">
              <w:t>medidos.mp.</w:t>
            </w:r>
          </w:p>
        </w:tc>
        <w:tc>
          <w:tcPr>
            <w:tcW w:w="779" w:type="pct"/>
          </w:tcPr>
          <w:p w:rsidR="007151D9" w:rsidRDefault="0076660A" w:rsidP="007151D9">
            <w:pPr>
              <w:pStyle w:val="02Tabletext"/>
              <w:keepNext w:val="0"/>
            </w:pPr>
            <w:r>
              <w:t>14</w:t>
            </w:r>
          </w:p>
        </w:tc>
      </w:tr>
      <w:tr w:rsidR="007151D9" w:rsidTr="00E6729C">
        <w:tc>
          <w:tcPr>
            <w:tcW w:w="232" w:type="pct"/>
          </w:tcPr>
          <w:p w:rsidR="007151D9" w:rsidRDefault="007151D9" w:rsidP="007151D9">
            <w:pPr>
              <w:pStyle w:val="02Tabletext"/>
              <w:keepNext w:val="0"/>
            </w:pPr>
            <w:r>
              <w:t>33</w:t>
            </w:r>
          </w:p>
        </w:tc>
        <w:tc>
          <w:tcPr>
            <w:tcW w:w="3989" w:type="pct"/>
          </w:tcPr>
          <w:p w:rsidR="007151D9" w:rsidRDefault="007151D9" w:rsidP="007151D9">
            <w:pPr>
              <w:pStyle w:val="02Tabletext"/>
              <w:keepNext w:val="0"/>
            </w:pPr>
            <w:r>
              <w:t>manrex.mp.</w:t>
            </w:r>
          </w:p>
        </w:tc>
        <w:tc>
          <w:tcPr>
            <w:tcW w:w="779" w:type="pct"/>
          </w:tcPr>
          <w:p w:rsidR="007151D9" w:rsidRDefault="0076660A" w:rsidP="007151D9">
            <w:pPr>
              <w:pStyle w:val="02Tabletext"/>
              <w:keepNext w:val="0"/>
            </w:pPr>
            <w:r>
              <w:t>0</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34</w:t>
            </w:r>
          </w:p>
        </w:tc>
        <w:tc>
          <w:tcPr>
            <w:tcW w:w="3989" w:type="pct"/>
          </w:tcPr>
          <w:p w:rsidR="007151D9" w:rsidRDefault="007151D9" w:rsidP="007151D9">
            <w:pPr>
              <w:pStyle w:val="02Tabletext"/>
              <w:keepNext w:val="0"/>
            </w:pPr>
            <w:r w:rsidRPr="001272D4">
              <w:t>pre-pack*.mp.</w:t>
            </w:r>
          </w:p>
        </w:tc>
        <w:tc>
          <w:tcPr>
            <w:tcW w:w="779" w:type="pct"/>
          </w:tcPr>
          <w:p w:rsidR="007151D9" w:rsidRDefault="0076660A" w:rsidP="007151D9">
            <w:pPr>
              <w:pStyle w:val="02Tabletext"/>
              <w:keepNext w:val="0"/>
            </w:pPr>
            <w:r>
              <w:t>250</w:t>
            </w:r>
          </w:p>
        </w:tc>
      </w:tr>
      <w:tr w:rsidR="007151D9" w:rsidTr="00E6729C">
        <w:tc>
          <w:tcPr>
            <w:tcW w:w="232" w:type="pct"/>
          </w:tcPr>
          <w:p w:rsidR="007151D9" w:rsidRDefault="007151D9" w:rsidP="007151D9">
            <w:pPr>
              <w:pStyle w:val="02Tabletext"/>
              <w:keepNext w:val="0"/>
            </w:pPr>
            <w:r>
              <w:t>35</w:t>
            </w:r>
          </w:p>
        </w:tc>
        <w:tc>
          <w:tcPr>
            <w:tcW w:w="3989" w:type="pct"/>
          </w:tcPr>
          <w:p w:rsidR="007151D9" w:rsidRDefault="007151D9" w:rsidP="007151D9">
            <w:pPr>
              <w:pStyle w:val="02Tabletext"/>
              <w:keepNext w:val="0"/>
            </w:pPr>
            <w:r w:rsidRPr="001272D4">
              <w:t>nomad*.mp.</w:t>
            </w:r>
          </w:p>
        </w:tc>
        <w:tc>
          <w:tcPr>
            <w:tcW w:w="779" w:type="pct"/>
          </w:tcPr>
          <w:p w:rsidR="007151D9" w:rsidRDefault="0076660A" w:rsidP="007151D9">
            <w:pPr>
              <w:pStyle w:val="02Tabletext"/>
              <w:keepNext w:val="0"/>
            </w:pPr>
            <w:r>
              <w:t>1096</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36</w:t>
            </w:r>
          </w:p>
        </w:tc>
        <w:tc>
          <w:tcPr>
            <w:tcW w:w="3989" w:type="pct"/>
          </w:tcPr>
          <w:p w:rsidR="007151D9" w:rsidRPr="001272D4" w:rsidRDefault="007151D9" w:rsidP="007151D9">
            <w:pPr>
              <w:pStyle w:val="02Tabletext"/>
              <w:keepNext w:val="0"/>
            </w:pPr>
            <w:r w:rsidRPr="001F1646">
              <w:t xml:space="preserve">1 or 2 or 3 or 4 or 5 or 6 or 7 or 8 or 9 or 10 or 11 or 12 or 13 or 14 or 15 or 16 or 17 or 18 or 19 or 20 or 21 or 22 or 23 or 24 or 25 or 26 or 27 or 28 or 29 or 30 or 31 or </w:t>
            </w:r>
            <w:r>
              <w:t>32 or 33 or 34 or 35</w:t>
            </w:r>
          </w:p>
        </w:tc>
        <w:tc>
          <w:tcPr>
            <w:tcW w:w="779" w:type="pct"/>
          </w:tcPr>
          <w:p w:rsidR="007151D9" w:rsidRDefault="00781524" w:rsidP="007151D9">
            <w:pPr>
              <w:pStyle w:val="02Tabletext"/>
              <w:keepNext w:val="0"/>
            </w:pPr>
            <w:r>
              <w:t>15635</w:t>
            </w:r>
          </w:p>
        </w:tc>
      </w:tr>
      <w:tr w:rsidR="007151D9" w:rsidTr="00E6729C">
        <w:tc>
          <w:tcPr>
            <w:tcW w:w="232" w:type="pct"/>
          </w:tcPr>
          <w:p w:rsidR="007151D9" w:rsidRDefault="007151D9" w:rsidP="007151D9">
            <w:pPr>
              <w:pStyle w:val="02Tabletext"/>
              <w:keepNext w:val="0"/>
            </w:pPr>
            <w:r>
              <w:t>37</w:t>
            </w:r>
          </w:p>
        </w:tc>
        <w:tc>
          <w:tcPr>
            <w:tcW w:w="3989" w:type="pct"/>
          </w:tcPr>
          <w:p w:rsidR="007151D9" w:rsidRDefault="007151D9" w:rsidP="007151D9">
            <w:pPr>
              <w:pStyle w:val="02Tabletext"/>
              <w:keepNext w:val="0"/>
            </w:pPr>
            <w:r w:rsidRPr="001272D4">
              <w:t>(complian* or noncomplian* or non-complian*).mp.</w:t>
            </w:r>
          </w:p>
        </w:tc>
        <w:tc>
          <w:tcPr>
            <w:tcW w:w="779" w:type="pct"/>
          </w:tcPr>
          <w:p w:rsidR="007151D9" w:rsidRDefault="0076660A" w:rsidP="007151D9">
            <w:pPr>
              <w:pStyle w:val="02Tabletext"/>
              <w:keepNext w:val="0"/>
            </w:pPr>
            <w:r>
              <w:t>136678</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38</w:t>
            </w:r>
          </w:p>
        </w:tc>
        <w:tc>
          <w:tcPr>
            <w:tcW w:w="3989" w:type="pct"/>
          </w:tcPr>
          <w:p w:rsidR="007151D9" w:rsidRPr="001272D4" w:rsidRDefault="007151D9" w:rsidP="007151D9">
            <w:pPr>
              <w:pStyle w:val="02Tabletext"/>
              <w:keepNext w:val="0"/>
            </w:pPr>
            <w:r w:rsidRPr="001272D4">
              <w:t>(adhere* o</w:t>
            </w:r>
            <w:r>
              <w:t>r nonadhere* or non-adhere*).mp.</w:t>
            </w:r>
          </w:p>
        </w:tc>
        <w:tc>
          <w:tcPr>
            <w:tcW w:w="779" w:type="pct"/>
          </w:tcPr>
          <w:p w:rsidR="007151D9" w:rsidRDefault="0076660A" w:rsidP="007151D9">
            <w:pPr>
              <w:pStyle w:val="02Tabletext"/>
              <w:keepNext w:val="0"/>
            </w:pPr>
            <w:r>
              <w:t>153962</w:t>
            </w:r>
          </w:p>
        </w:tc>
      </w:tr>
      <w:tr w:rsidR="007151D9" w:rsidTr="00E6729C">
        <w:tc>
          <w:tcPr>
            <w:tcW w:w="232" w:type="pct"/>
          </w:tcPr>
          <w:p w:rsidR="007151D9" w:rsidRDefault="007151D9" w:rsidP="007151D9">
            <w:pPr>
              <w:pStyle w:val="02Tabletext"/>
              <w:keepNext w:val="0"/>
            </w:pPr>
            <w:r>
              <w:t>39</w:t>
            </w:r>
          </w:p>
        </w:tc>
        <w:tc>
          <w:tcPr>
            <w:tcW w:w="3989" w:type="pct"/>
          </w:tcPr>
          <w:p w:rsidR="007151D9" w:rsidRPr="001272D4" w:rsidRDefault="007151D9" w:rsidP="007151D9">
            <w:pPr>
              <w:pStyle w:val="02Tabletext"/>
              <w:keepNext w:val="0"/>
            </w:pPr>
            <w:r>
              <w:t>persist*.mp.</w:t>
            </w:r>
          </w:p>
        </w:tc>
        <w:tc>
          <w:tcPr>
            <w:tcW w:w="779" w:type="pct"/>
          </w:tcPr>
          <w:p w:rsidR="007151D9" w:rsidRDefault="0076660A" w:rsidP="007151D9">
            <w:pPr>
              <w:pStyle w:val="02Tabletext"/>
              <w:keepNext w:val="0"/>
            </w:pPr>
            <w:r>
              <w:t>350334</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40</w:t>
            </w:r>
          </w:p>
        </w:tc>
        <w:tc>
          <w:tcPr>
            <w:tcW w:w="3989" w:type="pct"/>
          </w:tcPr>
          <w:p w:rsidR="007151D9" w:rsidRPr="001272D4" w:rsidRDefault="007151D9" w:rsidP="007151D9">
            <w:pPr>
              <w:pStyle w:val="02Tabletext"/>
              <w:keepNext w:val="0"/>
            </w:pPr>
            <w:r w:rsidRPr="001272D4">
              <w:t>accept*.mp</w:t>
            </w:r>
            <w:r>
              <w:t>.</w:t>
            </w:r>
          </w:p>
        </w:tc>
        <w:tc>
          <w:tcPr>
            <w:tcW w:w="779" w:type="pct"/>
          </w:tcPr>
          <w:p w:rsidR="007151D9" w:rsidRDefault="0076660A" w:rsidP="007151D9">
            <w:pPr>
              <w:pStyle w:val="02Tabletext"/>
              <w:keepNext w:val="0"/>
            </w:pPr>
            <w:r>
              <w:t>346076</w:t>
            </w:r>
          </w:p>
        </w:tc>
      </w:tr>
      <w:tr w:rsidR="007151D9" w:rsidTr="00E6729C">
        <w:tc>
          <w:tcPr>
            <w:tcW w:w="232" w:type="pct"/>
          </w:tcPr>
          <w:p w:rsidR="007151D9" w:rsidRDefault="007151D9" w:rsidP="007151D9">
            <w:pPr>
              <w:pStyle w:val="02Tabletext"/>
              <w:keepNext w:val="0"/>
            </w:pPr>
            <w:r>
              <w:t>41</w:t>
            </w:r>
          </w:p>
        </w:tc>
        <w:tc>
          <w:tcPr>
            <w:tcW w:w="3989" w:type="pct"/>
          </w:tcPr>
          <w:p w:rsidR="007151D9" w:rsidRPr="001272D4" w:rsidRDefault="007151D9" w:rsidP="007151D9">
            <w:pPr>
              <w:pStyle w:val="02Tabletext"/>
              <w:keepNext w:val="0"/>
            </w:pPr>
            <w:r>
              <w:t>concordance.mp.</w:t>
            </w:r>
          </w:p>
        </w:tc>
        <w:tc>
          <w:tcPr>
            <w:tcW w:w="779" w:type="pct"/>
          </w:tcPr>
          <w:p w:rsidR="007151D9" w:rsidRDefault="0076660A" w:rsidP="007151D9">
            <w:pPr>
              <w:pStyle w:val="02Tabletext"/>
              <w:keepNext w:val="0"/>
            </w:pPr>
            <w:r>
              <w:t>29735</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42</w:t>
            </w:r>
          </w:p>
        </w:tc>
        <w:tc>
          <w:tcPr>
            <w:tcW w:w="3989" w:type="pct"/>
          </w:tcPr>
          <w:p w:rsidR="007151D9" w:rsidRDefault="007151D9" w:rsidP="007151D9">
            <w:pPr>
              <w:pStyle w:val="02Tabletext"/>
              <w:keepNext w:val="0"/>
            </w:pPr>
            <w:r>
              <w:t>37 or 38 or 39 or 40 or 41</w:t>
            </w:r>
          </w:p>
        </w:tc>
        <w:tc>
          <w:tcPr>
            <w:tcW w:w="779" w:type="pct"/>
          </w:tcPr>
          <w:p w:rsidR="007151D9" w:rsidRPr="001272D4" w:rsidRDefault="00781524" w:rsidP="007151D9">
            <w:pPr>
              <w:pStyle w:val="02Tabletext"/>
              <w:keepNext w:val="0"/>
            </w:pPr>
            <w:r>
              <w:t>964630</w:t>
            </w:r>
          </w:p>
        </w:tc>
      </w:tr>
      <w:tr w:rsidR="007151D9" w:rsidTr="00E6729C">
        <w:tc>
          <w:tcPr>
            <w:tcW w:w="232" w:type="pct"/>
          </w:tcPr>
          <w:p w:rsidR="007151D9" w:rsidRDefault="007151D9" w:rsidP="007151D9">
            <w:pPr>
              <w:pStyle w:val="02Tabletext"/>
              <w:keepNext w:val="0"/>
            </w:pPr>
            <w:r>
              <w:t>43</w:t>
            </w:r>
          </w:p>
        </w:tc>
        <w:tc>
          <w:tcPr>
            <w:tcW w:w="3989" w:type="pct"/>
          </w:tcPr>
          <w:p w:rsidR="007151D9" w:rsidRDefault="007151D9" w:rsidP="007151D9">
            <w:pPr>
              <w:pStyle w:val="02Tabletext"/>
              <w:keepNext w:val="0"/>
            </w:pPr>
            <w:r>
              <w:t>pharmac*.mp.</w:t>
            </w:r>
          </w:p>
        </w:tc>
        <w:tc>
          <w:tcPr>
            <w:tcW w:w="779" w:type="pct"/>
          </w:tcPr>
          <w:p w:rsidR="007151D9" w:rsidRPr="001272D4" w:rsidRDefault="00781524" w:rsidP="007151D9">
            <w:pPr>
              <w:pStyle w:val="02Tabletext"/>
              <w:keepNext w:val="0"/>
            </w:pPr>
            <w:r>
              <w:t>694696</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44</w:t>
            </w:r>
          </w:p>
        </w:tc>
        <w:tc>
          <w:tcPr>
            <w:tcW w:w="3989" w:type="pct"/>
          </w:tcPr>
          <w:p w:rsidR="007151D9" w:rsidRDefault="007151D9" w:rsidP="007151D9">
            <w:pPr>
              <w:pStyle w:val="02Tabletext"/>
              <w:keepNext w:val="0"/>
            </w:pPr>
            <w:r w:rsidRPr="001272D4">
              <w:t>community pharmac*.mp.</w:t>
            </w:r>
          </w:p>
        </w:tc>
        <w:tc>
          <w:tcPr>
            <w:tcW w:w="779" w:type="pct"/>
          </w:tcPr>
          <w:p w:rsidR="007151D9" w:rsidRPr="001272D4" w:rsidRDefault="00781524" w:rsidP="007151D9">
            <w:pPr>
              <w:pStyle w:val="02Tabletext"/>
              <w:keepNext w:val="0"/>
            </w:pPr>
            <w:r>
              <w:t>4989</w:t>
            </w:r>
          </w:p>
        </w:tc>
      </w:tr>
      <w:tr w:rsidR="007151D9" w:rsidTr="00E6729C">
        <w:tc>
          <w:tcPr>
            <w:tcW w:w="232" w:type="pct"/>
          </w:tcPr>
          <w:p w:rsidR="007151D9" w:rsidRDefault="007151D9" w:rsidP="007151D9">
            <w:pPr>
              <w:pStyle w:val="02Tabletext"/>
              <w:keepNext w:val="0"/>
            </w:pPr>
            <w:r>
              <w:t>45</w:t>
            </w:r>
          </w:p>
        </w:tc>
        <w:tc>
          <w:tcPr>
            <w:tcW w:w="3989" w:type="pct"/>
          </w:tcPr>
          <w:p w:rsidR="007151D9" w:rsidRPr="001272D4" w:rsidRDefault="007151D9" w:rsidP="007151D9">
            <w:pPr>
              <w:pStyle w:val="02Tabletext"/>
              <w:keepNext w:val="0"/>
            </w:pPr>
            <w:r>
              <w:t>43 or 44</w:t>
            </w:r>
          </w:p>
        </w:tc>
        <w:tc>
          <w:tcPr>
            <w:tcW w:w="779" w:type="pct"/>
          </w:tcPr>
          <w:p w:rsidR="007151D9" w:rsidRDefault="00781524" w:rsidP="007151D9">
            <w:pPr>
              <w:pStyle w:val="02Tabletext"/>
              <w:keepNext w:val="0"/>
            </w:pPr>
            <w:r>
              <w:t>694696</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46</w:t>
            </w:r>
          </w:p>
        </w:tc>
        <w:tc>
          <w:tcPr>
            <w:tcW w:w="3989" w:type="pct"/>
          </w:tcPr>
          <w:p w:rsidR="007151D9" w:rsidRPr="001272D4" w:rsidRDefault="007151D9" w:rsidP="007151D9">
            <w:pPr>
              <w:pStyle w:val="02Tabletext"/>
              <w:keepNext w:val="0"/>
            </w:pPr>
            <w:r>
              <w:t>36 and 42 and 45</w:t>
            </w:r>
            <w:r w:rsidRPr="00C827D3">
              <w:t xml:space="preserve"> </w:t>
            </w:r>
          </w:p>
        </w:tc>
        <w:tc>
          <w:tcPr>
            <w:tcW w:w="779" w:type="pct"/>
          </w:tcPr>
          <w:p w:rsidR="007151D9" w:rsidRDefault="00781524" w:rsidP="007151D9">
            <w:pPr>
              <w:pStyle w:val="02Tabletext"/>
              <w:keepNext w:val="0"/>
            </w:pPr>
            <w:r>
              <w:t>716</w:t>
            </w:r>
          </w:p>
        </w:tc>
      </w:tr>
      <w:tr w:rsidR="007151D9" w:rsidTr="00E6729C">
        <w:tc>
          <w:tcPr>
            <w:tcW w:w="232" w:type="pct"/>
          </w:tcPr>
          <w:p w:rsidR="007151D9" w:rsidRDefault="007151D9" w:rsidP="007151D9">
            <w:pPr>
              <w:pStyle w:val="02Tabletext"/>
              <w:keepNext w:val="0"/>
            </w:pPr>
            <w:r>
              <w:t>47</w:t>
            </w:r>
          </w:p>
        </w:tc>
        <w:tc>
          <w:tcPr>
            <w:tcW w:w="3989" w:type="pct"/>
          </w:tcPr>
          <w:p w:rsidR="007151D9" w:rsidRPr="001272D4" w:rsidRDefault="007151D9" w:rsidP="007151D9">
            <w:pPr>
              <w:pStyle w:val="02Tabletext"/>
              <w:keepNext w:val="0"/>
            </w:pPr>
            <w:r w:rsidRPr="00C827D3">
              <w:t>li</w:t>
            </w:r>
            <w:r>
              <w:t>mit 46</w:t>
            </w:r>
            <w:r w:rsidRPr="00C827D3">
              <w:t xml:space="preserve"> to (hum</w:t>
            </w:r>
            <w:r>
              <w:t>an and english language)</w:t>
            </w:r>
          </w:p>
        </w:tc>
        <w:tc>
          <w:tcPr>
            <w:tcW w:w="779" w:type="pct"/>
          </w:tcPr>
          <w:p w:rsidR="007151D9" w:rsidRDefault="00781524" w:rsidP="007151D9">
            <w:pPr>
              <w:pStyle w:val="02Tabletext"/>
              <w:keepNext w:val="0"/>
            </w:pPr>
            <w:r>
              <w:t>577</w:t>
            </w:r>
          </w:p>
        </w:tc>
      </w:tr>
      <w:tr w:rsidR="007151D9"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7151D9" w:rsidRDefault="007151D9" w:rsidP="007151D9">
            <w:pPr>
              <w:pStyle w:val="02Tabletext"/>
              <w:keepNext w:val="0"/>
            </w:pPr>
            <w:r>
              <w:t>48</w:t>
            </w:r>
          </w:p>
        </w:tc>
        <w:tc>
          <w:tcPr>
            <w:tcW w:w="3989" w:type="pct"/>
          </w:tcPr>
          <w:p w:rsidR="007151D9" w:rsidRPr="00C827D3" w:rsidRDefault="007151D9" w:rsidP="007151D9">
            <w:pPr>
              <w:pStyle w:val="02Tabletext"/>
              <w:keepNext w:val="0"/>
            </w:pPr>
            <w:r>
              <w:t>limit 47</w:t>
            </w:r>
            <w:r w:rsidRPr="00C827D3">
              <w:t xml:space="preserve"> to (</w:t>
            </w:r>
            <w:r w:rsidR="001E13CD" w:rsidRPr="001E13CD">
              <w:t>case reports or comment or editorial or letter or published erratum</w:t>
            </w:r>
            <w:r>
              <w:t>)</w:t>
            </w:r>
          </w:p>
        </w:tc>
        <w:tc>
          <w:tcPr>
            <w:tcW w:w="779" w:type="pct"/>
          </w:tcPr>
          <w:p w:rsidR="007151D9" w:rsidRDefault="00781524" w:rsidP="007151D9">
            <w:pPr>
              <w:pStyle w:val="02Tabletext"/>
              <w:keepNext w:val="0"/>
            </w:pPr>
            <w:r>
              <w:t>23</w:t>
            </w:r>
          </w:p>
        </w:tc>
      </w:tr>
      <w:tr w:rsidR="007151D9" w:rsidTr="00E6729C">
        <w:tc>
          <w:tcPr>
            <w:tcW w:w="232" w:type="pct"/>
          </w:tcPr>
          <w:p w:rsidR="007151D9" w:rsidRDefault="007151D9" w:rsidP="007151D9">
            <w:pPr>
              <w:pStyle w:val="02Tabletext"/>
              <w:keepNext w:val="0"/>
            </w:pPr>
            <w:r>
              <w:t>49</w:t>
            </w:r>
          </w:p>
        </w:tc>
        <w:tc>
          <w:tcPr>
            <w:tcW w:w="3989" w:type="pct"/>
          </w:tcPr>
          <w:p w:rsidR="007151D9" w:rsidRDefault="007151D9" w:rsidP="007151D9">
            <w:pPr>
              <w:pStyle w:val="02Tabletext"/>
              <w:keepNext w:val="0"/>
            </w:pPr>
            <w:r>
              <w:t>47 not 48</w:t>
            </w:r>
          </w:p>
        </w:tc>
        <w:tc>
          <w:tcPr>
            <w:tcW w:w="779" w:type="pct"/>
          </w:tcPr>
          <w:p w:rsidR="007151D9" w:rsidRDefault="00781524" w:rsidP="007151D9">
            <w:pPr>
              <w:pStyle w:val="02Tabletext"/>
              <w:keepNext w:val="0"/>
            </w:pPr>
            <w:r>
              <w:t>554</w:t>
            </w:r>
          </w:p>
        </w:tc>
      </w:tr>
    </w:tbl>
    <w:p w:rsidR="002B50CD" w:rsidRDefault="00A810B4" w:rsidP="00103385">
      <w:pPr>
        <w:pStyle w:val="BodyText"/>
        <w:rPr>
          <w:sz w:val="16"/>
          <w:szCs w:val="16"/>
        </w:rPr>
      </w:pPr>
      <w:r w:rsidRPr="00A810B4">
        <w:rPr>
          <w:sz w:val="16"/>
          <w:szCs w:val="16"/>
        </w:rPr>
        <w:t>mp=title, abstract, original title, name of substance word, subject heading word, keyword heading word, protocol supplementary concept word, rare disease supplementary concept word, unique identifier</w:t>
      </w:r>
    </w:p>
    <w:p w:rsidR="00A810B4" w:rsidRDefault="00EC6FE6" w:rsidP="007F54F5">
      <w:pPr>
        <w:pStyle w:val="Caption"/>
      </w:pPr>
      <w:bookmarkStart w:id="148" w:name="_Ref522874287"/>
      <w:r>
        <w:t xml:space="preserve">Table A-3. </w:t>
      </w:r>
      <w:r w:rsidR="00964233">
        <w:rPr>
          <w:noProof/>
        </w:rPr>
        <w:fldChar w:fldCharType="begin"/>
      </w:r>
      <w:r w:rsidR="00964233">
        <w:rPr>
          <w:noProof/>
        </w:rPr>
        <w:instrText xml:space="preserve"> SEQ Table_A-3. \* ARABIC </w:instrText>
      </w:r>
      <w:r w:rsidR="00964233">
        <w:rPr>
          <w:noProof/>
        </w:rPr>
        <w:fldChar w:fldCharType="separate"/>
      </w:r>
      <w:r w:rsidR="00964233">
        <w:rPr>
          <w:noProof/>
        </w:rPr>
        <w:t>3</w:t>
      </w:r>
      <w:r w:rsidR="00964233">
        <w:rPr>
          <w:noProof/>
        </w:rPr>
        <w:fldChar w:fldCharType="end"/>
      </w:r>
      <w:bookmarkEnd w:id="148"/>
      <w:r w:rsidR="00A810B4">
        <w:tab/>
        <w:t>International Pharmaceutical Abstracts (IPA) search strategy</w:t>
      </w:r>
      <w:r w:rsidR="00836559">
        <w:t xml:space="preserve"> (23</w:t>
      </w:r>
      <w:r w:rsidR="00836559" w:rsidRPr="003F290A">
        <w:rPr>
          <w:vertAlign w:val="superscript"/>
        </w:rPr>
        <w:t>rd</w:t>
      </w:r>
      <w:r w:rsidR="00836559">
        <w:t xml:space="preserve"> August 2016)</w:t>
      </w:r>
    </w:p>
    <w:tbl>
      <w:tblPr>
        <w:tblStyle w:val="TableGrid"/>
        <w:tblW w:w="5000" w:type="pct"/>
        <w:tblLook w:val="04A0" w:firstRow="1" w:lastRow="0" w:firstColumn="1" w:lastColumn="0" w:noHBand="0" w:noVBand="1"/>
        <w:tblCaption w:val="Table A-3.3"/>
        <w:tblDescription w:val="International Pharmaceutical Abstracts (IPA) search strategy (23rd August 2016)"/>
      </w:tblPr>
      <w:tblGrid>
        <w:gridCol w:w="447"/>
        <w:gridCol w:w="7681"/>
        <w:gridCol w:w="1500"/>
      </w:tblGrid>
      <w:tr w:rsidR="00A810B4" w:rsidTr="00E6729C">
        <w:trPr>
          <w:cnfStyle w:val="100000000000" w:firstRow="1" w:lastRow="0" w:firstColumn="0" w:lastColumn="0" w:oddVBand="0" w:evenVBand="0" w:oddHBand="0" w:evenHBand="0" w:firstRowFirstColumn="0" w:firstRowLastColumn="0" w:lastRowFirstColumn="0" w:lastRowLastColumn="0"/>
        </w:trPr>
        <w:tc>
          <w:tcPr>
            <w:tcW w:w="232" w:type="pct"/>
          </w:tcPr>
          <w:p w:rsidR="00A810B4" w:rsidRDefault="00A810B4" w:rsidP="003A39BC">
            <w:pPr>
              <w:pStyle w:val="01Tableheaderrow"/>
              <w:keepNext w:val="0"/>
            </w:pPr>
            <w:r>
              <w:t>#</w:t>
            </w:r>
          </w:p>
        </w:tc>
        <w:tc>
          <w:tcPr>
            <w:tcW w:w="3989" w:type="pct"/>
          </w:tcPr>
          <w:p w:rsidR="00A810B4" w:rsidRDefault="00A810B4" w:rsidP="003A39BC">
            <w:pPr>
              <w:pStyle w:val="01Tableheaderrow"/>
              <w:keepNext w:val="0"/>
            </w:pPr>
            <w:r>
              <w:t>Search term</w:t>
            </w:r>
          </w:p>
        </w:tc>
        <w:tc>
          <w:tcPr>
            <w:tcW w:w="779" w:type="pct"/>
          </w:tcPr>
          <w:p w:rsidR="00A810B4" w:rsidRDefault="00A810B4" w:rsidP="003A39BC">
            <w:pPr>
              <w:pStyle w:val="01Tableheaderrow"/>
              <w:keepNext w:val="0"/>
            </w:pPr>
            <w:r>
              <w:t>Number of citations</w:t>
            </w:r>
          </w:p>
        </w:tc>
      </w:tr>
      <w:tr w:rsidR="00A810B4" w:rsidTr="00E6729C">
        <w:tc>
          <w:tcPr>
            <w:tcW w:w="232" w:type="pct"/>
          </w:tcPr>
          <w:p w:rsidR="00A810B4" w:rsidRDefault="00A810B4" w:rsidP="003A39BC">
            <w:pPr>
              <w:pStyle w:val="02Tabletext"/>
              <w:keepNext w:val="0"/>
            </w:pPr>
            <w:r>
              <w:t>1</w:t>
            </w:r>
          </w:p>
        </w:tc>
        <w:tc>
          <w:tcPr>
            <w:tcW w:w="3989" w:type="pct"/>
          </w:tcPr>
          <w:p w:rsidR="00A810B4" w:rsidRDefault="00A810B4" w:rsidP="003A39BC">
            <w:pPr>
              <w:pStyle w:val="02Tabletext"/>
              <w:keepNext w:val="0"/>
            </w:pPr>
            <w:r w:rsidRPr="00B7109E">
              <w:t>dose administration aid</w:t>
            </w:r>
            <w:r>
              <w:t>*</w:t>
            </w:r>
            <w:r w:rsidRPr="00B7109E">
              <w:t>.mp</w:t>
            </w:r>
            <w:r>
              <w:t>.</w:t>
            </w:r>
          </w:p>
        </w:tc>
        <w:tc>
          <w:tcPr>
            <w:tcW w:w="779" w:type="pct"/>
          </w:tcPr>
          <w:p w:rsidR="00A810B4" w:rsidRDefault="004E50D1" w:rsidP="003A39BC">
            <w:pPr>
              <w:pStyle w:val="02Tabletext"/>
              <w:keepNext w:val="0"/>
            </w:pPr>
            <w:r>
              <w:t>3</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2</w:t>
            </w:r>
          </w:p>
        </w:tc>
        <w:tc>
          <w:tcPr>
            <w:tcW w:w="3989" w:type="pct"/>
          </w:tcPr>
          <w:p w:rsidR="00A810B4" w:rsidRPr="00B7109E" w:rsidRDefault="00A810B4" w:rsidP="003A39BC">
            <w:pPr>
              <w:pStyle w:val="02Tabletext"/>
              <w:keepNext w:val="0"/>
            </w:pPr>
            <w:r w:rsidRPr="00B7109E">
              <w:t xml:space="preserve">reminder </w:t>
            </w:r>
            <w:r w:rsidR="004E50D1">
              <w:t>system.mp.</w:t>
            </w:r>
          </w:p>
        </w:tc>
        <w:tc>
          <w:tcPr>
            <w:tcW w:w="779" w:type="pct"/>
          </w:tcPr>
          <w:p w:rsidR="00A810B4" w:rsidRDefault="004E50D1" w:rsidP="003A39BC">
            <w:pPr>
              <w:pStyle w:val="02Tabletext"/>
              <w:keepNext w:val="0"/>
            </w:pPr>
            <w:r>
              <w:t>34</w:t>
            </w:r>
          </w:p>
        </w:tc>
      </w:tr>
      <w:tr w:rsidR="00A810B4" w:rsidTr="00E6729C">
        <w:tc>
          <w:tcPr>
            <w:tcW w:w="232" w:type="pct"/>
          </w:tcPr>
          <w:p w:rsidR="00A810B4" w:rsidRDefault="00A810B4" w:rsidP="003A39BC">
            <w:pPr>
              <w:pStyle w:val="02Tabletext"/>
              <w:keepNext w:val="0"/>
            </w:pPr>
            <w:r>
              <w:t>3</w:t>
            </w:r>
          </w:p>
        </w:tc>
        <w:tc>
          <w:tcPr>
            <w:tcW w:w="3989" w:type="pct"/>
          </w:tcPr>
          <w:p w:rsidR="00A810B4" w:rsidRDefault="00A810B4" w:rsidP="003A39BC">
            <w:pPr>
              <w:pStyle w:val="02Tabletext"/>
              <w:keepNext w:val="0"/>
            </w:pPr>
            <w:r w:rsidRPr="00B7109E">
              <w:t>drug packaging.mp.</w:t>
            </w:r>
          </w:p>
        </w:tc>
        <w:tc>
          <w:tcPr>
            <w:tcW w:w="779" w:type="pct"/>
          </w:tcPr>
          <w:p w:rsidR="00A810B4" w:rsidRDefault="004E50D1" w:rsidP="003A39BC">
            <w:pPr>
              <w:pStyle w:val="02Tabletext"/>
              <w:keepNext w:val="0"/>
            </w:pPr>
            <w:r>
              <w:t>76</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4</w:t>
            </w:r>
          </w:p>
        </w:tc>
        <w:tc>
          <w:tcPr>
            <w:tcW w:w="3989" w:type="pct"/>
          </w:tcPr>
          <w:p w:rsidR="00A810B4" w:rsidRDefault="00A810B4" w:rsidP="003A39BC">
            <w:pPr>
              <w:pStyle w:val="02Tabletext"/>
              <w:keepNext w:val="0"/>
            </w:pPr>
            <w:r w:rsidRPr="004C35DD">
              <w:t>drug delivery system.mp.</w:t>
            </w:r>
          </w:p>
        </w:tc>
        <w:tc>
          <w:tcPr>
            <w:tcW w:w="779" w:type="pct"/>
          </w:tcPr>
          <w:p w:rsidR="00A810B4" w:rsidRDefault="004E50D1" w:rsidP="003A39BC">
            <w:pPr>
              <w:pStyle w:val="02Tabletext"/>
              <w:keepNext w:val="0"/>
            </w:pPr>
            <w:r>
              <w:t>2516</w:t>
            </w:r>
          </w:p>
        </w:tc>
      </w:tr>
      <w:tr w:rsidR="00A810B4" w:rsidTr="00E6729C">
        <w:tc>
          <w:tcPr>
            <w:tcW w:w="232" w:type="pct"/>
          </w:tcPr>
          <w:p w:rsidR="00A810B4" w:rsidRDefault="00A810B4" w:rsidP="003A39BC">
            <w:pPr>
              <w:pStyle w:val="02Tabletext"/>
              <w:keepNext w:val="0"/>
            </w:pPr>
            <w:r>
              <w:t>5</w:t>
            </w:r>
          </w:p>
        </w:tc>
        <w:tc>
          <w:tcPr>
            <w:tcW w:w="3989" w:type="pct"/>
          </w:tcPr>
          <w:p w:rsidR="00A810B4" w:rsidRDefault="00A810B4" w:rsidP="003A39BC">
            <w:pPr>
              <w:pStyle w:val="02Tabletext"/>
              <w:keepNext w:val="0"/>
            </w:pPr>
            <w:r w:rsidRPr="004C35DD">
              <w:t>webster pack.mp</w:t>
            </w:r>
            <w:r>
              <w:t>.</w:t>
            </w:r>
          </w:p>
        </w:tc>
        <w:tc>
          <w:tcPr>
            <w:tcW w:w="779" w:type="pct"/>
          </w:tcPr>
          <w:p w:rsidR="00A810B4" w:rsidRDefault="00A810B4" w:rsidP="003A39BC">
            <w:pPr>
              <w:pStyle w:val="02Tabletext"/>
              <w:keepNext w:val="0"/>
            </w:pPr>
            <w:r>
              <w:t>0</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6</w:t>
            </w:r>
          </w:p>
        </w:tc>
        <w:tc>
          <w:tcPr>
            <w:tcW w:w="3989" w:type="pct"/>
          </w:tcPr>
          <w:p w:rsidR="00A810B4" w:rsidRDefault="00A810B4" w:rsidP="003A39BC">
            <w:pPr>
              <w:pStyle w:val="02Tabletext"/>
              <w:keepNext w:val="0"/>
            </w:pPr>
            <w:r w:rsidRPr="004C35DD">
              <w:t>webster pak.m</w:t>
            </w:r>
            <w:r>
              <w:t>p.</w:t>
            </w:r>
          </w:p>
        </w:tc>
        <w:tc>
          <w:tcPr>
            <w:tcW w:w="779" w:type="pct"/>
          </w:tcPr>
          <w:p w:rsidR="00A810B4" w:rsidRDefault="004E50D1" w:rsidP="003A39BC">
            <w:pPr>
              <w:pStyle w:val="02Tabletext"/>
              <w:keepNext w:val="0"/>
            </w:pPr>
            <w:r>
              <w:t>3</w:t>
            </w:r>
          </w:p>
        </w:tc>
      </w:tr>
      <w:tr w:rsidR="00A810B4" w:rsidTr="00E6729C">
        <w:tc>
          <w:tcPr>
            <w:tcW w:w="232" w:type="pct"/>
          </w:tcPr>
          <w:p w:rsidR="00A810B4" w:rsidRDefault="00A810B4" w:rsidP="003A39BC">
            <w:pPr>
              <w:pStyle w:val="02Tabletext"/>
              <w:keepNext w:val="0"/>
            </w:pPr>
            <w:r>
              <w:t>7</w:t>
            </w:r>
          </w:p>
        </w:tc>
        <w:tc>
          <w:tcPr>
            <w:tcW w:w="3989" w:type="pct"/>
          </w:tcPr>
          <w:p w:rsidR="00A810B4" w:rsidRDefault="00A810B4" w:rsidP="003A39BC">
            <w:pPr>
              <w:pStyle w:val="02Tabletext"/>
              <w:keepNext w:val="0"/>
            </w:pPr>
            <w:r w:rsidRPr="004C35DD">
              <w:t>webstercare.mp.</w:t>
            </w:r>
          </w:p>
        </w:tc>
        <w:tc>
          <w:tcPr>
            <w:tcW w:w="779" w:type="pct"/>
          </w:tcPr>
          <w:p w:rsidR="00A810B4" w:rsidRDefault="00A810B4" w:rsidP="003A39BC">
            <w:pPr>
              <w:pStyle w:val="02Tabletext"/>
              <w:keepNext w:val="0"/>
            </w:pPr>
            <w:r>
              <w:t>0</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lastRenderedPageBreak/>
              <w:t>8</w:t>
            </w:r>
          </w:p>
        </w:tc>
        <w:tc>
          <w:tcPr>
            <w:tcW w:w="3989" w:type="pct"/>
          </w:tcPr>
          <w:p w:rsidR="00A810B4" w:rsidRDefault="00A810B4" w:rsidP="003A39BC">
            <w:pPr>
              <w:pStyle w:val="02Tabletext"/>
              <w:keepNext w:val="0"/>
            </w:pPr>
            <w:r w:rsidRPr="004C35DD">
              <w:t>unit dose pack.mp</w:t>
            </w:r>
            <w:r>
              <w:t>.</w:t>
            </w:r>
          </w:p>
        </w:tc>
        <w:tc>
          <w:tcPr>
            <w:tcW w:w="779" w:type="pct"/>
          </w:tcPr>
          <w:p w:rsidR="00A810B4" w:rsidRDefault="001E13CD" w:rsidP="003A39BC">
            <w:pPr>
              <w:pStyle w:val="02Tabletext"/>
              <w:keepNext w:val="0"/>
            </w:pPr>
            <w:r>
              <w:t>43</w:t>
            </w:r>
          </w:p>
        </w:tc>
      </w:tr>
      <w:tr w:rsidR="00A810B4" w:rsidTr="00E6729C">
        <w:tc>
          <w:tcPr>
            <w:tcW w:w="232" w:type="pct"/>
          </w:tcPr>
          <w:p w:rsidR="00A810B4" w:rsidRDefault="00A810B4" w:rsidP="003A39BC">
            <w:pPr>
              <w:pStyle w:val="02Tabletext"/>
              <w:keepNext w:val="0"/>
            </w:pPr>
            <w:r>
              <w:t>9</w:t>
            </w:r>
          </w:p>
        </w:tc>
        <w:tc>
          <w:tcPr>
            <w:tcW w:w="3989" w:type="pct"/>
          </w:tcPr>
          <w:p w:rsidR="00A810B4" w:rsidRDefault="00A810B4" w:rsidP="003A39BC">
            <w:pPr>
              <w:pStyle w:val="02Tabletext"/>
              <w:keepNext w:val="0"/>
            </w:pPr>
            <w:r>
              <w:t>m</w:t>
            </w:r>
            <w:r w:rsidRPr="004C35DD">
              <w:t>ulti</w:t>
            </w:r>
            <w:r>
              <w:t xml:space="preserve"> </w:t>
            </w:r>
            <w:r w:rsidRPr="004C35DD">
              <w:t>dose pack.mp.</w:t>
            </w:r>
          </w:p>
        </w:tc>
        <w:tc>
          <w:tcPr>
            <w:tcW w:w="779" w:type="pct"/>
          </w:tcPr>
          <w:p w:rsidR="00A810B4" w:rsidRDefault="00A810B4" w:rsidP="003A39BC">
            <w:pPr>
              <w:pStyle w:val="02Tabletext"/>
              <w:keepNext w:val="0"/>
            </w:pPr>
            <w:r>
              <w:t>0</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10</w:t>
            </w:r>
          </w:p>
        </w:tc>
        <w:tc>
          <w:tcPr>
            <w:tcW w:w="3989" w:type="pct"/>
          </w:tcPr>
          <w:p w:rsidR="00A810B4" w:rsidRDefault="00A810B4" w:rsidP="003A39BC">
            <w:pPr>
              <w:pStyle w:val="02Tabletext"/>
              <w:keepNext w:val="0"/>
            </w:pPr>
            <w:r w:rsidRPr="004C35DD">
              <w:t>PacMED.mp.</w:t>
            </w:r>
          </w:p>
        </w:tc>
        <w:tc>
          <w:tcPr>
            <w:tcW w:w="779" w:type="pct"/>
          </w:tcPr>
          <w:p w:rsidR="00A810B4" w:rsidRDefault="004E50D1" w:rsidP="003A39BC">
            <w:pPr>
              <w:pStyle w:val="02Tabletext"/>
              <w:keepNext w:val="0"/>
            </w:pPr>
            <w:r>
              <w:t>0</w:t>
            </w:r>
          </w:p>
        </w:tc>
      </w:tr>
      <w:tr w:rsidR="00A810B4" w:rsidTr="00E6729C">
        <w:tc>
          <w:tcPr>
            <w:tcW w:w="232" w:type="pct"/>
          </w:tcPr>
          <w:p w:rsidR="00A810B4" w:rsidRDefault="00A810B4" w:rsidP="003A39BC">
            <w:pPr>
              <w:pStyle w:val="02Tabletext"/>
              <w:keepNext w:val="0"/>
            </w:pPr>
            <w:r>
              <w:t>11</w:t>
            </w:r>
          </w:p>
        </w:tc>
        <w:tc>
          <w:tcPr>
            <w:tcW w:w="3989" w:type="pct"/>
          </w:tcPr>
          <w:p w:rsidR="00A810B4" w:rsidRDefault="00A810B4" w:rsidP="003A39BC">
            <w:pPr>
              <w:pStyle w:val="02Tabletext"/>
              <w:keepNext w:val="0"/>
            </w:pPr>
            <w:r w:rsidRPr="004C35DD">
              <w:t>Meditech.mp.</w:t>
            </w:r>
          </w:p>
        </w:tc>
        <w:tc>
          <w:tcPr>
            <w:tcW w:w="779" w:type="pct"/>
          </w:tcPr>
          <w:p w:rsidR="00A810B4" w:rsidRDefault="004E50D1" w:rsidP="003A39BC">
            <w:pPr>
              <w:pStyle w:val="02Tabletext"/>
              <w:keepNext w:val="0"/>
            </w:pPr>
            <w:r>
              <w:t>17</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12</w:t>
            </w:r>
          </w:p>
        </w:tc>
        <w:tc>
          <w:tcPr>
            <w:tcW w:w="3989" w:type="pct"/>
          </w:tcPr>
          <w:p w:rsidR="00A810B4" w:rsidRDefault="00A810B4" w:rsidP="003A39BC">
            <w:pPr>
              <w:pStyle w:val="02Tabletext"/>
              <w:keepNext w:val="0"/>
            </w:pPr>
            <w:r w:rsidRPr="004C35DD">
              <w:t>medico pack.mp.</w:t>
            </w:r>
          </w:p>
        </w:tc>
        <w:tc>
          <w:tcPr>
            <w:tcW w:w="779" w:type="pct"/>
          </w:tcPr>
          <w:p w:rsidR="00A810B4" w:rsidRDefault="00A810B4" w:rsidP="003A39BC">
            <w:pPr>
              <w:pStyle w:val="02Tabletext"/>
              <w:keepNext w:val="0"/>
            </w:pPr>
            <w:r>
              <w:t>0</w:t>
            </w:r>
          </w:p>
        </w:tc>
      </w:tr>
      <w:tr w:rsidR="00A810B4" w:rsidTr="00E6729C">
        <w:tc>
          <w:tcPr>
            <w:tcW w:w="232" w:type="pct"/>
          </w:tcPr>
          <w:p w:rsidR="00A810B4" w:rsidRDefault="00A810B4" w:rsidP="003A39BC">
            <w:pPr>
              <w:pStyle w:val="02Tabletext"/>
              <w:keepNext w:val="0"/>
            </w:pPr>
            <w:r>
              <w:t>13</w:t>
            </w:r>
          </w:p>
        </w:tc>
        <w:tc>
          <w:tcPr>
            <w:tcW w:w="3989" w:type="pct"/>
          </w:tcPr>
          <w:p w:rsidR="00A810B4" w:rsidRDefault="00A810B4" w:rsidP="003A39BC">
            <w:pPr>
              <w:pStyle w:val="02Tabletext"/>
              <w:keepNext w:val="0"/>
            </w:pPr>
            <w:r>
              <w:t>Medi</w:t>
            </w:r>
            <w:r w:rsidRPr="004C35DD">
              <w:t>wheel.mp.</w:t>
            </w:r>
            <w:r>
              <w:t xml:space="preserve"> or Medi-wheel.mp.</w:t>
            </w:r>
          </w:p>
        </w:tc>
        <w:tc>
          <w:tcPr>
            <w:tcW w:w="779" w:type="pct"/>
          </w:tcPr>
          <w:p w:rsidR="00A810B4" w:rsidRDefault="00A810B4" w:rsidP="003A39BC">
            <w:pPr>
              <w:pStyle w:val="02Tabletext"/>
              <w:keepNext w:val="0"/>
            </w:pPr>
            <w:r>
              <w:t>0</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14</w:t>
            </w:r>
          </w:p>
        </w:tc>
        <w:tc>
          <w:tcPr>
            <w:tcW w:w="3989" w:type="pct"/>
          </w:tcPr>
          <w:p w:rsidR="00A810B4" w:rsidRDefault="00A810B4" w:rsidP="003A39BC">
            <w:pPr>
              <w:pStyle w:val="02Tabletext"/>
              <w:keepNext w:val="0"/>
            </w:pPr>
            <w:r>
              <w:t>Medi</w:t>
            </w:r>
            <w:r w:rsidRPr="004C35DD">
              <w:t>chest.mp.</w:t>
            </w:r>
          </w:p>
        </w:tc>
        <w:tc>
          <w:tcPr>
            <w:tcW w:w="779" w:type="pct"/>
          </w:tcPr>
          <w:p w:rsidR="00A810B4" w:rsidRDefault="00A810B4" w:rsidP="003A39BC">
            <w:pPr>
              <w:pStyle w:val="02Tabletext"/>
              <w:keepNext w:val="0"/>
            </w:pPr>
            <w:r>
              <w:t>0</w:t>
            </w:r>
          </w:p>
        </w:tc>
      </w:tr>
      <w:tr w:rsidR="00A810B4" w:rsidTr="00E6729C">
        <w:tc>
          <w:tcPr>
            <w:tcW w:w="232" w:type="pct"/>
          </w:tcPr>
          <w:p w:rsidR="00A810B4" w:rsidRDefault="00A810B4" w:rsidP="003A39BC">
            <w:pPr>
              <w:pStyle w:val="02Tabletext"/>
              <w:keepNext w:val="0"/>
            </w:pPr>
            <w:r>
              <w:t>15</w:t>
            </w:r>
          </w:p>
        </w:tc>
        <w:tc>
          <w:tcPr>
            <w:tcW w:w="3989" w:type="pct"/>
          </w:tcPr>
          <w:p w:rsidR="00A810B4" w:rsidRDefault="00A810B4" w:rsidP="003A39BC">
            <w:pPr>
              <w:pStyle w:val="02Tabletext"/>
              <w:keepNext w:val="0"/>
            </w:pPr>
            <w:r w:rsidRPr="004C35DD">
              <w:t>automated packing.mp</w:t>
            </w:r>
          </w:p>
        </w:tc>
        <w:tc>
          <w:tcPr>
            <w:tcW w:w="779" w:type="pct"/>
          </w:tcPr>
          <w:p w:rsidR="00A810B4" w:rsidRDefault="004E50D1" w:rsidP="003A39BC">
            <w:pPr>
              <w:pStyle w:val="02Tabletext"/>
              <w:keepNext w:val="0"/>
            </w:pPr>
            <w:r>
              <w:t>0</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16</w:t>
            </w:r>
          </w:p>
        </w:tc>
        <w:tc>
          <w:tcPr>
            <w:tcW w:w="3989" w:type="pct"/>
          </w:tcPr>
          <w:p w:rsidR="00A810B4" w:rsidRDefault="00A810B4" w:rsidP="003A39BC">
            <w:pPr>
              <w:pStyle w:val="02Tabletext"/>
              <w:keepNext w:val="0"/>
            </w:pPr>
            <w:r w:rsidRPr="001272D4">
              <w:t>drug administration management.mp.</w:t>
            </w:r>
          </w:p>
        </w:tc>
        <w:tc>
          <w:tcPr>
            <w:tcW w:w="779" w:type="pct"/>
          </w:tcPr>
          <w:p w:rsidR="00A810B4" w:rsidRDefault="004E50D1" w:rsidP="003A39BC">
            <w:pPr>
              <w:pStyle w:val="02Tabletext"/>
              <w:keepNext w:val="0"/>
            </w:pPr>
            <w:r>
              <w:t>0</w:t>
            </w:r>
          </w:p>
        </w:tc>
      </w:tr>
      <w:tr w:rsidR="00A810B4" w:rsidTr="00E6729C">
        <w:tc>
          <w:tcPr>
            <w:tcW w:w="232" w:type="pct"/>
          </w:tcPr>
          <w:p w:rsidR="00A810B4" w:rsidRDefault="00A810B4" w:rsidP="003A39BC">
            <w:pPr>
              <w:pStyle w:val="02Tabletext"/>
              <w:keepNext w:val="0"/>
            </w:pPr>
            <w:r>
              <w:t>17</w:t>
            </w:r>
          </w:p>
        </w:tc>
        <w:tc>
          <w:tcPr>
            <w:tcW w:w="3989" w:type="pct"/>
          </w:tcPr>
          <w:p w:rsidR="00A810B4" w:rsidRDefault="00A810B4" w:rsidP="003A39BC">
            <w:pPr>
              <w:pStyle w:val="02Tabletext"/>
              <w:keepNext w:val="0"/>
            </w:pPr>
            <w:r w:rsidRPr="001272D4">
              <w:t>medication pack.mp</w:t>
            </w:r>
          </w:p>
        </w:tc>
        <w:tc>
          <w:tcPr>
            <w:tcW w:w="779" w:type="pct"/>
          </w:tcPr>
          <w:p w:rsidR="00A810B4" w:rsidRDefault="004E50D1" w:rsidP="003A39BC">
            <w:pPr>
              <w:pStyle w:val="02Tabletext"/>
              <w:keepNext w:val="0"/>
            </w:pPr>
            <w:r>
              <w:t>1</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18</w:t>
            </w:r>
          </w:p>
        </w:tc>
        <w:tc>
          <w:tcPr>
            <w:tcW w:w="3989" w:type="pct"/>
          </w:tcPr>
          <w:p w:rsidR="00A810B4" w:rsidRDefault="00A810B4" w:rsidP="003A39BC">
            <w:pPr>
              <w:pStyle w:val="02Tabletext"/>
              <w:keepNext w:val="0"/>
            </w:pPr>
            <w:r w:rsidRPr="001272D4">
              <w:t>venalink.mp</w:t>
            </w:r>
          </w:p>
        </w:tc>
        <w:tc>
          <w:tcPr>
            <w:tcW w:w="779" w:type="pct"/>
          </w:tcPr>
          <w:p w:rsidR="00A810B4" w:rsidRDefault="004E50D1" w:rsidP="003A39BC">
            <w:pPr>
              <w:pStyle w:val="02Tabletext"/>
              <w:keepNext w:val="0"/>
            </w:pPr>
            <w:r>
              <w:t>1</w:t>
            </w:r>
          </w:p>
        </w:tc>
      </w:tr>
      <w:tr w:rsidR="00A810B4" w:rsidTr="00E6729C">
        <w:tc>
          <w:tcPr>
            <w:tcW w:w="232" w:type="pct"/>
          </w:tcPr>
          <w:p w:rsidR="00A810B4" w:rsidRDefault="00A810B4" w:rsidP="003A39BC">
            <w:pPr>
              <w:pStyle w:val="02Tabletext"/>
              <w:keepNext w:val="0"/>
            </w:pPr>
            <w:r>
              <w:t>19</w:t>
            </w:r>
          </w:p>
        </w:tc>
        <w:tc>
          <w:tcPr>
            <w:tcW w:w="3989" w:type="pct"/>
          </w:tcPr>
          <w:p w:rsidR="00A810B4" w:rsidRDefault="00A810B4" w:rsidP="003A39BC">
            <w:pPr>
              <w:pStyle w:val="02Tabletext"/>
              <w:keepNext w:val="0"/>
            </w:pPr>
            <w:r w:rsidRPr="001272D4">
              <w:t>blister pack.mp. or exp blister pack/</w:t>
            </w:r>
          </w:p>
        </w:tc>
        <w:tc>
          <w:tcPr>
            <w:tcW w:w="779" w:type="pct"/>
          </w:tcPr>
          <w:p w:rsidR="00A810B4" w:rsidRDefault="004E50D1" w:rsidP="003A39BC">
            <w:pPr>
              <w:pStyle w:val="02Tabletext"/>
              <w:keepNext w:val="0"/>
            </w:pPr>
            <w:r>
              <w:t>27</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20</w:t>
            </w:r>
          </w:p>
        </w:tc>
        <w:tc>
          <w:tcPr>
            <w:tcW w:w="3989" w:type="pct"/>
          </w:tcPr>
          <w:p w:rsidR="00A810B4" w:rsidRDefault="00A810B4" w:rsidP="003A39BC">
            <w:pPr>
              <w:pStyle w:val="02Tabletext"/>
              <w:keepNext w:val="0"/>
            </w:pPr>
            <w:r w:rsidRPr="001272D4">
              <w:t>(blister adj2 (pack* or pak*)).mp.</w:t>
            </w:r>
          </w:p>
        </w:tc>
        <w:tc>
          <w:tcPr>
            <w:tcW w:w="779" w:type="pct"/>
          </w:tcPr>
          <w:p w:rsidR="00A810B4" w:rsidRDefault="004E50D1" w:rsidP="003A39BC">
            <w:pPr>
              <w:pStyle w:val="02Tabletext"/>
              <w:keepNext w:val="0"/>
            </w:pPr>
            <w:r>
              <w:t>176</w:t>
            </w:r>
          </w:p>
        </w:tc>
      </w:tr>
      <w:tr w:rsidR="00A810B4" w:rsidTr="00E6729C">
        <w:tc>
          <w:tcPr>
            <w:tcW w:w="232" w:type="pct"/>
          </w:tcPr>
          <w:p w:rsidR="00A810B4" w:rsidRDefault="00A810B4" w:rsidP="003A39BC">
            <w:pPr>
              <w:pStyle w:val="02Tabletext"/>
              <w:keepNext w:val="0"/>
            </w:pPr>
            <w:r>
              <w:t>21</w:t>
            </w:r>
          </w:p>
        </w:tc>
        <w:tc>
          <w:tcPr>
            <w:tcW w:w="3989" w:type="pct"/>
          </w:tcPr>
          <w:p w:rsidR="00A810B4" w:rsidRDefault="00A810B4" w:rsidP="003A39BC">
            <w:pPr>
              <w:pStyle w:val="02Tabletext"/>
              <w:keepNext w:val="0"/>
            </w:pPr>
            <w:r w:rsidRPr="001272D4">
              <w:t>(calendar adj2 (pack* or pak*)).mp.</w:t>
            </w:r>
          </w:p>
        </w:tc>
        <w:tc>
          <w:tcPr>
            <w:tcW w:w="779" w:type="pct"/>
          </w:tcPr>
          <w:p w:rsidR="00A810B4" w:rsidRDefault="004E50D1" w:rsidP="003A39BC">
            <w:pPr>
              <w:pStyle w:val="02Tabletext"/>
              <w:keepNext w:val="0"/>
            </w:pPr>
            <w:r>
              <w:t>11</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22</w:t>
            </w:r>
          </w:p>
        </w:tc>
        <w:tc>
          <w:tcPr>
            <w:tcW w:w="3989" w:type="pct"/>
          </w:tcPr>
          <w:p w:rsidR="00A810B4" w:rsidRDefault="00A810B4" w:rsidP="003A39BC">
            <w:pPr>
              <w:pStyle w:val="02Tabletext"/>
              <w:keepNext w:val="0"/>
            </w:pPr>
            <w:r w:rsidRPr="001272D4">
              <w:t>(c-pak or c-pack or c-cap*).mp.</w:t>
            </w:r>
          </w:p>
        </w:tc>
        <w:tc>
          <w:tcPr>
            <w:tcW w:w="779" w:type="pct"/>
          </w:tcPr>
          <w:p w:rsidR="00A810B4" w:rsidRDefault="004E50D1" w:rsidP="003A39BC">
            <w:pPr>
              <w:pStyle w:val="02Tabletext"/>
              <w:keepNext w:val="0"/>
            </w:pPr>
            <w:r>
              <w:t>17</w:t>
            </w:r>
          </w:p>
        </w:tc>
      </w:tr>
      <w:tr w:rsidR="00A810B4" w:rsidTr="00E6729C">
        <w:tc>
          <w:tcPr>
            <w:tcW w:w="232" w:type="pct"/>
          </w:tcPr>
          <w:p w:rsidR="00A810B4" w:rsidRDefault="00A810B4" w:rsidP="003A39BC">
            <w:pPr>
              <w:pStyle w:val="02Tabletext"/>
              <w:keepNext w:val="0"/>
            </w:pPr>
            <w:r>
              <w:t>23</w:t>
            </w:r>
          </w:p>
        </w:tc>
        <w:tc>
          <w:tcPr>
            <w:tcW w:w="3989" w:type="pct"/>
          </w:tcPr>
          <w:p w:rsidR="00A810B4" w:rsidRDefault="00A810B4" w:rsidP="003A39BC">
            <w:pPr>
              <w:pStyle w:val="02Tabletext"/>
              <w:keepNext w:val="0"/>
            </w:pPr>
            <w:r w:rsidRPr="001272D4">
              <w:t>(bubble adj2 (pack* or pak*)).mp</w:t>
            </w:r>
          </w:p>
        </w:tc>
        <w:tc>
          <w:tcPr>
            <w:tcW w:w="779" w:type="pct"/>
          </w:tcPr>
          <w:p w:rsidR="00A810B4" w:rsidRDefault="004E50D1" w:rsidP="003A39BC">
            <w:pPr>
              <w:pStyle w:val="02Tabletext"/>
              <w:keepNext w:val="0"/>
            </w:pPr>
            <w:r>
              <w:t>4</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24</w:t>
            </w:r>
          </w:p>
        </w:tc>
        <w:tc>
          <w:tcPr>
            <w:tcW w:w="3989" w:type="pct"/>
          </w:tcPr>
          <w:p w:rsidR="00A810B4" w:rsidRDefault="00A810B4" w:rsidP="003A39BC">
            <w:pPr>
              <w:pStyle w:val="02Tabletext"/>
              <w:keepNext w:val="0"/>
            </w:pPr>
            <w:r w:rsidRPr="001272D4">
              <w:t>((pil* or medication*) adj2 (pack* or organi?er* or delivery system* or container* or box* or dispenser* or device*)).mp.</w:t>
            </w:r>
            <w:r>
              <w:t>.</w:t>
            </w:r>
          </w:p>
        </w:tc>
        <w:tc>
          <w:tcPr>
            <w:tcW w:w="779" w:type="pct"/>
          </w:tcPr>
          <w:p w:rsidR="00A810B4" w:rsidRDefault="004E50D1" w:rsidP="003A39BC">
            <w:pPr>
              <w:pStyle w:val="02Tabletext"/>
              <w:keepNext w:val="0"/>
            </w:pPr>
            <w:r>
              <w:t>407</w:t>
            </w:r>
          </w:p>
        </w:tc>
      </w:tr>
      <w:tr w:rsidR="00A810B4" w:rsidTr="00E6729C">
        <w:tc>
          <w:tcPr>
            <w:tcW w:w="232" w:type="pct"/>
          </w:tcPr>
          <w:p w:rsidR="00A810B4" w:rsidRDefault="00A810B4" w:rsidP="003A39BC">
            <w:pPr>
              <w:pStyle w:val="02Tabletext"/>
              <w:keepNext w:val="0"/>
            </w:pPr>
            <w:r>
              <w:t>25</w:t>
            </w:r>
          </w:p>
        </w:tc>
        <w:tc>
          <w:tcPr>
            <w:tcW w:w="3989" w:type="pct"/>
          </w:tcPr>
          <w:p w:rsidR="00A810B4" w:rsidRDefault="00A810B4" w:rsidP="003A39BC">
            <w:pPr>
              <w:pStyle w:val="02Tabletext"/>
              <w:keepNext w:val="0"/>
            </w:pPr>
            <w:r w:rsidRPr="001272D4">
              <w:t>((multicompartment or multi-compartment) adj2 (pack* or organi?er* or delivery system* or container* or box* or dispenser* or device*)).mp</w:t>
            </w:r>
            <w:r>
              <w:t>.</w:t>
            </w:r>
          </w:p>
        </w:tc>
        <w:tc>
          <w:tcPr>
            <w:tcW w:w="779" w:type="pct"/>
          </w:tcPr>
          <w:p w:rsidR="00A810B4" w:rsidRDefault="004E50D1" w:rsidP="003A39BC">
            <w:pPr>
              <w:pStyle w:val="02Tabletext"/>
              <w:keepNext w:val="0"/>
            </w:pPr>
            <w:r>
              <w:t>1</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26</w:t>
            </w:r>
          </w:p>
        </w:tc>
        <w:tc>
          <w:tcPr>
            <w:tcW w:w="3989" w:type="pct"/>
          </w:tcPr>
          <w:p w:rsidR="00A810B4" w:rsidRDefault="00A810B4" w:rsidP="003A39BC">
            <w:pPr>
              <w:pStyle w:val="02Tabletext"/>
              <w:keepNext w:val="0"/>
            </w:pPr>
            <w:r w:rsidRPr="001272D4">
              <w:t>pillbox*.mp.</w:t>
            </w:r>
          </w:p>
        </w:tc>
        <w:tc>
          <w:tcPr>
            <w:tcW w:w="779" w:type="pct"/>
          </w:tcPr>
          <w:p w:rsidR="00A810B4" w:rsidRDefault="004E50D1" w:rsidP="003A39BC">
            <w:pPr>
              <w:pStyle w:val="02Tabletext"/>
              <w:keepNext w:val="0"/>
            </w:pPr>
            <w:r>
              <w:t>20</w:t>
            </w:r>
          </w:p>
        </w:tc>
      </w:tr>
      <w:tr w:rsidR="00A810B4" w:rsidTr="00E6729C">
        <w:tc>
          <w:tcPr>
            <w:tcW w:w="232" w:type="pct"/>
          </w:tcPr>
          <w:p w:rsidR="00A810B4" w:rsidRDefault="00A810B4" w:rsidP="003A39BC">
            <w:pPr>
              <w:pStyle w:val="02Tabletext"/>
              <w:keepNext w:val="0"/>
            </w:pPr>
            <w:r>
              <w:t>27</w:t>
            </w:r>
          </w:p>
        </w:tc>
        <w:tc>
          <w:tcPr>
            <w:tcW w:w="3989" w:type="pct"/>
          </w:tcPr>
          <w:p w:rsidR="00A810B4" w:rsidRDefault="00A810B4" w:rsidP="003A39BC">
            <w:pPr>
              <w:pStyle w:val="02Tabletext"/>
              <w:keepNext w:val="0"/>
            </w:pPr>
            <w:r>
              <w:t>doset*.mp.</w:t>
            </w:r>
          </w:p>
        </w:tc>
        <w:tc>
          <w:tcPr>
            <w:tcW w:w="779" w:type="pct"/>
          </w:tcPr>
          <w:p w:rsidR="00A810B4" w:rsidRDefault="004E50D1" w:rsidP="003A39BC">
            <w:pPr>
              <w:pStyle w:val="02Tabletext"/>
              <w:keepNext w:val="0"/>
            </w:pPr>
            <w:r>
              <w:t>13</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28</w:t>
            </w:r>
          </w:p>
        </w:tc>
        <w:tc>
          <w:tcPr>
            <w:tcW w:w="3989" w:type="pct"/>
          </w:tcPr>
          <w:p w:rsidR="00A810B4" w:rsidRDefault="00A810B4" w:rsidP="003A39BC">
            <w:pPr>
              <w:pStyle w:val="02Tabletext"/>
              <w:keepNext w:val="0"/>
            </w:pPr>
            <w:r w:rsidRPr="001272D4">
              <w:t>((prescription* or refill* or medication*) adj2 reminder*).mp.</w:t>
            </w:r>
          </w:p>
        </w:tc>
        <w:tc>
          <w:tcPr>
            <w:tcW w:w="779" w:type="pct"/>
          </w:tcPr>
          <w:p w:rsidR="00A810B4" w:rsidRDefault="004E50D1" w:rsidP="003A39BC">
            <w:pPr>
              <w:pStyle w:val="02Tabletext"/>
              <w:keepNext w:val="0"/>
            </w:pPr>
            <w:r>
              <w:t>51</w:t>
            </w:r>
          </w:p>
        </w:tc>
      </w:tr>
      <w:tr w:rsidR="00A810B4" w:rsidTr="00E6729C">
        <w:tc>
          <w:tcPr>
            <w:tcW w:w="232" w:type="pct"/>
          </w:tcPr>
          <w:p w:rsidR="00A810B4" w:rsidRDefault="00A810B4" w:rsidP="003A39BC">
            <w:pPr>
              <w:pStyle w:val="02Tabletext"/>
              <w:keepNext w:val="0"/>
            </w:pPr>
            <w:r>
              <w:t>29</w:t>
            </w:r>
          </w:p>
        </w:tc>
        <w:tc>
          <w:tcPr>
            <w:tcW w:w="3989" w:type="pct"/>
          </w:tcPr>
          <w:p w:rsidR="00A810B4" w:rsidRDefault="00A810B4" w:rsidP="003A39BC">
            <w:pPr>
              <w:pStyle w:val="02Tabletext"/>
              <w:keepNext w:val="0"/>
            </w:pPr>
            <w:r w:rsidRPr="001272D4">
              <w:t>((prescription* or medication* or drug* or compliance or adherence) adj2 refill*).mp.</w:t>
            </w:r>
          </w:p>
        </w:tc>
        <w:tc>
          <w:tcPr>
            <w:tcW w:w="779" w:type="pct"/>
          </w:tcPr>
          <w:p w:rsidR="00A810B4" w:rsidRDefault="004E50D1" w:rsidP="003A39BC">
            <w:pPr>
              <w:pStyle w:val="02Tabletext"/>
              <w:keepNext w:val="0"/>
            </w:pPr>
            <w:r>
              <w:t>593</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30</w:t>
            </w:r>
          </w:p>
        </w:tc>
        <w:tc>
          <w:tcPr>
            <w:tcW w:w="3989" w:type="pct"/>
          </w:tcPr>
          <w:p w:rsidR="00A810B4" w:rsidRDefault="00A810B4" w:rsidP="003A39BC">
            <w:pPr>
              <w:pStyle w:val="02Tabletext"/>
              <w:keepNext w:val="0"/>
            </w:pPr>
            <w:r w:rsidRPr="001272D4">
              <w:t>((adherence or compliance or persist* or accept* or reminder or prompt*) adj (device* or aid*)).mp.</w:t>
            </w:r>
          </w:p>
        </w:tc>
        <w:tc>
          <w:tcPr>
            <w:tcW w:w="779" w:type="pct"/>
          </w:tcPr>
          <w:p w:rsidR="00A810B4" w:rsidRDefault="001E13CD" w:rsidP="003A39BC">
            <w:pPr>
              <w:pStyle w:val="02Tabletext"/>
              <w:keepNext w:val="0"/>
            </w:pPr>
            <w:r>
              <w:t>93</w:t>
            </w:r>
          </w:p>
        </w:tc>
      </w:tr>
      <w:tr w:rsidR="00A810B4" w:rsidTr="00E6729C">
        <w:tc>
          <w:tcPr>
            <w:tcW w:w="232" w:type="pct"/>
          </w:tcPr>
          <w:p w:rsidR="00A810B4" w:rsidRDefault="00A810B4" w:rsidP="003A39BC">
            <w:pPr>
              <w:pStyle w:val="02Tabletext"/>
              <w:keepNext w:val="0"/>
            </w:pPr>
            <w:r>
              <w:t>31</w:t>
            </w:r>
          </w:p>
        </w:tc>
        <w:tc>
          <w:tcPr>
            <w:tcW w:w="3989" w:type="pct"/>
          </w:tcPr>
          <w:p w:rsidR="00A810B4" w:rsidRDefault="00A810B4" w:rsidP="003A39BC">
            <w:pPr>
              <w:pStyle w:val="02Tabletext"/>
              <w:keepNext w:val="0"/>
            </w:pPr>
            <w:r w:rsidRPr="001272D4">
              <w:t>mediset.mp</w:t>
            </w:r>
          </w:p>
        </w:tc>
        <w:tc>
          <w:tcPr>
            <w:tcW w:w="779" w:type="pct"/>
          </w:tcPr>
          <w:p w:rsidR="00A810B4" w:rsidRDefault="001E13CD" w:rsidP="003A39BC">
            <w:pPr>
              <w:pStyle w:val="02Tabletext"/>
              <w:keepNext w:val="0"/>
            </w:pPr>
            <w:r>
              <w:t>1</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32</w:t>
            </w:r>
          </w:p>
        </w:tc>
        <w:tc>
          <w:tcPr>
            <w:tcW w:w="3989" w:type="pct"/>
          </w:tcPr>
          <w:p w:rsidR="00A810B4" w:rsidRDefault="00A810B4" w:rsidP="003A39BC">
            <w:pPr>
              <w:pStyle w:val="02Tabletext"/>
              <w:keepNext w:val="0"/>
            </w:pPr>
            <w:r w:rsidRPr="001272D4">
              <w:t>medidos.mp.</w:t>
            </w:r>
          </w:p>
        </w:tc>
        <w:tc>
          <w:tcPr>
            <w:tcW w:w="779" w:type="pct"/>
          </w:tcPr>
          <w:p w:rsidR="00A810B4" w:rsidRDefault="001E13CD" w:rsidP="003A39BC">
            <w:pPr>
              <w:pStyle w:val="02Tabletext"/>
              <w:keepNext w:val="0"/>
            </w:pPr>
            <w:r>
              <w:t>2</w:t>
            </w:r>
          </w:p>
        </w:tc>
      </w:tr>
      <w:tr w:rsidR="00A810B4" w:rsidTr="00E6729C">
        <w:tc>
          <w:tcPr>
            <w:tcW w:w="232" w:type="pct"/>
          </w:tcPr>
          <w:p w:rsidR="00A810B4" w:rsidRDefault="00A810B4" w:rsidP="003A39BC">
            <w:pPr>
              <w:pStyle w:val="02Tabletext"/>
              <w:keepNext w:val="0"/>
            </w:pPr>
            <w:r>
              <w:t>33</w:t>
            </w:r>
          </w:p>
        </w:tc>
        <w:tc>
          <w:tcPr>
            <w:tcW w:w="3989" w:type="pct"/>
          </w:tcPr>
          <w:p w:rsidR="00A810B4" w:rsidRDefault="00A810B4" w:rsidP="003A39BC">
            <w:pPr>
              <w:pStyle w:val="02Tabletext"/>
              <w:keepNext w:val="0"/>
            </w:pPr>
            <w:r>
              <w:t>manrex.mp.</w:t>
            </w:r>
          </w:p>
        </w:tc>
        <w:tc>
          <w:tcPr>
            <w:tcW w:w="779" w:type="pct"/>
          </w:tcPr>
          <w:p w:rsidR="00A810B4" w:rsidRDefault="001E13CD" w:rsidP="003A39BC">
            <w:pPr>
              <w:pStyle w:val="02Tabletext"/>
              <w:keepNext w:val="0"/>
            </w:pPr>
            <w:r>
              <w:t>0</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34</w:t>
            </w:r>
          </w:p>
        </w:tc>
        <w:tc>
          <w:tcPr>
            <w:tcW w:w="3989" w:type="pct"/>
          </w:tcPr>
          <w:p w:rsidR="00A810B4" w:rsidRDefault="00A810B4" w:rsidP="003A39BC">
            <w:pPr>
              <w:pStyle w:val="02Tabletext"/>
              <w:keepNext w:val="0"/>
            </w:pPr>
            <w:r w:rsidRPr="001272D4">
              <w:t>pre-pack*.mp.</w:t>
            </w:r>
          </w:p>
        </w:tc>
        <w:tc>
          <w:tcPr>
            <w:tcW w:w="779" w:type="pct"/>
          </w:tcPr>
          <w:p w:rsidR="00A810B4" w:rsidRDefault="001E13CD" w:rsidP="003A39BC">
            <w:pPr>
              <w:pStyle w:val="02Tabletext"/>
              <w:keepNext w:val="0"/>
            </w:pPr>
            <w:r>
              <w:t>12</w:t>
            </w:r>
          </w:p>
        </w:tc>
      </w:tr>
      <w:tr w:rsidR="00A810B4" w:rsidTr="00E6729C">
        <w:tc>
          <w:tcPr>
            <w:tcW w:w="232" w:type="pct"/>
          </w:tcPr>
          <w:p w:rsidR="00A810B4" w:rsidRDefault="00A810B4" w:rsidP="003A39BC">
            <w:pPr>
              <w:pStyle w:val="02Tabletext"/>
              <w:keepNext w:val="0"/>
            </w:pPr>
            <w:r>
              <w:t>35</w:t>
            </w:r>
          </w:p>
        </w:tc>
        <w:tc>
          <w:tcPr>
            <w:tcW w:w="3989" w:type="pct"/>
          </w:tcPr>
          <w:p w:rsidR="00A810B4" w:rsidRDefault="00A810B4" w:rsidP="003A39BC">
            <w:pPr>
              <w:pStyle w:val="02Tabletext"/>
              <w:keepNext w:val="0"/>
            </w:pPr>
            <w:r w:rsidRPr="001272D4">
              <w:t>nomad*.mp.</w:t>
            </w:r>
          </w:p>
        </w:tc>
        <w:tc>
          <w:tcPr>
            <w:tcW w:w="779" w:type="pct"/>
          </w:tcPr>
          <w:p w:rsidR="00A810B4" w:rsidRDefault="001E13CD" w:rsidP="003A39BC">
            <w:pPr>
              <w:pStyle w:val="02Tabletext"/>
              <w:keepNext w:val="0"/>
            </w:pPr>
            <w:r>
              <w:t>9</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36</w:t>
            </w:r>
          </w:p>
        </w:tc>
        <w:tc>
          <w:tcPr>
            <w:tcW w:w="3989" w:type="pct"/>
          </w:tcPr>
          <w:p w:rsidR="00A810B4" w:rsidRPr="001272D4" w:rsidRDefault="00A810B4" w:rsidP="003A39BC">
            <w:pPr>
              <w:pStyle w:val="02Tabletext"/>
              <w:keepNext w:val="0"/>
            </w:pPr>
            <w:r w:rsidRPr="001F1646">
              <w:t xml:space="preserve">1 or 2 or 3 or 4 or 5 or 6 or 7 or 8 or 9 or 10 or 11 or 12 or 13 or 14 or 15 or 16 or 17 or 18 or 19 or 20 or 21 or 22 or 23 or 24 or 25 or 26 or 27 or 28 or 29 or 30 or 31 or </w:t>
            </w:r>
            <w:r>
              <w:t>32 or 33 or 34 or 35</w:t>
            </w:r>
          </w:p>
        </w:tc>
        <w:tc>
          <w:tcPr>
            <w:tcW w:w="779" w:type="pct"/>
          </w:tcPr>
          <w:p w:rsidR="00A810B4" w:rsidRDefault="001E13CD" w:rsidP="003A39BC">
            <w:pPr>
              <w:pStyle w:val="02Tabletext"/>
              <w:keepNext w:val="0"/>
            </w:pPr>
            <w:r>
              <w:t>3982</w:t>
            </w:r>
          </w:p>
        </w:tc>
      </w:tr>
      <w:tr w:rsidR="00A810B4" w:rsidTr="00E6729C">
        <w:tc>
          <w:tcPr>
            <w:tcW w:w="232" w:type="pct"/>
          </w:tcPr>
          <w:p w:rsidR="00A810B4" w:rsidRDefault="00A810B4" w:rsidP="003A39BC">
            <w:pPr>
              <w:pStyle w:val="02Tabletext"/>
              <w:keepNext w:val="0"/>
            </w:pPr>
            <w:r>
              <w:t>37</w:t>
            </w:r>
          </w:p>
        </w:tc>
        <w:tc>
          <w:tcPr>
            <w:tcW w:w="3989" w:type="pct"/>
          </w:tcPr>
          <w:p w:rsidR="00A810B4" w:rsidRDefault="00A810B4" w:rsidP="003A39BC">
            <w:pPr>
              <w:pStyle w:val="02Tabletext"/>
              <w:keepNext w:val="0"/>
            </w:pPr>
            <w:r w:rsidRPr="001272D4">
              <w:t>(complian* or noncomplian* or non-complian*).mp.</w:t>
            </w:r>
          </w:p>
        </w:tc>
        <w:tc>
          <w:tcPr>
            <w:tcW w:w="779" w:type="pct"/>
          </w:tcPr>
          <w:p w:rsidR="00A810B4" w:rsidRDefault="001E13CD" w:rsidP="003A39BC">
            <w:pPr>
              <w:pStyle w:val="02Tabletext"/>
              <w:keepNext w:val="0"/>
            </w:pPr>
            <w:r>
              <w:t>13047</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38</w:t>
            </w:r>
          </w:p>
        </w:tc>
        <w:tc>
          <w:tcPr>
            <w:tcW w:w="3989" w:type="pct"/>
          </w:tcPr>
          <w:p w:rsidR="00A810B4" w:rsidRPr="001272D4" w:rsidRDefault="00A810B4" w:rsidP="003A39BC">
            <w:pPr>
              <w:pStyle w:val="02Tabletext"/>
              <w:keepNext w:val="0"/>
            </w:pPr>
            <w:r w:rsidRPr="001272D4">
              <w:t>(adhere* o</w:t>
            </w:r>
            <w:r>
              <w:t>r nonadhere* or non-adhere*).mp.</w:t>
            </w:r>
          </w:p>
        </w:tc>
        <w:tc>
          <w:tcPr>
            <w:tcW w:w="779" w:type="pct"/>
          </w:tcPr>
          <w:p w:rsidR="00A810B4" w:rsidRDefault="001E13CD" w:rsidP="003A39BC">
            <w:pPr>
              <w:pStyle w:val="02Tabletext"/>
              <w:keepNext w:val="0"/>
            </w:pPr>
            <w:r>
              <w:t>5855</w:t>
            </w:r>
          </w:p>
        </w:tc>
      </w:tr>
      <w:tr w:rsidR="00A810B4" w:rsidTr="00E6729C">
        <w:tc>
          <w:tcPr>
            <w:tcW w:w="232" w:type="pct"/>
          </w:tcPr>
          <w:p w:rsidR="00A810B4" w:rsidRDefault="00A810B4" w:rsidP="003A39BC">
            <w:pPr>
              <w:pStyle w:val="02Tabletext"/>
              <w:keepNext w:val="0"/>
            </w:pPr>
            <w:r>
              <w:t>39</w:t>
            </w:r>
          </w:p>
        </w:tc>
        <w:tc>
          <w:tcPr>
            <w:tcW w:w="3989" w:type="pct"/>
          </w:tcPr>
          <w:p w:rsidR="00A810B4" w:rsidRPr="001272D4" w:rsidRDefault="00A810B4" w:rsidP="003A39BC">
            <w:pPr>
              <w:pStyle w:val="02Tabletext"/>
              <w:keepNext w:val="0"/>
            </w:pPr>
            <w:r>
              <w:t>persist*.mp.</w:t>
            </w:r>
          </w:p>
        </w:tc>
        <w:tc>
          <w:tcPr>
            <w:tcW w:w="779" w:type="pct"/>
          </w:tcPr>
          <w:p w:rsidR="00A810B4" w:rsidRDefault="001E13CD" w:rsidP="003A39BC">
            <w:pPr>
              <w:pStyle w:val="02Tabletext"/>
              <w:keepNext w:val="0"/>
            </w:pPr>
            <w:r>
              <w:t>6418</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40</w:t>
            </w:r>
          </w:p>
        </w:tc>
        <w:tc>
          <w:tcPr>
            <w:tcW w:w="3989" w:type="pct"/>
          </w:tcPr>
          <w:p w:rsidR="00A810B4" w:rsidRPr="001272D4" w:rsidRDefault="00A810B4" w:rsidP="003A39BC">
            <w:pPr>
              <w:pStyle w:val="02Tabletext"/>
              <w:keepNext w:val="0"/>
            </w:pPr>
            <w:r w:rsidRPr="001272D4">
              <w:t>accept*.mp</w:t>
            </w:r>
            <w:r>
              <w:t>.</w:t>
            </w:r>
          </w:p>
        </w:tc>
        <w:tc>
          <w:tcPr>
            <w:tcW w:w="779" w:type="pct"/>
          </w:tcPr>
          <w:p w:rsidR="00A810B4" w:rsidRDefault="001E13CD" w:rsidP="003A39BC">
            <w:pPr>
              <w:pStyle w:val="02Tabletext"/>
              <w:keepNext w:val="0"/>
            </w:pPr>
            <w:r>
              <w:t>10250</w:t>
            </w:r>
          </w:p>
        </w:tc>
      </w:tr>
      <w:tr w:rsidR="00A810B4" w:rsidTr="00E6729C">
        <w:tc>
          <w:tcPr>
            <w:tcW w:w="232" w:type="pct"/>
          </w:tcPr>
          <w:p w:rsidR="00A810B4" w:rsidRDefault="00A810B4" w:rsidP="003A39BC">
            <w:pPr>
              <w:pStyle w:val="02Tabletext"/>
              <w:keepNext w:val="0"/>
            </w:pPr>
            <w:r>
              <w:t>41</w:t>
            </w:r>
          </w:p>
        </w:tc>
        <w:tc>
          <w:tcPr>
            <w:tcW w:w="3989" w:type="pct"/>
          </w:tcPr>
          <w:p w:rsidR="00A810B4" w:rsidRPr="001272D4" w:rsidRDefault="00A810B4" w:rsidP="003A39BC">
            <w:pPr>
              <w:pStyle w:val="02Tabletext"/>
              <w:keepNext w:val="0"/>
            </w:pPr>
            <w:r>
              <w:t>concordance.mp.</w:t>
            </w:r>
          </w:p>
        </w:tc>
        <w:tc>
          <w:tcPr>
            <w:tcW w:w="779" w:type="pct"/>
          </w:tcPr>
          <w:p w:rsidR="00A810B4" w:rsidRDefault="001E13CD" w:rsidP="003A39BC">
            <w:pPr>
              <w:pStyle w:val="02Tabletext"/>
              <w:keepNext w:val="0"/>
            </w:pPr>
            <w:r>
              <w:t>361</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42</w:t>
            </w:r>
          </w:p>
        </w:tc>
        <w:tc>
          <w:tcPr>
            <w:tcW w:w="3989" w:type="pct"/>
          </w:tcPr>
          <w:p w:rsidR="00A810B4" w:rsidRDefault="00A810B4" w:rsidP="003A39BC">
            <w:pPr>
              <w:pStyle w:val="02Tabletext"/>
              <w:keepNext w:val="0"/>
            </w:pPr>
            <w:r>
              <w:t>37 or 38 or 39 or 40 or 41</w:t>
            </w:r>
          </w:p>
        </w:tc>
        <w:tc>
          <w:tcPr>
            <w:tcW w:w="779" w:type="pct"/>
          </w:tcPr>
          <w:p w:rsidR="00A810B4" w:rsidRPr="001272D4" w:rsidRDefault="001E13CD" w:rsidP="003A39BC">
            <w:pPr>
              <w:pStyle w:val="02Tabletext"/>
              <w:keepNext w:val="0"/>
            </w:pPr>
            <w:r>
              <w:t>31738</w:t>
            </w:r>
          </w:p>
        </w:tc>
      </w:tr>
      <w:tr w:rsidR="00A810B4" w:rsidTr="00E6729C">
        <w:tc>
          <w:tcPr>
            <w:tcW w:w="232" w:type="pct"/>
          </w:tcPr>
          <w:p w:rsidR="00A810B4" w:rsidRDefault="00A810B4" w:rsidP="003A39BC">
            <w:pPr>
              <w:pStyle w:val="02Tabletext"/>
              <w:keepNext w:val="0"/>
            </w:pPr>
            <w:r>
              <w:t>43</w:t>
            </w:r>
          </w:p>
        </w:tc>
        <w:tc>
          <w:tcPr>
            <w:tcW w:w="3989" w:type="pct"/>
          </w:tcPr>
          <w:p w:rsidR="00A810B4" w:rsidRDefault="00A810B4" w:rsidP="003A39BC">
            <w:pPr>
              <w:pStyle w:val="02Tabletext"/>
              <w:keepNext w:val="0"/>
            </w:pPr>
            <w:r>
              <w:t>pharmac*.mp.</w:t>
            </w:r>
          </w:p>
        </w:tc>
        <w:tc>
          <w:tcPr>
            <w:tcW w:w="779" w:type="pct"/>
          </w:tcPr>
          <w:p w:rsidR="00A810B4" w:rsidRPr="001272D4" w:rsidRDefault="001E13CD" w:rsidP="003A39BC">
            <w:pPr>
              <w:pStyle w:val="02Tabletext"/>
              <w:keepNext w:val="0"/>
            </w:pPr>
            <w:r>
              <w:t>195014</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44</w:t>
            </w:r>
          </w:p>
        </w:tc>
        <w:tc>
          <w:tcPr>
            <w:tcW w:w="3989" w:type="pct"/>
          </w:tcPr>
          <w:p w:rsidR="00A810B4" w:rsidRDefault="00A810B4" w:rsidP="003A39BC">
            <w:pPr>
              <w:pStyle w:val="02Tabletext"/>
              <w:keepNext w:val="0"/>
            </w:pPr>
            <w:r w:rsidRPr="001272D4">
              <w:t>community pharmac*.mp.</w:t>
            </w:r>
          </w:p>
        </w:tc>
        <w:tc>
          <w:tcPr>
            <w:tcW w:w="779" w:type="pct"/>
          </w:tcPr>
          <w:p w:rsidR="00A810B4" w:rsidRPr="001272D4" w:rsidRDefault="001E13CD" w:rsidP="003A39BC">
            <w:pPr>
              <w:pStyle w:val="02Tabletext"/>
              <w:keepNext w:val="0"/>
            </w:pPr>
            <w:r>
              <w:t>9583</w:t>
            </w:r>
          </w:p>
        </w:tc>
      </w:tr>
      <w:tr w:rsidR="00A810B4" w:rsidTr="00E6729C">
        <w:tc>
          <w:tcPr>
            <w:tcW w:w="232" w:type="pct"/>
          </w:tcPr>
          <w:p w:rsidR="00A810B4" w:rsidRDefault="00A810B4" w:rsidP="003A39BC">
            <w:pPr>
              <w:pStyle w:val="02Tabletext"/>
              <w:keepNext w:val="0"/>
            </w:pPr>
            <w:r>
              <w:t>45</w:t>
            </w:r>
          </w:p>
        </w:tc>
        <w:tc>
          <w:tcPr>
            <w:tcW w:w="3989" w:type="pct"/>
          </w:tcPr>
          <w:p w:rsidR="00A810B4" w:rsidRPr="001272D4" w:rsidRDefault="00A810B4" w:rsidP="003A39BC">
            <w:pPr>
              <w:pStyle w:val="02Tabletext"/>
              <w:keepNext w:val="0"/>
            </w:pPr>
            <w:r>
              <w:t>43 or 44</w:t>
            </w:r>
          </w:p>
        </w:tc>
        <w:tc>
          <w:tcPr>
            <w:tcW w:w="779" w:type="pct"/>
          </w:tcPr>
          <w:p w:rsidR="00A810B4" w:rsidRDefault="001E13CD" w:rsidP="003A39BC">
            <w:pPr>
              <w:pStyle w:val="02Tabletext"/>
              <w:keepNext w:val="0"/>
            </w:pPr>
            <w:r>
              <w:t>195014</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46</w:t>
            </w:r>
          </w:p>
        </w:tc>
        <w:tc>
          <w:tcPr>
            <w:tcW w:w="3989" w:type="pct"/>
          </w:tcPr>
          <w:p w:rsidR="00A810B4" w:rsidRPr="001272D4" w:rsidRDefault="00A810B4" w:rsidP="003A39BC">
            <w:pPr>
              <w:pStyle w:val="02Tabletext"/>
              <w:keepNext w:val="0"/>
            </w:pPr>
            <w:r>
              <w:t>36 and 42 and 45</w:t>
            </w:r>
            <w:r w:rsidRPr="00C827D3">
              <w:t xml:space="preserve"> </w:t>
            </w:r>
          </w:p>
        </w:tc>
        <w:tc>
          <w:tcPr>
            <w:tcW w:w="779" w:type="pct"/>
          </w:tcPr>
          <w:p w:rsidR="00A810B4" w:rsidRDefault="001E13CD" w:rsidP="003A39BC">
            <w:pPr>
              <w:pStyle w:val="02Tabletext"/>
              <w:keepNext w:val="0"/>
            </w:pPr>
            <w:r>
              <w:t>409</w:t>
            </w:r>
          </w:p>
        </w:tc>
      </w:tr>
      <w:tr w:rsidR="00A810B4" w:rsidTr="00E6729C">
        <w:tc>
          <w:tcPr>
            <w:tcW w:w="232" w:type="pct"/>
          </w:tcPr>
          <w:p w:rsidR="00A810B4" w:rsidRDefault="00A810B4" w:rsidP="003A39BC">
            <w:pPr>
              <w:pStyle w:val="02Tabletext"/>
              <w:keepNext w:val="0"/>
            </w:pPr>
            <w:r>
              <w:lastRenderedPageBreak/>
              <w:t>47</w:t>
            </w:r>
          </w:p>
        </w:tc>
        <w:tc>
          <w:tcPr>
            <w:tcW w:w="3989" w:type="pct"/>
          </w:tcPr>
          <w:p w:rsidR="00A810B4" w:rsidRPr="001272D4" w:rsidRDefault="00A810B4" w:rsidP="003A39BC">
            <w:pPr>
              <w:pStyle w:val="02Tabletext"/>
              <w:keepNext w:val="0"/>
            </w:pPr>
            <w:r w:rsidRPr="00C827D3">
              <w:t>li</w:t>
            </w:r>
            <w:r>
              <w:t>mit 46</w:t>
            </w:r>
            <w:r w:rsidRPr="00C827D3">
              <w:t xml:space="preserve"> to (hum</w:t>
            </w:r>
            <w:r>
              <w:t>an and english language)</w:t>
            </w:r>
          </w:p>
        </w:tc>
        <w:tc>
          <w:tcPr>
            <w:tcW w:w="779" w:type="pct"/>
          </w:tcPr>
          <w:p w:rsidR="00A810B4" w:rsidRDefault="001E13CD" w:rsidP="003A39BC">
            <w:pPr>
              <w:pStyle w:val="02Tabletext"/>
              <w:keepNext w:val="0"/>
            </w:pPr>
            <w:r>
              <w:t>191</w:t>
            </w:r>
          </w:p>
        </w:tc>
      </w:tr>
      <w:tr w:rsidR="00A810B4"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810B4" w:rsidRDefault="00A810B4" w:rsidP="003A39BC">
            <w:pPr>
              <w:pStyle w:val="02Tabletext"/>
              <w:keepNext w:val="0"/>
            </w:pPr>
            <w:r>
              <w:t>48</w:t>
            </w:r>
          </w:p>
        </w:tc>
        <w:tc>
          <w:tcPr>
            <w:tcW w:w="3989" w:type="pct"/>
          </w:tcPr>
          <w:p w:rsidR="00A810B4" w:rsidRPr="00C827D3" w:rsidRDefault="00A810B4" w:rsidP="003A39BC">
            <w:pPr>
              <w:pStyle w:val="02Tabletext"/>
              <w:keepNext w:val="0"/>
            </w:pPr>
            <w:r>
              <w:t>limit 47</w:t>
            </w:r>
            <w:r w:rsidRPr="00C827D3">
              <w:t xml:space="preserve"> to (</w:t>
            </w:r>
            <w:r w:rsidR="001E13CD" w:rsidRPr="001E13CD">
              <w:t>editorials or letters or notes</w:t>
            </w:r>
            <w:r>
              <w:t>)</w:t>
            </w:r>
          </w:p>
        </w:tc>
        <w:tc>
          <w:tcPr>
            <w:tcW w:w="779" w:type="pct"/>
          </w:tcPr>
          <w:p w:rsidR="00A810B4" w:rsidRDefault="001E13CD" w:rsidP="003A39BC">
            <w:pPr>
              <w:pStyle w:val="02Tabletext"/>
              <w:keepNext w:val="0"/>
            </w:pPr>
            <w:r>
              <w:t>1</w:t>
            </w:r>
          </w:p>
        </w:tc>
      </w:tr>
      <w:tr w:rsidR="00A810B4" w:rsidTr="00E6729C">
        <w:tc>
          <w:tcPr>
            <w:tcW w:w="232" w:type="pct"/>
          </w:tcPr>
          <w:p w:rsidR="00A810B4" w:rsidRDefault="00A810B4" w:rsidP="003A39BC">
            <w:pPr>
              <w:pStyle w:val="02Tabletext"/>
              <w:keepNext w:val="0"/>
            </w:pPr>
            <w:r>
              <w:t>49</w:t>
            </w:r>
          </w:p>
        </w:tc>
        <w:tc>
          <w:tcPr>
            <w:tcW w:w="3989" w:type="pct"/>
          </w:tcPr>
          <w:p w:rsidR="00A810B4" w:rsidRDefault="00A810B4" w:rsidP="003A39BC">
            <w:pPr>
              <w:pStyle w:val="02Tabletext"/>
              <w:keepNext w:val="0"/>
            </w:pPr>
            <w:r>
              <w:t>47 not 48</w:t>
            </w:r>
          </w:p>
        </w:tc>
        <w:tc>
          <w:tcPr>
            <w:tcW w:w="779" w:type="pct"/>
          </w:tcPr>
          <w:p w:rsidR="00A810B4" w:rsidRDefault="001E13CD" w:rsidP="003A39BC">
            <w:pPr>
              <w:pStyle w:val="02Tabletext"/>
              <w:keepNext w:val="0"/>
            </w:pPr>
            <w:r>
              <w:t>190</w:t>
            </w:r>
          </w:p>
        </w:tc>
      </w:tr>
    </w:tbl>
    <w:p w:rsidR="007151D9" w:rsidRDefault="001E13CD" w:rsidP="00103385">
      <w:pPr>
        <w:pStyle w:val="BodyText"/>
        <w:rPr>
          <w:sz w:val="16"/>
          <w:szCs w:val="16"/>
        </w:rPr>
      </w:pPr>
      <w:r>
        <w:rPr>
          <w:sz w:val="16"/>
          <w:szCs w:val="16"/>
        </w:rPr>
        <w:t>m</w:t>
      </w:r>
      <w:r w:rsidRPr="001E13CD">
        <w:rPr>
          <w:sz w:val="16"/>
          <w:szCs w:val="16"/>
        </w:rPr>
        <w:t>p</w:t>
      </w:r>
      <w:r>
        <w:rPr>
          <w:sz w:val="16"/>
          <w:szCs w:val="16"/>
        </w:rPr>
        <w:t xml:space="preserve"> </w:t>
      </w:r>
      <w:r w:rsidRPr="001E13CD">
        <w:rPr>
          <w:sz w:val="16"/>
          <w:szCs w:val="16"/>
        </w:rPr>
        <w:t>=</w:t>
      </w:r>
      <w:r>
        <w:rPr>
          <w:sz w:val="16"/>
          <w:szCs w:val="16"/>
        </w:rPr>
        <w:t xml:space="preserve"> </w:t>
      </w:r>
      <w:r w:rsidRPr="001E13CD">
        <w:rPr>
          <w:sz w:val="16"/>
          <w:szCs w:val="16"/>
        </w:rPr>
        <w:t>title, subject heading word, registry word, abstract, trade name/generic name</w:t>
      </w:r>
      <w:r>
        <w:rPr>
          <w:sz w:val="16"/>
          <w:szCs w:val="16"/>
        </w:rPr>
        <w:t>.</w:t>
      </w:r>
    </w:p>
    <w:p w:rsidR="00AE448A" w:rsidRDefault="00EC6FE6" w:rsidP="00AE448A">
      <w:pPr>
        <w:pStyle w:val="Caption"/>
      </w:pPr>
      <w:bookmarkStart w:id="149" w:name="_Ref522874290"/>
      <w:r>
        <w:t xml:space="preserve">Table A-3. </w:t>
      </w:r>
      <w:r w:rsidR="00964233">
        <w:rPr>
          <w:noProof/>
        </w:rPr>
        <w:fldChar w:fldCharType="begin"/>
      </w:r>
      <w:r w:rsidR="00964233">
        <w:rPr>
          <w:noProof/>
        </w:rPr>
        <w:instrText xml:space="preserve"> SEQ Table_A-3. \* ARABIC </w:instrText>
      </w:r>
      <w:r w:rsidR="00964233">
        <w:rPr>
          <w:noProof/>
        </w:rPr>
        <w:fldChar w:fldCharType="separate"/>
      </w:r>
      <w:r w:rsidR="00964233">
        <w:rPr>
          <w:noProof/>
        </w:rPr>
        <w:t>4</w:t>
      </w:r>
      <w:r w:rsidR="00964233">
        <w:rPr>
          <w:noProof/>
        </w:rPr>
        <w:fldChar w:fldCharType="end"/>
      </w:r>
      <w:bookmarkEnd w:id="149"/>
      <w:r w:rsidR="00AE448A">
        <w:tab/>
        <w:t>Cochrane Library search strategy</w:t>
      </w:r>
      <w:r w:rsidR="000D723A">
        <w:t xml:space="preserve"> (17</w:t>
      </w:r>
      <w:r w:rsidR="000D723A" w:rsidRPr="000D723A">
        <w:rPr>
          <w:vertAlign w:val="superscript"/>
        </w:rPr>
        <w:t>th</w:t>
      </w:r>
      <w:r w:rsidR="000D723A">
        <w:t xml:space="preserve"> August 2016</w:t>
      </w:r>
      <w:r w:rsidR="00836559">
        <w:t>)</w:t>
      </w:r>
    </w:p>
    <w:tbl>
      <w:tblPr>
        <w:tblStyle w:val="TableGrid"/>
        <w:tblW w:w="5000" w:type="pct"/>
        <w:tblLook w:val="04A0" w:firstRow="1" w:lastRow="0" w:firstColumn="1" w:lastColumn="0" w:noHBand="0" w:noVBand="1"/>
        <w:tblCaption w:val="Table A-3.4"/>
        <w:tblDescription w:val="Cochrane Library search strategy (17th August 2016)"/>
      </w:tblPr>
      <w:tblGrid>
        <w:gridCol w:w="447"/>
        <w:gridCol w:w="7681"/>
        <w:gridCol w:w="1500"/>
      </w:tblGrid>
      <w:tr w:rsidR="00AE448A" w:rsidRPr="00AE448A" w:rsidTr="00E6729C">
        <w:trPr>
          <w:cnfStyle w:val="100000000000" w:firstRow="1" w:lastRow="0" w:firstColumn="0" w:lastColumn="0" w:oddVBand="0" w:evenVBand="0" w:oddHBand="0" w:evenHBand="0" w:firstRowFirstColumn="0" w:firstRowLastColumn="0" w:lastRowFirstColumn="0" w:lastRowLastColumn="0"/>
        </w:trPr>
        <w:tc>
          <w:tcPr>
            <w:tcW w:w="232" w:type="pct"/>
          </w:tcPr>
          <w:p w:rsidR="00AE448A" w:rsidRPr="00D143B3" w:rsidRDefault="00AE448A" w:rsidP="00C00E78">
            <w:pPr>
              <w:pStyle w:val="01Tableheaderrow"/>
              <w:keepNext w:val="0"/>
            </w:pPr>
            <w:r w:rsidRPr="00D143B3">
              <w:t>#</w:t>
            </w:r>
          </w:p>
        </w:tc>
        <w:tc>
          <w:tcPr>
            <w:tcW w:w="3989" w:type="pct"/>
          </w:tcPr>
          <w:p w:rsidR="00AE448A" w:rsidRPr="00D143B3" w:rsidRDefault="00AE448A" w:rsidP="00C00E78">
            <w:pPr>
              <w:pStyle w:val="01Tableheaderrow"/>
              <w:keepNext w:val="0"/>
            </w:pPr>
            <w:r w:rsidRPr="00D143B3">
              <w:t>Search term</w:t>
            </w:r>
          </w:p>
        </w:tc>
        <w:tc>
          <w:tcPr>
            <w:tcW w:w="779" w:type="pct"/>
          </w:tcPr>
          <w:p w:rsidR="00AE448A" w:rsidRPr="00D143B3" w:rsidRDefault="00AE448A" w:rsidP="00C00E78">
            <w:pPr>
              <w:pStyle w:val="01Tableheaderrow"/>
              <w:keepNext w:val="0"/>
            </w:pPr>
            <w:r w:rsidRPr="00D143B3">
              <w:t>Number of citations</w:t>
            </w:r>
          </w:p>
        </w:tc>
      </w:tr>
      <w:tr w:rsidR="00AE448A" w:rsidRPr="00AE448A" w:rsidTr="00E6729C">
        <w:tc>
          <w:tcPr>
            <w:tcW w:w="232" w:type="pct"/>
          </w:tcPr>
          <w:p w:rsidR="00AE448A" w:rsidRPr="00D143B3" w:rsidRDefault="00AE448A" w:rsidP="00C00E78">
            <w:pPr>
              <w:pStyle w:val="02Tabletext"/>
              <w:keepNext w:val="0"/>
            </w:pPr>
            <w:r w:rsidRPr="00D143B3">
              <w:t>1</w:t>
            </w:r>
          </w:p>
        </w:tc>
        <w:tc>
          <w:tcPr>
            <w:tcW w:w="3989" w:type="pct"/>
          </w:tcPr>
          <w:p w:rsidR="00AE448A" w:rsidRPr="00D143B3" w:rsidRDefault="00AE448A" w:rsidP="00C00E78">
            <w:pPr>
              <w:pStyle w:val="02Tabletext"/>
              <w:keepNext w:val="0"/>
            </w:pPr>
            <w:r w:rsidRPr="00D143B3">
              <w:t>dose administration aid*.mp.</w:t>
            </w:r>
          </w:p>
        </w:tc>
        <w:tc>
          <w:tcPr>
            <w:tcW w:w="779" w:type="pct"/>
          </w:tcPr>
          <w:p w:rsidR="00AE448A" w:rsidRPr="00D143B3" w:rsidRDefault="00D35310" w:rsidP="00C00E78">
            <w:pPr>
              <w:pStyle w:val="02Tabletext"/>
              <w:keepNext w:val="0"/>
            </w:pPr>
            <w:r w:rsidRPr="00D143B3">
              <w:t>2675</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2</w:t>
            </w:r>
          </w:p>
        </w:tc>
        <w:tc>
          <w:tcPr>
            <w:tcW w:w="3989" w:type="pct"/>
          </w:tcPr>
          <w:p w:rsidR="00AE448A" w:rsidRPr="00D143B3" w:rsidRDefault="00AE448A" w:rsidP="00C00E78">
            <w:pPr>
              <w:pStyle w:val="02Tabletext"/>
              <w:keepNext w:val="0"/>
            </w:pPr>
            <w:r w:rsidRPr="00D143B3">
              <w:t>reminder system.mp.</w:t>
            </w:r>
          </w:p>
        </w:tc>
        <w:tc>
          <w:tcPr>
            <w:tcW w:w="779" w:type="pct"/>
          </w:tcPr>
          <w:p w:rsidR="00AE448A" w:rsidRPr="00D143B3" w:rsidRDefault="00D35310" w:rsidP="00C00E78">
            <w:pPr>
              <w:pStyle w:val="02Tabletext"/>
              <w:keepNext w:val="0"/>
            </w:pPr>
            <w:r w:rsidRPr="00D143B3">
              <w:t>723</w:t>
            </w:r>
          </w:p>
        </w:tc>
      </w:tr>
      <w:tr w:rsidR="00AE448A" w:rsidRPr="00AE448A" w:rsidTr="00E6729C">
        <w:tc>
          <w:tcPr>
            <w:tcW w:w="232" w:type="pct"/>
          </w:tcPr>
          <w:p w:rsidR="00AE448A" w:rsidRPr="00D143B3" w:rsidRDefault="00AE448A" w:rsidP="00C00E78">
            <w:pPr>
              <w:pStyle w:val="02Tabletext"/>
              <w:keepNext w:val="0"/>
            </w:pPr>
            <w:r w:rsidRPr="00D143B3">
              <w:t>3</w:t>
            </w:r>
          </w:p>
        </w:tc>
        <w:tc>
          <w:tcPr>
            <w:tcW w:w="3989" w:type="pct"/>
          </w:tcPr>
          <w:p w:rsidR="00AE448A" w:rsidRPr="00D143B3" w:rsidRDefault="00AE448A" w:rsidP="00C00E78">
            <w:pPr>
              <w:pStyle w:val="02Tabletext"/>
              <w:keepNext w:val="0"/>
            </w:pPr>
            <w:r w:rsidRPr="00D143B3">
              <w:t>drug packaging.mp.</w:t>
            </w:r>
          </w:p>
        </w:tc>
        <w:tc>
          <w:tcPr>
            <w:tcW w:w="779" w:type="pct"/>
          </w:tcPr>
          <w:p w:rsidR="00AE448A" w:rsidRPr="00D143B3" w:rsidRDefault="00D35310" w:rsidP="00C00E78">
            <w:pPr>
              <w:pStyle w:val="02Tabletext"/>
              <w:keepNext w:val="0"/>
            </w:pPr>
            <w:r w:rsidRPr="00D143B3">
              <w:t>489</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4</w:t>
            </w:r>
          </w:p>
        </w:tc>
        <w:tc>
          <w:tcPr>
            <w:tcW w:w="3989" w:type="pct"/>
          </w:tcPr>
          <w:p w:rsidR="00AE448A" w:rsidRPr="00D143B3" w:rsidRDefault="00AE448A" w:rsidP="00C00E78">
            <w:pPr>
              <w:pStyle w:val="02Tabletext"/>
              <w:keepNext w:val="0"/>
            </w:pPr>
            <w:r w:rsidRPr="00D143B3">
              <w:t>drug delivery system.mp.</w:t>
            </w:r>
          </w:p>
        </w:tc>
        <w:tc>
          <w:tcPr>
            <w:tcW w:w="779" w:type="pct"/>
          </w:tcPr>
          <w:p w:rsidR="00AE448A" w:rsidRPr="00D143B3" w:rsidRDefault="00D35310" w:rsidP="00C00E78">
            <w:pPr>
              <w:pStyle w:val="02Tabletext"/>
              <w:keepNext w:val="0"/>
            </w:pPr>
            <w:r w:rsidRPr="00D143B3">
              <w:t>4092</w:t>
            </w:r>
          </w:p>
        </w:tc>
      </w:tr>
      <w:tr w:rsidR="00AE448A" w:rsidRPr="00AE448A" w:rsidTr="00E6729C">
        <w:tc>
          <w:tcPr>
            <w:tcW w:w="232" w:type="pct"/>
          </w:tcPr>
          <w:p w:rsidR="00AE448A" w:rsidRPr="00D143B3" w:rsidRDefault="00AE448A" w:rsidP="00C00E78">
            <w:pPr>
              <w:pStyle w:val="02Tabletext"/>
              <w:keepNext w:val="0"/>
            </w:pPr>
            <w:r w:rsidRPr="00D143B3">
              <w:t>5</w:t>
            </w:r>
          </w:p>
        </w:tc>
        <w:tc>
          <w:tcPr>
            <w:tcW w:w="3989" w:type="pct"/>
          </w:tcPr>
          <w:p w:rsidR="00AE448A" w:rsidRPr="00D143B3" w:rsidRDefault="00AE448A" w:rsidP="00C00E78">
            <w:pPr>
              <w:pStyle w:val="02Tabletext"/>
              <w:keepNext w:val="0"/>
            </w:pPr>
            <w:r w:rsidRPr="00D143B3">
              <w:t>webster pack.mp.</w:t>
            </w:r>
          </w:p>
        </w:tc>
        <w:tc>
          <w:tcPr>
            <w:tcW w:w="779" w:type="pct"/>
          </w:tcPr>
          <w:p w:rsidR="00AE448A" w:rsidRPr="00D143B3" w:rsidRDefault="00D35310" w:rsidP="00C00E78">
            <w:pPr>
              <w:pStyle w:val="02Tabletext"/>
              <w:keepNext w:val="0"/>
            </w:pPr>
            <w:r w:rsidRPr="00D143B3">
              <w:t>32</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6</w:t>
            </w:r>
          </w:p>
        </w:tc>
        <w:tc>
          <w:tcPr>
            <w:tcW w:w="3989" w:type="pct"/>
          </w:tcPr>
          <w:p w:rsidR="00AE448A" w:rsidRPr="00D143B3" w:rsidRDefault="00AE448A" w:rsidP="00C00E78">
            <w:pPr>
              <w:pStyle w:val="02Tabletext"/>
              <w:keepNext w:val="0"/>
            </w:pPr>
            <w:r w:rsidRPr="00D143B3">
              <w:t>webster pak.mp.</w:t>
            </w:r>
          </w:p>
        </w:tc>
        <w:tc>
          <w:tcPr>
            <w:tcW w:w="779" w:type="pct"/>
          </w:tcPr>
          <w:p w:rsidR="00AE448A" w:rsidRPr="00D143B3" w:rsidRDefault="00D35310" w:rsidP="00C00E78">
            <w:pPr>
              <w:pStyle w:val="02Tabletext"/>
              <w:keepNext w:val="0"/>
            </w:pPr>
            <w:r w:rsidRPr="00D143B3">
              <w:t>7</w:t>
            </w:r>
          </w:p>
        </w:tc>
      </w:tr>
      <w:tr w:rsidR="00AE448A" w:rsidRPr="00AE448A" w:rsidTr="00E6729C">
        <w:tc>
          <w:tcPr>
            <w:tcW w:w="232" w:type="pct"/>
          </w:tcPr>
          <w:p w:rsidR="00AE448A" w:rsidRPr="00D143B3" w:rsidRDefault="00AE448A" w:rsidP="00C00E78">
            <w:pPr>
              <w:pStyle w:val="02Tabletext"/>
              <w:keepNext w:val="0"/>
            </w:pPr>
            <w:r w:rsidRPr="00D143B3">
              <w:t>7</w:t>
            </w:r>
          </w:p>
        </w:tc>
        <w:tc>
          <w:tcPr>
            <w:tcW w:w="3989" w:type="pct"/>
          </w:tcPr>
          <w:p w:rsidR="00AE448A" w:rsidRPr="00D143B3" w:rsidRDefault="00AE448A" w:rsidP="00C00E78">
            <w:pPr>
              <w:pStyle w:val="02Tabletext"/>
              <w:keepNext w:val="0"/>
            </w:pPr>
            <w:r w:rsidRPr="00D143B3">
              <w:t>webstercare.mp.</w:t>
            </w:r>
          </w:p>
        </w:tc>
        <w:tc>
          <w:tcPr>
            <w:tcW w:w="779" w:type="pct"/>
          </w:tcPr>
          <w:p w:rsidR="00AE448A" w:rsidRPr="00D143B3" w:rsidRDefault="00D35310" w:rsidP="00C00E78">
            <w:pPr>
              <w:pStyle w:val="02Tabletext"/>
              <w:keepNext w:val="0"/>
            </w:pPr>
            <w:r w:rsidRPr="00D143B3">
              <w:t>0</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8</w:t>
            </w:r>
          </w:p>
        </w:tc>
        <w:tc>
          <w:tcPr>
            <w:tcW w:w="3989" w:type="pct"/>
          </w:tcPr>
          <w:p w:rsidR="00AE448A" w:rsidRPr="00D143B3" w:rsidRDefault="00AE448A" w:rsidP="00C00E78">
            <w:pPr>
              <w:pStyle w:val="02Tabletext"/>
              <w:keepNext w:val="0"/>
            </w:pPr>
            <w:r w:rsidRPr="00D143B3">
              <w:t>unit dose pack.mp.</w:t>
            </w:r>
          </w:p>
        </w:tc>
        <w:tc>
          <w:tcPr>
            <w:tcW w:w="779" w:type="pct"/>
          </w:tcPr>
          <w:p w:rsidR="00AE448A" w:rsidRPr="00D143B3" w:rsidRDefault="00D35310" w:rsidP="00C00E78">
            <w:pPr>
              <w:pStyle w:val="02Tabletext"/>
              <w:keepNext w:val="0"/>
            </w:pPr>
            <w:r w:rsidRPr="00D143B3">
              <w:t>339</w:t>
            </w:r>
          </w:p>
        </w:tc>
      </w:tr>
      <w:tr w:rsidR="00AE448A" w:rsidRPr="00AE448A" w:rsidTr="00E6729C">
        <w:tc>
          <w:tcPr>
            <w:tcW w:w="232" w:type="pct"/>
          </w:tcPr>
          <w:p w:rsidR="00AE448A" w:rsidRPr="00D143B3" w:rsidRDefault="00AE448A" w:rsidP="00C00E78">
            <w:pPr>
              <w:pStyle w:val="02Tabletext"/>
              <w:keepNext w:val="0"/>
            </w:pPr>
            <w:r w:rsidRPr="00D143B3">
              <w:t>9</w:t>
            </w:r>
          </w:p>
        </w:tc>
        <w:tc>
          <w:tcPr>
            <w:tcW w:w="3989" w:type="pct"/>
          </w:tcPr>
          <w:p w:rsidR="00AE448A" w:rsidRPr="00D143B3" w:rsidRDefault="00AE448A" w:rsidP="00C00E78">
            <w:pPr>
              <w:pStyle w:val="02Tabletext"/>
              <w:keepNext w:val="0"/>
            </w:pPr>
            <w:r w:rsidRPr="00D143B3">
              <w:t>multi dose pack.mp.</w:t>
            </w:r>
          </w:p>
        </w:tc>
        <w:tc>
          <w:tcPr>
            <w:tcW w:w="779" w:type="pct"/>
          </w:tcPr>
          <w:p w:rsidR="00AE448A" w:rsidRPr="00D143B3" w:rsidRDefault="00D35310" w:rsidP="00C00E78">
            <w:pPr>
              <w:pStyle w:val="02Tabletext"/>
              <w:keepNext w:val="0"/>
            </w:pPr>
            <w:r w:rsidRPr="00D143B3">
              <w:t>205</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10</w:t>
            </w:r>
          </w:p>
        </w:tc>
        <w:tc>
          <w:tcPr>
            <w:tcW w:w="3989" w:type="pct"/>
          </w:tcPr>
          <w:p w:rsidR="00AE448A" w:rsidRPr="00D143B3" w:rsidRDefault="00AE448A" w:rsidP="00C00E78">
            <w:pPr>
              <w:pStyle w:val="02Tabletext"/>
              <w:keepNext w:val="0"/>
            </w:pPr>
            <w:r w:rsidRPr="00D143B3">
              <w:t>PacMED.mp.</w:t>
            </w:r>
          </w:p>
        </w:tc>
        <w:tc>
          <w:tcPr>
            <w:tcW w:w="779" w:type="pct"/>
          </w:tcPr>
          <w:p w:rsidR="00AE448A" w:rsidRPr="00D143B3" w:rsidRDefault="00D35310" w:rsidP="00C00E78">
            <w:pPr>
              <w:pStyle w:val="02Tabletext"/>
              <w:keepNext w:val="0"/>
            </w:pPr>
            <w:r w:rsidRPr="00D143B3">
              <w:t>0</w:t>
            </w:r>
          </w:p>
        </w:tc>
      </w:tr>
      <w:tr w:rsidR="00AE448A" w:rsidRPr="00AE448A" w:rsidTr="00E6729C">
        <w:tc>
          <w:tcPr>
            <w:tcW w:w="232" w:type="pct"/>
          </w:tcPr>
          <w:p w:rsidR="00AE448A" w:rsidRPr="00D143B3" w:rsidRDefault="00AE448A" w:rsidP="00C00E78">
            <w:pPr>
              <w:pStyle w:val="02Tabletext"/>
              <w:keepNext w:val="0"/>
            </w:pPr>
            <w:r w:rsidRPr="00D143B3">
              <w:t>11</w:t>
            </w:r>
          </w:p>
        </w:tc>
        <w:tc>
          <w:tcPr>
            <w:tcW w:w="3989" w:type="pct"/>
          </w:tcPr>
          <w:p w:rsidR="00AE448A" w:rsidRPr="00D143B3" w:rsidRDefault="00AE448A" w:rsidP="00C00E78">
            <w:pPr>
              <w:pStyle w:val="02Tabletext"/>
              <w:keepNext w:val="0"/>
            </w:pPr>
            <w:r w:rsidRPr="00D143B3">
              <w:t>Meditech.mp.</w:t>
            </w:r>
          </w:p>
        </w:tc>
        <w:tc>
          <w:tcPr>
            <w:tcW w:w="779" w:type="pct"/>
          </w:tcPr>
          <w:p w:rsidR="00AE448A" w:rsidRPr="00D143B3" w:rsidRDefault="00D35310" w:rsidP="00C00E78">
            <w:pPr>
              <w:pStyle w:val="02Tabletext"/>
              <w:keepNext w:val="0"/>
            </w:pPr>
            <w:r w:rsidRPr="00D143B3">
              <w:t>16</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12</w:t>
            </w:r>
          </w:p>
        </w:tc>
        <w:tc>
          <w:tcPr>
            <w:tcW w:w="3989" w:type="pct"/>
          </w:tcPr>
          <w:p w:rsidR="00AE448A" w:rsidRPr="00D143B3" w:rsidRDefault="00AE448A" w:rsidP="00C00E78">
            <w:pPr>
              <w:pStyle w:val="02Tabletext"/>
              <w:keepNext w:val="0"/>
            </w:pPr>
            <w:r w:rsidRPr="00D143B3">
              <w:t>medico pack.mp.</w:t>
            </w:r>
          </w:p>
        </w:tc>
        <w:tc>
          <w:tcPr>
            <w:tcW w:w="779" w:type="pct"/>
          </w:tcPr>
          <w:p w:rsidR="00AE448A" w:rsidRPr="00D143B3" w:rsidRDefault="00D35310" w:rsidP="00C00E78">
            <w:pPr>
              <w:pStyle w:val="02Tabletext"/>
              <w:keepNext w:val="0"/>
            </w:pPr>
            <w:r w:rsidRPr="00D143B3">
              <w:t>15</w:t>
            </w:r>
          </w:p>
        </w:tc>
      </w:tr>
      <w:tr w:rsidR="00AE448A" w:rsidRPr="00AE448A" w:rsidTr="00E6729C">
        <w:tc>
          <w:tcPr>
            <w:tcW w:w="232" w:type="pct"/>
          </w:tcPr>
          <w:p w:rsidR="00AE448A" w:rsidRPr="00D143B3" w:rsidRDefault="00AE448A" w:rsidP="00C00E78">
            <w:pPr>
              <w:pStyle w:val="02Tabletext"/>
              <w:keepNext w:val="0"/>
            </w:pPr>
            <w:r w:rsidRPr="00D143B3">
              <w:t>13</w:t>
            </w:r>
          </w:p>
        </w:tc>
        <w:tc>
          <w:tcPr>
            <w:tcW w:w="3989" w:type="pct"/>
          </w:tcPr>
          <w:p w:rsidR="00AE448A" w:rsidRPr="00D143B3" w:rsidRDefault="00AE448A" w:rsidP="00C00E78">
            <w:pPr>
              <w:pStyle w:val="02Tabletext"/>
              <w:keepNext w:val="0"/>
            </w:pPr>
            <w:r w:rsidRPr="00D143B3">
              <w:t>Mediwheel.mp. or Medi-wheel.mp.</w:t>
            </w:r>
          </w:p>
        </w:tc>
        <w:tc>
          <w:tcPr>
            <w:tcW w:w="779" w:type="pct"/>
          </w:tcPr>
          <w:p w:rsidR="00AE448A" w:rsidRPr="00D143B3" w:rsidRDefault="00D35310" w:rsidP="00C00E78">
            <w:pPr>
              <w:pStyle w:val="02Tabletext"/>
              <w:keepNext w:val="0"/>
            </w:pPr>
            <w:r w:rsidRPr="00D143B3">
              <w:t>2</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14</w:t>
            </w:r>
          </w:p>
        </w:tc>
        <w:tc>
          <w:tcPr>
            <w:tcW w:w="3989" w:type="pct"/>
          </w:tcPr>
          <w:p w:rsidR="00AE448A" w:rsidRPr="00D143B3" w:rsidRDefault="00AE448A" w:rsidP="00C00E78">
            <w:pPr>
              <w:pStyle w:val="02Tabletext"/>
              <w:keepNext w:val="0"/>
            </w:pPr>
            <w:r w:rsidRPr="00D143B3">
              <w:t>Medichest.mp.</w:t>
            </w:r>
          </w:p>
        </w:tc>
        <w:tc>
          <w:tcPr>
            <w:tcW w:w="779" w:type="pct"/>
          </w:tcPr>
          <w:p w:rsidR="00AE448A" w:rsidRPr="00D143B3" w:rsidRDefault="00D35310" w:rsidP="00C00E78">
            <w:pPr>
              <w:pStyle w:val="02Tabletext"/>
              <w:keepNext w:val="0"/>
            </w:pPr>
            <w:r w:rsidRPr="00D143B3">
              <w:t>0</w:t>
            </w:r>
          </w:p>
        </w:tc>
      </w:tr>
      <w:tr w:rsidR="00AE448A" w:rsidRPr="00AE448A" w:rsidTr="00E6729C">
        <w:tc>
          <w:tcPr>
            <w:tcW w:w="232" w:type="pct"/>
          </w:tcPr>
          <w:p w:rsidR="00AE448A" w:rsidRPr="00D143B3" w:rsidRDefault="00AE448A" w:rsidP="00C00E78">
            <w:pPr>
              <w:pStyle w:val="02Tabletext"/>
              <w:keepNext w:val="0"/>
            </w:pPr>
            <w:r w:rsidRPr="00D143B3">
              <w:t>15</w:t>
            </w:r>
          </w:p>
        </w:tc>
        <w:tc>
          <w:tcPr>
            <w:tcW w:w="3989" w:type="pct"/>
          </w:tcPr>
          <w:p w:rsidR="00AE448A" w:rsidRPr="00D143B3" w:rsidRDefault="00AE448A" w:rsidP="00C00E78">
            <w:pPr>
              <w:pStyle w:val="02Tabletext"/>
              <w:keepNext w:val="0"/>
            </w:pPr>
            <w:r w:rsidRPr="00D143B3">
              <w:t>automated packing.mp</w:t>
            </w:r>
          </w:p>
        </w:tc>
        <w:tc>
          <w:tcPr>
            <w:tcW w:w="779" w:type="pct"/>
          </w:tcPr>
          <w:p w:rsidR="00AE448A" w:rsidRPr="00D143B3" w:rsidRDefault="00D35310" w:rsidP="00C00E78">
            <w:pPr>
              <w:pStyle w:val="02Tabletext"/>
              <w:keepNext w:val="0"/>
            </w:pPr>
            <w:r w:rsidRPr="00D143B3">
              <w:t>12</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16</w:t>
            </w:r>
          </w:p>
        </w:tc>
        <w:tc>
          <w:tcPr>
            <w:tcW w:w="3989" w:type="pct"/>
          </w:tcPr>
          <w:p w:rsidR="00AE448A" w:rsidRPr="00D143B3" w:rsidRDefault="00AE448A" w:rsidP="00C00E78">
            <w:pPr>
              <w:pStyle w:val="02Tabletext"/>
              <w:keepNext w:val="0"/>
            </w:pPr>
            <w:r w:rsidRPr="00D143B3">
              <w:t>drug administration management.mp.</w:t>
            </w:r>
          </w:p>
        </w:tc>
        <w:tc>
          <w:tcPr>
            <w:tcW w:w="779" w:type="pct"/>
          </w:tcPr>
          <w:p w:rsidR="00AE448A" w:rsidRPr="00D143B3" w:rsidRDefault="00D35310" w:rsidP="00C00E78">
            <w:pPr>
              <w:pStyle w:val="02Tabletext"/>
              <w:keepNext w:val="0"/>
            </w:pPr>
            <w:r w:rsidRPr="00D143B3">
              <w:t>16352</w:t>
            </w:r>
          </w:p>
        </w:tc>
      </w:tr>
      <w:tr w:rsidR="00AE448A" w:rsidRPr="00AE448A" w:rsidTr="00E6729C">
        <w:tc>
          <w:tcPr>
            <w:tcW w:w="232" w:type="pct"/>
          </w:tcPr>
          <w:p w:rsidR="00AE448A" w:rsidRPr="00D143B3" w:rsidRDefault="00AE448A" w:rsidP="00C00E78">
            <w:pPr>
              <w:pStyle w:val="02Tabletext"/>
              <w:keepNext w:val="0"/>
            </w:pPr>
            <w:r w:rsidRPr="00D143B3">
              <w:t>17</w:t>
            </w:r>
          </w:p>
        </w:tc>
        <w:tc>
          <w:tcPr>
            <w:tcW w:w="3989" w:type="pct"/>
          </w:tcPr>
          <w:p w:rsidR="00AE448A" w:rsidRPr="00D143B3" w:rsidRDefault="00AE448A" w:rsidP="00C00E78">
            <w:pPr>
              <w:pStyle w:val="02Tabletext"/>
              <w:keepNext w:val="0"/>
            </w:pPr>
            <w:r w:rsidRPr="00D143B3">
              <w:t>medication pack.mp</w:t>
            </w:r>
          </w:p>
        </w:tc>
        <w:tc>
          <w:tcPr>
            <w:tcW w:w="779" w:type="pct"/>
          </w:tcPr>
          <w:p w:rsidR="00AE448A" w:rsidRPr="00D143B3" w:rsidRDefault="00D35310" w:rsidP="00C00E78">
            <w:pPr>
              <w:pStyle w:val="02Tabletext"/>
              <w:keepNext w:val="0"/>
            </w:pPr>
            <w:r w:rsidRPr="00D143B3">
              <w:t>454</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18</w:t>
            </w:r>
          </w:p>
        </w:tc>
        <w:tc>
          <w:tcPr>
            <w:tcW w:w="3989" w:type="pct"/>
          </w:tcPr>
          <w:p w:rsidR="00AE448A" w:rsidRPr="00D143B3" w:rsidRDefault="00AE448A" w:rsidP="00C00E78">
            <w:pPr>
              <w:pStyle w:val="02Tabletext"/>
              <w:keepNext w:val="0"/>
            </w:pPr>
            <w:r w:rsidRPr="00D143B3">
              <w:t>venalink.mp</w:t>
            </w:r>
          </w:p>
        </w:tc>
        <w:tc>
          <w:tcPr>
            <w:tcW w:w="779" w:type="pct"/>
          </w:tcPr>
          <w:p w:rsidR="00AE448A" w:rsidRPr="00D143B3" w:rsidRDefault="00D35310" w:rsidP="00C00E78">
            <w:pPr>
              <w:pStyle w:val="02Tabletext"/>
              <w:keepNext w:val="0"/>
            </w:pPr>
            <w:r w:rsidRPr="00D143B3">
              <w:t>0</w:t>
            </w:r>
          </w:p>
        </w:tc>
      </w:tr>
      <w:tr w:rsidR="00AE448A" w:rsidRPr="00AE448A" w:rsidTr="00E6729C">
        <w:tc>
          <w:tcPr>
            <w:tcW w:w="232" w:type="pct"/>
          </w:tcPr>
          <w:p w:rsidR="00AE448A" w:rsidRPr="00D143B3" w:rsidRDefault="00AE448A" w:rsidP="00C00E78">
            <w:pPr>
              <w:pStyle w:val="02Tabletext"/>
              <w:keepNext w:val="0"/>
            </w:pPr>
            <w:r w:rsidRPr="00D143B3">
              <w:t>19</w:t>
            </w:r>
          </w:p>
        </w:tc>
        <w:tc>
          <w:tcPr>
            <w:tcW w:w="3989" w:type="pct"/>
          </w:tcPr>
          <w:p w:rsidR="00AE448A" w:rsidRPr="00D143B3" w:rsidRDefault="00AE448A" w:rsidP="00C00E78">
            <w:pPr>
              <w:pStyle w:val="02Tabletext"/>
              <w:keepNext w:val="0"/>
            </w:pPr>
            <w:r w:rsidRPr="00D143B3">
              <w:t>blister pack.mp. or exp blister pack/</w:t>
            </w:r>
          </w:p>
        </w:tc>
        <w:tc>
          <w:tcPr>
            <w:tcW w:w="779" w:type="pct"/>
          </w:tcPr>
          <w:p w:rsidR="00AE448A" w:rsidRPr="00D143B3" w:rsidRDefault="00D35310" w:rsidP="00C00E78">
            <w:pPr>
              <w:pStyle w:val="02Tabletext"/>
              <w:keepNext w:val="0"/>
            </w:pPr>
            <w:r w:rsidRPr="00D143B3">
              <w:t>85</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20</w:t>
            </w:r>
          </w:p>
        </w:tc>
        <w:tc>
          <w:tcPr>
            <w:tcW w:w="3989" w:type="pct"/>
          </w:tcPr>
          <w:p w:rsidR="00AE448A" w:rsidRPr="00D143B3" w:rsidRDefault="00D35310" w:rsidP="00C00E78">
            <w:pPr>
              <w:pStyle w:val="02Tabletext"/>
              <w:keepNext w:val="0"/>
            </w:pPr>
            <w:r w:rsidRPr="00D143B3">
              <w:t>Medication pack</w:t>
            </w:r>
          </w:p>
        </w:tc>
        <w:tc>
          <w:tcPr>
            <w:tcW w:w="779" w:type="pct"/>
          </w:tcPr>
          <w:p w:rsidR="00AE448A" w:rsidRPr="00D143B3" w:rsidRDefault="00D35310" w:rsidP="00C00E78">
            <w:pPr>
              <w:pStyle w:val="02Tabletext"/>
              <w:keepNext w:val="0"/>
            </w:pPr>
            <w:r w:rsidRPr="00D143B3">
              <w:t>454</w:t>
            </w:r>
          </w:p>
        </w:tc>
      </w:tr>
      <w:tr w:rsidR="00AE448A" w:rsidRPr="00AE448A" w:rsidTr="00E6729C">
        <w:tc>
          <w:tcPr>
            <w:tcW w:w="232" w:type="pct"/>
          </w:tcPr>
          <w:p w:rsidR="00AE448A" w:rsidRPr="00D143B3" w:rsidRDefault="00AE448A" w:rsidP="00C00E78">
            <w:pPr>
              <w:pStyle w:val="02Tabletext"/>
              <w:keepNext w:val="0"/>
            </w:pPr>
            <w:r w:rsidRPr="00D143B3">
              <w:t>21</w:t>
            </w:r>
          </w:p>
        </w:tc>
        <w:tc>
          <w:tcPr>
            <w:tcW w:w="3989" w:type="pct"/>
          </w:tcPr>
          <w:p w:rsidR="00AE448A" w:rsidRPr="00D143B3" w:rsidRDefault="00AE448A" w:rsidP="00C00E78">
            <w:pPr>
              <w:pStyle w:val="02Tabletext"/>
              <w:keepNext w:val="0"/>
            </w:pPr>
            <w:r w:rsidRPr="00D143B3">
              <w:t>(calendar adj2 (pack* or pak*)).mp.</w:t>
            </w:r>
          </w:p>
        </w:tc>
        <w:tc>
          <w:tcPr>
            <w:tcW w:w="779" w:type="pct"/>
          </w:tcPr>
          <w:p w:rsidR="00AE448A" w:rsidRPr="00D143B3" w:rsidRDefault="00D35310" w:rsidP="00C00E78">
            <w:pPr>
              <w:pStyle w:val="02Tabletext"/>
              <w:keepNext w:val="0"/>
            </w:pPr>
            <w:r w:rsidRPr="00D143B3">
              <w:t>31</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22</w:t>
            </w:r>
          </w:p>
        </w:tc>
        <w:tc>
          <w:tcPr>
            <w:tcW w:w="3989" w:type="pct"/>
          </w:tcPr>
          <w:p w:rsidR="00AE448A" w:rsidRPr="00D143B3" w:rsidRDefault="00AE448A" w:rsidP="00C00E78">
            <w:pPr>
              <w:pStyle w:val="02Tabletext"/>
              <w:keepNext w:val="0"/>
            </w:pPr>
            <w:r w:rsidRPr="00D143B3">
              <w:t>(c-pak or c-pack or c-cap*).mp.</w:t>
            </w:r>
          </w:p>
        </w:tc>
        <w:tc>
          <w:tcPr>
            <w:tcW w:w="779" w:type="pct"/>
          </w:tcPr>
          <w:p w:rsidR="00AE448A" w:rsidRPr="00D143B3" w:rsidRDefault="00D35310" w:rsidP="00C00E78">
            <w:pPr>
              <w:pStyle w:val="02Tabletext"/>
              <w:keepNext w:val="0"/>
            </w:pPr>
            <w:r w:rsidRPr="00D143B3">
              <w:t>103</w:t>
            </w:r>
          </w:p>
        </w:tc>
      </w:tr>
      <w:tr w:rsidR="00AE448A" w:rsidRPr="00AE448A" w:rsidTr="00E6729C">
        <w:tc>
          <w:tcPr>
            <w:tcW w:w="232" w:type="pct"/>
          </w:tcPr>
          <w:p w:rsidR="00AE448A" w:rsidRPr="00D143B3" w:rsidRDefault="00AE448A" w:rsidP="00C00E78">
            <w:pPr>
              <w:pStyle w:val="02Tabletext"/>
              <w:keepNext w:val="0"/>
            </w:pPr>
            <w:r w:rsidRPr="00D143B3">
              <w:t>23</w:t>
            </w:r>
          </w:p>
        </w:tc>
        <w:tc>
          <w:tcPr>
            <w:tcW w:w="3989" w:type="pct"/>
          </w:tcPr>
          <w:p w:rsidR="00AE448A" w:rsidRPr="00D143B3" w:rsidRDefault="00AE448A" w:rsidP="00C00E78">
            <w:pPr>
              <w:pStyle w:val="02Tabletext"/>
              <w:keepNext w:val="0"/>
            </w:pPr>
            <w:r w:rsidRPr="00D143B3">
              <w:t>(bubble adj2 (pack* or pak*)).mp</w:t>
            </w:r>
          </w:p>
        </w:tc>
        <w:tc>
          <w:tcPr>
            <w:tcW w:w="779" w:type="pct"/>
          </w:tcPr>
          <w:p w:rsidR="00AE448A" w:rsidRPr="00D143B3" w:rsidRDefault="00D35310" w:rsidP="00C00E78">
            <w:pPr>
              <w:pStyle w:val="02Tabletext"/>
              <w:keepNext w:val="0"/>
            </w:pPr>
            <w:r w:rsidRPr="00D143B3">
              <w:t>11</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24</w:t>
            </w:r>
          </w:p>
        </w:tc>
        <w:tc>
          <w:tcPr>
            <w:tcW w:w="3989" w:type="pct"/>
          </w:tcPr>
          <w:p w:rsidR="00AE448A" w:rsidRPr="00D143B3" w:rsidRDefault="00D35310" w:rsidP="00D35310">
            <w:pPr>
              <w:pStyle w:val="02Tabletext"/>
              <w:keepNext w:val="0"/>
            </w:pPr>
            <w:r w:rsidRPr="00D143B3">
              <w:t>Pill pack</w:t>
            </w:r>
          </w:p>
        </w:tc>
        <w:tc>
          <w:tcPr>
            <w:tcW w:w="779" w:type="pct"/>
          </w:tcPr>
          <w:p w:rsidR="00AE448A" w:rsidRPr="00D143B3" w:rsidRDefault="00D35310" w:rsidP="00C00E78">
            <w:pPr>
              <w:pStyle w:val="02Tabletext"/>
              <w:keepNext w:val="0"/>
            </w:pPr>
            <w:r w:rsidRPr="00D143B3">
              <w:t>93</w:t>
            </w:r>
          </w:p>
        </w:tc>
      </w:tr>
      <w:tr w:rsidR="00AE448A" w:rsidRPr="00AE448A" w:rsidTr="00E6729C">
        <w:tc>
          <w:tcPr>
            <w:tcW w:w="232" w:type="pct"/>
          </w:tcPr>
          <w:p w:rsidR="00AE448A" w:rsidRPr="00D143B3" w:rsidRDefault="00AE448A" w:rsidP="00C00E78">
            <w:pPr>
              <w:pStyle w:val="02Tabletext"/>
              <w:keepNext w:val="0"/>
            </w:pPr>
            <w:r w:rsidRPr="00D143B3">
              <w:t>25</w:t>
            </w:r>
          </w:p>
        </w:tc>
        <w:tc>
          <w:tcPr>
            <w:tcW w:w="3989" w:type="pct"/>
          </w:tcPr>
          <w:p w:rsidR="00AE448A" w:rsidRPr="00D143B3" w:rsidRDefault="00AE448A" w:rsidP="00C00E78">
            <w:pPr>
              <w:pStyle w:val="02Tabletext"/>
              <w:keepNext w:val="0"/>
            </w:pPr>
            <w:r w:rsidRPr="00D143B3">
              <w:t>((multicompartment or multi-compartment) adj2 (pack* or organi?er* or delivery system* or container* or box* or dispenser* or device*)).mp.</w:t>
            </w:r>
          </w:p>
        </w:tc>
        <w:tc>
          <w:tcPr>
            <w:tcW w:w="779" w:type="pct"/>
          </w:tcPr>
          <w:p w:rsidR="00AE448A" w:rsidRPr="00D143B3" w:rsidRDefault="00D35310" w:rsidP="00C00E78">
            <w:pPr>
              <w:pStyle w:val="02Tabletext"/>
              <w:keepNext w:val="0"/>
            </w:pPr>
            <w:r w:rsidRPr="00D143B3">
              <w:t>2</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26</w:t>
            </w:r>
          </w:p>
        </w:tc>
        <w:tc>
          <w:tcPr>
            <w:tcW w:w="3989" w:type="pct"/>
          </w:tcPr>
          <w:p w:rsidR="00AE448A" w:rsidRPr="00D143B3" w:rsidRDefault="00AE448A" w:rsidP="00C00E78">
            <w:pPr>
              <w:pStyle w:val="02Tabletext"/>
              <w:keepNext w:val="0"/>
            </w:pPr>
            <w:r w:rsidRPr="00D143B3">
              <w:t>pillbox*.mp.</w:t>
            </w:r>
          </w:p>
        </w:tc>
        <w:tc>
          <w:tcPr>
            <w:tcW w:w="779" w:type="pct"/>
          </w:tcPr>
          <w:p w:rsidR="00AE448A" w:rsidRPr="00D143B3" w:rsidRDefault="00D35310" w:rsidP="00C00E78">
            <w:pPr>
              <w:pStyle w:val="02Tabletext"/>
              <w:keepNext w:val="0"/>
            </w:pPr>
            <w:r w:rsidRPr="00D143B3">
              <w:t>20</w:t>
            </w:r>
          </w:p>
        </w:tc>
      </w:tr>
      <w:tr w:rsidR="00AE448A" w:rsidRPr="00AE448A" w:rsidTr="00E6729C">
        <w:tc>
          <w:tcPr>
            <w:tcW w:w="232" w:type="pct"/>
          </w:tcPr>
          <w:p w:rsidR="00AE448A" w:rsidRPr="00D143B3" w:rsidRDefault="00AE448A" w:rsidP="00C00E78">
            <w:pPr>
              <w:pStyle w:val="02Tabletext"/>
              <w:keepNext w:val="0"/>
            </w:pPr>
            <w:r w:rsidRPr="00D143B3">
              <w:t>27</w:t>
            </w:r>
          </w:p>
        </w:tc>
        <w:tc>
          <w:tcPr>
            <w:tcW w:w="3989" w:type="pct"/>
          </w:tcPr>
          <w:p w:rsidR="00AE448A" w:rsidRPr="00D143B3" w:rsidRDefault="00AE448A" w:rsidP="00C00E78">
            <w:pPr>
              <w:pStyle w:val="02Tabletext"/>
              <w:keepNext w:val="0"/>
            </w:pPr>
            <w:r w:rsidRPr="00D143B3">
              <w:t>doset*.mp.</w:t>
            </w:r>
          </w:p>
        </w:tc>
        <w:tc>
          <w:tcPr>
            <w:tcW w:w="779" w:type="pct"/>
          </w:tcPr>
          <w:p w:rsidR="00AE448A" w:rsidRPr="00D143B3" w:rsidRDefault="00D35310" w:rsidP="00C00E78">
            <w:pPr>
              <w:pStyle w:val="02Tabletext"/>
              <w:keepNext w:val="0"/>
            </w:pPr>
            <w:r w:rsidRPr="00D143B3">
              <w:t>14</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28</w:t>
            </w:r>
          </w:p>
        </w:tc>
        <w:tc>
          <w:tcPr>
            <w:tcW w:w="3989" w:type="pct"/>
          </w:tcPr>
          <w:p w:rsidR="00AE448A" w:rsidRPr="00D143B3" w:rsidRDefault="00D35310" w:rsidP="00C00E78">
            <w:pPr>
              <w:pStyle w:val="02Tabletext"/>
              <w:keepNext w:val="0"/>
            </w:pPr>
            <w:r w:rsidRPr="00D143B3">
              <w:t>Reminder pack*</w:t>
            </w:r>
          </w:p>
        </w:tc>
        <w:tc>
          <w:tcPr>
            <w:tcW w:w="779" w:type="pct"/>
          </w:tcPr>
          <w:p w:rsidR="00AE448A" w:rsidRPr="00D143B3" w:rsidRDefault="00D35310" w:rsidP="00C00E78">
            <w:pPr>
              <w:pStyle w:val="02Tabletext"/>
              <w:keepNext w:val="0"/>
            </w:pPr>
            <w:r w:rsidRPr="00D143B3">
              <w:t>200</w:t>
            </w:r>
          </w:p>
        </w:tc>
      </w:tr>
      <w:tr w:rsidR="00AE448A" w:rsidRPr="00AE448A" w:rsidTr="00E6729C">
        <w:tc>
          <w:tcPr>
            <w:tcW w:w="232" w:type="pct"/>
          </w:tcPr>
          <w:p w:rsidR="00AE448A" w:rsidRPr="00D143B3" w:rsidRDefault="00AE448A" w:rsidP="00C00E78">
            <w:pPr>
              <w:pStyle w:val="02Tabletext"/>
              <w:keepNext w:val="0"/>
            </w:pPr>
            <w:r w:rsidRPr="00D143B3">
              <w:t>29</w:t>
            </w:r>
          </w:p>
        </w:tc>
        <w:tc>
          <w:tcPr>
            <w:tcW w:w="3989" w:type="pct"/>
          </w:tcPr>
          <w:p w:rsidR="00AE448A" w:rsidRPr="00D143B3" w:rsidRDefault="00D35310" w:rsidP="00C00E78">
            <w:pPr>
              <w:pStyle w:val="02Tabletext"/>
              <w:keepNext w:val="0"/>
            </w:pPr>
            <w:r w:rsidRPr="00D143B3">
              <w:t>Medicine compliance aid</w:t>
            </w:r>
          </w:p>
        </w:tc>
        <w:tc>
          <w:tcPr>
            <w:tcW w:w="779" w:type="pct"/>
          </w:tcPr>
          <w:p w:rsidR="00AE448A" w:rsidRPr="00D143B3" w:rsidRDefault="00D35310" w:rsidP="00C00E78">
            <w:pPr>
              <w:pStyle w:val="02Tabletext"/>
              <w:keepNext w:val="0"/>
            </w:pPr>
            <w:r w:rsidRPr="00D143B3">
              <w:t>466</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30</w:t>
            </w:r>
          </w:p>
        </w:tc>
        <w:tc>
          <w:tcPr>
            <w:tcW w:w="3989" w:type="pct"/>
          </w:tcPr>
          <w:p w:rsidR="00AE448A" w:rsidRPr="00D143B3" w:rsidRDefault="00D35310" w:rsidP="00C00E78">
            <w:pPr>
              <w:pStyle w:val="02Tabletext"/>
              <w:keepNext w:val="0"/>
            </w:pPr>
            <w:r w:rsidRPr="00D143B3">
              <w:t>Adherence aid</w:t>
            </w:r>
          </w:p>
        </w:tc>
        <w:tc>
          <w:tcPr>
            <w:tcW w:w="779" w:type="pct"/>
          </w:tcPr>
          <w:p w:rsidR="00AE448A" w:rsidRPr="00D143B3" w:rsidRDefault="00D35310" w:rsidP="00C00E78">
            <w:pPr>
              <w:pStyle w:val="02Tabletext"/>
              <w:keepNext w:val="0"/>
            </w:pPr>
            <w:r w:rsidRPr="00D143B3">
              <w:t>234</w:t>
            </w:r>
          </w:p>
        </w:tc>
      </w:tr>
      <w:tr w:rsidR="00AE448A" w:rsidRPr="00AE448A" w:rsidTr="00E6729C">
        <w:tc>
          <w:tcPr>
            <w:tcW w:w="232" w:type="pct"/>
          </w:tcPr>
          <w:p w:rsidR="00AE448A" w:rsidRPr="00D143B3" w:rsidRDefault="00AE448A" w:rsidP="00C00E78">
            <w:pPr>
              <w:pStyle w:val="02Tabletext"/>
              <w:keepNext w:val="0"/>
            </w:pPr>
            <w:r w:rsidRPr="00D143B3">
              <w:t>31</w:t>
            </w:r>
          </w:p>
        </w:tc>
        <w:tc>
          <w:tcPr>
            <w:tcW w:w="3989" w:type="pct"/>
          </w:tcPr>
          <w:p w:rsidR="00AE448A" w:rsidRPr="00D143B3" w:rsidRDefault="00AE448A" w:rsidP="00C00E78">
            <w:pPr>
              <w:pStyle w:val="02Tabletext"/>
              <w:keepNext w:val="0"/>
            </w:pPr>
            <w:r w:rsidRPr="00D143B3">
              <w:t>mediset.mp</w:t>
            </w:r>
          </w:p>
        </w:tc>
        <w:tc>
          <w:tcPr>
            <w:tcW w:w="779" w:type="pct"/>
          </w:tcPr>
          <w:p w:rsidR="00AE448A" w:rsidRPr="00D143B3" w:rsidRDefault="00D35310" w:rsidP="00C00E78">
            <w:pPr>
              <w:pStyle w:val="02Tabletext"/>
              <w:keepNext w:val="0"/>
            </w:pPr>
            <w:r w:rsidRPr="00D143B3">
              <w:t>2</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32</w:t>
            </w:r>
          </w:p>
        </w:tc>
        <w:tc>
          <w:tcPr>
            <w:tcW w:w="3989" w:type="pct"/>
          </w:tcPr>
          <w:p w:rsidR="00AE448A" w:rsidRPr="00D143B3" w:rsidRDefault="00AE448A" w:rsidP="00C00E78">
            <w:pPr>
              <w:pStyle w:val="02Tabletext"/>
              <w:keepNext w:val="0"/>
            </w:pPr>
            <w:r w:rsidRPr="00D143B3">
              <w:t>medidos.mp.</w:t>
            </w:r>
          </w:p>
        </w:tc>
        <w:tc>
          <w:tcPr>
            <w:tcW w:w="779" w:type="pct"/>
          </w:tcPr>
          <w:p w:rsidR="00AE448A" w:rsidRPr="00D143B3" w:rsidRDefault="00D35310" w:rsidP="00C00E78">
            <w:pPr>
              <w:pStyle w:val="02Tabletext"/>
              <w:keepNext w:val="0"/>
            </w:pPr>
            <w:r w:rsidRPr="00D143B3">
              <w:t>22</w:t>
            </w:r>
          </w:p>
        </w:tc>
      </w:tr>
      <w:tr w:rsidR="00AE448A" w:rsidRPr="00AE448A" w:rsidTr="00E6729C">
        <w:tc>
          <w:tcPr>
            <w:tcW w:w="232" w:type="pct"/>
          </w:tcPr>
          <w:p w:rsidR="00AE448A" w:rsidRPr="00D143B3" w:rsidRDefault="00AE448A" w:rsidP="00C00E78">
            <w:pPr>
              <w:pStyle w:val="02Tabletext"/>
              <w:keepNext w:val="0"/>
            </w:pPr>
            <w:r w:rsidRPr="00D143B3">
              <w:t>33</w:t>
            </w:r>
          </w:p>
        </w:tc>
        <w:tc>
          <w:tcPr>
            <w:tcW w:w="3989" w:type="pct"/>
          </w:tcPr>
          <w:p w:rsidR="00AE448A" w:rsidRPr="00D143B3" w:rsidRDefault="00AE448A" w:rsidP="00C00E78">
            <w:pPr>
              <w:pStyle w:val="02Tabletext"/>
              <w:keepNext w:val="0"/>
            </w:pPr>
            <w:r w:rsidRPr="00D143B3">
              <w:t>manrex.mp.</w:t>
            </w:r>
          </w:p>
        </w:tc>
        <w:tc>
          <w:tcPr>
            <w:tcW w:w="779" w:type="pct"/>
          </w:tcPr>
          <w:p w:rsidR="00AE448A" w:rsidRPr="00D143B3" w:rsidRDefault="00D35310" w:rsidP="00C00E78">
            <w:pPr>
              <w:pStyle w:val="02Tabletext"/>
              <w:keepNext w:val="0"/>
            </w:pPr>
            <w:r w:rsidRPr="00D143B3">
              <w:t>1</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34</w:t>
            </w:r>
          </w:p>
        </w:tc>
        <w:tc>
          <w:tcPr>
            <w:tcW w:w="3989" w:type="pct"/>
          </w:tcPr>
          <w:p w:rsidR="00AE448A" w:rsidRPr="00D143B3" w:rsidRDefault="00AE448A" w:rsidP="00C00E78">
            <w:pPr>
              <w:pStyle w:val="02Tabletext"/>
              <w:keepNext w:val="0"/>
            </w:pPr>
            <w:r w:rsidRPr="00D143B3">
              <w:t>pre-pack*.mp.</w:t>
            </w:r>
          </w:p>
        </w:tc>
        <w:tc>
          <w:tcPr>
            <w:tcW w:w="779" w:type="pct"/>
          </w:tcPr>
          <w:p w:rsidR="00AE448A" w:rsidRPr="00D143B3" w:rsidRDefault="00D35310" w:rsidP="00C00E78">
            <w:pPr>
              <w:pStyle w:val="02Tabletext"/>
              <w:keepNext w:val="0"/>
            </w:pPr>
            <w:r w:rsidRPr="00D143B3">
              <w:t>1</w:t>
            </w:r>
          </w:p>
        </w:tc>
      </w:tr>
      <w:tr w:rsidR="00AE448A" w:rsidRPr="00AE448A" w:rsidTr="00E6729C">
        <w:tc>
          <w:tcPr>
            <w:tcW w:w="232" w:type="pct"/>
          </w:tcPr>
          <w:p w:rsidR="00AE448A" w:rsidRPr="00D143B3" w:rsidRDefault="00AE448A" w:rsidP="00C00E78">
            <w:pPr>
              <w:pStyle w:val="02Tabletext"/>
              <w:keepNext w:val="0"/>
            </w:pPr>
            <w:r w:rsidRPr="00D143B3">
              <w:t>35</w:t>
            </w:r>
          </w:p>
        </w:tc>
        <w:tc>
          <w:tcPr>
            <w:tcW w:w="3989" w:type="pct"/>
          </w:tcPr>
          <w:p w:rsidR="00AE448A" w:rsidRPr="00D143B3" w:rsidRDefault="00AE448A" w:rsidP="00C00E78">
            <w:pPr>
              <w:pStyle w:val="02Tabletext"/>
              <w:keepNext w:val="0"/>
            </w:pPr>
            <w:r w:rsidRPr="00D143B3">
              <w:t>nomad*.mp.</w:t>
            </w:r>
          </w:p>
        </w:tc>
        <w:tc>
          <w:tcPr>
            <w:tcW w:w="779" w:type="pct"/>
          </w:tcPr>
          <w:p w:rsidR="00AE448A" w:rsidRPr="00D143B3" w:rsidRDefault="00D35310" w:rsidP="00C00E78">
            <w:pPr>
              <w:pStyle w:val="02Tabletext"/>
              <w:keepNext w:val="0"/>
            </w:pPr>
            <w:r w:rsidRPr="00D143B3">
              <w:t>18</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lastRenderedPageBreak/>
              <w:t>36</w:t>
            </w:r>
          </w:p>
        </w:tc>
        <w:tc>
          <w:tcPr>
            <w:tcW w:w="3989" w:type="pct"/>
          </w:tcPr>
          <w:p w:rsidR="00AE448A" w:rsidRPr="00D143B3" w:rsidRDefault="00AE448A" w:rsidP="00C00E78">
            <w:pPr>
              <w:pStyle w:val="02Tabletext"/>
              <w:keepNext w:val="0"/>
            </w:pPr>
            <w:r w:rsidRPr="00D143B3">
              <w:t>1 or 2 or 3 or 4 or 5 or 6 or 7 or 8 or 9 or 10 or 11 or 12 or 13 or 14 or 15 or 16 or 17 or 18 or 19 or 20 or 21 or 22 or 23 or 24 or 25 or 26 or 27 or 28 or 29 or 30 or 31 or 32 or 33 or 34 or 35</w:t>
            </w:r>
          </w:p>
        </w:tc>
        <w:tc>
          <w:tcPr>
            <w:tcW w:w="779" w:type="pct"/>
          </w:tcPr>
          <w:p w:rsidR="00AE448A" w:rsidRPr="00D143B3" w:rsidRDefault="00D35310" w:rsidP="00C00E78">
            <w:pPr>
              <w:pStyle w:val="02Tabletext"/>
              <w:keepNext w:val="0"/>
            </w:pPr>
            <w:r w:rsidRPr="00D143B3">
              <w:t>21848</w:t>
            </w:r>
          </w:p>
        </w:tc>
      </w:tr>
      <w:tr w:rsidR="00AE448A" w:rsidRPr="00AE448A" w:rsidTr="00E6729C">
        <w:tc>
          <w:tcPr>
            <w:tcW w:w="232" w:type="pct"/>
          </w:tcPr>
          <w:p w:rsidR="00AE448A" w:rsidRPr="00D143B3" w:rsidRDefault="00AE448A" w:rsidP="00C00E78">
            <w:pPr>
              <w:pStyle w:val="02Tabletext"/>
              <w:keepNext w:val="0"/>
            </w:pPr>
            <w:r w:rsidRPr="00D143B3">
              <w:t>37</w:t>
            </w:r>
          </w:p>
        </w:tc>
        <w:tc>
          <w:tcPr>
            <w:tcW w:w="3989" w:type="pct"/>
          </w:tcPr>
          <w:p w:rsidR="00AE448A" w:rsidRPr="00D143B3" w:rsidRDefault="00AE448A" w:rsidP="00C00E78">
            <w:pPr>
              <w:pStyle w:val="02Tabletext"/>
              <w:keepNext w:val="0"/>
            </w:pPr>
            <w:r w:rsidRPr="00D143B3">
              <w:t>(complian* or noncomplian* or non-complian*).mp.</w:t>
            </w:r>
          </w:p>
        </w:tc>
        <w:tc>
          <w:tcPr>
            <w:tcW w:w="779" w:type="pct"/>
          </w:tcPr>
          <w:p w:rsidR="00AE448A" w:rsidRPr="00D143B3" w:rsidRDefault="000D723A" w:rsidP="00C00E78">
            <w:pPr>
              <w:pStyle w:val="02Tabletext"/>
              <w:keepNext w:val="0"/>
            </w:pPr>
            <w:r w:rsidRPr="00D143B3">
              <w:t>30203</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38</w:t>
            </w:r>
          </w:p>
        </w:tc>
        <w:tc>
          <w:tcPr>
            <w:tcW w:w="3989" w:type="pct"/>
          </w:tcPr>
          <w:p w:rsidR="00AE448A" w:rsidRPr="00D143B3" w:rsidRDefault="00AE448A" w:rsidP="00C00E78">
            <w:pPr>
              <w:pStyle w:val="02Tabletext"/>
              <w:keepNext w:val="0"/>
            </w:pPr>
            <w:r w:rsidRPr="00D143B3">
              <w:t>(adhere* or nonadhere* or non-adhere*).mp.</w:t>
            </w:r>
          </w:p>
        </w:tc>
        <w:tc>
          <w:tcPr>
            <w:tcW w:w="779" w:type="pct"/>
          </w:tcPr>
          <w:p w:rsidR="00AE448A" w:rsidRPr="00D143B3" w:rsidRDefault="000D723A" w:rsidP="00C00E78">
            <w:pPr>
              <w:pStyle w:val="02Tabletext"/>
              <w:keepNext w:val="0"/>
            </w:pPr>
            <w:r w:rsidRPr="00D143B3">
              <w:t>14594</w:t>
            </w:r>
          </w:p>
        </w:tc>
      </w:tr>
      <w:tr w:rsidR="00AE448A" w:rsidRPr="00AE448A" w:rsidTr="00E6729C">
        <w:tc>
          <w:tcPr>
            <w:tcW w:w="232" w:type="pct"/>
          </w:tcPr>
          <w:p w:rsidR="00AE448A" w:rsidRPr="00D143B3" w:rsidRDefault="00AE448A" w:rsidP="00C00E78">
            <w:pPr>
              <w:pStyle w:val="02Tabletext"/>
              <w:keepNext w:val="0"/>
            </w:pPr>
            <w:r w:rsidRPr="00D143B3">
              <w:t>39</w:t>
            </w:r>
          </w:p>
        </w:tc>
        <w:tc>
          <w:tcPr>
            <w:tcW w:w="3989" w:type="pct"/>
          </w:tcPr>
          <w:p w:rsidR="00AE448A" w:rsidRPr="00D143B3" w:rsidRDefault="00AE448A" w:rsidP="00C00E78">
            <w:pPr>
              <w:pStyle w:val="02Tabletext"/>
              <w:keepNext w:val="0"/>
            </w:pPr>
            <w:r w:rsidRPr="00D143B3">
              <w:t>persist*.mp.</w:t>
            </w:r>
          </w:p>
        </w:tc>
        <w:tc>
          <w:tcPr>
            <w:tcW w:w="779" w:type="pct"/>
          </w:tcPr>
          <w:p w:rsidR="00AE448A" w:rsidRPr="00D143B3" w:rsidRDefault="000D723A" w:rsidP="00C00E78">
            <w:pPr>
              <w:pStyle w:val="02Tabletext"/>
              <w:keepNext w:val="0"/>
            </w:pPr>
            <w:r w:rsidRPr="00D143B3">
              <w:t>7720</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40</w:t>
            </w:r>
          </w:p>
        </w:tc>
        <w:tc>
          <w:tcPr>
            <w:tcW w:w="3989" w:type="pct"/>
          </w:tcPr>
          <w:p w:rsidR="00AE448A" w:rsidRPr="00D143B3" w:rsidRDefault="00AE448A" w:rsidP="00C00E78">
            <w:pPr>
              <w:pStyle w:val="02Tabletext"/>
              <w:keepNext w:val="0"/>
            </w:pPr>
            <w:r w:rsidRPr="00D143B3">
              <w:t>accept*.mp.</w:t>
            </w:r>
          </w:p>
        </w:tc>
        <w:tc>
          <w:tcPr>
            <w:tcW w:w="779" w:type="pct"/>
          </w:tcPr>
          <w:p w:rsidR="00AE448A" w:rsidRPr="00D143B3" w:rsidRDefault="000D723A" w:rsidP="00C00E78">
            <w:pPr>
              <w:pStyle w:val="02Tabletext"/>
              <w:keepNext w:val="0"/>
            </w:pPr>
            <w:r w:rsidRPr="00D143B3">
              <w:t>3038</w:t>
            </w:r>
          </w:p>
        </w:tc>
      </w:tr>
      <w:tr w:rsidR="00AE448A" w:rsidRPr="00AE448A" w:rsidTr="00E6729C">
        <w:tc>
          <w:tcPr>
            <w:tcW w:w="232" w:type="pct"/>
          </w:tcPr>
          <w:p w:rsidR="00AE448A" w:rsidRPr="00D143B3" w:rsidRDefault="00AE448A" w:rsidP="00C00E78">
            <w:pPr>
              <w:pStyle w:val="02Tabletext"/>
              <w:keepNext w:val="0"/>
            </w:pPr>
            <w:r w:rsidRPr="00D143B3">
              <w:t>41</w:t>
            </w:r>
          </w:p>
        </w:tc>
        <w:tc>
          <w:tcPr>
            <w:tcW w:w="3989" w:type="pct"/>
          </w:tcPr>
          <w:p w:rsidR="00AE448A" w:rsidRPr="00D143B3" w:rsidRDefault="00AE448A" w:rsidP="00C00E78">
            <w:pPr>
              <w:pStyle w:val="02Tabletext"/>
              <w:keepNext w:val="0"/>
            </w:pPr>
            <w:r w:rsidRPr="00D143B3">
              <w:t>concordance.mp.</w:t>
            </w:r>
          </w:p>
        </w:tc>
        <w:tc>
          <w:tcPr>
            <w:tcW w:w="779" w:type="pct"/>
          </w:tcPr>
          <w:p w:rsidR="00AE448A" w:rsidRPr="00D143B3" w:rsidRDefault="000D723A" w:rsidP="00C00E78">
            <w:pPr>
              <w:pStyle w:val="02Tabletext"/>
              <w:keepNext w:val="0"/>
            </w:pPr>
            <w:r w:rsidRPr="00D143B3">
              <w:t>1778</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42</w:t>
            </w:r>
          </w:p>
        </w:tc>
        <w:tc>
          <w:tcPr>
            <w:tcW w:w="3989" w:type="pct"/>
          </w:tcPr>
          <w:p w:rsidR="00AE448A" w:rsidRPr="00D143B3" w:rsidRDefault="00AE448A" w:rsidP="00C00E78">
            <w:pPr>
              <w:pStyle w:val="02Tabletext"/>
              <w:keepNext w:val="0"/>
            </w:pPr>
            <w:r w:rsidRPr="00D143B3">
              <w:t>37 or 38 or 39 or 40 or 41</w:t>
            </w:r>
          </w:p>
        </w:tc>
        <w:tc>
          <w:tcPr>
            <w:tcW w:w="779" w:type="pct"/>
          </w:tcPr>
          <w:p w:rsidR="00AE448A" w:rsidRPr="00D143B3" w:rsidRDefault="000D723A" w:rsidP="00C00E78">
            <w:pPr>
              <w:pStyle w:val="02Tabletext"/>
              <w:keepNext w:val="0"/>
            </w:pPr>
            <w:r w:rsidRPr="00D143B3">
              <w:t>48720</w:t>
            </w:r>
          </w:p>
        </w:tc>
      </w:tr>
      <w:tr w:rsidR="00AE448A" w:rsidRPr="00AE448A" w:rsidTr="00E6729C">
        <w:tc>
          <w:tcPr>
            <w:tcW w:w="232" w:type="pct"/>
          </w:tcPr>
          <w:p w:rsidR="00AE448A" w:rsidRPr="00D143B3" w:rsidRDefault="00AE448A" w:rsidP="00C00E78">
            <w:pPr>
              <w:pStyle w:val="02Tabletext"/>
              <w:keepNext w:val="0"/>
            </w:pPr>
            <w:r w:rsidRPr="00D143B3">
              <w:t>43</w:t>
            </w:r>
          </w:p>
        </w:tc>
        <w:tc>
          <w:tcPr>
            <w:tcW w:w="3989" w:type="pct"/>
          </w:tcPr>
          <w:p w:rsidR="00AE448A" w:rsidRPr="00D143B3" w:rsidRDefault="00AE448A" w:rsidP="00C00E78">
            <w:pPr>
              <w:pStyle w:val="02Tabletext"/>
              <w:keepNext w:val="0"/>
            </w:pPr>
            <w:r w:rsidRPr="00D143B3">
              <w:t>pharmac*.mp.</w:t>
            </w:r>
          </w:p>
        </w:tc>
        <w:tc>
          <w:tcPr>
            <w:tcW w:w="779" w:type="pct"/>
          </w:tcPr>
          <w:p w:rsidR="00AE448A" w:rsidRPr="00D143B3" w:rsidRDefault="000D723A" w:rsidP="00C00E78">
            <w:pPr>
              <w:pStyle w:val="02Tabletext"/>
              <w:keepNext w:val="0"/>
            </w:pPr>
            <w:r w:rsidRPr="00D143B3">
              <w:t>164978</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44</w:t>
            </w:r>
          </w:p>
        </w:tc>
        <w:tc>
          <w:tcPr>
            <w:tcW w:w="3989" w:type="pct"/>
          </w:tcPr>
          <w:p w:rsidR="00AE448A" w:rsidRPr="00D143B3" w:rsidRDefault="00AE448A" w:rsidP="00C00E78">
            <w:pPr>
              <w:pStyle w:val="02Tabletext"/>
              <w:keepNext w:val="0"/>
            </w:pPr>
            <w:r w:rsidRPr="00D143B3">
              <w:t>community pharmac*.mp.</w:t>
            </w:r>
          </w:p>
        </w:tc>
        <w:tc>
          <w:tcPr>
            <w:tcW w:w="779" w:type="pct"/>
          </w:tcPr>
          <w:p w:rsidR="00AE448A" w:rsidRPr="00D143B3" w:rsidRDefault="000D723A" w:rsidP="00C00E78">
            <w:pPr>
              <w:pStyle w:val="02Tabletext"/>
              <w:keepNext w:val="0"/>
            </w:pPr>
            <w:r w:rsidRPr="00D143B3">
              <w:t>4807</w:t>
            </w:r>
          </w:p>
        </w:tc>
      </w:tr>
      <w:tr w:rsidR="00AE448A" w:rsidRPr="00AE448A" w:rsidTr="00E6729C">
        <w:tc>
          <w:tcPr>
            <w:tcW w:w="232" w:type="pct"/>
          </w:tcPr>
          <w:p w:rsidR="00AE448A" w:rsidRPr="00D143B3" w:rsidRDefault="00AE448A" w:rsidP="00C00E78">
            <w:pPr>
              <w:pStyle w:val="02Tabletext"/>
              <w:keepNext w:val="0"/>
            </w:pPr>
            <w:r w:rsidRPr="00D143B3">
              <w:t>45</w:t>
            </w:r>
          </w:p>
        </w:tc>
        <w:tc>
          <w:tcPr>
            <w:tcW w:w="3989" w:type="pct"/>
          </w:tcPr>
          <w:p w:rsidR="00AE448A" w:rsidRPr="00D143B3" w:rsidRDefault="00AE448A" w:rsidP="00C00E78">
            <w:pPr>
              <w:pStyle w:val="02Tabletext"/>
              <w:keepNext w:val="0"/>
            </w:pPr>
            <w:r w:rsidRPr="00D143B3">
              <w:t>43 or 44</w:t>
            </w:r>
          </w:p>
        </w:tc>
        <w:tc>
          <w:tcPr>
            <w:tcW w:w="779" w:type="pct"/>
          </w:tcPr>
          <w:p w:rsidR="00AE448A" w:rsidRPr="00D143B3" w:rsidRDefault="000D723A" w:rsidP="00C00E78">
            <w:pPr>
              <w:pStyle w:val="02Tabletext"/>
              <w:keepNext w:val="0"/>
            </w:pPr>
            <w:r w:rsidRPr="00D143B3">
              <w:t>164978</w:t>
            </w:r>
          </w:p>
        </w:tc>
      </w:tr>
      <w:tr w:rsidR="00AE448A" w:rsidRPr="00AE448A" w:rsidTr="00E6729C">
        <w:trPr>
          <w:cnfStyle w:val="000000010000" w:firstRow="0" w:lastRow="0" w:firstColumn="0" w:lastColumn="0" w:oddVBand="0" w:evenVBand="0" w:oddHBand="0" w:evenHBand="1" w:firstRowFirstColumn="0" w:firstRowLastColumn="0" w:lastRowFirstColumn="0" w:lastRowLastColumn="0"/>
        </w:trPr>
        <w:tc>
          <w:tcPr>
            <w:tcW w:w="232" w:type="pct"/>
          </w:tcPr>
          <w:p w:rsidR="00AE448A" w:rsidRPr="00D143B3" w:rsidRDefault="00AE448A" w:rsidP="00C00E78">
            <w:pPr>
              <w:pStyle w:val="02Tabletext"/>
              <w:keepNext w:val="0"/>
            </w:pPr>
            <w:r w:rsidRPr="00D143B3">
              <w:t>46</w:t>
            </w:r>
          </w:p>
        </w:tc>
        <w:tc>
          <w:tcPr>
            <w:tcW w:w="3989" w:type="pct"/>
          </w:tcPr>
          <w:p w:rsidR="00AE448A" w:rsidRPr="00D143B3" w:rsidRDefault="00AE448A" w:rsidP="00C00E78">
            <w:pPr>
              <w:pStyle w:val="02Tabletext"/>
              <w:keepNext w:val="0"/>
            </w:pPr>
            <w:r w:rsidRPr="00D143B3">
              <w:t xml:space="preserve">36 and 42 and 45 </w:t>
            </w:r>
          </w:p>
        </w:tc>
        <w:tc>
          <w:tcPr>
            <w:tcW w:w="779" w:type="pct"/>
          </w:tcPr>
          <w:p w:rsidR="00AE448A" w:rsidRPr="00D143B3" w:rsidRDefault="000D723A" w:rsidP="00C00E78">
            <w:pPr>
              <w:pStyle w:val="02Tabletext"/>
              <w:keepNext w:val="0"/>
            </w:pPr>
            <w:r w:rsidRPr="00D143B3">
              <w:t>439</w:t>
            </w:r>
          </w:p>
        </w:tc>
      </w:tr>
    </w:tbl>
    <w:p w:rsidR="001E13CD" w:rsidRDefault="001E13CD" w:rsidP="00103385">
      <w:pPr>
        <w:pStyle w:val="BodyText"/>
      </w:pPr>
    </w:p>
    <w:p w:rsidR="00AE448A" w:rsidRDefault="00AE448A" w:rsidP="00103385">
      <w:pPr>
        <w:pStyle w:val="BodyText"/>
      </w:pPr>
    </w:p>
    <w:p w:rsidR="007151D9" w:rsidRPr="0059629F" w:rsidRDefault="007151D9" w:rsidP="00103385">
      <w:pPr>
        <w:pStyle w:val="BodyText"/>
        <w:sectPr w:rsidR="007151D9" w:rsidRPr="0059629F" w:rsidSect="00E6729C">
          <w:footerReference w:type="default" r:id="rId37"/>
          <w:pgSz w:w="11906" w:h="16838" w:code="9"/>
          <w:pgMar w:top="1134" w:right="1134" w:bottom="1134" w:left="1134" w:header="680" w:footer="851" w:gutter="0"/>
          <w:cols w:space="708"/>
          <w:docGrid w:linePitch="360"/>
        </w:sectPr>
      </w:pPr>
    </w:p>
    <w:p w:rsidR="003B11D3" w:rsidRDefault="00B14B4F" w:rsidP="00B14B4F">
      <w:pPr>
        <w:pStyle w:val="Heading1"/>
        <w:numPr>
          <w:ilvl w:val="0"/>
          <w:numId w:val="0"/>
        </w:numPr>
        <w:ind w:left="510"/>
      </w:pPr>
      <w:bookmarkStart w:id="150" w:name="_Toc523230315"/>
      <w:r>
        <w:lastRenderedPageBreak/>
        <w:t xml:space="preserve">APPENDIX 4 </w:t>
      </w:r>
      <w:r w:rsidR="000C6396">
        <w:t>Excluded publications</w:t>
      </w:r>
      <w:bookmarkEnd w:id="150"/>
    </w:p>
    <w:p w:rsidR="00143449" w:rsidRPr="0056792C" w:rsidRDefault="00EC6FE6" w:rsidP="00EC6FE6">
      <w:pPr>
        <w:pStyle w:val="Caption"/>
      </w:pPr>
      <w:bookmarkStart w:id="151" w:name="_Hlk522874690"/>
      <w:r>
        <w:t xml:space="preserve">Table A-4. </w:t>
      </w:r>
      <w:r w:rsidR="00964233">
        <w:rPr>
          <w:noProof/>
        </w:rPr>
        <w:fldChar w:fldCharType="begin"/>
      </w:r>
      <w:r w:rsidR="00964233">
        <w:rPr>
          <w:noProof/>
        </w:rPr>
        <w:instrText xml:space="preserve"> SEQ Table_A-4. \* ARABIC </w:instrText>
      </w:r>
      <w:r w:rsidR="00964233">
        <w:rPr>
          <w:noProof/>
        </w:rPr>
        <w:fldChar w:fldCharType="separate"/>
      </w:r>
      <w:r w:rsidR="00964233">
        <w:rPr>
          <w:noProof/>
        </w:rPr>
        <w:t>1</w:t>
      </w:r>
      <w:r w:rsidR="00964233">
        <w:rPr>
          <w:noProof/>
        </w:rPr>
        <w:fldChar w:fldCharType="end"/>
      </w:r>
      <w:bookmarkEnd w:id="151"/>
      <w:r>
        <w:t xml:space="preserve"> </w:t>
      </w:r>
      <w:r w:rsidR="00143449" w:rsidRPr="0056792C">
        <w:t>Citation details for other identified reviews excluded from the current evaluation</w:t>
      </w:r>
    </w:p>
    <w:tbl>
      <w:tblPr>
        <w:tblStyle w:val="TableGrid"/>
        <w:tblW w:w="5000" w:type="pct"/>
        <w:tblLook w:val="04A0" w:firstRow="1" w:lastRow="0" w:firstColumn="1" w:lastColumn="0" w:noHBand="0" w:noVBand="1"/>
        <w:tblCaption w:val="Table A-4.1"/>
        <w:tblDescription w:val="Citation details for other identified reviews excluded from the current evaluation"/>
      </w:tblPr>
      <w:tblGrid>
        <w:gridCol w:w="4966"/>
        <w:gridCol w:w="4662"/>
      </w:tblGrid>
      <w:tr w:rsidR="000C6396" w:rsidTr="00E6729C">
        <w:trPr>
          <w:cnfStyle w:val="100000000000" w:firstRow="1" w:lastRow="0" w:firstColumn="0" w:lastColumn="0" w:oddVBand="0" w:evenVBand="0" w:oddHBand="0" w:evenHBand="0" w:firstRowFirstColumn="0" w:firstRowLastColumn="0" w:lastRowFirstColumn="0" w:lastRowLastColumn="0"/>
        </w:trPr>
        <w:tc>
          <w:tcPr>
            <w:tcW w:w="2579" w:type="pct"/>
          </w:tcPr>
          <w:p w:rsidR="000C6396" w:rsidRDefault="000C6396" w:rsidP="000C6396">
            <w:pPr>
              <w:pStyle w:val="01Tableheadingorsubheading"/>
            </w:pPr>
            <w:r>
              <w:t>Citation</w:t>
            </w:r>
          </w:p>
        </w:tc>
        <w:tc>
          <w:tcPr>
            <w:tcW w:w="2421" w:type="pct"/>
          </w:tcPr>
          <w:p w:rsidR="000C6396" w:rsidRDefault="000C6396" w:rsidP="000C6396">
            <w:pPr>
              <w:pStyle w:val="01Tableheadingorsubheading"/>
            </w:pPr>
            <w:r>
              <w:t>Reasons for exclusion</w:t>
            </w:r>
          </w:p>
        </w:tc>
      </w:tr>
      <w:tr w:rsidR="000C6396" w:rsidTr="00E6729C">
        <w:tc>
          <w:tcPr>
            <w:tcW w:w="2579" w:type="pct"/>
          </w:tcPr>
          <w:p w:rsidR="000C6396" w:rsidRPr="00032469" w:rsidRDefault="000C6396" w:rsidP="000C6396">
            <w:pPr>
              <w:pStyle w:val="02Tabletext"/>
              <w:keepNext w:val="0"/>
            </w:pPr>
            <w:r w:rsidRPr="00F47F0A">
              <w:t>Conn VS, Ruppar TM, Chan KC, Dunbar-Jacob J, Pepper GA, De Geest S (2015). Packaging interventions to increase medication adheren</w:t>
            </w:r>
            <w:r>
              <w:t>ce: Systematic review and meta-a</w:t>
            </w:r>
            <w:r w:rsidRPr="00F47F0A">
              <w:t>nalysis. Current Medical Research and Opinion, 31(1):145-60.</w:t>
            </w:r>
          </w:p>
        </w:tc>
        <w:tc>
          <w:tcPr>
            <w:tcW w:w="2421" w:type="pct"/>
          </w:tcPr>
          <w:p w:rsidR="000C6396" w:rsidRDefault="000C6396" w:rsidP="000C6396">
            <w:pPr>
              <w:pStyle w:val="02Tabletext"/>
            </w:pPr>
            <w:r>
              <w:t xml:space="preserve">Examines any intervention, including DAAs that directly improve medication adherence in patients with any medical condition. A pooled analysis of 47/52 included studies was performed. </w:t>
            </w:r>
            <w:r w:rsidRPr="005D4750">
              <w:t>No new evidence was identified from hand searching the reference list</w:t>
            </w:r>
          </w:p>
        </w:tc>
      </w:tr>
      <w:tr w:rsidR="000C6396" w:rsidTr="00E6729C">
        <w:trPr>
          <w:cnfStyle w:val="000000010000" w:firstRow="0" w:lastRow="0" w:firstColumn="0" w:lastColumn="0" w:oddVBand="0" w:evenVBand="0" w:oddHBand="0" w:evenHBand="1" w:firstRowFirstColumn="0" w:firstRowLastColumn="0" w:lastRowFirstColumn="0" w:lastRowLastColumn="0"/>
        </w:trPr>
        <w:tc>
          <w:tcPr>
            <w:tcW w:w="2579" w:type="pct"/>
          </w:tcPr>
          <w:p w:rsidR="000C6396" w:rsidRPr="00F47F0A" w:rsidRDefault="000C6396" w:rsidP="000C6396">
            <w:pPr>
              <w:pStyle w:val="02Tabletext"/>
              <w:keepNext w:val="0"/>
            </w:pPr>
            <w:r w:rsidRPr="007D0C82">
              <w:t>Elliott RA (2014). Appropriate use of dose administration aids. Australian Prescriber, 37(2):46-50.</w:t>
            </w:r>
          </w:p>
        </w:tc>
        <w:tc>
          <w:tcPr>
            <w:tcW w:w="2421" w:type="pct"/>
          </w:tcPr>
          <w:p w:rsidR="000C6396" w:rsidRDefault="000C6396" w:rsidP="000C6396">
            <w:pPr>
              <w:pStyle w:val="02Tabletext"/>
            </w:pPr>
            <w:r>
              <w:t>Narrative review. No new evidence was identified from hand searching the reference list.</w:t>
            </w:r>
          </w:p>
        </w:tc>
      </w:tr>
      <w:tr w:rsidR="000C6396" w:rsidTr="00E6729C">
        <w:tc>
          <w:tcPr>
            <w:tcW w:w="2579" w:type="pct"/>
          </w:tcPr>
          <w:p w:rsidR="000C6396" w:rsidRPr="00F47F0A" w:rsidRDefault="000C6396" w:rsidP="000C6396">
            <w:pPr>
              <w:pStyle w:val="02Tabletext"/>
              <w:keepNext w:val="0"/>
            </w:pPr>
            <w:r w:rsidRPr="00A3153C">
              <w:t>Ryan R, Santesso N, Lowe D, Hill S, Grimshaw J, Prictor M, et al. (2014). Interventions to improve safe and effective medicines use by consumers: an overview of systematic reviews. The Cochrane database of systematic reviews, (4):CD007768.</w:t>
            </w:r>
          </w:p>
        </w:tc>
        <w:tc>
          <w:tcPr>
            <w:tcW w:w="2421" w:type="pct"/>
          </w:tcPr>
          <w:p w:rsidR="000C6396" w:rsidRDefault="000C6396" w:rsidP="000C6396">
            <w:pPr>
              <w:pStyle w:val="02Tabletext"/>
            </w:pPr>
            <w:r>
              <w:t>A systematic review of 75 other systematic reviews, which included the Mahtani (2011) Cochrane review. The objectives and scope of included reviews varied, although almost primarily aimed to improve adherence to medicines or uptake of immunisations using any intervention. No new evidence was identified from hand searching the reference list.</w:t>
            </w:r>
          </w:p>
        </w:tc>
      </w:tr>
      <w:tr w:rsidR="000C6396" w:rsidRPr="00801B01" w:rsidTr="00E6729C">
        <w:trPr>
          <w:cnfStyle w:val="000000010000" w:firstRow="0" w:lastRow="0" w:firstColumn="0" w:lastColumn="0" w:oddVBand="0" w:evenVBand="0" w:oddHBand="0" w:evenHBand="1" w:firstRowFirstColumn="0" w:firstRowLastColumn="0" w:lastRowFirstColumn="0" w:lastRowLastColumn="0"/>
        </w:trPr>
        <w:tc>
          <w:tcPr>
            <w:tcW w:w="2579" w:type="pct"/>
          </w:tcPr>
          <w:p w:rsidR="000C6396" w:rsidRPr="007D1EF7" w:rsidRDefault="000C6396" w:rsidP="000C6396">
            <w:pPr>
              <w:pStyle w:val="02Tabletext"/>
              <w:keepNext w:val="0"/>
            </w:pPr>
            <w:r w:rsidRPr="00032469">
              <w:t>Gwadry-Sridhar FH, Manias E, Lal L, Salas M, Hughes DA, Ratzki-Leewing A, et al. (2013). Impact of interventions on medication adherence and blood pressure control in patients with essential hypertension: A systematic review by the ISPOR medication adherence and persistence special interest group. Value in Health, 16(5):863-71.</w:t>
            </w:r>
          </w:p>
        </w:tc>
        <w:tc>
          <w:tcPr>
            <w:tcW w:w="2421" w:type="pct"/>
          </w:tcPr>
          <w:p w:rsidR="000C6396" w:rsidRPr="00801B01" w:rsidRDefault="000C6396" w:rsidP="000C6396">
            <w:pPr>
              <w:pStyle w:val="02Tabletext"/>
            </w:pPr>
            <w:r>
              <w:t>Examines any intervention that may improve adherence to antihypertensive medication. No new evidence was identified from hand searching the reference list.</w:t>
            </w:r>
          </w:p>
        </w:tc>
      </w:tr>
      <w:tr w:rsidR="000C6396" w:rsidTr="00E6729C">
        <w:tc>
          <w:tcPr>
            <w:tcW w:w="2579" w:type="pct"/>
          </w:tcPr>
          <w:p w:rsidR="000C6396" w:rsidRPr="00032469" w:rsidRDefault="000C6396" w:rsidP="000C6396">
            <w:pPr>
              <w:pStyle w:val="02Tabletext"/>
              <w:keepNext w:val="0"/>
            </w:pPr>
            <w:r w:rsidRPr="003F31B6">
              <w:t>Hersberger KE, Boeni F, Arnet I (2013). Dose-dispensing service as an intervention to improve adherence to polymedication. Expert Review of Clinical Pharmacology, 6(4):413-21.</w:t>
            </w:r>
          </w:p>
        </w:tc>
        <w:tc>
          <w:tcPr>
            <w:tcW w:w="2421" w:type="pct"/>
          </w:tcPr>
          <w:p w:rsidR="000C6396" w:rsidRDefault="000C6396" w:rsidP="000C6396">
            <w:pPr>
              <w:pStyle w:val="02Tabletext"/>
            </w:pPr>
            <w:r>
              <w:t>Narrative review. No new evidence was identified from hand searching the reference list.</w:t>
            </w:r>
          </w:p>
        </w:tc>
      </w:tr>
      <w:tr w:rsidR="000C6396" w:rsidTr="00E6729C">
        <w:trPr>
          <w:cnfStyle w:val="000000010000" w:firstRow="0" w:lastRow="0" w:firstColumn="0" w:lastColumn="0" w:oddVBand="0" w:evenVBand="0" w:oddHBand="0" w:evenHBand="1" w:firstRowFirstColumn="0" w:firstRowLastColumn="0" w:lastRowFirstColumn="0" w:lastRowLastColumn="0"/>
        </w:trPr>
        <w:tc>
          <w:tcPr>
            <w:tcW w:w="2579" w:type="pct"/>
          </w:tcPr>
          <w:p w:rsidR="000C6396" w:rsidRPr="00032469" w:rsidRDefault="000C6396" w:rsidP="000C6396">
            <w:pPr>
              <w:pStyle w:val="02Tabletext"/>
              <w:keepNext w:val="0"/>
            </w:pPr>
            <w:r w:rsidRPr="00A64155">
              <w:t>George J, Elliott RA, Stewart DC (2008). A systematic review of interventions to improve medication taking in elderly patients prescribed multiple medications. Drugs and Aging, 25(4):307-24.</w:t>
            </w:r>
          </w:p>
        </w:tc>
        <w:tc>
          <w:tcPr>
            <w:tcW w:w="2421" w:type="pct"/>
          </w:tcPr>
          <w:p w:rsidR="000C6396" w:rsidRDefault="000C6396" w:rsidP="000C6396">
            <w:pPr>
              <w:pStyle w:val="02Tabletext"/>
            </w:pPr>
            <w:r>
              <w:t>Examines any pharmacy intervention that may enhance adherence in the elderly with a focus on patient education, medication review, and pharmacist follow-up. No new evidence was identified from hand searching the reference list.</w:t>
            </w:r>
          </w:p>
        </w:tc>
      </w:tr>
      <w:tr w:rsidR="000C6396" w:rsidTr="00E6729C">
        <w:tc>
          <w:tcPr>
            <w:tcW w:w="2579" w:type="pct"/>
          </w:tcPr>
          <w:p w:rsidR="000C6396" w:rsidRPr="00032469" w:rsidRDefault="000C6396" w:rsidP="000C6396">
            <w:pPr>
              <w:pStyle w:val="02Tabletext"/>
              <w:keepNext w:val="0"/>
            </w:pPr>
            <w:r w:rsidRPr="00A64155">
              <w:t>Heneghan CJ, Glasziou P, Perera R (2006). Reminder packaging for improving adherence to self-administered long-term medications. Cochrane Database of Systematic Reviews, (1):CD005025.</w:t>
            </w:r>
          </w:p>
        </w:tc>
        <w:tc>
          <w:tcPr>
            <w:tcW w:w="2421" w:type="pct"/>
          </w:tcPr>
          <w:p w:rsidR="000C6396" w:rsidRDefault="000C6396" w:rsidP="000C6396">
            <w:pPr>
              <w:pStyle w:val="02Tabletext"/>
            </w:pPr>
            <w:r>
              <w:t>Superseded by the Mahtani (2011) Cochrane review.</w:t>
            </w:r>
          </w:p>
        </w:tc>
      </w:tr>
      <w:tr w:rsidR="000C6396" w:rsidTr="00E6729C">
        <w:trPr>
          <w:cnfStyle w:val="000000010000" w:firstRow="0" w:lastRow="0" w:firstColumn="0" w:lastColumn="0" w:oddVBand="0" w:evenVBand="0" w:oddHBand="0" w:evenHBand="1" w:firstRowFirstColumn="0" w:firstRowLastColumn="0" w:lastRowFirstColumn="0" w:lastRowLastColumn="0"/>
        </w:trPr>
        <w:tc>
          <w:tcPr>
            <w:tcW w:w="2579" w:type="pct"/>
          </w:tcPr>
          <w:p w:rsidR="000C6396" w:rsidRPr="009E34BE" w:rsidRDefault="000C6396" w:rsidP="000C6396">
            <w:pPr>
              <w:pStyle w:val="02Tabletext"/>
              <w:keepNext w:val="0"/>
            </w:pPr>
            <w:r w:rsidRPr="0049738C">
              <w:t>Lindenmeyer A, Hearnshaw H, Vermeire E, Van Royen P, Wens J, Biot Y (2006). Interventions to improve adherence to medication in people with type 2 diabetes mellitus: A review of the literature on the role of pharmacists. Journal of Clinical Pharmacy and Therapeutics, 31(5):409-19.</w:t>
            </w:r>
          </w:p>
        </w:tc>
        <w:tc>
          <w:tcPr>
            <w:tcW w:w="2421" w:type="pct"/>
          </w:tcPr>
          <w:p w:rsidR="000C6396" w:rsidRDefault="000C6396" w:rsidP="000C6396">
            <w:pPr>
              <w:pStyle w:val="02Tabletext"/>
              <w:keepNext w:val="0"/>
            </w:pPr>
            <w:r>
              <w:t>Focusses on a range of diabetes care interventions delivered by pharmacists to improve adherence to medication. The studies reviewed formed a subgroup of those reported in the Vermiere (2005) Cochrane review. This included the study by Skaer et al (1993a), which was included in the Mahtani (2011) Cochrane review, the Zedler (2011) and the Boeni (2014) systematic reviews.</w:t>
            </w:r>
          </w:p>
        </w:tc>
      </w:tr>
      <w:tr w:rsidR="000C6396" w:rsidTr="00E6729C">
        <w:tc>
          <w:tcPr>
            <w:tcW w:w="2579" w:type="pct"/>
          </w:tcPr>
          <w:p w:rsidR="000C6396" w:rsidRPr="0049738C" w:rsidRDefault="000C6396" w:rsidP="000C6396">
            <w:pPr>
              <w:pStyle w:val="02Tabletext"/>
              <w:keepNext w:val="0"/>
            </w:pPr>
            <w:r w:rsidRPr="001609FE">
              <w:t>Connor J, Rafter N, Rodgers A (2004). Do fixed-dose combination pills or unit-of-use packaging improve adherence? A systematic review. Bull World Health Organ, 82(12):935-9.</w:t>
            </w:r>
          </w:p>
        </w:tc>
        <w:tc>
          <w:tcPr>
            <w:tcW w:w="2421" w:type="pct"/>
          </w:tcPr>
          <w:p w:rsidR="000C6396" w:rsidRDefault="000C6396" w:rsidP="000C6396">
            <w:pPr>
              <w:pStyle w:val="02Tabletext"/>
              <w:keepNext w:val="0"/>
            </w:pPr>
            <w:r>
              <w:t>Presents a narrative discussion only, thus presenting difficulties with data extraction. No new evidence was identified from hand searching the reference list.</w:t>
            </w:r>
          </w:p>
        </w:tc>
      </w:tr>
      <w:tr w:rsidR="000C6396" w:rsidTr="00E6729C">
        <w:trPr>
          <w:cnfStyle w:val="000000010000" w:firstRow="0" w:lastRow="0" w:firstColumn="0" w:lastColumn="0" w:oddVBand="0" w:evenVBand="0" w:oddHBand="0" w:evenHBand="1" w:firstRowFirstColumn="0" w:firstRowLastColumn="0" w:lastRowFirstColumn="0" w:lastRowLastColumn="0"/>
        </w:trPr>
        <w:tc>
          <w:tcPr>
            <w:tcW w:w="2579" w:type="pct"/>
          </w:tcPr>
          <w:p w:rsidR="000C6396" w:rsidRPr="001609FE" w:rsidRDefault="000C6396" w:rsidP="000C6396">
            <w:pPr>
              <w:pStyle w:val="02Tabletext"/>
              <w:keepNext w:val="0"/>
            </w:pPr>
            <w:r w:rsidRPr="006F73FE">
              <w:t>Krueger KP, Felkey BG, Berger BA (2003). Improving adherence and persistence: a review and assessment of interventions and description of steps toward a national adherence initiative. Journal of the A</w:t>
            </w:r>
            <w:r>
              <w:t>merican Pharmacists Association</w:t>
            </w:r>
            <w:r w:rsidRPr="006F73FE">
              <w:t>: JAPhA, 43(6):668-78; quiz 78-79.</w:t>
            </w:r>
          </w:p>
        </w:tc>
        <w:tc>
          <w:tcPr>
            <w:tcW w:w="2421" w:type="pct"/>
          </w:tcPr>
          <w:p w:rsidR="000C6396" w:rsidRDefault="000C6396" w:rsidP="000C6396">
            <w:pPr>
              <w:pStyle w:val="02Tabletext"/>
              <w:keepNext w:val="0"/>
            </w:pPr>
            <w:r>
              <w:t>Focusses on adherence-related interventions and their effectiveness. No new evidence was identified from hand searching the reference list.</w:t>
            </w:r>
          </w:p>
        </w:tc>
      </w:tr>
    </w:tbl>
    <w:p w:rsidR="000C6396" w:rsidRDefault="000C6396" w:rsidP="000C6396"/>
    <w:p w:rsidR="00143449" w:rsidRPr="0056792C" w:rsidRDefault="00EC6FE6" w:rsidP="0056792C">
      <w:pPr>
        <w:pStyle w:val="Caption"/>
      </w:pPr>
      <w:r>
        <w:lastRenderedPageBreak/>
        <w:t xml:space="preserve">Table A-4. </w:t>
      </w:r>
      <w:r w:rsidR="00964233">
        <w:rPr>
          <w:noProof/>
        </w:rPr>
        <w:fldChar w:fldCharType="begin"/>
      </w:r>
      <w:r w:rsidR="00964233">
        <w:rPr>
          <w:noProof/>
        </w:rPr>
        <w:instrText xml:space="preserve"> SEQ Table_A-4. \* ARABIC </w:instrText>
      </w:r>
      <w:r w:rsidR="00964233">
        <w:rPr>
          <w:noProof/>
        </w:rPr>
        <w:fldChar w:fldCharType="separate"/>
      </w:r>
      <w:r w:rsidR="00964233">
        <w:rPr>
          <w:noProof/>
        </w:rPr>
        <w:t>2</w:t>
      </w:r>
      <w:r w:rsidR="00964233">
        <w:rPr>
          <w:noProof/>
        </w:rPr>
        <w:fldChar w:fldCharType="end"/>
      </w:r>
      <w:r w:rsidR="00143449" w:rsidRPr="0056792C">
        <w:tab/>
        <w:t>Citation details for other identified primary studies excluded from the current evaluation</w:t>
      </w:r>
    </w:p>
    <w:tbl>
      <w:tblPr>
        <w:tblStyle w:val="TableGrid"/>
        <w:tblW w:w="5000" w:type="pct"/>
        <w:tblLook w:val="04A0" w:firstRow="1" w:lastRow="0" w:firstColumn="1" w:lastColumn="0" w:noHBand="0" w:noVBand="1"/>
        <w:tblCaption w:val="Table A-4.2"/>
        <w:tblDescription w:val="Citation details for other identified primary studies excluded from the current evaluation"/>
      </w:tblPr>
      <w:tblGrid>
        <w:gridCol w:w="5719"/>
        <w:gridCol w:w="3909"/>
      </w:tblGrid>
      <w:tr w:rsidR="00FD47B1" w:rsidTr="00DA6219">
        <w:trPr>
          <w:cnfStyle w:val="100000000000" w:firstRow="1" w:lastRow="0" w:firstColumn="0" w:lastColumn="0" w:oddVBand="0" w:evenVBand="0" w:oddHBand="0" w:evenHBand="0" w:firstRowFirstColumn="0" w:firstRowLastColumn="0" w:lastRowFirstColumn="0" w:lastRowLastColumn="0"/>
        </w:trPr>
        <w:tc>
          <w:tcPr>
            <w:tcW w:w="2970" w:type="pct"/>
          </w:tcPr>
          <w:p w:rsidR="00FD47B1" w:rsidRDefault="00FD47B1" w:rsidP="00DA6219">
            <w:pPr>
              <w:pStyle w:val="01Tableheadingorsubheading"/>
              <w:keepNext w:val="0"/>
            </w:pPr>
            <w:r>
              <w:t>Citation</w:t>
            </w:r>
          </w:p>
        </w:tc>
        <w:tc>
          <w:tcPr>
            <w:tcW w:w="2030" w:type="pct"/>
          </w:tcPr>
          <w:p w:rsidR="00FD47B1" w:rsidRDefault="00FD47B1" w:rsidP="00DA6219">
            <w:pPr>
              <w:pStyle w:val="01Tableheadingorsubheading"/>
              <w:keepNext w:val="0"/>
            </w:pPr>
            <w:r>
              <w:t>Reason for exclusion</w:t>
            </w:r>
          </w:p>
        </w:tc>
      </w:tr>
      <w:tr w:rsidR="00FD47B1" w:rsidTr="00DA6219">
        <w:tc>
          <w:tcPr>
            <w:tcW w:w="2970" w:type="pct"/>
          </w:tcPr>
          <w:p w:rsidR="00FD47B1" w:rsidRPr="00F3612B" w:rsidRDefault="00FD47B1" w:rsidP="00DA6219">
            <w:pPr>
              <w:pStyle w:val="02Tabletext"/>
              <w:keepNext w:val="0"/>
            </w:pPr>
            <w:r w:rsidRPr="00F47F0A">
              <w:t>Mosca C, Castel-Branco MM, Ribeiro-Rama AC, Caramona MM, Fernandez-Llimos F, Figueiredo IV (2014). Assessing the impact of multi-compartment compliance aids on clinical outcomes in the elderly: A pilot study. International Journal of Clinical Pharmacy, 36(1):98-104.</w:t>
            </w:r>
          </w:p>
        </w:tc>
        <w:tc>
          <w:tcPr>
            <w:tcW w:w="2030" w:type="pct"/>
          </w:tcPr>
          <w:p w:rsidR="00FD47B1" w:rsidRDefault="00FD47B1" w:rsidP="00DA6219">
            <w:pPr>
              <w:pStyle w:val="02Tabletext"/>
              <w:keepNext w:val="0"/>
            </w:pPr>
            <w:r>
              <w:t>Participants received medication follow-up from the community pharmacist.</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Pr="00F47F0A" w:rsidRDefault="00FD47B1" w:rsidP="00DA6219">
            <w:pPr>
              <w:pStyle w:val="02Tabletext"/>
              <w:keepNext w:val="0"/>
            </w:pPr>
            <w:r>
              <w:t>Z</w:t>
            </w:r>
            <w:r w:rsidRPr="00A3153C">
              <w:t>illich AJ, Jaynes HA, Snyder ME, Harrison J, Hudmon KS, de Moor C, et al. (2012). Evaluation of specialized medication packaging combined with medication therapy management: adherence, outcomes, and costs among Medicaid patients. Medical Care, 50(6):485-93.</w:t>
            </w:r>
          </w:p>
        </w:tc>
        <w:tc>
          <w:tcPr>
            <w:tcW w:w="2030" w:type="pct"/>
          </w:tcPr>
          <w:p w:rsidR="00FD47B1" w:rsidRDefault="00FD47B1" w:rsidP="00DA6219">
            <w:pPr>
              <w:pStyle w:val="02Tabletext"/>
              <w:keepNext w:val="0"/>
            </w:pPr>
            <w:r>
              <w:t>Intervention included specialis</w:t>
            </w:r>
            <w:r w:rsidRPr="00A3153C">
              <w:t>ed medication packaging and telephoni</w:t>
            </w:r>
            <w:r>
              <w:t>c medication therapy management.</w:t>
            </w:r>
          </w:p>
        </w:tc>
      </w:tr>
      <w:tr w:rsidR="00FD47B1" w:rsidTr="00DA6219">
        <w:tc>
          <w:tcPr>
            <w:tcW w:w="2970" w:type="pct"/>
          </w:tcPr>
          <w:p w:rsidR="00FD47B1" w:rsidRDefault="00FD47B1" w:rsidP="00DA6219">
            <w:pPr>
              <w:pStyle w:val="02Tabletext"/>
              <w:keepNext w:val="0"/>
            </w:pPr>
            <w:r w:rsidRPr="00F3612B">
              <w:t>Jansen A, Andersen KF, Bruning H (2009). Evaluation of a compliance device in a subgroup of adult patients receiving specific immunotherapy with grass allergen tablets (GRAZAX) in a randomized, open-label, controlled study: an a priori subgroup analysis. Clinical Therapeutics, 31(2):321-7.</w:t>
            </w:r>
          </w:p>
        </w:tc>
        <w:tc>
          <w:tcPr>
            <w:tcW w:w="2030" w:type="pct"/>
          </w:tcPr>
          <w:p w:rsidR="00FD47B1" w:rsidRDefault="00FD47B1" w:rsidP="00DA6219">
            <w:pPr>
              <w:pStyle w:val="02Tabletext"/>
              <w:keepNext w:val="0"/>
            </w:pPr>
            <w:r>
              <w:t>Automated compliance device.</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Pr="00F3612B" w:rsidRDefault="00FD47B1" w:rsidP="00DA6219">
            <w:pPr>
              <w:pStyle w:val="02Tabletext"/>
            </w:pPr>
            <w:r>
              <w:t>Nochowitz B, Shapiro NL, Nutescu EA, Cavallari LH. (2009). Effect of a warfarin adherence aid on anticoagulation control in an inner-city anticoagulation clinic population. Ann Pharmacother, (43):1165–1172.</w:t>
            </w:r>
          </w:p>
        </w:tc>
        <w:tc>
          <w:tcPr>
            <w:tcW w:w="2030" w:type="pct"/>
          </w:tcPr>
          <w:p w:rsidR="00FD47B1" w:rsidRDefault="00FD47B1" w:rsidP="00DA6219">
            <w:pPr>
              <w:pStyle w:val="02Tabletext"/>
            </w:pPr>
            <w:r>
              <w:t>Drug reminder packaging in combination with other aids.</w:t>
            </w:r>
          </w:p>
        </w:tc>
      </w:tr>
      <w:tr w:rsidR="00FD47B1" w:rsidTr="00DA6219">
        <w:tc>
          <w:tcPr>
            <w:tcW w:w="2970" w:type="pct"/>
          </w:tcPr>
          <w:p w:rsidR="00FD47B1" w:rsidRPr="009E34BE" w:rsidRDefault="00FD47B1" w:rsidP="00DA6219">
            <w:pPr>
              <w:pStyle w:val="02Tabletext"/>
              <w:keepNext w:val="0"/>
            </w:pPr>
            <w:r>
              <w:t>Valenstein M, Kavanagh J, Lee T, Reilly P, Dalack GW, Grabowski J, Smelson D, Ronis DL, Ganoczy D, Woltmann E, Metreger T, Wolschon P, Jensen A, Poddig B, Blow FC (2009). Using a pharmacy-based intervention to improve antipsychotic adherence among patients with serious mental illness. Schizophr Bull, 37:727–736.</w:t>
            </w:r>
          </w:p>
        </w:tc>
        <w:tc>
          <w:tcPr>
            <w:tcW w:w="2030" w:type="pct"/>
          </w:tcPr>
          <w:p w:rsidR="00FD47B1" w:rsidRDefault="00FD47B1" w:rsidP="00DA6219">
            <w:pPr>
              <w:pStyle w:val="02Tabletext"/>
              <w:keepNext w:val="0"/>
            </w:pPr>
            <w:r>
              <w:t>Multifaceted pharmacy intervention, consisting of a unit-of-use packaging, medication and packaging education session, refill reminders and notification of clinicians when patients failed to fill antipsychotic prescriptions within 7–10 days of a fill date.</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keepNext w:val="0"/>
            </w:pPr>
            <w:r w:rsidRPr="009F1C77">
              <w:t>Kripalani S, Robertson R, Love-Ghaffari MH, Henderson LE, Praska J, Strawder A, et al. (2007). Development of an illustrated medication schedule as a low-literacy patient education tool. Patient Education and Counseling, 66(3):368-77.</w:t>
            </w:r>
          </w:p>
        </w:tc>
        <w:tc>
          <w:tcPr>
            <w:tcW w:w="2030" w:type="pct"/>
          </w:tcPr>
          <w:p w:rsidR="00FD47B1" w:rsidRDefault="00FD47B1" w:rsidP="00DA6219">
            <w:pPr>
              <w:pStyle w:val="02Tabletext"/>
              <w:keepNext w:val="0"/>
            </w:pPr>
            <w:r>
              <w:t>Examined the use of an illustrated medication schedule (pill card).</w:t>
            </w:r>
          </w:p>
        </w:tc>
      </w:tr>
      <w:tr w:rsidR="00FD47B1" w:rsidTr="00DA6219">
        <w:tc>
          <w:tcPr>
            <w:tcW w:w="2970" w:type="pct"/>
          </w:tcPr>
          <w:p w:rsidR="00FD47B1" w:rsidRDefault="00FD47B1" w:rsidP="00DA6219">
            <w:pPr>
              <w:pStyle w:val="02Tabletext"/>
              <w:keepNext w:val="0"/>
            </w:pPr>
            <w:r>
              <w:t>Murray MD, Young J, Hoke S, Tu W, Weiner M, Morrow D, et al. (2007). Pharmacist intervention to improve medication adherence in heart failure: a randomized trial. Annals of Internal Medicine 2007; 146(10):714–25.</w:t>
            </w:r>
          </w:p>
        </w:tc>
        <w:tc>
          <w:tcPr>
            <w:tcW w:w="2030" w:type="pct"/>
          </w:tcPr>
          <w:p w:rsidR="00FD47B1" w:rsidRDefault="00FD47B1" w:rsidP="00DA6219">
            <w:pPr>
              <w:pStyle w:val="02Tabletext"/>
              <w:keepNext w:val="0"/>
            </w:pPr>
            <w:r>
              <w:t>The intervention group were given care from a pharmacist who provided a 9-month multilevel intervention, with a 3-month post study phase. Control group received standard care.</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keepNext w:val="0"/>
            </w:pPr>
            <w:r>
              <w:t>Lee JK, Grace KA, Taylor AJ (2006). Effect of a pharmacy care program on medication adherence and persistence, blood pressure, and low-density lipoprotein cholesterol: a randomized controlled trial. JAMA, 296:2563–2571</w:t>
            </w:r>
          </w:p>
        </w:tc>
        <w:tc>
          <w:tcPr>
            <w:tcW w:w="2030" w:type="pct"/>
          </w:tcPr>
          <w:p w:rsidR="00FD47B1" w:rsidRDefault="00FD47B1" w:rsidP="00DA6219">
            <w:pPr>
              <w:pStyle w:val="02Tabletext"/>
              <w:keepNext w:val="0"/>
            </w:pPr>
            <w:r>
              <w:t>Multifaceted pharmacy intervention, consisting of individualised medication education (using standardised scripts), medications dispensed using blister packs, and regular follow-up with clinical pharmacists every 2 months.</w:t>
            </w:r>
          </w:p>
        </w:tc>
      </w:tr>
      <w:tr w:rsidR="00FD47B1" w:rsidTr="00DA6219">
        <w:tc>
          <w:tcPr>
            <w:tcW w:w="2970" w:type="pct"/>
          </w:tcPr>
          <w:p w:rsidR="00FD47B1" w:rsidRDefault="00FD47B1" w:rsidP="00DA6219">
            <w:pPr>
              <w:pStyle w:val="02Tabletext"/>
              <w:keepNext w:val="0"/>
            </w:pPr>
            <w:r w:rsidRPr="009E34BE">
              <w:t>Suppapitiporn S, Chindavijak B</w:t>
            </w:r>
            <w:r>
              <w:t>, Onsanit S (2005). Effect of diabetes drug counseling by pharmacist, diabetic disease booklet and special medication containers on glycemic control of type 2 diabetes mellitus: a randomized controlled trial. Journal of the Medical Association of Thailand; 88 Suppl 4:S134–41.</w:t>
            </w:r>
          </w:p>
        </w:tc>
        <w:tc>
          <w:tcPr>
            <w:tcW w:w="2030" w:type="pct"/>
          </w:tcPr>
          <w:p w:rsidR="00FD47B1" w:rsidRPr="00BE4A3A" w:rsidRDefault="00FD47B1" w:rsidP="00DA6219">
            <w:pPr>
              <w:pStyle w:val="02Tabletext"/>
              <w:keepNext w:val="0"/>
            </w:pPr>
            <w:r>
              <w:t>Multiple interventions (included disease counselling and education). Participants were recruited from Endocrine Clinics in King Chulalongkorn Memorial Hospital, Bangkok.</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keepNext w:val="0"/>
            </w:pPr>
            <w:r>
              <w:t>Huang HA, Maguire MG, Miller ER, Appel LJ (2000). Impact of pill organizers and blister packs on adherence to pill taking in two vitamin supplement trials (TRACE). American Journal of Epidemiology, 152:780–7.</w:t>
            </w:r>
          </w:p>
        </w:tc>
        <w:tc>
          <w:tcPr>
            <w:tcW w:w="2030" w:type="pct"/>
          </w:tcPr>
          <w:p w:rsidR="00FD47B1" w:rsidRPr="00A60A15" w:rsidRDefault="00FD47B1" w:rsidP="00DA6219">
            <w:pPr>
              <w:pStyle w:val="02Tabletext"/>
              <w:keepNext w:val="0"/>
            </w:pPr>
            <w:r>
              <w:t>Pill organisers packed by the study participants.</w:t>
            </w:r>
          </w:p>
        </w:tc>
      </w:tr>
      <w:tr w:rsidR="00FD47B1" w:rsidTr="00DA6219">
        <w:tc>
          <w:tcPr>
            <w:tcW w:w="2970" w:type="pct"/>
          </w:tcPr>
          <w:p w:rsidR="00FD47B1" w:rsidRDefault="00FD47B1" w:rsidP="00DA6219">
            <w:pPr>
              <w:pStyle w:val="02Tabletext"/>
              <w:keepNext w:val="0"/>
            </w:pPr>
            <w:r>
              <w:t>Henry A, Batey RG (1999). Enhancing compliance not a prerequisite for effective eradication of Helicobacter Pylori: the HelP study. American Journal of Gastroenterology, 94(3):811–5.</w:t>
            </w:r>
          </w:p>
        </w:tc>
        <w:tc>
          <w:tcPr>
            <w:tcW w:w="2030" w:type="pct"/>
          </w:tcPr>
          <w:p w:rsidR="00FD47B1" w:rsidRPr="00B6296D" w:rsidRDefault="00FD47B1" w:rsidP="00DA6219">
            <w:pPr>
              <w:pStyle w:val="02Tabletext"/>
            </w:pPr>
            <w:r w:rsidRPr="00F171A2">
              <w:t>Patient received a package of “compliance</w:t>
            </w:r>
            <w:r>
              <w:t xml:space="preserve"> </w:t>
            </w:r>
            <w:r w:rsidRPr="00F171A2">
              <w:t xml:space="preserve">enhancing measures” </w:t>
            </w:r>
            <w:r>
              <w:t xml:space="preserve">including a </w:t>
            </w:r>
            <w:r w:rsidRPr="00F171A2">
              <w:t>dose dispensing unit, medication chart, an information sheet about H. pylori treatment, and phone call 2 days after starting therapy</w:t>
            </w:r>
            <w:r>
              <w:t>. Treatment extended over ten days.</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keepNext w:val="0"/>
            </w:pPr>
            <w:r>
              <w:lastRenderedPageBreak/>
              <w:t>Azrin NH, Teichner G (1998). Evaluation of an instructional program for improving medication compliance for chronically mentally ill outpatients. Behaviour Research and Therapy, 36:849–61.</w:t>
            </w:r>
          </w:p>
        </w:tc>
        <w:tc>
          <w:tcPr>
            <w:tcW w:w="2030" w:type="pct"/>
          </w:tcPr>
          <w:p w:rsidR="00FD47B1" w:rsidRDefault="00FD47B1" w:rsidP="00DA6219">
            <w:pPr>
              <w:pStyle w:val="02Tabletext"/>
            </w:pPr>
            <w:r w:rsidRPr="00A60A15">
              <w:t>Drug reminder packaging used in combination with other interventions</w:t>
            </w:r>
            <w:r>
              <w:t>.</w:t>
            </w:r>
          </w:p>
          <w:p w:rsidR="00FD47B1" w:rsidRDefault="00D95C9F" w:rsidP="00DA6219">
            <w:pPr>
              <w:pStyle w:val="02Tabletext"/>
            </w:pPr>
            <w:r>
              <w:t>Pillbox, not tamper-</w:t>
            </w:r>
            <w:r w:rsidR="00FD47B1">
              <w:t>evident.</w:t>
            </w:r>
          </w:p>
        </w:tc>
      </w:tr>
      <w:tr w:rsidR="00FD47B1" w:rsidTr="00DA6219">
        <w:tc>
          <w:tcPr>
            <w:tcW w:w="2970" w:type="pct"/>
          </w:tcPr>
          <w:p w:rsidR="00FD47B1" w:rsidRDefault="00FD47B1" w:rsidP="00DA6219">
            <w:pPr>
              <w:pStyle w:val="02Tabletext"/>
            </w:pPr>
            <w:r>
              <w:t>Murray MD, Birt JA, Manatunga AK, Darnell JC. Medication compliance in elderly outpatients using twice daily dosing and unit-of-use packaging. Annals of Pharmacotherapy 1993; 27:616–21.</w:t>
            </w:r>
          </w:p>
        </w:tc>
        <w:tc>
          <w:tcPr>
            <w:tcW w:w="2030" w:type="pct"/>
          </w:tcPr>
          <w:p w:rsidR="00FD47B1" w:rsidRPr="00A60A15" w:rsidRDefault="00FD47B1" w:rsidP="00DA6219">
            <w:pPr>
              <w:pStyle w:val="02Tabletext"/>
            </w:pPr>
            <w:r>
              <w:t>Unit-of-use packaging, with no clear use of a calendar device. A colour system was used for labelling medication packages.</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pPr>
            <w:r>
              <w:t>Ware GJ, Holford N, Davison JG (1991). Unit dose calendar packaging and elderly compliance. New Zealand Medical Journal, 104:495–7.</w:t>
            </w:r>
          </w:p>
        </w:tc>
        <w:tc>
          <w:tcPr>
            <w:tcW w:w="2030" w:type="pct"/>
          </w:tcPr>
          <w:p w:rsidR="00FD47B1" w:rsidRDefault="00FD47B1" w:rsidP="00DA6219">
            <w:pPr>
              <w:pStyle w:val="02Tabletext"/>
            </w:pPr>
            <w:r>
              <w:t xml:space="preserve">The </w:t>
            </w:r>
            <w:r w:rsidRPr="006520A0">
              <w:t>un</w:t>
            </w:r>
            <w:r>
              <w:t>it dose</w:t>
            </w:r>
            <w:r w:rsidRPr="006520A0">
              <w:t xml:space="preserve"> calendar packaging (Webster-Pak) </w:t>
            </w:r>
            <w:r>
              <w:t>was provided to inpatients</w:t>
            </w:r>
            <w:r w:rsidRPr="006520A0">
              <w:t xml:space="preserve"> </w:t>
            </w:r>
            <w:r>
              <w:t xml:space="preserve">that were followed-up three months </w:t>
            </w:r>
            <w:r w:rsidRPr="006520A0">
              <w:t>after discharge to the community</w:t>
            </w:r>
            <w:r>
              <w:t>.</w:t>
            </w:r>
            <w:r w:rsidRPr="006520A0">
              <w:t xml:space="preserve"> </w:t>
            </w:r>
          </w:p>
        </w:tc>
      </w:tr>
      <w:tr w:rsidR="00FD47B1" w:rsidTr="00DA6219">
        <w:tc>
          <w:tcPr>
            <w:tcW w:w="2970" w:type="pct"/>
          </w:tcPr>
          <w:p w:rsidR="00FD47B1" w:rsidRDefault="00FD47B1" w:rsidP="00DA6219">
            <w:pPr>
              <w:pStyle w:val="02Tabletext"/>
              <w:keepNext w:val="0"/>
            </w:pPr>
            <w:r>
              <w:t>Binstock ML, Franklin KL (1988). A comparison of compliance techniques on the control of high blood pressure. American Journal of Hypertension, 1:192S–4S.</w:t>
            </w:r>
          </w:p>
        </w:tc>
        <w:tc>
          <w:tcPr>
            <w:tcW w:w="2030" w:type="pct"/>
          </w:tcPr>
          <w:p w:rsidR="00FD47B1" w:rsidRDefault="00FD47B1" w:rsidP="00DA6219">
            <w:pPr>
              <w:pStyle w:val="02Tabletext"/>
            </w:pPr>
            <w:r>
              <w:t>Drug reminder packaging used in combination with other interventions.</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keepNext w:val="0"/>
            </w:pPr>
            <w:r w:rsidRPr="00F90DAD">
              <w:t>Peterson GM, McLean S, Millingen KS (1984). A randomised trial of strategies to improve patient compliance with anticonvulsant therapy. Epilepsia, 25(4):412-7.</w:t>
            </w:r>
          </w:p>
        </w:tc>
        <w:tc>
          <w:tcPr>
            <w:tcW w:w="2030" w:type="pct"/>
          </w:tcPr>
          <w:p w:rsidR="00FD47B1" w:rsidRDefault="00FD47B1" w:rsidP="00DA6219">
            <w:pPr>
              <w:pStyle w:val="02Tabletext"/>
              <w:keepNext w:val="0"/>
            </w:pPr>
            <w:r>
              <w:t>Participants were given a combination of “compliance-improving strategies” for the treatment of epilepsy.</w:t>
            </w:r>
          </w:p>
        </w:tc>
      </w:tr>
      <w:tr w:rsidR="00FD47B1" w:rsidTr="00DA6219">
        <w:tc>
          <w:tcPr>
            <w:tcW w:w="2970" w:type="pct"/>
          </w:tcPr>
          <w:p w:rsidR="00FD47B1" w:rsidRDefault="00FD47B1" w:rsidP="00DA6219">
            <w:pPr>
              <w:pStyle w:val="02Tabletext"/>
              <w:keepNext w:val="0"/>
            </w:pPr>
            <w:r>
              <w:t>Crome P, Curl B, Boswell M, Corless D, Lewis RR (1982). Assessment of a new calendar pack: the C-Pak. Age and Ageing, 11:275–9.</w:t>
            </w:r>
          </w:p>
        </w:tc>
        <w:tc>
          <w:tcPr>
            <w:tcW w:w="2030" w:type="pct"/>
          </w:tcPr>
          <w:p w:rsidR="00FD47B1" w:rsidRDefault="00FD47B1" w:rsidP="00DA6219">
            <w:pPr>
              <w:pStyle w:val="02Tabletext"/>
              <w:keepNext w:val="0"/>
            </w:pPr>
            <w:r>
              <w:t>In-hospital patients.</w:t>
            </w:r>
          </w:p>
        </w:tc>
      </w:tr>
      <w:tr w:rsidR="00FD47B1" w:rsidTr="00DA6219">
        <w:trPr>
          <w:cnfStyle w:val="000000010000" w:firstRow="0" w:lastRow="0" w:firstColumn="0" w:lastColumn="0" w:oddVBand="0" w:evenVBand="0" w:oddHBand="0" w:evenHBand="1" w:firstRowFirstColumn="0" w:firstRowLastColumn="0" w:lastRowFirstColumn="0" w:lastRowLastColumn="0"/>
        </w:trPr>
        <w:tc>
          <w:tcPr>
            <w:tcW w:w="2970" w:type="pct"/>
          </w:tcPr>
          <w:p w:rsidR="00FD47B1" w:rsidRDefault="00FD47B1" w:rsidP="00DA6219">
            <w:pPr>
              <w:pStyle w:val="02Tabletext"/>
              <w:keepNext w:val="0"/>
            </w:pPr>
            <w:r w:rsidRPr="00055B4A">
              <w:t>Rehder TL, McCoy LK, Blackwell B, et al.</w:t>
            </w:r>
            <w:r>
              <w:t xml:space="preserve"> (1980).</w:t>
            </w:r>
            <w:r w:rsidRPr="00055B4A">
              <w:t xml:space="preserve"> Improving medication compliance by counseling and special prescription </w:t>
            </w:r>
            <w:r>
              <w:t>container. Am J Hosp Pharm</w:t>
            </w:r>
            <w:r w:rsidRPr="00055B4A">
              <w:t>;</w:t>
            </w:r>
            <w:r>
              <w:t xml:space="preserve"> (</w:t>
            </w:r>
            <w:r w:rsidRPr="00055B4A">
              <w:t>37</w:t>
            </w:r>
            <w:r>
              <w:t>):379–85.</w:t>
            </w:r>
          </w:p>
        </w:tc>
        <w:tc>
          <w:tcPr>
            <w:tcW w:w="2030" w:type="pct"/>
          </w:tcPr>
          <w:p w:rsidR="00FD47B1" w:rsidRDefault="00FD47B1" w:rsidP="00DA6219">
            <w:pPr>
              <w:pStyle w:val="02Tabletext"/>
              <w:keepNext w:val="0"/>
            </w:pPr>
            <w:r>
              <w:t>Special medication containers used in combination with counselling.</w:t>
            </w:r>
          </w:p>
        </w:tc>
      </w:tr>
      <w:tr w:rsidR="00FD47B1" w:rsidTr="00DA6219">
        <w:tc>
          <w:tcPr>
            <w:tcW w:w="2970" w:type="pct"/>
          </w:tcPr>
          <w:p w:rsidR="00FD47B1" w:rsidRDefault="00FD47B1" w:rsidP="00DA6219">
            <w:pPr>
              <w:pStyle w:val="02Tabletext"/>
              <w:keepNext w:val="0"/>
            </w:pPr>
            <w:r w:rsidRPr="00E91A7C">
              <w:t>Eshelman FN, Fitzloff J (1976). Effect of packaging on patient compliance with an antihypertensive medication. Curr Ther Res Clin Exp, 20(2):215-9.</w:t>
            </w:r>
          </w:p>
        </w:tc>
        <w:tc>
          <w:tcPr>
            <w:tcW w:w="2030" w:type="pct"/>
          </w:tcPr>
          <w:p w:rsidR="00FD47B1" w:rsidRDefault="00FD47B1" w:rsidP="00DA6219">
            <w:pPr>
              <w:pStyle w:val="02Tabletext"/>
              <w:keepNext w:val="0"/>
            </w:pPr>
            <w:r>
              <w:t>Study published 40 years ago and the s</w:t>
            </w:r>
            <w:r w:rsidRPr="00E05E0A">
              <w:t>tudy package was not described in the publication</w:t>
            </w:r>
            <w:r>
              <w:t>.</w:t>
            </w:r>
          </w:p>
        </w:tc>
      </w:tr>
    </w:tbl>
    <w:p w:rsidR="00301AC8" w:rsidRDefault="00301AC8" w:rsidP="003B11D3">
      <w:pPr>
        <w:pStyle w:val="BodyText"/>
        <w:sectPr w:rsidR="00301AC8" w:rsidSect="00E6729C">
          <w:footerReference w:type="default" r:id="rId38"/>
          <w:pgSz w:w="11906" w:h="16838" w:code="9"/>
          <w:pgMar w:top="1134" w:right="1134" w:bottom="1134" w:left="1134" w:header="680" w:footer="851" w:gutter="0"/>
          <w:cols w:space="708"/>
          <w:docGrid w:linePitch="360"/>
        </w:sectPr>
      </w:pPr>
    </w:p>
    <w:p w:rsidR="000C6396" w:rsidRDefault="00B14B4F" w:rsidP="00B14B4F">
      <w:pPr>
        <w:pStyle w:val="Heading1"/>
        <w:numPr>
          <w:ilvl w:val="0"/>
          <w:numId w:val="0"/>
        </w:numPr>
        <w:ind w:left="510" w:hanging="510"/>
      </w:pPr>
      <w:bookmarkStart w:id="152" w:name="_Toc523230316"/>
      <w:r>
        <w:lastRenderedPageBreak/>
        <w:t xml:space="preserve">APPENDIX 5 </w:t>
      </w:r>
      <w:r w:rsidR="00301AC8">
        <w:t>Medication adherence</w:t>
      </w:r>
      <w:r w:rsidR="000C6396">
        <w:t xml:space="preserve"> measures</w:t>
      </w:r>
      <w:bookmarkEnd w:id="152"/>
    </w:p>
    <w:p w:rsidR="003B11D3" w:rsidRPr="003B11D3" w:rsidRDefault="00EC6FE6" w:rsidP="00EC6FE6">
      <w:pPr>
        <w:pStyle w:val="Caption"/>
      </w:pPr>
      <w:r>
        <w:t xml:space="preserve">Table A-5. </w:t>
      </w:r>
      <w:r w:rsidR="00964233">
        <w:rPr>
          <w:noProof/>
        </w:rPr>
        <w:fldChar w:fldCharType="begin"/>
      </w:r>
      <w:r w:rsidR="00964233">
        <w:rPr>
          <w:noProof/>
        </w:rPr>
        <w:instrText xml:space="preserve"> SEQ Table_A-5. \* ARABIC </w:instrText>
      </w:r>
      <w:r w:rsidR="00964233">
        <w:rPr>
          <w:noProof/>
        </w:rPr>
        <w:fldChar w:fldCharType="separate"/>
      </w:r>
      <w:r w:rsidR="00964233">
        <w:rPr>
          <w:noProof/>
        </w:rPr>
        <w:t>1</w:t>
      </w:r>
      <w:r w:rsidR="00964233">
        <w:rPr>
          <w:noProof/>
        </w:rPr>
        <w:fldChar w:fldCharType="end"/>
      </w:r>
      <w:r w:rsidR="00082D00">
        <w:tab/>
        <w:t>Summary of medication adherence measures, self-report and questionnaires used in the literature</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Caption w:val="Table A-5.1"/>
        <w:tblDescription w:val="Summary of medication adherence measures, self-report and questionnaires used in the literature"/>
      </w:tblPr>
      <w:tblGrid>
        <w:gridCol w:w="1313"/>
        <w:gridCol w:w="3219"/>
        <w:gridCol w:w="2184"/>
        <w:gridCol w:w="1464"/>
        <w:gridCol w:w="1902"/>
        <w:gridCol w:w="2058"/>
        <w:gridCol w:w="2557"/>
      </w:tblGrid>
      <w:tr w:rsidR="00082D00" w:rsidRPr="00770667" w:rsidTr="00E6729C">
        <w:trPr>
          <w:trHeight w:val="227"/>
          <w:tblHeader/>
        </w:trPr>
        <w:tc>
          <w:tcPr>
            <w:tcW w:w="447" w:type="pct"/>
            <w:shd w:val="clear" w:color="auto" w:fill="366091"/>
            <w:vAlign w:val="center"/>
          </w:tcPr>
          <w:p w:rsidR="003B11D3" w:rsidRPr="00770667" w:rsidRDefault="00C357AE" w:rsidP="00E6729C">
            <w:pPr>
              <w:pStyle w:val="01Tableheadingorsubheading"/>
              <w:keepNext w:val="0"/>
              <w:rPr>
                <w:lang w:eastAsia="en-AU"/>
              </w:rPr>
            </w:pPr>
            <w:r>
              <w:rPr>
                <w:lang w:eastAsia="en-AU"/>
              </w:rPr>
              <w:t>Outcome measure</w:t>
            </w:r>
          </w:p>
        </w:tc>
        <w:tc>
          <w:tcPr>
            <w:tcW w:w="1095" w:type="pct"/>
            <w:shd w:val="clear" w:color="auto" w:fill="366091"/>
            <w:vAlign w:val="center"/>
          </w:tcPr>
          <w:p w:rsidR="003B11D3" w:rsidRPr="00770667" w:rsidRDefault="00C357AE" w:rsidP="00E6729C">
            <w:pPr>
              <w:pStyle w:val="01Tableheadingorsubheading"/>
              <w:keepNext w:val="0"/>
              <w:jc w:val="center"/>
              <w:rPr>
                <w:lang w:eastAsia="en-AU"/>
              </w:rPr>
            </w:pPr>
            <w:r>
              <w:rPr>
                <w:lang w:eastAsia="en-AU"/>
              </w:rPr>
              <w:t>Definition</w:t>
            </w:r>
          </w:p>
        </w:tc>
        <w:tc>
          <w:tcPr>
            <w:tcW w:w="743" w:type="pct"/>
            <w:shd w:val="clear" w:color="auto" w:fill="366091"/>
            <w:vAlign w:val="center"/>
          </w:tcPr>
          <w:p w:rsidR="003B11D3" w:rsidRPr="00770667" w:rsidRDefault="00C357AE" w:rsidP="00E6729C">
            <w:pPr>
              <w:pStyle w:val="01Tableheadingorsubheading"/>
              <w:keepNext w:val="0"/>
              <w:jc w:val="center"/>
              <w:rPr>
                <w:lang w:eastAsia="en-AU"/>
              </w:rPr>
            </w:pPr>
            <w:r>
              <w:rPr>
                <w:lang w:eastAsia="en-AU"/>
              </w:rPr>
              <w:t>Equation/function</w:t>
            </w:r>
          </w:p>
        </w:tc>
        <w:tc>
          <w:tcPr>
            <w:tcW w:w="498" w:type="pct"/>
            <w:shd w:val="clear" w:color="auto" w:fill="366091"/>
            <w:vAlign w:val="center"/>
          </w:tcPr>
          <w:p w:rsidR="003B11D3" w:rsidRPr="00770667" w:rsidRDefault="00C357AE" w:rsidP="00E6729C">
            <w:pPr>
              <w:pStyle w:val="01Tableheadingorsubheading"/>
              <w:keepNext w:val="0"/>
              <w:jc w:val="center"/>
              <w:rPr>
                <w:lang w:eastAsia="en-AU"/>
              </w:rPr>
            </w:pPr>
            <w:r>
              <w:rPr>
                <w:lang w:eastAsia="en-AU"/>
              </w:rPr>
              <w:t>Target population</w:t>
            </w:r>
          </w:p>
        </w:tc>
        <w:tc>
          <w:tcPr>
            <w:tcW w:w="647" w:type="pct"/>
            <w:shd w:val="clear" w:color="auto" w:fill="366091"/>
            <w:vAlign w:val="center"/>
          </w:tcPr>
          <w:p w:rsidR="003B11D3" w:rsidRPr="00770667" w:rsidRDefault="00C357AE" w:rsidP="00E6729C">
            <w:pPr>
              <w:pStyle w:val="01Tableheadingorsubheading"/>
              <w:keepNext w:val="0"/>
              <w:jc w:val="center"/>
              <w:rPr>
                <w:lang w:eastAsia="en-AU"/>
              </w:rPr>
            </w:pPr>
            <w:r>
              <w:rPr>
                <w:lang w:eastAsia="en-AU"/>
              </w:rPr>
              <w:t>For primary or secondary nonadherence</w:t>
            </w:r>
          </w:p>
        </w:tc>
        <w:tc>
          <w:tcPr>
            <w:tcW w:w="700" w:type="pct"/>
            <w:shd w:val="clear" w:color="auto" w:fill="366091"/>
            <w:vAlign w:val="center"/>
          </w:tcPr>
          <w:p w:rsidR="003B11D3" w:rsidRPr="00770667" w:rsidRDefault="00C357AE" w:rsidP="00E6729C">
            <w:pPr>
              <w:pStyle w:val="01Tableheadingorsubheading"/>
              <w:keepNext w:val="0"/>
              <w:jc w:val="center"/>
              <w:rPr>
                <w:lang w:eastAsia="en-AU"/>
              </w:rPr>
            </w:pPr>
            <w:r>
              <w:rPr>
                <w:lang w:eastAsia="en-AU"/>
              </w:rPr>
              <w:t>Advantages</w:t>
            </w:r>
          </w:p>
        </w:tc>
        <w:tc>
          <w:tcPr>
            <w:tcW w:w="870" w:type="pct"/>
            <w:shd w:val="clear" w:color="auto" w:fill="366091"/>
            <w:vAlign w:val="center"/>
          </w:tcPr>
          <w:p w:rsidR="003B11D3" w:rsidRDefault="00C357AE" w:rsidP="00E6729C">
            <w:pPr>
              <w:pStyle w:val="01Tableheadingorsubheading"/>
              <w:keepNext w:val="0"/>
              <w:jc w:val="center"/>
              <w:rPr>
                <w:lang w:eastAsia="en-AU"/>
              </w:rPr>
            </w:pPr>
            <w:r>
              <w:rPr>
                <w:lang w:eastAsia="en-AU"/>
              </w:rPr>
              <w:t>Disadvantages</w:t>
            </w:r>
          </w:p>
        </w:tc>
      </w:tr>
      <w:tr w:rsidR="00DD36D0" w:rsidRPr="006F2A41" w:rsidTr="00DD36D0">
        <w:trPr>
          <w:trHeight w:val="227"/>
        </w:trPr>
        <w:tc>
          <w:tcPr>
            <w:tcW w:w="447" w:type="pct"/>
          </w:tcPr>
          <w:p w:rsidR="00C357AE" w:rsidRPr="002D0697" w:rsidRDefault="00C357AE" w:rsidP="00B56E96">
            <w:pPr>
              <w:pStyle w:val="02Tabletext"/>
              <w:keepNext w:val="0"/>
            </w:pPr>
            <w:r>
              <w:t>Pill count</w:t>
            </w:r>
          </w:p>
        </w:tc>
        <w:tc>
          <w:tcPr>
            <w:tcW w:w="1095" w:type="pct"/>
          </w:tcPr>
          <w:p w:rsidR="00C357AE" w:rsidRPr="002D0697" w:rsidRDefault="00C357AE" w:rsidP="00B56E96">
            <w:pPr>
              <w:pStyle w:val="02Tabletext"/>
              <w:keepNext w:val="0"/>
            </w:pPr>
            <w:r w:rsidRPr="00E07DAC">
              <w:t>This measures adherence by comparing the number of doses remaining in the patient’s supply with the number of doses that should be present, if the patient has taken all doses on schedule.</w:t>
            </w:r>
          </w:p>
        </w:tc>
        <w:tc>
          <w:tcPr>
            <w:tcW w:w="743" w:type="pct"/>
          </w:tcPr>
          <w:p w:rsidR="00C357AE" w:rsidRPr="00E07DAC" w:rsidRDefault="00C357AE" w:rsidP="00B56E96">
            <w:pPr>
              <w:pStyle w:val="02Tabletext"/>
              <w:keepNext w:val="0"/>
            </w:pPr>
            <w:r>
              <w:t>(Number of dosage units dispensed − number of dosage units remained)/(prescribed number of dosage unit per day × number of days between 2 visits)</w:t>
            </w:r>
          </w:p>
        </w:tc>
        <w:tc>
          <w:tcPr>
            <w:tcW w:w="498" w:type="pct"/>
          </w:tcPr>
          <w:p w:rsidR="00C357AE" w:rsidRDefault="00C357AE" w:rsidP="00B56E96">
            <w:pPr>
              <w:pStyle w:val="02Tabletext"/>
              <w:keepNext w:val="0"/>
            </w:pPr>
            <w:r w:rsidRPr="0045397C">
              <w:t>Routine clinical practice</w:t>
            </w:r>
          </w:p>
        </w:tc>
        <w:tc>
          <w:tcPr>
            <w:tcW w:w="647" w:type="pct"/>
          </w:tcPr>
          <w:p w:rsidR="00C357AE" w:rsidRPr="0045397C" w:rsidRDefault="00C357AE" w:rsidP="00B56E96">
            <w:pPr>
              <w:pStyle w:val="02Tabletext"/>
              <w:keepNext w:val="0"/>
            </w:pPr>
            <w:r w:rsidRPr="0045397C">
              <w:t>Primary nonadherence</w:t>
            </w:r>
          </w:p>
        </w:tc>
        <w:tc>
          <w:tcPr>
            <w:tcW w:w="700" w:type="pct"/>
          </w:tcPr>
          <w:p w:rsidR="00C357AE" w:rsidRDefault="00C357AE" w:rsidP="00B56E96">
            <w:pPr>
              <w:pStyle w:val="06Tablebullet"/>
            </w:pPr>
            <w:r>
              <w:t>Low cost</w:t>
            </w:r>
          </w:p>
          <w:p w:rsidR="00C357AE" w:rsidRDefault="00C357AE" w:rsidP="00B56E96">
            <w:pPr>
              <w:pStyle w:val="06Tablebullet"/>
            </w:pPr>
            <w:r>
              <w:t>Simple</w:t>
            </w:r>
          </w:p>
          <w:p w:rsidR="00C357AE" w:rsidRDefault="00C357AE" w:rsidP="00B56E96">
            <w:pPr>
              <w:pStyle w:val="06Tablebullet"/>
            </w:pPr>
            <w:r>
              <w:t>Can be used in various formulations</w:t>
            </w:r>
          </w:p>
          <w:p w:rsidR="00C357AE" w:rsidRPr="0045397C" w:rsidRDefault="00C357AE" w:rsidP="00B56E96">
            <w:pPr>
              <w:pStyle w:val="06Tablebullet"/>
            </w:pPr>
            <w:r>
              <w:t>Highly accurate</w:t>
            </w:r>
          </w:p>
        </w:tc>
        <w:tc>
          <w:tcPr>
            <w:tcW w:w="870" w:type="pct"/>
          </w:tcPr>
          <w:p w:rsidR="00C357AE" w:rsidRPr="0045397C" w:rsidRDefault="00C357AE" w:rsidP="00B56E96">
            <w:pPr>
              <w:pStyle w:val="06Tablebullet"/>
            </w:pPr>
            <w:r w:rsidRPr="0045397C">
              <w:t>Not for non</w:t>
            </w:r>
            <w:r w:rsidR="00E6729C">
              <w:t>-</w:t>
            </w:r>
            <w:r w:rsidRPr="0045397C">
              <w:t>discrete dosages or prn medications</w:t>
            </w:r>
          </w:p>
          <w:p w:rsidR="00C357AE" w:rsidRPr="0045397C" w:rsidRDefault="00C357AE" w:rsidP="00B56E96">
            <w:pPr>
              <w:pStyle w:val="06Tablebullet"/>
            </w:pPr>
            <w:r w:rsidRPr="0045397C">
              <w:t>Underestimation due to early refill</w:t>
            </w:r>
          </w:p>
          <w:p w:rsidR="00C357AE" w:rsidRPr="0045397C" w:rsidRDefault="00C357AE" w:rsidP="00B56E96">
            <w:pPr>
              <w:pStyle w:val="06Tablebullet"/>
            </w:pPr>
            <w:r w:rsidRPr="0045397C">
              <w:t>Arbitrary cut</w:t>
            </w:r>
            <w:r w:rsidR="00E6729C">
              <w:t>-</w:t>
            </w:r>
            <w:r w:rsidRPr="0045397C">
              <w:t>off value</w:t>
            </w:r>
          </w:p>
          <w:p w:rsidR="00C357AE" w:rsidRPr="0045397C" w:rsidRDefault="00C357AE" w:rsidP="00B56E96">
            <w:pPr>
              <w:pStyle w:val="06Tablebullet"/>
            </w:pPr>
            <w:r w:rsidRPr="0045397C">
              <w:t>Unable to identify medication-taking pattern</w:t>
            </w:r>
          </w:p>
        </w:tc>
      </w:tr>
      <w:tr w:rsidR="00C357AE" w:rsidRPr="006F2A41" w:rsidTr="00E6729C">
        <w:trPr>
          <w:trHeight w:val="227"/>
        </w:trPr>
        <w:tc>
          <w:tcPr>
            <w:tcW w:w="447" w:type="pct"/>
            <w:shd w:val="clear" w:color="auto" w:fill="DEEAF6" w:themeFill="accent1" w:themeFillTint="33"/>
          </w:tcPr>
          <w:p w:rsidR="00C357AE" w:rsidRDefault="00C357AE" w:rsidP="00B56E96">
            <w:pPr>
              <w:pStyle w:val="02Tabletext"/>
              <w:keepNext w:val="0"/>
            </w:pPr>
            <w:r>
              <w:t>Medication Possession Ratio (MPR)</w:t>
            </w:r>
          </w:p>
        </w:tc>
        <w:tc>
          <w:tcPr>
            <w:tcW w:w="1095" w:type="pct"/>
            <w:shd w:val="clear" w:color="auto" w:fill="DEEAF6" w:themeFill="accent1" w:themeFillTint="33"/>
          </w:tcPr>
          <w:p w:rsidR="00C357AE" w:rsidRPr="00E07DAC" w:rsidRDefault="00B911FC" w:rsidP="00B56E96">
            <w:pPr>
              <w:pStyle w:val="02Tabletext"/>
              <w:keepNext w:val="0"/>
            </w:pPr>
            <w:r>
              <w:t xml:space="preserve">This </w:t>
            </w:r>
            <w:r w:rsidRPr="00B911FC">
              <w:t>measures the percentage of time a patient has access to medication</w:t>
            </w:r>
          </w:p>
        </w:tc>
        <w:tc>
          <w:tcPr>
            <w:tcW w:w="743" w:type="pct"/>
            <w:shd w:val="clear" w:color="auto" w:fill="DEEAF6" w:themeFill="accent1" w:themeFillTint="33"/>
          </w:tcPr>
          <w:p w:rsidR="00C357AE" w:rsidRPr="00E07DAC" w:rsidRDefault="007E22D6" w:rsidP="00B56E96">
            <w:pPr>
              <w:pStyle w:val="02Tabletext"/>
              <w:keepNext w:val="0"/>
            </w:pPr>
            <w:r>
              <w:t>Number of days of medica</w:t>
            </w:r>
            <w:r w:rsidR="00B911FC">
              <w:t xml:space="preserve">tion supplied within the refill </w:t>
            </w:r>
            <w:r>
              <w:t>interval / number of days in refill interval</w:t>
            </w:r>
          </w:p>
        </w:tc>
        <w:tc>
          <w:tcPr>
            <w:tcW w:w="498" w:type="pct"/>
            <w:shd w:val="clear" w:color="auto" w:fill="DEEAF6" w:themeFill="accent1" w:themeFillTint="33"/>
          </w:tcPr>
          <w:p w:rsidR="00C357AE" w:rsidRPr="00170536" w:rsidRDefault="00B911FC" w:rsidP="00B56E96">
            <w:pPr>
              <w:pStyle w:val="02Tabletext"/>
              <w:keepNext w:val="0"/>
            </w:pPr>
            <w:r w:rsidRPr="00B911FC">
              <w:t>Routine clinical practice</w:t>
            </w:r>
          </w:p>
        </w:tc>
        <w:tc>
          <w:tcPr>
            <w:tcW w:w="647" w:type="pct"/>
            <w:shd w:val="clear" w:color="auto" w:fill="DEEAF6" w:themeFill="accent1" w:themeFillTint="33"/>
          </w:tcPr>
          <w:p w:rsidR="00C357AE" w:rsidRPr="00170536" w:rsidRDefault="00AB7612" w:rsidP="00B56E96">
            <w:pPr>
              <w:pStyle w:val="02Tabletext"/>
              <w:keepNext w:val="0"/>
            </w:pPr>
            <w:r>
              <w:t>Measures compliance</w:t>
            </w:r>
          </w:p>
        </w:tc>
        <w:tc>
          <w:tcPr>
            <w:tcW w:w="700" w:type="pct"/>
            <w:shd w:val="clear" w:color="auto" w:fill="DEEAF6" w:themeFill="accent1" w:themeFillTint="33"/>
          </w:tcPr>
          <w:p w:rsidR="00C357AE" w:rsidRPr="00170536" w:rsidRDefault="00AB7612" w:rsidP="00B56E96">
            <w:pPr>
              <w:pStyle w:val="02Tabletext"/>
              <w:keepNext w:val="0"/>
            </w:pPr>
            <w:r>
              <w:t>C</w:t>
            </w:r>
            <w:r w:rsidRPr="00AB7612">
              <w:t>alculated as both a continuous and dichotomous measure</w:t>
            </w:r>
          </w:p>
        </w:tc>
        <w:tc>
          <w:tcPr>
            <w:tcW w:w="870" w:type="pct"/>
            <w:shd w:val="clear" w:color="auto" w:fill="DEEAF6" w:themeFill="accent1" w:themeFillTint="33"/>
          </w:tcPr>
          <w:p w:rsidR="00AB7612" w:rsidRDefault="007E22D6" w:rsidP="00B56E96">
            <w:pPr>
              <w:pStyle w:val="06Tablebullet"/>
            </w:pPr>
            <w:r w:rsidRPr="007E22D6">
              <w:t>Can overestimate adherence</w:t>
            </w:r>
            <w:r w:rsidR="00AB7612">
              <w:t xml:space="preserve"> due </w:t>
            </w:r>
            <w:r w:rsidR="0032066A">
              <w:t xml:space="preserve">to </w:t>
            </w:r>
            <w:r w:rsidR="00AB7612">
              <w:t>summing the days</w:t>
            </w:r>
            <w:r w:rsidR="0032066A">
              <w:t>’</w:t>
            </w:r>
            <w:r w:rsidR="00AB7612">
              <w:t xml:space="preserve"> supply because patients </w:t>
            </w:r>
            <w:r w:rsidR="0032066A">
              <w:t xml:space="preserve">usually refill their </w:t>
            </w:r>
            <w:r w:rsidR="00AB7612">
              <w:t>medication before completing the current fill.</w:t>
            </w:r>
          </w:p>
          <w:p w:rsidR="0032066A" w:rsidRDefault="0032066A" w:rsidP="00B56E96">
            <w:pPr>
              <w:pStyle w:val="06Tablebullet"/>
            </w:pPr>
            <w:r>
              <w:t>Does not consider the gaps in refills</w:t>
            </w:r>
          </w:p>
          <w:p w:rsidR="00C357AE" w:rsidRPr="00170536" w:rsidRDefault="00AB7612" w:rsidP="00B56E96">
            <w:pPr>
              <w:pStyle w:val="06Tablebullet"/>
            </w:pPr>
            <w:r>
              <w:t xml:space="preserve">There are </w:t>
            </w:r>
            <w:r w:rsidR="00B911FC" w:rsidRPr="00B911FC">
              <w:t>differenc</w:t>
            </w:r>
            <w:r w:rsidR="00B911FC">
              <w:t>e</w:t>
            </w:r>
            <w:r>
              <w:t>s</w:t>
            </w:r>
            <w:r w:rsidR="00B911FC">
              <w:t xml:space="preserve"> in MPR denominator definition in the literature, thus </w:t>
            </w:r>
            <w:r w:rsidR="00B911FC" w:rsidRPr="00B911FC">
              <w:t>complic</w:t>
            </w:r>
            <w:r>
              <w:t>ating</w:t>
            </w:r>
            <w:r w:rsidR="00B911FC">
              <w:t xml:space="preserve"> comparisons across studies</w:t>
            </w:r>
          </w:p>
        </w:tc>
      </w:tr>
      <w:tr w:rsidR="00C357AE" w:rsidRPr="006F2A41" w:rsidTr="00DD36D0">
        <w:trPr>
          <w:trHeight w:val="227"/>
        </w:trPr>
        <w:tc>
          <w:tcPr>
            <w:tcW w:w="447" w:type="pct"/>
          </w:tcPr>
          <w:p w:rsidR="00C357AE" w:rsidRDefault="00C357AE" w:rsidP="00B56E96">
            <w:pPr>
              <w:pStyle w:val="02Tabletext"/>
              <w:keepNext w:val="0"/>
            </w:pPr>
            <w:r>
              <w:t>Patient estimates of adherence-self report</w:t>
            </w:r>
          </w:p>
        </w:tc>
        <w:tc>
          <w:tcPr>
            <w:tcW w:w="1095" w:type="pct"/>
          </w:tcPr>
          <w:p w:rsidR="00C357AE" w:rsidRPr="00E07DAC" w:rsidRDefault="00C357AE" w:rsidP="00B56E96">
            <w:pPr>
              <w:pStyle w:val="02Tabletext"/>
              <w:keepNext w:val="0"/>
            </w:pPr>
            <w:r w:rsidRPr="00E07DAC">
              <w:t xml:space="preserve">Direct questioning of </w:t>
            </w:r>
            <w:r>
              <w:t xml:space="preserve">patients to assess </w:t>
            </w:r>
            <w:r w:rsidRPr="00E07DAC">
              <w:t>adherence can b</w:t>
            </w:r>
            <w:r>
              <w:t xml:space="preserve">e an effective method. </w:t>
            </w:r>
            <w:r w:rsidRPr="00E07DAC">
              <w:t>Patients who admit to non-adherence are generally accurate in their assessment.</w:t>
            </w:r>
            <w:r>
              <w:t xml:space="preserve"> They can be administered as structured interviews, online assessments, written questionnaires, voice response system, etc.</w:t>
            </w:r>
          </w:p>
        </w:tc>
        <w:tc>
          <w:tcPr>
            <w:tcW w:w="743" w:type="pct"/>
          </w:tcPr>
          <w:p w:rsidR="00C357AE" w:rsidRPr="00E07DAC" w:rsidRDefault="00C357AE" w:rsidP="00B56E96">
            <w:pPr>
              <w:pStyle w:val="02Tabletext"/>
              <w:keepNext w:val="0"/>
            </w:pPr>
            <w:r>
              <w:t>-</w:t>
            </w:r>
          </w:p>
        </w:tc>
        <w:tc>
          <w:tcPr>
            <w:tcW w:w="498" w:type="pct"/>
          </w:tcPr>
          <w:p w:rsidR="00C357AE" w:rsidRDefault="00C357AE" w:rsidP="00B56E96">
            <w:pPr>
              <w:pStyle w:val="06Tablebullet"/>
            </w:pPr>
            <w:r>
              <w:t>Routine clinical practice</w:t>
            </w:r>
          </w:p>
          <w:p w:rsidR="00C357AE" w:rsidRDefault="00C357AE" w:rsidP="00B56E96">
            <w:pPr>
              <w:pStyle w:val="06Tablebullet"/>
            </w:pPr>
            <w:r>
              <w:t>Less suitable for research</w:t>
            </w:r>
          </w:p>
        </w:tc>
        <w:tc>
          <w:tcPr>
            <w:tcW w:w="647" w:type="pct"/>
          </w:tcPr>
          <w:p w:rsidR="00C357AE" w:rsidRDefault="00C357AE" w:rsidP="00B56E96">
            <w:pPr>
              <w:pStyle w:val="02Tabletext"/>
              <w:keepNext w:val="0"/>
            </w:pPr>
            <w:r>
              <w:t xml:space="preserve">It depends on the type of </w:t>
            </w:r>
            <w:r w:rsidR="00B911FC">
              <w:t xml:space="preserve">assessments and questionnaires </w:t>
            </w:r>
            <w:r>
              <w:t>used</w:t>
            </w:r>
          </w:p>
        </w:tc>
        <w:tc>
          <w:tcPr>
            <w:tcW w:w="700" w:type="pct"/>
          </w:tcPr>
          <w:p w:rsidR="00C357AE" w:rsidRDefault="00C357AE" w:rsidP="00B56E96">
            <w:pPr>
              <w:pStyle w:val="06Tablebullet"/>
            </w:pPr>
            <w:r>
              <w:t>Low cost</w:t>
            </w:r>
          </w:p>
          <w:p w:rsidR="00C357AE" w:rsidRDefault="00C357AE" w:rsidP="00B56E96">
            <w:pPr>
              <w:pStyle w:val="06Tablebullet"/>
            </w:pPr>
            <w:r>
              <w:t>Easy to administer</w:t>
            </w:r>
          </w:p>
          <w:p w:rsidR="00C357AE" w:rsidRDefault="00C357AE" w:rsidP="00B56E96">
            <w:pPr>
              <w:pStyle w:val="06Tablebullet"/>
            </w:pPr>
            <w:r>
              <w:t>Real-time feedback Available</w:t>
            </w:r>
          </w:p>
          <w:p w:rsidR="00C357AE" w:rsidRDefault="00C357AE" w:rsidP="00B56E96">
            <w:pPr>
              <w:pStyle w:val="06Tablebullet"/>
            </w:pPr>
            <w:r>
              <w:t>Flexible to accommodate different conditions</w:t>
            </w:r>
          </w:p>
          <w:p w:rsidR="00C357AE" w:rsidRDefault="00C357AE" w:rsidP="00B56E96">
            <w:pPr>
              <w:pStyle w:val="06Tablebullet"/>
            </w:pPr>
            <w:r>
              <w:t>Identify belief and barriers to adherence</w:t>
            </w:r>
          </w:p>
          <w:p w:rsidR="00C357AE" w:rsidRDefault="00C357AE" w:rsidP="00B56E96">
            <w:pPr>
              <w:pStyle w:val="06Tablebullet"/>
            </w:pPr>
            <w:r>
              <w:t>Well-validated</w:t>
            </w:r>
          </w:p>
        </w:tc>
        <w:tc>
          <w:tcPr>
            <w:tcW w:w="870" w:type="pct"/>
          </w:tcPr>
          <w:p w:rsidR="00C357AE" w:rsidRDefault="00C357AE" w:rsidP="00B56E96">
            <w:pPr>
              <w:pStyle w:val="06Tablebullet"/>
            </w:pPr>
            <w:r>
              <w:t>Least reliable</w:t>
            </w:r>
          </w:p>
          <w:p w:rsidR="00C357AE" w:rsidRDefault="00C357AE" w:rsidP="00B56E96">
            <w:pPr>
              <w:pStyle w:val="06Tablebullet"/>
            </w:pPr>
            <w:r>
              <w:t>Relatively poor sensitivity and specificity</w:t>
            </w:r>
          </w:p>
          <w:p w:rsidR="00C357AE" w:rsidRDefault="00C357AE" w:rsidP="00B56E96">
            <w:pPr>
              <w:pStyle w:val="06Tablebullet"/>
            </w:pPr>
            <w:r>
              <w:t>Affected by communication skills of interviewers and questions in the questionnaire</w:t>
            </w:r>
          </w:p>
          <w:p w:rsidR="00C357AE" w:rsidRDefault="00C357AE" w:rsidP="00B56E96">
            <w:pPr>
              <w:pStyle w:val="06Tablebullet"/>
            </w:pPr>
            <w:r>
              <w:t>Patient’s desirability can bias</w:t>
            </w:r>
          </w:p>
        </w:tc>
      </w:tr>
      <w:tr w:rsidR="00082D00" w:rsidRPr="006F2A41" w:rsidTr="00DD36D0">
        <w:trPr>
          <w:trHeight w:val="227"/>
        </w:trPr>
        <w:tc>
          <w:tcPr>
            <w:tcW w:w="447" w:type="pct"/>
            <w:shd w:val="clear" w:color="auto" w:fill="000000" w:themeFill="text1"/>
          </w:tcPr>
          <w:p w:rsidR="00C357AE" w:rsidRPr="00DD36D0" w:rsidRDefault="00C357AE" w:rsidP="00B56E96">
            <w:pPr>
              <w:pStyle w:val="02Tabletext"/>
              <w:rPr>
                <w:b/>
              </w:rPr>
            </w:pPr>
            <w:r w:rsidRPr="00DD36D0">
              <w:rPr>
                <w:b/>
              </w:rPr>
              <w:lastRenderedPageBreak/>
              <w:t>Scale</w:t>
            </w:r>
            <w:r w:rsidR="005D7297" w:rsidRPr="00DD36D0">
              <w:rPr>
                <w:b/>
              </w:rPr>
              <w:t xml:space="preserve">d </w:t>
            </w:r>
            <w:r w:rsidRPr="00DD36D0">
              <w:rPr>
                <w:b/>
              </w:rPr>
              <w:t>questionnaire</w:t>
            </w:r>
          </w:p>
        </w:tc>
        <w:tc>
          <w:tcPr>
            <w:tcW w:w="1095" w:type="pct"/>
            <w:shd w:val="clear" w:color="auto" w:fill="000000" w:themeFill="text1"/>
          </w:tcPr>
          <w:p w:rsidR="00C357AE" w:rsidRPr="00DD36D0" w:rsidRDefault="00C357AE" w:rsidP="00B56E96">
            <w:pPr>
              <w:pStyle w:val="02Tabletext"/>
              <w:rPr>
                <w:b/>
              </w:rPr>
            </w:pPr>
          </w:p>
        </w:tc>
        <w:tc>
          <w:tcPr>
            <w:tcW w:w="743" w:type="pct"/>
            <w:shd w:val="clear" w:color="auto" w:fill="000000" w:themeFill="text1"/>
          </w:tcPr>
          <w:p w:rsidR="00C357AE" w:rsidRPr="00DD36D0" w:rsidRDefault="00C357AE" w:rsidP="00B56E96">
            <w:pPr>
              <w:pStyle w:val="02Tabletext"/>
              <w:rPr>
                <w:b/>
              </w:rPr>
            </w:pPr>
          </w:p>
        </w:tc>
        <w:tc>
          <w:tcPr>
            <w:tcW w:w="498" w:type="pct"/>
            <w:shd w:val="clear" w:color="auto" w:fill="000000" w:themeFill="text1"/>
          </w:tcPr>
          <w:p w:rsidR="00C357AE" w:rsidRPr="00DD36D0" w:rsidRDefault="00C357AE" w:rsidP="00B56E96">
            <w:pPr>
              <w:pStyle w:val="02Tabletext"/>
              <w:rPr>
                <w:b/>
              </w:rPr>
            </w:pPr>
          </w:p>
        </w:tc>
        <w:tc>
          <w:tcPr>
            <w:tcW w:w="647" w:type="pct"/>
            <w:shd w:val="clear" w:color="auto" w:fill="000000" w:themeFill="text1"/>
          </w:tcPr>
          <w:p w:rsidR="00C357AE" w:rsidRPr="00DD36D0" w:rsidRDefault="00C357AE" w:rsidP="00B56E96">
            <w:pPr>
              <w:pStyle w:val="02Tabletext"/>
              <w:rPr>
                <w:b/>
              </w:rPr>
            </w:pPr>
          </w:p>
        </w:tc>
        <w:tc>
          <w:tcPr>
            <w:tcW w:w="700" w:type="pct"/>
            <w:shd w:val="clear" w:color="auto" w:fill="000000" w:themeFill="text1"/>
          </w:tcPr>
          <w:p w:rsidR="00C357AE" w:rsidRPr="00DD36D0" w:rsidRDefault="00C357AE" w:rsidP="00B56E96">
            <w:pPr>
              <w:pStyle w:val="02Tabletext"/>
              <w:rPr>
                <w:b/>
              </w:rPr>
            </w:pPr>
          </w:p>
        </w:tc>
        <w:tc>
          <w:tcPr>
            <w:tcW w:w="870" w:type="pct"/>
            <w:shd w:val="clear" w:color="auto" w:fill="000000" w:themeFill="text1"/>
          </w:tcPr>
          <w:p w:rsidR="00C357AE" w:rsidRPr="00DD36D0" w:rsidRDefault="00C357AE" w:rsidP="00B56E96">
            <w:pPr>
              <w:pStyle w:val="02Tabletext"/>
              <w:rPr>
                <w:b/>
              </w:rPr>
            </w:pPr>
          </w:p>
        </w:tc>
      </w:tr>
      <w:tr w:rsidR="005D7297" w:rsidRPr="006F2A41" w:rsidTr="00DD36D0">
        <w:trPr>
          <w:trHeight w:val="227"/>
        </w:trPr>
        <w:tc>
          <w:tcPr>
            <w:tcW w:w="447" w:type="pct"/>
          </w:tcPr>
          <w:p w:rsidR="005D7297" w:rsidRDefault="005D7297" w:rsidP="00B56E96">
            <w:pPr>
              <w:pStyle w:val="02Tabletext"/>
              <w:keepNext w:val="0"/>
            </w:pPr>
            <w:r w:rsidRPr="000E0901">
              <w:t>Morisky Medication Adherence Scale</w:t>
            </w:r>
          </w:p>
        </w:tc>
        <w:tc>
          <w:tcPr>
            <w:tcW w:w="1095" w:type="pct"/>
          </w:tcPr>
          <w:p w:rsidR="005D7297" w:rsidRPr="00170536" w:rsidRDefault="005D7297" w:rsidP="00B56E96">
            <w:pPr>
              <w:pStyle w:val="02Tabletext"/>
              <w:keepNext w:val="0"/>
            </w:pPr>
            <w:r>
              <w:t xml:space="preserve">This is an 8-item scaled questionnaire to assess adherence. The first seven items are Yes/No responses while the last item is a 5-point Likert response. The additional items focus on medication taking behaviours, especially related to underuse, such as forgetfulness. </w:t>
            </w:r>
          </w:p>
        </w:tc>
        <w:tc>
          <w:tcPr>
            <w:tcW w:w="743" w:type="pct"/>
          </w:tcPr>
          <w:p w:rsidR="005D7297" w:rsidRDefault="005D7297" w:rsidP="00B56E96">
            <w:pPr>
              <w:pStyle w:val="06Tablebullet"/>
            </w:pPr>
            <w:r>
              <w:t>Patient’s medication-taking behaviour</w:t>
            </w:r>
          </w:p>
          <w:p w:rsidR="005D7297" w:rsidRDefault="005D7297" w:rsidP="00B56E96">
            <w:pPr>
              <w:pStyle w:val="06Tablebullet"/>
            </w:pPr>
            <w:r>
              <w:t>Barriers to adherence</w:t>
            </w:r>
          </w:p>
        </w:tc>
        <w:tc>
          <w:tcPr>
            <w:tcW w:w="498" w:type="pct"/>
          </w:tcPr>
          <w:p w:rsidR="005D7297" w:rsidRDefault="005D7297" w:rsidP="00B56E96">
            <w:pPr>
              <w:pStyle w:val="02Tabletext"/>
              <w:keepNext w:val="0"/>
            </w:pPr>
            <w:r w:rsidRPr="006553D8">
              <w:t>All validated conditions</w:t>
            </w:r>
          </w:p>
        </w:tc>
        <w:tc>
          <w:tcPr>
            <w:tcW w:w="647" w:type="pct"/>
          </w:tcPr>
          <w:p w:rsidR="005D7297" w:rsidRDefault="005D7297" w:rsidP="00B56E96">
            <w:pPr>
              <w:pStyle w:val="02Tabletext"/>
              <w:keepNext w:val="0"/>
            </w:pPr>
            <w:r>
              <w:t>-</w:t>
            </w:r>
          </w:p>
        </w:tc>
        <w:tc>
          <w:tcPr>
            <w:tcW w:w="700" w:type="pct"/>
          </w:tcPr>
          <w:p w:rsidR="005D7297" w:rsidRDefault="005D7297" w:rsidP="00B56E96">
            <w:pPr>
              <w:pStyle w:val="02Tabletext"/>
              <w:keepNext w:val="0"/>
            </w:pPr>
            <w:r>
              <w:t xml:space="preserve">Higher validity and reliability in </w:t>
            </w:r>
            <w:r w:rsidR="00DD36D0">
              <w:t xml:space="preserve">patients with chronic diseases </w:t>
            </w:r>
            <w:r>
              <w:t>than MAQ</w:t>
            </w:r>
          </w:p>
        </w:tc>
        <w:tc>
          <w:tcPr>
            <w:tcW w:w="870" w:type="pct"/>
          </w:tcPr>
          <w:p w:rsidR="005D7297" w:rsidRDefault="005D7297" w:rsidP="00B56E96">
            <w:pPr>
              <w:pStyle w:val="02Tabletext"/>
              <w:keepNext w:val="0"/>
            </w:pPr>
            <w:r>
              <w:t>-</w:t>
            </w:r>
          </w:p>
        </w:tc>
      </w:tr>
    </w:tbl>
    <w:p w:rsidR="0032066A" w:rsidRDefault="00082D00" w:rsidP="0032066A">
      <w:pPr>
        <w:pStyle w:val="08Tablefootnotes"/>
      </w:pPr>
      <w:r w:rsidRPr="00082D00">
        <w:t>Source: Adapted from Lam and Fresco (2015), Table 1, p. 3; Table 2, pp. 8-9</w:t>
      </w:r>
      <w:r w:rsidR="00A5455E">
        <w:t xml:space="preserve"> </w:t>
      </w:r>
    </w:p>
    <w:p w:rsidR="003B11D3" w:rsidRDefault="00A5455E" w:rsidP="00A5455E">
      <w:pPr>
        <w:pStyle w:val="09Tablefootnoteslast-nostick"/>
      </w:pPr>
      <w:r>
        <w:t>Note: Proportion of Days Covered (PDC) is a measure of persistence to the medication therapy, instead of adherence</w:t>
      </w:r>
    </w:p>
    <w:p w:rsidR="00DD36D0" w:rsidRDefault="00DD36D0" w:rsidP="00DD36D0">
      <w:pPr>
        <w:pStyle w:val="BodyText"/>
      </w:pPr>
    </w:p>
    <w:p w:rsidR="00A5455E" w:rsidRPr="00DD36D0" w:rsidRDefault="00A5455E" w:rsidP="00DD36D0">
      <w:pPr>
        <w:pStyle w:val="BodyText"/>
        <w:sectPr w:rsidR="00A5455E" w:rsidRPr="00DD36D0" w:rsidSect="00E6729C">
          <w:footerReference w:type="default" r:id="rId39"/>
          <w:pgSz w:w="16838" w:h="11906" w:orient="landscape" w:code="9"/>
          <w:pgMar w:top="1134" w:right="1134" w:bottom="1134" w:left="1134" w:header="680" w:footer="851" w:gutter="0"/>
          <w:cols w:space="708"/>
          <w:docGrid w:linePitch="360"/>
        </w:sectPr>
      </w:pPr>
    </w:p>
    <w:p w:rsidR="00572CCE" w:rsidRDefault="00B14B4F" w:rsidP="00B14B4F">
      <w:pPr>
        <w:pStyle w:val="Heading1"/>
        <w:numPr>
          <w:ilvl w:val="0"/>
          <w:numId w:val="0"/>
        </w:numPr>
        <w:ind w:left="510" w:hanging="510"/>
      </w:pPr>
      <w:bookmarkStart w:id="153" w:name="_Toc523230317"/>
      <w:r>
        <w:lastRenderedPageBreak/>
        <w:t xml:space="preserve">APPENDIX 6 </w:t>
      </w:r>
      <w:r w:rsidR="00572CCE">
        <w:t>Quality Assessment</w:t>
      </w:r>
      <w:bookmarkEnd w:id="153"/>
    </w:p>
    <w:p w:rsidR="00BA653F" w:rsidRDefault="00BA653F" w:rsidP="00EE7005">
      <w:pPr>
        <w:pStyle w:val="Heading2"/>
        <w:numPr>
          <w:ilvl w:val="0"/>
          <w:numId w:val="0"/>
        </w:numPr>
        <w:ind w:left="680" w:hanging="680"/>
      </w:pPr>
      <w:bookmarkStart w:id="154" w:name="_Toc523230318"/>
      <w:r>
        <w:t>Systematic reviews</w:t>
      </w:r>
      <w:bookmarkEnd w:id="154"/>
    </w:p>
    <w:bookmarkStart w:id="155" w:name="_Ref522875035"/>
    <w:p w:rsidR="00572CCE" w:rsidRDefault="003803D7" w:rsidP="009F39CE">
      <w:pPr>
        <w:pStyle w:val="BodyText"/>
        <w:keepNext/>
      </w:pPr>
      <w:r w:rsidRPr="003803D7">
        <w:rPr>
          <w:szCs w:val="24"/>
        </w:rPr>
        <w:fldChar w:fldCharType="begin"/>
      </w:r>
      <w:r w:rsidRPr="003803D7">
        <w:rPr>
          <w:szCs w:val="24"/>
        </w:rPr>
        <w:instrText xml:space="preserve"> REF _Hlk522872112 \h </w:instrText>
      </w:r>
      <w:r>
        <w:rPr>
          <w:szCs w:val="24"/>
        </w:rPr>
        <w:instrText xml:space="preserve"> \* MERGEFORMAT </w:instrText>
      </w:r>
      <w:r w:rsidRPr="003803D7">
        <w:rPr>
          <w:szCs w:val="24"/>
        </w:rPr>
      </w:r>
      <w:r w:rsidRPr="003803D7">
        <w:rPr>
          <w:szCs w:val="24"/>
        </w:rPr>
        <w:fldChar w:fldCharType="separate"/>
      </w:r>
      <w:r w:rsidR="00964233" w:rsidRPr="00964233">
        <w:rPr>
          <w:szCs w:val="24"/>
        </w:rPr>
        <w:t>Table A-6.1</w:t>
      </w:r>
      <w:r w:rsidRPr="003803D7">
        <w:rPr>
          <w:szCs w:val="24"/>
        </w:rPr>
        <w:fldChar w:fldCharType="end"/>
      </w:r>
      <w:r>
        <w:t xml:space="preserve"> </w:t>
      </w:r>
      <w:r w:rsidR="00572CCE">
        <w:t>shows the 11 items considered in the AMSTAR tool. The results of th</w:t>
      </w:r>
      <w:r w:rsidR="00C473BD">
        <w:t>e quality assessment for the three included systematic reviews</w:t>
      </w:r>
      <w:r w:rsidR="00572CCE">
        <w:t xml:space="preserve"> are presented in</w:t>
      </w:r>
      <w:r w:rsidR="009F39CE">
        <w:t xml:space="preserve"> </w:t>
      </w:r>
      <w:r w:rsidRPr="003803D7">
        <w:rPr>
          <w:szCs w:val="24"/>
        </w:rPr>
        <w:fldChar w:fldCharType="begin"/>
      </w:r>
      <w:r w:rsidRPr="003803D7">
        <w:rPr>
          <w:szCs w:val="24"/>
        </w:rPr>
        <w:instrText xml:space="preserve"> REF _Hlk522872112 \h </w:instrText>
      </w:r>
      <w:r>
        <w:rPr>
          <w:szCs w:val="24"/>
        </w:rPr>
        <w:instrText xml:space="preserve"> \* MERGEFORMAT </w:instrText>
      </w:r>
      <w:r w:rsidRPr="003803D7">
        <w:rPr>
          <w:szCs w:val="24"/>
        </w:rPr>
      </w:r>
      <w:r w:rsidRPr="003803D7">
        <w:rPr>
          <w:szCs w:val="24"/>
        </w:rPr>
        <w:fldChar w:fldCharType="separate"/>
      </w:r>
      <w:r w:rsidR="00964233" w:rsidRPr="00964233">
        <w:rPr>
          <w:szCs w:val="24"/>
        </w:rPr>
        <w:t>Table A-6.1</w:t>
      </w:r>
      <w:r w:rsidRPr="003803D7">
        <w:rPr>
          <w:szCs w:val="24"/>
        </w:rPr>
        <w:fldChar w:fldCharType="end"/>
      </w:r>
      <w:r w:rsidRPr="003803D7">
        <w:rPr>
          <w:szCs w:val="24"/>
        </w:rPr>
        <w:t>.</w:t>
      </w:r>
    </w:p>
    <w:p w:rsidR="00572CCE" w:rsidRDefault="00572CCE" w:rsidP="00572CCE">
      <w:pPr>
        <w:pStyle w:val="BodyText"/>
      </w:pPr>
      <w:r>
        <w:t xml:space="preserve">For each of the </w:t>
      </w:r>
      <w:r w:rsidR="00C473BD">
        <w:t>included systematic reviews</w:t>
      </w:r>
      <w:r>
        <w:t>, an overall score was calculated (simply the sum of the individual item scores), with a maximum possible score of 11/11. When one or more of the AMSTAR items were not applicable to a particular publication, the denominator was reduced to reflect the number of relevant criteria. For example, if a systematic review did not conduct a meta-analysis, the item pertaining to the appropriate pooling of results was not applicable and the overall quality score was out of 10.</w:t>
      </w:r>
    </w:p>
    <w:p w:rsidR="00143449" w:rsidRPr="003803D7" w:rsidRDefault="003803D7" w:rsidP="003803D7">
      <w:pPr>
        <w:pStyle w:val="Caption"/>
        <w:rPr>
          <w:sz w:val="24"/>
          <w:szCs w:val="24"/>
        </w:rPr>
      </w:pPr>
      <w:bookmarkStart w:id="156" w:name="_Hlk522872112"/>
      <w:bookmarkStart w:id="157" w:name="_Hlk522875957"/>
      <w:bookmarkEnd w:id="155"/>
      <w:r w:rsidRPr="003803D7">
        <w:rPr>
          <w:szCs w:val="20"/>
        </w:rPr>
        <w:t>Table A-6.</w:t>
      </w:r>
      <w:r w:rsidRPr="003803D7">
        <w:rPr>
          <w:szCs w:val="20"/>
        </w:rPr>
        <w:fldChar w:fldCharType="begin"/>
      </w:r>
      <w:r w:rsidRPr="003803D7">
        <w:rPr>
          <w:szCs w:val="20"/>
        </w:rPr>
        <w:instrText xml:space="preserve"> SEQ Table_A-6. \* ARABIC </w:instrText>
      </w:r>
      <w:r w:rsidRPr="003803D7">
        <w:rPr>
          <w:szCs w:val="20"/>
        </w:rPr>
        <w:fldChar w:fldCharType="separate"/>
      </w:r>
      <w:r w:rsidR="001F1083">
        <w:rPr>
          <w:noProof/>
          <w:szCs w:val="20"/>
        </w:rPr>
        <w:t>1</w:t>
      </w:r>
      <w:r w:rsidRPr="003803D7">
        <w:rPr>
          <w:szCs w:val="20"/>
        </w:rPr>
        <w:fldChar w:fldCharType="end"/>
      </w:r>
      <w:bookmarkEnd w:id="156"/>
      <w:r>
        <w:rPr>
          <w:sz w:val="24"/>
          <w:szCs w:val="24"/>
        </w:rPr>
        <w:t xml:space="preserve"> </w:t>
      </w:r>
      <w:bookmarkEnd w:id="157"/>
      <w:r>
        <w:t>T</w:t>
      </w:r>
      <w:r w:rsidR="00143449" w:rsidRPr="0056792C">
        <w:t>he AMSTAR measurement tool for assessing the methodological quality of SRs</w:t>
      </w:r>
    </w:p>
    <w:tbl>
      <w:tblPr>
        <w:tblStyle w:val="TableGrid"/>
        <w:tblW w:w="5000" w:type="pct"/>
        <w:tblLook w:val="04A0" w:firstRow="1" w:lastRow="0" w:firstColumn="1" w:lastColumn="0" w:noHBand="0" w:noVBand="1"/>
        <w:tblCaption w:val="Table A-6.1"/>
        <w:tblDescription w:val="The AMSTAR measurement tool for assessing the methodological quality of SRs"/>
      </w:tblPr>
      <w:tblGrid>
        <w:gridCol w:w="7978"/>
        <w:gridCol w:w="1650"/>
      </w:tblGrid>
      <w:tr w:rsidR="00572CCE" w:rsidRPr="00EC3BFF" w:rsidTr="00E6729C">
        <w:trPr>
          <w:cnfStyle w:val="100000000000" w:firstRow="1" w:lastRow="0" w:firstColumn="0" w:lastColumn="0" w:oddVBand="0" w:evenVBand="0" w:oddHBand="0" w:evenHBand="0" w:firstRowFirstColumn="0" w:firstRowLastColumn="0" w:lastRowFirstColumn="0" w:lastRowLastColumn="0"/>
        </w:trPr>
        <w:tc>
          <w:tcPr>
            <w:tcW w:w="4143" w:type="pct"/>
          </w:tcPr>
          <w:p w:rsidR="00572CCE" w:rsidRPr="00EC3BFF" w:rsidRDefault="00572CCE" w:rsidP="00572CCE">
            <w:pPr>
              <w:pStyle w:val="01Tableheaderrow"/>
              <w:keepNext w:val="0"/>
              <w:rPr>
                <w:szCs w:val="18"/>
              </w:rPr>
            </w:pPr>
            <w:r w:rsidRPr="00EC3BFF">
              <w:rPr>
                <w:szCs w:val="18"/>
              </w:rPr>
              <w:t>Question</w:t>
            </w:r>
          </w:p>
        </w:tc>
        <w:tc>
          <w:tcPr>
            <w:tcW w:w="857" w:type="pct"/>
          </w:tcPr>
          <w:p w:rsidR="00572CCE" w:rsidRPr="00EC3BFF" w:rsidRDefault="00572CCE" w:rsidP="00572CCE">
            <w:pPr>
              <w:pStyle w:val="01Tableheaderrow"/>
              <w:keepNext w:val="0"/>
              <w:rPr>
                <w:szCs w:val="18"/>
              </w:rPr>
            </w:pPr>
            <w:r w:rsidRPr="00EC3BFF">
              <w:rPr>
                <w:szCs w:val="18"/>
              </w:rPr>
              <w:t>Answer</w:t>
            </w:r>
          </w:p>
        </w:tc>
      </w:tr>
      <w:tr w:rsidR="00572CCE" w:rsidRPr="00EC3BFF" w:rsidTr="00E6729C">
        <w:tc>
          <w:tcPr>
            <w:tcW w:w="4143" w:type="pct"/>
          </w:tcPr>
          <w:p w:rsidR="00572CCE" w:rsidRPr="00EC3BFF" w:rsidRDefault="00572CCE" w:rsidP="00572CCE">
            <w:pPr>
              <w:pStyle w:val="05Tablebold"/>
              <w:keepNext w:val="0"/>
              <w:rPr>
                <w:szCs w:val="18"/>
              </w:rPr>
            </w:pPr>
            <w:r w:rsidRPr="00EC3BFF">
              <w:rPr>
                <w:szCs w:val="18"/>
              </w:rPr>
              <w:t>1. Was an 'a priori' design provided?</w:t>
            </w:r>
          </w:p>
          <w:p w:rsidR="00572CCE" w:rsidRPr="00EC3BFF" w:rsidRDefault="00572CCE" w:rsidP="00572CCE">
            <w:pPr>
              <w:pStyle w:val="02Tabletext"/>
              <w:rPr>
                <w:szCs w:val="18"/>
              </w:rPr>
            </w:pPr>
            <w:r w:rsidRPr="00EC3BFF">
              <w:rPr>
                <w:szCs w:val="18"/>
              </w:rPr>
              <w:t>The research question and inclusion criteria should be established before the conduct of the review.</w:t>
            </w:r>
          </w:p>
          <w:p w:rsidR="00572CCE" w:rsidRPr="00EC3BFF" w:rsidRDefault="00572CCE" w:rsidP="00572CCE">
            <w:pPr>
              <w:pStyle w:val="04Tabletextspaceitalics"/>
            </w:pPr>
            <w:r w:rsidRPr="00EC3BFF">
              <w:t>Note: Need to refer to a protocol, ethics approval, or pre-determined/a priori published research objectives to score a “yes.”</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rPr>
          <w:cnfStyle w:val="000000010000" w:firstRow="0" w:lastRow="0" w:firstColumn="0" w:lastColumn="0" w:oddVBand="0" w:evenVBand="0" w:oddHBand="0" w:evenHBand="1" w:firstRowFirstColumn="0" w:firstRowLastColumn="0" w:lastRowFirstColumn="0" w:lastRowLastColumn="0"/>
        </w:trPr>
        <w:tc>
          <w:tcPr>
            <w:tcW w:w="4143" w:type="pct"/>
          </w:tcPr>
          <w:p w:rsidR="00572CCE" w:rsidRPr="00EC3BFF" w:rsidRDefault="00572CCE" w:rsidP="00572CCE">
            <w:pPr>
              <w:pStyle w:val="05Tablebold"/>
              <w:keepNext w:val="0"/>
              <w:rPr>
                <w:szCs w:val="18"/>
              </w:rPr>
            </w:pPr>
            <w:r w:rsidRPr="00EC3BFF">
              <w:rPr>
                <w:szCs w:val="18"/>
              </w:rPr>
              <w:t>2. Was there duplicate study selection and data extraction?</w:t>
            </w:r>
          </w:p>
          <w:p w:rsidR="00572CCE" w:rsidRPr="00EC3BFF" w:rsidRDefault="00572CCE" w:rsidP="00572CCE">
            <w:pPr>
              <w:pStyle w:val="02Tabletext"/>
              <w:rPr>
                <w:szCs w:val="18"/>
              </w:rPr>
            </w:pPr>
            <w:r w:rsidRPr="00EC3BFF">
              <w:rPr>
                <w:szCs w:val="18"/>
              </w:rPr>
              <w:t>There should be at least two independent data extractors and a consensus procedure for disagreements should be in place.</w:t>
            </w:r>
          </w:p>
          <w:p w:rsidR="00572CCE" w:rsidRPr="00EC3BFF" w:rsidRDefault="00572CCE" w:rsidP="00572CCE">
            <w:pPr>
              <w:pStyle w:val="04Tabletextspaceitalics"/>
            </w:pPr>
            <w:r w:rsidRPr="00EC3BFF">
              <w:t>Note: 2 people do study selection, 2 people do data extraction, consensus process or one person checks the other’s work.</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c>
          <w:tcPr>
            <w:tcW w:w="4143" w:type="pct"/>
          </w:tcPr>
          <w:p w:rsidR="00572CCE" w:rsidRPr="00EC3BFF" w:rsidRDefault="00572CCE" w:rsidP="00572CCE">
            <w:pPr>
              <w:pStyle w:val="05Tablebold"/>
              <w:keepNext w:val="0"/>
              <w:rPr>
                <w:szCs w:val="18"/>
              </w:rPr>
            </w:pPr>
            <w:r w:rsidRPr="00EC3BFF">
              <w:rPr>
                <w:szCs w:val="18"/>
              </w:rPr>
              <w:t>3. Was a comprehensive literature search performed?</w:t>
            </w:r>
          </w:p>
          <w:p w:rsidR="00572CCE" w:rsidRPr="00EC3BFF" w:rsidRDefault="00572CCE" w:rsidP="00572CCE">
            <w:pPr>
              <w:pStyle w:val="02Tabletext"/>
              <w:rPr>
                <w:szCs w:val="18"/>
              </w:rPr>
            </w:pPr>
            <w:r w:rsidRPr="00EC3BFF">
              <w:rPr>
                <w:szCs w:val="18"/>
              </w:rPr>
              <w:t>At least two electronic sources should be searched. The report must include years and databases used (e.g., Central, EMBASE, and MEDLINE). Key words and/or MESH terms must be stated and where feasible the search strategy should be provided. All searches should be supplemented by consulting current contents, reviews, textbooks, specialized registers, or experts in the particular field of study, and by reviewing the references in the studies found.</w:t>
            </w:r>
          </w:p>
          <w:p w:rsidR="00572CCE" w:rsidRPr="00EC3BFF" w:rsidRDefault="00572CCE" w:rsidP="00572CCE">
            <w:pPr>
              <w:pStyle w:val="04Tabletextspaceitalics"/>
            </w:pPr>
            <w:r w:rsidRPr="00EC3BFF">
              <w:t>Note: If at least 2 sources + one supplementary strategy used, select “yes” (Cochrane register/Central counts as 2 sources; a grey literature search counts as supplementary).</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rPr>
          <w:cnfStyle w:val="000000010000" w:firstRow="0" w:lastRow="0" w:firstColumn="0" w:lastColumn="0" w:oddVBand="0" w:evenVBand="0" w:oddHBand="0" w:evenHBand="1" w:firstRowFirstColumn="0" w:firstRowLastColumn="0" w:lastRowFirstColumn="0" w:lastRowLastColumn="0"/>
        </w:trPr>
        <w:tc>
          <w:tcPr>
            <w:tcW w:w="4143" w:type="pct"/>
          </w:tcPr>
          <w:p w:rsidR="00572CCE" w:rsidRPr="00EC3BFF" w:rsidRDefault="00572CCE" w:rsidP="00572CCE">
            <w:pPr>
              <w:pStyle w:val="05Tablebold"/>
              <w:keepNext w:val="0"/>
              <w:rPr>
                <w:szCs w:val="18"/>
              </w:rPr>
            </w:pPr>
            <w:r w:rsidRPr="00EC3BFF">
              <w:rPr>
                <w:szCs w:val="18"/>
              </w:rPr>
              <w:t>4. Was the status of publication (i.e. grey literature) used as an inclusion criterion?</w:t>
            </w:r>
          </w:p>
          <w:p w:rsidR="00572CCE" w:rsidRPr="00EC3BFF" w:rsidRDefault="00572CCE" w:rsidP="00572CCE">
            <w:pPr>
              <w:pStyle w:val="02Tabletext"/>
              <w:rPr>
                <w:szCs w:val="18"/>
              </w:rPr>
            </w:pPr>
            <w:r w:rsidRPr="00EC3BFF">
              <w:rPr>
                <w:szCs w:val="18"/>
              </w:rPr>
              <w:t>The authors should state that they searched for reports regardless of their publication type. The authors should state whether or not they excluded any reports (from the systematic review), based on their publication status, language etc.</w:t>
            </w:r>
          </w:p>
          <w:p w:rsidR="00572CCE" w:rsidRPr="00EC3BFF" w:rsidRDefault="00572CCE" w:rsidP="00572CCE">
            <w:pPr>
              <w:pStyle w:val="04Tabletextspaceitalics"/>
            </w:pPr>
            <w:r w:rsidRPr="00EC3BFF">
              <w:t>Note: If review indicates that there was a search for “grey literature” or “unpublished literature,” indicate “yes.” SIGLE database, dissertations, conference proceedings, and trial registries are all considered grey for this purpose. If searching a source that contains both grey and non-grey, must specify that they were searching for grey/unpublished lit.</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c>
          <w:tcPr>
            <w:tcW w:w="4143" w:type="pct"/>
          </w:tcPr>
          <w:p w:rsidR="00572CCE" w:rsidRPr="00EC3BFF" w:rsidRDefault="00572CCE" w:rsidP="00572CCE">
            <w:pPr>
              <w:pStyle w:val="05Tablebold"/>
              <w:keepNext w:val="0"/>
              <w:rPr>
                <w:szCs w:val="18"/>
              </w:rPr>
            </w:pPr>
            <w:r w:rsidRPr="00EC3BFF">
              <w:rPr>
                <w:szCs w:val="18"/>
              </w:rPr>
              <w:t>5. Was a list of studies (included and excluded) provided?</w:t>
            </w:r>
          </w:p>
          <w:p w:rsidR="00572CCE" w:rsidRPr="00EC3BFF" w:rsidRDefault="00572CCE" w:rsidP="00572CCE">
            <w:pPr>
              <w:pStyle w:val="02Tabletext"/>
              <w:rPr>
                <w:szCs w:val="18"/>
              </w:rPr>
            </w:pPr>
            <w:r w:rsidRPr="00EC3BFF">
              <w:rPr>
                <w:szCs w:val="18"/>
              </w:rPr>
              <w:t>A list of included and excluded studies should be provided.</w:t>
            </w:r>
          </w:p>
          <w:p w:rsidR="00572CCE" w:rsidRPr="00EC3BFF" w:rsidRDefault="00572CCE" w:rsidP="00572CCE">
            <w:pPr>
              <w:pStyle w:val="04Tabletextspaceitalics"/>
            </w:pPr>
            <w:r w:rsidRPr="00EC3BFF">
              <w:t>Note: Acceptable if the excluded studies are referenced. If there is an electronic link to the list but the link is dead, select “no.”</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rPr>
          <w:cnfStyle w:val="000000010000" w:firstRow="0" w:lastRow="0" w:firstColumn="0" w:lastColumn="0" w:oddVBand="0" w:evenVBand="0" w:oddHBand="0" w:evenHBand="1" w:firstRowFirstColumn="0" w:firstRowLastColumn="0" w:lastRowFirstColumn="0" w:lastRowLastColumn="0"/>
        </w:trPr>
        <w:tc>
          <w:tcPr>
            <w:tcW w:w="4143" w:type="pct"/>
          </w:tcPr>
          <w:p w:rsidR="00572CCE" w:rsidRPr="00EC3BFF" w:rsidRDefault="00572CCE" w:rsidP="00572CCE">
            <w:pPr>
              <w:pStyle w:val="05Tablebold"/>
              <w:keepNext w:val="0"/>
              <w:rPr>
                <w:szCs w:val="18"/>
              </w:rPr>
            </w:pPr>
            <w:r w:rsidRPr="00EC3BFF">
              <w:rPr>
                <w:szCs w:val="18"/>
              </w:rPr>
              <w:t>6. Were the characteristics of the included studies provided?</w:t>
            </w:r>
          </w:p>
          <w:p w:rsidR="00572CCE" w:rsidRPr="00EC3BFF" w:rsidRDefault="00572CCE" w:rsidP="00572CCE">
            <w:pPr>
              <w:pStyle w:val="02Tabletext"/>
              <w:rPr>
                <w:szCs w:val="18"/>
              </w:rPr>
            </w:pPr>
            <w:r w:rsidRPr="00EC3BFF">
              <w:rPr>
                <w:szCs w:val="18"/>
              </w:rPr>
              <w:t>In an aggregated form such as a table, data from the original studies should be provided on the participants, interventions and outcomes. The ranges of characteristics in all the studies analy</w:t>
            </w:r>
            <w:r>
              <w:rPr>
                <w:szCs w:val="18"/>
              </w:rPr>
              <w:t>z</w:t>
            </w:r>
            <w:r w:rsidRPr="00EC3BFF">
              <w:rPr>
                <w:szCs w:val="18"/>
              </w:rPr>
              <w:t>ed e.g., age, race, sex, relevant socioeconomic data, disease status, duration, severity, or other diseases should be reported.</w:t>
            </w:r>
          </w:p>
          <w:p w:rsidR="00572CCE" w:rsidRPr="00EC3BFF" w:rsidRDefault="00572CCE" w:rsidP="00572CCE">
            <w:pPr>
              <w:pStyle w:val="04Tabletextspaceitalics"/>
            </w:pPr>
            <w:r w:rsidRPr="00EC3BFF">
              <w:t>Note: Acceptable if not in table format as long as they are described as above.</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c>
          <w:tcPr>
            <w:tcW w:w="4143" w:type="pct"/>
          </w:tcPr>
          <w:p w:rsidR="00572CCE" w:rsidRPr="00EC3BFF" w:rsidRDefault="00572CCE" w:rsidP="00572CCE">
            <w:pPr>
              <w:pStyle w:val="05Tablebold"/>
              <w:keepNext w:val="0"/>
              <w:rPr>
                <w:szCs w:val="18"/>
              </w:rPr>
            </w:pPr>
            <w:r w:rsidRPr="00EC3BFF">
              <w:rPr>
                <w:szCs w:val="18"/>
              </w:rPr>
              <w:lastRenderedPageBreak/>
              <w:t>7. Was the scientific quality of the included studies assessed and documented?</w:t>
            </w:r>
          </w:p>
          <w:p w:rsidR="00572CCE" w:rsidRPr="00EC3BFF" w:rsidRDefault="00572CCE" w:rsidP="00572CCE">
            <w:pPr>
              <w:pStyle w:val="02Tabletext"/>
              <w:rPr>
                <w:szCs w:val="18"/>
              </w:rPr>
            </w:pPr>
            <w:r w:rsidRPr="00EC3BFF">
              <w:rPr>
                <w:szCs w:val="18"/>
              </w:rPr>
              <w:t>'A priori' methods of assessment should be provided (e.g., for effectiveness studies if the author(s) chose to include only randomized, double</w:t>
            </w:r>
            <w:r>
              <w:rPr>
                <w:szCs w:val="18"/>
              </w:rPr>
              <w:t xml:space="preserve"> </w:t>
            </w:r>
            <w:r w:rsidRPr="00EC3BFF">
              <w:rPr>
                <w:szCs w:val="18"/>
              </w:rPr>
              <w:t>blind, placebo controlled studies, or allocation concealment as inclusion criteria); for other types of studies alternative items will be relevant.</w:t>
            </w:r>
          </w:p>
          <w:p w:rsidR="00572CCE" w:rsidRPr="00EC3BFF" w:rsidRDefault="00572CCE" w:rsidP="00572CCE">
            <w:pPr>
              <w:pStyle w:val="04Tabletextspaceitalics"/>
            </w:pPr>
            <w:r w:rsidRPr="00EC3BFF">
              <w:t>Note: Can include use of a quality scoring tool or checklist, e.g., Jadad scale, risk of bias, sensitivity analysis, etc., or a description of quality items, with some kind of result for EACH study (“low” or “high” is fine, as long as it is clear which studies scored “low” and which scored “high”; a summary score/range for all studies is not acceptable).</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rPr>
          <w:cnfStyle w:val="000000010000" w:firstRow="0" w:lastRow="0" w:firstColumn="0" w:lastColumn="0" w:oddVBand="0" w:evenVBand="0" w:oddHBand="0" w:evenHBand="1" w:firstRowFirstColumn="0" w:firstRowLastColumn="0" w:lastRowFirstColumn="0" w:lastRowLastColumn="0"/>
        </w:trPr>
        <w:tc>
          <w:tcPr>
            <w:tcW w:w="4143" w:type="pct"/>
          </w:tcPr>
          <w:p w:rsidR="00572CCE" w:rsidRPr="00EC3BFF" w:rsidRDefault="00572CCE" w:rsidP="00572CCE">
            <w:pPr>
              <w:pStyle w:val="05Tablebold"/>
              <w:keepNext w:val="0"/>
              <w:rPr>
                <w:szCs w:val="18"/>
              </w:rPr>
            </w:pPr>
            <w:r w:rsidRPr="00EC3BFF">
              <w:rPr>
                <w:szCs w:val="18"/>
              </w:rPr>
              <w:t>8. Was the scientific quality of the included studies used appropriately in formulating conclusions?</w:t>
            </w:r>
          </w:p>
          <w:p w:rsidR="00572CCE" w:rsidRPr="00EC3BFF" w:rsidRDefault="00572CCE" w:rsidP="00572CCE">
            <w:pPr>
              <w:pStyle w:val="02Tabletext"/>
              <w:rPr>
                <w:szCs w:val="18"/>
              </w:rPr>
            </w:pPr>
            <w:r w:rsidRPr="00EC3BFF">
              <w:rPr>
                <w:szCs w:val="18"/>
              </w:rPr>
              <w:t>The results of the methodological rigor and scientific quality should be considered in the analysis and the conclusions of the review, and explicitly stated in formulating recommendations.</w:t>
            </w:r>
          </w:p>
          <w:p w:rsidR="00572CCE" w:rsidRPr="00EC3BFF" w:rsidRDefault="00572CCE" w:rsidP="00572CCE">
            <w:pPr>
              <w:pStyle w:val="04Tabletextspaceitalics"/>
            </w:pPr>
            <w:r w:rsidRPr="00EC3BFF">
              <w:t>Note: Might say something such as “the results should be interpreted with caution due to poor quality of included studies.” Cannot score “yes” for this question if scored “no” for question 7.</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c>
          <w:tcPr>
            <w:tcW w:w="4143" w:type="pct"/>
          </w:tcPr>
          <w:p w:rsidR="00572CCE" w:rsidRPr="00EC3BFF" w:rsidRDefault="00572CCE" w:rsidP="00572CCE">
            <w:pPr>
              <w:pStyle w:val="05Tablebold"/>
              <w:keepNext w:val="0"/>
              <w:rPr>
                <w:szCs w:val="18"/>
              </w:rPr>
            </w:pPr>
            <w:r w:rsidRPr="00EC3BFF">
              <w:rPr>
                <w:szCs w:val="18"/>
              </w:rPr>
              <w:t>9. Were the methods used to combine the findings of studies appropriate?</w:t>
            </w:r>
          </w:p>
          <w:p w:rsidR="00572CCE" w:rsidRPr="00EC3BFF" w:rsidRDefault="00572CCE" w:rsidP="00572CCE">
            <w:pPr>
              <w:pStyle w:val="02Tabletext"/>
              <w:rPr>
                <w:szCs w:val="18"/>
              </w:rPr>
            </w:pPr>
            <w:r w:rsidRPr="00EC3BFF">
              <w:rPr>
                <w:szCs w:val="18"/>
              </w:rPr>
              <w:t>For the pooled results, a test should be done to ensure the studies were combinable, to assess their homogeneity (i.e., Chi-squared test for homogeneity, I2). If heterogeneity exists a random effects model should be used and/or the clinical appropriateness of combining should be taken into consideration (i.e., is it sensible to combine?).</w:t>
            </w:r>
          </w:p>
          <w:p w:rsidR="00572CCE" w:rsidRPr="00EC3BFF" w:rsidRDefault="00572CCE" w:rsidP="00572CCE">
            <w:pPr>
              <w:pStyle w:val="04Tabletextspaceitalics"/>
            </w:pPr>
            <w:r w:rsidRPr="00EC3BFF">
              <w:t>Note: Indicate “yes” if they mention or describe heterogeneity, i.e., if they explain that they cannot pool because of heterogeneity/variability between interventions.</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rPr>
          <w:cnfStyle w:val="000000010000" w:firstRow="0" w:lastRow="0" w:firstColumn="0" w:lastColumn="0" w:oddVBand="0" w:evenVBand="0" w:oddHBand="0" w:evenHBand="1" w:firstRowFirstColumn="0" w:firstRowLastColumn="0" w:lastRowFirstColumn="0" w:lastRowLastColumn="0"/>
        </w:trPr>
        <w:tc>
          <w:tcPr>
            <w:tcW w:w="4143" w:type="pct"/>
          </w:tcPr>
          <w:p w:rsidR="00572CCE" w:rsidRPr="00EC3BFF" w:rsidRDefault="00572CCE" w:rsidP="00572CCE">
            <w:pPr>
              <w:pStyle w:val="05Tablebold"/>
              <w:keepNext w:val="0"/>
              <w:rPr>
                <w:szCs w:val="18"/>
              </w:rPr>
            </w:pPr>
            <w:r w:rsidRPr="00EC3BFF">
              <w:rPr>
                <w:szCs w:val="18"/>
              </w:rPr>
              <w:t>10. Was the likelihood of publication bias assessed?</w:t>
            </w:r>
          </w:p>
          <w:p w:rsidR="00572CCE" w:rsidRPr="00EC3BFF" w:rsidRDefault="00572CCE" w:rsidP="00572CCE">
            <w:pPr>
              <w:pStyle w:val="02Tabletext"/>
              <w:rPr>
                <w:szCs w:val="18"/>
              </w:rPr>
            </w:pPr>
            <w:r w:rsidRPr="00EC3BFF">
              <w:rPr>
                <w:szCs w:val="18"/>
              </w:rPr>
              <w:t>An assessment of publication bias should include a combination of graphical aids (e.g., funnel plot, other available tests) and/or statistical tests (e.g., Egger regression test, Hedges-Olken).</w:t>
            </w:r>
          </w:p>
          <w:p w:rsidR="00572CCE" w:rsidRPr="00EC3BFF" w:rsidRDefault="00572CCE" w:rsidP="00572CCE">
            <w:pPr>
              <w:pStyle w:val="04Tabletextspaceitalics"/>
            </w:pPr>
            <w:r w:rsidRPr="00EC3BFF">
              <w:t>Note: If no test values or funnel plot included, score “no”. Score “yes” if mentions that publication bias could not be assessed because there were fewer than 10 included studies.</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r w:rsidR="00572CCE" w:rsidRPr="00EC3BFF" w:rsidTr="00E6729C">
        <w:tc>
          <w:tcPr>
            <w:tcW w:w="4143" w:type="pct"/>
          </w:tcPr>
          <w:p w:rsidR="00572CCE" w:rsidRPr="00EC3BFF" w:rsidRDefault="00572CCE" w:rsidP="00572CCE">
            <w:pPr>
              <w:pStyle w:val="05Tablebold"/>
              <w:keepNext w:val="0"/>
              <w:rPr>
                <w:szCs w:val="18"/>
              </w:rPr>
            </w:pPr>
            <w:r w:rsidRPr="00EC3BFF">
              <w:rPr>
                <w:szCs w:val="18"/>
              </w:rPr>
              <w:t>11. Was the conflict of interest included?</w:t>
            </w:r>
          </w:p>
          <w:p w:rsidR="00572CCE" w:rsidRPr="00EC3BFF" w:rsidRDefault="00572CCE" w:rsidP="00572CCE">
            <w:pPr>
              <w:pStyle w:val="02Tabletext"/>
              <w:rPr>
                <w:szCs w:val="18"/>
              </w:rPr>
            </w:pPr>
            <w:r w:rsidRPr="00EC3BFF">
              <w:rPr>
                <w:szCs w:val="18"/>
              </w:rPr>
              <w:t>Potential sources of support should be clearly acknowledged in both the systematic review and the included studies.</w:t>
            </w:r>
          </w:p>
          <w:p w:rsidR="00572CCE" w:rsidRPr="00EC3BFF" w:rsidRDefault="00572CCE" w:rsidP="00572CCE">
            <w:pPr>
              <w:pStyle w:val="04Tabletextspaceitalics"/>
            </w:pPr>
            <w:r w:rsidRPr="00EC3BFF">
              <w:t>Note: To get a “yes,” must indicate source of funding or support for the systematic review AND for each of the included studies.</w:t>
            </w:r>
          </w:p>
        </w:tc>
        <w:tc>
          <w:tcPr>
            <w:tcW w:w="857" w:type="pct"/>
          </w:tcPr>
          <w:p w:rsidR="00572CCE" w:rsidRPr="00EC3BFF" w:rsidRDefault="00572CCE" w:rsidP="00572CCE">
            <w:pPr>
              <w:pStyle w:val="02Tabletext"/>
              <w:keepNext w:val="0"/>
              <w:numPr>
                <w:ilvl w:val="0"/>
                <w:numId w:val="31"/>
              </w:numPr>
              <w:ind w:left="360"/>
              <w:rPr>
                <w:szCs w:val="18"/>
              </w:rPr>
            </w:pPr>
            <w:r w:rsidRPr="00EC3BFF">
              <w:rPr>
                <w:szCs w:val="18"/>
              </w:rPr>
              <w:t>Yes</w:t>
            </w:r>
          </w:p>
          <w:p w:rsidR="00572CCE" w:rsidRPr="00EC3BFF" w:rsidRDefault="00572CCE" w:rsidP="00572CCE">
            <w:pPr>
              <w:pStyle w:val="02Tabletext"/>
              <w:keepNext w:val="0"/>
              <w:numPr>
                <w:ilvl w:val="0"/>
                <w:numId w:val="31"/>
              </w:numPr>
              <w:ind w:left="360"/>
              <w:rPr>
                <w:szCs w:val="18"/>
              </w:rPr>
            </w:pPr>
            <w:r w:rsidRPr="00EC3BFF">
              <w:rPr>
                <w:szCs w:val="18"/>
              </w:rPr>
              <w:t>No</w:t>
            </w:r>
          </w:p>
          <w:p w:rsidR="00572CCE" w:rsidRPr="00EC3BFF" w:rsidRDefault="00572CCE" w:rsidP="00572CCE">
            <w:pPr>
              <w:pStyle w:val="02Tabletext"/>
              <w:keepNext w:val="0"/>
              <w:numPr>
                <w:ilvl w:val="0"/>
                <w:numId w:val="31"/>
              </w:numPr>
              <w:ind w:left="360"/>
              <w:rPr>
                <w:szCs w:val="18"/>
              </w:rPr>
            </w:pPr>
            <w:r w:rsidRPr="00EC3BFF">
              <w:rPr>
                <w:szCs w:val="18"/>
              </w:rPr>
              <w:t>Can’t answer</w:t>
            </w:r>
          </w:p>
          <w:p w:rsidR="00572CCE" w:rsidRPr="00EC3BFF" w:rsidRDefault="00572CCE" w:rsidP="00572CCE">
            <w:pPr>
              <w:pStyle w:val="02Tabletext"/>
              <w:keepNext w:val="0"/>
              <w:numPr>
                <w:ilvl w:val="0"/>
                <w:numId w:val="31"/>
              </w:numPr>
              <w:ind w:left="360"/>
              <w:rPr>
                <w:szCs w:val="18"/>
              </w:rPr>
            </w:pPr>
            <w:r w:rsidRPr="00EC3BFF">
              <w:rPr>
                <w:szCs w:val="18"/>
              </w:rPr>
              <w:t>Not applicable</w:t>
            </w:r>
          </w:p>
        </w:tc>
      </w:tr>
    </w:tbl>
    <w:p w:rsidR="00572CCE" w:rsidRDefault="00572CCE" w:rsidP="00572CCE">
      <w:pPr>
        <w:pStyle w:val="08Tablefootnotes"/>
      </w:pPr>
      <w:r>
        <w:t>Source: Shea et al (2007), Table 2</w:t>
      </w:r>
    </w:p>
    <w:p w:rsidR="003803D7" w:rsidRDefault="00572CCE" w:rsidP="00F76151">
      <w:pPr>
        <w:pStyle w:val="08Tablefootnotes"/>
      </w:pPr>
      <w:r>
        <w:t>Abbre</w:t>
      </w:r>
      <w:r w:rsidR="00547C75">
        <w:t>viations: SR, systematic review</w:t>
      </w:r>
    </w:p>
    <w:p w:rsidR="00143449" w:rsidRPr="003803D7" w:rsidRDefault="00143449" w:rsidP="003803D7">
      <w:pPr>
        <w:sectPr w:rsidR="00143449" w:rsidRPr="003803D7" w:rsidSect="00E6729C">
          <w:footerReference w:type="default" r:id="rId40"/>
          <w:pgSz w:w="11906" w:h="16838" w:code="9"/>
          <w:pgMar w:top="1134" w:right="1134" w:bottom="1134" w:left="1134" w:header="680" w:footer="851" w:gutter="0"/>
          <w:cols w:space="708"/>
          <w:docGrid w:linePitch="360"/>
        </w:sectPr>
      </w:pPr>
    </w:p>
    <w:p w:rsidR="009F5CAF" w:rsidRPr="009F5CAF" w:rsidRDefault="009F5CAF" w:rsidP="0056792C">
      <w:pPr>
        <w:pStyle w:val="Caption"/>
        <w:rPr>
          <w:b w:val="0"/>
          <w:sz w:val="24"/>
          <w:szCs w:val="24"/>
        </w:rPr>
      </w:pPr>
      <w:r w:rsidRPr="009F5CAF">
        <w:rPr>
          <w:b w:val="0"/>
          <w:sz w:val="24"/>
          <w:szCs w:val="24"/>
        </w:rPr>
        <w:lastRenderedPageBreak/>
        <w:fldChar w:fldCharType="begin"/>
      </w:r>
      <w:r w:rsidRPr="009F5CAF">
        <w:rPr>
          <w:b w:val="0"/>
          <w:sz w:val="24"/>
          <w:szCs w:val="24"/>
        </w:rPr>
        <w:instrText xml:space="preserve"> REF _Ref522882759 \h </w:instrText>
      </w:r>
      <w:r>
        <w:rPr>
          <w:b w:val="0"/>
          <w:sz w:val="24"/>
          <w:szCs w:val="24"/>
        </w:rPr>
        <w:instrText xml:space="preserve"> \* MERGEFORMAT </w:instrText>
      </w:r>
      <w:r w:rsidRPr="009F5CAF">
        <w:rPr>
          <w:b w:val="0"/>
          <w:sz w:val="24"/>
          <w:szCs w:val="24"/>
        </w:rPr>
      </w:r>
      <w:r w:rsidRPr="009F5CAF">
        <w:rPr>
          <w:b w:val="0"/>
          <w:sz w:val="24"/>
          <w:szCs w:val="24"/>
        </w:rPr>
        <w:fldChar w:fldCharType="separate"/>
      </w:r>
      <w:r w:rsidR="00964233" w:rsidRPr="00964233">
        <w:rPr>
          <w:sz w:val="24"/>
          <w:szCs w:val="24"/>
        </w:rPr>
        <w:t>Table A-6.2</w:t>
      </w:r>
      <w:r w:rsidRPr="009F5CAF">
        <w:rPr>
          <w:b w:val="0"/>
          <w:sz w:val="24"/>
          <w:szCs w:val="24"/>
        </w:rPr>
        <w:fldChar w:fldCharType="end"/>
      </w:r>
      <w:r>
        <w:rPr>
          <w:b w:val="0"/>
          <w:sz w:val="24"/>
          <w:szCs w:val="24"/>
        </w:rPr>
        <w:t xml:space="preserve"> </w:t>
      </w:r>
      <w:r w:rsidRPr="009F5CAF">
        <w:rPr>
          <w:b w:val="0"/>
          <w:sz w:val="24"/>
          <w:szCs w:val="24"/>
        </w:rPr>
        <w:t>below shows AMSTAR scores of included systematic reviews.</w:t>
      </w:r>
    </w:p>
    <w:p w:rsidR="009F5CAF" w:rsidRDefault="009F5CAF" w:rsidP="0056792C">
      <w:pPr>
        <w:pStyle w:val="Caption"/>
        <w:rPr>
          <w:szCs w:val="20"/>
        </w:rPr>
      </w:pPr>
    </w:p>
    <w:p w:rsidR="00143449" w:rsidRPr="0056792C" w:rsidRDefault="003803D7" w:rsidP="0056792C">
      <w:pPr>
        <w:pStyle w:val="Caption"/>
      </w:pPr>
      <w:bookmarkStart w:id="158" w:name="_Ref522882759"/>
      <w:r w:rsidRPr="003803D7">
        <w:rPr>
          <w:szCs w:val="20"/>
        </w:rPr>
        <w:t>Table A-6.</w:t>
      </w:r>
      <w:r w:rsidRPr="003803D7">
        <w:rPr>
          <w:szCs w:val="20"/>
        </w:rPr>
        <w:fldChar w:fldCharType="begin"/>
      </w:r>
      <w:r w:rsidRPr="003803D7">
        <w:rPr>
          <w:szCs w:val="20"/>
        </w:rPr>
        <w:instrText xml:space="preserve"> SEQ Table_A-6. \* ARABIC </w:instrText>
      </w:r>
      <w:r w:rsidRPr="003803D7">
        <w:rPr>
          <w:szCs w:val="20"/>
        </w:rPr>
        <w:fldChar w:fldCharType="separate"/>
      </w:r>
      <w:r w:rsidR="001F1083">
        <w:rPr>
          <w:noProof/>
          <w:szCs w:val="20"/>
        </w:rPr>
        <w:t>2</w:t>
      </w:r>
      <w:r w:rsidRPr="003803D7">
        <w:rPr>
          <w:szCs w:val="20"/>
        </w:rPr>
        <w:fldChar w:fldCharType="end"/>
      </w:r>
      <w:bookmarkEnd w:id="158"/>
      <w:r w:rsidR="009F39CE" w:rsidRPr="009F39CE">
        <w:tab/>
      </w:r>
      <w:r w:rsidR="00143449" w:rsidRPr="0056792C">
        <w:tab/>
        <w:t>AMSTAR scores of included systematic reviews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Caption w:val="Table A-6.2"/>
        <w:tblDescription w:val="AMSTAR scores of included systematic reviews"/>
      </w:tblPr>
      <w:tblGrid>
        <w:gridCol w:w="1126"/>
        <w:gridCol w:w="992"/>
        <w:gridCol w:w="1081"/>
        <w:gridCol w:w="1081"/>
        <w:gridCol w:w="1081"/>
        <w:gridCol w:w="1081"/>
        <w:gridCol w:w="1081"/>
        <w:gridCol w:w="1081"/>
        <w:gridCol w:w="1081"/>
        <w:gridCol w:w="1081"/>
        <w:gridCol w:w="1081"/>
        <w:gridCol w:w="1080"/>
        <w:gridCol w:w="1066"/>
      </w:tblGrid>
      <w:tr w:rsidR="00572CCE" w:rsidRPr="00770667" w:rsidTr="00572CCE">
        <w:trPr>
          <w:trHeight w:val="227"/>
        </w:trPr>
        <w:tc>
          <w:tcPr>
            <w:tcW w:w="402" w:type="pct"/>
            <w:shd w:val="clear" w:color="auto" w:fill="366091"/>
          </w:tcPr>
          <w:p w:rsidR="00572CCE" w:rsidRPr="00770667" w:rsidRDefault="00572CCE" w:rsidP="00572CCE">
            <w:pPr>
              <w:pStyle w:val="01Tableheadingorsubheading"/>
              <w:rPr>
                <w:lang w:eastAsia="en-AU"/>
              </w:rPr>
            </w:pPr>
            <w:r>
              <w:rPr>
                <w:lang w:eastAsia="en-AU"/>
              </w:rPr>
              <w:t>Author, Year</w:t>
            </w:r>
          </w:p>
        </w:tc>
        <w:tc>
          <w:tcPr>
            <w:tcW w:w="354" w:type="pct"/>
            <w:shd w:val="clear" w:color="auto" w:fill="366091"/>
          </w:tcPr>
          <w:p w:rsidR="00572CCE" w:rsidRPr="00770667" w:rsidRDefault="00572CCE" w:rsidP="00572CCE">
            <w:pPr>
              <w:pStyle w:val="01Tableheadingorsubheading"/>
              <w:jc w:val="center"/>
              <w:rPr>
                <w:lang w:eastAsia="en-AU"/>
              </w:rPr>
            </w:pPr>
            <w:r>
              <w:rPr>
                <w:lang w:eastAsia="en-AU"/>
              </w:rPr>
              <w:t xml:space="preserve">Overall AMSTAR score </w:t>
            </w:r>
            <w:r w:rsidRPr="00195769">
              <w:rPr>
                <w:vertAlign w:val="superscript"/>
                <w:lang w:eastAsia="en-AU"/>
              </w:rPr>
              <w:t>a</w:t>
            </w:r>
          </w:p>
        </w:tc>
        <w:tc>
          <w:tcPr>
            <w:tcW w:w="386" w:type="pct"/>
            <w:shd w:val="clear" w:color="auto" w:fill="366091"/>
          </w:tcPr>
          <w:p w:rsidR="00572CCE" w:rsidRPr="002949DB" w:rsidRDefault="00572CCE" w:rsidP="00572CCE">
            <w:pPr>
              <w:pStyle w:val="01Tableheadingorsubheading"/>
              <w:jc w:val="center"/>
              <w:rPr>
                <w:lang w:eastAsia="en-AU"/>
              </w:rPr>
            </w:pPr>
            <w:r w:rsidRPr="002949DB">
              <w:rPr>
                <w:lang w:eastAsia="en-AU"/>
              </w:rPr>
              <w:t>(1)</w:t>
            </w:r>
          </w:p>
          <w:p w:rsidR="00572CCE" w:rsidRPr="00770667" w:rsidRDefault="00572CCE" w:rsidP="00572CCE">
            <w:pPr>
              <w:pStyle w:val="01Tableheadingorsubheading"/>
              <w:jc w:val="center"/>
              <w:rPr>
                <w:lang w:eastAsia="en-AU"/>
              </w:rPr>
            </w:pPr>
            <w:r>
              <w:rPr>
                <w:lang w:eastAsia="en-AU"/>
              </w:rPr>
              <w:t>Provided study design</w:t>
            </w:r>
          </w:p>
        </w:tc>
        <w:tc>
          <w:tcPr>
            <w:tcW w:w="386" w:type="pct"/>
            <w:shd w:val="clear" w:color="auto" w:fill="366091"/>
          </w:tcPr>
          <w:p w:rsidR="00572CCE" w:rsidRDefault="00572CCE" w:rsidP="00572CCE">
            <w:pPr>
              <w:pStyle w:val="01Tableheadingorsubheading"/>
              <w:jc w:val="center"/>
              <w:rPr>
                <w:lang w:eastAsia="en-AU"/>
              </w:rPr>
            </w:pPr>
            <w:r>
              <w:rPr>
                <w:lang w:eastAsia="en-AU"/>
              </w:rPr>
              <w:t>(2)</w:t>
            </w:r>
          </w:p>
          <w:p w:rsidR="00572CCE" w:rsidRPr="00770667" w:rsidRDefault="00572CCE" w:rsidP="00572CCE">
            <w:pPr>
              <w:pStyle w:val="01Tableheadingorsubheading"/>
              <w:jc w:val="center"/>
              <w:rPr>
                <w:lang w:eastAsia="en-AU"/>
              </w:rPr>
            </w:pPr>
            <w:r>
              <w:rPr>
                <w:lang w:eastAsia="en-AU"/>
              </w:rPr>
              <w:t>Duplicate study selection</w:t>
            </w:r>
          </w:p>
        </w:tc>
        <w:tc>
          <w:tcPr>
            <w:tcW w:w="386" w:type="pct"/>
            <w:shd w:val="clear" w:color="auto" w:fill="366091"/>
          </w:tcPr>
          <w:p w:rsidR="00572CCE" w:rsidRDefault="00572CCE" w:rsidP="00572CCE">
            <w:pPr>
              <w:pStyle w:val="01Tableheadingorsubheading"/>
              <w:jc w:val="center"/>
              <w:rPr>
                <w:lang w:eastAsia="en-AU"/>
              </w:rPr>
            </w:pPr>
            <w:r>
              <w:rPr>
                <w:lang w:eastAsia="en-AU"/>
              </w:rPr>
              <w:t>(3)</w:t>
            </w:r>
          </w:p>
          <w:p w:rsidR="00572CCE" w:rsidRPr="00770667" w:rsidRDefault="00572CCE" w:rsidP="00572CCE">
            <w:pPr>
              <w:pStyle w:val="01Tableheadingorsubheading"/>
              <w:jc w:val="center"/>
              <w:rPr>
                <w:lang w:eastAsia="en-AU"/>
              </w:rPr>
            </w:pPr>
            <w:r>
              <w:rPr>
                <w:lang w:eastAsia="en-AU"/>
              </w:rPr>
              <w:t>Broad literature search</w:t>
            </w:r>
          </w:p>
        </w:tc>
        <w:tc>
          <w:tcPr>
            <w:tcW w:w="386" w:type="pct"/>
            <w:shd w:val="clear" w:color="auto" w:fill="366091"/>
          </w:tcPr>
          <w:p w:rsidR="00572CCE" w:rsidRDefault="00572CCE" w:rsidP="00572CCE">
            <w:pPr>
              <w:pStyle w:val="01Tableheadingorsubheading"/>
              <w:jc w:val="center"/>
              <w:rPr>
                <w:lang w:eastAsia="en-AU"/>
              </w:rPr>
            </w:pPr>
            <w:r>
              <w:rPr>
                <w:lang w:eastAsia="en-AU"/>
              </w:rPr>
              <w:t>(4)</w:t>
            </w:r>
          </w:p>
          <w:p w:rsidR="00572CCE" w:rsidRPr="00770667" w:rsidRDefault="00572CCE" w:rsidP="00572CCE">
            <w:pPr>
              <w:pStyle w:val="01Tableheadingorsubheading"/>
              <w:jc w:val="center"/>
              <w:rPr>
                <w:lang w:eastAsia="en-AU"/>
              </w:rPr>
            </w:pPr>
            <w:r w:rsidRPr="004D760B">
              <w:rPr>
                <w:lang w:eastAsia="en-AU"/>
              </w:rPr>
              <w:t>Considered status of publication</w:t>
            </w:r>
          </w:p>
        </w:tc>
        <w:tc>
          <w:tcPr>
            <w:tcW w:w="386" w:type="pct"/>
            <w:shd w:val="clear" w:color="auto" w:fill="366091"/>
          </w:tcPr>
          <w:p w:rsidR="00572CCE" w:rsidRDefault="00572CCE" w:rsidP="00572CCE">
            <w:pPr>
              <w:pStyle w:val="01Tableheadingorsubheading"/>
              <w:jc w:val="center"/>
              <w:rPr>
                <w:lang w:eastAsia="en-AU"/>
              </w:rPr>
            </w:pPr>
            <w:r>
              <w:rPr>
                <w:lang w:eastAsia="en-AU"/>
              </w:rPr>
              <w:t>(5)</w:t>
            </w:r>
          </w:p>
          <w:p w:rsidR="00572CCE" w:rsidRPr="00770667" w:rsidRDefault="00572CCE" w:rsidP="00572CCE">
            <w:pPr>
              <w:pStyle w:val="01Tableheadingorsubheading"/>
              <w:jc w:val="center"/>
              <w:rPr>
                <w:lang w:eastAsia="en-AU"/>
              </w:rPr>
            </w:pPr>
            <w:r>
              <w:rPr>
                <w:lang w:eastAsia="en-AU"/>
              </w:rPr>
              <w:t>List of studies</w:t>
            </w:r>
          </w:p>
        </w:tc>
        <w:tc>
          <w:tcPr>
            <w:tcW w:w="386" w:type="pct"/>
            <w:shd w:val="clear" w:color="auto" w:fill="366091"/>
          </w:tcPr>
          <w:p w:rsidR="00572CCE" w:rsidRDefault="00572CCE" w:rsidP="00572CCE">
            <w:pPr>
              <w:pStyle w:val="01Tableheadingorsubheading"/>
              <w:jc w:val="center"/>
              <w:rPr>
                <w:lang w:eastAsia="en-AU"/>
              </w:rPr>
            </w:pPr>
            <w:r>
              <w:rPr>
                <w:lang w:eastAsia="en-AU"/>
              </w:rPr>
              <w:t>(6)</w:t>
            </w:r>
          </w:p>
          <w:p w:rsidR="00572CCE" w:rsidRPr="00770667" w:rsidRDefault="00572CCE" w:rsidP="00572CCE">
            <w:pPr>
              <w:pStyle w:val="01Tableheadingorsubheading"/>
              <w:jc w:val="center"/>
              <w:rPr>
                <w:lang w:eastAsia="en-AU"/>
              </w:rPr>
            </w:pPr>
            <w:r>
              <w:rPr>
                <w:lang w:eastAsia="en-AU"/>
              </w:rPr>
              <w:t>Provided study character-istics</w:t>
            </w:r>
          </w:p>
        </w:tc>
        <w:tc>
          <w:tcPr>
            <w:tcW w:w="386" w:type="pct"/>
            <w:shd w:val="clear" w:color="auto" w:fill="366091"/>
          </w:tcPr>
          <w:p w:rsidR="00572CCE" w:rsidRDefault="00572CCE" w:rsidP="00572CCE">
            <w:pPr>
              <w:pStyle w:val="01Tableheadingorsubheading"/>
              <w:jc w:val="center"/>
              <w:rPr>
                <w:lang w:eastAsia="en-AU"/>
              </w:rPr>
            </w:pPr>
            <w:r>
              <w:rPr>
                <w:lang w:eastAsia="en-AU"/>
              </w:rPr>
              <w:t>(7)</w:t>
            </w:r>
          </w:p>
          <w:p w:rsidR="00572CCE" w:rsidRPr="00770667" w:rsidRDefault="00572CCE" w:rsidP="00572CCE">
            <w:pPr>
              <w:pStyle w:val="01Tableheadingorsubheading"/>
              <w:jc w:val="center"/>
              <w:rPr>
                <w:lang w:eastAsia="en-AU"/>
              </w:rPr>
            </w:pPr>
            <w:r>
              <w:rPr>
                <w:lang w:eastAsia="en-AU"/>
              </w:rPr>
              <w:t>Assessed scientific quality</w:t>
            </w:r>
          </w:p>
        </w:tc>
        <w:tc>
          <w:tcPr>
            <w:tcW w:w="386" w:type="pct"/>
            <w:shd w:val="clear" w:color="auto" w:fill="366091"/>
          </w:tcPr>
          <w:p w:rsidR="00572CCE" w:rsidRDefault="00572CCE" w:rsidP="00572CCE">
            <w:pPr>
              <w:pStyle w:val="01Tableheadingorsubheading"/>
              <w:jc w:val="center"/>
              <w:rPr>
                <w:lang w:eastAsia="en-AU"/>
              </w:rPr>
            </w:pPr>
            <w:r>
              <w:rPr>
                <w:lang w:eastAsia="en-AU"/>
              </w:rPr>
              <w:t>(8)</w:t>
            </w:r>
          </w:p>
          <w:p w:rsidR="00572CCE" w:rsidRPr="00770667" w:rsidRDefault="00572CCE" w:rsidP="00572CCE">
            <w:pPr>
              <w:pStyle w:val="01Tableheadingorsubheading"/>
              <w:jc w:val="center"/>
              <w:rPr>
                <w:lang w:eastAsia="en-AU"/>
              </w:rPr>
            </w:pPr>
            <w:r>
              <w:rPr>
                <w:lang w:eastAsia="en-AU"/>
              </w:rPr>
              <w:t>Considered quality in report</w:t>
            </w:r>
          </w:p>
        </w:tc>
        <w:tc>
          <w:tcPr>
            <w:tcW w:w="386" w:type="pct"/>
            <w:shd w:val="clear" w:color="auto" w:fill="366091"/>
          </w:tcPr>
          <w:p w:rsidR="00572CCE" w:rsidRDefault="00572CCE" w:rsidP="00572CCE">
            <w:pPr>
              <w:pStyle w:val="01Tableheadingorsubheading"/>
              <w:jc w:val="center"/>
              <w:rPr>
                <w:lang w:eastAsia="en-AU"/>
              </w:rPr>
            </w:pPr>
            <w:r>
              <w:rPr>
                <w:lang w:eastAsia="en-AU"/>
              </w:rPr>
              <w:t>(9)</w:t>
            </w:r>
          </w:p>
          <w:p w:rsidR="00572CCE" w:rsidRPr="00770667" w:rsidRDefault="00572CCE" w:rsidP="00572CCE">
            <w:pPr>
              <w:pStyle w:val="01Tableheadingorsubheading"/>
              <w:jc w:val="center"/>
              <w:rPr>
                <w:lang w:eastAsia="en-AU"/>
              </w:rPr>
            </w:pPr>
            <w:r>
              <w:rPr>
                <w:lang w:eastAsia="en-AU"/>
              </w:rPr>
              <w:t>Methods to combine appropriate</w:t>
            </w:r>
          </w:p>
        </w:tc>
        <w:tc>
          <w:tcPr>
            <w:tcW w:w="386" w:type="pct"/>
            <w:shd w:val="clear" w:color="auto" w:fill="366091"/>
          </w:tcPr>
          <w:p w:rsidR="00572CCE" w:rsidRDefault="00572CCE" w:rsidP="00572CCE">
            <w:pPr>
              <w:pStyle w:val="01Tableheadingorsubheading"/>
              <w:jc w:val="center"/>
              <w:rPr>
                <w:lang w:eastAsia="en-AU"/>
              </w:rPr>
            </w:pPr>
            <w:r>
              <w:rPr>
                <w:lang w:eastAsia="en-AU"/>
              </w:rPr>
              <w:t>(10)</w:t>
            </w:r>
          </w:p>
          <w:p w:rsidR="00572CCE" w:rsidRPr="00770667" w:rsidRDefault="00572CCE" w:rsidP="00572CCE">
            <w:pPr>
              <w:pStyle w:val="01Tableheadingorsubheading"/>
              <w:jc w:val="center"/>
              <w:rPr>
                <w:lang w:eastAsia="en-AU"/>
              </w:rPr>
            </w:pPr>
            <w:r>
              <w:rPr>
                <w:lang w:eastAsia="en-AU"/>
              </w:rPr>
              <w:t>Assessed publication bias</w:t>
            </w:r>
          </w:p>
        </w:tc>
        <w:tc>
          <w:tcPr>
            <w:tcW w:w="381" w:type="pct"/>
            <w:shd w:val="clear" w:color="auto" w:fill="366091"/>
          </w:tcPr>
          <w:p w:rsidR="00572CCE" w:rsidRDefault="00572CCE" w:rsidP="00572CCE">
            <w:pPr>
              <w:pStyle w:val="01Tableheadingorsubheading"/>
              <w:jc w:val="center"/>
              <w:rPr>
                <w:lang w:eastAsia="en-AU"/>
              </w:rPr>
            </w:pPr>
            <w:r>
              <w:rPr>
                <w:lang w:eastAsia="en-AU"/>
              </w:rPr>
              <w:t>(11)</w:t>
            </w:r>
          </w:p>
          <w:p w:rsidR="00572CCE" w:rsidRDefault="00572CCE" w:rsidP="00572CCE">
            <w:pPr>
              <w:pStyle w:val="01Tableheadingorsubheading"/>
              <w:jc w:val="center"/>
              <w:rPr>
                <w:lang w:eastAsia="en-AU"/>
              </w:rPr>
            </w:pPr>
            <w:r>
              <w:rPr>
                <w:lang w:eastAsia="en-AU"/>
              </w:rPr>
              <w:t>Stated conflict of interest</w:t>
            </w:r>
          </w:p>
        </w:tc>
      </w:tr>
      <w:tr w:rsidR="00572CCE" w:rsidRPr="006F2A41" w:rsidTr="00572CCE">
        <w:trPr>
          <w:trHeight w:val="227"/>
        </w:trPr>
        <w:tc>
          <w:tcPr>
            <w:tcW w:w="402" w:type="pct"/>
            <w:shd w:val="clear" w:color="auto" w:fill="FFFFFF" w:themeFill="background1"/>
          </w:tcPr>
          <w:p w:rsidR="00572CCE" w:rsidRPr="003C7DF7" w:rsidRDefault="00572CCE" w:rsidP="00572CCE">
            <w:pPr>
              <w:pStyle w:val="02Tabletext"/>
            </w:pPr>
            <w:r>
              <w:t>Boeni (2014)</w:t>
            </w:r>
          </w:p>
        </w:tc>
        <w:tc>
          <w:tcPr>
            <w:tcW w:w="354" w:type="pct"/>
            <w:shd w:val="clear" w:color="auto" w:fill="FFFFFF" w:themeFill="background1"/>
          </w:tcPr>
          <w:p w:rsidR="00572CCE" w:rsidRPr="006F2A41" w:rsidRDefault="00C473BD" w:rsidP="00572CCE">
            <w:pPr>
              <w:pStyle w:val="02Tabletext"/>
              <w:jc w:val="center"/>
            </w:pPr>
            <w:r>
              <w:t>5/10</w:t>
            </w:r>
          </w:p>
        </w:tc>
        <w:tc>
          <w:tcPr>
            <w:tcW w:w="386" w:type="pct"/>
            <w:shd w:val="clear" w:color="auto" w:fill="FFFFFF" w:themeFill="background1"/>
          </w:tcPr>
          <w:p w:rsidR="00572CCE" w:rsidRPr="006F2A41" w:rsidRDefault="00C473BD" w:rsidP="00572CCE">
            <w:pPr>
              <w:pStyle w:val="02Tabletext"/>
              <w:jc w:val="center"/>
            </w:pPr>
            <w:r>
              <w:t>0</w:t>
            </w:r>
          </w:p>
        </w:tc>
        <w:tc>
          <w:tcPr>
            <w:tcW w:w="386" w:type="pct"/>
            <w:shd w:val="clear" w:color="auto" w:fill="FFFFFF" w:themeFill="background1"/>
          </w:tcPr>
          <w:p w:rsidR="00572CCE" w:rsidRPr="006F2A41" w:rsidRDefault="00572CCE" w:rsidP="00572CCE">
            <w:pPr>
              <w:pStyle w:val="02Tabletext"/>
              <w:jc w:val="center"/>
            </w:pPr>
            <w:r>
              <w:t>1</w:t>
            </w:r>
          </w:p>
        </w:tc>
        <w:tc>
          <w:tcPr>
            <w:tcW w:w="386" w:type="pct"/>
            <w:shd w:val="clear" w:color="auto" w:fill="FFFFFF" w:themeFill="background1"/>
          </w:tcPr>
          <w:p w:rsidR="00572CCE" w:rsidRPr="006F2A41" w:rsidRDefault="00572CCE" w:rsidP="00572CCE">
            <w:pPr>
              <w:pStyle w:val="02Tabletext"/>
              <w:jc w:val="center"/>
            </w:pPr>
            <w:r>
              <w:t>1</w:t>
            </w:r>
          </w:p>
        </w:tc>
        <w:tc>
          <w:tcPr>
            <w:tcW w:w="386" w:type="pct"/>
            <w:shd w:val="clear" w:color="auto" w:fill="FFFFFF" w:themeFill="background1"/>
          </w:tcPr>
          <w:p w:rsidR="00572CCE" w:rsidRPr="006F2A41" w:rsidRDefault="00572CCE" w:rsidP="00572CCE">
            <w:pPr>
              <w:pStyle w:val="02Tabletext"/>
              <w:tabs>
                <w:tab w:val="left" w:pos="420"/>
                <w:tab w:val="center" w:pos="483"/>
              </w:tabs>
              <w:jc w:val="center"/>
            </w:pPr>
            <w:r>
              <w:t>0</w:t>
            </w:r>
          </w:p>
        </w:tc>
        <w:tc>
          <w:tcPr>
            <w:tcW w:w="386" w:type="pct"/>
            <w:shd w:val="clear" w:color="auto" w:fill="FFFFFF" w:themeFill="background1"/>
          </w:tcPr>
          <w:p w:rsidR="00572CCE" w:rsidRPr="006F2A41" w:rsidRDefault="00572CCE" w:rsidP="00572CCE">
            <w:pPr>
              <w:pStyle w:val="02Tabletext"/>
              <w:jc w:val="center"/>
            </w:pPr>
            <w:r>
              <w:t>0</w:t>
            </w:r>
          </w:p>
        </w:tc>
        <w:tc>
          <w:tcPr>
            <w:tcW w:w="386" w:type="pct"/>
            <w:shd w:val="clear" w:color="auto" w:fill="FFFFFF" w:themeFill="background1"/>
          </w:tcPr>
          <w:p w:rsidR="00572CCE" w:rsidRPr="006F2A41" w:rsidRDefault="00572CCE" w:rsidP="00572CCE">
            <w:pPr>
              <w:pStyle w:val="02Tabletext"/>
              <w:jc w:val="center"/>
            </w:pPr>
            <w:r>
              <w:t>1</w:t>
            </w:r>
          </w:p>
        </w:tc>
        <w:tc>
          <w:tcPr>
            <w:tcW w:w="386" w:type="pct"/>
            <w:shd w:val="clear" w:color="auto" w:fill="FFFFFF" w:themeFill="background1"/>
          </w:tcPr>
          <w:p w:rsidR="00572CCE" w:rsidRPr="006F2A41" w:rsidRDefault="00572CCE" w:rsidP="00572CCE">
            <w:pPr>
              <w:pStyle w:val="02Tabletext"/>
              <w:jc w:val="center"/>
            </w:pPr>
            <w:r>
              <w:t>1</w:t>
            </w:r>
          </w:p>
        </w:tc>
        <w:tc>
          <w:tcPr>
            <w:tcW w:w="386" w:type="pct"/>
            <w:shd w:val="clear" w:color="auto" w:fill="FFFFFF" w:themeFill="background1"/>
          </w:tcPr>
          <w:p w:rsidR="00572CCE" w:rsidRPr="006F2A41" w:rsidRDefault="00572CCE" w:rsidP="00572CCE">
            <w:pPr>
              <w:pStyle w:val="02Tabletext"/>
              <w:jc w:val="center"/>
            </w:pPr>
            <w:r>
              <w:t>1</w:t>
            </w:r>
          </w:p>
        </w:tc>
        <w:tc>
          <w:tcPr>
            <w:tcW w:w="386" w:type="pct"/>
            <w:shd w:val="clear" w:color="auto" w:fill="FFFFFF" w:themeFill="background1"/>
          </w:tcPr>
          <w:p w:rsidR="00572CCE" w:rsidRPr="006F2A41" w:rsidRDefault="00C473BD" w:rsidP="00572CCE">
            <w:pPr>
              <w:pStyle w:val="02Tabletext"/>
              <w:jc w:val="center"/>
            </w:pPr>
            <w:r>
              <w:t>NA</w:t>
            </w:r>
          </w:p>
        </w:tc>
        <w:tc>
          <w:tcPr>
            <w:tcW w:w="386" w:type="pct"/>
            <w:shd w:val="clear" w:color="auto" w:fill="FFFFFF" w:themeFill="background1"/>
          </w:tcPr>
          <w:p w:rsidR="00572CCE" w:rsidRPr="006F2A41" w:rsidRDefault="00572CCE" w:rsidP="00572CCE">
            <w:pPr>
              <w:pStyle w:val="02Tabletext"/>
              <w:jc w:val="center"/>
            </w:pPr>
            <w:r>
              <w:t>0</w:t>
            </w:r>
          </w:p>
        </w:tc>
        <w:tc>
          <w:tcPr>
            <w:tcW w:w="381" w:type="pct"/>
            <w:shd w:val="clear" w:color="auto" w:fill="FFFFFF" w:themeFill="background1"/>
          </w:tcPr>
          <w:p w:rsidR="00572CCE" w:rsidRDefault="00572CCE" w:rsidP="00572CCE">
            <w:pPr>
              <w:pStyle w:val="02Tabletext"/>
              <w:jc w:val="center"/>
            </w:pPr>
            <w:r>
              <w:t>0</w:t>
            </w:r>
          </w:p>
        </w:tc>
      </w:tr>
      <w:tr w:rsidR="00572CCE" w:rsidRPr="006F2A41" w:rsidTr="00572CCE">
        <w:trPr>
          <w:trHeight w:val="227"/>
        </w:trPr>
        <w:tc>
          <w:tcPr>
            <w:tcW w:w="402" w:type="pct"/>
            <w:shd w:val="clear" w:color="auto" w:fill="DEEAF6" w:themeFill="accent1" w:themeFillTint="33"/>
          </w:tcPr>
          <w:p w:rsidR="00572CCE" w:rsidRDefault="00572CCE" w:rsidP="00572CCE">
            <w:pPr>
              <w:pStyle w:val="02Tabletext"/>
            </w:pPr>
            <w:r>
              <w:t>Mahtani (2011)</w:t>
            </w:r>
          </w:p>
        </w:tc>
        <w:tc>
          <w:tcPr>
            <w:tcW w:w="354" w:type="pct"/>
            <w:shd w:val="clear" w:color="auto" w:fill="DEEAF6" w:themeFill="accent1" w:themeFillTint="33"/>
          </w:tcPr>
          <w:p w:rsidR="00572CCE" w:rsidRPr="006F2A41" w:rsidRDefault="003B11D3" w:rsidP="00572CCE">
            <w:pPr>
              <w:pStyle w:val="02Tabletext"/>
              <w:jc w:val="center"/>
            </w:pPr>
            <w:r>
              <w:t>10</w:t>
            </w:r>
            <w:r w:rsidR="00572CCE">
              <w:t>/11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572CCE" w:rsidP="00572CCE">
            <w:pPr>
              <w:pStyle w:val="02Tabletext"/>
              <w:jc w:val="center"/>
            </w:pPr>
            <w:r>
              <w:t>1</w:t>
            </w:r>
          </w:p>
        </w:tc>
        <w:tc>
          <w:tcPr>
            <w:tcW w:w="386" w:type="pct"/>
            <w:shd w:val="clear" w:color="auto" w:fill="DEEAF6" w:themeFill="accent1" w:themeFillTint="33"/>
          </w:tcPr>
          <w:p w:rsidR="00572CCE" w:rsidRPr="006F2A41" w:rsidRDefault="003B11D3" w:rsidP="00572CCE">
            <w:pPr>
              <w:pStyle w:val="02Tabletext"/>
              <w:jc w:val="center"/>
            </w:pPr>
            <w:r>
              <w:t>1</w:t>
            </w:r>
          </w:p>
        </w:tc>
        <w:tc>
          <w:tcPr>
            <w:tcW w:w="381" w:type="pct"/>
            <w:shd w:val="clear" w:color="auto" w:fill="DEEAF6" w:themeFill="accent1" w:themeFillTint="33"/>
          </w:tcPr>
          <w:p w:rsidR="00572CCE" w:rsidRDefault="00572CCE" w:rsidP="00572CCE">
            <w:pPr>
              <w:pStyle w:val="02Tabletext"/>
              <w:jc w:val="center"/>
            </w:pPr>
            <w:r>
              <w:t>0</w:t>
            </w:r>
          </w:p>
        </w:tc>
      </w:tr>
      <w:tr w:rsidR="004A4D90" w:rsidRPr="006F2A41" w:rsidTr="00572CCE">
        <w:trPr>
          <w:trHeight w:val="227"/>
        </w:trPr>
        <w:tc>
          <w:tcPr>
            <w:tcW w:w="402" w:type="pct"/>
            <w:shd w:val="clear" w:color="auto" w:fill="DEEAF6" w:themeFill="accent1" w:themeFillTint="33"/>
          </w:tcPr>
          <w:p w:rsidR="004A4D90" w:rsidRDefault="004A4D90" w:rsidP="00572CCE">
            <w:pPr>
              <w:pStyle w:val="02Tabletext"/>
            </w:pPr>
            <w:r>
              <w:t>Zedler (2011)</w:t>
            </w:r>
          </w:p>
        </w:tc>
        <w:tc>
          <w:tcPr>
            <w:tcW w:w="354" w:type="pct"/>
            <w:shd w:val="clear" w:color="auto" w:fill="DEEAF6" w:themeFill="accent1" w:themeFillTint="33"/>
          </w:tcPr>
          <w:p w:rsidR="004A4D90" w:rsidRDefault="00C473BD" w:rsidP="00572CCE">
            <w:pPr>
              <w:pStyle w:val="02Tabletext"/>
              <w:jc w:val="center"/>
            </w:pPr>
            <w:r>
              <w:t>5/10</w:t>
            </w:r>
          </w:p>
        </w:tc>
        <w:tc>
          <w:tcPr>
            <w:tcW w:w="386" w:type="pct"/>
            <w:shd w:val="clear" w:color="auto" w:fill="DEEAF6" w:themeFill="accent1" w:themeFillTint="33"/>
          </w:tcPr>
          <w:p w:rsidR="004A4D90" w:rsidRDefault="00C473BD" w:rsidP="00572CCE">
            <w:pPr>
              <w:pStyle w:val="02Tabletext"/>
              <w:jc w:val="center"/>
            </w:pPr>
            <w:r>
              <w:t>0</w:t>
            </w:r>
          </w:p>
        </w:tc>
        <w:tc>
          <w:tcPr>
            <w:tcW w:w="386" w:type="pct"/>
            <w:shd w:val="clear" w:color="auto" w:fill="DEEAF6" w:themeFill="accent1" w:themeFillTint="33"/>
          </w:tcPr>
          <w:p w:rsidR="004A4D90" w:rsidRDefault="00C473BD" w:rsidP="00572CCE">
            <w:pPr>
              <w:pStyle w:val="02Tabletext"/>
              <w:jc w:val="center"/>
            </w:pPr>
            <w:r>
              <w:t>1</w:t>
            </w:r>
          </w:p>
        </w:tc>
        <w:tc>
          <w:tcPr>
            <w:tcW w:w="386" w:type="pct"/>
            <w:shd w:val="clear" w:color="auto" w:fill="DEEAF6" w:themeFill="accent1" w:themeFillTint="33"/>
          </w:tcPr>
          <w:p w:rsidR="004A4D90" w:rsidRDefault="00C473BD" w:rsidP="00572CCE">
            <w:pPr>
              <w:pStyle w:val="02Tabletext"/>
              <w:jc w:val="center"/>
            </w:pPr>
            <w:r>
              <w:t>1</w:t>
            </w:r>
          </w:p>
        </w:tc>
        <w:tc>
          <w:tcPr>
            <w:tcW w:w="386" w:type="pct"/>
            <w:shd w:val="clear" w:color="auto" w:fill="DEEAF6" w:themeFill="accent1" w:themeFillTint="33"/>
          </w:tcPr>
          <w:p w:rsidR="004A4D90" w:rsidRDefault="004E4B69" w:rsidP="00572CCE">
            <w:pPr>
              <w:pStyle w:val="02Tabletext"/>
              <w:jc w:val="center"/>
            </w:pPr>
            <w:r>
              <w:t>0</w:t>
            </w:r>
          </w:p>
        </w:tc>
        <w:tc>
          <w:tcPr>
            <w:tcW w:w="386" w:type="pct"/>
            <w:shd w:val="clear" w:color="auto" w:fill="DEEAF6" w:themeFill="accent1" w:themeFillTint="33"/>
          </w:tcPr>
          <w:p w:rsidR="004A4D90" w:rsidRDefault="00C473BD" w:rsidP="00572CCE">
            <w:pPr>
              <w:pStyle w:val="02Tabletext"/>
              <w:jc w:val="center"/>
            </w:pPr>
            <w:r>
              <w:t>0</w:t>
            </w:r>
          </w:p>
        </w:tc>
        <w:tc>
          <w:tcPr>
            <w:tcW w:w="386" w:type="pct"/>
            <w:shd w:val="clear" w:color="auto" w:fill="DEEAF6" w:themeFill="accent1" w:themeFillTint="33"/>
          </w:tcPr>
          <w:p w:rsidR="004A4D90" w:rsidRDefault="00C473BD" w:rsidP="00572CCE">
            <w:pPr>
              <w:pStyle w:val="02Tabletext"/>
              <w:jc w:val="center"/>
            </w:pPr>
            <w:r>
              <w:t>1</w:t>
            </w:r>
          </w:p>
        </w:tc>
        <w:tc>
          <w:tcPr>
            <w:tcW w:w="386" w:type="pct"/>
            <w:shd w:val="clear" w:color="auto" w:fill="DEEAF6" w:themeFill="accent1" w:themeFillTint="33"/>
          </w:tcPr>
          <w:p w:rsidR="004A4D90" w:rsidRDefault="00C473BD" w:rsidP="00572CCE">
            <w:pPr>
              <w:pStyle w:val="02Tabletext"/>
              <w:jc w:val="center"/>
            </w:pPr>
            <w:r>
              <w:t>1</w:t>
            </w:r>
          </w:p>
        </w:tc>
        <w:tc>
          <w:tcPr>
            <w:tcW w:w="386" w:type="pct"/>
            <w:shd w:val="clear" w:color="auto" w:fill="DEEAF6" w:themeFill="accent1" w:themeFillTint="33"/>
          </w:tcPr>
          <w:p w:rsidR="004A4D90" w:rsidRDefault="00C473BD" w:rsidP="00572CCE">
            <w:pPr>
              <w:pStyle w:val="02Tabletext"/>
              <w:jc w:val="center"/>
            </w:pPr>
            <w:r>
              <w:t>1</w:t>
            </w:r>
          </w:p>
        </w:tc>
        <w:tc>
          <w:tcPr>
            <w:tcW w:w="386" w:type="pct"/>
            <w:shd w:val="clear" w:color="auto" w:fill="DEEAF6" w:themeFill="accent1" w:themeFillTint="33"/>
          </w:tcPr>
          <w:p w:rsidR="004A4D90" w:rsidRDefault="00C473BD" w:rsidP="00572CCE">
            <w:pPr>
              <w:pStyle w:val="02Tabletext"/>
              <w:jc w:val="center"/>
            </w:pPr>
            <w:r>
              <w:t>NA</w:t>
            </w:r>
          </w:p>
        </w:tc>
        <w:tc>
          <w:tcPr>
            <w:tcW w:w="386" w:type="pct"/>
            <w:shd w:val="clear" w:color="auto" w:fill="DEEAF6" w:themeFill="accent1" w:themeFillTint="33"/>
          </w:tcPr>
          <w:p w:rsidR="004A4D90" w:rsidRDefault="00C473BD" w:rsidP="00572CCE">
            <w:pPr>
              <w:pStyle w:val="02Tabletext"/>
              <w:jc w:val="center"/>
            </w:pPr>
            <w:r>
              <w:t>0</w:t>
            </w:r>
          </w:p>
        </w:tc>
        <w:tc>
          <w:tcPr>
            <w:tcW w:w="381" w:type="pct"/>
            <w:shd w:val="clear" w:color="auto" w:fill="DEEAF6" w:themeFill="accent1" w:themeFillTint="33"/>
          </w:tcPr>
          <w:p w:rsidR="004A4D90" w:rsidRDefault="00C473BD" w:rsidP="00572CCE">
            <w:pPr>
              <w:pStyle w:val="02Tabletext"/>
              <w:jc w:val="center"/>
            </w:pPr>
            <w:r>
              <w:t>0</w:t>
            </w:r>
          </w:p>
        </w:tc>
      </w:tr>
    </w:tbl>
    <w:p w:rsidR="00572CCE" w:rsidRDefault="00572CCE" w:rsidP="00572CCE">
      <w:pPr>
        <w:pStyle w:val="08Tablefootnotes"/>
      </w:pPr>
      <w:r>
        <w:t>Abbreviations: AMSTAR, Assessment of Multiple Systematic Reviews; CA, can’t answer; HT</w:t>
      </w:r>
      <w:r w:rsidR="003B11D3">
        <w:t>A, health technology assessment</w:t>
      </w:r>
      <w:r>
        <w:t>; NA, not applicable.</w:t>
      </w:r>
    </w:p>
    <w:p w:rsidR="00143449" w:rsidRPr="00143449" w:rsidRDefault="00572CCE" w:rsidP="00143449">
      <w:pPr>
        <w:pStyle w:val="09Tablefootnoteslast-nostick"/>
      </w:pPr>
      <w:r w:rsidRPr="00864E6D">
        <w:rPr>
          <w:b/>
        </w:rPr>
        <w:t xml:space="preserve">a </w:t>
      </w:r>
      <w:r>
        <w:t xml:space="preserve">1 = Yes, 0 = No; maximum possible score is 11. Details of AMSTAR Score are </w:t>
      </w:r>
      <w:r w:rsidR="00143449">
        <w:t>described in Shea et al (2007).</w:t>
      </w:r>
    </w:p>
    <w:p w:rsidR="00143449" w:rsidRDefault="00143449" w:rsidP="00143449">
      <w:pPr>
        <w:pStyle w:val="BodyText"/>
      </w:pPr>
    </w:p>
    <w:p w:rsidR="00C473BD" w:rsidRDefault="00C473BD" w:rsidP="00143449">
      <w:pPr>
        <w:pStyle w:val="08Tablefootnotes"/>
        <w:sectPr w:rsidR="00C473BD" w:rsidSect="00143449">
          <w:footerReference w:type="default" r:id="rId41"/>
          <w:pgSz w:w="16838" w:h="11906" w:orient="landscape" w:code="9"/>
          <w:pgMar w:top="1701" w:right="1134" w:bottom="1134" w:left="1701" w:header="680" w:footer="1021" w:gutter="0"/>
          <w:cols w:space="708"/>
          <w:docGrid w:linePitch="360"/>
        </w:sectPr>
      </w:pPr>
    </w:p>
    <w:p w:rsidR="00C351BB" w:rsidRDefault="00C473BD" w:rsidP="00C351BB">
      <w:pPr>
        <w:pStyle w:val="Heading2"/>
        <w:numPr>
          <w:ilvl w:val="0"/>
          <w:numId w:val="0"/>
        </w:numPr>
        <w:ind w:left="680" w:hanging="680"/>
      </w:pPr>
      <w:bookmarkStart w:id="159" w:name="_Toc523230319"/>
      <w:r>
        <w:lastRenderedPageBreak/>
        <w:t>Primary studies</w:t>
      </w:r>
      <w:bookmarkEnd w:id="159"/>
    </w:p>
    <w:p w:rsidR="00601EA7" w:rsidRDefault="003A2A99" w:rsidP="00601EA7">
      <w:pPr>
        <w:pStyle w:val="BodyText"/>
      </w:pPr>
      <w:r>
        <w:fldChar w:fldCharType="begin"/>
      </w:r>
      <w:r>
        <w:instrText xml:space="preserve"> REF _Ref522886202 \h </w:instrText>
      </w:r>
      <w:r>
        <w:fldChar w:fldCharType="separate"/>
      </w:r>
      <w:r w:rsidR="00964233">
        <w:t>Table A-6.</w:t>
      </w:r>
      <w:r w:rsidR="00964233">
        <w:rPr>
          <w:noProof/>
        </w:rPr>
        <w:t>3</w:t>
      </w:r>
      <w:r>
        <w:fldChar w:fldCharType="end"/>
      </w:r>
      <w:r>
        <w:t xml:space="preserve"> </w:t>
      </w:r>
      <w:r w:rsidR="009F5CAF">
        <w:t xml:space="preserve">below </w:t>
      </w:r>
      <w:r w:rsidR="007073F0">
        <w:t>shows quality analysis of primary studies adapted from NHMRC 2000</w:t>
      </w:r>
      <w:r w:rsidR="007073F0" w:rsidRPr="007073F0">
        <w:t xml:space="preserve"> toolkit – How to use the evidence: assessment and application of scientific evidence</w:t>
      </w:r>
      <w:r w:rsidR="007073F0">
        <w:t>.</w:t>
      </w:r>
    </w:p>
    <w:p w:rsidR="00601EA7" w:rsidRDefault="003A2A99" w:rsidP="003A2A99">
      <w:pPr>
        <w:pStyle w:val="Caption"/>
      </w:pPr>
      <w:bookmarkStart w:id="160" w:name="_Ref522886202"/>
      <w:r>
        <w:t>Table A-6.</w:t>
      </w:r>
      <w:r w:rsidR="00964233">
        <w:rPr>
          <w:noProof/>
        </w:rPr>
        <w:fldChar w:fldCharType="begin"/>
      </w:r>
      <w:r w:rsidR="00964233">
        <w:rPr>
          <w:noProof/>
        </w:rPr>
        <w:instrText xml:space="preserve"> SEQ Table_A-6. \* ARABIC </w:instrText>
      </w:r>
      <w:r w:rsidR="00964233">
        <w:rPr>
          <w:noProof/>
        </w:rPr>
        <w:fldChar w:fldCharType="separate"/>
      </w:r>
      <w:r w:rsidR="001F1083">
        <w:rPr>
          <w:noProof/>
        </w:rPr>
        <w:t>3</w:t>
      </w:r>
      <w:r w:rsidR="00964233">
        <w:rPr>
          <w:noProof/>
        </w:rPr>
        <w:fldChar w:fldCharType="end"/>
      </w:r>
      <w:bookmarkEnd w:id="160"/>
      <w:r>
        <w:t xml:space="preserve"> </w:t>
      </w:r>
      <w:r w:rsidR="00601EA7">
        <w:t>Quality analysis of primary studies</w:t>
      </w:r>
      <w:r w:rsidR="00D67426">
        <w:t xml:space="preserve"> – Dumas (2016)</w:t>
      </w:r>
      <w:r w:rsidR="007073F0">
        <w:t xml:space="preserve"> </w:t>
      </w:r>
    </w:p>
    <w:tbl>
      <w:tblPr>
        <w:tblStyle w:val="TableGrid1"/>
        <w:tblW w:w="5000" w:type="pct"/>
        <w:tblLook w:val="04A0" w:firstRow="1" w:lastRow="0" w:firstColumn="1" w:lastColumn="0" w:noHBand="0" w:noVBand="1"/>
        <w:tblCaption w:val="Table A-6.3"/>
        <w:tblDescription w:val="Quality analysis of primary studies – Dupclay (2016)                                    "/>
      </w:tblPr>
      <w:tblGrid>
        <w:gridCol w:w="647"/>
        <w:gridCol w:w="649"/>
        <w:gridCol w:w="649"/>
        <w:gridCol w:w="649"/>
        <w:gridCol w:w="7034"/>
      </w:tblGrid>
      <w:tr w:rsidR="00601EA7" w:rsidRPr="00BA653F" w:rsidTr="00601EA7">
        <w:trPr>
          <w:cnfStyle w:val="100000000000" w:firstRow="1" w:lastRow="0" w:firstColumn="0" w:lastColumn="0" w:oddVBand="0" w:evenVBand="0" w:oddHBand="0" w:evenHBand="0" w:firstRowFirstColumn="0" w:firstRowLastColumn="0" w:lastRowFirstColumn="0" w:lastRowLastColumn="0"/>
          <w:tblHeader/>
        </w:trPr>
        <w:tc>
          <w:tcPr>
            <w:tcW w:w="336" w:type="pct"/>
            <w:tcBorders>
              <w:bottom w:val="single" w:sz="4" w:space="0" w:color="auto"/>
            </w:tcBorders>
          </w:tcPr>
          <w:p w:rsidR="00601EA7" w:rsidRPr="00BA653F" w:rsidRDefault="00601EA7" w:rsidP="00601EA7">
            <w:pPr>
              <w:keepNext/>
              <w:spacing w:before="40" w:after="0"/>
              <w:jc w:val="center"/>
              <w:rPr>
                <w:rFonts w:cs="Times New Roman"/>
                <w:b/>
                <w:sz w:val="18"/>
              </w:rPr>
            </w:pPr>
            <w:r w:rsidRPr="00BA653F">
              <w:rPr>
                <w:rFonts w:cs="Times New Roman"/>
                <w:b/>
                <w:sz w:val="18"/>
              </w:rPr>
              <w:t>Y</w:t>
            </w:r>
          </w:p>
        </w:tc>
        <w:tc>
          <w:tcPr>
            <w:tcW w:w="337" w:type="pct"/>
            <w:tcBorders>
              <w:bottom w:val="single" w:sz="4" w:space="0" w:color="auto"/>
            </w:tcBorders>
          </w:tcPr>
          <w:p w:rsidR="00601EA7" w:rsidRPr="00BA653F" w:rsidRDefault="00601EA7" w:rsidP="00601EA7">
            <w:pPr>
              <w:keepNext/>
              <w:spacing w:before="40" w:after="0"/>
              <w:jc w:val="center"/>
              <w:rPr>
                <w:rFonts w:cs="Times New Roman"/>
                <w:b/>
                <w:sz w:val="18"/>
              </w:rPr>
            </w:pPr>
            <w:r w:rsidRPr="00BA653F">
              <w:rPr>
                <w:rFonts w:cs="Times New Roman"/>
                <w:b/>
                <w:sz w:val="18"/>
              </w:rPr>
              <w:t>N</w:t>
            </w:r>
          </w:p>
        </w:tc>
        <w:tc>
          <w:tcPr>
            <w:tcW w:w="337" w:type="pct"/>
            <w:tcBorders>
              <w:bottom w:val="single" w:sz="4" w:space="0" w:color="auto"/>
            </w:tcBorders>
          </w:tcPr>
          <w:p w:rsidR="00601EA7" w:rsidRPr="00BA653F" w:rsidRDefault="00601EA7" w:rsidP="00601EA7">
            <w:pPr>
              <w:keepNext/>
              <w:spacing w:before="40" w:after="0"/>
              <w:jc w:val="center"/>
              <w:rPr>
                <w:rFonts w:cs="Times New Roman"/>
                <w:b/>
                <w:sz w:val="18"/>
              </w:rPr>
            </w:pPr>
            <w:r w:rsidRPr="00BA653F">
              <w:rPr>
                <w:rFonts w:cs="Times New Roman"/>
                <w:b/>
                <w:sz w:val="18"/>
              </w:rPr>
              <w:t>NR</w:t>
            </w:r>
          </w:p>
        </w:tc>
        <w:tc>
          <w:tcPr>
            <w:tcW w:w="337" w:type="pct"/>
            <w:tcBorders>
              <w:bottom w:val="single" w:sz="4" w:space="0" w:color="auto"/>
            </w:tcBorders>
          </w:tcPr>
          <w:p w:rsidR="00601EA7" w:rsidRPr="00BA653F" w:rsidRDefault="00601EA7" w:rsidP="00601EA7">
            <w:pPr>
              <w:keepNext/>
              <w:spacing w:before="40" w:after="0"/>
              <w:jc w:val="center"/>
              <w:rPr>
                <w:rFonts w:cs="Times New Roman"/>
                <w:b/>
                <w:sz w:val="18"/>
              </w:rPr>
            </w:pPr>
            <w:r w:rsidRPr="00BA653F">
              <w:rPr>
                <w:rFonts w:cs="Times New Roman"/>
                <w:b/>
                <w:sz w:val="18"/>
              </w:rPr>
              <w:t>NA</w:t>
            </w:r>
          </w:p>
        </w:tc>
        <w:tc>
          <w:tcPr>
            <w:tcW w:w="3653" w:type="pct"/>
          </w:tcPr>
          <w:p w:rsidR="00601EA7" w:rsidRPr="00BA653F" w:rsidRDefault="00601EA7" w:rsidP="00601EA7">
            <w:pPr>
              <w:keepNext/>
              <w:spacing w:before="40" w:after="0"/>
              <w:rPr>
                <w:rFonts w:cs="Times New Roman"/>
                <w:b/>
                <w:sz w:val="18"/>
              </w:rPr>
            </w:pPr>
            <w:r>
              <w:rPr>
                <w:rFonts w:cs="Times New Roman"/>
                <w:b/>
                <w:sz w:val="18"/>
              </w:rPr>
              <w:t>Study type: Prospective cohort study</w:t>
            </w:r>
          </w:p>
        </w:tc>
      </w:tr>
      <w:tr w:rsidR="00601EA7" w:rsidRPr="00BA653F" w:rsidTr="00601EA7">
        <w:tc>
          <w:tcPr>
            <w:tcW w:w="336" w:type="pct"/>
            <w:tcBorders>
              <w:bottom w:val="nil"/>
              <w:right w:val="nil"/>
            </w:tcBorders>
          </w:tcPr>
          <w:p w:rsidR="00601EA7" w:rsidRPr="00BA653F" w:rsidRDefault="00601EA7" w:rsidP="00601EA7">
            <w:pPr>
              <w:autoSpaceDE w:val="0"/>
              <w:autoSpaceDN w:val="0"/>
              <w:adjustRightInd w:val="0"/>
              <w:spacing w:after="0"/>
              <w:rPr>
                <w:rFonts w:cs="Times New Roman"/>
                <w:b/>
                <w:sz w:val="18"/>
                <w:szCs w:val="18"/>
              </w:rPr>
            </w:pPr>
          </w:p>
        </w:tc>
        <w:tc>
          <w:tcPr>
            <w:tcW w:w="337" w:type="pct"/>
            <w:tcBorders>
              <w:left w:val="nil"/>
              <w:bottom w:val="nil"/>
              <w:right w:val="nil"/>
            </w:tcBorders>
          </w:tcPr>
          <w:p w:rsidR="00601EA7" w:rsidRPr="00BA653F" w:rsidRDefault="00601EA7" w:rsidP="00601EA7">
            <w:pPr>
              <w:autoSpaceDE w:val="0"/>
              <w:autoSpaceDN w:val="0"/>
              <w:adjustRightInd w:val="0"/>
              <w:spacing w:after="0"/>
              <w:rPr>
                <w:rFonts w:cs="Times New Roman"/>
                <w:b/>
                <w:sz w:val="18"/>
                <w:szCs w:val="18"/>
              </w:rPr>
            </w:pPr>
          </w:p>
        </w:tc>
        <w:tc>
          <w:tcPr>
            <w:tcW w:w="337" w:type="pct"/>
            <w:tcBorders>
              <w:left w:val="nil"/>
              <w:bottom w:val="nil"/>
              <w:right w:val="nil"/>
            </w:tcBorders>
          </w:tcPr>
          <w:p w:rsidR="00601EA7" w:rsidRPr="00BA653F" w:rsidRDefault="00601EA7" w:rsidP="00601EA7">
            <w:pPr>
              <w:autoSpaceDE w:val="0"/>
              <w:autoSpaceDN w:val="0"/>
              <w:adjustRightInd w:val="0"/>
              <w:spacing w:after="0"/>
              <w:rPr>
                <w:rFonts w:cs="Times New Roman"/>
                <w:b/>
                <w:sz w:val="18"/>
                <w:szCs w:val="18"/>
              </w:rPr>
            </w:pPr>
          </w:p>
        </w:tc>
        <w:tc>
          <w:tcPr>
            <w:tcW w:w="337" w:type="pct"/>
            <w:tcBorders>
              <w:left w:val="nil"/>
              <w:bottom w:val="nil"/>
            </w:tcBorders>
          </w:tcPr>
          <w:p w:rsidR="00601EA7" w:rsidRPr="00BA653F" w:rsidRDefault="00601EA7" w:rsidP="00601EA7">
            <w:pPr>
              <w:autoSpaceDE w:val="0"/>
              <w:autoSpaceDN w:val="0"/>
              <w:adjustRightInd w:val="0"/>
              <w:spacing w:after="0"/>
              <w:rPr>
                <w:rFonts w:cs="Times New Roman"/>
                <w:b/>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sz w:val="18"/>
                <w:szCs w:val="18"/>
              </w:rPr>
              <w:t xml:space="preserve">Study ID: </w:t>
            </w:r>
            <w:r>
              <w:rPr>
                <w:rFonts w:cs="Times New Roman"/>
                <w:b/>
                <w:sz w:val="18"/>
                <w:szCs w:val="18"/>
              </w:rPr>
              <w:t>Dumas (2016)</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tcBorders>
              <w:top w:val="nil"/>
              <w:bottom w:val="single" w:sz="4" w:space="0" w:color="auto"/>
              <w:right w:val="nil"/>
            </w:tcBorders>
            <w:shd w:val="clear" w:color="auto" w:fill="auto"/>
          </w:tcPr>
          <w:p w:rsidR="00601EA7" w:rsidRPr="00BA653F" w:rsidRDefault="00601EA7" w:rsidP="00601EA7">
            <w:pPr>
              <w:autoSpaceDE w:val="0"/>
              <w:autoSpaceDN w:val="0"/>
              <w:adjustRightInd w:val="0"/>
              <w:spacing w:after="0"/>
              <w:rPr>
                <w:rFonts w:cs="Times New Roman"/>
                <w:b/>
                <w:sz w:val="18"/>
                <w:szCs w:val="18"/>
              </w:rPr>
            </w:pPr>
          </w:p>
        </w:tc>
        <w:tc>
          <w:tcPr>
            <w:tcW w:w="337" w:type="pct"/>
            <w:tcBorders>
              <w:top w:val="nil"/>
              <w:left w:val="nil"/>
              <w:bottom w:val="single" w:sz="4" w:space="0" w:color="auto"/>
              <w:right w:val="nil"/>
            </w:tcBorders>
            <w:shd w:val="clear" w:color="auto" w:fill="auto"/>
          </w:tcPr>
          <w:p w:rsidR="00601EA7" w:rsidRPr="00BA653F" w:rsidRDefault="00601EA7" w:rsidP="00601EA7">
            <w:pPr>
              <w:autoSpaceDE w:val="0"/>
              <w:autoSpaceDN w:val="0"/>
              <w:adjustRightInd w:val="0"/>
              <w:spacing w:after="0"/>
              <w:rPr>
                <w:rFonts w:cs="Times New Roman"/>
                <w:b/>
                <w:sz w:val="18"/>
                <w:szCs w:val="18"/>
              </w:rPr>
            </w:pPr>
          </w:p>
        </w:tc>
        <w:tc>
          <w:tcPr>
            <w:tcW w:w="337" w:type="pct"/>
            <w:tcBorders>
              <w:top w:val="nil"/>
              <w:left w:val="nil"/>
              <w:bottom w:val="single" w:sz="4" w:space="0" w:color="auto"/>
              <w:right w:val="nil"/>
            </w:tcBorders>
            <w:shd w:val="clear" w:color="auto" w:fill="auto"/>
          </w:tcPr>
          <w:p w:rsidR="00601EA7" w:rsidRPr="00BA653F" w:rsidRDefault="00601EA7" w:rsidP="00601EA7">
            <w:pPr>
              <w:autoSpaceDE w:val="0"/>
              <w:autoSpaceDN w:val="0"/>
              <w:adjustRightInd w:val="0"/>
              <w:spacing w:after="0"/>
              <w:rPr>
                <w:rFonts w:cs="Times New Roman"/>
                <w:b/>
                <w:sz w:val="18"/>
                <w:szCs w:val="18"/>
              </w:rPr>
            </w:pPr>
          </w:p>
        </w:tc>
        <w:tc>
          <w:tcPr>
            <w:tcW w:w="337" w:type="pct"/>
            <w:tcBorders>
              <w:top w:val="nil"/>
              <w:left w:val="nil"/>
              <w:bottom w:val="single" w:sz="4" w:space="0" w:color="auto"/>
            </w:tcBorders>
            <w:shd w:val="clear" w:color="auto" w:fill="auto"/>
          </w:tcPr>
          <w:p w:rsidR="00601EA7" w:rsidRPr="00BA653F" w:rsidRDefault="00601EA7" w:rsidP="00601EA7">
            <w:pPr>
              <w:autoSpaceDE w:val="0"/>
              <w:autoSpaceDN w:val="0"/>
              <w:adjustRightInd w:val="0"/>
              <w:spacing w:after="0"/>
              <w:rPr>
                <w:rFonts w:cs="Times New Roman"/>
                <w:b/>
                <w:sz w:val="18"/>
                <w:szCs w:val="18"/>
              </w:rPr>
            </w:pPr>
          </w:p>
        </w:tc>
        <w:tc>
          <w:tcPr>
            <w:tcW w:w="3653" w:type="pct"/>
            <w:shd w:val="clear" w:color="auto" w:fill="auto"/>
          </w:tcPr>
          <w:p w:rsidR="00601EA7" w:rsidRPr="00BA653F" w:rsidRDefault="00601EA7" w:rsidP="00601EA7">
            <w:pPr>
              <w:autoSpaceDE w:val="0"/>
              <w:autoSpaceDN w:val="0"/>
              <w:adjustRightInd w:val="0"/>
              <w:spacing w:after="0"/>
              <w:rPr>
                <w:rFonts w:cs="Times New Roman"/>
                <w:b/>
                <w:sz w:val="18"/>
                <w:szCs w:val="18"/>
              </w:rPr>
            </w:pPr>
            <w:r w:rsidRPr="00BA653F">
              <w:rPr>
                <w:rFonts w:cs="Times New Roman"/>
                <w:b/>
                <w:sz w:val="18"/>
                <w:szCs w:val="18"/>
              </w:rPr>
              <w:t>Quality criteria</w:t>
            </w:r>
          </w:p>
        </w:tc>
      </w:tr>
      <w:tr w:rsidR="00601EA7" w:rsidRPr="00BA653F" w:rsidTr="00601EA7">
        <w:tc>
          <w:tcPr>
            <w:tcW w:w="336" w:type="pct"/>
            <w:tcBorders>
              <w:right w:val="nil"/>
            </w:tcBorders>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p>
        </w:tc>
        <w:tc>
          <w:tcPr>
            <w:tcW w:w="337" w:type="pct"/>
            <w:tcBorders>
              <w:left w:val="nil"/>
              <w:right w:val="nil"/>
            </w:tcBorders>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p>
        </w:tc>
        <w:tc>
          <w:tcPr>
            <w:tcW w:w="337" w:type="pct"/>
            <w:tcBorders>
              <w:left w:val="nil"/>
              <w:right w:val="nil"/>
            </w:tcBorders>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p>
        </w:tc>
        <w:tc>
          <w:tcPr>
            <w:tcW w:w="337" w:type="pct"/>
            <w:tcBorders>
              <w:left w:val="nil"/>
            </w:tcBorders>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p>
        </w:tc>
        <w:tc>
          <w:tcPr>
            <w:tcW w:w="3653" w:type="pct"/>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A. Was the selection of subjects appropriate?</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shd w:val="clear" w:color="auto" w:fill="auto"/>
            <w:vAlign w:val="center"/>
          </w:tcPr>
          <w:p w:rsidR="00601EA7" w:rsidRPr="00BA653F" w:rsidRDefault="00601EA7" w:rsidP="00601EA7">
            <w:pPr>
              <w:autoSpaceDE w:val="0"/>
              <w:autoSpaceDN w:val="0"/>
              <w:adjustRightInd w:val="0"/>
              <w:spacing w:after="0"/>
              <w:jc w:val="center"/>
              <w:rPr>
                <w:rFonts w:eastAsia="Wingdings-Regular" w:cs="Times New Roman"/>
                <w:sz w:val="18"/>
                <w:szCs w:val="18"/>
              </w:rPr>
            </w:pP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eastAsia="Wingdings-Regular" w:cs="Times New Roman"/>
                <w:sz w:val="18"/>
                <w:szCs w:val="18"/>
              </w:rPr>
            </w:pPr>
            <w:r w:rsidRPr="00BA653F">
              <w:rPr>
                <w:rFonts w:eastAsia="Wingdings-Regular" w:cs="Times New Roman"/>
                <w:sz w:val="18"/>
                <w:szCs w:val="18"/>
              </w:rPr>
              <w:sym w:font="Wingdings 2" w:char="F050"/>
            </w: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eastAsia="Wingdings-Regular" w:cs="Times New Roman"/>
                <w:sz w:val="18"/>
                <w:szCs w:val="18"/>
              </w:rPr>
            </w:pP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eastAsia="Wingdings-Regular" w:cs="Times New Roman"/>
                <w:sz w:val="18"/>
                <w:szCs w:val="18"/>
              </w:rPr>
            </w:pPr>
          </w:p>
        </w:tc>
        <w:tc>
          <w:tcPr>
            <w:tcW w:w="3653" w:type="pct"/>
            <w:shd w:val="clear" w:color="auto" w:fill="auto"/>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Were the two groups being studied selected from source populations that are comparable in all respects other than the factor under investigation?</w:t>
            </w:r>
          </w:p>
        </w:tc>
      </w:tr>
      <w:tr w:rsidR="00601EA7" w:rsidRPr="00BA653F" w:rsidTr="00601EA7">
        <w:tc>
          <w:tcPr>
            <w:tcW w:w="336"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Was the likelihood that some eligible subjects might have the outcome at the time of enrolment adequately accounted for in the analysis?</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B. Were all recruited participants included in the analysis?</w:t>
            </w:r>
          </w:p>
        </w:tc>
      </w:tr>
      <w:tr w:rsidR="00601EA7" w:rsidRPr="00BA653F" w:rsidTr="00601EA7">
        <w:tc>
          <w:tcPr>
            <w:tcW w:w="336" w:type="pct"/>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Does the study report whether all people who were asked to take part did so, in each of the groups being studied?</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shd w:val="clear" w:color="auto" w:fill="auto"/>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Was loss to follow-up and exclusions from analysis reported?</w:t>
            </w:r>
          </w:p>
        </w:tc>
      </w:tr>
      <w:tr w:rsidR="00601EA7" w:rsidRPr="00BA653F" w:rsidTr="00601EA7">
        <w:tc>
          <w:tcPr>
            <w:tcW w:w="336"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Was loss to follow-up and exclusions from analysis appropriately accounted for in the analysis?</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C. Does the study design/analysis adequately control for potential confounding variables?</w:t>
            </w:r>
          </w:p>
        </w:tc>
      </w:tr>
      <w:tr w:rsidR="00601EA7" w:rsidRPr="00BA653F" w:rsidTr="00601EA7">
        <w:tc>
          <w:tcPr>
            <w:tcW w:w="336"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Does the study adequately control for demographic characteristics, clinical features, and other potential confounding variables in the study design or analysis?</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D. Was outcome assessment subject to bias?</w:t>
            </w:r>
          </w:p>
        </w:tc>
      </w:tr>
      <w:tr w:rsidR="00601EA7" w:rsidRPr="00BA653F" w:rsidTr="00601EA7">
        <w:tc>
          <w:tcPr>
            <w:tcW w:w="336" w:type="pct"/>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Were all relevant outcomes measured in a standard, valid, and reliable way?</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shd w:val="clear" w:color="auto" w:fill="auto"/>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shd w:val="clear" w:color="auto" w:fill="auto"/>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Was outcome assessment blinded to exposure status?</w:t>
            </w:r>
          </w:p>
        </w:tc>
      </w:tr>
      <w:tr w:rsidR="00601EA7" w:rsidRPr="00BA653F" w:rsidTr="00601EA7">
        <w:tc>
          <w:tcPr>
            <w:tcW w:w="336"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If outcome assessment was not blinded, were outcomes objective and unlikely to be influenced by blinding of assessment?</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E. Was follow-up adequate?</w:t>
            </w:r>
          </w:p>
        </w:tc>
      </w:tr>
      <w:tr w:rsidR="00601EA7" w:rsidRPr="00BA653F" w:rsidTr="00601EA7">
        <w:tc>
          <w:tcPr>
            <w:tcW w:w="336"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tcBorders>
              <w:bottom w:val="single" w:sz="4" w:space="0" w:color="auto"/>
            </w:tcBorders>
            <w:vAlign w:val="center"/>
          </w:tcPr>
          <w:p w:rsidR="00601EA7" w:rsidRPr="00BA653F" w:rsidRDefault="00601EA7" w:rsidP="00601EA7">
            <w:pPr>
              <w:autoSpaceDE w:val="0"/>
              <w:autoSpaceDN w:val="0"/>
              <w:adjustRightInd w:val="0"/>
              <w:spacing w:after="0"/>
              <w:jc w:val="center"/>
              <w:rPr>
                <w:rFonts w:cs="Times New Roman"/>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Was follow-up long enough for outcomes to occur?</w:t>
            </w:r>
          </w:p>
        </w:tc>
      </w:tr>
      <w:tr w:rsidR="00601EA7" w:rsidRPr="00BA653F" w:rsidTr="00601EA7">
        <w:trPr>
          <w:cnfStyle w:val="000000010000" w:firstRow="0" w:lastRow="0" w:firstColumn="0" w:lastColumn="0" w:oddVBand="0" w:evenVBand="0" w:oddHBand="0" w:evenHBand="1" w:firstRowFirstColumn="0" w:firstRowLastColumn="0" w:lastRowFirstColumn="0" w:lastRowLastColumn="0"/>
        </w:trPr>
        <w:tc>
          <w:tcPr>
            <w:tcW w:w="336" w:type="pct"/>
            <w:tcBorders>
              <w:bottom w:val="nil"/>
              <w:right w:val="nil"/>
            </w:tcBorders>
            <w:shd w:val="clear" w:color="auto" w:fill="auto"/>
          </w:tcPr>
          <w:p w:rsidR="00601EA7" w:rsidRPr="00BA653F" w:rsidRDefault="00601EA7" w:rsidP="00601EA7">
            <w:pPr>
              <w:autoSpaceDE w:val="0"/>
              <w:autoSpaceDN w:val="0"/>
              <w:adjustRightInd w:val="0"/>
              <w:spacing w:after="0"/>
              <w:rPr>
                <w:rFonts w:cs="Times New Roman"/>
                <w:sz w:val="18"/>
                <w:szCs w:val="18"/>
              </w:rPr>
            </w:pPr>
          </w:p>
        </w:tc>
        <w:tc>
          <w:tcPr>
            <w:tcW w:w="337" w:type="pct"/>
            <w:tcBorders>
              <w:left w:val="nil"/>
              <w:bottom w:val="nil"/>
              <w:right w:val="nil"/>
            </w:tcBorders>
            <w:shd w:val="clear" w:color="auto" w:fill="auto"/>
          </w:tcPr>
          <w:p w:rsidR="00601EA7" w:rsidRPr="00BA653F" w:rsidRDefault="00601EA7" w:rsidP="00601EA7">
            <w:pPr>
              <w:autoSpaceDE w:val="0"/>
              <w:autoSpaceDN w:val="0"/>
              <w:adjustRightInd w:val="0"/>
              <w:spacing w:after="0"/>
              <w:rPr>
                <w:rFonts w:cs="Times New Roman"/>
                <w:sz w:val="18"/>
                <w:szCs w:val="18"/>
              </w:rPr>
            </w:pPr>
          </w:p>
        </w:tc>
        <w:tc>
          <w:tcPr>
            <w:tcW w:w="337" w:type="pct"/>
            <w:tcBorders>
              <w:left w:val="nil"/>
              <w:bottom w:val="nil"/>
              <w:right w:val="nil"/>
            </w:tcBorders>
            <w:shd w:val="clear" w:color="auto" w:fill="auto"/>
          </w:tcPr>
          <w:p w:rsidR="00601EA7" w:rsidRPr="00BA653F" w:rsidRDefault="00601EA7" w:rsidP="00601EA7">
            <w:pPr>
              <w:autoSpaceDE w:val="0"/>
              <w:autoSpaceDN w:val="0"/>
              <w:adjustRightInd w:val="0"/>
              <w:spacing w:after="0"/>
              <w:rPr>
                <w:rFonts w:cs="Times New Roman"/>
                <w:sz w:val="18"/>
                <w:szCs w:val="18"/>
              </w:rPr>
            </w:pPr>
          </w:p>
        </w:tc>
        <w:tc>
          <w:tcPr>
            <w:tcW w:w="337" w:type="pct"/>
            <w:tcBorders>
              <w:left w:val="nil"/>
              <w:bottom w:val="nil"/>
            </w:tcBorders>
            <w:shd w:val="clear" w:color="auto" w:fill="auto"/>
          </w:tcPr>
          <w:p w:rsidR="00601EA7" w:rsidRPr="00BA653F" w:rsidRDefault="00601EA7" w:rsidP="00601EA7">
            <w:pPr>
              <w:autoSpaceDE w:val="0"/>
              <w:autoSpaceDN w:val="0"/>
              <w:adjustRightInd w:val="0"/>
              <w:spacing w:after="0"/>
              <w:rPr>
                <w:rFonts w:cs="Times New Roman"/>
                <w:sz w:val="18"/>
                <w:szCs w:val="18"/>
              </w:rPr>
            </w:pPr>
          </w:p>
        </w:tc>
        <w:tc>
          <w:tcPr>
            <w:tcW w:w="3653" w:type="pct"/>
            <w:shd w:val="clear" w:color="auto" w:fill="auto"/>
          </w:tcPr>
          <w:p w:rsidR="00601EA7" w:rsidRPr="009D6719" w:rsidRDefault="00601EA7" w:rsidP="00601EA7">
            <w:pPr>
              <w:autoSpaceDE w:val="0"/>
              <w:autoSpaceDN w:val="0"/>
              <w:adjustRightInd w:val="0"/>
              <w:spacing w:after="0"/>
              <w:rPr>
                <w:rFonts w:cs="Times New Roman"/>
                <w:sz w:val="18"/>
              </w:rPr>
            </w:pPr>
            <w:r w:rsidRPr="00BA653F">
              <w:rPr>
                <w:rFonts w:cs="Times New Roman"/>
                <w:sz w:val="18"/>
                <w:szCs w:val="18"/>
              </w:rPr>
              <w:t>Comments</w:t>
            </w:r>
            <w:r w:rsidRPr="004A4A41">
              <w:rPr>
                <w:rStyle w:val="02TabletextChar"/>
              </w:rPr>
              <w:t xml:space="preserve">: </w:t>
            </w:r>
            <w:r>
              <w:rPr>
                <w:rStyle w:val="02TabletextChar"/>
              </w:rPr>
              <w:t>The d</w:t>
            </w:r>
            <w:r w:rsidRPr="009D6719">
              <w:rPr>
                <w:rStyle w:val="02TabletextChar"/>
              </w:rPr>
              <w:t>emograph</w:t>
            </w:r>
            <w:r>
              <w:rPr>
                <w:rStyle w:val="02TabletextChar"/>
              </w:rPr>
              <w:t>ic and clinical characteristics were different</w:t>
            </w:r>
            <w:r w:rsidRPr="009D6719">
              <w:rPr>
                <w:rStyle w:val="02TabletextChar"/>
              </w:rPr>
              <w:t xml:space="preserve"> bet</w:t>
            </w:r>
            <w:r>
              <w:rPr>
                <w:rStyle w:val="02TabletextChar"/>
              </w:rPr>
              <w:t xml:space="preserve">ween nonusers and </w:t>
            </w:r>
            <w:r w:rsidRPr="009D6719">
              <w:rPr>
                <w:rStyle w:val="02TabletextChar"/>
              </w:rPr>
              <w:t>pharmacist</w:t>
            </w:r>
            <w:r>
              <w:rPr>
                <w:rStyle w:val="02TabletextChar"/>
              </w:rPr>
              <w:t>-prepared pillbox users.</w:t>
            </w:r>
            <w:r w:rsidRPr="004A4A41">
              <w:rPr>
                <w:rStyle w:val="02TabletextChar"/>
              </w:rPr>
              <w:t xml:space="preserve"> Dropouts and losses-to-follow-up were reported, however, an intention-to-treat analysis was not carried out as final analysis</w:t>
            </w:r>
            <w:r w:rsidRPr="004A4A41">
              <w:rPr>
                <w:rFonts w:cs="Times New Roman"/>
                <w:sz w:val="18"/>
                <w:szCs w:val="18"/>
              </w:rPr>
              <w:t xml:space="preserve"> was only carried out on the participants that completed the study.</w:t>
            </w:r>
            <w:r>
              <w:rPr>
                <w:rFonts w:cs="Times New Roman"/>
                <w:sz w:val="18"/>
                <w:szCs w:val="18"/>
              </w:rPr>
              <w:t xml:space="preserve"> Healthy </w:t>
            </w:r>
            <w:r w:rsidRPr="004A4A41">
              <w:rPr>
                <w:rFonts w:cs="Times New Roman"/>
                <w:sz w:val="18"/>
                <w:szCs w:val="18"/>
              </w:rPr>
              <w:t>user bias may ha</w:t>
            </w:r>
            <w:r>
              <w:rPr>
                <w:rFonts w:cs="Times New Roman"/>
                <w:sz w:val="18"/>
                <w:szCs w:val="18"/>
              </w:rPr>
              <w:t xml:space="preserve">ve been present in this study as pillbox users </w:t>
            </w:r>
            <w:r w:rsidRPr="004A4A41">
              <w:rPr>
                <w:rFonts w:cs="Times New Roman"/>
                <w:sz w:val="18"/>
                <w:szCs w:val="18"/>
              </w:rPr>
              <w:t>could have had generally healthier behavio</w:t>
            </w:r>
            <w:r>
              <w:rPr>
                <w:rFonts w:cs="Times New Roman"/>
                <w:sz w:val="18"/>
                <w:szCs w:val="18"/>
              </w:rPr>
              <w:t>u</w:t>
            </w:r>
            <w:r w:rsidRPr="004A4A41">
              <w:rPr>
                <w:rFonts w:cs="Times New Roman"/>
                <w:sz w:val="18"/>
                <w:szCs w:val="18"/>
              </w:rPr>
              <w:t>rs than nonusers.</w:t>
            </w:r>
            <w:r>
              <w:rPr>
                <w:rFonts w:cs="Times New Roman"/>
                <w:sz w:val="18"/>
                <w:szCs w:val="18"/>
              </w:rPr>
              <w:t xml:space="preserve"> C</w:t>
            </w:r>
            <w:r w:rsidRPr="00646E5D">
              <w:rPr>
                <w:rFonts w:cs="Times New Roman"/>
                <w:sz w:val="18"/>
                <w:szCs w:val="18"/>
              </w:rPr>
              <w:t>oncomitant drug use</w:t>
            </w:r>
            <w:r>
              <w:rPr>
                <w:rFonts w:cs="Times New Roman"/>
                <w:sz w:val="18"/>
                <w:szCs w:val="18"/>
              </w:rPr>
              <w:t xml:space="preserve"> is a potential confounder which was not accounted for in the results and thus may bias the results.</w:t>
            </w:r>
          </w:p>
        </w:tc>
      </w:tr>
      <w:tr w:rsidR="00601EA7" w:rsidRPr="00BA653F" w:rsidTr="00601EA7">
        <w:tc>
          <w:tcPr>
            <w:tcW w:w="336" w:type="pct"/>
            <w:tcBorders>
              <w:top w:val="nil"/>
              <w:right w:val="nil"/>
            </w:tcBorders>
          </w:tcPr>
          <w:p w:rsidR="00601EA7" w:rsidRPr="00BA653F" w:rsidRDefault="00601EA7" w:rsidP="00601EA7">
            <w:pPr>
              <w:autoSpaceDE w:val="0"/>
              <w:autoSpaceDN w:val="0"/>
              <w:adjustRightInd w:val="0"/>
              <w:spacing w:after="0"/>
              <w:rPr>
                <w:rFonts w:cs="Times New Roman"/>
                <w:sz w:val="18"/>
                <w:szCs w:val="18"/>
              </w:rPr>
            </w:pPr>
          </w:p>
        </w:tc>
        <w:tc>
          <w:tcPr>
            <w:tcW w:w="337" w:type="pct"/>
            <w:tcBorders>
              <w:top w:val="nil"/>
              <w:left w:val="nil"/>
              <w:right w:val="nil"/>
            </w:tcBorders>
          </w:tcPr>
          <w:p w:rsidR="00601EA7" w:rsidRPr="00BA653F" w:rsidRDefault="00601EA7" w:rsidP="00601EA7">
            <w:pPr>
              <w:autoSpaceDE w:val="0"/>
              <w:autoSpaceDN w:val="0"/>
              <w:adjustRightInd w:val="0"/>
              <w:spacing w:after="0"/>
              <w:rPr>
                <w:rFonts w:cs="Times New Roman"/>
                <w:sz w:val="18"/>
                <w:szCs w:val="18"/>
              </w:rPr>
            </w:pPr>
          </w:p>
        </w:tc>
        <w:tc>
          <w:tcPr>
            <w:tcW w:w="337" w:type="pct"/>
            <w:tcBorders>
              <w:top w:val="nil"/>
              <w:left w:val="nil"/>
              <w:right w:val="nil"/>
            </w:tcBorders>
          </w:tcPr>
          <w:p w:rsidR="00601EA7" w:rsidRPr="00BA653F" w:rsidRDefault="00601EA7" w:rsidP="00601EA7">
            <w:pPr>
              <w:autoSpaceDE w:val="0"/>
              <w:autoSpaceDN w:val="0"/>
              <w:adjustRightInd w:val="0"/>
              <w:spacing w:after="0"/>
              <w:rPr>
                <w:rFonts w:cs="Times New Roman"/>
                <w:sz w:val="18"/>
                <w:szCs w:val="18"/>
              </w:rPr>
            </w:pPr>
          </w:p>
        </w:tc>
        <w:tc>
          <w:tcPr>
            <w:tcW w:w="337" w:type="pct"/>
            <w:tcBorders>
              <w:top w:val="nil"/>
              <w:left w:val="nil"/>
            </w:tcBorders>
          </w:tcPr>
          <w:p w:rsidR="00601EA7" w:rsidRPr="00BA653F" w:rsidRDefault="00601EA7" w:rsidP="00601EA7">
            <w:pPr>
              <w:autoSpaceDE w:val="0"/>
              <w:autoSpaceDN w:val="0"/>
              <w:adjustRightInd w:val="0"/>
              <w:spacing w:after="0"/>
              <w:rPr>
                <w:rFonts w:cs="Times New Roman"/>
                <w:sz w:val="18"/>
                <w:szCs w:val="18"/>
              </w:rPr>
            </w:pPr>
          </w:p>
        </w:tc>
        <w:tc>
          <w:tcPr>
            <w:tcW w:w="3653" w:type="pct"/>
          </w:tcPr>
          <w:p w:rsidR="00601EA7" w:rsidRPr="00BA653F" w:rsidRDefault="00601EA7" w:rsidP="00601EA7">
            <w:pPr>
              <w:autoSpaceDE w:val="0"/>
              <w:autoSpaceDN w:val="0"/>
              <w:adjustRightInd w:val="0"/>
              <w:spacing w:after="0"/>
              <w:rPr>
                <w:rFonts w:cs="Times New Roman"/>
                <w:sz w:val="18"/>
                <w:szCs w:val="18"/>
              </w:rPr>
            </w:pPr>
            <w:r w:rsidRPr="00BA653F">
              <w:rPr>
                <w:rFonts w:cs="Times New Roman"/>
                <w:sz w:val="18"/>
                <w:szCs w:val="18"/>
              </w:rPr>
              <w:t xml:space="preserve">Quality rating [Good/Fair/Poor]: </w:t>
            </w:r>
          </w:p>
          <w:p w:rsidR="00601EA7" w:rsidRPr="00BA653F" w:rsidRDefault="00601EA7" w:rsidP="00601EA7">
            <w:pPr>
              <w:autoSpaceDE w:val="0"/>
              <w:autoSpaceDN w:val="0"/>
              <w:adjustRightInd w:val="0"/>
              <w:spacing w:after="0"/>
              <w:rPr>
                <w:rFonts w:cs="Times New Roman"/>
                <w:sz w:val="18"/>
                <w:szCs w:val="18"/>
              </w:rPr>
            </w:pPr>
            <w:r>
              <w:rPr>
                <w:rFonts w:cs="Times New Roman"/>
                <w:sz w:val="18"/>
                <w:szCs w:val="18"/>
              </w:rPr>
              <w:t>Poor</w:t>
            </w:r>
          </w:p>
        </w:tc>
      </w:tr>
    </w:tbl>
    <w:p w:rsidR="00155A95" w:rsidRPr="008B6114" w:rsidRDefault="00155A95" w:rsidP="00155A95">
      <w:pPr>
        <w:pStyle w:val="08Tablefootnotes"/>
      </w:pPr>
      <w:r w:rsidRPr="008B6114">
        <w:t>Note: Quality criteria adapted from NHMRC (2000) How to use the evidence: assessment and application of scientific evidence. NHMRC, Canberra.</w:t>
      </w:r>
    </w:p>
    <w:p w:rsidR="00155A95" w:rsidRPr="008B6114" w:rsidRDefault="00155A95" w:rsidP="00155A95">
      <w:pPr>
        <w:pStyle w:val="08Tablefootnotes"/>
      </w:pPr>
      <w:r w:rsidRPr="008B6114">
        <w:t>Assess criterion using Y (yes), N (no), NR (not reported) or NA (not applicable).</w:t>
      </w:r>
    </w:p>
    <w:p w:rsidR="00646E5D" w:rsidRDefault="00646E5D">
      <w:pPr>
        <w:spacing w:after="160" w:line="259" w:lineRule="auto"/>
        <w:rPr>
          <w:sz w:val="16"/>
          <w:szCs w:val="16"/>
        </w:rPr>
      </w:pPr>
      <w:r>
        <w:br w:type="page"/>
      </w:r>
    </w:p>
    <w:p w:rsidR="001F1083" w:rsidRDefault="001F1083" w:rsidP="001F1083">
      <w:pPr>
        <w:pStyle w:val="Caption"/>
      </w:pPr>
      <w:r>
        <w:lastRenderedPageBreak/>
        <w:t>Table A-6.</w:t>
      </w:r>
      <w:r w:rsidR="002D467C">
        <w:rPr>
          <w:noProof/>
        </w:rPr>
        <w:fldChar w:fldCharType="begin"/>
      </w:r>
      <w:r w:rsidR="002D467C">
        <w:rPr>
          <w:noProof/>
        </w:rPr>
        <w:instrText xml:space="preserve"> SEQ Table_A-6. \* ARABIC </w:instrText>
      </w:r>
      <w:r w:rsidR="002D467C">
        <w:rPr>
          <w:noProof/>
        </w:rPr>
        <w:fldChar w:fldCharType="separate"/>
      </w:r>
      <w:r>
        <w:rPr>
          <w:noProof/>
        </w:rPr>
        <w:t>4</w:t>
      </w:r>
      <w:r w:rsidR="002D467C">
        <w:rPr>
          <w:noProof/>
        </w:rPr>
        <w:fldChar w:fldCharType="end"/>
      </w:r>
      <w:r>
        <w:t xml:space="preserve"> Quality analysis of primary studies – Dupclay (2012)</w:t>
      </w:r>
    </w:p>
    <w:tbl>
      <w:tblPr>
        <w:tblStyle w:val="TableGrid1"/>
        <w:tblW w:w="5000" w:type="pct"/>
        <w:tblLook w:val="04A0" w:firstRow="1" w:lastRow="0" w:firstColumn="1" w:lastColumn="0" w:noHBand="0" w:noVBand="1"/>
        <w:tblCaption w:val="Table A-6.4"/>
        <w:tblDescription w:val="Quality analysis of primary studies – Dupclay (2012)"/>
      </w:tblPr>
      <w:tblGrid>
        <w:gridCol w:w="647"/>
        <w:gridCol w:w="649"/>
        <w:gridCol w:w="649"/>
        <w:gridCol w:w="649"/>
        <w:gridCol w:w="7034"/>
      </w:tblGrid>
      <w:tr w:rsidR="00A020C1" w:rsidRPr="00BA653F" w:rsidTr="001F1083">
        <w:trPr>
          <w:cnfStyle w:val="100000000000" w:firstRow="1" w:lastRow="0" w:firstColumn="0" w:lastColumn="0" w:oddVBand="0" w:evenVBand="0" w:oddHBand="0" w:evenHBand="0" w:firstRowFirstColumn="0" w:firstRowLastColumn="0" w:lastRowFirstColumn="0" w:lastRowLastColumn="0"/>
          <w:tblHeader/>
        </w:trPr>
        <w:tc>
          <w:tcPr>
            <w:tcW w:w="336" w:type="pct"/>
            <w:tcBorders>
              <w:bottom w:val="single" w:sz="4" w:space="0" w:color="auto"/>
            </w:tcBorders>
          </w:tcPr>
          <w:p w:rsidR="00A020C1" w:rsidRPr="00BA653F" w:rsidRDefault="00A020C1" w:rsidP="00D67426">
            <w:pPr>
              <w:keepNext/>
              <w:spacing w:before="40" w:after="0"/>
              <w:jc w:val="center"/>
              <w:rPr>
                <w:rFonts w:cs="Times New Roman"/>
                <w:b/>
                <w:sz w:val="18"/>
              </w:rPr>
            </w:pPr>
            <w:r w:rsidRPr="00BA653F">
              <w:rPr>
                <w:rFonts w:cs="Times New Roman"/>
                <w:b/>
                <w:sz w:val="18"/>
              </w:rPr>
              <w:t>Y</w:t>
            </w:r>
          </w:p>
        </w:tc>
        <w:tc>
          <w:tcPr>
            <w:tcW w:w="337" w:type="pct"/>
            <w:tcBorders>
              <w:bottom w:val="single" w:sz="4" w:space="0" w:color="auto"/>
            </w:tcBorders>
          </w:tcPr>
          <w:p w:rsidR="00A020C1" w:rsidRPr="00BA653F" w:rsidRDefault="00A020C1" w:rsidP="00D67426">
            <w:pPr>
              <w:keepNext/>
              <w:spacing w:before="40" w:after="0"/>
              <w:jc w:val="center"/>
              <w:rPr>
                <w:rFonts w:cs="Times New Roman"/>
                <w:b/>
                <w:sz w:val="18"/>
              </w:rPr>
            </w:pPr>
            <w:r w:rsidRPr="00BA653F">
              <w:rPr>
                <w:rFonts w:cs="Times New Roman"/>
                <w:b/>
                <w:sz w:val="18"/>
              </w:rPr>
              <w:t>N</w:t>
            </w:r>
          </w:p>
        </w:tc>
        <w:tc>
          <w:tcPr>
            <w:tcW w:w="337" w:type="pct"/>
            <w:tcBorders>
              <w:bottom w:val="single" w:sz="4" w:space="0" w:color="auto"/>
            </w:tcBorders>
          </w:tcPr>
          <w:p w:rsidR="00A020C1" w:rsidRPr="00BA653F" w:rsidRDefault="00A020C1" w:rsidP="00D67426">
            <w:pPr>
              <w:keepNext/>
              <w:spacing w:before="40" w:after="0"/>
              <w:jc w:val="center"/>
              <w:rPr>
                <w:rFonts w:cs="Times New Roman"/>
                <w:b/>
                <w:sz w:val="18"/>
              </w:rPr>
            </w:pPr>
            <w:r w:rsidRPr="00BA653F">
              <w:rPr>
                <w:rFonts w:cs="Times New Roman"/>
                <w:b/>
                <w:sz w:val="18"/>
              </w:rPr>
              <w:t>NR</w:t>
            </w:r>
          </w:p>
        </w:tc>
        <w:tc>
          <w:tcPr>
            <w:tcW w:w="337" w:type="pct"/>
            <w:tcBorders>
              <w:bottom w:val="single" w:sz="4" w:space="0" w:color="auto"/>
            </w:tcBorders>
          </w:tcPr>
          <w:p w:rsidR="00A020C1" w:rsidRPr="00BA653F" w:rsidRDefault="00A020C1" w:rsidP="00D67426">
            <w:pPr>
              <w:keepNext/>
              <w:spacing w:before="40" w:after="0"/>
              <w:jc w:val="center"/>
              <w:rPr>
                <w:rFonts w:cs="Times New Roman"/>
                <w:b/>
                <w:sz w:val="18"/>
              </w:rPr>
            </w:pPr>
            <w:r w:rsidRPr="00BA653F">
              <w:rPr>
                <w:rFonts w:cs="Times New Roman"/>
                <w:b/>
                <w:sz w:val="18"/>
              </w:rPr>
              <w:t>NA</w:t>
            </w:r>
          </w:p>
        </w:tc>
        <w:tc>
          <w:tcPr>
            <w:tcW w:w="3653" w:type="pct"/>
          </w:tcPr>
          <w:p w:rsidR="00A020C1" w:rsidRPr="00BA653F" w:rsidRDefault="00A020C1" w:rsidP="00D67426">
            <w:pPr>
              <w:keepNext/>
              <w:spacing w:before="40" w:after="0"/>
              <w:rPr>
                <w:rFonts w:cs="Times New Roman"/>
                <w:b/>
                <w:sz w:val="18"/>
              </w:rPr>
            </w:pPr>
            <w:r>
              <w:rPr>
                <w:rFonts w:cs="Times New Roman"/>
                <w:b/>
                <w:sz w:val="18"/>
              </w:rPr>
              <w:t>Study type: Retrospective cohort study</w:t>
            </w:r>
          </w:p>
        </w:tc>
      </w:tr>
      <w:tr w:rsidR="00A020C1" w:rsidRPr="00BA653F" w:rsidTr="001F1083">
        <w:tc>
          <w:tcPr>
            <w:tcW w:w="336" w:type="pct"/>
            <w:tcBorders>
              <w:bottom w:val="nil"/>
              <w:right w:val="nil"/>
            </w:tcBorders>
          </w:tcPr>
          <w:p w:rsidR="00A020C1" w:rsidRPr="00BA653F" w:rsidRDefault="00A020C1" w:rsidP="00D67426">
            <w:pPr>
              <w:autoSpaceDE w:val="0"/>
              <w:autoSpaceDN w:val="0"/>
              <w:adjustRightInd w:val="0"/>
              <w:spacing w:after="0"/>
              <w:rPr>
                <w:rFonts w:cs="Times New Roman"/>
                <w:b/>
                <w:sz w:val="18"/>
                <w:szCs w:val="18"/>
              </w:rPr>
            </w:pPr>
          </w:p>
        </w:tc>
        <w:tc>
          <w:tcPr>
            <w:tcW w:w="337" w:type="pct"/>
            <w:tcBorders>
              <w:left w:val="nil"/>
              <w:bottom w:val="nil"/>
              <w:right w:val="nil"/>
            </w:tcBorders>
          </w:tcPr>
          <w:p w:rsidR="00A020C1" w:rsidRPr="00BA653F" w:rsidRDefault="00A020C1" w:rsidP="00D67426">
            <w:pPr>
              <w:autoSpaceDE w:val="0"/>
              <w:autoSpaceDN w:val="0"/>
              <w:adjustRightInd w:val="0"/>
              <w:spacing w:after="0"/>
              <w:rPr>
                <w:rFonts w:cs="Times New Roman"/>
                <w:b/>
                <w:sz w:val="18"/>
                <w:szCs w:val="18"/>
              </w:rPr>
            </w:pPr>
          </w:p>
        </w:tc>
        <w:tc>
          <w:tcPr>
            <w:tcW w:w="337" w:type="pct"/>
            <w:tcBorders>
              <w:left w:val="nil"/>
              <w:bottom w:val="nil"/>
              <w:right w:val="nil"/>
            </w:tcBorders>
          </w:tcPr>
          <w:p w:rsidR="00A020C1" w:rsidRPr="00BA653F" w:rsidRDefault="00A020C1" w:rsidP="00D67426">
            <w:pPr>
              <w:autoSpaceDE w:val="0"/>
              <w:autoSpaceDN w:val="0"/>
              <w:adjustRightInd w:val="0"/>
              <w:spacing w:after="0"/>
              <w:rPr>
                <w:rFonts w:cs="Times New Roman"/>
                <w:b/>
                <w:sz w:val="18"/>
                <w:szCs w:val="18"/>
              </w:rPr>
            </w:pPr>
          </w:p>
        </w:tc>
        <w:tc>
          <w:tcPr>
            <w:tcW w:w="337" w:type="pct"/>
            <w:tcBorders>
              <w:left w:val="nil"/>
              <w:bottom w:val="nil"/>
            </w:tcBorders>
          </w:tcPr>
          <w:p w:rsidR="00A020C1" w:rsidRPr="00BA653F" w:rsidRDefault="00A020C1" w:rsidP="00D67426">
            <w:pPr>
              <w:autoSpaceDE w:val="0"/>
              <w:autoSpaceDN w:val="0"/>
              <w:adjustRightInd w:val="0"/>
              <w:spacing w:after="0"/>
              <w:rPr>
                <w:rFonts w:cs="Times New Roman"/>
                <w:b/>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sz w:val="18"/>
                <w:szCs w:val="18"/>
              </w:rPr>
              <w:t xml:space="preserve">Study ID: </w:t>
            </w:r>
            <w:r>
              <w:rPr>
                <w:rFonts w:cs="Times New Roman"/>
                <w:b/>
                <w:sz w:val="18"/>
                <w:szCs w:val="18"/>
              </w:rPr>
              <w:t>Dupclay (2012)</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tcBorders>
              <w:top w:val="nil"/>
              <w:bottom w:val="single" w:sz="4" w:space="0" w:color="auto"/>
              <w:right w:val="nil"/>
            </w:tcBorders>
            <w:shd w:val="clear" w:color="auto" w:fill="auto"/>
          </w:tcPr>
          <w:p w:rsidR="00A020C1" w:rsidRPr="00BA653F" w:rsidRDefault="00A020C1" w:rsidP="00D67426">
            <w:pPr>
              <w:autoSpaceDE w:val="0"/>
              <w:autoSpaceDN w:val="0"/>
              <w:adjustRightInd w:val="0"/>
              <w:spacing w:after="0"/>
              <w:rPr>
                <w:rFonts w:cs="Times New Roman"/>
                <w:b/>
                <w:sz w:val="18"/>
                <w:szCs w:val="18"/>
              </w:rPr>
            </w:pPr>
          </w:p>
        </w:tc>
        <w:tc>
          <w:tcPr>
            <w:tcW w:w="337" w:type="pct"/>
            <w:tcBorders>
              <w:top w:val="nil"/>
              <w:left w:val="nil"/>
              <w:bottom w:val="single" w:sz="4" w:space="0" w:color="auto"/>
              <w:right w:val="nil"/>
            </w:tcBorders>
            <w:shd w:val="clear" w:color="auto" w:fill="auto"/>
          </w:tcPr>
          <w:p w:rsidR="00A020C1" w:rsidRPr="00BA653F" w:rsidRDefault="00A020C1" w:rsidP="00D67426">
            <w:pPr>
              <w:autoSpaceDE w:val="0"/>
              <w:autoSpaceDN w:val="0"/>
              <w:adjustRightInd w:val="0"/>
              <w:spacing w:after="0"/>
              <w:rPr>
                <w:rFonts w:cs="Times New Roman"/>
                <w:b/>
                <w:sz w:val="18"/>
                <w:szCs w:val="18"/>
              </w:rPr>
            </w:pPr>
          </w:p>
        </w:tc>
        <w:tc>
          <w:tcPr>
            <w:tcW w:w="337" w:type="pct"/>
            <w:tcBorders>
              <w:top w:val="nil"/>
              <w:left w:val="nil"/>
              <w:bottom w:val="single" w:sz="4" w:space="0" w:color="auto"/>
              <w:right w:val="nil"/>
            </w:tcBorders>
            <w:shd w:val="clear" w:color="auto" w:fill="auto"/>
          </w:tcPr>
          <w:p w:rsidR="00A020C1" w:rsidRPr="00BA653F" w:rsidRDefault="00A020C1" w:rsidP="00D67426">
            <w:pPr>
              <w:autoSpaceDE w:val="0"/>
              <w:autoSpaceDN w:val="0"/>
              <w:adjustRightInd w:val="0"/>
              <w:spacing w:after="0"/>
              <w:rPr>
                <w:rFonts w:cs="Times New Roman"/>
                <w:b/>
                <w:sz w:val="18"/>
                <w:szCs w:val="18"/>
              </w:rPr>
            </w:pPr>
          </w:p>
        </w:tc>
        <w:tc>
          <w:tcPr>
            <w:tcW w:w="337" w:type="pct"/>
            <w:tcBorders>
              <w:top w:val="nil"/>
              <w:left w:val="nil"/>
              <w:bottom w:val="single" w:sz="4" w:space="0" w:color="auto"/>
            </w:tcBorders>
            <w:shd w:val="clear" w:color="auto" w:fill="auto"/>
          </w:tcPr>
          <w:p w:rsidR="00A020C1" w:rsidRPr="00BA653F" w:rsidRDefault="00A020C1" w:rsidP="00D67426">
            <w:pPr>
              <w:autoSpaceDE w:val="0"/>
              <w:autoSpaceDN w:val="0"/>
              <w:adjustRightInd w:val="0"/>
              <w:spacing w:after="0"/>
              <w:rPr>
                <w:rFonts w:cs="Times New Roman"/>
                <w:b/>
                <w:sz w:val="18"/>
                <w:szCs w:val="18"/>
              </w:rPr>
            </w:pPr>
          </w:p>
        </w:tc>
        <w:tc>
          <w:tcPr>
            <w:tcW w:w="3653" w:type="pct"/>
            <w:shd w:val="clear" w:color="auto" w:fill="auto"/>
          </w:tcPr>
          <w:p w:rsidR="00A020C1" w:rsidRPr="00BA653F" w:rsidRDefault="00A020C1" w:rsidP="00D67426">
            <w:pPr>
              <w:autoSpaceDE w:val="0"/>
              <w:autoSpaceDN w:val="0"/>
              <w:adjustRightInd w:val="0"/>
              <w:spacing w:after="0"/>
              <w:rPr>
                <w:rFonts w:cs="Times New Roman"/>
                <w:b/>
                <w:sz w:val="18"/>
                <w:szCs w:val="18"/>
              </w:rPr>
            </w:pPr>
            <w:r w:rsidRPr="00BA653F">
              <w:rPr>
                <w:rFonts w:cs="Times New Roman"/>
                <w:b/>
                <w:sz w:val="18"/>
                <w:szCs w:val="18"/>
              </w:rPr>
              <w:t>Quality criteria</w:t>
            </w:r>
          </w:p>
        </w:tc>
      </w:tr>
      <w:tr w:rsidR="00A020C1" w:rsidRPr="00BA653F" w:rsidTr="001F1083">
        <w:tc>
          <w:tcPr>
            <w:tcW w:w="336" w:type="pct"/>
            <w:tcBorders>
              <w:right w:val="nil"/>
            </w:tcBorders>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p>
        </w:tc>
        <w:tc>
          <w:tcPr>
            <w:tcW w:w="337" w:type="pct"/>
            <w:tcBorders>
              <w:left w:val="nil"/>
              <w:right w:val="nil"/>
            </w:tcBorders>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p>
        </w:tc>
        <w:tc>
          <w:tcPr>
            <w:tcW w:w="337" w:type="pct"/>
            <w:tcBorders>
              <w:left w:val="nil"/>
              <w:right w:val="nil"/>
            </w:tcBorders>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p>
        </w:tc>
        <w:tc>
          <w:tcPr>
            <w:tcW w:w="337" w:type="pct"/>
            <w:tcBorders>
              <w:left w:val="nil"/>
            </w:tcBorders>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p>
        </w:tc>
        <w:tc>
          <w:tcPr>
            <w:tcW w:w="3653" w:type="pct"/>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A. Was the selection of subjects appropriate?</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shd w:val="clear" w:color="auto" w:fill="auto"/>
            <w:vAlign w:val="center"/>
          </w:tcPr>
          <w:p w:rsidR="00A020C1" w:rsidRPr="00BA653F" w:rsidRDefault="00A020C1" w:rsidP="00D67426">
            <w:pPr>
              <w:autoSpaceDE w:val="0"/>
              <w:autoSpaceDN w:val="0"/>
              <w:adjustRightInd w:val="0"/>
              <w:spacing w:after="0"/>
              <w:jc w:val="center"/>
              <w:rPr>
                <w:rFonts w:eastAsia="Wingdings-Regular" w:cs="Times New Roman"/>
                <w:sz w:val="18"/>
                <w:szCs w:val="18"/>
              </w:rPr>
            </w:pPr>
            <w:r w:rsidRPr="00BA653F">
              <w:rPr>
                <w:rFonts w:eastAsia="Wingdings-Regular" w:cs="Times New Roman"/>
                <w:sz w:val="18"/>
                <w:szCs w:val="18"/>
              </w:rPr>
              <w:sym w:font="Wingdings 2" w:char="F050"/>
            </w: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eastAsia="Wingdings-Regular" w:cs="Times New Roman"/>
                <w:sz w:val="18"/>
                <w:szCs w:val="18"/>
              </w:rPr>
            </w:pP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eastAsia="Wingdings-Regular" w:cs="Times New Roman"/>
                <w:sz w:val="18"/>
                <w:szCs w:val="18"/>
              </w:rPr>
            </w:pP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eastAsia="Wingdings-Regular" w:cs="Times New Roman"/>
                <w:sz w:val="18"/>
                <w:szCs w:val="18"/>
              </w:rPr>
            </w:pPr>
          </w:p>
        </w:tc>
        <w:tc>
          <w:tcPr>
            <w:tcW w:w="3653" w:type="pct"/>
            <w:shd w:val="clear" w:color="auto" w:fill="auto"/>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Were the two groups being studied selected from source populations that are comparable in all respects other than the factor under investigation?</w:t>
            </w:r>
          </w:p>
        </w:tc>
      </w:tr>
      <w:tr w:rsidR="00A020C1" w:rsidRPr="00BA653F" w:rsidTr="001F1083">
        <w:tc>
          <w:tcPr>
            <w:tcW w:w="336"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Was the likelihood that some eligible subjects might have the outcome at the time of enrolment adequately accounted for in the analysis?</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B. Were all recruited participants included in the analysis?</w:t>
            </w:r>
          </w:p>
        </w:tc>
      </w:tr>
      <w:tr w:rsidR="00A020C1" w:rsidRPr="00BA653F" w:rsidTr="001F1083">
        <w:tc>
          <w:tcPr>
            <w:tcW w:w="336" w:type="pct"/>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Does the study report whether all people who were asked to take part did so, in each of the groups being studied?</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shd w:val="clear" w:color="auto" w:fill="auto"/>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Was loss to follow-up and exclusions from analysis reported?</w:t>
            </w:r>
          </w:p>
        </w:tc>
      </w:tr>
      <w:tr w:rsidR="00A020C1" w:rsidRPr="00BA653F" w:rsidTr="001F1083">
        <w:tc>
          <w:tcPr>
            <w:tcW w:w="336"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Was loss to follow-up and exclusions from analysis appropriately accounted for in the analysis?</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C. Does the study design/analysis adequately control for potential confounding variables?</w:t>
            </w:r>
          </w:p>
        </w:tc>
      </w:tr>
      <w:tr w:rsidR="00A020C1" w:rsidRPr="00BA653F" w:rsidTr="001F1083">
        <w:tc>
          <w:tcPr>
            <w:tcW w:w="336"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Does the study adequately control for demographic characteristics, clinical features, and other potential confounding variables in the study design or analysis?</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D. Was outcome assessment subject to bias?</w:t>
            </w:r>
          </w:p>
        </w:tc>
      </w:tr>
      <w:tr w:rsidR="00A020C1" w:rsidRPr="00BA653F" w:rsidTr="001F1083">
        <w:tc>
          <w:tcPr>
            <w:tcW w:w="336" w:type="pct"/>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Were all relevant outcomes measured in a standard, valid, and reliable way?</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shd w:val="clear" w:color="auto" w:fill="auto"/>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shd w:val="clear" w:color="auto" w:fill="auto"/>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Was outcome assessment blinded to exposure status?</w:t>
            </w:r>
          </w:p>
        </w:tc>
      </w:tr>
      <w:tr w:rsidR="00A020C1" w:rsidRPr="00BA653F" w:rsidTr="001F1083">
        <w:tc>
          <w:tcPr>
            <w:tcW w:w="336"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If outcome assessment was not blinded, were outcomes objective and unlikely to be influenced by blinding of assessment?</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tcBorders>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righ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left w:val="nil"/>
            </w:tcBorders>
            <w:shd w:val="clear" w:color="auto" w:fill="BFBFBF" w:themeFill="background1" w:themeFillShade="BF"/>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shd w:val="clear" w:color="auto" w:fill="BFBFBF" w:themeFill="background1" w:themeFillShade="BF"/>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E. Was follow-up adequate?</w:t>
            </w:r>
          </w:p>
        </w:tc>
      </w:tr>
      <w:tr w:rsidR="00A020C1" w:rsidRPr="00BA653F" w:rsidTr="001F1083">
        <w:tc>
          <w:tcPr>
            <w:tcW w:w="336"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r w:rsidRPr="00BA653F">
              <w:rPr>
                <w:rFonts w:eastAsia="Wingdings-Regular" w:cs="Times New Roman"/>
                <w:sz w:val="18"/>
                <w:szCs w:val="18"/>
              </w:rPr>
              <w:sym w:font="Wingdings 2" w:char="F050"/>
            </w:r>
          </w:p>
        </w:tc>
        <w:tc>
          <w:tcPr>
            <w:tcW w:w="337" w:type="pct"/>
            <w:tcBorders>
              <w:bottom w:val="single" w:sz="4" w:space="0" w:color="auto"/>
            </w:tcBorders>
            <w:vAlign w:val="center"/>
          </w:tcPr>
          <w:p w:rsidR="00A020C1" w:rsidRPr="00BA653F" w:rsidRDefault="00A020C1" w:rsidP="00D67426">
            <w:pPr>
              <w:autoSpaceDE w:val="0"/>
              <w:autoSpaceDN w:val="0"/>
              <w:adjustRightInd w:val="0"/>
              <w:spacing w:after="0"/>
              <w:jc w:val="center"/>
              <w:rPr>
                <w:rFonts w:cs="Times New Roman"/>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Was follow-up long enough for outcomes to occur?</w:t>
            </w:r>
          </w:p>
        </w:tc>
      </w:tr>
      <w:tr w:rsidR="00A020C1" w:rsidRPr="00BA653F" w:rsidTr="001F1083">
        <w:trPr>
          <w:cnfStyle w:val="000000010000" w:firstRow="0" w:lastRow="0" w:firstColumn="0" w:lastColumn="0" w:oddVBand="0" w:evenVBand="0" w:oddHBand="0" w:evenHBand="1" w:firstRowFirstColumn="0" w:firstRowLastColumn="0" w:lastRowFirstColumn="0" w:lastRowLastColumn="0"/>
        </w:trPr>
        <w:tc>
          <w:tcPr>
            <w:tcW w:w="336" w:type="pct"/>
            <w:tcBorders>
              <w:bottom w:val="nil"/>
              <w:right w:val="nil"/>
            </w:tcBorders>
            <w:shd w:val="clear" w:color="auto" w:fill="auto"/>
          </w:tcPr>
          <w:p w:rsidR="00A020C1" w:rsidRPr="00BA653F" w:rsidRDefault="00A020C1" w:rsidP="00D67426">
            <w:pPr>
              <w:autoSpaceDE w:val="0"/>
              <w:autoSpaceDN w:val="0"/>
              <w:adjustRightInd w:val="0"/>
              <w:spacing w:after="0"/>
              <w:rPr>
                <w:rFonts w:cs="Times New Roman"/>
                <w:sz w:val="18"/>
                <w:szCs w:val="18"/>
              </w:rPr>
            </w:pPr>
          </w:p>
        </w:tc>
        <w:tc>
          <w:tcPr>
            <w:tcW w:w="337" w:type="pct"/>
            <w:tcBorders>
              <w:left w:val="nil"/>
              <w:bottom w:val="nil"/>
              <w:right w:val="nil"/>
            </w:tcBorders>
            <w:shd w:val="clear" w:color="auto" w:fill="auto"/>
          </w:tcPr>
          <w:p w:rsidR="00A020C1" w:rsidRPr="00BA653F" w:rsidRDefault="00A020C1" w:rsidP="00D67426">
            <w:pPr>
              <w:autoSpaceDE w:val="0"/>
              <w:autoSpaceDN w:val="0"/>
              <w:adjustRightInd w:val="0"/>
              <w:spacing w:after="0"/>
              <w:rPr>
                <w:rFonts w:cs="Times New Roman"/>
                <w:sz w:val="18"/>
                <w:szCs w:val="18"/>
              </w:rPr>
            </w:pPr>
          </w:p>
        </w:tc>
        <w:tc>
          <w:tcPr>
            <w:tcW w:w="337" w:type="pct"/>
            <w:tcBorders>
              <w:left w:val="nil"/>
              <w:bottom w:val="nil"/>
              <w:right w:val="nil"/>
            </w:tcBorders>
            <w:shd w:val="clear" w:color="auto" w:fill="auto"/>
          </w:tcPr>
          <w:p w:rsidR="00A020C1" w:rsidRPr="00BA653F" w:rsidRDefault="00A020C1" w:rsidP="00D67426">
            <w:pPr>
              <w:autoSpaceDE w:val="0"/>
              <w:autoSpaceDN w:val="0"/>
              <w:adjustRightInd w:val="0"/>
              <w:spacing w:after="0"/>
              <w:rPr>
                <w:rFonts w:cs="Times New Roman"/>
                <w:sz w:val="18"/>
                <w:szCs w:val="18"/>
              </w:rPr>
            </w:pPr>
          </w:p>
        </w:tc>
        <w:tc>
          <w:tcPr>
            <w:tcW w:w="337" w:type="pct"/>
            <w:tcBorders>
              <w:left w:val="nil"/>
              <w:bottom w:val="nil"/>
            </w:tcBorders>
            <w:shd w:val="clear" w:color="auto" w:fill="auto"/>
          </w:tcPr>
          <w:p w:rsidR="00A020C1" w:rsidRPr="00BA653F" w:rsidRDefault="00A020C1" w:rsidP="00D67426">
            <w:pPr>
              <w:autoSpaceDE w:val="0"/>
              <w:autoSpaceDN w:val="0"/>
              <w:adjustRightInd w:val="0"/>
              <w:spacing w:after="0"/>
              <w:rPr>
                <w:rFonts w:cs="Times New Roman"/>
                <w:sz w:val="18"/>
                <w:szCs w:val="18"/>
              </w:rPr>
            </w:pPr>
          </w:p>
        </w:tc>
        <w:tc>
          <w:tcPr>
            <w:tcW w:w="3653" w:type="pct"/>
            <w:shd w:val="clear" w:color="auto" w:fill="auto"/>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 xml:space="preserve">Comments: </w:t>
            </w:r>
          </w:p>
        </w:tc>
      </w:tr>
      <w:tr w:rsidR="00A020C1" w:rsidRPr="00BA653F" w:rsidTr="001F1083">
        <w:tc>
          <w:tcPr>
            <w:tcW w:w="336" w:type="pct"/>
            <w:tcBorders>
              <w:top w:val="nil"/>
              <w:right w:val="nil"/>
            </w:tcBorders>
          </w:tcPr>
          <w:p w:rsidR="00A020C1" w:rsidRPr="00BA653F" w:rsidRDefault="00A020C1" w:rsidP="00D67426">
            <w:pPr>
              <w:autoSpaceDE w:val="0"/>
              <w:autoSpaceDN w:val="0"/>
              <w:adjustRightInd w:val="0"/>
              <w:spacing w:after="0"/>
              <w:rPr>
                <w:rFonts w:cs="Times New Roman"/>
                <w:sz w:val="18"/>
                <w:szCs w:val="18"/>
              </w:rPr>
            </w:pPr>
          </w:p>
        </w:tc>
        <w:tc>
          <w:tcPr>
            <w:tcW w:w="337" w:type="pct"/>
            <w:tcBorders>
              <w:top w:val="nil"/>
              <w:left w:val="nil"/>
              <w:right w:val="nil"/>
            </w:tcBorders>
          </w:tcPr>
          <w:p w:rsidR="00A020C1" w:rsidRPr="00BA653F" w:rsidRDefault="00A020C1" w:rsidP="00D67426">
            <w:pPr>
              <w:autoSpaceDE w:val="0"/>
              <w:autoSpaceDN w:val="0"/>
              <w:adjustRightInd w:val="0"/>
              <w:spacing w:after="0"/>
              <w:rPr>
                <w:rFonts w:cs="Times New Roman"/>
                <w:sz w:val="18"/>
                <w:szCs w:val="18"/>
              </w:rPr>
            </w:pPr>
          </w:p>
        </w:tc>
        <w:tc>
          <w:tcPr>
            <w:tcW w:w="337" w:type="pct"/>
            <w:tcBorders>
              <w:top w:val="nil"/>
              <w:left w:val="nil"/>
              <w:right w:val="nil"/>
            </w:tcBorders>
          </w:tcPr>
          <w:p w:rsidR="00A020C1" w:rsidRPr="00BA653F" w:rsidRDefault="00A020C1" w:rsidP="00D67426">
            <w:pPr>
              <w:autoSpaceDE w:val="0"/>
              <w:autoSpaceDN w:val="0"/>
              <w:adjustRightInd w:val="0"/>
              <w:spacing w:after="0"/>
              <w:rPr>
                <w:rFonts w:cs="Times New Roman"/>
                <w:sz w:val="18"/>
                <w:szCs w:val="18"/>
              </w:rPr>
            </w:pPr>
          </w:p>
        </w:tc>
        <w:tc>
          <w:tcPr>
            <w:tcW w:w="337" w:type="pct"/>
            <w:tcBorders>
              <w:top w:val="nil"/>
              <w:left w:val="nil"/>
            </w:tcBorders>
          </w:tcPr>
          <w:p w:rsidR="00A020C1" w:rsidRPr="00BA653F" w:rsidRDefault="00A020C1" w:rsidP="00D67426">
            <w:pPr>
              <w:autoSpaceDE w:val="0"/>
              <w:autoSpaceDN w:val="0"/>
              <w:adjustRightInd w:val="0"/>
              <w:spacing w:after="0"/>
              <w:rPr>
                <w:rFonts w:cs="Times New Roman"/>
                <w:sz w:val="18"/>
                <w:szCs w:val="18"/>
              </w:rPr>
            </w:pPr>
          </w:p>
        </w:tc>
        <w:tc>
          <w:tcPr>
            <w:tcW w:w="3653" w:type="pct"/>
          </w:tcPr>
          <w:p w:rsidR="00A020C1" w:rsidRPr="00BA653F" w:rsidRDefault="00A020C1" w:rsidP="00D67426">
            <w:pPr>
              <w:autoSpaceDE w:val="0"/>
              <w:autoSpaceDN w:val="0"/>
              <w:adjustRightInd w:val="0"/>
              <w:spacing w:after="0"/>
              <w:rPr>
                <w:rFonts w:cs="Times New Roman"/>
                <w:sz w:val="18"/>
                <w:szCs w:val="18"/>
              </w:rPr>
            </w:pPr>
            <w:r w:rsidRPr="00BA653F">
              <w:rPr>
                <w:rFonts w:cs="Times New Roman"/>
                <w:sz w:val="18"/>
                <w:szCs w:val="18"/>
              </w:rPr>
              <w:t>Quality rating [Good/Fair/Poor]:</w:t>
            </w:r>
            <w:r>
              <w:rPr>
                <w:rFonts w:cs="Times New Roman"/>
                <w:sz w:val="18"/>
                <w:szCs w:val="18"/>
              </w:rPr>
              <w:t xml:space="preserve"> Retrospective design introduces </w:t>
            </w:r>
            <w:r w:rsidRPr="00B9325C">
              <w:rPr>
                <w:rFonts w:cs="Times New Roman"/>
                <w:sz w:val="18"/>
                <w:szCs w:val="18"/>
              </w:rPr>
              <w:t xml:space="preserve">selection bias </w:t>
            </w:r>
            <w:r>
              <w:rPr>
                <w:rFonts w:cs="Times New Roman"/>
                <w:sz w:val="18"/>
                <w:szCs w:val="18"/>
              </w:rPr>
              <w:t xml:space="preserve">that </w:t>
            </w:r>
            <w:r w:rsidRPr="00B9325C">
              <w:rPr>
                <w:rFonts w:cs="Times New Roman"/>
                <w:sz w:val="18"/>
                <w:szCs w:val="18"/>
              </w:rPr>
              <w:t>may confound the relationship between treatment and the outcomes of interest</w:t>
            </w:r>
          </w:p>
          <w:p w:rsidR="00A020C1" w:rsidRPr="00BA653F" w:rsidRDefault="00A020C1" w:rsidP="00D67426">
            <w:pPr>
              <w:autoSpaceDE w:val="0"/>
              <w:autoSpaceDN w:val="0"/>
              <w:adjustRightInd w:val="0"/>
              <w:spacing w:after="0"/>
              <w:rPr>
                <w:rFonts w:cs="Times New Roman"/>
                <w:sz w:val="18"/>
                <w:szCs w:val="18"/>
              </w:rPr>
            </w:pPr>
            <w:r>
              <w:rPr>
                <w:rFonts w:cs="Times New Roman"/>
                <w:sz w:val="18"/>
                <w:szCs w:val="18"/>
              </w:rPr>
              <w:t>Poor</w:t>
            </w:r>
          </w:p>
        </w:tc>
      </w:tr>
    </w:tbl>
    <w:p w:rsidR="00646E5D" w:rsidRPr="008B6114" w:rsidRDefault="00646E5D" w:rsidP="00646E5D">
      <w:pPr>
        <w:pStyle w:val="08Tablefootnotes"/>
      </w:pPr>
      <w:r w:rsidRPr="008B6114">
        <w:t>Note: Quality criteria adapted from NHMRC (2000) How to use the evidence: assessment and application of scientific evidence. NHMRC, Canberra.</w:t>
      </w:r>
    </w:p>
    <w:p w:rsidR="00646E5D" w:rsidRPr="008B6114" w:rsidRDefault="00646E5D" w:rsidP="00646E5D">
      <w:pPr>
        <w:pStyle w:val="08Tablefootnotes"/>
      </w:pPr>
      <w:r w:rsidRPr="008B6114">
        <w:t>Assess criterion using Y (yes), N (no), NR (not reported) or NA (not applicable).</w:t>
      </w:r>
    </w:p>
    <w:p w:rsidR="00646E5D" w:rsidRDefault="00646E5D">
      <w:pPr>
        <w:spacing w:after="160" w:line="259" w:lineRule="auto"/>
      </w:pPr>
      <w:r>
        <w:br w:type="page"/>
      </w:r>
    </w:p>
    <w:p w:rsidR="00646E5D" w:rsidRDefault="001F1083" w:rsidP="001F1083">
      <w:pPr>
        <w:pStyle w:val="Caption"/>
      </w:pPr>
      <w:r>
        <w:lastRenderedPageBreak/>
        <w:t>Table A-6.</w:t>
      </w:r>
      <w:r w:rsidR="00390694">
        <w:rPr>
          <w:noProof/>
        </w:rPr>
        <w:fldChar w:fldCharType="begin"/>
      </w:r>
      <w:r w:rsidR="00390694">
        <w:rPr>
          <w:noProof/>
        </w:rPr>
        <w:instrText xml:space="preserve"> SEQ Table_A-6. \* ARABIC </w:instrText>
      </w:r>
      <w:r w:rsidR="00390694">
        <w:rPr>
          <w:noProof/>
        </w:rPr>
        <w:fldChar w:fldCharType="separate"/>
      </w:r>
      <w:r>
        <w:rPr>
          <w:noProof/>
        </w:rPr>
        <w:t>5</w:t>
      </w:r>
      <w:r w:rsidR="00390694">
        <w:rPr>
          <w:noProof/>
        </w:rPr>
        <w:fldChar w:fldCharType="end"/>
      </w:r>
      <w:r>
        <w:t xml:space="preserve"> Quality analysis of primary studies – Schneider (2008)</w:t>
      </w:r>
    </w:p>
    <w:tbl>
      <w:tblPr>
        <w:tblStyle w:val="TableGrid2"/>
        <w:tblW w:w="5000" w:type="pct"/>
        <w:tblLook w:val="04A0" w:firstRow="1" w:lastRow="0" w:firstColumn="1" w:lastColumn="0" w:noHBand="0" w:noVBand="1"/>
        <w:tblCaption w:val="Table A-6.5"/>
        <w:tblDescription w:val="Quality analysis of primary studies – Schneider (2008)"/>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861194">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861194">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861194">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861194">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861194">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861194">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61194">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61194">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861194">
            <w:pPr>
              <w:autoSpaceDE w:val="0"/>
              <w:autoSpaceDN w:val="0"/>
              <w:adjustRightInd w:val="0"/>
              <w:spacing w:after="0"/>
              <w:rPr>
                <w:rFonts w:cs="Times New Roman"/>
                <w:b/>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Schneider (2008)</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861194">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61194">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61194">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861194">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861194">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p>
        </w:tc>
      </w:tr>
      <w:tr w:rsidR="00A020C1" w:rsidRPr="00861194" w:rsidTr="00A020C1">
        <w:tc>
          <w:tcPr>
            <w:tcW w:w="338"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61194">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861194">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61194">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61194">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861194">
            <w:pPr>
              <w:spacing w:before="20" w:after="0"/>
              <w:rPr>
                <w:rFonts w:cs="Times New Roman"/>
                <w:sz w:val="18"/>
              </w:rPr>
            </w:pPr>
          </w:p>
        </w:tc>
        <w:tc>
          <w:tcPr>
            <w:tcW w:w="3645" w:type="pct"/>
            <w:shd w:val="clear" w:color="auto" w:fill="auto"/>
          </w:tcPr>
          <w:p w:rsidR="00A020C1" w:rsidRPr="00861194" w:rsidRDefault="00A020C1" w:rsidP="00861194">
            <w:pPr>
              <w:spacing w:before="20" w:after="0"/>
              <w:rPr>
                <w:rFonts w:cs="Times New Roman"/>
                <w:sz w:val="18"/>
              </w:rPr>
            </w:pPr>
            <w:r w:rsidRPr="008C5110">
              <w:rPr>
                <w:rFonts w:cs="Times New Roman"/>
                <w:sz w:val="18"/>
              </w:rPr>
              <w:t>Comments: The method of randomisation was described. Blinding of key study participants and personnel attempted, but likely that the blinding could have been broken. There is selection bias as participants or investigators enrolling participants could possibly foresee assignments. An intention-to-treat analysis was attempted. However it is not clear if the 112 participants evaluated for eligibility were randomised before inclusion. No baseline assessment of adherence. Dropout rate: 22% blister pack group and 27% control groups</w:t>
            </w:r>
          </w:p>
        </w:tc>
      </w:tr>
      <w:tr w:rsidR="00A020C1" w:rsidRPr="00861194" w:rsidTr="00A020C1">
        <w:tc>
          <w:tcPr>
            <w:tcW w:w="338" w:type="pct"/>
            <w:tcBorders>
              <w:top w:val="nil"/>
              <w:right w:val="nil"/>
            </w:tcBorders>
          </w:tcPr>
          <w:p w:rsidR="00A020C1" w:rsidRPr="00861194" w:rsidRDefault="00A020C1" w:rsidP="00861194">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61194">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61194">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861194">
            <w:pPr>
              <w:autoSpaceDE w:val="0"/>
              <w:autoSpaceDN w:val="0"/>
              <w:adjustRightInd w:val="0"/>
              <w:spacing w:after="0"/>
              <w:rPr>
                <w:rFonts w:cs="Times New Roman"/>
                <w:sz w:val="18"/>
                <w:szCs w:val="18"/>
              </w:rPr>
            </w:pPr>
          </w:p>
        </w:tc>
        <w:tc>
          <w:tcPr>
            <w:tcW w:w="3645" w:type="pct"/>
          </w:tcPr>
          <w:p w:rsidR="00A020C1" w:rsidRPr="00861194" w:rsidRDefault="00A020C1" w:rsidP="00861194">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861194">
            <w:pPr>
              <w:autoSpaceDE w:val="0"/>
              <w:autoSpaceDN w:val="0"/>
              <w:adjustRightInd w:val="0"/>
              <w:spacing w:after="0"/>
              <w:rPr>
                <w:rFonts w:cs="Times New Roman"/>
                <w:sz w:val="18"/>
                <w:szCs w:val="18"/>
              </w:rPr>
            </w:pPr>
            <w:r>
              <w:rPr>
                <w:rFonts w:cs="Times New Roman"/>
                <w:sz w:val="18"/>
                <w:szCs w:val="18"/>
              </w:rPr>
              <w:t>Fair</w:t>
            </w:r>
          </w:p>
        </w:tc>
      </w:tr>
    </w:tbl>
    <w:p w:rsidR="00C473BD" w:rsidRPr="008B6114" w:rsidRDefault="00C473BD" w:rsidP="00C473BD">
      <w:pPr>
        <w:pStyle w:val="08Tablefootnotes"/>
      </w:pPr>
      <w:r w:rsidRPr="008B6114">
        <w:t>Note: Quality criteria adapted from NHMRC (2000) How to use the evidence: assessment and application of scientific evidence. NHMRC, Canberra.</w:t>
      </w:r>
    </w:p>
    <w:p w:rsidR="00C473BD" w:rsidRPr="008B6114" w:rsidRDefault="00C473BD" w:rsidP="00C473BD">
      <w:pPr>
        <w:pStyle w:val="08Tablefootnotes"/>
      </w:pPr>
      <w:r w:rsidRPr="008B6114">
        <w:t>Assess criterion using Y (yes), N (no), NR (not reported) or NA (not applicable).</w:t>
      </w:r>
    </w:p>
    <w:p w:rsidR="00176A0F" w:rsidRDefault="00176A0F">
      <w:pPr>
        <w:spacing w:after="160" w:line="259" w:lineRule="auto"/>
      </w:pPr>
      <w:r>
        <w:br w:type="page"/>
      </w:r>
    </w:p>
    <w:p w:rsidR="00E75FC7" w:rsidRDefault="001F1083" w:rsidP="001F1083">
      <w:pPr>
        <w:pStyle w:val="Caption"/>
      </w:pPr>
      <w:r>
        <w:lastRenderedPageBreak/>
        <w:t>Table A-6.</w:t>
      </w:r>
      <w:r w:rsidR="00390694">
        <w:rPr>
          <w:noProof/>
        </w:rPr>
        <w:fldChar w:fldCharType="begin"/>
      </w:r>
      <w:r w:rsidR="00390694">
        <w:rPr>
          <w:noProof/>
        </w:rPr>
        <w:instrText xml:space="preserve"> SEQ Table_A-6. \* ARABIC </w:instrText>
      </w:r>
      <w:r w:rsidR="00390694">
        <w:rPr>
          <w:noProof/>
        </w:rPr>
        <w:fldChar w:fldCharType="separate"/>
      </w:r>
      <w:r>
        <w:rPr>
          <w:noProof/>
        </w:rPr>
        <w:t>6</w:t>
      </w:r>
      <w:r w:rsidR="00390694">
        <w:rPr>
          <w:noProof/>
        </w:rPr>
        <w:fldChar w:fldCharType="end"/>
      </w:r>
      <w:r>
        <w:t xml:space="preserve"> Quality analysis of primary studies – Huang (2000)</w:t>
      </w:r>
    </w:p>
    <w:tbl>
      <w:tblPr>
        <w:tblStyle w:val="TableGrid2"/>
        <w:tblW w:w="5000" w:type="pct"/>
        <w:tblLook w:val="04A0" w:firstRow="1" w:lastRow="0" w:firstColumn="1" w:lastColumn="0" w:noHBand="0" w:noVBand="1"/>
        <w:tblCaption w:val="Table A-6.6"/>
        <w:tblDescription w:val="Quality analysis of primary studies – Huang (2000)"/>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8B6332">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8B6332">
            <w:pPr>
              <w:autoSpaceDE w:val="0"/>
              <w:autoSpaceDN w:val="0"/>
              <w:adjustRightInd w:val="0"/>
              <w:spacing w:after="0"/>
              <w:rPr>
                <w:rFonts w:cs="Times New Roman"/>
                <w:b/>
                <w:sz w:val="18"/>
                <w:szCs w:val="18"/>
              </w:rPr>
            </w:pPr>
          </w:p>
        </w:tc>
        <w:tc>
          <w:tcPr>
            <w:tcW w:w="3645" w:type="pct"/>
          </w:tcPr>
          <w:p w:rsidR="00A020C1" w:rsidRPr="00861194" w:rsidRDefault="00A020C1" w:rsidP="00155A95">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Huang (2000)</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r>
              <w:rPr>
                <w:rFonts w:cs="Times New Roman"/>
                <w:sz w:val="18"/>
                <w:szCs w:val="18"/>
              </w:rPr>
              <w:t xml:space="preserve"> </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8B6332">
            <w:pPr>
              <w:spacing w:before="20" w:after="0"/>
              <w:rPr>
                <w:rFonts w:cs="Times New Roman"/>
                <w:sz w:val="18"/>
              </w:rPr>
            </w:pPr>
          </w:p>
        </w:tc>
        <w:tc>
          <w:tcPr>
            <w:tcW w:w="3645" w:type="pct"/>
            <w:shd w:val="clear" w:color="auto" w:fill="auto"/>
          </w:tcPr>
          <w:p w:rsidR="00A020C1" w:rsidRPr="00861194" w:rsidRDefault="00A020C1" w:rsidP="00076800">
            <w:pPr>
              <w:spacing w:before="20" w:after="0"/>
              <w:rPr>
                <w:rFonts w:cs="Times New Roman"/>
                <w:sz w:val="18"/>
              </w:rPr>
            </w:pPr>
            <w:r w:rsidRPr="008C5110">
              <w:rPr>
                <w:rFonts w:cs="Times New Roman"/>
                <w:sz w:val="18"/>
              </w:rPr>
              <w:t xml:space="preserve">Comments: </w:t>
            </w:r>
            <w:r w:rsidRPr="00AE570B">
              <w:rPr>
                <w:rFonts w:cs="Times New Roman"/>
                <w:sz w:val="18"/>
              </w:rPr>
              <w:t>Random allocation</w:t>
            </w:r>
            <w:r>
              <w:rPr>
                <w:rFonts w:cs="Times New Roman"/>
                <w:sz w:val="18"/>
              </w:rPr>
              <w:t xml:space="preserve"> was</w:t>
            </w:r>
            <w:r w:rsidRPr="00AE570B">
              <w:rPr>
                <w:rFonts w:cs="Times New Roman"/>
                <w:sz w:val="18"/>
              </w:rPr>
              <w:t xml:space="preserve"> generated by computer and issu</w:t>
            </w:r>
            <w:r>
              <w:rPr>
                <w:rFonts w:cs="Times New Roman"/>
                <w:sz w:val="18"/>
              </w:rPr>
              <w:t xml:space="preserve">ed by opening an opaque, sealed </w:t>
            </w:r>
            <w:r w:rsidRPr="00AE570B">
              <w:rPr>
                <w:rFonts w:cs="Times New Roman"/>
                <w:sz w:val="18"/>
              </w:rPr>
              <w:t>envelope</w:t>
            </w:r>
            <w:r>
              <w:rPr>
                <w:rFonts w:cs="Times New Roman"/>
                <w:sz w:val="18"/>
              </w:rPr>
              <w:t xml:space="preserve">. Participants and investigators </w:t>
            </w:r>
            <w:r w:rsidRPr="00AE570B">
              <w:rPr>
                <w:rFonts w:cs="Times New Roman"/>
                <w:sz w:val="18"/>
              </w:rPr>
              <w:t>enrolling participants could not foresee assignmen</w:t>
            </w:r>
            <w:r>
              <w:rPr>
                <w:rFonts w:cs="Times New Roman"/>
                <w:sz w:val="18"/>
              </w:rPr>
              <w:t>t. Blinding of participants and key study personnel ensured. I</w:t>
            </w:r>
            <w:r w:rsidRPr="008B6114">
              <w:rPr>
                <w:rFonts w:cs="Times New Roman"/>
                <w:sz w:val="18"/>
              </w:rPr>
              <w:t xml:space="preserve">ntention-to-treat analysis was </w:t>
            </w:r>
            <w:r>
              <w:rPr>
                <w:rFonts w:cs="Times New Roman"/>
                <w:sz w:val="18"/>
              </w:rPr>
              <w:t xml:space="preserve">not </w:t>
            </w:r>
            <w:r w:rsidRPr="008B6114">
              <w:rPr>
                <w:rFonts w:cs="Times New Roman"/>
                <w:sz w:val="18"/>
              </w:rPr>
              <w:t>carried out</w:t>
            </w:r>
            <w:r>
              <w:rPr>
                <w:rFonts w:cs="Times New Roman"/>
                <w:sz w:val="18"/>
              </w:rPr>
              <w:t xml:space="preserve"> as </w:t>
            </w:r>
            <w:r w:rsidRPr="00AE570B">
              <w:rPr>
                <w:rFonts w:cs="Times New Roman"/>
                <w:sz w:val="18"/>
              </w:rPr>
              <w:t>fina</w:t>
            </w:r>
            <w:r>
              <w:rPr>
                <w:rFonts w:cs="Times New Roman"/>
                <w:sz w:val="18"/>
              </w:rPr>
              <w:t xml:space="preserve">l analysis was only carried out </w:t>
            </w:r>
            <w:r w:rsidRPr="00AE570B">
              <w:rPr>
                <w:rFonts w:cs="Times New Roman"/>
                <w:sz w:val="18"/>
              </w:rPr>
              <w:t xml:space="preserve">on the </w:t>
            </w:r>
            <w:r>
              <w:rPr>
                <w:rFonts w:cs="Times New Roman"/>
                <w:sz w:val="18"/>
              </w:rPr>
              <w:t xml:space="preserve">participants that completed the </w:t>
            </w:r>
            <w:r w:rsidRPr="00AE570B">
              <w:rPr>
                <w:rFonts w:cs="Times New Roman"/>
                <w:sz w:val="18"/>
              </w:rPr>
              <w:t>study</w:t>
            </w:r>
            <w:r w:rsidRPr="008B6114">
              <w:rPr>
                <w:rFonts w:cs="Times New Roman"/>
                <w:sz w:val="18"/>
              </w:rPr>
              <w:t>.</w:t>
            </w:r>
            <w:r w:rsidRPr="006948F9">
              <w:rPr>
                <w:rFonts w:cs="Times New Roman"/>
                <w:sz w:val="18"/>
              </w:rPr>
              <w:t xml:space="preserve"> </w:t>
            </w:r>
            <w:r w:rsidRPr="00076800">
              <w:rPr>
                <w:rFonts w:cs="Times New Roman"/>
                <w:sz w:val="18"/>
              </w:rPr>
              <w:t>No baseline ass</w:t>
            </w:r>
            <w:r>
              <w:rPr>
                <w:rFonts w:cs="Times New Roman"/>
                <w:sz w:val="18"/>
              </w:rPr>
              <w:t xml:space="preserve">essment of adherence. </w:t>
            </w:r>
            <w:r w:rsidRPr="00076800">
              <w:rPr>
                <w:rFonts w:cs="Times New Roman"/>
                <w:sz w:val="18"/>
              </w:rPr>
              <w:t>Duration t</w:t>
            </w:r>
            <w:r>
              <w:rPr>
                <w:rFonts w:cs="Times New Roman"/>
                <w:sz w:val="18"/>
              </w:rPr>
              <w:t xml:space="preserve">oo short to determine adherence to long-term treatment. </w:t>
            </w:r>
            <w:r w:rsidRPr="00076800">
              <w:rPr>
                <w:rFonts w:cs="Times New Roman"/>
                <w:sz w:val="18"/>
              </w:rPr>
              <w:t xml:space="preserve">Dropout rate: 3% </w:t>
            </w:r>
            <w:r>
              <w:rPr>
                <w:rFonts w:cs="Times New Roman"/>
                <w:sz w:val="18"/>
              </w:rPr>
              <w:t xml:space="preserve">calendar pack and 10% control </w:t>
            </w:r>
            <w:r w:rsidRPr="00076800">
              <w:rPr>
                <w:rFonts w:cs="Times New Roman"/>
                <w:sz w:val="18"/>
              </w:rPr>
              <w:t>groups</w:t>
            </w:r>
            <w:r>
              <w:rPr>
                <w:rFonts w:cs="Times New Roman"/>
                <w:sz w:val="18"/>
              </w:rPr>
              <w:t>.</w:t>
            </w:r>
          </w:p>
        </w:tc>
      </w:tr>
      <w:tr w:rsidR="00A020C1" w:rsidRPr="00861194" w:rsidTr="00A020C1">
        <w:tc>
          <w:tcPr>
            <w:tcW w:w="338" w:type="pct"/>
            <w:tcBorders>
              <w:top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8B6332">
            <w:pPr>
              <w:autoSpaceDE w:val="0"/>
              <w:autoSpaceDN w:val="0"/>
              <w:adjustRightInd w:val="0"/>
              <w:spacing w:after="0"/>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8B6332">
            <w:pPr>
              <w:autoSpaceDE w:val="0"/>
              <w:autoSpaceDN w:val="0"/>
              <w:adjustRightInd w:val="0"/>
              <w:spacing w:after="0"/>
              <w:rPr>
                <w:rFonts w:cs="Times New Roman"/>
                <w:sz w:val="18"/>
                <w:szCs w:val="18"/>
              </w:rPr>
            </w:pPr>
            <w:r>
              <w:rPr>
                <w:rFonts w:cs="Times New Roman"/>
                <w:sz w:val="18"/>
                <w:szCs w:val="18"/>
              </w:rPr>
              <w:t>Fair</w:t>
            </w:r>
          </w:p>
        </w:tc>
      </w:tr>
    </w:tbl>
    <w:p w:rsidR="00AE570B" w:rsidRPr="008B6114" w:rsidRDefault="00AE570B" w:rsidP="00AE570B">
      <w:pPr>
        <w:pStyle w:val="08Tablefootnotes"/>
      </w:pPr>
      <w:r w:rsidRPr="008B6114">
        <w:t>Note: Quality criteria adapted from NHMRC (2000) How to use the evidence: assessment and application of scientific evidence. NHMRC, Canberra.</w:t>
      </w:r>
    </w:p>
    <w:p w:rsidR="00AE570B" w:rsidRPr="008B6114" w:rsidRDefault="00AE570B" w:rsidP="00AE570B">
      <w:pPr>
        <w:pStyle w:val="08Tablefootnotes"/>
      </w:pPr>
      <w:r w:rsidRPr="008B6114">
        <w:t>Assess criterion using Y (yes), N (no), NR (not reported) or NA (not applicable).</w:t>
      </w:r>
    </w:p>
    <w:p w:rsidR="00AE570B" w:rsidRDefault="00AE570B">
      <w:pPr>
        <w:spacing w:after="160" w:line="259" w:lineRule="auto"/>
      </w:pPr>
      <w:r>
        <w:br w:type="page"/>
      </w:r>
    </w:p>
    <w:p w:rsidR="00155A95" w:rsidRDefault="001F1083" w:rsidP="001F1083">
      <w:pPr>
        <w:pStyle w:val="Caption"/>
      </w:pPr>
      <w:r>
        <w:lastRenderedPageBreak/>
        <w:t>Table A-6.</w:t>
      </w:r>
      <w:r w:rsidR="00390694">
        <w:rPr>
          <w:noProof/>
        </w:rPr>
        <w:fldChar w:fldCharType="begin"/>
      </w:r>
      <w:r w:rsidR="00390694">
        <w:rPr>
          <w:noProof/>
        </w:rPr>
        <w:instrText xml:space="preserve"> SEQ Table_A-6. \* ARABIC </w:instrText>
      </w:r>
      <w:r w:rsidR="00390694">
        <w:rPr>
          <w:noProof/>
        </w:rPr>
        <w:fldChar w:fldCharType="separate"/>
      </w:r>
      <w:r>
        <w:rPr>
          <w:noProof/>
        </w:rPr>
        <w:t>7</w:t>
      </w:r>
      <w:r w:rsidR="00390694">
        <w:rPr>
          <w:noProof/>
        </w:rPr>
        <w:fldChar w:fldCharType="end"/>
      </w:r>
      <w:r>
        <w:t xml:space="preserve"> Quality analysis of primary studies – Simmons (2000)</w:t>
      </w:r>
    </w:p>
    <w:tbl>
      <w:tblPr>
        <w:tblStyle w:val="TableGrid2"/>
        <w:tblW w:w="5000" w:type="pct"/>
        <w:tblLook w:val="04A0" w:firstRow="1" w:lastRow="0" w:firstColumn="1" w:lastColumn="0" w:noHBand="0" w:noVBand="1"/>
        <w:tblCaption w:val="Table A-6.7"/>
        <w:tblDescription w:val="Quality analysis of primary studies – Simmons (2000)"/>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6948F9">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6948F9">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6948F9">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6948F9">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6948F9">
            <w:pPr>
              <w:autoSpaceDE w:val="0"/>
              <w:autoSpaceDN w:val="0"/>
              <w:adjustRightInd w:val="0"/>
              <w:spacing w:after="0"/>
              <w:rPr>
                <w:rFonts w:cs="Times New Roman"/>
                <w:b/>
                <w:sz w:val="18"/>
                <w:szCs w:val="18"/>
              </w:rPr>
            </w:pPr>
          </w:p>
        </w:tc>
        <w:tc>
          <w:tcPr>
            <w:tcW w:w="3645" w:type="pct"/>
          </w:tcPr>
          <w:p w:rsidR="00A020C1" w:rsidRPr="00861194" w:rsidRDefault="00A020C1" w:rsidP="00A70F48">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Simmons (2000)</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6948F9">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6948F9">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6948F9">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6948F9">
            <w:pPr>
              <w:spacing w:before="20" w:after="0"/>
              <w:rPr>
                <w:rFonts w:cs="Times New Roman"/>
                <w:sz w:val="18"/>
              </w:rPr>
            </w:pPr>
          </w:p>
        </w:tc>
        <w:tc>
          <w:tcPr>
            <w:tcW w:w="3645" w:type="pct"/>
            <w:shd w:val="clear" w:color="auto" w:fill="auto"/>
          </w:tcPr>
          <w:p w:rsidR="00A020C1" w:rsidRPr="00861194" w:rsidRDefault="00A020C1" w:rsidP="006948F9">
            <w:pPr>
              <w:spacing w:before="20" w:after="0"/>
              <w:rPr>
                <w:rFonts w:cs="Times New Roman"/>
                <w:sz w:val="18"/>
              </w:rPr>
            </w:pPr>
            <w:r w:rsidRPr="008C5110">
              <w:rPr>
                <w:rFonts w:cs="Times New Roman"/>
                <w:sz w:val="18"/>
              </w:rPr>
              <w:t xml:space="preserve">Comments: </w:t>
            </w:r>
            <w:r w:rsidRPr="00A70F48">
              <w:rPr>
                <w:rFonts w:cs="Times New Roman"/>
                <w:sz w:val="18"/>
              </w:rPr>
              <w:t>The method of randomisation was described. Adequate blinding was attempted. A third party was used to allocate patients to each group An intention-to-treat analysis was attempted. It is unclear whether the final analysis was carried out on all the subjects that were randomised. Follow-up was up to eight months</w:t>
            </w:r>
            <w:r>
              <w:rPr>
                <w:rFonts w:cs="Times New Roman"/>
                <w:sz w:val="18"/>
              </w:rPr>
              <w:t>.</w:t>
            </w:r>
          </w:p>
        </w:tc>
      </w:tr>
      <w:tr w:rsidR="00A020C1" w:rsidRPr="00861194" w:rsidTr="00A020C1">
        <w:tc>
          <w:tcPr>
            <w:tcW w:w="338" w:type="pct"/>
            <w:tcBorders>
              <w:top w:val="nil"/>
              <w:right w:val="nil"/>
            </w:tcBorders>
          </w:tcPr>
          <w:p w:rsidR="00A020C1" w:rsidRPr="00861194" w:rsidRDefault="00A020C1" w:rsidP="006948F9">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6948F9">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6948F9">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6948F9">
            <w:pPr>
              <w:autoSpaceDE w:val="0"/>
              <w:autoSpaceDN w:val="0"/>
              <w:adjustRightInd w:val="0"/>
              <w:spacing w:after="0"/>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6948F9">
            <w:pPr>
              <w:autoSpaceDE w:val="0"/>
              <w:autoSpaceDN w:val="0"/>
              <w:adjustRightInd w:val="0"/>
              <w:spacing w:after="0"/>
              <w:rPr>
                <w:rFonts w:cs="Times New Roman"/>
                <w:sz w:val="18"/>
                <w:szCs w:val="18"/>
              </w:rPr>
            </w:pPr>
            <w:r>
              <w:rPr>
                <w:rFonts w:cs="Times New Roman"/>
                <w:sz w:val="18"/>
                <w:szCs w:val="18"/>
              </w:rPr>
              <w:t>Good</w:t>
            </w:r>
          </w:p>
        </w:tc>
      </w:tr>
    </w:tbl>
    <w:p w:rsidR="00C473BD" w:rsidRPr="008B6114" w:rsidRDefault="00C473BD" w:rsidP="00C473BD">
      <w:pPr>
        <w:pStyle w:val="08Tablefootnotes"/>
      </w:pPr>
      <w:r w:rsidRPr="008B6114">
        <w:t>Note: Quality criteria adapted from NHMRC (2000) How to use the evidence: assessment and application of scientific evidence. NHMRC, Canberra.</w:t>
      </w:r>
    </w:p>
    <w:p w:rsidR="00C473BD" w:rsidRPr="008B6114" w:rsidRDefault="00C473BD" w:rsidP="00C473BD">
      <w:pPr>
        <w:pStyle w:val="08Tablefootnotes"/>
      </w:pPr>
      <w:r w:rsidRPr="008B6114">
        <w:t>Assess criterion using Y (yes), N (no), NR (not reported) or NA (not applicable).</w:t>
      </w:r>
    </w:p>
    <w:p w:rsidR="00E75FC7" w:rsidRDefault="00E75FC7">
      <w:pPr>
        <w:spacing w:after="160" w:line="259" w:lineRule="auto"/>
      </w:pPr>
      <w:r>
        <w:br w:type="page"/>
      </w:r>
    </w:p>
    <w:p w:rsidR="00155A95" w:rsidRDefault="001F1083" w:rsidP="001F1083">
      <w:pPr>
        <w:pStyle w:val="Caption"/>
      </w:pPr>
      <w:r>
        <w:lastRenderedPageBreak/>
        <w:t>Table A-6.</w:t>
      </w:r>
      <w:r w:rsidR="00390694">
        <w:rPr>
          <w:noProof/>
        </w:rPr>
        <w:fldChar w:fldCharType="begin"/>
      </w:r>
      <w:r w:rsidR="00390694">
        <w:rPr>
          <w:noProof/>
        </w:rPr>
        <w:instrText xml:space="preserve"> SEQ Table_A-6. \* ARABIC </w:instrText>
      </w:r>
      <w:r w:rsidR="00390694">
        <w:rPr>
          <w:noProof/>
        </w:rPr>
        <w:fldChar w:fldCharType="separate"/>
      </w:r>
      <w:r>
        <w:rPr>
          <w:noProof/>
        </w:rPr>
        <w:t>8</w:t>
      </w:r>
      <w:r w:rsidR="00390694">
        <w:rPr>
          <w:noProof/>
        </w:rPr>
        <w:fldChar w:fldCharType="end"/>
      </w:r>
      <w:r>
        <w:t xml:space="preserve"> Quality analysis of primary studies – Winland-Brown (2000)</w:t>
      </w:r>
    </w:p>
    <w:tbl>
      <w:tblPr>
        <w:tblStyle w:val="TableGrid2"/>
        <w:tblW w:w="5000" w:type="pct"/>
        <w:tblLook w:val="04A0" w:firstRow="1" w:lastRow="0" w:firstColumn="1" w:lastColumn="0" w:noHBand="0" w:noVBand="1"/>
        <w:tblCaption w:val="Table A-6.8"/>
        <w:tblDescription w:val="Quality analysis of primary studies – Winland-Brown (2000)"/>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8B6332">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8B6332">
            <w:pPr>
              <w:autoSpaceDE w:val="0"/>
              <w:autoSpaceDN w:val="0"/>
              <w:adjustRightInd w:val="0"/>
              <w:spacing w:after="0"/>
              <w:rPr>
                <w:rFonts w:cs="Times New Roman"/>
                <w:b/>
                <w:sz w:val="18"/>
                <w:szCs w:val="18"/>
              </w:rPr>
            </w:pPr>
          </w:p>
        </w:tc>
        <w:tc>
          <w:tcPr>
            <w:tcW w:w="3645" w:type="pct"/>
          </w:tcPr>
          <w:p w:rsidR="00A020C1" w:rsidRPr="00861194" w:rsidRDefault="00A020C1" w:rsidP="008B6114">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Winland-Brown (2000)</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r>
              <w:rPr>
                <w:rFonts w:cs="Times New Roman"/>
                <w:sz w:val="18"/>
                <w:szCs w:val="18"/>
              </w:rPr>
              <w:t xml:space="preserve"> </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8B6332">
            <w:pPr>
              <w:spacing w:before="20" w:after="0"/>
              <w:rPr>
                <w:rFonts w:cs="Times New Roman"/>
                <w:sz w:val="18"/>
              </w:rPr>
            </w:pPr>
          </w:p>
        </w:tc>
        <w:tc>
          <w:tcPr>
            <w:tcW w:w="3645" w:type="pct"/>
            <w:shd w:val="clear" w:color="auto" w:fill="auto"/>
          </w:tcPr>
          <w:p w:rsidR="00A020C1" w:rsidRPr="00861194" w:rsidRDefault="00A020C1" w:rsidP="008B6332">
            <w:pPr>
              <w:spacing w:before="20" w:after="0"/>
              <w:rPr>
                <w:rFonts w:cs="Times New Roman"/>
                <w:sz w:val="18"/>
              </w:rPr>
            </w:pPr>
            <w:r w:rsidRPr="008C5110">
              <w:rPr>
                <w:rFonts w:cs="Times New Roman"/>
                <w:sz w:val="18"/>
              </w:rPr>
              <w:t xml:space="preserve">Comments: </w:t>
            </w:r>
            <w:r w:rsidRPr="006948F9">
              <w:rPr>
                <w:rFonts w:cs="Times New Roman"/>
                <w:sz w:val="18"/>
              </w:rPr>
              <w:t xml:space="preserve">The method of randomisation was not described clearly. Allocation concealment was not described. It was unclear if patients or outcome assessors were blinded to the intervention. </w:t>
            </w:r>
            <w:r>
              <w:rPr>
                <w:rFonts w:cs="Times New Roman"/>
                <w:sz w:val="18"/>
              </w:rPr>
              <w:t>I</w:t>
            </w:r>
            <w:r w:rsidRPr="008B6114">
              <w:rPr>
                <w:rFonts w:cs="Times New Roman"/>
                <w:sz w:val="18"/>
              </w:rPr>
              <w:t>ntention-to-treat analysis was carried out.</w:t>
            </w:r>
            <w:r w:rsidRPr="006948F9">
              <w:rPr>
                <w:rFonts w:cs="Times New Roman"/>
                <w:sz w:val="18"/>
              </w:rPr>
              <w:t xml:space="preserve"> Drop-out rate was not reported.</w:t>
            </w:r>
            <w:r>
              <w:t xml:space="preserve"> </w:t>
            </w:r>
            <w:r w:rsidRPr="00816108">
              <w:rPr>
                <w:rFonts w:cs="Times New Roman"/>
                <w:sz w:val="18"/>
              </w:rPr>
              <w:t>No base</w:t>
            </w:r>
            <w:r>
              <w:rPr>
                <w:rFonts w:cs="Times New Roman"/>
                <w:sz w:val="18"/>
              </w:rPr>
              <w:t>line assessment of adherence.</w:t>
            </w:r>
          </w:p>
        </w:tc>
      </w:tr>
      <w:tr w:rsidR="00A020C1" w:rsidRPr="00861194" w:rsidTr="00A020C1">
        <w:tc>
          <w:tcPr>
            <w:tcW w:w="338" w:type="pct"/>
            <w:tcBorders>
              <w:top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8B6332">
            <w:pPr>
              <w:autoSpaceDE w:val="0"/>
              <w:autoSpaceDN w:val="0"/>
              <w:adjustRightInd w:val="0"/>
              <w:spacing w:after="0"/>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8B6332">
            <w:pPr>
              <w:autoSpaceDE w:val="0"/>
              <w:autoSpaceDN w:val="0"/>
              <w:adjustRightInd w:val="0"/>
              <w:spacing w:after="0"/>
              <w:rPr>
                <w:rFonts w:cs="Times New Roman"/>
                <w:sz w:val="18"/>
                <w:szCs w:val="18"/>
              </w:rPr>
            </w:pPr>
            <w:r>
              <w:rPr>
                <w:rFonts w:cs="Times New Roman"/>
                <w:sz w:val="18"/>
                <w:szCs w:val="18"/>
              </w:rPr>
              <w:t>Poor</w:t>
            </w:r>
          </w:p>
        </w:tc>
      </w:tr>
    </w:tbl>
    <w:p w:rsidR="00C473BD" w:rsidRPr="008B6114" w:rsidRDefault="00C473BD" w:rsidP="00C473BD">
      <w:pPr>
        <w:pStyle w:val="08Tablefootnotes"/>
      </w:pPr>
      <w:r w:rsidRPr="008B6114">
        <w:t>Note: Quality criteria adapted from NHMRC (2000) How to use the evidence: assessment and application of scientific evidence. NHMRC, Canberra.</w:t>
      </w:r>
    </w:p>
    <w:p w:rsidR="00C473BD" w:rsidRPr="008B6114" w:rsidRDefault="00C473BD" w:rsidP="00C473BD">
      <w:pPr>
        <w:pStyle w:val="08Tablefootnotes"/>
      </w:pPr>
      <w:r w:rsidRPr="008B6114">
        <w:t>Assess criterion using Y (yes), N (no), NR (not reported) or NA (not applicable).</w:t>
      </w:r>
    </w:p>
    <w:p w:rsidR="008B6114" w:rsidRDefault="008B6114">
      <w:pPr>
        <w:spacing w:after="160" w:line="259" w:lineRule="auto"/>
      </w:pPr>
      <w:r>
        <w:br w:type="page"/>
      </w:r>
    </w:p>
    <w:p w:rsidR="00230B87" w:rsidRDefault="001F1083" w:rsidP="001F1083">
      <w:pPr>
        <w:pStyle w:val="Caption"/>
      </w:pPr>
      <w:r>
        <w:lastRenderedPageBreak/>
        <w:t>Table A-6.</w:t>
      </w:r>
      <w:r w:rsidR="00390694">
        <w:rPr>
          <w:noProof/>
        </w:rPr>
        <w:fldChar w:fldCharType="begin"/>
      </w:r>
      <w:r w:rsidR="00390694">
        <w:rPr>
          <w:noProof/>
        </w:rPr>
        <w:instrText xml:space="preserve"> SEQ Table_A-6. \* ARABIC </w:instrText>
      </w:r>
      <w:r w:rsidR="00390694">
        <w:rPr>
          <w:noProof/>
        </w:rPr>
        <w:fldChar w:fldCharType="separate"/>
      </w:r>
      <w:r>
        <w:rPr>
          <w:noProof/>
        </w:rPr>
        <w:t>9</w:t>
      </w:r>
      <w:r w:rsidR="00390694">
        <w:rPr>
          <w:noProof/>
        </w:rPr>
        <w:fldChar w:fldCharType="end"/>
      </w:r>
      <w:r>
        <w:t xml:space="preserve"> Quality analysis of primary studies – Skaer (1993a) hypertension</w:t>
      </w:r>
    </w:p>
    <w:tbl>
      <w:tblPr>
        <w:tblStyle w:val="TableGrid2"/>
        <w:tblW w:w="5000" w:type="pct"/>
        <w:tblLook w:val="04A0" w:firstRow="1" w:lastRow="0" w:firstColumn="1" w:lastColumn="0" w:noHBand="0" w:noVBand="1"/>
        <w:tblCaption w:val="Table A-6.9"/>
        <w:tblDescription w:val="Quality analysis of primary studies – Skaer (1993a) hypertension"/>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6948F9">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6948F9">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6948F9">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6948F9">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6948F9">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6948F9">
            <w:pPr>
              <w:autoSpaceDE w:val="0"/>
              <w:autoSpaceDN w:val="0"/>
              <w:adjustRightInd w:val="0"/>
              <w:spacing w:after="0"/>
              <w:rPr>
                <w:rFonts w:cs="Times New Roman"/>
                <w:b/>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Skaer (1993a) hypertension</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6948F9">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r>
              <w:rPr>
                <w:rFonts w:cs="Times New Roman"/>
                <w:sz w:val="18"/>
                <w:szCs w:val="18"/>
              </w:rPr>
              <w:t xml:space="preserve"> </w:t>
            </w:r>
          </w:p>
        </w:tc>
      </w:tr>
      <w:tr w:rsidR="00A020C1" w:rsidRPr="00861194" w:rsidTr="00A020C1">
        <w:tc>
          <w:tcPr>
            <w:tcW w:w="338" w:type="pct"/>
            <w:tcBorders>
              <w:bottom w:val="single" w:sz="4" w:space="0" w:color="auto"/>
            </w:tcBorders>
            <w:vAlign w:val="center"/>
          </w:tcPr>
          <w:p w:rsidR="00A020C1" w:rsidRPr="00861194" w:rsidRDefault="00A020C1" w:rsidP="00614B13">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6948F9">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6948F9">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6948F9">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6948F9">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6948F9">
            <w:pPr>
              <w:spacing w:before="20" w:after="0"/>
              <w:rPr>
                <w:rFonts w:cs="Times New Roman"/>
                <w:sz w:val="18"/>
              </w:rPr>
            </w:pPr>
          </w:p>
        </w:tc>
        <w:tc>
          <w:tcPr>
            <w:tcW w:w="3645" w:type="pct"/>
            <w:shd w:val="clear" w:color="auto" w:fill="auto"/>
          </w:tcPr>
          <w:p w:rsidR="00A020C1" w:rsidRPr="00861194" w:rsidRDefault="00A020C1" w:rsidP="00816108">
            <w:pPr>
              <w:spacing w:before="20" w:after="0"/>
              <w:rPr>
                <w:rFonts w:cs="Times New Roman"/>
                <w:sz w:val="18"/>
              </w:rPr>
            </w:pPr>
            <w:r w:rsidRPr="008C5110">
              <w:rPr>
                <w:rFonts w:cs="Times New Roman"/>
                <w:sz w:val="18"/>
              </w:rPr>
              <w:t xml:space="preserve">Comments: </w:t>
            </w:r>
            <w:r w:rsidRPr="006948F9">
              <w:rPr>
                <w:rFonts w:cs="Times New Roman"/>
                <w:sz w:val="18"/>
              </w:rPr>
              <w:t>The method of randomisation was not described clearly. Allocation concealment was not described. It was unclear if patients or outcome assessors were blinded to the intervention. Analysis carried out on the 304 participants enrolled into the trial. Drop-out rate was not reported.</w:t>
            </w:r>
            <w:r>
              <w:t xml:space="preserve"> </w:t>
            </w:r>
            <w:r w:rsidRPr="00816108">
              <w:rPr>
                <w:rFonts w:cs="Times New Roman"/>
                <w:sz w:val="18"/>
              </w:rPr>
              <w:t>No base</w:t>
            </w:r>
            <w:r>
              <w:rPr>
                <w:rFonts w:cs="Times New Roman"/>
                <w:sz w:val="18"/>
              </w:rPr>
              <w:t xml:space="preserve">line assessment of adherence or </w:t>
            </w:r>
            <w:r w:rsidRPr="00816108">
              <w:rPr>
                <w:rFonts w:cs="Times New Roman"/>
                <w:sz w:val="18"/>
              </w:rPr>
              <w:t>clinical outcomes</w:t>
            </w:r>
            <w:r>
              <w:rPr>
                <w:rFonts w:cs="Times New Roman"/>
                <w:sz w:val="18"/>
              </w:rPr>
              <w:t>. Quality of reporting difficult to ascertain as very little data was presented.</w:t>
            </w:r>
          </w:p>
        </w:tc>
      </w:tr>
      <w:tr w:rsidR="00A020C1" w:rsidRPr="00861194" w:rsidTr="00A020C1">
        <w:tc>
          <w:tcPr>
            <w:tcW w:w="338" w:type="pct"/>
            <w:tcBorders>
              <w:top w:val="nil"/>
              <w:right w:val="nil"/>
            </w:tcBorders>
          </w:tcPr>
          <w:p w:rsidR="00A020C1" w:rsidRPr="00861194" w:rsidRDefault="00A020C1" w:rsidP="006948F9">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6948F9">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6948F9">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6948F9">
            <w:pPr>
              <w:autoSpaceDE w:val="0"/>
              <w:autoSpaceDN w:val="0"/>
              <w:adjustRightInd w:val="0"/>
              <w:spacing w:after="0"/>
              <w:rPr>
                <w:rFonts w:cs="Times New Roman"/>
                <w:sz w:val="18"/>
                <w:szCs w:val="18"/>
              </w:rPr>
            </w:pPr>
          </w:p>
        </w:tc>
        <w:tc>
          <w:tcPr>
            <w:tcW w:w="3645" w:type="pct"/>
          </w:tcPr>
          <w:p w:rsidR="00A020C1" w:rsidRPr="00861194" w:rsidRDefault="00A020C1" w:rsidP="006948F9">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6948F9">
            <w:pPr>
              <w:autoSpaceDE w:val="0"/>
              <w:autoSpaceDN w:val="0"/>
              <w:adjustRightInd w:val="0"/>
              <w:spacing w:after="0"/>
              <w:rPr>
                <w:rFonts w:cs="Times New Roman"/>
                <w:sz w:val="18"/>
                <w:szCs w:val="18"/>
              </w:rPr>
            </w:pPr>
            <w:r>
              <w:rPr>
                <w:rFonts w:cs="Times New Roman"/>
                <w:sz w:val="18"/>
                <w:szCs w:val="18"/>
              </w:rPr>
              <w:t>Poor</w:t>
            </w:r>
          </w:p>
        </w:tc>
      </w:tr>
    </w:tbl>
    <w:p w:rsidR="00C473BD" w:rsidRPr="008B6114" w:rsidRDefault="00C473BD" w:rsidP="00C473BD">
      <w:pPr>
        <w:pStyle w:val="08Tablefootnotes"/>
      </w:pPr>
      <w:r w:rsidRPr="008B6114">
        <w:t>Note: Quality criteria adapted from NHMRC (2000) How to use the evidence: assessment and application of scientific evidence. NHMRC, Canberra.</w:t>
      </w:r>
    </w:p>
    <w:p w:rsidR="00C473BD" w:rsidRPr="008B6114" w:rsidRDefault="00C473BD" w:rsidP="00C473BD">
      <w:pPr>
        <w:pStyle w:val="08Tablefootnotes"/>
      </w:pPr>
      <w:r w:rsidRPr="008B6114">
        <w:t>Assess criterion using Y (yes), N (no), NR (not reported) or NA (not applicable).</w:t>
      </w:r>
    </w:p>
    <w:p w:rsidR="001F1083" w:rsidRDefault="00230B87">
      <w:pPr>
        <w:spacing w:after="160" w:line="259" w:lineRule="auto"/>
      </w:pPr>
      <w:r>
        <w:br w:type="page"/>
      </w:r>
    </w:p>
    <w:p w:rsidR="00230B87" w:rsidRDefault="001F1083" w:rsidP="001F1083">
      <w:pPr>
        <w:pStyle w:val="Caption"/>
      </w:pPr>
      <w:r>
        <w:lastRenderedPageBreak/>
        <w:t>Table A-6.</w:t>
      </w:r>
      <w:r w:rsidR="00390694">
        <w:rPr>
          <w:noProof/>
        </w:rPr>
        <w:fldChar w:fldCharType="begin"/>
      </w:r>
      <w:r w:rsidR="00390694">
        <w:rPr>
          <w:noProof/>
        </w:rPr>
        <w:instrText xml:space="preserve"> SEQ Table_A-6. \* ARABIC </w:instrText>
      </w:r>
      <w:r w:rsidR="00390694">
        <w:rPr>
          <w:noProof/>
        </w:rPr>
        <w:fldChar w:fldCharType="separate"/>
      </w:r>
      <w:r>
        <w:rPr>
          <w:noProof/>
        </w:rPr>
        <w:t>10</w:t>
      </w:r>
      <w:r w:rsidR="00390694">
        <w:rPr>
          <w:noProof/>
        </w:rPr>
        <w:fldChar w:fldCharType="end"/>
      </w:r>
      <w:r>
        <w:t xml:space="preserve"> Quality analysis of primary studies – Skaer (1993a) NIDDM</w:t>
      </w:r>
    </w:p>
    <w:tbl>
      <w:tblPr>
        <w:tblStyle w:val="TableGrid2"/>
        <w:tblW w:w="5000" w:type="pct"/>
        <w:tblLook w:val="04A0" w:firstRow="1" w:lastRow="0" w:firstColumn="1" w:lastColumn="0" w:noHBand="0" w:noVBand="1"/>
        <w:tblCaption w:val="Table A-6.10"/>
        <w:tblDescription w:val="Quality analysis of primary studies – Skaer (1993a) NIDDM"/>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8B6332">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8B6332">
            <w:pPr>
              <w:autoSpaceDE w:val="0"/>
              <w:autoSpaceDN w:val="0"/>
              <w:adjustRightInd w:val="0"/>
              <w:spacing w:after="0"/>
              <w:rPr>
                <w:rFonts w:cs="Times New Roman"/>
                <w:b/>
                <w:sz w:val="18"/>
                <w:szCs w:val="18"/>
              </w:rPr>
            </w:pPr>
          </w:p>
        </w:tc>
        <w:tc>
          <w:tcPr>
            <w:tcW w:w="3645" w:type="pct"/>
          </w:tcPr>
          <w:p w:rsidR="00A020C1" w:rsidRPr="00861194" w:rsidRDefault="00A020C1" w:rsidP="00816108">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Skaer (1993a) NIDDM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r>
              <w:rPr>
                <w:rFonts w:cs="Times New Roman"/>
                <w:sz w:val="18"/>
                <w:szCs w:val="18"/>
              </w:rPr>
              <w:t xml:space="preserve"> </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8B6332">
            <w:pPr>
              <w:spacing w:before="20" w:after="0"/>
              <w:rPr>
                <w:rFonts w:cs="Times New Roman"/>
                <w:sz w:val="18"/>
              </w:rPr>
            </w:pPr>
          </w:p>
        </w:tc>
        <w:tc>
          <w:tcPr>
            <w:tcW w:w="3645" w:type="pct"/>
            <w:shd w:val="clear" w:color="auto" w:fill="auto"/>
          </w:tcPr>
          <w:p w:rsidR="00A020C1" w:rsidRPr="00861194" w:rsidRDefault="00A020C1" w:rsidP="008B6332">
            <w:pPr>
              <w:spacing w:before="20" w:after="0"/>
              <w:rPr>
                <w:rFonts w:cs="Times New Roman"/>
                <w:sz w:val="18"/>
              </w:rPr>
            </w:pPr>
            <w:r w:rsidRPr="008C5110">
              <w:rPr>
                <w:rFonts w:cs="Times New Roman"/>
                <w:sz w:val="18"/>
              </w:rPr>
              <w:t xml:space="preserve">Comments: </w:t>
            </w:r>
            <w:r w:rsidRPr="006948F9">
              <w:rPr>
                <w:rFonts w:cs="Times New Roman"/>
                <w:sz w:val="18"/>
              </w:rPr>
              <w:t>The method of randomisation was not described clearly. Allocation concealment was not described. It was unclear if patients or outcome assessors were blinded to the intervention.</w:t>
            </w:r>
            <w:r>
              <w:rPr>
                <w:rFonts w:cs="Times New Roman"/>
                <w:sz w:val="18"/>
              </w:rPr>
              <w:t xml:space="preserve"> Analysis carried out on the 258</w:t>
            </w:r>
            <w:r w:rsidRPr="006948F9">
              <w:rPr>
                <w:rFonts w:cs="Times New Roman"/>
                <w:sz w:val="18"/>
              </w:rPr>
              <w:t xml:space="preserve"> participants enrolled into the trial. Drop-out rate was not reported.</w:t>
            </w:r>
            <w:r>
              <w:t xml:space="preserve"> </w:t>
            </w:r>
            <w:r w:rsidRPr="00816108">
              <w:rPr>
                <w:rFonts w:cs="Times New Roman"/>
                <w:sz w:val="18"/>
              </w:rPr>
              <w:t>No base</w:t>
            </w:r>
            <w:r>
              <w:rPr>
                <w:rFonts w:cs="Times New Roman"/>
                <w:sz w:val="18"/>
              </w:rPr>
              <w:t xml:space="preserve">line assessment of adherence or </w:t>
            </w:r>
            <w:r w:rsidRPr="00816108">
              <w:rPr>
                <w:rFonts w:cs="Times New Roman"/>
                <w:sz w:val="18"/>
              </w:rPr>
              <w:t>clinical outcomes</w:t>
            </w:r>
            <w:r>
              <w:rPr>
                <w:rFonts w:cs="Times New Roman"/>
                <w:sz w:val="18"/>
              </w:rPr>
              <w:t>.</w:t>
            </w:r>
            <w:r>
              <w:t xml:space="preserve"> </w:t>
            </w:r>
            <w:r w:rsidRPr="00155A95">
              <w:rPr>
                <w:rFonts w:cs="Times New Roman"/>
                <w:sz w:val="18"/>
              </w:rPr>
              <w:t>Quality of reporting difficult to ascertain as very little data was presented.</w:t>
            </w:r>
          </w:p>
        </w:tc>
      </w:tr>
      <w:tr w:rsidR="00A020C1" w:rsidRPr="00861194" w:rsidTr="00A020C1">
        <w:tc>
          <w:tcPr>
            <w:tcW w:w="338" w:type="pct"/>
            <w:tcBorders>
              <w:top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8B6332">
            <w:pPr>
              <w:autoSpaceDE w:val="0"/>
              <w:autoSpaceDN w:val="0"/>
              <w:adjustRightInd w:val="0"/>
              <w:spacing w:after="0"/>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8B6332">
            <w:pPr>
              <w:autoSpaceDE w:val="0"/>
              <w:autoSpaceDN w:val="0"/>
              <w:adjustRightInd w:val="0"/>
              <w:spacing w:after="0"/>
              <w:rPr>
                <w:rFonts w:cs="Times New Roman"/>
                <w:sz w:val="18"/>
                <w:szCs w:val="18"/>
              </w:rPr>
            </w:pPr>
            <w:r>
              <w:rPr>
                <w:rFonts w:cs="Times New Roman"/>
                <w:sz w:val="18"/>
                <w:szCs w:val="18"/>
              </w:rPr>
              <w:t>Poor</w:t>
            </w:r>
          </w:p>
        </w:tc>
      </w:tr>
    </w:tbl>
    <w:p w:rsidR="00C473BD" w:rsidRPr="008B6114" w:rsidRDefault="00C473BD" w:rsidP="00C473BD">
      <w:pPr>
        <w:pStyle w:val="08Tablefootnotes"/>
      </w:pPr>
      <w:r w:rsidRPr="008B6114">
        <w:t>Note: Quality criteria adapted from NHMRC (2000) How to use the evidence: assessment and application of scientific evidence. NHMRC, Canberra.</w:t>
      </w:r>
    </w:p>
    <w:p w:rsidR="00C473BD" w:rsidRPr="008B6114" w:rsidRDefault="00C473BD" w:rsidP="00C473BD">
      <w:pPr>
        <w:pStyle w:val="08Tablefootnotes"/>
      </w:pPr>
      <w:r w:rsidRPr="008B6114">
        <w:t>Assess criterion using Y (yes), N (no), NR (not reported) or NA (not applicable).</w:t>
      </w:r>
    </w:p>
    <w:p w:rsidR="004D31D5" w:rsidRDefault="004D31D5">
      <w:pPr>
        <w:spacing w:after="160" w:line="259" w:lineRule="auto"/>
      </w:pPr>
      <w:r>
        <w:br w:type="page"/>
      </w:r>
    </w:p>
    <w:p w:rsidR="00BA653F" w:rsidRPr="004418C8" w:rsidRDefault="001F1083" w:rsidP="004418C8">
      <w:pPr>
        <w:pStyle w:val="Caption"/>
      </w:pPr>
      <w:r w:rsidRPr="004418C8">
        <w:lastRenderedPageBreak/>
        <w:t>Table A-6.</w:t>
      </w:r>
      <w:fldSimple w:instr=" SEQ Table_A-6. \* ARABIC ">
        <w:r w:rsidRPr="004418C8">
          <w:t>11</w:t>
        </w:r>
      </w:fldSimple>
      <w:r w:rsidRPr="004418C8">
        <w:t xml:space="preserve"> Quality analysis of primary studies – Becker (1986)</w:t>
      </w:r>
    </w:p>
    <w:tbl>
      <w:tblPr>
        <w:tblStyle w:val="TableGrid2"/>
        <w:tblW w:w="5000" w:type="pct"/>
        <w:tblLook w:val="04A0" w:firstRow="1" w:lastRow="0" w:firstColumn="1" w:lastColumn="0" w:noHBand="0" w:noVBand="1"/>
        <w:tblCaption w:val="Table A-6.11"/>
        <w:tblDescription w:val="Quality analysis of primary studies – Becker (1986)"/>
      </w:tblPr>
      <w:tblGrid>
        <w:gridCol w:w="650"/>
        <w:gridCol w:w="653"/>
        <w:gridCol w:w="653"/>
        <w:gridCol w:w="653"/>
        <w:gridCol w:w="7019"/>
      </w:tblGrid>
      <w:tr w:rsidR="00A020C1" w:rsidRPr="00861194" w:rsidTr="00A020C1">
        <w:trPr>
          <w:cnfStyle w:val="100000000000" w:firstRow="1" w:lastRow="0" w:firstColumn="0" w:lastColumn="0" w:oddVBand="0" w:evenVBand="0" w:oddHBand="0" w:evenHBand="0" w:firstRowFirstColumn="0" w:firstRowLastColumn="0" w:lastRowFirstColumn="0" w:lastRowLastColumn="0"/>
          <w:tblHeader/>
        </w:trPr>
        <w:tc>
          <w:tcPr>
            <w:tcW w:w="338"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Y</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NR</w:t>
            </w:r>
          </w:p>
        </w:tc>
        <w:tc>
          <w:tcPr>
            <w:tcW w:w="339" w:type="pct"/>
            <w:tcBorders>
              <w:bottom w:val="single" w:sz="4" w:space="0" w:color="auto"/>
            </w:tcBorders>
          </w:tcPr>
          <w:p w:rsidR="00A020C1" w:rsidRPr="00861194" w:rsidRDefault="00A020C1" w:rsidP="008B6332">
            <w:pPr>
              <w:keepNext/>
              <w:spacing w:before="40" w:after="0"/>
              <w:jc w:val="center"/>
              <w:rPr>
                <w:rFonts w:cs="Times New Roman"/>
                <w:b/>
                <w:sz w:val="18"/>
              </w:rPr>
            </w:pPr>
            <w:r w:rsidRPr="00861194">
              <w:rPr>
                <w:rFonts w:cs="Times New Roman"/>
                <w:b/>
                <w:sz w:val="18"/>
              </w:rPr>
              <w:t>NA</w:t>
            </w:r>
          </w:p>
        </w:tc>
        <w:tc>
          <w:tcPr>
            <w:tcW w:w="3645" w:type="pct"/>
          </w:tcPr>
          <w:p w:rsidR="00A020C1" w:rsidRPr="00861194" w:rsidRDefault="00A020C1" w:rsidP="008B6332">
            <w:pPr>
              <w:keepNext/>
              <w:spacing w:before="40" w:after="0"/>
              <w:rPr>
                <w:rFonts w:cs="Times New Roman"/>
                <w:b/>
                <w:sz w:val="18"/>
              </w:rPr>
            </w:pPr>
            <w:r w:rsidRPr="00861194">
              <w:rPr>
                <w:rFonts w:cs="Times New Roman"/>
                <w:b/>
                <w:sz w:val="18"/>
              </w:rPr>
              <w:t>Study type: Randomised controlled trial</w:t>
            </w:r>
          </w:p>
        </w:tc>
      </w:tr>
      <w:tr w:rsidR="00A020C1" w:rsidRPr="00861194" w:rsidTr="00A020C1">
        <w:tc>
          <w:tcPr>
            <w:tcW w:w="338" w:type="pct"/>
            <w:tcBorders>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right w:val="nil"/>
            </w:tcBorders>
          </w:tcPr>
          <w:p w:rsidR="00A020C1" w:rsidRPr="00861194" w:rsidRDefault="00A020C1" w:rsidP="008B6332">
            <w:pPr>
              <w:autoSpaceDE w:val="0"/>
              <w:autoSpaceDN w:val="0"/>
              <w:adjustRightInd w:val="0"/>
              <w:spacing w:after="0"/>
              <w:rPr>
                <w:rFonts w:cs="Times New Roman"/>
                <w:b/>
                <w:sz w:val="18"/>
                <w:szCs w:val="18"/>
              </w:rPr>
            </w:pPr>
          </w:p>
        </w:tc>
        <w:tc>
          <w:tcPr>
            <w:tcW w:w="339" w:type="pct"/>
            <w:tcBorders>
              <w:left w:val="nil"/>
              <w:bottom w:val="nil"/>
            </w:tcBorders>
          </w:tcPr>
          <w:p w:rsidR="00A020C1" w:rsidRPr="00861194" w:rsidRDefault="00A020C1" w:rsidP="008B6332">
            <w:pPr>
              <w:autoSpaceDE w:val="0"/>
              <w:autoSpaceDN w:val="0"/>
              <w:adjustRightInd w:val="0"/>
              <w:spacing w:after="0"/>
              <w:rPr>
                <w:rFonts w:cs="Times New Roman"/>
                <w:b/>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sz w:val="18"/>
                <w:szCs w:val="18"/>
              </w:rPr>
              <w:t xml:space="preserve">Study ID: </w:t>
            </w:r>
            <w:r>
              <w:rPr>
                <w:rFonts w:cs="Times New Roman"/>
                <w:b/>
                <w:sz w:val="18"/>
                <w:szCs w:val="18"/>
              </w:rPr>
              <w:t>Becker (1986)</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top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right w:val="nil"/>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39" w:type="pct"/>
            <w:tcBorders>
              <w:top w:val="nil"/>
              <w:left w:val="nil"/>
              <w:bottom w:val="single" w:sz="4" w:space="0" w:color="auto"/>
            </w:tcBorders>
            <w:shd w:val="clear" w:color="auto" w:fill="auto"/>
          </w:tcPr>
          <w:p w:rsidR="00A020C1" w:rsidRPr="00861194" w:rsidRDefault="00A020C1" w:rsidP="008B6332">
            <w:pPr>
              <w:autoSpaceDE w:val="0"/>
              <w:autoSpaceDN w:val="0"/>
              <w:adjustRightInd w:val="0"/>
              <w:spacing w:after="0"/>
              <w:rPr>
                <w:rFonts w:cs="Times New Roman"/>
                <w:b/>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b/>
                <w:sz w:val="18"/>
                <w:szCs w:val="18"/>
              </w:rPr>
            </w:pPr>
            <w:r w:rsidRPr="00861194">
              <w:rPr>
                <w:rFonts w:cs="Times New Roman"/>
                <w:b/>
                <w:sz w:val="18"/>
                <w:szCs w:val="18"/>
              </w:rPr>
              <w:t>Quality criteria</w:t>
            </w:r>
          </w:p>
        </w:tc>
      </w:tr>
      <w:tr w:rsidR="00A020C1" w:rsidRPr="00861194" w:rsidTr="00A020C1">
        <w:tc>
          <w:tcPr>
            <w:tcW w:w="338" w:type="pct"/>
            <w:tcBorders>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righ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39" w:type="pct"/>
            <w:tcBorders>
              <w:left w:val="nil"/>
            </w:tcBorders>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A. Was assignment of subjects to treatment group randomised?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Height w:val="7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eastAsia="Wingdings-Regular"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use of randomisation reported?</w:t>
            </w:r>
          </w:p>
        </w:tc>
      </w:tr>
      <w:tr w:rsidR="00A020C1" w:rsidRPr="00861194" w:rsidTr="00A020C1">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randomisation appropriate?</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B. Was allocation to treatment groups concealed from those responsible for recruiting subjects?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a method of allocation concealment reported?</w:t>
            </w:r>
            <w:r>
              <w:rPr>
                <w:rFonts w:cs="Times New Roman"/>
                <w:sz w:val="18"/>
                <w:szCs w:val="18"/>
              </w:rPr>
              <w:t xml:space="preserve"> </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the method of allocation concealment adequate?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C. Was the study double-blinded?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subjects and investigators blinded to treatment arm?</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D. Were patient characteristics and demographics similar between treatment arms at baseline?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baseline patient characteristics and demographics reported?</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characteristics similar between treatment arms?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E. Were all randomised participants included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loss to follow-up appropriately accounted for in the analysis?</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F. Was outcome assessment likely to be subject to bias?</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all relevant outcomes measured in a standard, valid, and reliable way?</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Was outcome assessment blinded to treatment allocation?</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outcome assessment was not blinded, were outcomes objective and unlikely to be influenced by blinding of assessment?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G. Were the statistical methods appropriate?</w:t>
            </w:r>
          </w:p>
        </w:tc>
      </w:tr>
      <w:tr w:rsidR="00A020C1" w:rsidRPr="00861194" w:rsidTr="00A020C1">
        <w:tc>
          <w:tcPr>
            <w:tcW w:w="338" w:type="pct"/>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the methods used for comparing results between treatment arms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If the study was carried out at more than one site, are the results comparable for all sites?</w:t>
            </w:r>
          </w:p>
        </w:tc>
      </w:tr>
      <w:tr w:rsidR="00A020C1" w:rsidRPr="00861194" w:rsidTr="00A020C1">
        <w:tc>
          <w:tcPr>
            <w:tcW w:w="338" w:type="pct"/>
            <w:tcBorders>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righ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left w:val="nil"/>
            </w:tcBorders>
            <w:shd w:val="clear" w:color="auto" w:fill="BFBFBF" w:themeFill="background1" w:themeFillShade="BF"/>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645" w:type="pct"/>
            <w:shd w:val="clear" w:color="auto" w:fill="BFBFBF" w:themeFill="background1" w:themeFillShade="BF"/>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H. If appropriate, were any subgroup analyses carried out?</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shd w:val="clear" w:color="auto" w:fill="auto"/>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shd w:val="clear" w:color="auto" w:fill="auto"/>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reported?</w:t>
            </w:r>
          </w:p>
        </w:tc>
      </w:tr>
      <w:tr w:rsidR="00A020C1" w:rsidRPr="00861194" w:rsidTr="00A020C1">
        <w:tc>
          <w:tcPr>
            <w:tcW w:w="338"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p>
        </w:tc>
        <w:tc>
          <w:tcPr>
            <w:tcW w:w="339" w:type="pct"/>
            <w:tcBorders>
              <w:bottom w:val="single" w:sz="4" w:space="0" w:color="auto"/>
            </w:tcBorders>
            <w:vAlign w:val="center"/>
          </w:tcPr>
          <w:p w:rsidR="00A020C1" w:rsidRPr="00861194" w:rsidRDefault="00A020C1" w:rsidP="008B6332">
            <w:pPr>
              <w:autoSpaceDE w:val="0"/>
              <w:autoSpaceDN w:val="0"/>
              <w:adjustRightInd w:val="0"/>
              <w:spacing w:after="0"/>
              <w:jc w:val="center"/>
              <w:rPr>
                <w:rFonts w:cs="Times New Roman"/>
                <w:sz w:val="18"/>
                <w:szCs w:val="18"/>
              </w:rPr>
            </w:pPr>
            <w:r w:rsidRPr="00861194">
              <w:rPr>
                <w:rFonts w:eastAsia="Wingdings-Regular" w:cs="Times New Roman"/>
                <w:sz w:val="18"/>
                <w:szCs w:val="18"/>
              </w:rPr>
              <w:sym w:font="Wingdings 2" w:char="F050"/>
            </w: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Were subgroup analyses appropriate?</w:t>
            </w:r>
          </w:p>
        </w:tc>
      </w:tr>
      <w:tr w:rsidR="00A020C1" w:rsidRPr="00861194" w:rsidTr="00A020C1">
        <w:trPr>
          <w:cnfStyle w:val="000000010000" w:firstRow="0" w:lastRow="0" w:firstColumn="0" w:lastColumn="0" w:oddVBand="0" w:evenVBand="0" w:oddHBand="0" w:evenHBand="1" w:firstRowFirstColumn="0" w:firstRowLastColumn="0" w:lastRowFirstColumn="0" w:lastRowLastColumn="0"/>
        </w:trPr>
        <w:tc>
          <w:tcPr>
            <w:tcW w:w="338" w:type="pct"/>
            <w:tcBorders>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right w:val="nil"/>
            </w:tcBorders>
            <w:shd w:val="clear" w:color="auto" w:fill="auto"/>
          </w:tcPr>
          <w:p w:rsidR="00A020C1" w:rsidRPr="00861194" w:rsidRDefault="00A020C1" w:rsidP="008B6332">
            <w:pPr>
              <w:spacing w:before="20" w:after="0"/>
              <w:rPr>
                <w:rFonts w:cs="Times New Roman"/>
                <w:sz w:val="18"/>
              </w:rPr>
            </w:pPr>
          </w:p>
        </w:tc>
        <w:tc>
          <w:tcPr>
            <w:tcW w:w="339" w:type="pct"/>
            <w:tcBorders>
              <w:left w:val="nil"/>
              <w:bottom w:val="nil"/>
            </w:tcBorders>
            <w:shd w:val="clear" w:color="auto" w:fill="auto"/>
          </w:tcPr>
          <w:p w:rsidR="00A020C1" w:rsidRPr="00861194" w:rsidRDefault="00A020C1" w:rsidP="008B6332">
            <w:pPr>
              <w:spacing w:before="20" w:after="0"/>
              <w:rPr>
                <w:rFonts w:cs="Times New Roman"/>
                <w:sz w:val="18"/>
              </w:rPr>
            </w:pPr>
          </w:p>
        </w:tc>
        <w:tc>
          <w:tcPr>
            <w:tcW w:w="3645" w:type="pct"/>
            <w:shd w:val="clear" w:color="auto" w:fill="auto"/>
          </w:tcPr>
          <w:p w:rsidR="00A020C1" w:rsidRPr="00861194" w:rsidRDefault="00A020C1" w:rsidP="008B6332">
            <w:pPr>
              <w:spacing w:before="20" w:after="0"/>
              <w:rPr>
                <w:rFonts w:cs="Times New Roman"/>
                <w:sz w:val="18"/>
              </w:rPr>
            </w:pPr>
            <w:r w:rsidRPr="008C5110">
              <w:rPr>
                <w:rFonts w:cs="Times New Roman"/>
                <w:sz w:val="18"/>
              </w:rPr>
              <w:t xml:space="preserve">Comments: </w:t>
            </w:r>
            <w:r w:rsidRPr="008B6332">
              <w:rPr>
                <w:rFonts w:cs="Times New Roman"/>
                <w:sz w:val="18"/>
              </w:rPr>
              <w:t xml:space="preserve">The method of randomisation was not described clearly. Allocation concealment was not described. It was unclear if patients were blinded to the intervention. </w:t>
            </w:r>
            <w:r>
              <w:rPr>
                <w:rFonts w:cs="Times New Roman"/>
                <w:sz w:val="18"/>
              </w:rPr>
              <w:t xml:space="preserve">Dropout rate was 9% overall. </w:t>
            </w:r>
            <w:r w:rsidRPr="008B6332">
              <w:rPr>
                <w:rFonts w:cs="Times New Roman"/>
                <w:sz w:val="18"/>
              </w:rPr>
              <w:t>Although reasons for drop out are stated, final analysis was carried out only on those participants that completed the trial</w:t>
            </w:r>
            <w:r>
              <w:rPr>
                <w:rFonts w:cs="Times New Roman"/>
                <w:sz w:val="18"/>
              </w:rPr>
              <w:t>.</w:t>
            </w:r>
            <w:r>
              <w:t xml:space="preserve"> </w:t>
            </w:r>
            <w:r w:rsidRPr="008B6332">
              <w:rPr>
                <w:rFonts w:cs="Times New Roman"/>
                <w:sz w:val="18"/>
              </w:rPr>
              <w:t>No b</w:t>
            </w:r>
            <w:r>
              <w:rPr>
                <w:rFonts w:cs="Times New Roman"/>
                <w:sz w:val="18"/>
              </w:rPr>
              <w:t>aseline assessment of adherence.</w:t>
            </w:r>
          </w:p>
        </w:tc>
      </w:tr>
      <w:tr w:rsidR="00A020C1" w:rsidRPr="00861194" w:rsidTr="00A020C1">
        <w:tc>
          <w:tcPr>
            <w:tcW w:w="338" w:type="pct"/>
            <w:tcBorders>
              <w:top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right w:val="nil"/>
            </w:tcBorders>
          </w:tcPr>
          <w:p w:rsidR="00A020C1" w:rsidRPr="00861194" w:rsidRDefault="00A020C1" w:rsidP="008B6332">
            <w:pPr>
              <w:autoSpaceDE w:val="0"/>
              <w:autoSpaceDN w:val="0"/>
              <w:adjustRightInd w:val="0"/>
              <w:spacing w:after="0"/>
              <w:rPr>
                <w:rFonts w:cs="Times New Roman"/>
                <w:sz w:val="18"/>
                <w:szCs w:val="18"/>
              </w:rPr>
            </w:pPr>
          </w:p>
        </w:tc>
        <w:tc>
          <w:tcPr>
            <w:tcW w:w="339" w:type="pct"/>
            <w:tcBorders>
              <w:top w:val="nil"/>
              <w:left w:val="nil"/>
            </w:tcBorders>
          </w:tcPr>
          <w:p w:rsidR="00A020C1" w:rsidRPr="00861194" w:rsidRDefault="00A020C1" w:rsidP="008B6332">
            <w:pPr>
              <w:autoSpaceDE w:val="0"/>
              <w:autoSpaceDN w:val="0"/>
              <w:adjustRightInd w:val="0"/>
              <w:spacing w:after="0"/>
              <w:rPr>
                <w:rFonts w:cs="Times New Roman"/>
                <w:sz w:val="18"/>
                <w:szCs w:val="18"/>
              </w:rPr>
            </w:pPr>
          </w:p>
        </w:tc>
        <w:tc>
          <w:tcPr>
            <w:tcW w:w="3645" w:type="pct"/>
          </w:tcPr>
          <w:p w:rsidR="00A020C1" w:rsidRPr="00861194" w:rsidRDefault="00A020C1" w:rsidP="008B6332">
            <w:pPr>
              <w:autoSpaceDE w:val="0"/>
              <w:autoSpaceDN w:val="0"/>
              <w:adjustRightInd w:val="0"/>
              <w:spacing w:after="0"/>
              <w:rPr>
                <w:rFonts w:cs="Times New Roman"/>
                <w:sz w:val="18"/>
                <w:szCs w:val="18"/>
              </w:rPr>
            </w:pPr>
            <w:r w:rsidRPr="00861194">
              <w:rPr>
                <w:rFonts w:cs="Times New Roman"/>
                <w:sz w:val="18"/>
                <w:szCs w:val="18"/>
              </w:rPr>
              <w:t>Quality rating [Good/Fair/Poor]:</w:t>
            </w:r>
          </w:p>
          <w:p w:rsidR="00A020C1" w:rsidRPr="00861194" w:rsidRDefault="00A020C1" w:rsidP="008B6332">
            <w:pPr>
              <w:autoSpaceDE w:val="0"/>
              <w:autoSpaceDN w:val="0"/>
              <w:adjustRightInd w:val="0"/>
              <w:spacing w:after="0"/>
              <w:rPr>
                <w:rFonts w:cs="Times New Roman"/>
                <w:sz w:val="18"/>
                <w:szCs w:val="18"/>
              </w:rPr>
            </w:pPr>
            <w:r>
              <w:rPr>
                <w:rFonts w:cs="Times New Roman"/>
                <w:sz w:val="18"/>
                <w:szCs w:val="18"/>
              </w:rPr>
              <w:t>Poor</w:t>
            </w:r>
          </w:p>
        </w:tc>
      </w:tr>
    </w:tbl>
    <w:p w:rsidR="00850A68" w:rsidRPr="008B6114" w:rsidRDefault="00850A68" w:rsidP="00850A68">
      <w:pPr>
        <w:pStyle w:val="08Tablefootnotes"/>
      </w:pPr>
      <w:r w:rsidRPr="008B6114">
        <w:t>Note: Quality criteria adapted from NHMRC (2000) How to use the evidence: assessment and application of scientific evidence. NHMRC, Canberra.</w:t>
      </w:r>
    </w:p>
    <w:p w:rsidR="00BF16D8" w:rsidRPr="00BF16D8" w:rsidRDefault="00850A68" w:rsidP="00A020C1">
      <w:pPr>
        <w:pStyle w:val="08Tablefootnotes"/>
      </w:pPr>
      <w:r w:rsidRPr="008B6114">
        <w:t>Assess criterion using Y (yes), N (no), NR (not reported) or NA (not applicable).</w:t>
      </w:r>
    </w:p>
    <w:sectPr w:rsidR="00BF16D8" w:rsidRPr="00BF16D8" w:rsidSect="00E6729C">
      <w:footerReference w:type="default" r:id="rId42"/>
      <w:pgSz w:w="11906" w:h="16838" w:code="9"/>
      <w:pgMar w:top="1134" w:right="1134" w:bottom="1134" w:left="1134"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020" w:rsidRDefault="00401020" w:rsidP="00C5297B">
      <w:pPr>
        <w:spacing w:after="0"/>
      </w:pPr>
      <w:r>
        <w:separator/>
      </w:r>
    </w:p>
  </w:endnote>
  <w:endnote w:type="continuationSeparator" w:id="0">
    <w:p w:rsidR="00401020" w:rsidRDefault="00401020" w:rsidP="00C52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haroni">
    <w:charset w:val="B1"/>
    <w:family w:val="auto"/>
    <w:pitch w:val="variable"/>
    <w:sig w:usb0="00000803" w:usb1="00000000" w:usb2="00000000" w:usb3="00000000" w:csb0="0000002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14570"/>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40</w:t>
    </w:r>
    <w:r w:rsidRPr="00E43606">
      <w:rPr>
        <w:rStyle w:val="PageNumber"/>
      </w:rPr>
      <w:fldChar w:fldCharType="end"/>
    </w:r>
  </w:p>
  <w:p w:rsidR="00401020" w:rsidRPr="001D5C19" w:rsidRDefault="00401020" w:rsidP="002B29BB">
    <w:pPr>
      <w:pStyle w:val="Footerforportraitorientation"/>
    </w:pPr>
    <w:r>
      <w:t>Evaluation of 6CPA PPI Program: Dose Administration Aids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14570"/>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42</w:t>
    </w:r>
    <w:r w:rsidRPr="00E43606">
      <w:rPr>
        <w:rStyle w:val="PageNumber"/>
      </w:rPr>
      <w:fldChar w:fldCharType="end"/>
    </w:r>
  </w:p>
  <w:p w:rsidR="00401020" w:rsidRPr="001D5C19" w:rsidRDefault="00401020" w:rsidP="002B29BB">
    <w:pPr>
      <w:pStyle w:val="Footerforportraitorientation"/>
    </w:pPr>
    <w:r>
      <w:t>Evaluation of 6CPA PPI Program: Dose Administration Aids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2042E">
    <w:pPr>
      <w:pStyle w:val="Footerforportraitorientation"/>
      <w:tabs>
        <w:tab w:val="clear" w:pos="9072"/>
        <w:tab w:val="right" w:pos="9638"/>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50</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51</w:t>
    </w:r>
    <w:r w:rsidRPr="00E43606">
      <w:rPr>
        <w:rStyle w:val="PageNumber"/>
      </w:rPr>
      <w:fldChar w:fldCharType="end"/>
    </w:r>
  </w:p>
  <w:p w:rsidR="00401020" w:rsidRPr="00CB3B86" w:rsidRDefault="00401020" w:rsidP="00CB3B86">
    <w:pPr>
      <w:pStyle w:val="Footerforportraitorientation"/>
    </w:pPr>
    <w:r>
      <w:rPr>
        <w:rStyle w:val="PageNumber"/>
      </w:rPr>
      <w:t>Evaluation of 6CPA PPI Program: Dose Administration Aids</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tabs>
        <w:tab w:val="clear" w:pos="9072"/>
        <w:tab w:val="right" w:pos="14003"/>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52</w:t>
    </w:r>
    <w:r w:rsidRPr="00E43606">
      <w:rPr>
        <w:rStyle w:val="PageNumber"/>
      </w:rPr>
      <w:fldChar w:fldCharType="end"/>
    </w:r>
  </w:p>
  <w:p w:rsidR="00401020" w:rsidRPr="00CB3B86" w:rsidRDefault="00401020" w:rsidP="00CB3B86">
    <w:pPr>
      <w:pStyle w:val="Footerforportraitorientation"/>
    </w:pPr>
    <w:r>
      <w:rPr>
        <w:rStyle w:val="PageNumber"/>
      </w:rPr>
      <w:t>Evaluation of 6CPA PPI Program: Dose Administration Aids</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62</w:t>
    </w:r>
    <w:r w:rsidRPr="00E43606">
      <w:rPr>
        <w:rStyle w:val="PageNumber"/>
      </w:rPr>
      <w:fldChar w:fldCharType="end"/>
    </w:r>
  </w:p>
  <w:p w:rsidR="00401020" w:rsidRPr="00CB3B86" w:rsidRDefault="00401020" w:rsidP="00CB3B86">
    <w:pPr>
      <w:pStyle w:val="Footerforportraitorientation"/>
    </w:pPr>
    <w:r>
      <w:rPr>
        <w:rStyle w:val="PageNumber"/>
      </w:rPr>
      <w:t>Evaluation of 6CPA PPI Program: Dose Administration Aids</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63</w:t>
    </w:r>
    <w:r w:rsidRPr="00E43606">
      <w:rPr>
        <w:rStyle w:val="PageNumber"/>
      </w:rPr>
      <w:fldChar w:fldCharType="end"/>
    </w:r>
  </w:p>
  <w:p w:rsidR="00401020" w:rsidRPr="00CB3B86" w:rsidRDefault="00401020" w:rsidP="00CB3B86">
    <w:pPr>
      <w:pStyle w:val="Footerforportraitorientation"/>
    </w:pPr>
    <w:r>
      <w:rPr>
        <w:rStyle w:val="PageNumber"/>
      </w:rPr>
      <w:t>Evaluation of 6CPA PPI Program: Dose Administration Aids</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69</w:t>
    </w:r>
    <w:r w:rsidRPr="00E43606">
      <w:rPr>
        <w:rStyle w:val="PageNumber"/>
      </w:rPr>
      <w:fldChar w:fldCharType="end"/>
    </w:r>
  </w:p>
  <w:p w:rsidR="00401020" w:rsidRPr="00CB3B86" w:rsidRDefault="00401020" w:rsidP="00CB3B86">
    <w:pPr>
      <w:pStyle w:val="Footerforportraitorientation"/>
    </w:pPr>
    <w:r>
      <w:rPr>
        <w:rStyle w:val="PageNumber"/>
      </w:rPr>
      <w:t>Evaluation of 6CPA PPI Program: Dose Administration Aids</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72</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14570"/>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74</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Pr="001D5C19" w:rsidRDefault="00401020" w:rsidP="001D5C19">
    <w:pPr>
      <w:pBdr>
        <w:top w:val="single" w:sz="6" w:space="3" w:color="auto"/>
      </w:pBdr>
      <w:tabs>
        <w:tab w:val="left" w:pos="8460"/>
        <w:tab w:val="right" w:pos="13860"/>
      </w:tabs>
      <w:rPr>
        <w:b/>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3C51A5">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76</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tabs>
        <w:tab w:val="clear" w:pos="9072"/>
        <w:tab w:val="right" w:pos="14003"/>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77</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9638"/>
      </w:tabs>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86</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Pr="0075518E" w:rsidRDefault="00401020" w:rsidP="00257216">
    <w:pPr>
      <w:pStyle w:val="Footerforportraitorientation"/>
      <w:tabs>
        <w:tab w:val="clear" w:pos="9072"/>
        <w:tab w:val="right" w:pos="9638"/>
      </w:tabs>
      <w:spacing w:after="0"/>
      <w:rPr>
        <w:rStyle w:val="PageNumber"/>
      </w:rPr>
    </w:pPr>
    <w:r w:rsidRPr="0075518E">
      <w:t>Department of Health</w:t>
    </w:r>
    <w:r w:rsidRPr="0075518E">
      <w:tab/>
      <w:t xml:space="preserve">Page </w:t>
    </w:r>
    <w:r w:rsidRPr="0075518E">
      <w:rPr>
        <w:rStyle w:val="PageNumber"/>
      </w:rPr>
      <w:fldChar w:fldCharType="begin"/>
    </w:r>
    <w:r w:rsidRPr="0075518E">
      <w:rPr>
        <w:rStyle w:val="PageNumber"/>
      </w:rPr>
      <w:instrText xml:space="preserve"> PAGE </w:instrText>
    </w:r>
    <w:r w:rsidRPr="0075518E">
      <w:rPr>
        <w:rStyle w:val="PageNumber"/>
      </w:rPr>
      <w:fldChar w:fldCharType="separate"/>
    </w:r>
    <w:r w:rsidR="00633747">
      <w:rPr>
        <w:rStyle w:val="PageNumber"/>
        <w:noProof/>
      </w:rPr>
      <w:t>ii</w:t>
    </w:r>
    <w:r w:rsidRPr="0075518E">
      <w:rPr>
        <w:rStyle w:val="PageNumber"/>
      </w:rPr>
      <w:fldChar w:fldCharType="end"/>
    </w:r>
  </w:p>
  <w:p w:rsidR="00401020" w:rsidRPr="0075518E" w:rsidRDefault="00401020" w:rsidP="002B29BB">
    <w:pPr>
      <w:pStyle w:val="Footerforportraitorientation"/>
    </w:pPr>
    <w:r w:rsidRPr="0075518E">
      <w:t>Evaluation of 6CPA PPI Program: Dose Administration Aids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982A19">
    <w:pPr>
      <w:pStyle w:val="Footerforportraitorientation"/>
      <w:tabs>
        <w:tab w:val="clear" w:pos="9072"/>
        <w:tab w:val="right" w:pos="9638"/>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1</w:t>
    </w:r>
    <w:r w:rsidRPr="00E43606">
      <w:rPr>
        <w:rStyle w:val="PageNumber"/>
      </w:rPr>
      <w:fldChar w:fldCharType="end"/>
    </w:r>
  </w:p>
  <w:p w:rsidR="00401020" w:rsidRPr="001D5C19" w:rsidRDefault="00401020" w:rsidP="002B29BB">
    <w:pPr>
      <w:pStyle w:val="Footerforportraitorientation"/>
    </w:pPr>
    <w:r>
      <w:t>Evaluation of 6CPA PPI Program: Dose Administration Aids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0A1AFA">
    <w:pPr>
      <w:pStyle w:val="Footerforportraitorientation"/>
      <w:spacing w:after="0"/>
      <w:rPr>
        <w:rStyle w:val="PageNumber"/>
      </w:rPr>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9</w:t>
    </w:r>
    <w:r w:rsidRPr="00E43606">
      <w:rPr>
        <w:rStyle w:val="PageNumber"/>
      </w:rPr>
      <w:fldChar w:fldCharType="end"/>
    </w:r>
  </w:p>
  <w:p w:rsidR="00401020" w:rsidRPr="001D5C19" w:rsidRDefault="00401020" w:rsidP="002B29BB">
    <w:pPr>
      <w:pStyle w:val="Footerforportraitorientation"/>
    </w:pPr>
    <w:r>
      <w:rPr>
        <w:rStyle w:val="PageNumber"/>
      </w:rPr>
      <w:t>Evaluation of 6CPA PPI Program: Dose Administration Aids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9638"/>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15</w:t>
    </w:r>
    <w:r w:rsidRPr="00E43606">
      <w:rPr>
        <w:rStyle w:val="PageNumber"/>
      </w:rPr>
      <w:fldChar w:fldCharType="end"/>
    </w:r>
  </w:p>
  <w:p w:rsidR="00401020" w:rsidRPr="001D5C19" w:rsidRDefault="00401020" w:rsidP="002B29BB">
    <w:pPr>
      <w:pStyle w:val="Footerforportraitorientation"/>
    </w:pPr>
    <w:r>
      <w:t>Evaluation of 6CPA PPI Program: Dose Administration Aids</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CB3B86">
    <w:pPr>
      <w:pStyle w:val="Footerforportraitorientation"/>
      <w:tabs>
        <w:tab w:val="clear" w:pos="9072"/>
        <w:tab w:val="right" w:pos="14003"/>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34</w:t>
    </w:r>
    <w:r w:rsidRPr="00E43606">
      <w:rPr>
        <w:rStyle w:val="PageNumber"/>
      </w:rPr>
      <w:fldChar w:fldCharType="end"/>
    </w:r>
  </w:p>
  <w:p w:rsidR="00401020" w:rsidRPr="001D5C19" w:rsidRDefault="00401020" w:rsidP="002B29BB">
    <w:pPr>
      <w:pStyle w:val="Footerforportraitorientation"/>
    </w:pPr>
    <w:r>
      <w:t>Evaluation of 6CPA PPI Program: Dose Administration Aids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rsidP="00E6729C">
    <w:pPr>
      <w:pStyle w:val="Footerforportraitorientation"/>
      <w:tabs>
        <w:tab w:val="clear" w:pos="9072"/>
        <w:tab w:val="right" w:pos="9638"/>
      </w:tabs>
      <w:spacing w:after="0"/>
    </w:pPr>
    <w:r>
      <w:t>Department of Health</w:t>
    </w:r>
    <w:r>
      <w:tab/>
    </w:r>
    <w:r w:rsidRPr="00E43606">
      <w:t xml:space="preserve">Page </w:t>
    </w:r>
    <w:r w:rsidRPr="00E43606">
      <w:rPr>
        <w:rStyle w:val="PageNumber"/>
      </w:rPr>
      <w:fldChar w:fldCharType="begin"/>
    </w:r>
    <w:r w:rsidRPr="00E43606">
      <w:rPr>
        <w:rStyle w:val="PageNumber"/>
      </w:rPr>
      <w:instrText xml:space="preserve"> PAGE </w:instrText>
    </w:r>
    <w:r w:rsidRPr="00E43606">
      <w:rPr>
        <w:rStyle w:val="PageNumber"/>
      </w:rPr>
      <w:fldChar w:fldCharType="separate"/>
    </w:r>
    <w:r w:rsidR="00633747">
      <w:rPr>
        <w:rStyle w:val="PageNumber"/>
        <w:noProof/>
      </w:rPr>
      <w:t>38</w:t>
    </w:r>
    <w:r w:rsidRPr="00E43606">
      <w:rPr>
        <w:rStyle w:val="PageNumber"/>
      </w:rPr>
      <w:fldChar w:fldCharType="end"/>
    </w:r>
  </w:p>
  <w:p w:rsidR="00401020" w:rsidRPr="001D5C19" w:rsidRDefault="00401020" w:rsidP="002B29BB">
    <w:pPr>
      <w:pStyle w:val="Footerforportraitorientation"/>
    </w:pPr>
    <w:r>
      <w:t>Evaluation of 6CPA PPI Program: Dose Administration Aids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020" w:rsidRDefault="00401020" w:rsidP="00C5297B">
      <w:pPr>
        <w:spacing w:after="0"/>
      </w:pPr>
      <w:r>
        <w:separator/>
      </w:r>
    </w:p>
  </w:footnote>
  <w:footnote w:type="continuationSeparator" w:id="0">
    <w:p w:rsidR="00401020" w:rsidRDefault="00401020" w:rsidP="00C5297B">
      <w:pPr>
        <w:spacing w:after="0"/>
      </w:pPr>
      <w:r>
        <w:continuationSeparator/>
      </w:r>
    </w:p>
  </w:footnote>
  <w:footnote w:id="1">
    <w:p w:rsidR="00401020" w:rsidRDefault="00401020" w:rsidP="00AC3A3D">
      <w:pPr>
        <w:pStyle w:val="FootnoteText"/>
      </w:pPr>
      <w:r>
        <w:rPr>
          <w:rStyle w:val="FootnoteReference"/>
        </w:rPr>
        <w:footnoteRef/>
      </w:r>
      <w:r>
        <w:t xml:space="preserve"> </w:t>
      </w:r>
      <w:r w:rsidRPr="00C4160F">
        <w:t>Pharmacy Guild of Australia. Professional Pharmacy Services: Dose Administration Aids. Accessed 19 July 2016. Available from: http://www.guild.org.au/pps/content.asp?id=1425</w:t>
      </w:r>
    </w:p>
  </w:footnote>
  <w:footnote w:id="2">
    <w:p w:rsidR="00401020" w:rsidRDefault="00401020">
      <w:pPr>
        <w:pStyle w:val="FootnoteText"/>
      </w:pPr>
      <w:r>
        <w:rPr>
          <w:rStyle w:val="FootnoteReference"/>
        </w:rPr>
        <w:footnoteRef/>
      </w:r>
      <w:r>
        <w:t xml:space="preserve"> Available at </w:t>
      </w:r>
      <w:r w:rsidRPr="00AE66D1">
        <w:t>http://www.psa.org.au/downloads/community-pharmacy-agreements/dose-administration-aids/dose-administration-service-guidelines.pdf</w:t>
      </w:r>
    </w:p>
  </w:footnote>
  <w:footnote w:id="3">
    <w:p w:rsidR="00401020" w:rsidRDefault="00401020">
      <w:pPr>
        <w:pStyle w:val="FootnoteText"/>
      </w:pPr>
      <w:r>
        <w:rPr>
          <w:rStyle w:val="FootnoteReference"/>
        </w:rPr>
        <w:footnoteRef/>
      </w:r>
      <w:r>
        <w:t xml:space="preserve"> </w:t>
      </w:r>
      <w:r w:rsidRPr="00A5471D">
        <w:rPr>
          <w:rFonts w:eastAsia="Calibri" w:cs="Times New Roman"/>
          <w:szCs w:val="16"/>
          <w:lang w:eastAsia="en-AU"/>
        </w:rPr>
        <w:t xml:space="preserve">Agency for Healthcare Research and Quality (AHRQ) at </w:t>
      </w:r>
      <w:hyperlink r:id="rId1" w:tooltip="This link goes to the Agency for Healthcare Research and Quality website" w:history="1">
        <w:r w:rsidRPr="00A5471D">
          <w:rPr>
            <w:rFonts w:eastAsia="Calibri" w:cs="Times New Roman"/>
            <w:color w:val="0563C1"/>
            <w:szCs w:val="16"/>
            <w:u w:val="single"/>
            <w:lang w:eastAsia="en-AU"/>
          </w:rPr>
          <w:t>AHRQ</w:t>
        </w:r>
      </w:hyperlink>
      <w:r w:rsidRPr="00A5471D">
        <w:rPr>
          <w:rFonts w:eastAsia="Calibri" w:cs="Times New Roman"/>
          <w:szCs w:val="16"/>
          <w:lang w:eastAsia="en-AU"/>
        </w:rPr>
        <w:t xml:space="preserve">; Canadian Agency for Drugs and Technologies in Health (CADTH) at </w:t>
      </w:r>
      <w:hyperlink r:id="rId2" w:tooltip="This link goes to the Canadian Agency for Drugs and Technologies in Health website" w:history="1">
        <w:r w:rsidRPr="00A5471D">
          <w:rPr>
            <w:rFonts w:eastAsia="Calibri" w:cs="Times New Roman"/>
            <w:color w:val="0563C1"/>
            <w:szCs w:val="16"/>
            <w:u w:val="single"/>
            <w:lang w:eastAsia="en-AU"/>
          </w:rPr>
          <w:t>CADTH Reports</w:t>
        </w:r>
      </w:hyperlink>
      <w:r w:rsidRPr="00A5471D">
        <w:rPr>
          <w:rFonts w:eastAsia="Calibri" w:cs="Times New Roman"/>
          <w:szCs w:val="16"/>
          <w:lang w:eastAsia="en-AU"/>
        </w:rPr>
        <w:t xml:space="preserve">; National Institute for Health and Care Excellence (NICE) at </w:t>
      </w:r>
      <w:hyperlink r:id="rId3" w:tooltip="This link goes to the National Institute for Health and Care Excellence website" w:history="1">
        <w:r w:rsidRPr="00A5471D">
          <w:rPr>
            <w:rFonts w:eastAsia="Calibri" w:cs="Times New Roman"/>
            <w:color w:val="0563C1"/>
            <w:szCs w:val="16"/>
            <w:u w:val="single"/>
            <w:lang w:eastAsia="en-AU"/>
          </w:rPr>
          <w:t>NICE, UK</w:t>
        </w:r>
      </w:hyperlink>
    </w:p>
  </w:footnote>
  <w:footnote w:id="4">
    <w:p w:rsidR="00401020" w:rsidRPr="00721C30" w:rsidRDefault="00401020">
      <w:pPr>
        <w:pStyle w:val="FootnoteText"/>
        <w:rPr>
          <w:rFonts w:eastAsia="Calibri" w:cs="Times New Roman"/>
          <w:szCs w:val="16"/>
          <w:lang w:eastAsia="en-AU"/>
        </w:rPr>
      </w:pPr>
      <w:r>
        <w:rPr>
          <w:rStyle w:val="FootnoteReference"/>
        </w:rPr>
        <w:footnoteRef/>
      </w:r>
      <w:r>
        <w:t xml:space="preserve"> </w:t>
      </w:r>
      <w:r w:rsidRPr="00721C30">
        <w:rPr>
          <w:rFonts w:eastAsia="Calibri" w:cs="Times New Roman"/>
          <w:szCs w:val="16"/>
          <w:lang w:eastAsia="en-AU"/>
        </w:rPr>
        <w:t>Including Pharmacy Guild of Australia; Pharmaceutical Society of Australia; and Australian Association of Consultant Pharmacy</w:t>
      </w:r>
      <w:r w:rsidRPr="00A5471D">
        <w:rPr>
          <w:rFonts w:eastAsia="Calibri" w:cs="Times New Roman"/>
          <w:szCs w:val="16"/>
          <w:lang w:eastAsia="en-AU"/>
        </w:rPr>
        <w:t>.</w:t>
      </w:r>
    </w:p>
  </w:footnote>
  <w:footnote w:id="5">
    <w:p w:rsidR="00401020" w:rsidRDefault="00401020" w:rsidP="00710339">
      <w:pPr>
        <w:pStyle w:val="FootnoteText"/>
      </w:pPr>
      <w:r>
        <w:rPr>
          <w:rStyle w:val="FootnoteReference"/>
        </w:rPr>
        <w:footnoteRef/>
      </w:r>
      <w:r>
        <w:t xml:space="preserve"> Automated dispensing devices are drug storage devices that electronically dispense medications in a controlled fashion based on an in-built alarm system and track medication use. These devices are considerably more expensive than a blister pack, and require more technical assistance, and thus may not be widely used in the patient population. A systematic review by Sinnemaki et al (2013) indicated that automated dispensing devices are more commonly used in nursing home settings</w:t>
      </w:r>
      <w:r w:rsidRPr="00D85886">
        <w:t>.</w:t>
      </w:r>
    </w:p>
  </w:footnote>
  <w:footnote w:id="6">
    <w:p w:rsidR="00401020" w:rsidRDefault="00401020" w:rsidP="00BF6408">
      <w:pPr>
        <w:pStyle w:val="FootnoteText"/>
      </w:pPr>
      <w:r>
        <w:rPr>
          <w:rStyle w:val="FootnoteReference"/>
        </w:rPr>
        <w:footnoteRef/>
      </w:r>
      <w:r>
        <w:t xml:space="preserve"> ABS postcode to remoteness.xls available from </w:t>
      </w:r>
      <w:r w:rsidRPr="00642134">
        <w:rPr>
          <w:color w:val="FF0000"/>
        </w:rPr>
        <w:t xml:space="preserve"> </w:t>
      </w:r>
      <w:hyperlink r:id="rId4"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footnote>
  <w:footnote w:id="7">
    <w:p w:rsidR="00401020" w:rsidRDefault="00401020" w:rsidP="00D04387">
      <w:pPr>
        <w:pStyle w:val="FootnoteText"/>
      </w:pPr>
      <w:r>
        <w:rPr>
          <w:rStyle w:val="FootnoteReference"/>
        </w:rPr>
        <w:footnoteRef/>
      </w:r>
      <w:r>
        <w:t xml:space="preserve"> None of the survey respondents were</w:t>
      </w:r>
      <w:r w:rsidRPr="00904572">
        <w:t xml:space="preserve"> particip</w:t>
      </w:r>
      <w:r>
        <w:t>ants in the SS and CI initiatives.</w:t>
      </w:r>
    </w:p>
  </w:footnote>
  <w:footnote w:id="8">
    <w:p w:rsidR="00401020" w:rsidRDefault="00401020" w:rsidP="00BF6408">
      <w:pPr>
        <w:pStyle w:val="FootnoteText"/>
      </w:pPr>
      <w:r>
        <w:rPr>
          <w:rStyle w:val="FootnoteReference"/>
        </w:rPr>
        <w:footnoteRef/>
      </w:r>
      <w:r>
        <w:t xml:space="preserve"> Pharmacies are counted according to unique S90 and /or Organisation Number identifiers.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Pr="00C5297B" w:rsidRDefault="00401020" w:rsidP="00C5297B">
    <w:pPr>
      <w:pBdr>
        <w:bottom w:val="single" w:sz="4" w:space="1" w:color="auto"/>
      </w:pBdr>
      <w:tabs>
        <w:tab w:val="right" w:pos="9072"/>
      </w:tabs>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Default="004010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20" w:rsidRPr="00C5297B" w:rsidRDefault="00401020" w:rsidP="00C5297B">
    <w:pPr>
      <w:pBdr>
        <w:bottom w:val="single" w:sz="4" w:space="1" w:color="auto"/>
      </w:pBdr>
      <w:tabs>
        <w:tab w:val="right" w:pos="9072"/>
      </w:tabs>
      <w:jc w:val="right"/>
      <w:rPr>
        <w:b/>
        <w:sz w:val="18"/>
        <w:szCs w:val="18"/>
      </w:rPr>
    </w:pPr>
    <w:r>
      <w:rPr>
        <w:b/>
        <w:sz w:val="18"/>
        <w:szCs w:val="18"/>
      </w:rPr>
      <w:t xml:space="preserve">November </w:t>
    </w:r>
    <w:r w:rsidRPr="00643B8B">
      <w:rPr>
        <w:b/>
        <w:sz w:val="18"/>
        <w:szCs w:val="18"/>
      </w:rPr>
      <w:t>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F883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980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04B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343B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AC7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322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F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81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7EA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44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276D"/>
    <w:multiLevelType w:val="hybridMultilevel"/>
    <w:tmpl w:val="53AC73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E71C1B"/>
    <w:multiLevelType w:val="hybridMultilevel"/>
    <w:tmpl w:val="618A7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A7477D"/>
    <w:multiLevelType w:val="hybridMultilevel"/>
    <w:tmpl w:val="8BBAE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7A6570"/>
    <w:multiLevelType w:val="hybridMultilevel"/>
    <w:tmpl w:val="42F4E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5F2F5D"/>
    <w:multiLevelType w:val="hybridMultilevel"/>
    <w:tmpl w:val="DA4AD2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204BE1"/>
    <w:multiLevelType w:val="multilevel"/>
    <w:tmpl w:val="67ACA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52DE4"/>
    <w:multiLevelType w:val="hybridMultilevel"/>
    <w:tmpl w:val="89C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907928"/>
    <w:multiLevelType w:val="hybridMultilevel"/>
    <w:tmpl w:val="8EBA1896"/>
    <w:lvl w:ilvl="0" w:tplc="9984D05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E06A69"/>
    <w:multiLevelType w:val="hybridMultilevel"/>
    <w:tmpl w:val="E56E6B5C"/>
    <w:lvl w:ilvl="0" w:tplc="43C68F0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12045FD"/>
    <w:multiLevelType w:val="hybridMultilevel"/>
    <w:tmpl w:val="3F504AF8"/>
    <w:lvl w:ilvl="0" w:tplc="0C090019">
      <w:start w:val="1"/>
      <w:numFmt w:val="lowerLetter"/>
      <w:lvlText w:val="%1."/>
      <w:lvlJc w:val="left"/>
      <w:pPr>
        <w:ind w:left="644"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3A73DCA"/>
    <w:multiLevelType w:val="hybridMultilevel"/>
    <w:tmpl w:val="7B4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E26DBA"/>
    <w:multiLevelType w:val="hybridMultilevel"/>
    <w:tmpl w:val="76925566"/>
    <w:lvl w:ilvl="0" w:tplc="B55403A6">
      <w:start w:val="1"/>
      <w:numFmt w:val="bullet"/>
      <w:pStyle w:val="06Table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3D4E1EE4"/>
    <w:multiLevelType w:val="hybridMultilevel"/>
    <w:tmpl w:val="A372EFF8"/>
    <w:lvl w:ilvl="0" w:tplc="D2DCCE9A">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350BE7"/>
    <w:multiLevelType w:val="hybridMultilevel"/>
    <w:tmpl w:val="3CF6256C"/>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476F4384"/>
    <w:multiLevelType w:val="hybridMultilevel"/>
    <w:tmpl w:val="17DCCA54"/>
    <w:lvl w:ilvl="0" w:tplc="04090001">
      <w:start w:val="1"/>
      <w:numFmt w:val="bullet"/>
      <w:lvlText w:val=""/>
      <w:lvlJc w:val="left"/>
      <w:pPr>
        <w:ind w:left="717" w:hanging="360"/>
      </w:pPr>
      <w:rPr>
        <w:rFonts w:ascii="Wingdings" w:hAnsi="Wingdings" w:hint="default"/>
        <w:sz w:val="16"/>
        <w:szCs w:val="16"/>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48F70287"/>
    <w:multiLevelType w:val="hybridMultilevel"/>
    <w:tmpl w:val="61A2DAB6"/>
    <w:lvl w:ilvl="0" w:tplc="AB1C00EA">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85349D"/>
    <w:multiLevelType w:val="hybridMultilevel"/>
    <w:tmpl w:val="B79A2E16"/>
    <w:lvl w:ilvl="0" w:tplc="5E6CC460">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EF5454"/>
    <w:multiLevelType w:val="hybridMultilevel"/>
    <w:tmpl w:val="C77691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8DF3C06"/>
    <w:multiLevelType w:val="hybridMultilevel"/>
    <w:tmpl w:val="33EEB0CE"/>
    <w:lvl w:ilvl="0" w:tplc="754A2E36">
      <w:start w:val="1"/>
      <w:numFmt w:val="bullet"/>
      <w:pStyle w:val="Table10pt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C35D1"/>
    <w:multiLevelType w:val="hybridMultilevel"/>
    <w:tmpl w:val="97D8A95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47048B"/>
    <w:multiLevelType w:val="hybridMultilevel"/>
    <w:tmpl w:val="043A6E92"/>
    <w:lvl w:ilvl="0" w:tplc="6F0C90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295A7B"/>
    <w:multiLevelType w:val="multilevel"/>
    <w:tmpl w:val="DF741BC6"/>
    <w:styleLink w:val="Headings"/>
    <w:lvl w:ilvl="0">
      <w:start w:val="1"/>
      <w:numFmt w:val="decimal"/>
      <w:pStyle w:val="Heading1"/>
      <w:lvlText w:val="%1"/>
      <w:lvlJc w:val="left"/>
      <w:pPr>
        <w:tabs>
          <w:tab w:val="num" w:pos="510"/>
        </w:tabs>
        <w:ind w:left="510" w:hanging="51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decimal"/>
      <w:lvlRestart w:val="0"/>
      <w:pStyle w:val="Heading7"/>
      <w:lvlText w:val="APPENDIX %7"/>
      <w:lvlJc w:val="left"/>
      <w:pPr>
        <w:tabs>
          <w:tab w:val="num" w:pos="1985"/>
        </w:tabs>
        <w:ind w:left="1985" w:hanging="1985"/>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decimal"/>
      <w:pStyle w:val="Heading9"/>
      <w:lvlText w:val="%7.%8.%9"/>
      <w:lvlJc w:val="left"/>
      <w:pPr>
        <w:tabs>
          <w:tab w:val="num" w:pos="680"/>
        </w:tabs>
        <w:ind w:left="680" w:hanging="680"/>
      </w:pPr>
      <w:rPr>
        <w:rFonts w:hint="default"/>
      </w:rPr>
    </w:lvl>
  </w:abstractNum>
  <w:abstractNum w:abstractNumId="32" w15:restartNumberingAfterBreak="0">
    <w:nsid w:val="726673AE"/>
    <w:multiLevelType w:val="hybridMultilevel"/>
    <w:tmpl w:val="6A34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6B38F3"/>
    <w:multiLevelType w:val="hybridMultilevel"/>
    <w:tmpl w:val="A340369C"/>
    <w:lvl w:ilvl="0" w:tplc="5816A3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03C1A"/>
    <w:multiLevelType w:val="hybridMultilevel"/>
    <w:tmpl w:val="6A804A64"/>
    <w:lvl w:ilvl="0" w:tplc="62BE763A">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7E4E2F"/>
    <w:multiLevelType w:val="hybridMultilevel"/>
    <w:tmpl w:val="4FB0A816"/>
    <w:lvl w:ilvl="0" w:tplc="CB447D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5"/>
  </w:num>
  <w:num w:numId="3">
    <w:abstractNumId w:val="27"/>
  </w:num>
  <w:num w:numId="4">
    <w:abstractNumId w:val="18"/>
  </w:num>
  <w:num w:numId="5">
    <w:abstractNumId w:val="24"/>
  </w:num>
  <w:num w:numId="6">
    <w:abstractNumId w:val="32"/>
  </w:num>
  <w:num w:numId="7">
    <w:abstractNumId w:val="20"/>
  </w:num>
  <w:num w:numId="8">
    <w:abstractNumId w:val="12"/>
  </w:num>
  <w:num w:numId="9">
    <w:abstractNumId w:val="35"/>
  </w:num>
  <w:num w:numId="10">
    <w:abstractNumId w:val="30"/>
  </w:num>
  <w:num w:numId="11">
    <w:abstractNumId w:val="19"/>
  </w:num>
  <w:num w:numId="12">
    <w:abstractNumId w:val="33"/>
  </w:num>
  <w:num w:numId="13">
    <w:abstractNumId w:val="23"/>
  </w:num>
  <w:num w:numId="14">
    <w:abstractNumId w:val="34"/>
  </w:num>
  <w:num w:numId="15">
    <w:abstractNumId w:val="34"/>
    <w:lvlOverride w:ilvl="0">
      <w:startOverride w:val="1"/>
    </w:lvlOverride>
  </w:num>
  <w:num w:numId="16">
    <w:abstractNumId w:val="26"/>
  </w:num>
  <w:num w:numId="17">
    <w:abstractNumId w:val="31"/>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1"/>
  </w:num>
  <w:num w:numId="31">
    <w:abstractNumId w:val="25"/>
  </w:num>
  <w:num w:numId="32">
    <w:abstractNumId w:val="17"/>
  </w:num>
  <w:num w:numId="33">
    <w:abstractNumId w:val="28"/>
  </w:num>
  <w:num w:numId="34">
    <w:abstractNumId w:val="31"/>
    <w:lvlOverride w:ilvl="0">
      <w:lvl w:ilvl="0">
        <w:start w:val="1"/>
        <w:numFmt w:val="decimal"/>
        <w:pStyle w:val="Heading1"/>
        <w:lvlText w:val="%1"/>
        <w:lvlJc w:val="left"/>
        <w:pPr>
          <w:tabs>
            <w:tab w:val="num" w:pos="510"/>
          </w:tabs>
          <w:ind w:left="510" w:hanging="51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decimal"/>
        <w:lvlRestart w:val="0"/>
        <w:pStyle w:val="Heading7"/>
        <w:lvlText w:val="APPENDIX %7"/>
        <w:lvlJc w:val="left"/>
        <w:pPr>
          <w:tabs>
            <w:tab w:val="num" w:pos="1985"/>
          </w:tabs>
          <w:ind w:left="1985" w:hanging="1985"/>
        </w:pPr>
        <w:rPr>
          <w:rFonts w:hint="default"/>
        </w:rPr>
      </w:lvl>
    </w:lvlOverride>
    <w:lvlOverride w:ilvl="7">
      <w:lvl w:ilvl="7">
        <w:start w:val="1"/>
        <w:numFmt w:val="decimal"/>
        <w:pStyle w:val="Heading8"/>
        <w:lvlText w:val="%7.%8"/>
        <w:lvlJc w:val="left"/>
        <w:pPr>
          <w:tabs>
            <w:tab w:val="num" w:pos="680"/>
          </w:tabs>
          <w:ind w:left="680" w:hanging="680"/>
        </w:pPr>
        <w:rPr>
          <w:rFonts w:hint="default"/>
        </w:rPr>
      </w:lvl>
    </w:lvlOverride>
    <w:lvlOverride w:ilvl="8">
      <w:lvl w:ilvl="8">
        <w:start w:val="1"/>
        <w:numFmt w:val="decimal"/>
        <w:pStyle w:val="Heading9"/>
        <w:lvlText w:val="%7.%8.%9"/>
        <w:lvlJc w:val="left"/>
        <w:pPr>
          <w:tabs>
            <w:tab w:val="num" w:pos="680"/>
          </w:tabs>
          <w:ind w:left="680" w:hanging="680"/>
        </w:pPr>
        <w:rPr>
          <w:rFonts w:hint="default"/>
        </w:rPr>
      </w:lvl>
    </w:lvlOverride>
  </w:num>
  <w:num w:numId="35">
    <w:abstractNumId w:val="22"/>
  </w:num>
  <w:num w:numId="36">
    <w:abstractNumId w:val="10"/>
  </w:num>
  <w:num w:numId="37">
    <w:abstractNumId w:val="29"/>
  </w:num>
  <w:num w:numId="38">
    <w:abstractNumId w:val="31"/>
  </w:num>
  <w:num w:numId="39">
    <w:abstractNumId w:val="1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03"/>
    <w:rsid w:val="000017C7"/>
    <w:rsid w:val="00003A84"/>
    <w:rsid w:val="00007AA6"/>
    <w:rsid w:val="00014AD9"/>
    <w:rsid w:val="00016030"/>
    <w:rsid w:val="00016D1D"/>
    <w:rsid w:val="00016ECC"/>
    <w:rsid w:val="000172DE"/>
    <w:rsid w:val="00017E40"/>
    <w:rsid w:val="00020383"/>
    <w:rsid w:val="00030EF6"/>
    <w:rsid w:val="00032469"/>
    <w:rsid w:val="000345CE"/>
    <w:rsid w:val="000375D5"/>
    <w:rsid w:val="0004157E"/>
    <w:rsid w:val="000415C4"/>
    <w:rsid w:val="00041620"/>
    <w:rsid w:val="0004245D"/>
    <w:rsid w:val="00042925"/>
    <w:rsid w:val="00043646"/>
    <w:rsid w:val="00047771"/>
    <w:rsid w:val="000516B4"/>
    <w:rsid w:val="0005292D"/>
    <w:rsid w:val="00055B4A"/>
    <w:rsid w:val="00055FD9"/>
    <w:rsid w:val="00063572"/>
    <w:rsid w:val="00072044"/>
    <w:rsid w:val="00072D53"/>
    <w:rsid w:val="00073283"/>
    <w:rsid w:val="00073EDD"/>
    <w:rsid w:val="0007536D"/>
    <w:rsid w:val="00076800"/>
    <w:rsid w:val="00082B77"/>
    <w:rsid w:val="00082D00"/>
    <w:rsid w:val="00083639"/>
    <w:rsid w:val="00083E3F"/>
    <w:rsid w:val="000947F1"/>
    <w:rsid w:val="000A1AFA"/>
    <w:rsid w:val="000A642A"/>
    <w:rsid w:val="000A6D8B"/>
    <w:rsid w:val="000C2512"/>
    <w:rsid w:val="000C6169"/>
    <w:rsid w:val="000C6396"/>
    <w:rsid w:val="000D28A8"/>
    <w:rsid w:val="000D3C08"/>
    <w:rsid w:val="000D3F03"/>
    <w:rsid w:val="000D723A"/>
    <w:rsid w:val="000E19F6"/>
    <w:rsid w:val="000E36A1"/>
    <w:rsid w:val="000F1909"/>
    <w:rsid w:val="000F200D"/>
    <w:rsid w:val="000F23F4"/>
    <w:rsid w:val="000F48FC"/>
    <w:rsid w:val="000F5965"/>
    <w:rsid w:val="00103385"/>
    <w:rsid w:val="00107387"/>
    <w:rsid w:val="0011080A"/>
    <w:rsid w:val="00111B14"/>
    <w:rsid w:val="001169E4"/>
    <w:rsid w:val="00116D53"/>
    <w:rsid w:val="00120D9F"/>
    <w:rsid w:val="00123D76"/>
    <w:rsid w:val="001251D7"/>
    <w:rsid w:val="001254B3"/>
    <w:rsid w:val="001272D4"/>
    <w:rsid w:val="001276CE"/>
    <w:rsid w:val="001301B5"/>
    <w:rsid w:val="00133561"/>
    <w:rsid w:val="001426C9"/>
    <w:rsid w:val="00143449"/>
    <w:rsid w:val="00151289"/>
    <w:rsid w:val="00151CD9"/>
    <w:rsid w:val="001545F5"/>
    <w:rsid w:val="00155A95"/>
    <w:rsid w:val="00156F7B"/>
    <w:rsid w:val="00157AF5"/>
    <w:rsid w:val="00157E4B"/>
    <w:rsid w:val="001609FE"/>
    <w:rsid w:val="001623E5"/>
    <w:rsid w:val="00162EB9"/>
    <w:rsid w:val="00165A92"/>
    <w:rsid w:val="00165FF8"/>
    <w:rsid w:val="001678E8"/>
    <w:rsid w:val="00174D17"/>
    <w:rsid w:val="00176A0F"/>
    <w:rsid w:val="00176BE3"/>
    <w:rsid w:val="00176DC4"/>
    <w:rsid w:val="00182364"/>
    <w:rsid w:val="00185111"/>
    <w:rsid w:val="00187592"/>
    <w:rsid w:val="00190DC4"/>
    <w:rsid w:val="00191EA2"/>
    <w:rsid w:val="00191EFA"/>
    <w:rsid w:val="0019207D"/>
    <w:rsid w:val="00193651"/>
    <w:rsid w:val="0019558F"/>
    <w:rsid w:val="001979B2"/>
    <w:rsid w:val="001A0B25"/>
    <w:rsid w:val="001A0C49"/>
    <w:rsid w:val="001A13AE"/>
    <w:rsid w:val="001A23B3"/>
    <w:rsid w:val="001A3DAC"/>
    <w:rsid w:val="001A59C5"/>
    <w:rsid w:val="001A605D"/>
    <w:rsid w:val="001B06DC"/>
    <w:rsid w:val="001B08E0"/>
    <w:rsid w:val="001B0967"/>
    <w:rsid w:val="001B2F71"/>
    <w:rsid w:val="001B4411"/>
    <w:rsid w:val="001C6328"/>
    <w:rsid w:val="001C7E3A"/>
    <w:rsid w:val="001D1D8F"/>
    <w:rsid w:val="001D2F39"/>
    <w:rsid w:val="001D5C19"/>
    <w:rsid w:val="001E13CD"/>
    <w:rsid w:val="001E414A"/>
    <w:rsid w:val="001E43FE"/>
    <w:rsid w:val="001E4E5B"/>
    <w:rsid w:val="001E519D"/>
    <w:rsid w:val="001E77D2"/>
    <w:rsid w:val="001E7EF4"/>
    <w:rsid w:val="001F1083"/>
    <w:rsid w:val="001F1646"/>
    <w:rsid w:val="001F2E1D"/>
    <w:rsid w:val="001F32EB"/>
    <w:rsid w:val="001F59A5"/>
    <w:rsid w:val="001F6386"/>
    <w:rsid w:val="001F695C"/>
    <w:rsid w:val="001F7FC7"/>
    <w:rsid w:val="00200340"/>
    <w:rsid w:val="00200EC3"/>
    <w:rsid w:val="00205C7B"/>
    <w:rsid w:val="002122B2"/>
    <w:rsid w:val="002139E3"/>
    <w:rsid w:val="0021496B"/>
    <w:rsid w:val="00215B6C"/>
    <w:rsid w:val="00215E33"/>
    <w:rsid w:val="002164C8"/>
    <w:rsid w:val="00220F86"/>
    <w:rsid w:val="00230B87"/>
    <w:rsid w:val="002334A5"/>
    <w:rsid w:val="0023397E"/>
    <w:rsid w:val="00237CB7"/>
    <w:rsid w:val="00243E12"/>
    <w:rsid w:val="002455B2"/>
    <w:rsid w:val="00246725"/>
    <w:rsid w:val="00246731"/>
    <w:rsid w:val="0025120C"/>
    <w:rsid w:val="00253E80"/>
    <w:rsid w:val="00254E8A"/>
    <w:rsid w:val="00254F8B"/>
    <w:rsid w:val="00255A94"/>
    <w:rsid w:val="00257216"/>
    <w:rsid w:val="00263EEB"/>
    <w:rsid w:val="0026750B"/>
    <w:rsid w:val="0027058D"/>
    <w:rsid w:val="00276F96"/>
    <w:rsid w:val="00277A35"/>
    <w:rsid w:val="002825A7"/>
    <w:rsid w:val="00283276"/>
    <w:rsid w:val="00283C3A"/>
    <w:rsid w:val="00284FB2"/>
    <w:rsid w:val="00285911"/>
    <w:rsid w:val="00293E27"/>
    <w:rsid w:val="002A0DE8"/>
    <w:rsid w:val="002A1D1C"/>
    <w:rsid w:val="002A3D50"/>
    <w:rsid w:val="002A5775"/>
    <w:rsid w:val="002A6EB4"/>
    <w:rsid w:val="002A731E"/>
    <w:rsid w:val="002B29BB"/>
    <w:rsid w:val="002B2DC3"/>
    <w:rsid w:val="002B50CD"/>
    <w:rsid w:val="002B6777"/>
    <w:rsid w:val="002C37B3"/>
    <w:rsid w:val="002C3AAB"/>
    <w:rsid w:val="002C58FC"/>
    <w:rsid w:val="002C5991"/>
    <w:rsid w:val="002C73AD"/>
    <w:rsid w:val="002D467C"/>
    <w:rsid w:val="002D4F92"/>
    <w:rsid w:val="002D67BB"/>
    <w:rsid w:val="002E5046"/>
    <w:rsid w:val="002E79EE"/>
    <w:rsid w:val="002F32AE"/>
    <w:rsid w:val="00301AC8"/>
    <w:rsid w:val="0030288E"/>
    <w:rsid w:val="00306022"/>
    <w:rsid w:val="0031034F"/>
    <w:rsid w:val="003125D5"/>
    <w:rsid w:val="00315B9D"/>
    <w:rsid w:val="0032066A"/>
    <w:rsid w:val="003228FD"/>
    <w:rsid w:val="00326005"/>
    <w:rsid w:val="0033030D"/>
    <w:rsid w:val="00332368"/>
    <w:rsid w:val="003341BD"/>
    <w:rsid w:val="00337066"/>
    <w:rsid w:val="00344F45"/>
    <w:rsid w:val="00346DDF"/>
    <w:rsid w:val="00350631"/>
    <w:rsid w:val="00352CED"/>
    <w:rsid w:val="003545FC"/>
    <w:rsid w:val="0036343B"/>
    <w:rsid w:val="003671C4"/>
    <w:rsid w:val="00367A7B"/>
    <w:rsid w:val="003703AB"/>
    <w:rsid w:val="00370CEA"/>
    <w:rsid w:val="00372205"/>
    <w:rsid w:val="00375A5E"/>
    <w:rsid w:val="003803D7"/>
    <w:rsid w:val="00380B9B"/>
    <w:rsid w:val="00384AA1"/>
    <w:rsid w:val="00387049"/>
    <w:rsid w:val="003905F1"/>
    <w:rsid w:val="00390694"/>
    <w:rsid w:val="00392EE9"/>
    <w:rsid w:val="003A2A99"/>
    <w:rsid w:val="003A39BC"/>
    <w:rsid w:val="003A3F84"/>
    <w:rsid w:val="003A625C"/>
    <w:rsid w:val="003A69C6"/>
    <w:rsid w:val="003B11D3"/>
    <w:rsid w:val="003B1917"/>
    <w:rsid w:val="003B34D9"/>
    <w:rsid w:val="003B7D49"/>
    <w:rsid w:val="003C1BA3"/>
    <w:rsid w:val="003C240C"/>
    <w:rsid w:val="003C2D67"/>
    <w:rsid w:val="003C51A5"/>
    <w:rsid w:val="003C53AB"/>
    <w:rsid w:val="003C625E"/>
    <w:rsid w:val="003C65AE"/>
    <w:rsid w:val="003D7DEF"/>
    <w:rsid w:val="003E1687"/>
    <w:rsid w:val="003E1AE5"/>
    <w:rsid w:val="003E1B8A"/>
    <w:rsid w:val="003E213C"/>
    <w:rsid w:val="003E3832"/>
    <w:rsid w:val="003E54D0"/>
    <w:rsid w:val="003E65DF"/>
    <w:rsid w:val="003F2A60"/>
    <w:rsid w:val="003F2CC8"/>
    <w:rsid w:val="003F31B6"/>
    <w:rsid w:val="003F53EF"/>
    <w:rsid w:val="003F566C"/>
    <w:rsid w:val="00401020"/>
    <w:rsid w:val="00404306"/>
    <w:rsid w:val="00407F1B"/>
    <w:rsid w:val="00414389"/>
    <w:rsid w:val="00414F46"/>
    <w:rsid w:val="00417A41"/>
    <w:rsid w:val="00423397"/>
    <w:rsid w:val="004237EE"/>
    <w:rsid w:val="00427C49"/>
    <w:rsid w:val="00432976"/>
    <w:rsid w:val="004338D5"/>
    <w:rsid w:val="00434559"/>
    <w:rsid w:val="00435A2B"/>
    <w:rsid w:val="00436243"/>
    <w:rsid w:val="0044138A"/>
    <w:rsid w:val="004418C8"/>
    <w:rsid w:val="00443A35"/>
    <w:rsid w:val="00443BD6"/>
    <w:rsid w:val="00443CFE"/>
    <w:rsid w:val="00444C05"/>
    <w:rsid w:val="004512F4"/>
    <w:rsid w:val="00451483"/>
    <w:rsid w:val="00453847"/>
    <w:rsid w:val="00461063"/>
    <w:rsid w:val="00461788"/>
    <w:rsid w:val="004641D5"/>
    <w:rsid w:val="00464BBD"/>
    <w:rsid w:val="00467575"/>
    <w:rsid w:val="004705E1"/>
    <w:rsid w:val="00472DD7"/>
    <w:rsid w:val="0048057F"/>
    <w:rsid w:val="0048197C"/>
    <w:rsid w:val="004822C1"/>
    <w:rsid w:val="00482B25"/>
    <w:rsid w:val="00483B7D"/>
    <w:rsid w:val="0048414A"/>
    <w:rsid w:val="00484A8F"/>
    <w:rsid w:val="0049208F"/>
    <w:rsid w:val="00496F03"/>
    <w:rsid w:val="0049738C"/>
    <w:rsid w:val="004A1E1B"/>
    <w:rsid w:val="004A4A41"/>
    <w:rsid w:val="004A4D90"/>
    <w:rsid w:val="004A6A8D"/>
    <w:rsid w:val="004A7A70"/>
    <w:rsid w:val="004B15B1"/>
    <w:rsid w:val="004B4374"/>
    <w:rsid w:val="004B6DC6"/>
    <w:rsid w:val="004B7BC4"/>
    <w:rsid w:val="004C0C93"/>
    <w:rsid w:val="004C2B05"/>
    <w:rsid w:val="004C31C8"/>
    <w:rsid w:val="004C35DD"/>
    <w:rsid w:val="004C62B0"/>
    <w:rsid w:val="004C71D2"/>
    <w:rsid w:val="004C7541"/>
    <w:rsid w:val="004D1E0B"/>
    <w:rsid w:val="004D31D5"/>
    <w:rsid w:val="004D616C"/>
    <w:rsid w:val="004E4B69"/>
    <w:rsid w:val="004E4D12"/>
    <w:rsid w:val="004E50D1"/>
    <w:rsid w:val="004F001F"/>
    <w:rsid w:val="004F49C0"/>
    <w:rsid w:val="004F6B59"/>
    <w:rsid w:val="004F6EE2"/>
    <w:rsid w:val="005052D0"/>
    <w:rsid w:val="00505526"/>
    <w:rsid w:val="00517288"/>
    <w:rsid w:val="00521680"/>
    <w:rsid w:val="00522FFD"/>
    <w:rsid w:val="005275BE"/>
    <w:rsid w:val="00527B53"/>
    <w:rsid w:val="00527B90"/>
    <w:rsid w:val="0053012E"/>
    <w:rsid w:val="00530192"/>
    <w:rsid w:val="00531210"/>
    <w:rsid w:val="0053297A"/>
    <w:rsid w:val="00535CA9"/>
    <w:rsid w:val="00542B01"/>
    <w:rsid w:val="00546B55"/>
    <w:rsid w:val="00547C75"/>
    <w:rsid w:val="00550139"/>
    <w:rsid w:val="005513B6"/>
    <w:rsid w:val="0055178A"/>
    <w:rsid w:val="00553372"/>
    <w:rsid w:val="00554598"/>
    <w:rsid w:val="00561C50"/>
    <w:rsid w:val="00565D21"/>
    <w:rsid w:val="005669F3"/>
    <w:rsid w:val="00566C62"/>
    <w:rsid w:val="0056792C"/>
    <w:rsid w:val="00567B9E"/>
    <w:rsid w:val="005728E8"/>
    <w:rsid w:val="00572CCE"/>
    <w:rsid w:val="00574EED"/>
    <w:rsid w:val="00581B9D"/>
    <w:rsid w:val="005848A1"/>
    <w:rsid w:val="00586E60"/>
    <w:rsid w:val="00587B61"/>
    <w:rsid w:val="00587D98"/>
    <w:rsid w:val="005923E5"/>
    <w:rsid w:val="00593B41"/>
    <w:rsid w:val="00594BB3"/>
    <w:rsid w:val="0059629F"/>
    <w:rsid w:val="005B2F15"/>
    <w:rsid w:val="005B7A4E"/>
    <w:rsid w:val="005C0769"/>
    <w:rsid w:val="005C2ECA"/>
    <w:rsid w:val="005C3766"/>
    <w:rsid w:val="005C6279"/>
    <w:rsid w:val="005C7195"/>
    <w:rsid w:val="005C7539"/>
    <w:rsid w:val="005D037D"/>
    <w:rsid w:val="005D3929"/>
    <w:rsid w:val="005D4750"/>
    <w:rsid w:val="005D713B"/>
    <w:rsid w:val="005D7297"/>
    <w:rsid w:val="005D75F9"/>
    <w:rsid w:val="005D7695"/>
    <w:rsid w:val="005D7EF7"/>
    <w:rsid w:val="005E40E8"/>
    <w:rsid w:val="005E744E"/>
    <w:rsid w:val="005F0452"/>
    <w:rsid w:val="00601211"/>
    <w:rsid w:val="00601EA7"/>
    <w:rsid w:val="00602795"/>
    <w:rsid w:val="00603F99"/>
    <w:rsid w:val="00606CD8"/>
    <w:rsid w:val="0061108F"/>
    <w:rsid w:val="0061220B"/>
    <w:rsid w:val="00614B13"/>
    <w:rsid w:val="00616CFD"/>
    <w:rsid w:val="00631866"/>
    <w:rsid w:val="00632B38"/>
    <w:rsid w:val="00632F6D"/>
    <w:rsid w:val="00633747"/>
    <w:rsid w:val="00633852"/>
    <w:rsid w:val="00635074"/>
    <w:rsid w:val="00635882"/>
    <w:rsid w:val="0063759D"/>
    <w:rsid w:val="00642134"/>
    <w:rsid w:val="00643B8B"/>
    <w:rsid w:val="0064477A"/>
    <w:rsid w:val="00645732"/>
    <w:rsid w:val="00646B40"/>
    <w:rsid w:val="00646E5D"/>
    <w:rsid w:val="00651237"/>
    <w:rsid w:val="00651B53"/>
    <w:rsid w:val="006520A0"/>
    <w:rsid w:val="0065523F"/>
    <w:rsid w:val="006553E5"/>
    <w:rsid w:val="006560E3"/>
    <w:rsid w:val="00657A78"/>
    <w:rsid w:val="00660FC6"/>
    <w:rsid w:val="00664A38"/>
    <w:rsid w:val="0067066F"/>
    <w:rsid w:val="006718E3"/>
    <w:rsid w:val="00674F3B"/>
    <w:rsid w:val="0067506C"/>
    <w:rsid w:val="0067595B"/>
    <w:rsid w:val="006776F3"/>
    <w:rsid w:val="00677F97"/>
    <w:rsid w:val="006820F1"/>
    <w:rsid w:val="006838F6"/>
    <w:rsid w:val="00687061"/>
    <w:rsid w:val="00691B24"/>
    <w:rsid w:val="00692B37"/>
    <w:rsid w:val="006948F9"/>
    <w:rsid w:val="006A0652"/>
    <w:rsid w:val="006A14B2"/>
    <w:rsid w:val="006A31B7"/>
    <w:rsid w:val="006A37D4"/>
    <w:rsid w:val="006A51F0"/>
    <w:rsid w:val="006A6716"/>
    <w:rsid w:val="006B13E0"/>
    <w:rsid w:val="006B5A2E"/>
    <w:rsid w:val="006B7BC7"/>
    <w:rsid w:val="006C0853"/>
    <w:rsid w:val="006C1128"/>
    <w:rsid w:val="006C5032"/>
    <w:rsid w:val="006C551D"/>
    <w:rsid w:val="006C676B"/>
    <w:rsid w:val="006C6C73"/>
    <w:rsid w:val="006C6DCD"/>
    <w:rsid w:val="006C709B"/>
    <w:rsid w:val="006D08A8"/>
    <w:rsid w:val="006D117D"/>
    <w:rsid w:val="006D54E5"/>
    <w:rsid w:val="006E7F84"/>
    <w:rsid w:val="006F2A41"/>
    <w:rsid w:val="006F4FEB"/>
    <w:rsid w:val="006F73FE"/>
    <w:rsid w:val="00700B94"/>
    <w:rsid w:val="0070233C"/>
    <w:rsid w:val="007046DF"/>
    <w:rsid w:val="00705D4A"/>
    <w:rsid w:val="00706A86"/>
    <w:rsid w:val="007073F0"/>
    <w:rsid w:val="00710339"/>
    <w:rsid w:val="007113EA"/>
    <w:rsid w:val="0071425F"/>
    <w:rsid w:val="007151D9"/>
    <w:rsid w:val="0071755D"/>
    <w:rsid w:val="00721109"/>
    <w:rsid w:val="00721C30"/>
    <w:rsid w:val="00724311"/>
    <w:rsid w:val="007246FE"/>
    <w:rsid w:val="00724DB3"/>
    <w:rsid w:val="00725DB9"/>
    <w:rsid w:val="00727206"/>
    <w:rsid w:val="00727F55"/>
    <w:rsid w:val="007317E4"/>
    <w:rsid w:val="00736706"/>
    <w:rsid w:val="00736997"/>
    <w:rsid w:val="007402FA"/>
    <w:rsid w:val="007404ED"/>
    <w:rsid w:val="007429A8"/>
    <w:rsid w:val="007504CA"/>
    <w:rsid w:val="00753139"/>
    <w:rsid w:val="0075518E"/>
    <w:rsid w:val="00756FA1"/>
    <w:rsid w:val="00757314"/>
    <w:rsid w:val="00763913"/>
    <w:rsid w:val="0076660A"/>
    <w:rsid w:val="00771D46"/>
    <w:rsid w:val="0077271A"/>
    <w:rsid w:val="00781524"/>
    <w:rsid w:val="00782B61"/>
    <w:rsid w:val="00791F43"/>
    <w:rsid w:val="007930A6"/>
    <w:rsid w:val="0079336B"/>
    <w:rsid w:val="007A3848"/>
    <w:rsid w:val="007B09C7"/>
    <w:rsid w:val="007B7D50"/>
    <w:rsid w:val="007C1BFA"/>
    <w:rsid w:val="007C20F0"/>
    <w:rsid w:val="007C70B2"/>
    <w:rsid w:val="007C7CB3"/>
    <w:rsid w:val="007D0C82"/>
    <w:rsid w:val="007D1EF7"/>
    <w:rsid w:val="007D2C7A"/>
    <w:rsid w:val="007D480B"/>
    <w:rsid w:val="007D5790"/>
    <w:rsid w:val="007D5DFE"/>
    <w:rsid w:val="007D7FA4"/>
    <w:rsid w:val="007E0D55"/>
    <w:rsid w:val="007E1F30"/>
    <w:rsid w:val="007E22D6"/>
    <w:rsid w:val="007E3516"/>
    <w:rsid w:val="007E45B2"/>
    <w:rsid w:val="007E74F5"/>
    <w:rsid w:val="007E7B3F"/>
    <w:rsid w:val="007F0770"/>
    <w:rsid w:val="007F2118"/>
    <w:rsid w:val="007F27CF"/>
    <w:rsid w:val="007F373F"/>
    <w:rsid w:val="007F54F5"/>
    <w:rsid w:val="007F5A3F"/>
    <w:rsid w:val="00800707"/>
    <w:rsid w:val="00801B01"/>
    <w:rsid w:val="00802724"/>
    <w:rsid w:val="008035E1"/>
    <w:rsid w:val="008064FD"/>
    <w:rsid w:val="00807008"/>
    <w:rsid w:val="00811103"/>
    <w:rsid w:val="00813E97"/>
    <w:rsid w:val="0081544B"/>
    <w:rsid w:val="00816108"/>
    <w:rsid w:val="0081618E"/>
    <w:rsid w:val="008228DE"/>
    <w:rsid w:val="008230F4"/>
    <w:rsid w:val="00835C26"/>
    <w:rsid w:val="00836559"/>
    <w:rsid w:val="008372D0"/>
    <w:rsid w:val="008424EC"/>
    <w:rsid w:val="00844A0F"/>
    <w:rsid w:val="00850A68"/>
    <w:rsid w:val="008526C8"/>
    <w:rsid w:val="00852D1D"/>
    <w:rsid w:val="008535F4"/>
    <w:rsid w:val="00853B23"/>
    <w:rsid w:val="00861194"/>
    <w:rsid w:val="00865B8A"/>
    <w:rsid w:val="00870ADB"/>
    <w:rsid w:val="00871BB3"/>
    <w:rsid w:val="0087404B"/>
    <w:rsid w:val="008767A4"/>
    <w:rsid w:val="008767B2"/>
    <w:rsid w:val="00880CDD"/>
    <w:rsid w:val="00883756"/>
    <w:rsid w:val="00883C7A"/>
    <w:rsid w:val="00885956"/>
    <w:rsid w:val="00887727"/>
    <w:rsid w:val="00890A33"/>
    <w:rsid w:val="00891166"/>
    <w:rsid w:val="0089140E"/>
    <w:rsid w:val="00892AE8"/>
    <w:rsid w:val="0089665E"/>
    <w:rsid w:val="008A43F9"/>
    <w:rsid w:val="008A7B0F"/>
    <w:rsid w:val="008B3522"/>
    <w:rsid w:val="008B3C59"/>
    <w:rsid w:val="008B3E98"/>
    <w:rsid w:val="008B6114"/>
    <w:rsid w:val="008B6332"/>
    <w:rsid w:val="008B6E37"/>
    <w:rsid w:val="008C0BE2"/>
    <w:rsid w:val="008C1A4C"/>
    <w:rsid w:val="008C4995"/>
    <w:rsid w:val="008C5110"/>
    <w:rsid w:val="008C5209"/>
    <w:rsid w:val="008C6132"/>
    <w:rsid w:val="008C73F6"/>
    <w:rsid w:val="008D279D"/>
    <w:rsid w:val="008D5DEC"/>
    <w:rsid w:val="008D670E"/>
    <w:rsid w:val="008D6EED"/>
    <w:rsid w:val="008E3674"/>
    <w:rsid w:val="0090281F"/>
    <w:rsid w:val="00904572"/>
    <w:rsid w:val="0090566C"/>
    <w:rsid w:val="00910AFD"/>
    <w:rsid w:val="00910C19"/>
    <w:rsid w:val="00914308"/>
    <w:rsid w:val="009147C1"/>
    <w:rsid w:val="009148A8"/>
    <w:rsid w:val="00915830"/>
    <w:rsid w:val="00916297"/>
    <w:rsid w:val="00916BCE"/>
    <w:rsid w:val="00917853"/>
    <w:rsid w:val="00917D0A"/>
    <w:rsid w:val="00920E02"/>
    <w:rsid w:val="0092768F"/>
    <w:rsid w:val="009278FF"/>
    <w:rsid w:val="0093020C"/>
    <w:rsid w:val="00931B9E"/>
    <w:rsid w:val="00931DE2"/>
    <w:rsid w:val="009322CF"/>
    <w:rsid w:val="00932973"/>
    <w:rsid w:val="00933A37"/>
    <w:rsid w:val="00933DCB"/>
    <w:rsid w:val="00934F1D"/>
    <w:rsid w:val="009354E2"/>
    <w:rsid w:val="00936B69"/>
    <w:rsid w:val="0094215B"/>
    <w:rsid w:val="00942A17"/>
    <w:rsid w:val="00946675"/>
    <w:rsid w:val="00947BF2"/>
    <w:rsid w:val="0096359E"/>
    <w:rsid w:val="00963645"/>
    <w:rsid w:val="00964233"/>
    <w:rsid w:val="00966BAA"/>
    <w:rsid w:val="00970B87"/>
    <w:rsid w:val="00972228"/>
    <w:rsid w:val="0097411D"/>
    <w:rsid w:val="009759EC"/>
    <w:rsid w:val="00976B7C"/>
    <w:rsid w:val="00981ADC"/>
    <w:rsid w:val="00982A19"/>
    <w:rsid w:val="009836F7"/>
    <w:rsid w:val="00985527"/>
    <w:rsid w:val="009929D9"/>
    <w:rsid w:val="00994E95"/>
    <w:rsid w:val="0099511F"/>
    <w:rsid w:val="009A2FDB"/>
    <w:rsid w:val="009A4CB6"/>
    <w:rsid w:val="009C12D4"/>
    <w:rsid w:val="009C16BE"/>
    <w:rsid w:val="009C20D1"/>
    <w:rsid w:val="009C2B99"/>
    <w:rsid w:val="009C4D03"/>
    <w:rsid w:val="009C5074"/>
    <w:rsid w:val="009C577A"/>
    <w:rsid w:val="009D1CB1"/>
    <w:rsid w:val="009D3940"/>
    <w:rsid w:val="009D43BA"/>
    <w:rsid w:val="009D513C"/>
    <w:rsid w:val="009D56DD"/>
    <w:rsid w:val="009D6719"/>
    <w:rsid w:val="009D69DA"/>
    <w:rsid w:val="009E0FDD"/>
    <w:rsid w:val="009E11B9"/>
    <w:rsid w:val="009E1D9B"/>
    <w:rsid w:val="009E34BE"/>
    <w:rsid w:val="009E4E0B"/>
    <w:rsid w:val="009E4E9F"/>
    <w:rsid w:val="009F1C77"/>
    <w:rsid w:val="009F39CE"/>
    <w:rsid w:val="009F5B47"/>
    <w:rsid w:val="009F5CAF"/>
    <w:rsid w:val="009F62E3"/>
    <w:rsid w:val="00A020C1"/>
    <w:rsid w:val="00A02350"/>
    <w:rsid w:val="00A051D6"/>
    <w:rsid w:val="00A07B05"/>
    <w:rsid w:val="00A1007E"/>
    <w:rsid w:val="00A11F74"/>
    <w:rsid w:val="00A14A59"/>
    <w:rsid w:val="00A16894"/>
    <w:rsid w:val="00A21C53"/>
    <w:rsid w:val="00A311B8"/>
    <w:rsid w:val="00A3153C"/>
    <w:rsid w:val="00A31D1F"/>
    <w:rsid w:val="00A33D91"/>
    <w:rsid w:val="00A40625"/>
    <w:rsid w:val="00A41121"/>
    <w:rsid w:val="00A42D94"/>
    <w:rsid w:val="00A446E5"/>
    <w:rsid w:val="00A47029"/>
    <w:rsid w:val="00A50DAC"/>
    <w:rsid w:val="00A516A6"/>
    <w:rsid w:val="00A5455E"/>
    <w:rsid w:val="00A5471D"/>
    <w:rsid w:val="00A55B23"/>
    <w:rsid w:val="00A560E7"/>
    <w:rsid w:val="00A60A15"/>
    <w:rsid w:val="00A60B83"/>
    <w:rsid w:val="00A63317"/>
    <w:rsid w:val="00A63A9D"/>
    <w:rsid w:val="00A63D34"/>
    <w:rsid w:val="00A64155"/>
    <w:rsid w:val="00A664D5"/>
    <w:rsid w:val="00A70F48"/>
    <w:rsid w:val="00A71288"/>
    <w:rsid w:val="00A72F45"/>
    <w:rsid w:val="00A72F86"/>
    <w:rsid w:val="00A73ABE"/>
    <w:rsid w:val="00A7428D"/>
    <w:rsid w:val="00A76982"/>
    <w:rsid w:val="00A810B4"/>
    <w:rsid w:val="00A81D99"/>
    <w:rsid w:val="00A82782"/>
    <w:rsid w:val="00A8293E"/>
    <w:rsid w:val="00A91742"/>
    <w:rsid w:val="00A91BFC"/>
    <w:rsid w:val="00A9216D"/>
    <w:rsid w:val="00A92AD7"/>
    <w:rsid w:val="00A96ECB"/>
    <w:rsid w:val="00A97BE1"/>
    <w:rsid w:val="00AA0555"/>
    <w:rsid w:val="00AA07C1"/>
    <w:rsid w:val="00AA145E"/>
    <w:rsid w:val="00AA2ECD"/>
    <w:rsid w:val="00AA7787"/>
    <w:rsid w:val="00AB1577"/>
    <w:rsid w:val="00AB2C9B"/>
    <w:rsid w:val="00AB6D10"/>
    <w:rsid w:val="00AB7612"/>
    <w:rsid w:val="00AB76CF"/>
    <w:rsid w:val="00AC1334"/>
    <w:rsid w:val="00AC2006"/>
    <w:rsid w:val="00AC3A3D"/>
    <w:rsid w:val="00AC544E"/>
    <w:rsid w:val="00AC624C"/>
    <w:rsid w:val="00AC73FE"/>
    <w:rsid w:val="00AD0FA5"/>
    <w:rsid w:val="00AD543C"/>
    <w:rsid w:val="00AD5501"/>
    <w:rsid w:val="00AD5B83"/>
    <w:rsid w:val="00AD77DC"/>
    <w:rsid w:val="00AE0FF3"/>
    <w:rsid w:val="00AE1860"/>
    <w:rsid w:val="00AE448A"/>
    <w:rsid w:val="00AE530A"/>
    <w:rsid w:val="00AE570B"/>
    <w:rsid w:val="00AE6174"/>
    <w:rsid w:val="00AE66D1"/>
    <w:rsid w:val="00AF241D"/>
    <w:rsid w:val="00AF2BEC"/>
    <w:rsid w:val="00AF3671"/>
    <w:rsid w:val="00B04953"/>
    <w:rsid w:val="00B104F8"/>
    <w:rsid w:val="00B10E02"/>
    <w:rsid w:val="00B11C20"/>
    <w:rsid w:val="00B14B4F"/>
    <w:rsid w:val="00B16FF2"/>
    <w:rsid w:val="00B20EBF"/>
    <w:rsid w:val="00B213F6"/>
    <w:rsid w:val="00B22EC7"/>
    <w:rsid w:val="00B2326B"/>
    <w:rsid w:val="00B246C0"/>
    <w:rsid w:val="00B25E47"/>
    <w:rsid w:val="00B2607B"/>
    <w:rsid w:val="00B26EE0"/>
    <w:rsid w:val="00B3455E"/>
    <w:rsid w:val="00B34BF2"/>
    <w:rsid w:val="00B37726"/>
    <w:rsid w:val="00B4127D"/>
    <w:rsid w:val="00B414FD"/>
    <w:rsid w:val="00B4724D"/>
    <w:rsid w:val="00B527D7"/>
    <w:rsid w:val="00B52BD0"/>
    <w:rsid w:val="00B5601E"/>
    <w:rsid w:val="00B56E96"/>
    <w:rsid w:val="00B57214"/>
    <w:rsid w:val="00B6242F"/>
    <w:rsid w:val="00B6296D"/>
    <w:rsid w:val="00B65D67"/>
    <w:rsid w:val="00B703A8"/>
    <w:rsid w:val="00B7109E"/>
    <w:rsid w:val="00B76110"/>
    <w:rsid w:val="00B77B6B"/>
    <w:rsid w:val="00B77FB0"/>
    <w:rsid w:val="00B80551"/>
    <w:rsid w:val="00B87A32"/>
    <w:rsid w:val="00B911FC"/>
    <w:rsid w:val="00B92026"/>
    <w:rsid w:val="00B926F3"/>
    <w:rsid w:val="00B93038"/>
    <w:rsid w:val="00B9325C"/>
    <w:rsid w:val="00B94F22"/>
    <w:rsid w:val="00B97C50"/>
    <w:rsid w:val="00BA1B24"/>
    <w:rsid w:val="00BA5047"/>
    <w:rsid w:val="00BA6102"/>
    <w:rsid w:val="00BA653F"/>
    <w:rsid w:val="00BA7081"/>
    <w:rsid w:val="00BB24F3"/>
    <w:rsid w:val="00BB2D20"/>
    <w:rsid w:val="00BB39E5"/>
    <w:rsid w:val="00BB3F0F"/>
    <w:rsid w:val="00BB5549"/>
    <w:rsid w:val="00BB6577"/>
    <w:rsid w:val="00BB667B"/>
    <w:rsid w:val="00BB6857"/>
    <w:rsid w:val="00BC0399"/>
    <w:rsid w:val="00BC0F84"/>
    <w:rsid w:val="00BC5481"/>
    <w:rsid w:val="00BC55C3"/>
    <w:rsid w:val="00BC6C69"/>
    <w:rsid w:val="00BD4B49"/>
    <w:rsid w:val="00BE0FA2"/>
    <w:rsid w:val="00BE2592"/>
    <w:rsid w:val="00BE37CD"/>
    <w:rsid w:val="00BE4366"/>
    <w:rsid w:val="00BE4A3A"/>
    <w:rsid w:val="00BE6542"/>
    <w:rsid w:val="00BF02B7"/>
    <w:rsid w:val="00BF0990"/>
    <w:rsid w:val="00BF1006"/>
    <w:rsid w:val="00BF16D8"/>
    <w:rsid w:val="00BF390E"/>
    <w:rsid w:val="00BF48E6"/>
    <w:rsid w:val="00BF56F5"/>
    <w:rsid w:val="00BF6408"/>
    <w:rsid w:val="00C00E78"/>
    <w:rsid w:val="00C0140D"/>
    <w:rsid w:val="00C01E20"/>
    <w:rsid w:val="00C03E77"/>
    <w:rsid w:val="00C0491C"/>
    <w:rsid w:val="00C05167"/>
    <w:rsid w:val="00C07795"/>
    <w:rsid w:val="00C10E34"/>
    <w:rsid w:val="00C14622"/>
    <w:rsid w:val="00C168FB"/>
    <w:rsid w:val="00C2042E"/>
    <w:rsid w:val="00C23037"/>
    <w:rsid w:val="00C24781"/>
    <w:rsid w:val="00C26647"/>
    <w:rsid w:val="00C269C0"/>
    <w:rsid w:val="00C27832"/>
    <w:rsid w:val="00C35125"/>
    <w:rsid w:val="00C351BB"/>
    <w:rsid w:val="00C357AE"/>
    <w:rsid w:val="00C36C1E"/>
    <w:rsid w:val="00C4050A"/>
    <w:rsid w:val="00C413FC"/>
    <w:rsid w:val="00C41C77"/>
    <w:rsid w:val="00C46EC3"/>
    <w:rsid w:val="00C473BD"/>
    <w:rsid w:val="00C51C26"/>
    <w:rsid w:val="00C5297B"/>
    <w:rsid w:val="00C53D57"/>
    <w:rsid w:val="00C55077"/>
    <w:rsid w:val="00C55A50"/>
    <w:rsid w:val="00C55D78"/>
    <w:rsid w:val="00C66CC3"/>
    <w:rsid w:val="00C67D39"/>
    <w:rsid w:val="00C709FE"/>
    <w:rsid w:val="00C70C8E"/>
    <w:rsid w:val="00C72645"/>
    <w:rsid w:val="00C72AA9"/>
    <w:rsid w:val="00C72F3A"/>
    <w:rsid w:val="00C74F18"/>
    <w:rsid w:val="00C76031"/>
    <w:rsid w:val="00C814BE"/>
    <w:rsid w:val="00C827D3"/>
    <w:rsid w:val="00C83D5F"/>
    <w:rsid w:val="00C845B4"/>
    <w:rsid w:val="00C87250"/>
    <w:rsid w:val="00C94585"/>
    <w:rsid w:val="00C974BD"/>
    <w:rsid w:val="00CA15A6"/>
    <w:rsid w:val="00CA1D14"/>
    <w:rsid w:val="00CA3459"/>
    <w:rsid w:val="00CA611D"/>
    <w:rsid w:val="00CB286C"/>
    <w:rsid w:val="00CB3B86"/>
    <w:rsid w:val="00CB4718"/>
    <w:rsid w:val="00CB48B7"/>
    <w:rsid w:val="00CB574E"/>
    <w:rsid w:val="00CC3D1F"/>
    <w:rsid w:val="00CC3D36"/>
    <w:rsid w:val="00CC6D1B"/>
    <w:rsid w:val="00CD4869"/>
    <w:rsid w:val="00CE1741"/>
    <w:rsid w:val="00CF2796"/>
    <w:rsid w:val="00CF294F"/>
    <w:rsid w:val="00CF2B9C"/>
    <w:rsid w:val="00CF31D2"/>
    <w:rsid w:val="00D01587"/>
    <w:rsid w:val="00D035E0"/>
    <w:rsid w:val="00D04387"/>
    <w:rsid w:val="00D04C7E"/>
    <w:rsid w:val="00D07327"/>
    <w:rsid w:val="00D0789D"/>
    <w:rsid w:val="00D10B9B"/>
    <w:rsid w:val="00D13FEF"/>
    <w:rsid w:val="00D143B3"/>
    <w:rsid w:val="00D169CF"/>
    <w:rsid w:val="00D24438"/>
    <w:rsid w:val="00D27678"/>
    <w:rsid w:val="00D27CC6"/>
    <w:rsid w:val="00D32DD9"/>
    <w:rsid w:val="00D35310"/>
    <w:rsid w:val="00D35FDA"/>
    <w:rsid w:val="00D40FA9"/>
    <w:rsid w:val="00D41205"/>
    <w:rsid w:val="00D441C7"/>
    <w:rsid w:val="00D460BC"/>
    <w:rsid w:val="00D47C6E"/>
    <w:rsid w:val="00D5060A"/>
    <w:rsid w:val="00D513FB"/>
    <w:rsid w:val="00D5338F"/>
    <w:rsid w:val="00D55998"/>
    <w:rsid w:val="00D62446"/>
    <w:rsid w:val="00D63E22"/>
    <w:rsid w:val="00D651C2"/>
    <w:rsid w:val="00D67426"/>
    <w:rsid w:val="00D704E0"/>
    <w:rsid w:val="00D72300"/>
    <w:rsid w:val="00D80544"/>
    <w:rsid w:val="00D816C6"/>
    <w:rsid w:val="00D83840"/>
    <w:rsid w:val="00D85886"/>
    <w:rsid w:val="00D86F9C"/>
    <w:rsid w:val="00D92C8D"/>
    <w:rsid w:val="00D9592A"/>
    <w:rsid w:val="00D95C9F"/>
    <w:rsid w:val="00D96076"/>
    <w:rsid w:val="00D97462"/>
    <w:rsid w:val="00DA14ED"/>
    <w:rsid w:val="00DA1E42"/>
    <w:rsid w:val="00DA6219"/>
    <w:rsid w:val="00DA70FC"/>
    <w:rsid w:val="00DA76E9"/>
    <w:rsid w:val="00DB1512"/>
    <w:rsid w:val="00DB29AE"/>
    <w:rsid w:val="00DB2AF3"/>
    <w:rsid w:val="00DB3B66"/>
    <w:rsid w:val="00DB5985"/>
    <w:rsid w:val="00DC1BE1"/>
    <w:rsid w:val="00DC2A36"/>
    <w:rsid w:val="00DC48EE"/>
    <w:rsid w:val="00DC6FD1"/>
    <w:rsid w:val="00DD1B0E"/>
    <w:rsid w:val="00DD23D1"/>
    <w:rsid w:val="00DD36D0"/>
    <w:rsid w:val="00DD7036"/>
    <w:rsid w:val="00DE3D9B"/>
    <w:rsid w:val="00DE56A4"/>
    <w:rsid w:val="00DE6417"/>
    <w:rsid w:val="00DE7F63"/>
    <w:rsid w:val="00E00B15"/>
    <w:rsid w:val="00E05E0A"/>
    <w:rsid w:val="00E066A6"/>
    <w:rsid w:val="00E1122A"/>
    <w:rsid w:val="00E137D0"/>
    <w:rsid w:val="00E162EF"/>
    <w:rsid w:val="00E16CE2"/>
    <w:rsid w:val="00E2088B"/>
    <w:rsid w:val="00E21D0F"/>
    <w:rsid w:val="00E21FE7"/>
    <w:rsid w:val="00E220F6"/>
    <w:rsid w:val="00E25C96"/>
    <w:rsid w:val="00E27B59"/>
    <w:rsid w:val="00E31223"/>
    <w:rsid w:val="00E3392E"/>
    <w:rsid w:val="00E37CFD"/>
    <w:rsid w:val="00E41ADF"/>
    <w:rsid w:val="00E444E0"/>
    <w:rsid w:val="00E44C86"/>
    <w:rsid w:val="00E45853"/>
    <w:rsid w:val="00E51F02"/>
    <w:rsid w:val="00E6035A"/>
    <w:rsid w:val="00E61AFA"/>
    <w:rsid w:val="00E6729C"/>
    <w:rsid w:val="00E67AC6"/>
    <w:rsid w:val="00E70A15"/>
    <w:rsid w:val="00E75FC7"/>
    <w:rsid w:val="00E80D31"/>
    <w:rsid w:val="00E83CB8"/>
    <w:rsid w:val="00E86711"/>
    <w:rsid w:val="00E87B49"/>
    <w:rsid w:val="00E902E2"/>
    <w:rsid w:val="00E906D5"/>
    <w:rsid w:val="00E91A7C"/>
    <w:rsid w:val="00E91FDA"/>
    <w:rsid w:val="00E92F43"/>
    <w:rsid w:val="00E93195"/>
    <w:rsid w:val="00E9349A"/>
    <w:rsid w:val="00E937EE"/>
    <w:rsid w:val="00EA12CA"/>
    <w:rsid w:val="00EA27CD"/>
    <w:rsid w:val="00EA3067"/>
    <w:rsid w:val="00EB00CE"/>
    <w:rsid w:val="00EB28FE"/>
    <w:rsid w:val="00EB4A3B"/>
    <w:rsid w:val="00EB7CA4"/>
    <w:rsid w:val="00EC06AD"/>
    <w:rsid w:val="00EC2CC1"/>
    <w:rsid w:val="00EC3172"/>
    <w:rsid w:val="00EC6FE6"/>
    <w:rsid w:val="00EC74E2"/>
    <w:rsid w:val="00EC75B6"/>
    <w:rsid w:val="00EC7BD1"/>
    <w:rsid w:val="00ED5ECF"/>
    <w:rsid w:val="00EE226E"/>
    <w:rsid w:val="00EE3770"/>
    <w:rsid w:val="00EE7005"/>
    <w:rsid w:val="00EF244A"/>
    <w:rsid w:val="00EF35E5"/>
    <w:rsid w:val="00F01EBA"/>
    <w:rsid w:val="00F03200"/>
    <w:rsid w:val="00F04178"/>
    <w:rsid w:val="00F04A06"/>
    <w:rsid w:val="00F05A05"/>
    <w:rsid w:val="00F077E4"/>
    <w:rsid w:val="00F1334B"/>
    <w:rsid w:val="00F13A53"/>
    <w:rsid w:val="00F15697"/>
    <w:rsid w:val="00F15E02"/>
    <w:rsid w:val="00F1607C"/>
    <w:rsid w:val="00F16A99"/>
    <w:rsid w:val="00F171A2"/>
    <w:rsid w:val="00F171F3"/>
    <w:rsid w:val="00F25CE6"/>
    <w:rsid w:val="00F3010C"/>
    <w:rsid w:val="00F32A67"/>
    <w:rsid w:val="00F32B0E"/>
    <w:rsid w:val="00F3612B"/>
    <w:rsid w:val="00F36657"/>
    <w:rsid w:val="00F40CCC"/>
    <w:rsid w:val="00F47F0A"/>
    <w:rsid w:val="00F573E0"/>
    <w:rsid w:val="00F621C2"/>
    <w:rsid w:val="00F65797"/>
    <w:rsid w:val="00F71A09"/>
    <w:rsid w:val="00F76151"/>
    <w:rsid w:val="00F802EA"/>
    <w:rsid w:val="00F90DAD"/>
    <w:rsid w:val="00FA330B"/>
    <w:rsid w:val="00FA35CF"/>
    <w:rsid w:val="00FA5DF3"/>
    <w:rsid w:val="00FA754B"/>
    <w:rsid w:val="00FB050C"/>
    <w:rsid w:val="00FC266E"/>
    <w:rsid w:val="00FC650D"/>
    <w:rsid w:val="00FD0389"/>
    <w:rsid w:val="00FD271E"/>
    <w:rsid w:val="00FD47B1"/>
    <w:rsid w:val="00FD6860"/>
    <w:rsid w:val="00FE00FB"/>
    <w:rsid w:val="00FE06CD"/>
    <w:rsid w:val="00FE28FD"/>
    <w:rsid w:val="00FE4070"/>
    <w:rsid w:val="00FF1892"/>
    <w:rsid w:val="00FF4C6F"/>
    <w:rsid w:val="00FF5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61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F3B"/>
    <w:pPr>
      <w:spacing w:after="240" w:line="240" w:lineRule="auto"/>
    </w:pPr>
    <w:rPr>
      <w:rFonts w:ascii="Times New Roman" w:hAnsi="Times New Roman"/>
      <w:sz w:val="24"/>
    </w:rPr>
  </w:style>
  <w:style w:type="paragraph" w:styleId="Heading1">
    <w:name w:val="heading 1"/>
    <w:next w:val="BodyText"/>
    <w:link w:val="Heading1Char"/>
    <w:uiPriority w:val="9"/>
    <w:qFormat/>
    <w:rsid w:val="00AF2BEC"/>
    <w:pPr>
      <w:keepNext/>
      <w:pageBreakBefore/>
      <w:numPr>
        <w:numId w:val="17"/>
      </w:numPr>
      <w:spacing w:before="240" w:after="360"/>
      <w:outlineLvl w:val="0"/>
    </w:pPr>
    <w:rPr>
      <w:rFonts w:ascii="Cambria" w:eastAsiaTheme="majorEastAsia" w:hAnsi="Cambria" w:cstheme="majorBidi"/>
      <w:b/>
      <w:caps/>
      <w:color w:val="2E74B5" w:themeColor="accent1" w:themeShade="BF"/>
      <w:sz w:val="28"/>
      <w:szCs w:val="32"/>
    </w:rPr>
  </w:style>
  <w:style w:type="paragraph" w:styleId="Heading2">
    <w:name w:val="heading 2"/>
    <w:next w:val="BodyText"/>
    <w:link w:val="Heading2Char"/>
    <w:uiPriority w:val="9"/>
    <w:unhideWhenUsed/>
    <w:qFormat/>
    <w:rsid w:val="00AF2BEC"/>
    <w:pPr>
      <w:keepNext/>
      <w:numPr>
        <w:ilvl w:val="1"/>
        <w:numId w:val="17"/>
      </w:numPr>
      <w:spacing w:after="120"/>
      <w:outlineLvl w:val="1"/>
    </w:pPr>
    <w:rPr>
      <w:rFonts w:ascii="Cambria" w:eastAsiaTheme="majorEastAsia" w:hAnsi="Cambria" w:cstheme="majorBidi"/>
      <w:b/>
      <w:color w:val="2E74B5" w:themeColor="accent1" w:themeShade="BF"/>
      <w:sz w:val="28"/>
      <w:szCs w:val="26"/>
    </w:rPr>
  </w:style>
  <w:style w:type="paragraph" w:styleId="Heading3">
    <w:name w:val="heading 3"/>
    <w:next w:val="Normal"/>
    <w:link w:val="Heading3Char"/>
    <w:uiPriority w:val="9"/>
    <w:unhideWhenUsed/>
    <w:qFormat/>
    <w:rsid w:val="00E91FDA"/>
    <w:pPr>
      <w:keepNext/>
      <w:numPr>
        <w:ilvl w:val="2"/>
        <w:numId w:val="17"/>
      </w:numPr>
      <w:spacing w:before="240" w:after="120"/>
      <w:outlineLvl w:val="2"/>
    </w:pPr>
    <w:rPr>
      <w:rFonts w:ascii="Cambria" w:eastAsiaTheme="majorEastAsia" w:hAnsi="Cambria" w:cstheme="majorBidi"/>
      <w:b/>
      <w:sz w:val="24"/>
      <w:szCs w:val="24"/>
    </w:rPr>
  </w:style>
  <w:style w:type="paragraph" w:styleId="Heading4">
    <w:name w:val="heading 4"/>
    <w:next w:val="BodyText"/>
    <w:link w:val="Heading4Char"/>
    <w:uiPriority w:val="9"/>
    <w:unhideWhenUsed/>
    <w:qFormat/>
    <w:rsid w:val="00B26EE0"/>
    <w:pPr>
      <w:keepNext/>
      <w:spacing w:before="200" w:after="0"/>
      <w:outlineLvl w:val="3"/>
    </w:pPr>
    <w:rPr>
      <w:rFonts w:ascii="Times New Roman" w:eastAsiaTheme="majorEastAsia" w:hAnsi="Times New Roman" w:cstheme="majorBidi"/>
      <w:b/>
      <w:bCs/>
      <w:iCs/>
      <w:color w:val="2E74B5" w:themeColor="accent1" w:themeShade="BF"/>
      <w:sz w:val="24"/>
      <w:szCs w:val="24"/>
    </w:rPr>
  </w:style>
  <w:style w:type="paragraph" w:styleId="Heading5">
    <w:name w:val="heading 5"/>
    <w:aliases w:val="ExecSumm Lvl 2"/>
    <w:next w:val="BodyText"/>
    <w:link w:val="Heading5Char"/>
    <w:uiPriority w:val="9"/>
    <w:unhideWhenUsed/>
    <w:qFormat/>
    <w:rsid w:val="0048057F"/>
    <w:pPr>
      <w:keepNext/>
      <w:spacing w:before="120" w:after="0"/>
      <w:outlineLvl w:val="4"/>
    </w:pPr>
    <w:rPr>
      <w:rFonts w:asciiTheme="majorHAnsi" w:eastAsiaTheme="majorEastAsia" w:hAnsiTheme="majorHAnsi" w:cstheme="majorBidi"/>
      <w:i/>
      <w:color w:val="2E74B5" w:themeColor="accent1" w:themeShade="BF"/>
      <w:sz w:val="24"/>
    </w:rPr>
  </w:style>
  <w:style w:type="paragraph" w:styleId="Heading6">
    <w:name w:val="heading 6"/>
    <w:aliases w:val="ExecSumm Lvl 3"/>
    <w:next w:val="BodyText"/>
    <w:link w:val="Heading6Char"/>
    <w:uiPriority w:val="9"/>
    <w:unhideWhenUsed/>
    <w:qFormat/>
    <w:rsid w:val="00AF2BEC"/>
    <w:pPr>
      <w:keepNext/>
      <w:spacing w:before="40" w:after="0"/>
      <w:outlineLvl w:val="5"/>
    </w:pPr>
    <w:rPr>
      <w:rFonts w:asciiTheme="majorHAnsi" w:eastAsiaTheme="majorEastAsia" w:hAnsiTheme="majorHAnsi" w:cstheme="majorBidi"/>
      <w:color w:val="1F4D78" w:themeColor="accent1" w:themeShade="7F"/>
      <w:sz w:val="24"/>
    </w:rPr>
  </w:style>
  <w:style w:type="paragraph" w:styleId="Heading7">
    <w:name w:val="heading 7"/>
    <w:aliases w:val="App Lvl 1,Appendix Lvl one"/>
    <w:next w:val="BodyText"/>
    <w:link w:val="Heading7Char"/>
    <w:uiPriority w:val="9"/>
    <w:unhideWhenUsed/>
    <w:qFormat/>
    <w:rsid w:val="00AF2BEC"/>
    <w:pPr>
      <w:keepNext/>
      <w:pageBreakBefore/>
      <w:numPr>
        <w:ilvl w:val="6"/>
        <w:numId w:val="17"/>
      </w:numPr>
      <w:spacing w:before="240" w:after="360"/>
      <w:outlineLvl w:val="6"/>
    </w:pPr>
    <w:rPr>
      <w:rFonts w:ascii="Cambria" w:eastAsiaTheme="majorEastAsia" w:hAnsi="Cambria" w:cstheme="majorBidi"/>
      <w:b/>
      <w:iCs/>
      <w:color w:val="2E74B5" w:themeColor="accent1" w:themeShade="BF"/>
      <w:sz w:val="28"/>
    </w:rPr>
  </w:style>
  <w:style w:type="paragraph" w:styleId="Heading8">
    <w:name w:val="heading 8"/>
    <w:aliases w:val="App Lvl 2,Appendix Lvl two"/>
    <w:next w:val="BodyText"/>
    <w:link w:val="Heading8Char"/>
    <w:uiPriority w:val="9"/>
    <w:unhideWhenUsed/>
    <w:qFormat/>
    <w:rsid w:val="00AF2BEC"/>
    <w:pPr>
      <w:keepNext/>
      <w:numPr>
        <w:ilvl w:val="7"/>
        <w:numId w:val="17"/>
      </w:numPr>
      <w:spacing w:after="120"/>
      <w:outlineLvl w:val="7"/>
    </w:pPr>
    <w:rPr>
      <w:rFonts w:ascii="Cambria" w:eastAsiaTheme="majorEastAsia" w:hAnsi="Cambria" w:cstheme="majorBidi"/>
      <w:b/>
      <w:iCs/>
      <w:color w:val="2E74B5" w:themeColor="accent1" w:themeShade="BF"/>
      <w:sz w:val="28"/>
      <w:szCs w:val="21"/>
    </w:rPr>
  </w:style>
  <w:style w:type="paragraph" w:styleId="Heading9">
    <w:name w:val="heading 9"/>
    <w:aliases w:val="App Lvl 3,Appendix Lvl three"/>
    <w:next w:val="BodyText"/>
    <w:link w:val="Heading9Char"/>
    <w:uiPriority w:val="9"/>
    <w:unhideWhenUsed/>
    <w:qFormat/>
    <w:rsid w:val="00AF2BEC"/>
    <w:pPr>
      <w:keepNext/>
      <w:numPr>
        <w:ilvl w:val="8"/>
        <w:numId w:val="17"/>
      </w:numPr>
      <w:spacing w:before="40" w:after="0"/>
      <w:outlineLvl w:val="8"/>
    </w:pPr>
    <w:rPr>
      <w:rFonts w:asciiTheme="majorHAnsi" w:eastAsiaTheme="majorEastAsia" w:hAnsiTheme="majorHAnsi" w:cstheme="majorBidi"/>
      <w:b/>
      <w: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6C"/>
    <w:rPr>
      <w:rFonts w:ascii="Cambria" w:eastAsiaTheme="majorEastAsia" w:hAnsi="Cambria" w:cstheme="majorBidi"/>
      <w:b/>
      <w:caps/>
      <w:color w:val="2E74B5" w:themeColor="accent1" w:themeShade="BF"/>
      <w:sz w:val="28"/>
      <w:szCs w:val="32"/>
    </w:rPr>
  </w:style>
  <w:style w:type="character" w:customStyle="1" w:styleId="Heading2Char">
    <w:name w:val="Heading 2 Char"/>
    <w:basedOn w:val="DefaultParagraphFont"/>
    <w:link w:val="Heading2"/>
    <w:uiPriority w:val="9"/>
    <w:rsid w:val="00215B6C"/>
    <w:rPr>
      <w:rFonts w:ascii="Cambria" w:eastAsiaTheme="majorEastAsia" w:hAnsi="Cambria" w:cstheme="majorBidi"/>
      <w:b/>
      <w:color w:val="2E74B5" w:themeColor="accent1" w:themeShade="BF"/>
      <w:sz w:val="28"/>
      <w:szCs w:val="26"/>
    </w:rPr>
  </w:style>
  <w:style w:type="character" w:customStyle="1" w:styleId="Heading3Char">
    <w:name w:val="Heading 3 Char"/>
    <w:basedOn w:val="DefaultParagraphFont"/>
    <w:link w:val="Heading3"/>
    <w:uiPriority w:val="9"/>
    <w:rsid w:val="00E91FDA"/>
    <w:rPr>
      <w:rFonts w:ascii="Cambria" w:eastAsiaTheme="majorEastAsia" w:hAnsi="Cambria" w:cstheme="majorBidi"/>
      <w:b/>
      <w:sz w:val="24"/>
      <w:szCs w:val="24"/>
    </w:rPr>
  </w:style>
  <w:style w:type="character" w:customStyle="1" w:styleId="Heading4Char">
    <w:name w:val="Heading 4 Char"/>
    <w:basedOn w:val="DefaultParagraphFont"/>
    <w:link w:val="Heading4"/>
    <w:uiPriority w:val="9"/>
    <w:rsid w:val="00B26EE0"/>
    <w:rPr>
      <w:rFonts w:ascii="Times New Roman" w:eastAsiaTheme="majorEastAsia" w:hAnsi="Times New Roman" w:cstheme="majorBidi"/>
      <w:b/>
      <w:bCs/>
      <w:iCs/>
      <w:color w:val="2E74B5" w:themeColor="accent1" w:themeShade="BF"/>
      <w:sz w:val="24"/>
      <w:szCs w:val="24"/>
    </w:rPr>
  </w:style>
  <w:style w:type="table" w:styleId="TableGrid">
    <w:name w:val="Table Grid"/>
    <w:basedOn w:val="TableNormal"/>
    <w:uiPriority w:val="39"/>
    <w:rsid w:val="002122B2"/>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haroni" w:hAnsi="Aharoni"/>
        <w:b w:val="0"/>
        <w:i w:val="0"/>
        <w:color w:val="FFFFFF" w:themeColor="background1"/>
        <w:sz w:val="18"/>
      </w:rPr>
      <w:tblPr/>
      <w:trPr>
        <w:tblHeader/>
      </w:trPr>
      <w:tcPr>
        <w:shd w:val="clear" w:color="auto" w:fill="366091"/>
      </w:tcPr>
    </w:tblStylePr>
    <w:tblStylePr w:type="band2Horz">
      <w:tblPr/>
      <w:tcPr>
        <w:shd w:val="clear" w:color="auto" w:fill="DEEAF6" w:themeFill="accent1" w:themeFillTint="33"/>
      </w:tcPr>
    </w:tblStylePr>
  </w:style>
  <w:style w:type="paragraph" w:styleId="Caption">
    <w:name w:val="caption"/>
    <w:basedOn w:val="Normal"/>
    <w:next w:val="02Tabletext"/>
    <w:uiPriority w:val="35"/>
    <w:unhideWhenUsed/>
    <w:qFormat/>
    <w:rsid w:val="00FD6860"/>
    <w:pPr>
      <w:keepNext/>
      <w:spacing w:after="40"/>
      <w:ind w:left="1191" w:hanging="1191"/>
    </w:pPr>
    <w:rPr>
      <w:b/>
      <w:iCs/>
      <w:sz w:val="20"/>
      <w:szCs w:val="18"/>
    </w:rPr>
  </w:style>
  <w:style w:type="paragraph" w:styleId="ListParagraph">
    <w:name w:val="List Paragraph"/>
    <w:basedOn w:val="Normal"/>
    <w:link w:val="ListParagraphChar"/>
    <w:uiPriority w:val="34"/>
    <w:qFormat/>
    <w:rsid w:val="009836F7"/>
    <w:pPr>
      <w:ind w:left="720"/>
      <w:contextualSpacing/>
    </w:pPr>
  </w:style>
  <w:style w:type="character" w:customStyle="1" w:styleId="ListParagraphChar">
    <w:name w:val="List Paragraph Char"/>
    <w:basedOn w:val="DefaultParagraphFont"/>
    <w:link w:val="ListParagraph"/>
    <w:uiPriority w:val="34"/>
    <w:rsid w:val="001B06DC"/>
    <w:rPr>
      <w:rFonts w:ascii="Times New Roman" w:hAnsi="Times New Roman"/>
      <w:sz w:val="24"/>
    </w:rPr>
  </w:style>
  <w:style w:type="paragraph" w:customStyle="1" w:styleId="02Tabletext">
    <w:name w:val="02. Table text"/>
    <w:next w:val="03Tabletextspacebefore"/>
    <w:link w:val="02TabletextChar"/>
    <w:qFormat/>
    <w:rsid w:val="00982A19"/>
    <w:pPr>
      <w:keepNext/>
      <w:spacing w:before="20" w:after="0" w:line="240" w:lineRule="auto"/>
    </w:pPr>
    <w:rPr>
      <w:rFonts w:ascii="Times New Roman" w:hAnsi="Times New Roman" w:cs="Times New Roman"/>
      <w:sz w:val="20"/>
    </w:rPr>
  </w:style>
  <w:style w:type="character" w:customStyle="1" w:styleId="02TabletextChar">
    <w:name w:val="02. Table text Char"/>
    <w:basedOn w:val="DefaultParagraphFont"/>
    <w:link w:val="02Tabletext"/>
    <w:rsid w:val="00982A19"/>
    <w:rPr>
      <w:rFonts w:ascii="Times New Roman" w:hAnsi="Times New Roman" w:cs="Times New Roman"/>
      <w:sz w:val="20"/>
    </w:rPr>
  </w:style>
  <w:style w:type="paragraph" w:customStyle="1" w:styleId="01Tableheadingorsubheading">
    <w:name w:val="01. Table heading or subheading"/>
    <w:link w:val="01TableheadingorsubheadingChar"/>
    <w:qFormat/>
    <w:rsid w:val="00982A19"/>
    <w:pPr>
      <w:keepNext/>
      <w:spacing w:after="0" w:line="240" w:lineRule="auto"/>
    </w:pPr>
    <w:rPr>
      <w:rFonts w:ascii="Times New Roman" w:hAnsi="Times New Roman" w:cs="Times New Roman"/>
      <w:b/>
      <w:color w:val="FFFFFF" w:themeColor="background1"/>
      <w:sz w:val="18"/>
    </w:rPr>
  </w:style>
  <w:style w:type="character" w:customStyle="1" w:styleId="01TableheadingorsubheadingChar">
    <w:name w:val="01. Table heading or subheading Char"/>
    <w:basedOn w:val="02TabletextChar"/>
    <w:link w:val="01Tableheadingorsubheading"/>
    <w:rsid w:val="00982A19"/>
    <w:rPr>
      <w:rFonts w:ascii="Times New Roman" w:hAnsi="Times New Roman" w:cs="Times New Roman"/>
      <w:b/>
      <w:color w:val="FFFFFF" w:themeColor="background1"/>
      <w:sz w:val="20"/>
    </w:rPr>
  </w:style>
  <w:style w:type="paragraph" w:styleId="TOC1">
    <w:name w:val="toc 1"/>
    <w:basedOn w:val="Normal"/>
    <w:next w:val="Normal"/>
    <w:autoRedefine/>
    <w:uiPriority w:val="39"/>
    <w:unhideWhenUsed/>
    <w:rsid w:val="00257216"/>
    <w:pPr>
      <w:keepNext/>
      <w:tabs>
        <w:tab w:val="right" w:leader="dot" w:pos="9639"/>
      </w:tabs>
      <w:spacing w:before="360" w:after="60"/>
      <w:ind w:left="567" w:right="-143" w:hanging="567"/>
    </w:pPr>
    <w:rPr>
      <w:b/>
      <w:bCs/>
      <w:caps/>
      <w:sz w:val="22"/>
    </w:rPr>
  </w:style>
  <w:style w:type="paragraph" w:styleId="TOC2">
    <w:name w:val="toc 2"/>
    <w:basedOn w:val="Normal"/>
    <w:next w:val="Normal"/>
    <w:autoRedefine/>
    <w:uiPriority w:val="39"/>
    <w:unhideWhenUsed/>
    <w:rsid w:val="00257216"/>
    <w:pPr>
      <w:tabs>
        <w:tab w:val="right" w:leader="dot" w:pos="9639"/>
      </w:tabs>
      <w:spacing w:after="0"/>
      <w:ind w:left="567" w:right="-143" w:hanging="567"/>
    </w:pPr>
    <w:rPr>
      <w:bCs/>
      <w:smallCaps/>
      <w:sz w:val="22"/>
    </w:rPr>
  </w:style>
  <w:style w:type="paragraph" w:styleId="TOC3">
    <w:name w:val="toc 3"/>
    <w:basedOn w:val="Normal"/>
    <w:next w:val="Normal"/>
    <w:autoRedefine/>
    <w:uiPriority w:val="39"/>
    <w:unhideWhenUsed/>
    <w:rsid w:val="009D69DA"/>
    <w:pPr>
      <w:spacing w:after="0"/>
      <w:ind w:left="1247" w:right="567" w:hanging="567"/>
    </w:pPr>
    <w:rPr>
      <w:smallCaps/>
      <w:sz w:val="22"/>
    </w:rPr>
  </w:style>
  <w:style w:type="paragraph" w:styleId="TOC4">
    <w:name w:val="toc 4"/>
    <w:basedOn w:val="Normal"/>
    <w:next w:val="Normal"/>
    <w:autoRedefine/>
    <w:uiPriority w:val="39"/>
    <w:unhideWhenUsed/>
    <w:rsid w:val="009D69DA"/>
    <w:pPr>
      <w:spacing w:after="0"/>
      <w:ind w:left="567" w:right="284" w:hanging="567"/>
    </w:pPr>
    <w:rPr>
      <w:rFonts w:asciiTheme="minorHAnsi" w:hAnsiTheme="minorHAnsi"/>
      <w:sz w:val="22"/>
    </w:rPr>
  </w:style>
  <w:style w:type="paragraph" w:styleId="TOC5">
    <w:name w:val="toc 5"/>
    <w:basedOn w:val="Normal"/>
    <w:next w:val="Normal"/>
    <w:autoRedefine/>
    <w:uiPriority w:val="39"/>
    <w:unhideWhenUsed/>
    <w:rsid w:val="0097411D"/>
    <w:pPr>
      <w:spacing w:after="0"/>
    </w:pPr>
    <w:rPr>
      <w:rFonts w:asciiTheme="minorHAnsi" w:hAnsiTheme="minorHAnsi"/>
      <w:sz w:val="22"/>
    </w:rPr>
  </w:style>
  <w:style w:type="paragraph" w:styleId="TOC6">
    <w:name w:val="toc 6"/>
    <w:basedOn w:val="Normal"/>
    <w:next w:val="Normal"/>
    <w:autoRedefine/>
    <w:uiPriority w:val="39"/>
    <w:unhideWhenUsed/>
    <w:rsid w:val="009D69DA"/>
    <w:pPr>
      <w:spacing w:after="0"/>
      <w:ind w:left="567" w:right="567" w:hanging="567"/>
    </w:pPr>
    <w:rPr>
      <w:rFonts w:asciiTheme="minorHAnsi" w:hAnsiTheme="minorHAnsi"/>
      <w:sz w:val="22"/>
    </w:rPr>
  </w:style>
  <w:style w:type="paragraph" w:styleId="TOC7">
    <w:name w:val="toc 7"/>
    <w:basedOn w:val="Normal"/>
    <w:next w:val="Normal"/>
    <w:autoRedefine/>
    <w:uiPriority w:val="39"/>
    <w:unhideWhenUsed/>
    <w:rsid w:val="0097411D"/>
    <w:pPr>
      <w:spacing w:after="0"/>
    </w:pPr>
    <w:rPr>
      <w:rFonts w:asciiTheme="minorHAnsi" w:hAnsiTheme="minorHAnsi"/>
      <w:sz w:val="22"/>
    </w:rPr>
  </w:style>
  <w:style w:type="paragraph" w:styleId="TOC8">
    <w:name w:val="toc 8"/>
    <w:basedOn w:val="Normal"/>
    <w:next w:val="Normal"/>
    <w:autoRedefine/>
    <w:uiPriority w:val="39"/>
    <w:unhideWhenUsed/>
    <w:rsid w:val="0097411D"/>
    <w:pPr>
      <w:spacing w:after="0"/>
    </w:pPr>
    <w:rPr>
      <w:rFonts w:asciiTheme="minorHAnsi" w:hAnsiTheme="minorHAnsi"/>
      <w:sz w:val="22"/>
    </w:rPr>
  </w:style>
  <w:style w:type="paragraph" w:styleId="TOC9">
    <w:name w:val="toc 9"/>
    <w:basedOn w:val="Normal"/>
    <w:next w:val="Normal"/>
    <w:autoRedefine/>
    <w:uiPriority w:val="39"/>
    <w:unhideWhenUsed/>
    <w:rsid w:val="0097411D"/>
    <w:pPr>
      <w:spacing w:after="0"/>
    </w:pPr>
    <w:rPr>
      <w:rFonts w:asciiTheme="minorHAnsi" w:hAnsiTheme="minorHAnsi"/>
      <w:sz w:val="22"/>
    </w:rPr>
  </w:style>
  <w:style w:type="character" w:styleId="Hyperlink">
    <w:name w:val="Hyperlink"/>
    <w:basedOn w:val="DefaultParagraphFont"/>
    <w:uiPriority w:val="99"/>
    <w:unhideWhenUsed/>
    <w:rsid w:val="0097411D"/>
    <w:rPr>
      <w:color w:val="0563C1" w:themeColor="hyperlink"/>
      <w:u w:val="single"/>
    </w:rPr>
  </w:style>
  <w:style w:type="paragraph" w:styleId="TOCHeading">
    <w:name w:val="TOC Heading"/>
    <w:basedOn w:val="Heading1"/>
    <w:next w:val="Normal"/>
    <w:uiPriority w:val="39"/>
    <w:unhideWhenUsed/>
    <w:qFormat/>
    <w:rsid w:val="001F2E1D"/>
    <w:pPr>
      <w:numPr>
        <w:numId w:val="0"/>
      </w:numPr>
      <w:outlineLvl w:val="9"/>
    </w:pPr>
    <w:rPr>
      <w:caps w:val="0"/>
      <w:color w:val="auto"/>
      <w:sz w:val="44"/>
      <w:lang w:val="en-US"/>
    </w:rPr>
  </w:style>
  <w:style w:type="paragraph" w:styleId="Footer">
    <w:name w:val="footer"/>
    <w:basedOn w:val="Normal"/>
    <w:link w:val="FooterChar"/>
    <w:uiPriority w:val="99"/>
    <w:unhideWhenUsed/>
    <w:rsid w:val="00C5297B"/>
    <w:pPr>
      <w:tabs>
        <w:tab w:val="center" w:pos="4513"/>
        <w:tab w:val="right" w:pos="9026"/>
      </w:tabs>
      <w:spacing w:after="0"/>
    </w:pPr>
  </w:style>
  <w:style w:type="character" w:customStyle="1" w:styleId="FooterChar">
    <w:name w:val="Footer Char"/>
    <w:basedOn w:val="DefaultParagraphFont"/>
    <w:link w:val="Footer"/>
    <w:uiPriority w:val="99"/>
    <w:rsid w:val="00C5297B"/>
    <w:rPr>
      <w:rFonts w:ascii="Times New Roman" w:hAnsi="Times New Roman"/>
      <w:sz w:val="24"/>
    </w:rPr>
  </w:style>
  <w:style w:type="character" w:styleId="PageNumber">
    <w:name w:val="page number"/>
    <w:basedOn w:val="DefaultParagraphFont"/>
    <w:rsid w:val="00C5297B"/>
  </w:style>
  <w:style w:type="paragraph" w:customStyle="1" w:styleId="TitlePageLowercase">
    <w:name w:val="Title Page Lowercase"/>
    <w:basedOn w:val="Normal"/>
    <w:link w:val="TitlePageLowercaseChar"/>
    <w:qFormat/>
    <w:rsid w:val="00756FA1"/>
    <w:pPr>
      <w:tabs>
        <w:tab w:val="left" w:pos="885"/>
      </w:tabs>
      <w:jc w:val="center"/>
    </w:pPr>
    <w:rPr>
      <w:b/>
      <w:sz w:val="36"/>
      <w:szCs w:val="36"/>
    </w:rPr>
  </w:style>
  <w:style w:type="character" w:customStyle="1" w:styleId="TitlePageLowercaseChar">
    <w:name w:val="Title Page Lowercase Char"/>
    <w:basedOn w:val="DefaultParagraphFont"/>
    <w:link w:val="TitlePageLowercase"/>
    <w:rsid w:val="00756FA1"/>
    <w:rPr>
      <w:rFonts w:ascii="Times New Roman" w:hAnsi="Times New Roman"/>
      <w:b/>
      <w:sz w:val="36"/>
      <w:szCs w:val="36"/>
    </w:rPr>
  </w:style>
  <w:style w:type="paragraph" w:customStyle="1" w:styleId="TITLEPAGECAPS">
    <w:name w:val="TITLE PAGE CAPS"/>
    <w:basedOn w:val="Normal"/>
    <w:link w:val="TITLEPAGECAPSChar"/>
    <w:qFormat/>
    <w:rsid w:val="00756FA1"/>
    <w:pPr>
      <w:tabs>
        <w:tab w:val="left" w:pos="885"/>
      </w:tabs>
      <w:jc w:val="center"/>
    </w:pPr>
    <w:rPr>
      <w:rFonts w:ascii="Times New Roman Bold" w:hAnsi="Times New Roman Bold"/>
      <w:b/>
      <w:caps/>
      <w:sz w:val="36"/>
      <w:szCs w:val="36"/>
    </w:rPr>
  </w:style>
  <w:style w:type="character" w:customStyle="1" w:styleId="TITLEPAGECAPSChar">
    <w:name w:val="TITLE PAGE CAPS Char"/>
    <w:basedOn w:val="DefaultParagraphFont"/>
    <w:link w:val="TITLEPAGECAPS"/>
    <w:rsid w:val="00756FA1"/>
    <w:rPr>
      <w:rFonts w:ascii="Times New Roman Bold" w:hAnsi="Times New Roman Bold"/>
      <w:b/>
      <w:caps/>
      <w:sz w:val="36"/>
      <w:szCs w:val="36"/>
    </w:rPr>
  </w:style>
  <w:style w:type="paragraph" w:styleId="BalloonText">
    <w:name w:val="Balloon Text"/>
    <w:basedOn w:val="Normal"/>
    <w:link w:val="BalloonTextChar"/>
    <w:uiPriority w:val="99"/>
    <w:semiHidden/>
    <w:unhideWhenUsed/>
    <w:rsid w:val="000D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8A8"/>
    <w:rPr>
      <w:rFonts w:ascii="Tahoma" w:hAnsi="Tahoma" w:cs="Tahoma"/>
      <w:sz w:val="16"/>
      <w:szCs w:val="16"/>
    </w:rPr>
  </w:style>
  <w:style w:type="paragraph" w:customStyle="1" w:styleId="09Tablefootnoteslast-nostick">
    <w:name w:val="09. Table footnotes last - no stick"/>
    <w:next w:val="BodyText"/>
    <w:qFormat/>
    <w:rsid w:val="00687061"/>
    <w:pPr>
      <w:spacing w:after="360" w:line="240" w:lineRule="auto"/>
    </w:pPr>
    <w:rPr>
      <w:rFonts w:ascii="Times New Roman" w:hAnsi="Times New Roman"/>
      <w:sz w:val="16"/>
      <w:szCs w:val="16"/>
    </w:rPr>
  </w:style>
  <w:style w:type="paragraph" w:customStyle="1" w:styleId="08Tablefootnotes">
    <w:name w:val="08. Table footnotes"/>
    <w:link w:val="08TablefootnotesChar"/>
    <w:qFormat/>
    <w:rsid w:val="00687061"/>
    <w:pPr>
      <w:keepNext/>
      <w:spacing w:after="0" w:line="240" w:lineRule="auto"/>
    </w:pPr>
    <w:rPr>
      <w:rFonts w:ascii="Times New Roman" w:hAnsi="Times New Roman"/>
      <w:sz w:val="16"/>
      <w:szCs w:val="16"/>
    </w:rPr>
  </w:style>
  <w:style w:type="character" w:customStyle="1" w:styleId="08TablefootnotesChar">
    <w:name w:val="08. Table footnotes Char"/>
    <w:basedOn w:val="DefaultParagraphFont"/>
    <w:link w:val="08Tablefootnotes"/>
    <w:rsid w:val="00687061"/>
    <w:rPr>
      <w:rFonts w:ascii="Times New Roman" w:hAnsi="Times New Roman"/>
      <w:sz w:val="16"/>
      <w:szCs w:val="16"/>
    </w:rPr>
  </w:style>
  <w:style w:type="paragraph" w:customStyle="1" w:styleId="03Tabletextspacebefore">
    <w:name w:val="03. Table text space before"/>
    <w:qFormat/>
    <w:rsid w:val="000C6169"/>
    <w:pPr>
      <w:spacing w:before="60" w:after="0" w:line="240" w:lineRule="auto"/>
    </w:pPr>
    <w:rPr>
      <w:rFonts w:ascii="Times New Roman" w:hAnsi="Times New Roman"/>
      <w:sz w:val="18"/>
      <w:szCs w:val="16"/>
    </w:rPr>
  </w:style>
  <w:style w:type="paragraph" w:customStyle="1" w:styleId="04Tabletextspaceitalics">
    <w:name w:val="04. Table text space italics"/>
    <w:qFormat/>
    <w:rsid w:val="00AE1860"/>
    <w:pPr>
      <w:keepNext/>
      <w:spacing w:before="120" w:after="0" w:line="240" w:lineRule="auto"/>
    </w:pPr>
    <w:rPr>
      <w:rFonts w:ascii="Times New Roman" w:hAnsi="Times New Roman" w:cs="Times New Roman"/>
      <w:i/>
      <w:sz w:val="18"/>
    </w:rPr>
  </w:style>
  <w:style w:type="character" w:styleId="CommentReference">
    <w:name w:val="annotation reference"/>
    <w:basedOn w:val="DefaultParagraphFont"/>
    <w:uiPriority w:val="99"/>
    <w:semiHidden/>
    <w:unhideWhenUsed/>
    <w:rsid w:val="00BB667B"/>
    <w:rPr>
      <w:sz w:val="16"/>
      <w:szCs w:val="16"/>
    </w:rPr>
  </w:style>
  <w:style w:type="paragraph" w:styleId="CommentText">
    <w:name w:val="annotation text"/>
    <w:basedOn w:val="Normal"/>
    <w:link w:val="CommentTextChar"/>
    <w:uiPriority w:val="99"/>
    <w:unhideWhenUsed/>
    <w:rsid w:val="00BB667B"/>
    <w:rPr>
      <w:sz w:val="20"/>
      <w:szCs w:val="20"/>
    </w:rPr>
  </w:style>
  <w:style w:type="character" w:customStyle="1" w:styleId="CommentTextChar">
    <w:name w:val="Comment Text Char"/>
    <w:basedOn w:val="DefaultParagraphFont"/>
    <w:link w:val="CommentText"/>
    <w:uiPriority w:val="99"/>
    <w:rsid w:val="00BB66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667B"/>
    <w:rPr>
      <w:b/>
      <w:bCs/>
    </w:rPr>
  </w:style>
  <w:style w:type="character" w:customStyle="1" w:styleId="CommentSubjectChar">
    <w:name w:val="Comment Subject Char"/>
    <w:basedOn w:val="CommentTextChar"/>
    <w:link w:val="CommentSubject"/>
    <w:uiPriority w:val="99"/>
    <w:semiHidden/>
    <w:rsid w:val="00BB667B"/>
    <w:rPr>
      <w:rFonts w:ascii="Times New Roman" w:hAnsi="Times New Roman"/>
      <w:b/>
      <w:bCs/>
      <w:sz w:val="20"/>
      <w:szCs w:val="20"/>
    </w:rPr>
  </w:style>
  <w:style w:type="paragraph" w:customStyle="1" w:styleId="05Tablebold">
    <w:name w:val="05. Table bold"/>
    <w:next w:val="02Tabletext"/>
    <w:qFormat/>
    <w:rsid w:val="00FD6860"/>
    <w:pPr>
      <w:keepNext/>
      <w:spacing w:before="20" w:after="0" w:line="240" w:lineRule="auto"/>
    </w:pPr>
    <w:rPr>
      <w:rFonts w:ascii="Times New Roman" w:hAnsi="Times New Roman" w:cs="Times New Roman"/>
      <w:b/>
      <w:sz w:val="18"/>
    </w:rPr>
  </w:style>
  <w:style w:type="paragraph" w:customStyle="1" w:styleId="06Tablebullet">
    <w:name w:val="06. Table bullet"/>
    <w:qFormat/>
    <w:rsid w:val="000C6169"/>
    <w:pPr>
      <w:numPr>
        <w:numId w:val="30"/>
      </w:numPr>
      <w:spacing w:after="0" w:line="240" w:lineRule="auto"/>
      <w:ind w:left="284" w:hanging="227"/>
    </w:pPr>
    <w:rPr>
      <w:rFonts w:ascii="Times New Roman" w:hAnsi="Times New Roman" w:cs="Times New Roman"/>
      <w:sz w:val="18"/>
    </w:rPr>
  </w:style>
  <w:style w:type="paragraph" w:customStyle="1" w:styleId="07Tableright-aligned">
    <w:name w:val="07. Table $ right-aligned"/>
    <w:qFormat/>
    <w:rsid w:val="000C6169"/>
    <w:pPr>
      <w:spacing w:before="20" w:after="0" w:line="240" w:lineRule="auto"/>
      <w:ind w:right="113"/>
      <w:jc w:val="right"/>
    </w:pPr>
    <w:rPr>
      <w:rFonts w:ascii="Times New Roman" w:hAnsi="Times New Roman" w:cs="Times New Roman"/>
      <w:sz w:val="18"/>
    </w:rPr>
  </w:style>
  <w:style w:type="character" w:customStyle="1" w:styleId="Heading5Char">
    <w:name w:val="Heading 5 Char"/>
    <w:aliases w:val="ExecSumm Lvl 2 Char"/>
    <w:basedOn w:val="DefaultParagraphFont"/>
    <w:link w:val="Heading5"/>
    <w:uiPriority w:val="9"/>
    <w:rsid w:val="0048057F"/>
    <w:rPr>
      <w:rFonts w:asciiTheme="majorHAnsi" w:eastAsiaTheme="majorEastAsia" w:hAnsiTheme="majorHAnsi" w:cstheme="majorBidi"/>
      <w:i/>
      <w:color w:val="2E74B5" w:themeColor="accent1" w:themeShade="BF"/>
      <w:sz w:val="24"/>
    </w:rPr>
  </w:style>
  <w:style w:type="character" w:customStyle="1" w:styleId="Heading6Char">
    <w:name w:val="Heading 6 Char"/>
    <w:aliases w:val="ExecSumm Lvl 3 Char"/>
    <w:basedOn w:val="DefaultParagraphFont"/>
    <w:link w:val="Heading6"/>
    <w:uiPriority w:val="9"/>
    <w:rsid w:val="00215B6C"/>
    <w:rPr>
      <w:rFonts w:asciiTheme="majorHAnsi" w:eastAsiaTheme="majorEastAsia" w:hAnsiTheme="majorHAnsi" w:cstheme="majorBidi"/>
      <w:color w:val="1F4D78" w:themeColor="accent1" w:themeShade="7F"/>
      <w:sz w:val="24"/>
    </w:rPr>
  </w:style>
  <w:style w:type="character" w:customStyle="1" w:styleId="Heading7Char">
    <w:name w:val="Heading 7 Char"/>
    <w:aliases w:val="App Lvl 1 Char,Appendix Lvl one Char"/>
    <w:basedOn w:val="DefaultParagraphFont"/>
    <w:link w:val="Heading7"/>
    <w:uiPriority w:val="9"/>
    <w:rsid w:val="00AF2BEC"/>
    <w:rPr>
      <w:rFonts w:ascii="Cambria" w:eastAsiaTheme="majorEastAsia" w:hAnsi="Cambria" w:cstheme="majorBidi"/>
      <w:b/>
      <w:iCs/>
      <w:color w:val="2E74B5" w:themeColor="accent1" w:themeShade="BF"/>
      <w:sz w:val="28"/>
    </w:rPr>
  </w:style>
  <w:style w:type="character" w:customStyle="1" w:styleId="Heading8Char">
    <w:name w:val="Heading 8 Char"/>
    <w:aliases w:val="App Lvl 2 Char,Appendix Lvl two Char"/>
    <w:basedOn w:val="DefaultParagraphFont"/>
    <w:link w:val="Heading8"/>
    <w:uiPriority w:val="9"/>
    <w:rsid w:val="00215B6C"/>
    <w:rPr>
      <w:rFonts w:ascii="Cambria" w:eastAsiaTheme="majorEastAsia" w:hAnsi="Cambria" w:cstheme="majorBidi"/>
      <w:b/>
      <w:iCs/>
      <w:color w:val="2E74B5" w:themeColor="accent1" w:themeShade="BF"/>
      <w:sz w:val="28"/>
      <w:szCs w:val="21"/>
    </w:rPr>
  </w:style>
  <w:style w:type="paragraph" w:customStyle="1" w:styleId="ESHeading1">
    <w:name w:val="ES Heading 1"/>
    <w:qFormat/>
    <w:rsid w:val="00215B6C"/>
    <w:pPr>
      <w:keepNext/>
      <w:spacing w:before="240" w:after="360" w:line="240" w:lineRule="auto"/>
      <w:outlineLvl w:val="0"/>
    </w:pPr>
    <w:rPr>
      <w:rFonts w:ascii="Cambria" w:eastAsiaTheme="majorEastAsia" w:hAnsi="Cambria" w:cstheme="majorBidi"/>
      <w:b/>
      <w:caps/>
      <w:color w:val="2E74B5" w:themeColor="accent1" w:themeShade="BF"/>
      <w:sz w:val="28"/>
      <w:szCs w:val="32"/>
    </w:rPr>
  </w:style>
  <w:style w:type="paragraph" w:customStyle="1" w:styleId="ESHeading2">
    <w:name w:val="ES Heading 2"/>
    <w:basedOn w:val="ESHeading1"/>
    <w:qFormat/>
    <w:rsid w:val="00215B6C"/>
    <w:pPr>
      <w:spacing w:before="40" w:after="120"/>
      <w:outlineLvl w:val="1"/>
    </w:pPr>
    <w:rPr>
      <w:caps w:val="0"/>
    </w:rPr>
  </w:style>
  <w:style w:type="paragraph" w:styleId="BodyText">
    <w:name w:val="Body Text"/>
    <w:basedOn w:val="Normal"/>
    <w:link w:val="BodyTextChar"/>
    <w:uiPriority w:val="99"/>
    <w:unhideWhenUsed/>
    <w:rsid w:val="00A051D6"/>
  </w:style>
  <w:style w:type="character" w:customStyle="1" w:styleId="BodyTextChar">
    <w:name w:val="Body Text Char"/>
    <w:basedOn w:val="DefaultParagraphFont"/>
    <w:link w:val="BodyText"/>
    <w:uiPriority w:val="99"/>
    <w:rsid w:val="00A051D6"/>
    <w:rPr>
      <w:rFonts w:ascii="Times New Roman" w:hAnsi="Times New Roman"/>
      <w:sz w:val="24"/>
    </w:rPr>
  </w:style>
  <w:style w:type="paragraph" w:customStyle="1" w:styleId="Bodytextbeforebullets">
    <w:name w:val="Body text before bullets"/>
    <w:basedOn w:val="BodyText"/>
    <w:next w:val="Bullettext"/>
    <w:qFormat/>
    <w:rsid w:val="00A051D6"/>
    <w:pPr>
      <w:keepNext/>
      <w:spacing w:after="120"/>
    </w:pPr>
  </w:style>
  <w:style w:type="paragraph" w:customStyle="1" w:styleId="Bullettext">
    <w:name w:val="Bullet text"/>
    <w:basedOn w:val="BodyText"/>
    <w:qFormat/>
    <w:rsid w:val="00982A19"/>
    <w:pPr>
      <w:numPr>
        <w:numId w:val="16"/>
      </w:numPr>
      <w:ind w:left="357" w:hanging="357"/>
      <w:contextualSpacing/>
    </w:pPr>
  </w:style>
  <w:style w:type="numbering" w:customStyle="1" w:styleId="Headings">
    <w:name w:val="Headings"/>
    <w:uiPriority w:val="99"/>
    <w:rsid w:val="00AF2BEC"/>
    <w:pPr>
      <w:numPr>
        <w:numId w:val="38"/>
      </w:numPr>
    </w:pPr>
  </w:style>
  <w:style w:type="character" w:customStyle="1" w:styleId="Heading9Char">
    <w:name w:val="Heading 9 Char"/>
    <w:aliases w:val="App Lvl 3 Char,Appendix Lvl three Char"/>
    <w:basedOn w:val="DefaultParagraphFont"/>
    <w:link w:val="Heading9"/>
    <w:uiPriority w:val="9"/>
    <w:rsid w:val="00215B6C"/>
    <w:rPr>
      <w:rFonts w:asciiTheme="majorHAnsi" w:eastAsiaTheme="majorEastAsia" w:hAnsiTheme="majorHAnsi" w:cstheme="majorBidi"/>
      <w:b/>
      <w:i/>
      <w:color w:val="272727" w:themeColor="text1" w:themeTint="D8"/>
      <w:sz w:val="21"/>
      <w:szCs w:val="21"/>
    </w:rPr>
  </w:style>
  <w:style w:type="paragraph" w:customStyle="1" w:styleId="ESHeading3">
    <w:name w:val="ES Heading 3"/>
    <w:next w:val="BodyText"/>
    <w:qFormat/>
    <w:rsid w:val="00370CEA"/>
    <w:pPr>
      <w:keepNext/>
      <w:spacing w:before="240" w:after="60"/>
      <w:ind w:left="851" w:hanging="851"/>
    </w:pPr>
    <w:rPr>
      <w:rFonts w:ascii="Cambria" w:eastAsiaTheme="majorEastAsia" w:hAnsi="Cambria" w:cstheme="majorBidi"/>
      <w:b/>
      <w:sz w:val="24"/>
      <w:szCs w:val="24"/>
    </w:rPr>
  </w:style>
  <w:style w:type="paragraph" w:customStyle="1" w:styleId="References">
    <w:name w:val="References"/>
    <w:qFormat/>
    <w:rsid w:val="004B4374"/>
    <w:pPr>
      <w:spacing w:before="120" w:after="0" w:line="240" w:lineRule="auto"/>
      <w:ind w:left="567" w:hanging="567"/>
    </w:pPr>
    <w:rPr>
      <w:rFonts w:ascii="Times New Roman" w:hAnsi="Times New Roman"/>
      <w:sz w:val="18"/>
    </w:rPr>
  </w:style>
  <w:style w:type="paragraph" w:customStyle="1" w:styleId="Pic">
    <w:name w:val="Pic"/>
    <w:basedOn w:val="Normal"/>
    <w:next w:val="08Tablefootnotes"/>
    <w:qFormat/>
    <w:rsid w:val="00AE1860"/>
    <w:pPr>
      <w:keepNext/>
      <w:spacing w:after="0"/>
      <w:jc w:val="center"/>
    </w:pPr>
  </w:style>
  <w:style w:type="paragraph" w:styleId="Header">
    <w:name w:val="header"/>
    <w:basedOn w:val="Normal"/>
    <w:link w:val="HeaderChar"/>
    <w:unhideWhenUsed/>
    <w:rsid w:val="00A051D6"/>
    <w:pPr>
      <w:tabs>
        <w:tab w:val="center" w:pos="4513"/>
        <w:tab w:val="right" w:pos="9026"/>
      </w:tabs>
      <w:spacing w:after="0"/>
    </w:pPr>
  </w:style>
  <w:style w:type="character" w:customStyle="1" w:styleId="HeaderChar">
    <w:name w:val="Header Char"/>
    <w:basedOn w:val="DefaultParagraphFont"/>
    <w:link w:val="Header"/>
    <w:rsid w:val="00A051D6"/>
    <w:rPr>
      <w:rFonts w:ascii="Times New Roman" w:hAnsi="Times New Roman"/>
      <w:sz w:val="24"/>
    </w:rPr>
  </w:style>
  <w:style w:type="paragraph" w:styleId="FootnoteText">
    <w:name w:val="footnote text"/>
    <w:basedOn w:val="Normal"/>
    <w:link w:val="FootnoteTextChar"/>
    <w:unhideWhenUsed/>
    <w:rsid w:val="00710339"/>
    <w:pPr>
      <w:spacing w:after="0"/>
    </w:pPr>
    <w:rPr>
      <w:sz w:val="16"/>
      <w:szCs w:val="20"/>
    </w:rPr>
  </w:style>
  <w:style w:type="character" w:customStyle="1" w:styleId="FootnoteTextChar">
    <w:name w:val="Footnote Text Char"/>
    <w:basedOn w:val="DefaultParagraphFont"/>
    <w:link w:val="FootnoteText"/>
    <w:rsid w:val="00710339"/>
    <w:rPr>
      <w:rFonts w:ascii="Times New Roman" w:hAnsi="Times New Roman"/>
      <w:sz w:val="16"/>
      <w:szCs w:val="20"/>
    </w:rPr>
  </w:style>
  <w:style w:type="character" w:styleId="FootnoteReference">
    <w:name w:val="footnote reference"/>
    <w:basedOn w:val="DefaultParagraphFont"/>
    <w:semiHidden/>
    <w:unhideWhenUsed/>
    <w:rsid w:val="00F32B0E"/>
    <w:rPr>
      <w:vertAlign w:val="superscript"/>
    </w:rPr>
  </w:style>
  <w:style w:type="paragraph" w:customStyle="1" w:styleId="BodyTextspacebefore">
    <w:name w:val="Body Text space before"/>
    <w:basedOn w:val="Normal"/>
    <w:rsid w:val="00AA145E"/>
    <w:pPr>
      <w:spacing w:before="240"/>
      <w:jc w:val="both"/>
    </w:pPr>
    <w:rPr>
      <w:rFonts w:ascii="Garamond" w:hAnsi="Garamond" w:cs="Times New Roman"/>
      <w:szCs w:val="24"/>
    </w:rPr>
  </w:style>
  <w:style w:type="paragraph" w:styleId="TableofFigures">
    <w:name w:val="table of figures"/>
    <w:basedOn w:val="Normal"/>
    <w:next w:val="Normal"/>
    <w:uiPriority w:val="99"/>
    <w:unhideWhenUsed/>
    <w:rsid w:val="00601211"/>
    <w:pPr>
      <w:tabs>
        <w:tab w:val="left" w:pos="1418"/>
        <w:tab w:val="right" w:leader="dot" w:pos="9072"/>
      </w:tabs>
      <w:spacing w:after="0"/>
      <w:ind w:left="1418" w:hanging="1418"/>
    </w:pPr>
    <w:rPr>
      <w:sz w:val="22"/>
    </w:rPr>
  </w:style>
  <w:style w:type="paragraph" w:customStyle="1" w:styleId="05Tableboldspace">
    <w:name w:val="05. Table bold space"/>
    <w:basedOn w:val="02Tabletext"/>
    <w:qFormat/>
    <w:rsid w:val="00FD6860"/>
    <w:pPr>
      <w:spacing w:before="60"/>
    </w:pPr>
  </w:style>
  <w:style w:type="paragraph" w:customStyle="1" w:styleId="Footerforportraitorientation">
    <w:name w:val="Footer for portrait orientation"/>
    <w:basedOn w:val="Normal"/>
    <w:qFormat/>
    <w:rsid w:val="002B29BB"/>
    <w:pPr>
      <w:pBdr>
        <w:top w:val="single" w:sz="6" w:space="3" w:color="auto"/>
      </w:pBdr>
      <w:tabs>
        <w:tab w:val="right" w:pos="9072"/>
      </w:tabs>
    </w:pPr>
    <w:rPr>
      <w:b/>
      <w:sz w:val="18"/>
      <w:szCs w:val="18"/>
    </w:rPr>
  </w:style>
  <w:style w:type="paragraph" w:customStyle="1" w:styleId="Footerforlandscapeorientation">
    <w:name w:val="Footer for landscape orientation"/>
    <w:basedOn w:val="Footerforportraitorientation"/>
    <w:qFormat/>
    <w:rsid w:val="00176DC4"/>
    <w:pPr>
      <w:tabs>
        <w:tab w:val="clear" w:pos="9072"/>
        <w:tab w:val="right" w:pos="13948"/>
      </w:tabs>
    </w:pPr>
  </w:style>
  <w:style w:type="paragraph" w:customStyle="1" w:styleId="Picwithbox">
    <w:name w:val="Pic with box"/>
    <w:basedOn w:val="Pic"/>
    <w:next w:val="08Tablefootnotes"/>
    <w:qFormat/>
    <w:rsid w:val="009354E2"/>
    <w:pPr>
      <w:pBdr>
        <w:top w:val="single" w:sz="4" w:space="1" w:color="auto"/>
        <w:left w:val="single" w:sz="4" w:space="4" w:color="auto"/>
        <w:bottom w:val="single" w:sz="4" w:space="1" w:color="auto"/>
        <w:right w:val="single" w:sz="4" w:space="4" w:color="auto"/>
      </w:pBdr>
    </w:pPr>
  </w:style>
  <w:style w:type="paragraph" w:customStyle="1" w:styleId="01Tableheaderrow">
    <w:name w:val="01. Table header row"/>
    <w:link w:val="01TableheaderrowChar"/>
    <w:qFormat/>
    <w:rsid w:val="00572CCE"/>
    <w:pPr>
      <w:keepNext/>
      <w:spacing w:before="40" w:after="0" w:line="240" w:lineRule="auto"/>
    </w:pPr>
    <w:rPr>
      <w:rFonts w:ascii="Times New Roman" w:eastAsia="Calibri" w:hAnsi="Times New Roman" w:cs="Times New Roman"/>
      <w:b/>
      <w:color w:val="FFFFFF"/>
      <w:sz w:val="18"/>
    </w:rPr>
  </w:style>
  <w:style w:type="character" w:customStyle="1" w:styleId="01TableheaderrowChar">
    <w:name w:val="01. Table header row Char"/>
    <w:link w:val="01Tableheaderrow"/>
    <w:rsid w:val="00572CCE"/>
    <w:rPr>
      <w:rFonts w:ascii="Times New Roman" w:eastAsia="Calibri" w:hAnsi="Times New Roman" w:cs="Times New Roman"/>
      <w:b/>
      <w:color w:val="FFFFFF"/>
      <w:sz w:val="18"/>
    </w:rPr>
  </w:style>
  <w:style w:type="paragraph" w:customStyle="1" w:styleId="TableHeading">
    <w:name w:val="TableHeading"/>
    <w:basedOn w:val="Normal"/>
    <w:link w:val="TableHeadingChar"/>
    <w:qFormat/>
    <w:rsid w:val="003B11D3"/>
    <w:pPr>
      <w:keepNext/>
      <w:spacing w:before="40" w:after="40"/>
    </w:pPr>
    <w:rPr>
      <w:rFonts w:ascii="Arial Narrow" w:eastAsia="Times New Roman" w:hAnsi="Arial Narrow" w:cs="Tahoma"/>
      <w:b/>
      <w:sz w:val="20"/>
      <w:szCs w:val="20"/>
      <w:lang w:eastAsia="en-AU"/>
    </w:rPr>
  </w:style>
  <w:style w:type="character" w:customStyle="1" w:styleId="TableHeadingChar">
    <w:name w:val="TableHeading Char"/>
    <w:link w:val="TableHeading"/>
    <w:rsid w:val="003B11D3"/>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3B11D3"/>
    <w:pPr>
      <w:spacing w:before="40" w:after="40"/>
    </w:pPr>
    <w:rPr>
      <w:rFonts w:ascii="Arial Narrow" w:eastAsia="Times New Roman" w:hAnsi="Arial Narrow" w:cs="Tahoma"/>
      <w:sz w:val="20"/>
      <w:szCs w:val="20"/>
      <w:lang w:eastAsia="en-AU"/>
    </w:rPr>
  </w:style>
  <w:style w:type="character" w:customStyle="1" w:styleId="TabletextChar">
    <w:name w:val="Table text Char"/>
    <w:link w:val="Tabletext"/>
    <w:rsid w:val="003B11D3"/>
    <w:rPr>
      <w:rFonts w:ascii="Arial Narrow" w:eastAsia="Times New Roman" w:hAnsi="Arial Narrow" w:cs="Tahoma"/>
      <w:sz w:val="20"/>
      <w:szCs w:val="20"/>
      <w:lang w:eastAsia="en-AU"/>
    </w:rPr>
  </w:style>
  <w:style w:type="paragraph" w:customStyle="1" w:styleId="Tabletextbullets">
    <w:name w:val="Table text bullets"/>
    <w:basedOn w:val="Normal"/>
    <w:qFormat/>
    <w:rsid w:val="003B11D3"/>
    <w:pPr>
      <w:numPr>
        <w:numId w:val="32"/>
      </w:numPr>
      <w:spacing w:before="40" w:after="40"/>
      <w:ind w:left="227" w:hanging="227"/>
    </w:pPr>
    <w:rPr>
      <w:rFonts w:ascii="Arial Narrow" w:eastAsia="Times New Roman" w:hAnsi="Arial Narrow" w:cs="Tahoma"/>
      <w:sz w:val="20"/>
      <w:szCs w:val="20"/>
      <w:lang w:eastAsia="en-AU"/>
    </w:rPr>
  </w:style>
  <w:style w:type="paragraph" w:customStyle="1" w:styleId="Table10ptalignedleftspaceafter">
    <w:name w:val="Table 10pt aligned left space after"/>
    <w:qFormat/>
    <w:rsid w:val="00D01587"/>
    <w:pPr>
      <w:spacing w:after="120" w:line="240" w:lineRule="auto"/>
    </w:pPr>
    <w:rPr>
      <w:rFonts w:ascii="Garamond" w:eastAsia="Calibri" w:hAnsi="Garamond" w:cs="Times New Roman"/>
      <w:sz w:val="20"/>
    </w:rPr>
  </w:style>
  <w:style w:type="paragraph" w:customStyle="1" w:styleId="Table10ptalignedleft">
    <w:name w:val="Table 10pt aligned left"/>
    <w:qFormat/>
    <w:rsid w:val="00D01587"/>
    <w:pPr>
      <w:spacing w:after="0" w:line="240" w:lineRule="auto"/>
    </w:pPr>
    <w:rPr>
      <w:rFonts w:ascii="Garamond" w:eastAsia="Calibri" w:hAnsi="Garamond" w:cs="Times New Roman"/>
      <w:sz w:val="20"/>
    </w:rPr>
  </w:style>
  <w:style w:type="paragraph" w:customStyle="1" w:styleId="Table10ptbullet">
    <w:name w:val="Table 10pt bullet"/>
    <w:qFormat/>
    <w:rsid w:val="00D01587"/>
    <w:pPr>
      <w:numPr>
        <w:numId w:val="33"/>
      </w:numPr>
      <w:tabs>
        <w:tab w:val="left" w:pos="227"/>
      </w:tabs>
      <w:spacing w:after="0" w:line="240" w:lineRule="auto"/>
      <w:ind w:left="227" w:hanging="227"/>
    </w:pPr>
    <w:rPr>
      <w:rFonts w:ascii="Garamond" w:eastAsia="Calibri" w:hAnsi="Garamond" w:cs="Times New Roman"/>
      <w:sz w:val="20"/>
    </w:rPr>
  </w:style>
  <w:style w:type="paragraph" w:styleId="Revision">
    <w:name w:val="Revision"/>
    <w:hidden/>
    <w:uiPriority w:val="99"/>
    <w:semiHidden/>
    <w:rsid w:val="00700B94"/>
    <w:pPr>
      <w:spacing w:after="0" w:line="240" w:lineRule="auto"/>
    </w:pPr>
    <w:rPr>
      <w:rFonts w:ascii="Times New Roman" w:hAnsi="Times New Roman"/>
      <w:sz w:val="24"/>
    </w:rPr>
  </w:style>
  <w:style w:type="numbering" w:customStyle="1" w:styleId="Headings1">
    <w:name w:val="Headings1"/>
    <w:uiPriority w:val="99"/>
    <w:rsid w:val="00B93038"/>
  </w:style>
  <w:style w:type="numbering" w:customStyle="1" w:styleId="Headings2">
    <w:name w:val="Headings2"/>
    <w:uiPriority w:val="99"/>
    <w:rsid w:val="00AC3A3D"/>
  </w:style>
  <w:style w:type="numbering" w:customStyle="1" w:styleId="Headings3">
    <w:name w:val="Headings3"/>
    <w:uiPriority w:val="99"/>
    <w:rsid w:val="00904572"/>
  </w:style>
  <w:style w:type="table" w:customStyle="1" w:styleId="TableGrid1">
    <w:name w:val="Table Grid1"/>
    <w:basedOn w:val="TableNormal"/>
    <w:next w:val="TableGrid"/>
    <w:uiPriority w:val="39"/>
    <w:rsid w:val="00BA653F"/>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EEAF6" w:themeFill="accent1" w:themeFillTint="33"/>
      </w:tcPr>
    </w:tblStylePr>
  </w:style>
  <w:style w:type="table" w:customStyle="1" w:styleId="TableGrid2">
    <w:name w:val="Table Grid2"/>
    <w:basedOn w:val="TableNormal"/>
    <w:next w:val="TableGrid"/>
    <w:uiPriority w:val="39"/>
    <w:rsid w:val="00861194"/>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Wingdings 2" w:hAnsi="Wingdings 2"/>
        <w:b w:val="0"/>
        <w:i w:val="0"/>
        <w:color w:val="FFFFFF" w:themeColor="background1"/>
        <w:sz w:val="18"/>
      </w:rPr>
      <w:tblPr/>
      <w:tcPr>
        <w:shd w:val="clear" w:color="auto" w:fill="366091"/>
      </w:tcPr>
    </w:tblStylePr>
    <w:tblStylePr w:type="band2Horz">
      <w:tblPr/>
      <w:tcPr>
        <w:shd w:val="clear" w:color="auto" w:fill="DEEAF6" w:themeFill="accent1" w:themeFillTint="33"/>
      </w:tcPr>
    </w:tblStylePr>
  </w:style>
  <w:style w:type="numbering" w:customStyle="1" w:styleId="NoList1">
    <w:name w:val="No List1"/>
    <w:next w:val="NoList"/>
    <w:uiPriority w:val="99"/>
    <w:semiHidden/>
    <w:unhideWhenUsed/>
    <w:rsid w:val="000F48FC"/>
  </w:style>
  <w:style w:type="table" w:customStyle="1" w:styleId="TableGrid3">
    <w:name w:val="Table Grid3"/>
    <w:basedOn w:val="TableNormal"/>
    <w:next w:val="TableGrid"/>
    <w:uiPriority w:val="39"/>
    <w:rsid w:val="000F48FC"/>
    <w:pPr>
      <w:spacing w:after="0" w:line="240" w:lineRule="auto"/>
    </w:pPr>
    <w:rPr>
      <w:rFonts w:ascii="Times New Roman" w:hAnsi="Times New Roman"/>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EEAF6" w:themeFill="accent1" w:themeFillTint="33"/>
      </w:tcPr>
    </w:tblStylePr>
  </w:style>
  <w:style w:type="numbering" w:customStyle="1" w:styleId="Headings11">
    <w:name w:val="Headings11"/>
    <w:uiPriority w:val="99"/>
    <w:rsid w:val="000F48FC"/>
  </w:style>
  <w:style w:type="numbering" w:customStyle="1" w:styleId="Headings21">
    <w:name w:val="Headings21"/>
    <w:uiPriority w:val="99"/>
    <w:rsid w:val="000F48FC"/>
  </w:style>
  <w:style w:type="numbering" w:customStyle="1" w:styleId="Headings31">
    <w:name w:val="Headings31"/>
    <w:uiPriority w:val="99"/>
    <w:rsid w:val="000F48FC"/>
  </w:style>
  <w:style w:type="character" w:styleId="FollowedHyperlink">
    <w:name w:val="FollowedHyperlink"/>
    <w:basedOn w:val="DefaultParagraphFont"/>
    <w:uiPriority w:val="99"/>
    <w:semiHidden/>
    <w:unhideWhenUsed/>
    <w:rsid w:val="009E11B9"/>
    <w:rPr>
      <w:color w:val="954F72" w:themeColor="followedHyperlink"/>
      <w:u w:val="single"/>
    </w:rPr>
  </w:style>
  <w:style w:type="table" w:styleId="TableGridLight">
    <w:name w:val="Grid Table Light"/>
    <w:basedOn w:val="TableNormal"/>
    <w:uiPriority w:val="40"/>
    <w:rsid w:val="003C65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3C65AE"/>
    <w:pPr>
      <w:spacing w:after="0" w:line="240" w:lineRule="auto"/>
    </w:pPr>
    <w:tblPr/>
  </w:style>
  <w:style w:type="table" w:customStyle="1" w:styleId="Style2">
    <w:name w:val="Style2"/>
    <w:basedOn w:val="TableNormal"/>
    <w:uiPriority w:val="99"/>
    <w:rsid w:val="003C65AE"/>
    <w:pPr>
      <w:spacing w:after="0" w:line="240" w:lineRule="auto"/>
    </w:pPr>
    <w:tblPr/>
  </w:style>
  <w:style w:type="table" w:customStyle="1" w:styleId="Style3">
    <w:name w:val="Style3"/>
    <w:basedOn w:val="TableNormal"/>
    <w:uiPriority w:val="99"/>
    <w:rsid w:val="003C65AE"/>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5445">
      <w:bodyDiv w:val="1"/>
      <w:marLeft w:val="0"/>
      <w:marRight w:val="0"/>
      <w:marTop w:val="0"/>
      <w:marBottom w:val="0"/>
      <w:divBdr>
        <w:top w:val="none" w:sz="0" w:space="0" w:color="auto"/>
        <w:left w:val="none" w:sz="0" w:space="0" w:color="auto"/>
        <w:bottom w:val="none" w:sz="0" w:space="0" w:color="auto"/>
        <w:right w:val="none" w:sz="0" w:space="0" w:color="auto"/>
      </w:divBdr>
    </w:div>
    <w:div w:id="909119880">
      <w:bodyDiv w:val="1"/>
      <w:marLeft w:val="0"/>
      <w:marRight w:val="0"/>
      <w:marTop w:val="0"/>
      <w:marBottom w:val="0"/>
      <w:divBdr>
        <w:top w:val="none" w:sz="0" w:space="0" w:color="auto"/>
        <w:left w:val="none" w:sz="0" w:space="0" w:color="auto"/>
        <w:bottom w:val="none" w:sz="0" w:space="0" w:color="auto"/>
        <w:right w:val="none" w:sz="0" w:space="0" w:color="auto"/>
      </w:divBdr>
    </w:div>
    <w:div w:id="1219823828">
      <w:bodyDiv w:val="1"/>
      <w:marLeft w:val="0"/>
      <w:marRight w:val="0"/>
      <w:marTop w:val="0"/>
      <w:marBottom w:val="0"/>
      <w:divBdr>
        <w:top w:val="none" w:sz="0" w:space="0" w:color="auto"/>
        <w:left w:val="none" w:sz="0" w:space="0" w:color="auto"/>
        <w:bottom w:val="none" w:sz="0" w:space="0" w:color="auto"/>
        <w:right w:val="none" w:sz="0" w:space="0" w:color="auto"/>
      </w:divBdr>
    </w:div>
    <w:div w:id="1362053960">
      <w:bodyDiv w:val="1"/>
      <w:marLeft w:val="0"/>
      <w:marRight w:val="0"/>
      <w:marTop w:val="0"/>
      <w:marBottom w:val="0"/>
      <w:divBdr>
        <w:top w:val="none" w:sz="0" w:space="0" w:color="auto"/>
        <w:left w:val="none" w:sz="0" w:space="0" w:color="auto"/>
        <w:bottom w:val="none" w:sz="0" w:space="0" w:color="auto"/>
        <w:right w:val="none" w:sz="0" w:space="0" w:color="auto"/>
      </w:divBdr>
    </w:div>
    <w:div w:id="1423525371">
      <w:bodyDiv w:val="1"/>
      <w:marLeft w:val="0"/>
      <w:marRight w:val="0"/>
      <w:marTop w:val="0"/>
      <w:marBottom w:val="0"/>
      <w:divBdr>
        <w:top w:val="none" w:sz="0" w:space="0" w:color="auto"/>
        <w:left w:val="none" w:sz="0" w:space="0" w:color="auto"/>
        <w:bottom w:val="none" w:sz="0" w:space="0" w:color="auto"/>
        <w:right w:val="none" w:sz="0" w:space="0" w:color="auto"/>
      </w:divBdr>
    </w:div>
    <w:div w:id="1502425520">
      <w:bodyDiv w:val="1"/>
      <w:marLeft w:val="0"/>
      <w:marRight w:val="0"/>
      <w:marTop w:val="0"/>
      <w:marBottom w:val="0"/>
      <w:divBdr>
        <w:top w:val="none" w:sz="0" w:space="0" w:color="auto"/>
        <w:left w:val="none" w:sz="0" w:space="0" w:color="auto"/>
        <w:bottom w:val="none" w:sz="0" w:space="0" w:color="auto"/>
        <w:right w:val="none" w:sz="0" w:space="0" w:color="auto"/>
      </w:divBdr>
    </w:div>
    <w:div w:id="1599174149">
      <w:bodyDiv w:val="1"/>
      <w:marLeft w:val="0"/>
      <w:marRight w:val="0"/>
      <w:marTop w:val="0"/>
      <w:marBottom w:val="0"/>
      <w:divBdr>
        <w:top w:val="none" w:sz="0" w:space="0" w:color="auto"/>
        <w:left w:val="none" w:sz="0" w:space="0" w:color="auto"/>
        <w:bottom w:val="none" w:sz="0" w:space="0" w:color="auto"/>
        <w:right w:val="none" w:sz="0" w:space="0" w:color="auto"/>
      </w:divBdr>
    </w:div>
    <w:div w:id="1652324607">
      <w:bodyDiv w:val="1"/>
      <w:marLeft w:val="0"/>
      <w:marRight w:val="0"/>
      <w:marTop w:val="0"/>
      <w:marBottom w:val="0"/>
      <w:divBdr>
        <w:top w:val="none" w:sz="0" w:space="0" w:color="auto"/>
        <w:left w:val="none" w:sz="0" w:space="0" w:color="auto"/>
        <w:bottom w:val="none" w:sz="0" w:space="0" w:color="auto"/>
        <w:right w:val="none" w:sz="0" w:space="0" w:color="auto"/>
      </w:divBdr>
    </w:div>
    <w:div w:id="1849371619">
      <w:bodyDiv w:val="1"/>
      <w:marLeft w:val="0"/>
      <w:marRight w:val="0"/>
      <w:marTop w:val="0"/>
      <w:marBottom w:val="0"/>
      <w:divBdr>
        <w:top w:val="none" w:sz="0" w:space="0" w:color="auto"/>
        <w:left w:val="none" w:sz="0" w:space="0" w:color="auto"/>
        <w:bottom w:val="none" w:sz="0" w:space="0" w:color="auto"/>
        <w:right w:val="none" w:sz="0" w:space="0" w:color="auto"/>
      </w:divBdr>
    </w:div>
    <w:div w:id="1871532017">
      <w:bodyDiv w:val="1"/>
      <w:marLeft w:val="0"/>
      <w:marRight w:val="0"/>
      <w:marTop w:val="0"/>
      <w:marBottom w:val="0"/>
      <w:divBdr>
        <w:top w:val="none" w:sz="0" w:space="0" w:color="auto"/>
        <w:left w:val="none" w:sz="0" w:space="0" w:color="auto"/>
        <w:bottom w:val="none" w:sz="0" w:space="0" w:color="auto"/>
        <w:right w:val="none" w:sz="0" w:space="0" w:color="auto"/>
      </w:divBdr>
    </w:div>
    <w:div w:id="1886486401">
      <w:bodyDiv w:val="1"/>
      <w:marLeft w:val="0"/>
      <w:marRight w:val="0"/>
      <w:marTop w:val="0"/>
      <w:marBottom w:val="0"/>
      <w:divBdr>
        <w:top w:val="none" w:sz="0" w:space="0" w:color="auto"/>
        <w:left w:val="none" w:sz="0" w:space="0" w:color="auto"/>
        <w:bottom w:val="none" w:sz="0" w:space="0" w:color="auto"/>
        <w:right w:val="none" w:sz="0" w:space="0" w:color="auto"/>
      </w:divBdr>
    </w:div>
    <w:div w:id="2000765723">
      <w:bodyDiv w:val="1"/>
      <w:marLeft w:val="0"/>
      <w:marRight w:val="0"/>
      <w:marTop w:val="0"/>
      <w:marBottom w:val="0"/>
      <w:divBdr>
        <w:top w:val="none" w:sz="0" w:space="0" w:color="auto"/>
        <w:left w:val="none" w:sz="0" w:space="0" w:color="auto"/>
        <w:bottom w:val="none" w:sz="0" w:space="0" w:color="auto"/>
        <w:right w:val="none" w:sz="0" w:space="0" w:color="auto"/>
      </w:divBdr>
    </w:div>
    <w:div w:id="2036534279">
      <w:bodyDiv w:val="1"/>
      <w:marLeft w:val="0"/>
      <w:marRight w:val="0"/>
      <w:marTop w:val="0"/>
      <w:marBottom w:val="0"/>
      <w:divBdr>
        <w:top w:val="none" w:sz="0" w:space="0" w:color="auto"/>
        <w:left w:val="none" w:sz="0" w:space="0" w:color="auto"/>
        <w:bottom w:val="none" w:sz="0" w:space="0" w:color="auto"/>
        <w:right w:val="none" w:sz="0" w:space="0" w:color="auto"/>
      </w:divBdr>
    </w:div>
    <w:div w:id="21181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www.abs.gov.au/AUSSTATS/abs@.nsf/DetailsPage/1270.0.55.006July%202011?OpenDocument" TargetMode="External"/><Relationship Id="rId39"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hyperlink" Target="http://6cpa.com.au/wp-content/uploads/Effectiveness-and-cost-effectiveness-of-Dose-Administration-Aids-executive-summary.pdf" TargetMode="External"/><Relationship Id="rId42" Type="http://schemas.openxmlformats.org/officeDocument/2006/relationships/footer" Target="footer22.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hyperlink" Target="https://www.health.gov.au/internet/main/publishing.nsf/Content/F520A0D5EDEA0172CA257BF0001D7B4D/$File/DAA%20PMP%20Report.pdf" TargetMode="External"/><Relationship Id="rId38"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www.phidu.torrens.edu.au/social-health-atlases/indicators-and-notes-on-the-data/social-health-atlases-of-australia-contents" TargetMode="External"/><Relationship Id="rId41"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hyperlink" Target="https://www.health.gov.au/internet/main/publishing.nsf/Content/6EF022DE87761986CA257EC80013198B/$File/combined-review-5cpa-medication-management-programmes-final-report-and-appendices.pdf" TargetMode="External"/><Relationship Id="rId37" Type="http://schemas.openxmlformats.org/officeDocument/2006/relationships/footer" Target="footer17.xml"/><Relationship Id="rId40"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hyperlink" Target="http://www.phidu.torrens.edu.au/social-health-atlases/indicators-and-notes-on-the-data/social-health-atlases-of-australia-contents" TargetMode="Externa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yperlink" Target="http://www.psa.org.au/downloads/community-pharmacy-agreements/dose-administration-aids/dose-administration-service-guidelines.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hyperlink" Target="http://www.phidu.torrens.edu.au/social-health-atlases/indicators-and-notes-on-the-data/social-health-atlases-of-australia-contents" TargetMode="External"/><Relationship Id="rId30" Type="http://schemas.openxmlformats.org/officeDocument/2006/relationships/footer" Target="footer15.xml"/><Relationship Id="rId35" Type="http://schemas.openxmlformats.org/officeDocument/2006/relationships/hyperlink" Target="http://6cpa.com.au/wp-content/uploads/Effectiveness-and-cost-effectiveness-of-Dose-Administration-Aids-phase-3-DAA-phase-3-Final-Report.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ice.org.uk/" TargetMode="External"/><Relationship Id="rId2" Type="http://schemas.openxmlformats.org/officeDocument/2006/relationships/hyperlink" Target="https://www.cadth.ca/reports" TargetMode="External"/><Relationship Id="rId1" Type="http://schemas.openxmlformats.org/officeDocument/2006/relationships/hyperlink" Target="http://www.ahrq.gov/" TargetMode="External"/><Relationship Id="rId4" Type="http://schemas.openxmlformats.org/officeDocument/2006/relationships/hyperlink" Target="http://www.abs.gov.au/AUSSTATS/abs@.nsf/DetailsPage/1270.0.55.006July%20201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92</Pages>
  <Words>37026</Words>
  <Characters>215493</Characters>
  <Application>Microsoft Office Word</Application>
  <DocSecurity>0</DocSecurity>
  <Lines>5255</Lines>
  <Paragraphs>2869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2019-03-26T04:18:00Z</dcterms:created>
  <dcterms:modified xsi:type="dcterms:W3CDTF">2019-04-12T04:18:00Z</dcterms:modified>
</cp:coreProperties>
</file>