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2DDF0" w14:textId="77777777" w:rsidR="00B076C1" w:rsidRPr="006B1A9D" w:rsidRDefault="009D1A04" w:rsidP="009E44E8">
      <w:pPr>
        <w:pStyle w:val="Frontpage"/>
        <w:jc w:val="left"/>
      </w:pPr>
      <w:r w:rsidRPr="006B1A9D">
        <w:rPr>
          <w:noProof/>
          <w:lang w:eastAsia="en-AU"/>
        </w:rPr>
        <w:drawing>
          <wp:inline distT="0" distB="0" distL="0" distR="0" wp14:anchorId="73027457" wp14:editId="0D5CD176">
            <wp:extent cx="4562475" cy="1704975"/>
            <wp:effectExtent l="0" t="0" r="9525" b="9525"/>
            <wp:docPr id="3" name="Picture 287" descr="&quot; &quot;" title="HealthConsu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62475" cy="1704975"/>
                    </a:xfrm>
                    <a:prstGeom prst="rect">
                      <a:avLst/>
                    </a:prstGeom>
                    <a:noFill/>
                    <a:ln>
                      <a:noFill/>
                    </a:ln>
                  </pic:spPr>
                </pic:pic>
              </a:graphicData>
            </a:graphic>
          </wp:inline>
        </w:drawing>
      </w:r>
    </w:p>
    <w:p w14:paraId="46E9001A" w14:textId="77777777" w:rsidR="00B076C1" w:rsidRPr="006B1A9D" w:rsidRDefault="00C43084" w:rsidP="00454C0E">
      <w:pPr>
        <w:pStyle w:val="Frontpage"/>
        <w:pBdr>
          <w:top w:val="thickThinSmallGap" w:sz="24" w:space="8" w:color="auto"/>
        </w:pBdr>
        <w:tabs>
          <w:tab w:val="center" w:pos="4819"/>
          <w:tab w:val="left" w:pos="7668"/>
          <w:tab w:val="right" w:pos="9638"/>
        </w:tabs>
        <w:spacing w:before="2760"/>
      </w:pPr>
      <w:r w:rsidRPr="00C43084">
        <w:t>Commonwealth Department of Health</w:t>
      </w:r>
    </w:p>
    <w:p w14:paraId="73B5BCF5" w14:textId="77777777" w:rsidR="00C43084" w:rsidRPr="00C43084" w:rsidRDefault="00C43084" w:rsidP="00C43084">
      <w:pPr>
        <w:pStyle w:val="Frontpagereportname"/>
        <w:spacing w:before="1080"/>
        <w:rPr>
          <w:szCs w:val="44"/>
        </w:rPr>
      </w:pPr>
      <w:r w:rsidRPr="00C43084">
        <w:rPr>
          <w:szCs w:val="44"/>
        </w:rPr>
        <w:t>Initial Evaluation of Sixth Community Pharmacy Agreement Medication Management Programs:</w:t>
      </w:r>
    </w:p>
    <w:p w14:paraId="1E1F0934" w14:textId="616250B2" w:rsidR="00B076C1" w:rsidRPr="006B1A9D" w:rsidRDefault="0037219F" w:rsidP="00C43084">
      <w:pPr>
        <w:pStyle w:val="Frontpagereportname"/>
        <w:spacing w:before="1080"/>
        <w:rPr>
          <w:szCs w:val="44"/>
        </w:rPr>
      </w:pPr>
      <w:r>
        <w:rPr>
          <w:szCs w:val="44"/>
        </w:rPr>
        <w:t>MedsCheck</w:t>
      </w:r>
      <w:r w:rsidR="00533EC1">
        <w:rPr>
          <w:szCs w:val="44"/>
        </w:rPr>
        <w:t xml:space="preserve"> Programme</w:t>
      </w:r>
      <w:r w:rsidR="00A66EB0">
        <w:rPr>
          <w:szCs w:val="44"/>
        </w:rPr>
        <w:t>s</w:t>
      </w:r>
    </w:p>
    <w:p w14:paraId="27B0CFA8" w14:textId="632AAA75" w:rsidR="00B076C1" w:rsidRPr="006B1A9D" w:rsidRDefault="00D92797" w:rsidP="00F3425A">
      <w:pPr>
        <w:pStyle w:val="Frontpage"/>
        <w:pBdr>
          <w:bottom w:val="thinThickSmallGap" w:sz="24" w:space="8" w:color="auto"/>
        </w:pBdr>
        <w:spacing w:before="960" w:after="0"/>
      </w:pPr>
      <w:r>
        <w:t xml:space="preserve">Final </w:t>
      </w:r>
      <w:r w:rsidR="00C43084">
        <w:t xml:space="preserve">Evaluation </w:t>
      </w:r>
      <w:r w:rsidR="00CB4252" w:rsidRPr="006B1A9D">
        <w:t>Report</w:t>
      </w:r>
    </w:p>
    <w:p w14:paraId="451B299C" w14:textId="77777777" w:rsidR="00B076C1" w:rsidRPr="006B1A9D" w:rsidRDefault="00B076C1" w:rsidP="00244B2B">
      <w:pPr>
        <w:pStyle w:val="Frontpage"/>
        <w:spacing w:before="2880" w:after="0"/>
        <w:rPr>
          <w:sz w:val="22"/>
        </w:rPr>
      </w:pPr>
      <w:r w:rsidRPr="006B1A9D">
        <w:rPr>
          <w:sz w:val="22"/>
        </w:rPr>
        <w:t>HealthConsult Pty Ltd</w:t>
      </w:r>
    </w:p>
    <w:p w14:paraId="3E182DBF" w14:textId="77777777" w:rsidR="00B076C1" w:rsidRPr="006B1A9D" w:rsidRDefault="00B076C1" w:rsidP="00B076C1">
      <w:pPr>
        <w:pStyle w:val="Frontpage"/>
        <w:rPr>
          <w:sz w:val="16"/>
          <w:szCs w:val="16"/>
        </w:rPr>
      </w:pPr>
      <w:r w:rsidRPr="006B1A9D">
        <w:rPr>
          <w:sz w:val="16"/>
          <w:szCs w:val="16"/>
        </w:rPr>
        <w:t>ACN 1 18 337 821</w:t>
      </w:r>
    </w:p>
    <w:p w14:paraId="409FDDB1" w14:textId="77777777" w:rsidR="00352EC7" w:rsidRPr="00A66EB0" w:rsidRDefault="00352EC7" w:rsidP="00352EC7">
      <w:pPr>
        <w:pStyle w:val="Frontpage"/>
        <w:spacing w:before="120" w:after="0"/>
        <w:rPr>
          <w:b w:val="0"/>
          <w:sz w:val="16"/>
          <w:szCs w:val="16"/>
        </w:rPr>
      </w:pPr>
      <w:r w:rsidRPr="00A66EB0">
        <w:rPr>
          <w:sz w:val="16"/>
          <w:szCs w:val="16"/>
        </w:rPr>
        <w:t xml:space="preserve">Sydney Office: </w:t>
      </w:r>
      <w:r w:rsidRPr="00A66EB0">
        <w:rPr>
          <w:b w:val="0"/>
          <w:sz w:val="16"/>
          <w:szCs w:val="16"/>
        </w:rPr>
        <w:t>3/86 Liverpool Street, Sydney, New South Wales, 2000 Phone (02) 9261 3707</w:t>
      </w:r>
    </w:p>
    <w:p w14:paraId="500898F4" w14:textId="77777777" w:rsidR="00352EC7" w:rsidRPr="00A66EB0" w:rsidRDefault="00352EC7" w:rsidP="00352EC7">
      <w:pPr>
        <w:pStyle w:val="Frontpage"/>
        <w:spacing w:before="120" w:after="0"/>
        <w:rPr>
          <w:b w:val="0"/>
          <w:sz w:val="16"/>
          <w:szCs w:val="16"/>
        </w:rPr>
      </w:pPr>
      <w:r w:rsidRPr="00A66EB0">
        <w:rPr>
          <w:sz w:val="16"/>
          <w:szCs w:val="16"/>
        </w:rPr>
        <w:t xml:space="preserve">Melbourne Office: </w:t>
      </w:r>
      <w:r w:rsidR="00CB4252" w:rsidRPr="00A66EB0">
        <w:rPr>
          <w:b w:val="0"/>
          <w:sz w:val="16"/>
          <w:szCs w:val="16"/>
        </w:rPr>
        <w:t>429</w:t>
      </w:r>
      <w:r w:rsidRPr="00A66EB0">
        <w:rPr>
          <w:b w:val="0"/>
          <w:sz w:val="16"/>
          <w:szCs w:val="16"/>
        </w:rPr>
        <w:t>/</w:t>
      </w:r>
      <w:r w:rsidR="00CB4252" w:rsidRPr="00A66EB0">
        <w:rPr>
          <w:b w:val="0"/>
          <w:sz w:val="16"/>
          <w:szCs w:val="16"/>
        </w:rPr>
        <w:t>838</w:t>
      </w:r>
      <w:r w:rsidRPr="00A66EB0">
        <w:rPr>
          <w:b w:val="0"/>
          <w:sz w:val="16"/>
          <w:szCs w:val="16"/>
        </w:rPr>
        <w:t xml:space="preserve"> </w:t>
      </w:r>
      <w:r w:rsidR="00CB4252" w:rsidRPr="00A66EB0">
        <w:rPr>
          <w:b w:val="0"/>
          <w:sz w:val="16"/>
          <w:szCs w:val="16"/>
        </w:rPr>
        <w:t xml:space="preserve">Collins </w:t>
      </w:r>
      <w:r w:rsidRPr="00A66EB0">
        <w:rPr>
          <w:b w:val="0"/>
          <w:sz w:val="16"/>
          <w:szCs w:val="16"/>
        </w:rPr>
        <w:t>Street, Docklands, Victoria, 3008 Phone (03) 9</w:t>
      </w:r>
      <w:r w:rsidR="00CB4252" w:rsidRPr="00A66EB0">
        <w:rPr>
          <w:b w:val="0"/>
          <w:sz w:val="16"/>
          <w:szCs w:val="16"/>
        </w:rPr>
        <w:t>081</w:t>
      </w:r>
      <w:r w:rsidRPr="00A66EB0">
        <w:rPr>
          <w:b w:val="0"/>
          <w:sz w:val="16"/>
          <w:szCs w:val="16"/>
        </w:rPr>
        <w:t xml:space="preserve"> </w:t>
      </w:r>
      <w:r w:rsidR="00CB4252" w:rsidRPr="00A66EB0">
        <w:rPr>
          <w:b w:val="0"/>
          <w:sz w:val="16"/>
          <w:szCs w:val="16"/>
        </w:rPr>
        <w:t>1640</w:t>
      </w:r>
    </w:p>
    <w:p w14:paraId="74E0B7AE" w14:textId="4AD3B114" w:rsidR="00B076C1" w:rsidRPr="006B1A9D" w:rsidRDefault="00D92797" w:rsidP="00F3425A">
      <w:pPr>
        <w:pStyle w:val="Frontpage"/>
        <w:spacing w:before="240" w:after="0"/>
        <w:rPr>
          <w:sz w:val="20"/>
          <w:szCs w:val="20"/>
        </w:rPr>
      </w:pPr>
      <w:r>
        <w:rPr>
          <w:sz w:val="20"/>
          <w:szCs w:val="20"/>
        </w:rPr>
        <w:t>29</w:t>
      </w:r>
      <w:r w:rsidR="008D0E98" w:rsidRPr="00A66EB0">
        <w:rPr>
          <w:sz w:val="20"/>
          <w:szCs w:val="20"/>
          <w:vertAlign w:val="superscript"/>
        </w:rPr>
        <w:t>th</w:t>
      </w:r>
      <w:r w:rsidR="008D0E98" w:rsidRPr="00A66EB0">
        <w:rPr>
          <w:sz w:val="20"/>
          <w:szCs w:val="20"/>
        </w:rPr>
        <w:t xml:space="preserve"> </w:t>
      </w:r>
      <w:r w:rsidR="00F5001A" w:rsidRPr="00A66EB0">
        <w:rPr>
          <w:sz w:val="20"/>
          <w:szCs w:val="20"/>
        </w:rPr>
        <w:t>March</w:t>
      </w:r>
      <w:r w:rsidR="00CB4252" w:rsidRPr="00A66EB0">
        <w:rPr>
          <w:sz w:val="20"/>
          <w:szCs w:val="20"/>
        </w:rPr>
        <w:t xml:space="preserve">, </w:t>
      </w:r>
      <w:r w:rsidR="00244B2B" w:rsidRPr="00A66EB0">
        <w:rPr>
          <w:sz w:val="20"/>
          <w:szCs w:val="20"/>
        </w:rPr>
        <w:t>201</w:t>
      </w:r>
      <w:r w:rsidR="00FB5D81" w:rsidRPr="00A66EB0">
        <w:rPr>
          <w:sz w:val="20"/>
          <w:szCs w:val="20"/>
        </w:rPr>
        <w:t>7</w:t>
      </w:r>
    </w:p>
    <w:p w14:paraId="6BF395C1" w14:textId="77777777" w:rsidR="00DF41C4" w:rsidRPr="006B1A9D" w:rsidRDefault="00DF41C4" w:rsidP="00B076C1">
      <w:pPr>
        <w:rPr>
          <w:sz w:val="20"/>
          <w:szCs w:val="20"/>
        </w:rPr>
        <w:sectPr w:rsidR="00DF41C4" w:rsidRPr="006B1A9D" w:rsidSect="008C537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680" w:footer="567" w:gutter="0"/>
          <w:cols w:space="708"/>
          <w:titlePg/>
          <w:docGrid w:linePitch="360"/>
        </w:sectPr>
      </w:pPr>
    </w:p>
    <w:p w14:paraId="7AC4FD94" w14:textId="77777777" w:rsidR="00A4424C" w:rsidRPr="006B1A9D" w:rsidRDefault="008202EF" w:rsidP="00A4424C">
      <w:pPr>
        <w:pStyle w:val="TOCHeading"/>
        <w:rPr>
          <w:lang w:val="en-AU"/>
        </w:rPr>
      </w:pPr>
      <w:r w:rsidRPr="006B1A9D">
        <w:rPr>
          <w:lang w:val="en-AU"/>
        </w:rPr>
        <w:lastRenderedPageBreak/>
        <w:t>T</w:t>
      </w:r>
      <w:r w:rsidR="00A4424C" w:rsidRPr="006B1A9D">
        <w:rPr>
          <w:lang w:val="en-AU"/>
        </w:rPr>
        <w:t xml:space="preserve">able of </w:t>
      </w:r>
      <w:r w:rsidR="004053D2" w:rsidRPr="006B1A9D">
        <w:rPr>
          <w:lang w:val="en-AU"/>
        </w:rPr>
        <w:t>Contents</w:t>
      </w:r>
    </w:p>
    <w:p w14:paraId="72410954" w14:textId="77777777" w:rsidR="00244B2B" w:rsidRPr="006B1A9D" w:rsidRDefault="00244B2B" w:rsidP="00244B2B">
      <w:pPr>
        <w:tabs>
          <w:tab w:val="left" w:pos="567"/>
          <w:tab w:val="right" w:pos="9639"/>
        </w:tabs>
        <w:rPr>
          <w:rFonts w:ascii="Garamond" w:hAnsi="Garamond" w:cs="Arial"/>
          <w:b/>
          <w:sz w:val="32"/>
        </w:rPr>
      </w:pPr>
      <w:r w:rsidRPr="006B1A9D">
        <w:rPr>
          <w:rFonts w:ascii="Garamond" w:hAnsi="Garamond" w:cs="Arial"/>
          <w:b/>
          <w:sz w:val="32"/>
        </w:rPr>
        <w:t>Section</w:t>
      </w:r>
      <w:r w:rsidRPr="006B1A9D">
        <w:rPr>
          <w:rFonts w:ascii="Garamond" w:hAnsi="Garamond" w:cs="Arial"/>
          <w:b/>
          <w:sz w:val="32"/>
        </w:rPr>
        <w:tab/>
        <w:t>Page</w:t>
      </w:r>
    </w:p>
    <w:p w14:paraId="1338CCAF" w14:textId="65721DE9" w:rsidR="009047A7" w:rsidRDefault="001C0081">
      <w:pPr>
        <w:pStyle w:val="TOC1"/>
        <w:rPr>
          <w:rFonts w:asciiTheme="minorHAnsi" w:eastAsiaTheme="minorEastAsia" w:hAnsiTheme="minorHAnsi" w:cstheme="minorBidi"/>
          <w:b w:val="0"/>
          <w:smallCaps w:val="0"/>
          <w:noProof/>
          <w:sz w:val="22"/>
          <w:lang w:eastAsia="en-AU"/>
        </w:rPr>
      </w:pPr>
      <w:r>
        <w:fldChar w:fldCharType="begin"/>
      </w:r>
      <w:r>
        <w:instrText xml:space="preserve"> TOC \o "1-1" \h \z \t "Heading 4,1" </w:instrText>
      </w:r>
      <w:r>
        <w:fldChar w:fldCharType="separate"/>
      </w:r>
      <w:hyperlink w:anchor="_Toc522873478" w:history="1">
        <w:r w:rsidR="009047A7" w:rsidRPr="00152BE1">
          <w:rPr>
            <w:rStyle w:val="Hyperlink"/>
            <w:noProof/>
          </w:rPr>
          <w:t>Abbreviations</w:t>
        </w:r>
        <w:r w:rsidR="009047A7">
          <w:rPr>
            <w:noProof/>
            <w:webHidden/>
          </w:rPr>
          <w:tab/>
        </w:r>
        <w:r w:rsidR="009047A7">
          <w:rPr>
            <w:noProof/>
            <w:webHidden/>
          </w:rPr>
          <w:fldChar w:fldCharType="begin"/>
        </w:r>
        <w:r w:rsidR="009047A7">
          <w:rPr>
            <w:noProof/>
            <w:webHidden/>
          </w:rPr>
          <w:instrText xml:space="preserve"> PAGEREF _Toc522873478 \h </w:instrText>
        </w:r>
        <w:r w:rsidR="009047A7">
          <w:rPr>
            <w:noProof/>
            <w:webHidden/>
          </w:rPr>
        </w:r>
        <w:r w:rsidR="009047A7">
          <w:rPr>
            <w:noProof/>
            <w:webHidden/>
          </w:rPr>
          <w:fldChar w:fldCharType="separate"/>
        </w:r>
        <w:r w:rsidR="009047A7">
          <w:rPr>
            <w:noProof/>
            <w:webHidden/>
          </w:rPr>
          <w:t>1</w:t>
        </w:r>
        <w:r w:rsidR="009047A7">
          <w:rPr>
            <w:noProof/>
            <w:webHidden/>
          </w:rPr>
          <w:fldChar w:fldCharType="end"/>
        </w:r>
      </w:hyperlink>
    </w:p>
    <w:p w14:paraId="051112B8" w14:textId="56A4B760" w:rsidR="009047A7" w:rsidRDefault="0032665F">
      <w:pPr>
        <w:pStyle w:val="TOC1"/>
        <w:rPr>
          <w:rFonts w:asciiTheme="minorHAnsi" w:eastAsiaTheme="minorEastAsia" w:hAnsiTheme="minorHAnsi" w:cstheme="minorBidi"/>
          <w:b w:val="0"/>
          <w:smallCaps w:val="0"/>
          <w:noProof/>
          <w:sz w:val="22"/>
          <w:lang w:eastAsia="en-AU"/>
        </w:rPr>
      </w:pPr>
      <w:hyperlink w:anchor="_Toc522873479" w:history="1">
        <w:r w:rsidR="009047A7" w:rsidRPr="00152BE1">
          <w:rPr>
            <w:rStyle w:val="Hyperlink"/>
            <w:noProof/>
          </w:rPr>
          <w:t>Executive Summary</w:t>
        </w:r>
        <w:r w:rsidR="009047A7">
          <w:rPr>
            <w:noProof/>
            <w:webHidden/>
          </w:rPr>
          <w:tab/>
        </w:r>
        <w:r w:rsidR="009047A7">
          <w:rPr>
            <w:noProof/>
            <w:webHidden/>
          </w:rPr>
          <w:fldChar w:fldCharType="begin"/>
        </w:r>
        <w:r w:rsidR="009047A7">
          <w:rPr>
            <w:noProof/>
            <w:webHidden/>
          </w:rPr>
          <w:instrText xml:space="preserve"> PAGEREF _Toc522873479 \h </w:instrText>
        </w:r>
        <w:r w:rsidR="009047A7">
          <w:rPr>
            <w:noProof/>
            <w:webHidden/>
          </w:rPr>
        </w:r>
        <w:r w:rsidR="009047A7">
          <w:rPr>
            <w:noProof/>
            <w:webHidden/>
          </w:rPr>
          <w:fldChar w:fldCharType="separate"/>
        </w:r>
        <w:r w:rsidR="009047A7">
          <w:rPr>
            <w:noProof/>
            <w:webHidden/>
          </w:rPr>
          <w:t>3</w:t>
        </w:r>
        <w:r w:rsidR="009047A7">
          <w:rPr>
            <w:noProof/>
            <w:webHidden/>
          </w:rPr>
          <w:fldChar w:fldCharType="end"/>
        </w:r>
      </w:hyperlink>
    </w:p>
    <w:p w14:paraId="7B07D8B5" w14:textId="1412A20C" w:rsidR="009047A7" w:rsidRDefault="0032665F">
      <w:pPr>
        <w:pStyle w:val="TOC1"/>
        <w:rPr>
          <w:rFonts w:asciiTheme="minorHAnsi" w:eastAsiaTheme="minorEastAsia" w:hAnsiTheme="minorHAnsi" w:cstheme="minorBidi"/>
          <w:b w:val="0"/>
          <w:smallCaps w:val="0"/>
          <w:noProof/>
          <w:sz w:val="22"/>
          <w:lang w:eastAsia="en-AU"/>
        </w:rPr>
      </w:pPr>
      <w:hyperlink w:anchor="_Toc522873480" w:history="1">
        <w:r w:rsidR="009047A7" w:rsidRPr="00152BE1">
          <w:rPr>
            <w:rStyle w:val="Hyperlink"/>
            <w:noProof/>
          </w:rPr>
          <w:t>1 Introduction</w:t>
        </w:r>
        <w:r w:rsidR="009047A7">
          <w:rPr>
            <w:noProof/>
            <w:webHidden/>
          </w:rPr>
          <w:tab/>
        </w:r>
        <w:r w:rsidR="009047A7">
          <w:rPr>
            <w:noProof/>
            <w:webHidden/>
          </w:rPr>
          <w:fldChar w:fldCharType="begin"/>
        </w:r>
        <w:r w:rsidR="009047A7">
          <w:rPr>
            <w:noProof/>
            <w:webHidden/>
          </w:rPr>
          <w:instrText xml:space="preserve"> PAGEREF _Toc522873480 \h </w:instrText>
        </w:r>
        <w:r w:rsidR="009047A7">
          <w:rPr>
            <w:noProof/>
            <w:webHidden/>
          </w:rPr>
        </w:r>
        <w:r w:rsidR="009047A7">
          <w:rPr>
            <w:noProof/>
            <w:webHidden/>
          </w:rPr>
          <w:fldChar w:fldCharType="separate"/>
        </w:r>
        <w:r w:rsidR="009047A7">
          <w:rPr>
            <w:noProof/>
            <w:webHidden/>
          </w:rPr>
          <w:t>11</w:t>
        </w:r>
        <w:r w:rsidR="009047A7">
          <w:rPr>
            <w:noProof/>
            <w:webHidden/>
          </w:rPr>
          <w:fldChar w:fldCharType="end"/>
        </w:r>
      </w:hyperlink>
    </w:p>
    <w:p w14:paraId="77119CF9" w14:textId="3EEF9C0B" w:rsidR="009047A7" w:rsidRDefault="0032665F">
      <w:pPr>
        <w:pStyle w:val="TOC1"/>
        <w:rPr>
          <w:rFonts w:asciiTheme="minorHAnsi" w:eastAsiaTheme="minorEastAsia" w:hAnsiTheme="minorHAnsi" w:cstheme="minorBidi"/>
          <w:b w:val="0"/>
          <w:smallCaps w:val="0"/>
          <w:noProof/>
          <w:sz w:val="22"/>
          <w:lang w:eastAsia="en-AU"/>
        </w:rPr>
      </w:pPr>
      <w:hyperlink w:anchor="_Toc522873481" w:history="1">
        <w:r w:rsidR="009047A7" w:rsidRPr="00152BE1">
          <w:rPr>
            <w:rStyle w:val="Hyperlink"/>
            <w:noProof/>
          </w:rPr>
          <w:t>2 Overview of the MedsCheck Programmes</w:t>
        </w:r>
        <w:r w:rsidR="009047A7">
          <w:rPr>
            <w:noProof/>
            <w:webHidden/>
          </w:rPr>
          <w:tab/>
        </w:r>
        <w:r w:rsidR="009047A7">
          <w:rPr>
            <w:noProof/>
            <w:webHidden/>
          </w:rPr>
          <w:fldChar w:fldCharType="begin"/>
        </w:r>
        <w:r w:rsidR="009047A7">
          <w:rPr>
            <w:noProof/>
            <w:webHidden/>
          </w:rPr>
          <w:instrText xml:space="preserve"> PAGEREF _Toc522873481 \h </w:instrText>
        </w:r>
        <w:r w:rsidR="009047A7">
          <w:rPr>
            <w:noProof/>
            <w:webHidden/>
          </w:rPr>
        </w:r>
        <w:r w:rsidR="009047A7">
          <w:rPr>
            <w:noProof/>
            <w:webHidden/>
          </w:rPr>
          <w:fldChar w:fldCharType="separate"/>
        </w:r>
        <w:r w:rsidR="009047A7">
          <w:rPr>
            <w:noProof/>
            <w:webHidden/>
          </w:rPr>
          <w:t>13</w:t>
        </w:r>
        <w:r w:rsidR="009047A7">
          <w:rPr>
            <w:noProof/>
            <w:webHidden/>
          </w:rPr>
          <w:fldChar w:fldCharType="end"/>
        </w:r>
      </w:hyperlink>
    </w:p>
    <w:p w14:paraId="79BFFB28" w14:textId="7183DD67" w:rsidR="009047A7" w:rsidRDefault="0032665F">
      <w:pPr>
        <w:pStyle w:val="TOC1"/>
        <w:rPr>
          <w:rFonts w:asciiTheme="minorHAnsi" w:eastAsiaTheme="minorEastAsia" w:hAnsiTheme="minorHAnsi" w:cstheme="minorBidi"/>
          <w:b w:val="0"/>
          <w:smallCaps w:val="0"/>
          <w:noProof/>
          <w:sz w:val="22"/>
          <w:lang w:eastAsia="en-AU"/>
        </w:rPr>
      </w:pPr>
      <w:hyperlink w:anchor="_Toc522873482" w:history="1">
        <w:r w:rsidR="009047A7" w:rsidRPr="00152BE1">
          <w:rPr>
            <w:rStyle w:val="Hyperlink"/>
            <w:noProof/>
          </w:rPr>
          <w:t>3 Review Methodology</w:t>
        </w:r>
        <w:r w:rsidR="009047A7">
          <w:rPr>
            <w:noProof/>
            <w:webHidden/>
          </w:rPr>
          <w:tab/>
        </w:r>
        <w:r w:rsidR="009047A7">
          <w:rPr>
            <w:noProof/>
            <w:webHidden/>
          </w:rPr>
          <w:fldChar w:fldCharType="begin"/>
        </w:r>
        <w:r w:rsidR="009047A7">
          <w:rPr>
            <w:noProof/>
            <w:webHidden/>
          </w:rPr>
          <w:instrText xml:space="preserve"> PAGEREF _Toc522873482 \h </w:instrText>
        </w:r>
        <w:r w:rsidR="009047A7">
          <w:rPr>
            <w:noProof/>
            <w:webHidden/>
          </w:rPr>
        </w:r>
        <w:r w:rsidR="009047A7">
          <w:rPr>
            <w:noProof/>
            <w:webHidden/>
          </w:rPr>
          <w:fldChar w:fldCharType="separate"/>
        </w:r>
        <w:r w:rsidR="009047A7">
          <w:rPr>
            <w:noProof/>
            <w:webHidden/>
          </w:rPr>
          <w:t>16</w:t>
        </w:r>
        <w:r w:rsidR="009047A7">
          <w:rPr>
            <w:noProof/>
            <w:webHidden/>
          </w:rPr>
          <w:fldChar w:fldCharType="end"/>
        </w:r>
      </w:hyperlink>
    </w:p>
    <w:p w14:paraId="551333BA" w14:textId="22797591" w:rsidR="009047A7" w:rsidRDefault="0032665F">
      <w:pPr>
        <w:pStyle w:val="TOC1"/>
        <w:rPr>
          <w:rFonts w:asciiTheme="minorHAnsi" w:eastAsiaTheme="minorEastAsia" w:hAnsiTheme="minorHAnsi" w:cstheme="minorBidi"/>
          <w:b w:val="0"/>
          <w:smallCaps w:val="0"/>
          <w:noProof/>
          <w:sz w:val="22"/>
          <w:lang w:eastAsia="en-AU"/>
        </w:rPr>
      </w:pPr>
      <w:hyperlink w:anchor="_Toc522873483" w:history="1">
        <w:r w:rsidR="009047A7" w:rsidRPr="00152BE1">
          <w:rPr>
            <w:rStyle w:val="Hyperlink"/>
            <w:noProof/>
          </w:rPr>
          <w:t>4 Previous evaluations of the MedsChecks programmes</w:t>
        </w:r>
        <w:r w:rsidR="009047A7">
          <w:rPr>
            <w:noProof/>
            <w:webHidden/>
          </w:rPr>
          <w:tab/>
        </w:r>
        <w:r w:rsidR="009047A7">
          <w:rPr>
            <w:noProof/>
            <w:webHidden/>
          </w:rPr>
          <w:fldChar w:fldCharType="begin"/>
        </w:r>
        <w:r w:rsidR="009047A7">
          <w:rPr>
            <w:noProof/>
            <w:webHidden/>
          </w:rPr>
          <w:instrText xml:space="preserve"> PAGEREF _Toc522873483 \h </w:instrText>
        </w:r>
        <w:r w:rsidR="009047A7">
          <w:rPr>
            <w:noProof/>
            <w:webHidden/>
          </w:rPr>
        </w:r>
        <w:r w:rsidR="009047A7">
          <w:rPr>
            <w:noProof/>
            <w:webHidden/>
          </w:rPr>
          <w:fldChar w:fldCharType="separate"/>
        </w:r>
        <w:r w:rsidR="009047A7">
          <w:rPr>
            <w:noProof/>
            <w:webHidden/>
          </w:rPr>
          <w:t>22</w:t>
        </w:r>
        <w:r w:rsidR="009047A7">
          <w:rPr>
            <w:noProof/>
            <w:webHidden/>
          </w:rPr>
          <w:fldChar w:fldCharType="end"/>
        </w:r>
      </w:hyperlink>
    </w:p>
    <w:p w14:paraId="5CB44CB2" w14:textId="5F269108" w:rsidR="009047A7" w:rsidRDefault="0032665F">
      <w:pPr>
        <w:pStyle w:val="TOC1"/>
        <w:rPr>
          <w:rFonts w:asciiTheme="minorHAnsi" w:eastAsiaTheme="minorEastAsia" w:hAnsiTheme="minorHAnsi" w:cstheme="minorBidi"/>
          <w:b w:val="0"/>
          <w:smallCaps w:val="0"/>
          <w:noProof/>
          <w:sz w:val="22"/>
          <w:lang w:eastAsia="en-AU"/>
        </w:rPr>
      </w:pPr>
      <w:hyperlink w:anchor="_Toc522873484" w:history="1">
        <w:r w:rsidR="009047A7" w:rsidRPr="00152BE1">
          <w:rPr>
            <w:rStyle w:val="Hyperlink"/>
            <w:noProof/>
          </w:rPr>
          <w:t>5 Evidence for the effectiveness of the MedsChecks programs</w:t>
        </w:r>
        <w:r w:rsidR="009047A7">
          <w:rPr>
            <w:noProof/>
            <w:webHidden/>
          </w:rPr>
          <w:tab/>
        </w:r>
        <w:r w:rsidR="009047A7">
          <w:rPr>
            <w:noProof/>
            <w:webHidden/>
          </w:rPr>
          <w:fldChar w:fldCharType="begin"/>
        </w:r>
        <w:r w:rsidR="009047A7">
          <w:rPr>
            <w:noProof/>
            <w:webHidden/>
          </w:rPr>
          <w:instrText xml:space="preserve"> PAGEREF _Toc522873484 \h </w:instrText>
        </w:r>
        <w:r w:rsidR="009047A7">
          <w:rPr>
            <w:noProof/>
            <w:webHidden/>
          </w:rPr>
        </w:r>
        <w:r w:rsidR="009047A7">
          <w:rPr>
            <w:noProof/>
            <w:webHidden/>
          </w:rPr>
          <w:fldChar w:fldCharType="separate"/>
        </w:r>
        <w:r w:rsidR="009047A7">
          <w:rPr>
            <w:noProof/>
            <w:webHidden/>
          </w:rPr>
          <w:t>32</w:t>
        </w:r>
        <w:r w:rsidR="009047A7">
          <w:rPr>
            <w:noProof/>
            <w:webHidden/>
          </w:rPr>
          <w:fldChar w:fldCharType="end"/>
        </w:r>
      </w:hyperlink>
    </w:p>
    <w:p w14:paraId="0BEF389C" w14:textId="24DF4386" w:rsidR="009047A7" w:rsidRDefault="0032665F">
      <w:pPr>
        <w:pStyle w:val="TOC1"/>
        <w:rPr>
          <w:rFonts w:asciiTheme="minorHAnsi" w:eastAsiaTheme="minorEastAsia" w:hAnsiTheme="minorHAnsi" w:cstheme="minorBidi"/>
          <w:b w:val="0"/>
          <w:smallCaps w:val="0"/>
          <w:noProof/>
          <w:sz w:val="22"/>
          <w:lang w:eastAsia="en-AU"/>
        </w:rPr>
      </w:pPr>
      <w:hyperlink w:anchor="_Toc522873485" w:history="1">
        <w:r w:rsidR="009047A7" w:rsidRPr="00152BE1">
          <w:rPr>
            <w:rStyle w:val="Hyperlink"/>
            <w:noProof/>
          </w:rPr>
          <w:t>6 Evidence relating to cost and cost-effectiveness</w:t>
        </w:r>
        <w:r w:rsidR="009047A7">
          <w:rPr>
            <w:noProof/>
            <w:webHidden/>
          </w:rPr>
          <w:tab/>
        </w:r>
        <w:r w:rsidR="009047A7">
          <w:rPr>
            <w:noProof/>
            <w:webHidden/>
          </w:rPr>
          <w:fldChar w:fldCharType="begin"/>
        </w:r>
        <w:r w:rsidR="009047A7">
          <w:rPr>
            <w:noProof/>
            <w:webHidden/>
          </w:rPr>
          <w:instrText xml:space="preserve"> PAGEREF _Toc522873485 \h </w:instrText>
        </w:r>
        <w:r w:rsidR="009047A7">
          <w:rPr>
            <w:noProof/>
            <w:webHidden/>
          </w:rPr>
        </w:r>
        <w:r w:rsidR="009047A7">
          <w:rPr>
            <w:noProof/>
            <w:webHidden/>
          </w:rPr>
          <w:fldChar w:fldCharType="separate"/>
        </w:r>
        <w:r w:rsidR="009047A7">
          <w:rPr>
            <w:noProof/>
            <w:webHidden/>
          </w:rPr>
          <w:t>53</w:t>
        </w:r>
        <w:r w:rsidR="009047A7">
          <w:rPr>
            <w:noProof/>
            <w:webHidden/>
          </w:rPr>
          <w:fldChar w:fldCharType="end"/>
        </w:r>
      </w:hyperlink>
    </w:p>
    <w:p w14:paraId="735B7A62" w14:textId="228F7E5A" w:rsidR="009047A7" w:rsidRDefault="0032665F">
      <w:pPr>
        <w:pStyle w:val="TOC1"/>
        <w:rPr>
          <w:rFonts w:asciiTheme="minorHAnsi" w:eastAsiaTheme="minorEastAsia" w:hAnsiTheme="minorHAnsi" w:cstheme="minorBidi"/>
          <w:b w:val="0"/>
          <w:smallCaps w:val="0"/>
          <w:noProof/>
          <w:sz w:val="22"/>
          <w:lang w:eastAsia="en-AU"/>
        </w:rPr>
      </w:pPr>
      <w:hyperlink w:anchor="_Toc522873486" w:history="1">
        <w:r w:rsidR="009047A7" w:rsidRPr="00152BE1">
          <w:rPr>
            <w:rStyle w:val="Hyperlink"/>
            <w:noProof/>
          </w:rPr>
          <w:t>7 Utilisation Analysis</w:t>
        </w:r>
        <w:r w:rsidR="009047A7">
          <w:rPr>
            <w:noProof/>
            <w:webHidden/>
          </w:rPr>
          <w:tab/>
        </w:r>
        <w:r w:rsidR="009047A7">
          <w:rPr>
            <w:noProof/>
            <w:webHidden/>
          </w:rPr>
          <w:fldChar w:fldCharType="begin"/>
        </w:r>
        <w:r w:rsidR="009047A7">
          <w:rPr>
            <w:noProof/>
            <w:webHidden/>
          </w:rPr>
          <w:instrText xml:space="preserve"> PAGEREF _Toc522873486 \h </w:instrText>
        </w:r>
        <w:r w:rsidR="009047A7">
          <w:rPr>
            <w:noProof/>
            <w:webHidden/>
          </w:rPr>
        </w:r>
        <w:r w:rsidR="009047A7">
          <w:rPr>
            <w:noProof/>
            <w:webHidden/>
          </w:rPr>
          <w:fldChar w:fldCharType="separate"/>
        </w:r>
        <w:r w:rsidR="009047A7">
          <w:rPr>
            <w:noProof/>
            <w:webHidden/>
          </w:rPr>
          <w:t>57</w:t>
        </w:r>
        <w:r w:rsidR="009047A7">
          <w:rPr>
            <w:noProof/>
            <w:webHidden/>
          </w:rPr>
          <w:fldChar w:fldCharType="end"/>
        </w:r>
      </w:hyperlink>
    </w:p>
    <w:p w14:paraId="1772E6E8" w14:textId="11AAB7DA" w:rsidR="009047A7" w:rsidRDefault="0032665F">
      <w:pPr>
        <w:pStyle w:val="TOC1"/>
        <w:rPr>
          <w:rFonts w:asciiTheme="minorHAnsi" w:eastAsiaTheme="minorEastAsia" w:hAnsiTheme="minorHAnsi" w:cstheme="minorBidi"/>
          <w:b w:val="0"/>
          <w:smallCaps w:val="0"/>
          <w:noProof/>
          <w:sz w:val="22"/>
          <w:lang w:eastAsia="en-AU"/>
        </w:rPr>
      </w:pPr>
      <w:hyperlink w:anchor="_Toc522873487" w:history="1">
        <w:r w:rsidR="009047A7" w:rsidRPr="00152BE1">
          <w:rPr>
            <w:rStyle w:val="Hyperlink"/>
            <w:caps/>
            <w:noProof/>
          </w:rPr>
          <w:t>Appendix A References</w:t>
        </w:r>
        <w:r w:rsidR="009047A7">
          <w:rPr>
            <w:noProof/>
            <w:webHidden/>
          </w:rPr>
          <w:tab/>
        </w:r>
        <w:r w:rsidR="009047A7">
          <w:rPr>
            <w:noProof/>
            <w:webHidden/>
          </w:rPr>
          <w:fldChar w:fldCharType="begin"/>
        </w:r>
        <w:r w:rsidR="009047A7">
          <w:rPr>
            <w:noProof/>
            <w:webHidden/>
          </w:rPr>
          <w:instrText xml:space="preserve"> PAGEREF _Toc522873487 \h </w:instrText>
        </w:r>
        <w:r w:rsidR="009047A7">
          <w:rPr>
            <w:noProof/>
            <w:webHidden/>
          </w:rPr>
        </w:r>
        <w:r w:rsidR="009047A7">
          <w:rPr>
            <w:noProof/>
            <w:webHidden/>
          </w:rPr>
          <w:fldChar w:fldCharType="separate"/>
        </w:r>
        <w:r w:rsidR="009047A7">
          <w:rPr>
            <w:noProof/>
            <w:webHidden/>
          </w:rPr>
          <w:t>77</w:t>
        </w:r>
        <w:r w:rsidR="009047A7">
          <w:rPr>
            <w:noProof/>
            <w:webHidden/>
          </w:rPr>
          <w:fldChar w:fldCharType="end"/>
        </w:r>
      </w:hyperlink>
    </w:p>
    <w:p w14:paraId="2E111BF0" w14:textId="1C7B07C2" w:rsidR="009047A7" w:rsidRDefault="0032665F">
      <w:pPr>
        <w:pStyle w:val="TOC1"/>
        <w:rPr>
          <w:rFonts w:asciiTheme="minorHAnsi" w:eastAsiaTheme="minorEastAsia" w:hAnsiTheme="minorHAnsi" w:cstheme="minorBidi"/>
          <w:b w:val="0"/>
          <w:smallCaps w:val="0"/>
          <w:noProof/>
          <w:sz w:val="22"/>
          <w:lang w:eastAsia="en-AU"/>
        </w:rPr>
      </w:pPr>
      <w:hyperlink w:anchor="_Toc522873488" w:history="1">
        <w:r w:rsidR="009047A7" w:rsidRPr="00152BE1">
          <w:rPr>
            <w:rStyle w:val="Hyperlink"/>
            <w:caps/>
            <w:noProof/>
          </w:rPr>
          <w:t>Appendix B Search strategy</w:t>
        </w:r>
        <w:r w:rsidR="009047A7">
          <w:rPr>
            <w:noProof/>
            <w:webHidden/>
          </w:rPr>
          <w:tab/>
        </w:r>
        <w:r w:rsidR="009047A7">
          <w:rPr>
            <w:noProof/>
            <w:webHidden/>
          </w:rPr>
          <w:fldChar w:fldCharType="begin"/>
        </w:r>
        <w:r w:rsidR="009047A7">
          <w:rPr>
            <w:noProof/>
            <w:webHidden/>
          </w:rPr>
          <w:instrText xml:space="preserve"> PAGEREF _Toc522873488 \h </w:instrText>
        </w:r>
        <w:r w:rsidR="009047A7">
          <w:rPr>
            <w:noProof/>
            <w:webHidden/>
          </w:rPr>
        </w:r>
        <w:r w:rsidR="009047A7">
          <w:rPr>
            <w:noProof/>
            <w:webHidden/>
          </w:rPr>
          <w:fldChar w:fldCharType="separate"/>
        </w:r>
        <w:r w:rsidR="009047A7">
          <w:rPr>
            <w:noProof/>
            <w:webHidden/>
          </w:rPr>
          <w:t>79</w:t>
        </w:r>
        <w:r w:rsidR="009047A7">
          <w:rPr>
            <w:noProof/>
            <w:webHidden/>
          </w:rPr>
          <w:fldChar w:fldCharType="end"/>
        </w:r>
      </w:hyperlink>
    </w:p>
    <w:p w14:paraId="11D5F3C4" w14:textId="3349355D" w:rsidR="00244B2B" w:rsidRPr="006B1A9D" w:rsidRDefault="001C0081" w:rsidP="00126380">
      <w:pPr>
        <w:pStyle w:val="TOC2"/>
      </w:pPr>
      <w:r>
        <w:fldChar w:fldCharType="end"/>
      </w:r>
    </w:p>
    <w:p w14:paraId="57F56118" w14:textId="77777777" w:rsidR="00CA5C98" w:rsidRPr="006B1A9D" w:rsidRDefault="00CA5C98" w:rsidP="009E44E8">
      <w:pPr>
        <w:pStyle w:val="01BODYTEXT"/>
      </w:pPr>
    </w:p>
    <w:p w14:paraId="7B9ACD14" w14:textId="77777777" w:rsidR="00132B90" w:rsidRPr="006B1A9D" w:rsidRDefault="00132B90" w:rsidP="009E44E8">
      <w:pPr>
        <w:pStyle w:val="01BODYTEXT"/>
        <w:sectPr w:rsidR="00132B90" w:rsidRPr="006B1A9D" w:rsidSect="004926CB">
          <w:headerReference w:type="default" r:id="rId14"/>
          <w:footerReference w:type="default" r:id="rId15"/>
          <w:pgSz w:w="11906" w:h="16838" w:code="9"/>
          <w:pgMar w:top="1134" w:right="1134" w:bottom="-1134" w:left="1134" w:header="680" w:footer="851" w:gutter="0"/>
          <w:pgNumType w:fmt="lowerRoman" w:start="1"/>
          <w:cols w:space="708"/>
          <w:docGrid w:linePitch="360"/>
        </w:sectPr>
      </w:pPr>
    </w:p>
    <w:p w14:paraId="7CBA5FAA" w14:textId="77777777" w:rsidR="00CB393E" w:rsidRDefault="00CB393E" w:rsidP="0032665F">
      <w:pPr>
        <w:pStyle w:val="Heading4"/>
        <w:spacing w:before="120" w:after="240"/>
      </w:pPr>
      <w:bookmarkStart w:id="0" w:name="_Toc522873478"/>
      <w:bookmarkStart w:id="1" w:name="_Toc457288732"/>
      <w:r>
        <w:lastRenderedPageBreak/>
        <w:t>Abbreviations</w:t>
      </w:r>
      <w:bookmarkEnd w:id="0"/>
    </w:p>
    <w:tbl>
      <w:tblPr>
        <w:tblStyle w:val="TableGridLight"/>
        <w:tblW w:w="0" w:type="auto"/>
        <w:tblLook w:val="04A0" w:firstRow="1" w:lastRow="0" w:firstColumn="1" w:lastColumn="0" w:noHBand="0" w:noVBand="1"/>
        <w:tblCaption w:val="Abbreviations"/>
        <w:tblDescription w:val="A list of abbreviations used in the report"/>
      </w:tblPr>
      <w:tblGrid>
        <w:gridCol w:w="1643"/>
        <w:gridCol w:w="7428"/>
      </w:tblGrid>
      <w:tr w:rsidR="0032665F" w14:paraId="48FC8011" w14:textId="77777777" w:rsidTr="0032665F">
        <w:trPr>
          <w:trHeight w:val="491"/>
          <w:tblHeader/>
        </w:trPr>
        <w:tc>
          <w:tcPr>
            <w:tcW w:w="1643" w:type="dxa"/>
          </w:tcPr>
          <w:p w14:paraId="381AD1FC" w14:textId="3F718782" w:rsidR="0032665F" w:rsidRPr="0032665F" w:rsidRDefault="0032665F" w:rsidP="00BA126A">
            <w:pPr>
              <w:pStyle w:val="BodyText"/>
              <w:spacing w:before="0" w:after="200"/>
              <w:rPr>
                <w:b/>
              </w:rPr>
            </w:pPr>
            <w:r w:rsidRPr="0032665F">
              <w:rPr>
                <w:b/>
              </w:rPr>
              <w:t>Abbreviation</w:t>
            </w:r>
          </w:p>
        </w:tc>
        <w:tc>
          <w:tcPr>
            <w:tcW w:w="7428" w:type="dxa"/>
          </w:tcPr>
          <w:p w14:paraId="77F68FED" w14:textId="7F29B10D" w:rsidR="0032665F" w:rsidRPr="0032665F" w:rsidRDefault="0032665F" w:rsidP="00BA126A">
            <w:pPr>
              <w:pStyle w:val="BodyText"/>
              <w:spacing w:before="0" w:after="200"/>
              <w:rPr>
                <w:b/>
              </w:rPr>
            </w:pPr>
            <w:r w:rsidRPr="0032665F">
              <w:rPr>
                <w:b/>
              </w:rPr>
              <w:t>Expanded Text</w:t>
            </w:r>
          </w:p>
        </w:tc>
      </w:tr>
      <w:tr w:rsidR="00BA126A" w14:paraId="30B8FD4B" w14:textId="77777777" w:rsidTr="000E7D02">
        <w:trPr>
          <w:trHeight w:val="491"/>
        </w:trPr>
        <w:tc>
          <w:tcPr>
            <w:tcW w:w="1643" w:type="dxa"/>
          </w:tcPr>
          <w:p w14:paraId="635CFB12" w14:textId="77777777" w:rsidR="00BA126A" w:rsidRDefault="00BA126A" w:rsidP="00BA126A">
            <w:pPr>
              <w:pStyle w:val="BodyText"/>
              <w:spacing w:before="0" w:after="200"/>
              <w:rPr>
                <w:b/>
              </w:rPr>
            </w:pPr>
            <w:r>
              <w:rPr>
                <w:b/>
              </w:rPr>
              <w:t>ABS</w:t>
            </w:r>
          </w:p>
        </w:tc>
        <w:tc>
          <w:tcPr>
            <w:tcW w:w="7428" w:type="dxa"/>
          </w:tcPr>
          <w:p w14:paraId="0118D53C" w14:textId="77777777" w:rsidR="00BA126A" w:rsidRDefault="00BA126A" w:rsidP="00BA126A">
            <w:pPr>
              <w:pStyle w:val="BodyText"/>
              <w:spacing w:before="0" w:after="200"/>
            </w:pPr>
            <w:r w:rsidRPr="002E0454">
              <w:t>Australian Bureau of Statistics</w:t>
            </w:r>
          </w:p>
        </w:tc>
      </w:tr>
      <w:tr w:rsidR="00BA126A" w14:paraId="1E04CA62" w14:textId="77777777" w:rsidTr="000E7D02">
        <w:trPr>
          <w:trHeight w:val="80"/>
        </w:trPr>
        <w:tc>
          <w:tcPr>
            <w:tcW w:w="1643" w:type="dxa"/>
          </w:tcPr>
          <w:p w14:paraId="43D9FD50" w14:textId="77777777" w:rsidR="00BA126A" w:rsidRDefault="00BA126A" w:rsidP="00BA126A">
            <w:pPr>
              <w:pStyle w:val="BodyText"/>
              <w:spacing w:before="0" w:after="200"/>
              <w:rPr>
                <w:b/>
              </w:rPr>
            </w:pPr>
            <w:r>
              <w:rPr>
                <w:b/>
              </w:rPr>
              <w:t>ACF</w:t>
            </w:r>
          </w:p>
        </w:tc>
        <w:tc>
          <w:tcPr>
            <w:tcW w:w="7428" w:type="dxa"/>
          </w:tcPr>
          <w:p w14:paraId="1CD7CDF4" w14:textId="77777777" w:rsidR="00BA126A" w:rsidRPr="002E0454" w:rsidRDefault="00BA126A" w:rsidP="00BA126A">
            <w:pPr>
              <w:pStyle w:val="BodyText"/>
              <w:spacing w:before="0" w:after="200"/>
            </w:pPr>
            <w:r w:rsidRPr="00454377">
              <w:t>Aged care facility</w:t>
            </w:r>
          </w:p>
        </w:tc>
      </w:tr>
      <w:tr w:rsidR="00BA126A" w14:paraId="2F81D114" w14:textId="77777777" w:rsidTr="000E7D02">
        <w:trPr>
          <w:trHeight w:val="80"/>
        </w:trPr>
        <w:tc>
          <w:tcPr>
            <w:tcW w:w="1643" w:type="dxa"/>
          </w:tcPr>
          <w:p w14:paraId="38D4C2AE" w14:textId="77777777" w:rsidR="00BA126A" w:rsidRDefault="00BA126A" w:rsidP="00BA126A">
            <w:pPr>
              <w:pStyle w:val="BodyText"/>
              <w:spacing w:before="0" w:after="200"/>
              <w:rPr>
                <w:b/>
              </w:rPr>
            </w:pPr>
            <w:r>
              <w:rPr>
                <w:b/>
              </w:rPr>
              <w:t>ADE</w:t>
            </w:r>
          </w:p>
        </w:tc>
        <w:tc>
          <w:tcPr>
            <w:tcW w:w="7428" w:type="dxa"/>
          </w:tcPr>
          <w:p w14:paraId="553D6613" w14:textId="77777777" w:rsidR="00BA126A" w:rsidRPr="00454377" w:rsidRDefault="00BA126A" w:rsidP="00BA126A">
            <w:pPr>
              <w:pStyle w:val="BodyText"/>
              <w:spacing w:before="0" w:after="200"/>
            </w:pPr>
            <w:r>
              <w:t>Adverse drug events</w:t>
            </w:r>
          </w:p>
        </w:tc>
      </w:tr>
      <w:tr w:rsidR="00BA126A" w14:paraId="35E0BB84" w14:textId="77777777" w:rsidTr="000E7D02">
        <w:trPr>
          <w:trHeight w:val="80"/>
        </w:trPr>
        <w:tc>
          <w:tcPr>
            <w:tcW w:w="1643" w:type="dxa"/>
          </w:tcPr>
          <w:p w14:paraId="223EAE81" w14:textId="77777777" w:rsidR="00BA126A" w:rsidRDefault="00BA126A" w:rsidP="00BA126A">
            <w:pPr>
              <w:pStyle w:val="BodyText"/>
              <w:spacing w:before="0" w:after="200"/>
              <w:rPr>
                <w:b/>
              </w:rPr>
            </w:pPr>
            <w:r>
              <w:rPr>
                <w:b/>
              </w:rPr>
              <w:t>AIHW</w:t>
            </w:r>
          </w:p>
        </w:tc>
        <w:tc>
          <w:tcPr>
            <w:tcW w:w="7428" w:type="dxa"/>
          </w:tcPr>
          <w:p w14:paraId="59B95438" w14:textId="77777777" w:rsidR="00BA126A" w:rsidRDefault="00BA126A" w:rsidP="00BA126A">
            <w:pPr>
              <w:pStyle w:val="BodyText"/>
              <w:spacing w:before="0" w:after="200"/>
            </w:pPr>
            <w:r w:rsidRPr="00454377">
              <w:t>Australian Institute of Health and Welfare</w:t>
            </w:r>
          </w:p>
        </w:tc>
      </w:tr>
      <w:tr w:rsidR="00BA126A" w14:paraId="167ADC7A" w14:textId="77777777" w:rsidTr="000E7D02">
        <w:trPr>
          <w:trHeight w:val="80"/>
        </w:trPr>
        <w:tc>
          <w:tcPr>
            <w:tcW w:w="1643" w:type="dxa"/>
          </w:tcPr>
          <w:p w14:paraId="09868242" w14:textId="77777777" w:rsidR="00BA126A" w:rsidRDefault="00BA126A" w:rsidP="00BA126A">
            <w:pPr>
              <w:pStyle w:val="BodyText"/>
              <w:spacing w:before="0" w:after="200"/>
              <w:rPr>
                <w:b/>
              </w:rPr>
            </w:pPr>
            <w:r>
              <w:rPr>
                <w:b/>
              </w:rPr>
              <w:t>ATSI</w:t>
            </w:r>
          </w:p>
        </w:tc>
        <w:tc>
          <w:tcPr>
            <w:tcW w:w="7428" w:type="dxa"/>
          </w:tcPr>
          <w:p w14:paraId="083FE683" w14:textId="77777777" w:rsidR="00BA126A" w:rsidRPr="00454377" w:rsidRDefault="00BA126A" w:rsidP="00BA126A">
            <w:pPr>
              <w:pStyle w:val="BodyText"/>
              <w:spacing w:before="0" w:after="200"/>
            </w:pPr>
            <w:r w:rsidRPr="00454377">
              <w:t>Aboriginal and Torres Strait Islander</w:t>
            </w:r>
          </w:p>
        </w:tc>
      </w:tr>
      <w:tr w:rsidR="00BA126A" w14:paraId="18C06118" w14:textId="77777777" w:rsidTr="000E7D02">
        <w:trPr>
          <w:trHeight w:val="80"/>
        </w:trPr>
        <w:tc>
          <w:tcPr>
            <w:tcW w:w="1643" w:type="dxa"/>
          </w:tcPr>
          <w:p w14:paraId="0268E03B" w14:textId="77777777" w:rsidR="00BA126A" w:rsidRDefault="00BA126A" w:rsidP="00BA126A">
            <w:pPr>
              <w:pStyle w:val="BodyText"/>
              <w:spacing w:before="0" w:after="200"/>
              <w:rPr>
                <w:b/>
              </w:rPr>
            </w:pPr>
            <w:r>
              <w:rPr>
                <w:b/>
              </w:rPr>
              <w:t>BMQ</w:t>
            </w:r>
          </w:p>
        </w:tc>
        <w:tc>
          <w:tcPr>
            <w:tcW w:w="7428" w:type="dxa"/>
          </w:tcPr>
          <w:p w14:paraId="0C6EFBD9" w14:textId="77777777" w:rsidR="00BA126A" w:rsidRPr="00454377" w:rsidRDefault="00BA126A" w:rsidP="00BA126A">
            <w:pPr>
              <w:pStyle w:val="BodyText"/>
              <w:spacing w:before="0" w:after="200"/>
            </w:pPr>
            <w:r w:rsidRPr="00454377">
              <w:t>Beliefs about Medicines Questionnaire</w:t>
            </w:r>
          </w:p>
        </w:tc>
      </w:tr>
      <w:tr w:rsidR="00BA126A" w14:paraId="1BAC827F" w14:textId="77777777" w:rsidTr="000E7D02">
        <w:trPr>
          <w:trHeight w:val="80"/>
        </w:trPr>
        <w:tc>
          <w:tcPr>
            <w:tcW w:w="1643" w:type="dxa"/>
          </w:tcPr>
          <w:p w14:paraId="2759951A" w14:textId="77777777" w:rsidR="00BA126A" w:rsidRDefault="00BA126A" w:rsidP="00BA126A">
            <w:pPr>
              <w:pStyle w:val="BodyText"/>
              <w:spacing w:before="0" w:after="200"/>
              <w:rPr>
                <w:b/>
              </w:rPr>
            </w:pPr>
            <w:r>
              <w:rPr>
                <w:b/>
              </w:rPr>
              <w:t>CABG</w:t>
            </w:r>
          </w:p>
        </w:tc>
        <w:tc>
          <w:tcPr>
            <w:tcW w:w="7428" w:type="dxa"/>
          </w:tcPr>
          <w:p w14:paraId="32B9C44D" w14:textId="77777777" w:rsidR="00BA126A" w:rsidRPr="00454377" w:rsidRDefault="00BA126A" w:rsidP="00BA126A">
            <w:pPr>
              <w:pStyle w:val="BodyText"/>
              <w:spacing w:before="0" w:after="200"/>
            </w:pPr>
            <w:r w:rsidRPr="00454377">
              <w:t>Coronary artery bypass graft</w:t>
            </w:r>
          </w:p>
        </w:tc>
      </w:tr>
      <w:tr w:rsidR="00BA126A" w14:paraId="2D479104" w14:textId="77777777" w:rsidTr="000E7D02">
        <w:trPr>
          <w:trHeight w:val="80"/>
        </w:trPr>
        <w:tc>
          <w:tcPr>
            <w:tcW w:w="1643" w:type="dxa"/>
          </w:tcPr>
          <w:p w14:paraId="44170D07" w14:textId="77777777" w:rsidR="00BA126A" w:rsidRDefault="00BA126A" w:rsidP="00BA126A">
            <w:pPr>
              <w:pStyle w:val="BodyText"/>
              <w:spacing w:before="0" w:after="200"/>
              <w:rPr>
                <w:b/>
              </w:rPr>
            </w:pPr>
            <w:r>
              <w:rPr>
                <w:b/>
              </w:rPr>
              <w:t>CALD</w:t>
            </w:r>
          </w:p>
        </w:tc>
        <w:tc>
          <w:tcPr>
            <w:tcW w:w="7428" w:type="dxa"/>
          </w:tcPr>
          <w:p w14:paraId="435BA14B" w14:textId="77777777" w:rsidR="00BA126A" w:rsidRPr="00454377" w:rsidRDefault="00BA126A" w:rsidP="00BA126A">
            <w:pPr>
              <w:pStyle w:val="BodyText"/>
              <w:spacing w:before="0" w:after="200"/>
            </w:pPr>
            <w:r w:rsidRPr="007D6DAF">
              <w:t>Culturally and linguistically diverse people</w:t>
            </w:r>
          </w:p>
        </w:tc>
      </w:tr>
      <w:tr w:rsidR="00BA126A" w14:paraId="332D77B8" w14:textId="77777777" w:rsidTr="000E7D02">
        <w:trPr>
          <w:trHeight w:val="80"/>
        </w:trPr>
        <w:tc>
          <w:tcPr>
            <w:tcW w:w="1643" w:type="dxa"/>
          </w:tcPr>
          <w:p w14:paraId="2D9306F8" w14:textId="77777777" w:rsidR="00BA126A" w:rsidRDefault="00BA126A" w:rsidP="00BA126A">
            <w:pPr>
              <w:pStyle w:val="BodyText"/>
              <w:spacing w:before="0" w:after="200"/>
              <w:rPr>
                <w:b/>
              </w:rPr>
            </w:pPr>
            <w:r>
              <w:rPr>
                <w:b/>
              </w:rPr>
              <w:t>CBA</w:t>
            </w:r>
          </w:p>
        </w:tc>
        <w:tc>
          <w:tcPr>
            <w:tcW w:w="7428" w:type="dxa"/>
          </w:tcPr>
          <w:p w14:paraId="7C7F1AA0" w14:textId="77777777" w:rsidR="00BA126A" w:rsidRPr="00454377" w:rsidRDefault="00BA126A" w:rsidP="00BA126A">
            <w:pPr>
              <w:pStyle w:val="BodyText"/>
              <w:spacing w:before="0" w:after="200"/>
            </w:pPr>
            <w:r w:rsidRPr="00454377">
              <w:t>Cost benefit analysis</w:t>
            </w:r>
          </w:p>
        </w:tc>
      </w:tr>
      <w:tr w:rsidR="00BA126A" w14:paraId="6F840219" w14:textId="77777777" w:rsidTr="000E7D02">
        <w:trPr>
          <w:trHeight w:val="80"/>
        </w:trPr>
        <w:tc>
          <w:tcPr>
            <w:tcW w:w="1643" w:type="dxa"/>
          </w:tcPr>
          <w:p w14:paraId="7256909A" w14:textId="77777777" w:rsidR="00BA126A" w:rsidRDefault="00BA126A" w:rsidP="00BA126A">
            <w:pPr>
              <w:pStyle w:val="BodyText"/>
              <w:spacing w:before="0" w:after="200"/>
              <w:rPr>
                <w:b/>
              </w:rPr>
            </w:pPr>
            <w:r>
              <w:rPr>
                <w:b/>
              </w:rPr>
              <w:t>CE</w:t>
            </w:r>
          </w:p>
        </w:tc>
        <w:tc>
          <w:tcPr>
            <w:tcW w:w="7428" w:type="dxa"/>
          </w:tcPr>
          <w:p w14:paraId="7DF65E13" w14:textId="77777777" w:rsidR="00BA126A" w:rsidRPr="00454377" w:rsidRDefault="00BA126A" w:rsidP="00BA126A">
            <w:pPr>
              <w:pStyle w:val="BodyText"/>
              <w:spacing w:before="0" w:after="200"/>
            </w:pPr>
            <w:r>
              <w:t>Cost-effective</w:t>
            </w:r>
          </w:p>
        </w:tc>
      </w:tr>
      <w:tr w:rsidR="00BA126A" w14:paraId="1C852101" w14:textId="77777777" w:rsidTr="000E7D02">
        <w:trPr>
          <w:trHeight w:val="80"/>
        </w:trPr>
        <w:tc>
          <w:tcPr>
            <w:tcW w:w="1643" w:type="dxa"/>
          </w:tcPr>
          <w:p w14:paraId="36517B62" w14:textId="77777777" w:rsidR="00BA126A" w:rsidRDefault="00BA126A" w:rsidP="00BA126A">
            <w:pPr>
              <w:pStyle w:val="BodyText"/>
              <w:spacing w:before="0" w:after="200"/>
              <w:rPr>
                <w:b/>
              </w:rPr>
            </w:pPr>
            <w:r>
              <w:rPr>
                <w:b/>
              </w:rPr>
              <w:t>CHD</w:t>
            </w:r>
          </w:p>
        </w:tc>
        <w:tc>
          <w:tcPr>
            <w:tcW w:w="7428" w:type="dxa"/>
          </w:tcPr>
          <w:p w14:paraId="6EF733A5" w14:textId="77777777" w:rsidR="00BA126A" w:rsidRPr="00454377" w:rsidRDefault="00BA126A" w:rsidP="00BA126A">
            <w:pPr>
              <w:pStyle w:val="BodyText"/>
              <w:spacing w:before="0" w:after="200"/>
            </w:pPr>
            <w:r w:rsidRPr="00454377">
              <w:t>Coronary heart disease</w:t>
            </w:r>
          </w:p>
        </w:tc>
      </w:tr>
      <w:tr w:rsidR="00BA126A" w14:paraId="42D5D61E" w14:textId="77777777" w:rsidTr="000E7D02">
        <w:trPr>
          <w:trHeight w:val="80"/>
        </w:trPr>
        <w:tc>
          <w:tcPr>
            <w:tcW w:w="1643" w:type="dxa"/>
          </w:tcPr>
          <w:p w14:paraId="3A4FD1BF" w14:textId="77777777" w:rsidR="00BA126A" w:rsidRDefault="00BA126A" w:rsidP="00BA126A">
            <w:pPr>
              <w:pStyle w:val="BodyText"/>
              <w:spacing w:before="0" w:after="200"/>
              <w:rPr>
                <w:b/>
              </w:rPr>
            </w:pPr>
            <w:r>
              <w:rPr>
                <w:b/>
              </w:rPr>
              <w:t>CI</w:t>
            </w:r>
          </w:p>
        </w:tc>
        <w:tc>
          <w:tcPr>
            <w:tcW w:w="7428" w:type="dxa"/>
          </w:tcPr>
          <w:p w14:paraId="232E5093" w14:textId="77777777" w:rsidR="00BA126A" w:rsidRPr="00454377" w:rsidRDefault="00BA126A" w:rsidP="00BA126A">
            <w:pPr>
              <w:pStyle w:val="BodyText"/>
              <w:spacing w:before="0" w:after="200"/>
            </w:pPr>
            <w:r w:rsidRPr="00454377">
              <w:t>Confidence interval</w:t>
            </w:r>
          </w:p>
        </w:tc>
      </w:tr>
      <w:tr w:rsidR="00BA126A" w14:paraId="5D03F868" w14:textId="77777777" w:rsidTr="000E7D02">
        <w:trPr>
          <w:trHeight w:val="80"/>
        </w:trPr>
        <w:tc>
          <w:tcPr>
            <w:tcW w:w="1643" w:type="dxa"/>
          </w:tcPr>
          <w:p w14:paraId="20841803" w14:textId="77777777" w:rsidR="00BA126A" w:rsidRDefault="00BA126A" w:rsidP="00BA126A">
            <w:pPr>
              <w:pStyle w:val="BodyText"/>
              <w:spacing w:before="0" w:after="200"/>
              <w:rPr>
                <w:b/>
              </w:rPr>
            </w:pPr>
            <w:r>
              <w:rPr>
                <w:b/>
              </w:rPr>
              <w:t>CIs</w:t>
            </w:r>
          </w:p>
        </w:tc>
        <w:tc>
          <w:tcPr>
            <w:tcW w:w="7428" w:type="dxa"/>
          </w:tcPr>
          <w:p w14:paraId="069A0023" w14:textId="77777777" w:rsidR="00BA126A" w:rsidRPr="00454377" w:rsidRDefault="00BA126A" w:rsidP="00BA126A">
            <w:pPr>
              <w:pStyle w:val="BodyText"/>
              <w:spacing w:before="0" w:after="200"/>
            </w:pPr>
            <w:r w:rsidRPr="00454377">
              <w:t>Clinical Interventions</w:t>
            </w:r>
          </w:p>
        </w:tc>
      </w:tr>
      <w:tr w:rsidR="00BA126A" w14:paraId="38983F63" w14:textId="77777777" w:rsidTr="000E7D02">
        <w:trPr>
          <w:trHeight w:val="80"/>
        </w:trPr>
        <w:tc>
          <w:tcPr>
            <w:tcW w:w="1643" w:type="dxa"/>
          </w:tcPr>
          <w:p w14:paraId="7C5DA8BC" w14:textId="77777777" w:rsidR="00BA126A" w:rsidRDefault="00BA126A" w:rsidP="00BA126A">
            <w:pPr>
              <w:pStyle w:val="BodyText"/>
              <w:spacing w:before="0" w:after="200"/>
              <w:rPr>
                <w:b/>
              </w:rPr>
            </w:pPr>
            <w:r>
              <w:rPr>
                <w:b/>
              </w:rPr>
              <w:t>CPA</w:t>
            </w:r>
          </w:p>
        </w:tc>
        <w:tc>
          <w:tcPr>
            <w:tcW w:w="7428" w:type="dxa"/>
          </w:tcPr>
          <w:p w14:paraId="301F3746" w14:textId="77777777" w:rsidR="00BA126A" w:rsidRPr="002E0454" w:rsidRDefault="00BA126A" w:rsidP="00BA126A">
            <w:pPr>
              <w:pStyle w:val="BodyText"/>
              <w:spacing w:before="0" w:after="200"/>
            </w:pPr>
            <w:r>
              <w:t>Community Pharmacy Agreement</w:t>
            </w:r>
          </w:p>
        </w:tc>
      </w:tr>
      <w:tr w:rsidR="00BA126A" w14:paraId="3D2CCBDA" w14:textId="77777777" w:rsidTr="000E7D02">
        <w:trPr>
          <w:trHeight w:val="80"/>
        </w:trPr>
        <w:tc>
          <w:tcPr>
            <w:tcW w:w="1643" w:type="dxa"/>
          </w:tcPr>
          <w:p w14:paraId="43C49354" w14:textId="77777777" w:rsidR="00BA126A" w:rsidRDefault="00BA126A" w:rsidP="00BA126A">
            <w:pPr>
              <w:pStyle w:val="BodyText"/>
              <w:spacing w:before="0" w:after="200"/>
              <w:rPr>
                <w:b/>
              </w:rPr>
            </w:pPr>
            <w:r>
              <w:rPr>
                <w:b/>
              </w:rPr>
              <w:t>CUA</w:t>
            </w:r>
          </w:p>
        </w:tc>
        <w:tc>
          <w:tcPr>
            <w:tcW w:w="7428" w:type="dxa"/>
          </w:tcPr>
          <w:p w14:paraId="6754D99A" w14:textId="77777777" w:rsidR="00BA126A" w:rsidRDefault="00BA126A" w:rsidP="00BA126A">
            <w:pPr>
              <w:pStyle w:val="BodyText"/>
              <w:spacing w:before="0" w:after="200"/>
            </w:pPr>
            <w:r w:rsidRPr="00454377">
              <w:t>Cost-utility analysis</w:t>
            </w:r>
          </w:p>
        </w:tc>
      </w:tr>
      <w:tr w:rsidR="00BA126A" w14:paraId="06F6FA37" w14:textId="77777777" w:rsidTr="000E7D02">
        <w:trPr>
          <w:trHeight w:val="80"/>
        </w:trPr>
        <w:tc>
          <w:tcPr>
            <w:tcW w:w="1643" w:type="dxa"/>
          </w:tcPr>
          <w:p w14:paraId="7A953B0A" w14:textId="77777777" w:rsidR="00BA126A" w:rsidRDefault="00BA126A" w:rsidP="00BA126A">
            <w:pPr>
              <w:pStyle w:val="BodyText"/>
              <w:spacing w:before="0" w:after="200"/>
              <w:rPr>
                <w:b/>
              </w:rPr>
            </w:pPr>
            <w:r>
              <w:rPr>
                <w:b/>
              </w:rPr>
              <w:t>DAA</w:t>
            </w:r>
          </w:p>
        </w:tc>
        <w:tc>
          <w:tcPr>
            <w:tcW w:w="7428" w:type="dxa"/>
          </w:tcPr>
          <w:p w14:paraId="4A06EE76" w14:textId="77777777" w:rsidR="00BA126A" w:rsidRPr="00454377" w:rsidRDefault="00BA126A" w:rsidP="00BA126A">
            <w:pPr>
              <w:pStyle w:val="BodyText"/>
              <w:spacing w:before="0" w:after="200"/>
            </w:pPr>
            <w:r w:rsidRPr="00454377">
              <w:t>Dose Administration Aid</w:t>
            </w:r>
          </w:p>
        </w:tc>
      </w:tr>
      <w:tr w:rsidR="00BA126A" w14:paraId="1549D0F9" w14:textId="77777777" w:rsidTr="000E7D02">
        <w:trPr>
          <w:trHeight w:val="80"/>
        </w:trPr>
        <w:tc>
          <w:tcPr>
            <w:tcW w:w="1643" w:type="dxa"/>
          </w:tcPr>
          <w:p w14:paraId="4BE9BF2F" w14:textId="77777777" w:rsidR="00BA126A" w:rsidRDefault="00BA126A" w:rsidP="00BA126A">
            <w:pPr>
              <w:pStyle w:val="BodyText"/>
              <w:spacing w:before="0" w:after="200"/>
              <w:rPr>
                <w:b/>
              </w:rPr>
            </w:pPr>
            <w:r>
              <w:rPr>
                <w:b/>
              </w:rPr>
              <w:t>DPPR</w:t>
            </w:r>
          </w:p>
        </w:tc>
        <w:tc>
          <w:tcPr>
            <w:tcW w:w="7428" w:type="dxa"/>
          </w:tcPr>
          <w:p w14:paraId="6158588C" w14:textId="77777777" w:rsidR="00BA126A" w:rsidRPr="00454377" w:rsidRDefault="00BA126A" w:rsidP="00BA126A">
            <w:pPr>
              <w:pStyle w:val="BodyText"/>
              <w:spacing w:before="0" w:after="200"/>
            </w:pPr>
            <w:r w:rsidRPr="00454377">
              <w:t>Daily Polypharmacy Possession Ratio</w:t>
            </w:r>
          </w:p>
        </w:tc>
      </w:tr>
      <w:tr w:rsidR="00BA126A" w14:paraId="4010EEA7" w14:textId="77777777" w:rsidTr="000E7D02">
        <w:trPr>
          <w:trHeight w:val="80"/>
        </w:trPr>
        <w:tc>
          <w:tcPr>
            <w:tcW w:w="1643" w:type="dxa"/>
          </w:tcPr>
          <w:p w14:paraId="4BE29954" w14:textId="77777777" w:rsidR="00BA126A" w:rsidRDefault="00BA126A" w:rsidP="00BA126A">
            <w:pPr>
              <w:pStyle w:val="BodyText"/>
              <w:spacing w:before="0" w:after="200"/>
              <w:rPr>
                <w:b/>
              </w:rPr>
            </w:pPr>
            <w:r>
              <w:rPr>
                <w:b/>
              </w:rPr>
              <w:t>DRP</w:t>
            </w:r>
          </w:p>
        </w:tc>
        <w:tc>
          <w:tcPr>
            <w:tcW w:w="7428" w:type="dxa"/>
          </w:tcPr>
          <w:p w14:paraId="4F21002F" w14:textId="77777777" w:rsidR="00BA126A" w:rsidRPr="00454377" w:rsidRDefault="00BA126A" w:rsidP="00BA126A">
            <w:pPr>
              <w:pStyle w:val="BodyText"/>
              <w:spacing w:before="0" w:after="200"/>
            </w:pPr>
            <w:r w:rsidRPr="002D2382">
              <w:t>Drug-related problem</w:t>
            </w:r>
          </w:p>
        </w:tc>
      </w:tr>
      <w:tr w:rsidR="00BA126A" w14:paraId="1AF73E88" w14:textId="77777777" w:rsidTr="000E7D02">
        <w:trPr>
          <w:trHeight w:val="80"/>
        </w:trPr>
        <w:tc>
          <w:tcPr>
            <w:tcW w:w="1643" w:type="dxa"/>
          </w:tcPr>
          <w:p w14:paraId="64A065DE" w14:textId="77777777" w:rsidR="00BA126A" w:rsidRDefault="00BA126A" w:rsidP="00BA126A">
            <w:pPr>
              <w:pStyle w:val="BodyText"/>
              <w:spacing w:before="0" w:after="200"/>
              <w:rPr>
                <w:b/>
              </w:rPr>
            </w:pPr>
            <w:r>
              <w:rPr>
                <w:b/>
              </w:rPr>
              <w:t>DVA</w:t>
            </w:r>
          </w:p>
        </w:tc>
        <w:tc>
          <w:tcPr>
            <w:tcW w:w="7428" w:type="dxa"/>
          </w:tcPr>
          <w:p w14:paraId="7870D062" w14:textId="77777777" w:rsidR="00BA126A" w:rsidRPr="002D2382" w:rsidRDefault="00BA126A" w:rsidP="00BA126A">
            <w:pPr>
              <w:pStyle w:val="BodyText"/>
              <w:spacing w:before="0" w:after="200"/>
            </w:pPr>
            <w:r w:rsidRPr="002D2382">
              <w:t>Department of Veterans’ Affairs</w:t>
            </w:r>
          </w:p>
        </w:tc>
      </w:tr>
      <w:tr w:rsidR="00BA126A" w14:paraId="6A1FEAF5" w14:textId="77777777" w:rsidTr="000E7D02">
        <w:trPr>
          <w:trHeight w:val="80"/>
        </w:trPr>
        <w:tc>
          <w:tcPr>
            <w:tcW w:w="1643" w:type="dxa"/>
          </w:tcPr>
          <w:p w14:paraId="1A26B5DC" w14:textId="77777777" w:rsidR="00BA126A" w:rsidRDefault="00BA126A" w:rsidP="00BA126A">
            <w:pPr>
              <w:pStyle w:val="BodyText"/>
              <w:spacing w:before="0" w:after="200"/>
              <w:rPr>
                <w:b/>
              </w:rPr>
            </w:pPr>
            <w:r>
              <w:rPr>
                <w:b/>
              </w:rPr>
              <w:t>ED</w:t>
            </w:r>
          </w:p>
        </w:tc>
        <w:tc>
          <w:tcPr>
            <w:tcW w:w="7428" w:type="dxa"/>
          </w:tcPr>
          <w:p w14:paraId="5A1B7337" w14:textId="77777777" w:rsidR="00BA126A" w:rsidRPr="002D2382" w:rsidRDefault="00BA126A" w:rsidP="00BA126A">
            <w:pPr>
              <w:pStyle w:val="BodyText"/>
              <w:spacing w:before="0" w:after="200"/>
            </w:pPr>
            <w:r w:rsidRPr="002D2382">
              <w:t>Emergency department</w:t>
            </w:r>
          </w:p>
        </w:tc>
      </w:tr>
      <w:tr w:rsidR="00BA126A" w14:paraId="6441668C" w14:textId="77777777" w:rsidTr="000E7D02">
        <w:trPr>
          <w:trHeight w:val="80"/>
        </w:trPr>
        <w:tc>
          <w:tcPr>
            <w:tcW w:w="1643" w:type="dxa"/>
          </w:tcPr>
          <w:p w14:paraId="65859B02" w14:textId="77777777" w:rsidR="00BA126A" w:rsidRDefault="00BA126A" w:rsidP="00BA126A">
            <w:pPr>
              <w:pStyle w:val="BodyText"/>
              <w:spacing w:before="0" w:after="200"/>
              <w:rPr>
                <w:b/>
              </w:rPr>
            </w:pPr>
            <w:r>
              <w:rPr>
                <w:b/>
              </w:rPr>
              <w:t>EI</w:t>
            </w:r>
          </w:p>
        </w:tc>
        <w:tc>
          <w:tcPr>
            <w:tcW w:w="7428" w:type="dxa"/>
          </w:tcPr>
          <w:p w14:paraId="51988C0B" w14:textId="77777777" w:rsidR="00BA126A" w:rsidRPr="002D2382" w:rsidRDefault="00BA126A" w:rsidP="00BA126A">
            <w:pPr>
              <w:pStyle w:val="BodyText"/>
              <w:spacing w:before="0" w:after="200"/>
            </w:pPr>
            <w:r w:rsidRPr="002D2382">
              <w:t>Extended Intervention</w:t>
            </w:r>
          </w:p>
        </w:tc>
      </w:tr>
      <w:tr w:rsidR="00BA126A" w14:paraId="6C3603C6" w14:textId="77777777" w:rsidTr="000E7D02">
        <w:trPr>
          <w:trHeight w:val="80"/>
        </w:trPr>
        <w:tc>
          <w:tcPr>
            <w:tcW w:w="1643" w:type="dxa"/>
          </w:tcPr>
          <w:p w14:paraId="3C07FFEC" w14:textId="77777777" w:rsidR="00BA126A" w:rsidRDefault="00BA126A" w:rsidP="00BA126A">
            <w:pPr>
              <w:pStyle w:val="BodyText"/>
              <w:spacing w:before="0" w:after="200"/>
              <w:rPr>
                <w:b/>
              </w:rPr>
            </w:pPr>
            <w:r>
              <w:rPr>
                <w:b/>
              </w:rPr>
              <w:t>FRID</w:t>
            </w:r>
          </w:p>
        </w:tc>
        <w:tc>
          <w:tcPr>
            <w:tcW w:w="7428" w:type="dxa"/>
          </w:tcPr>
          <w:p w14:paraId="19F1CC44" w14:textId="77777777" w:rsidR="00BA126A" w:rsidRPr="002D2382" w:rsidRDefault="00BA126A" w:rsidP="00BA126A">
            <w:pPr>
              <w:pStyle w:val="BodyText"/>
              <w:spacing w:before="0" w:after="200"/>
            </w:pPr>
            <w:r w:rsidRPr="002D2382">
              <w:t>Fall risk-increasing drugs</w:t>
            </w:r>
          </w:p>
        </w:tc>
      </w:tr>
      <w:tr w:rsidR="00BA126A" w14:paraId="0F9DF60D" w14:textId="77777777" w:rsidTr="000E7D02">
        <w:trPr>
          <w:trHeight w:val="80"/>
        </w:trPr>
        <w:tc>
          <w:tcPr>
            <w:tcW w:w="1643" w:type="dxa"/>
          </w:tcPr>
          <w:p w14:paraId="6F3BB02C" w14:textId="77777777" w:rsidR="00BA126A" w:rsidRDefault="00BA126A" w:rsidP="00BA126A">
            <w:pPr>
              <w:pStyle w:val="BodyText"/>
              <w:spacing w:before="0" w:after="200"/>
              <w:rPr>
                <w:b/>
              </w:rPr>
            </w:pPr>
            <w:r>
              <w:rPr>
                <w:b/>
              </w:rPr>
              <w:t>GP</w:t>
            </w:r>
          </w:p>
        </w:tc>
        <w:tc>
          <w:tcPr>
            <w:tcW w:w="7428" w:type="dxa"/>
          </w:tcPr>
          <w:p w14:paraId="5FE281E4" w14:textId="77777777" w:rsidR="00BA126A" w:rsidRPr="002D2382" w:rsidRDefault="00BA126A" w:rsidP="00BA126A">
            <w:pPr>
              <w:pStyle w:val="BodyText"/>
              <w:spacing w:before="0" w:after="200"/>
            </w:pPr>
            <w:r w:rsidRPr="002D2382">
              <w:t>General practitioner</w:t>
            </w:r>
          </w:p>
        </w:tc>
      </w:tr>
      <w:tr w:rsidR="00BA126A" w14:paraId="01967319" w14:textId="77777777" w:rsidTr="000E7D02">
        <w:trPr>
          <w:trHeight w:val="80"/>
        </w:trPr>
        <w:tc>
          <w:tcPr>
            <w:tcW w:w="1643" w:type="dxa"/>
          </w:tcPr>
          <w:p w14:paraId="39F50B9E" w14:textId="77777777" w:rsidR="00BA126A" w:rsidRDefault="00BA126A" w:rsidP="00BA126A">
            <w:pPr>
              <w:pStyle w:val="BodyText"/>
              <w:spacing w:before="0" w:after="200"/>
              <w:rPr>
                <w:b/>
              </w:rPr>
            </w:pPr>
            <w:r>
              <w:rPr>
                <w:b/>
              </w:rPr>
              <w:t>HMR</w:t>
            </w:r>
          </w:p>
        </w:tc>
        <w:tc>
          <w:tcPr>
            <w:tcW w:w="7428" w:type="dxa"/>
          </w:tcPr>
          <w:p w14:paraId="08CB7D66" w14:textId="77777777" w:rsidR="00BA126A" w:rsidRPr="002D2382" w:rsidRDefault="00BA126A" w:rsidP="00BA126A">
            <w:pPr>
              <w:pStyle w:val="BodyText"/>
              <w:spacing w:before="0" w:after="200"/>
            </w:pPr>
            <w:r w:rsidRPr="002D2382">
              <w:t>Home Medicines Review</w:t>
            </w:r>
          </w:p>
        </w:tc>
      </w:tr>
      <w:tr w:rsidR="00BA126A" w14:paraId="417C3774" w14:textId="77777777" w:rsidTr="000E7D02">
        <w:trPr>
          <w:trHeight w:val="80"/>
        </w:trPr>
        <w:tc>
          <w:tcPr>
            <w:tcW w:w="1643" w:type="dxa"/>
          </w:tcPr>
          <w:p w14:paraId="03CA2CAD" w14:textId="77777777" w:rsidR="00BA126A" w:rsidRDefault="00BA126A" w:rsidP="00BA126A">
            <w:pPr>
              <w:pStyle w:val="BodyText"/>
              <w:spacing w:before="0" w:after="200"/>
              <w:rPr>
                <w:b/>
              </w:rPr>
            </w:pPr>
            <w:r>
              <w:rPr>
                <w:b/>
              </w:rPr>
              <w:t>HTA</w:t>
            </w:r>
          </w:p>
        </w:tc>
        <w:tc>
          <w:tcPr>
            <w:tcW w:w="7428" w:type="dxa"/>
          </w:tcPr>
          <w:p w14:paraId="7E208ADD" w14:textId="77777777" w:rsidR="00BA126A" w:rsidRPr="002D2382" w:rsidRDefault="00BA126A" w:rsidP="00BA126A">
            <w:pPr>
              <w:pStyle w:val="BodyText"/>
              <w:spacing w:before="0" w:after="200"/>
            </w:pPr>
            <w:r w:rsidRPr="002D2382">
              <w:t>Health technology assessment</w:t>
            </w:r>
          </w:p>
        </w:tc>
      </w:tr>
      <w:tr w:rsidR="00BA126A" w14:paraId="0E1F0B95" w14:textId="77777777" w:rsidTr="000E7D02">
        <w:trPr>
          <w:trHeight w:val="80"/>
        </w:trPr>
        <w:tc>
          <w:tcPr>
            <w:tcW w:w="1643" w:type="dxa"/>
          </w:tcPr>
          <w:p w14:paraId="55683EC5" w14:textId="77777777" w:rsidR="00BA126A" w:rsidRDefault="00BA126A" w:rsidP="00BA126A">
            <w:pPr>
              <w:pStyle w:val="BodyText"/>
              <w:spacing w:before="0" w:after="200"/>
              <w:rPr>
                <w:b/>
              </w:rPr>
            </w:pPr>
            <w:r>
              <w:rPr>
                <w:b/>
              </w:rPr>
              <w:t>ICER</w:t>
            </w:r>
          </w:p>
        </w:tc>
        <w:tc>
          <w:tcPr>
            <w:tcW w:w="7428" w:type="dxa"/>
          </w:tcPr>
          <w:p w14:paraId="1B3CFF68" w14:textId="77777777" w:rsidR="00BA126A" w:rsidRPr="002D2382" w:rsidRDefault="00BA126A" w:rsidP="00BA126A">
            <w:pPr>
              <w:pStyle w:val="BodyText"/>
              <w:spacing w:before="0" w:after="200"/>
            </w:pPr>
            <w:r>
              <w:t>Incremental cost-effectiveness ratio</w:t>
            </w:r>
          </w:p>
        </w:tc>
      </w:tr>
      <w:tr w:rsidR="00BA126A" w14:paraId="7A5C5DA4" w14:textId="77777777" w:rsidTr="000E7D02">
        <w:trPr>
          <w:trHeight w:val="80"/>
        </w:trPr>
        <w:tc>
          <w:tcPr>
            <w:tcW w:w="1643" w:type="dxa"/>
          </w:tcPr>
          <w:p w14:paraId="580BFB97" w14:textId="77777777" w:rsidR="00BA126A" w:rsidRDefault="00BA126A" w:rsidP="00BA126A">
            <w:pPr>
              <w:pStyle w:val="BodyText"/>
              <w:spacing w:before="0" w:after="200"/>
              <w:rPr>
                <w:b/>
              </w:rPr>
            </w:pPr>
            <w:r>
              <w:rPr>
                <w:b/>
              </w:rPr>
              <w:t>MBS</w:t>
            </w:r>
          </w:p>
        </w:tc>
        <w:tc>
          <w:tcPr>
            <w:tcW w:w="7428" w:type="dxa"/>
          </w:tcPr>
          <w:p w14:paraId="5EBFACFD" w14:textId="77777777" w:rsidR="00BA126A" w:rsidRPr="002D2382" w:rsidRDefault="00BA126A" w:rsidP="00BA126A">
            <w:pPr>
              <w:pStyle w:val="BodyText"/>
              <w:spacing w:before="0" w:after="200"/>
            </w:pPr>
            <w:r w:rsidRPr="002D2382">
              <w:t>Medicare Benefits Schedule</w:t>
            </w:r>
          </w:p>
        </w:tc>
      </w:tr>
      <w:tr w:rsidR="00BA126A" w14:paraId="7AFC5B1F" w14:textId="77777777" w:rsidTr="000E7D02">
        <w:trPr>
          <w:trHeight w:val="80"/>
        </w:trPr>
        <w:tc>
          <w:tcPr>
            <w:tcW w:w="1643" w:type="dxa"/>
          </w:tcPr>
          <w:p w14:paraId="448166D2" w14:textId="77777777" w:rsidR="00BA126A" w:rsidRDefault="00BA126A" w:rsidP="00BA126A">
            <w:pPr>
              <w:pStyle w:val="BodyText"/>
              <w:spacing w:before="0" w:after="200"/>
              <w:rPr>
                <w:b/>
              </w:rPr>
            </w:pPr>
            <w:r>
              <w:rPr>
                <w:b/>
              </w:rPr>
              <w:lastRenderedPageBreak/>
              <w:t>MI</w:t>
            </w:r>
          </w:p>
        </w:tc>
        <w:tc>
          <w:tcPr>
            <w:tcW w:w="7428" w:type="dxa"/>
          </w:tcPr>
          <w:p w14:paraId="33526513" w14:textId="77777777" w:rsidR="00BA126A" w:rsidRPr="002D2382" w:rsidRDefault="00BA126A" w:rsidP="00BA126A">
            <w:pPr>
              <w:pStyle w:val="BodyText"/>
              <w:spacing w:before="0" w:after="200"/>
            </w:pPr>
            <w:r>
              <w:t>M</w:t>
            </w:r>
            <w:r w:rsidRPr="00F9360F">
              <w:t>yocardial infarction</w:t>
            </w:r>
          </w:p>
        </w:tc>
      </w:tr>
      <w:tr w:rsidR="00BA126A" w14:paraId="0D5C76DE" w14:textId="77777777" w:rsidTr="000E7D02">
        <w:trPr>
          <w:trHeight w:val="80"/>
        </w:trPr>
        <w:tc>
          <w:tcPr>
            <w:tcW w:w="1643" w:type="dxa"/>
          </w:tcPr>
          <w:p w14:paraId="3E40B091" w14:textId="77777777" w:rsidR="00BA126A" w:rsidRDefault="00BA126A" w:rsidP="00BA126A">
            <w:pPr>
              <w:pStyle w:val="BodyText"/>
              <w:spacing w:before="0" w:after="200"/>
              <w:rPr>
                <w:b/>
              </w:rPr>
            </w:pPr>
            <w:r>
              <w:rPr>
                <w:b/>
              </w:rPr>
              <w:t>MLHFQ</w:t>
            </w:r>
          </w:p>
        </w:tc>
        <w:tc>
          <w:tcPr>
            <w:tcW w:w="7428" w:type="dxa"/>
          </w:tcPr>
          <w:p w14:paraId="52C291B4" w14:textId="77777777" w:rsidR="00BA126A" w:rsidRPr="002D2382" w:rsidRDefault="00BA126A" w:rsidP="00BA126A">
            <w:pPr>
              <w:pStyle w:val="BodyText"/>
              <w:spacing w:before="0" w:after="200"/>
            </w:pPr>
            <w:r w:rsidRPr="002D2382">
              <w:t>Minnesota Living with Heart Failure questionnaire</w:t>
            </w:r>
          </w:p>
        </w:tc>
      </w:tr>
      <w:tr w:rsidR="00BA126A" w14:paraId="3587AB68" w14:textId="77777777" w:rsidTr="000E7D02">
        <w:trPr>
          <w:trHeight w:val="80"/>
        </w:trPr>
        <w:tc>
          <w:tcPr>
            <w:tcW w:w="1643" w:type="dxa"/>
          </w:tcPr>
          <w:p w14:paraId="2F48D946" w14:textId="77777777" w:rsidR="00BA126A" w:rsidRDefault="00BA126A" w:rsidP="00BA126A">
            <w:pPr>
              <w:pStyle w:val="BodyText"/>
              <w:spacing w:before="0" w:after="200"/>
              <w:rPr>
                <w:b/>
              </w:rPr>
            </w:pPr>
            <w:r>
              <w:rPr>
                <w:b/>
              </w:rPr>
              <w:t>MMP</w:t>
            </w:r>
          </w:p>
        </w:tc>
        <w:tc>
          <w:tcPr>
            <w:tcW w:w="7428" w:type="dxa"/>
          </w:tcPr>
          <w:p w14:paraId="18C415DE" w14:textId="77777777" w:rsidR="00BA126A" w:rsidRPr="002D2382" w:rsidRDefault="00BA126A" w:rsidP="00BA126A">
            <w:pPr>
              <w:pStyle w:val="BodyText"/>
              <w:spacing w:before="0" w:after="200"/>
            </w:pPr>
            <w:r w:rsidRPr="002D2382">
              <w:t>Medication Management Program</w:t>
            </w:r>
          </w:p>
        </w:tc>
      </w:tr>
      <w:tr w:rsidR="00BA126A" w14:paraId="2B90AAB4" w14:textId="77777777" w:rsidTr="000E7D02">
        <w:trPr>
          <w:trHeight w:val="80"/>
        </w:trPr>
        <w:tc>
          <w:tcPr>
            <w:tcW w:w="1643" w:type="dxa"/>
          </w:tcPr>
          <w:p w14:paraId="30C792BE" w14:textId="77777777" w:rsidR="00BA126A" w:rsidRDefault="00BA126A" w:rsidP="00BA126A">
            <w:pPr>
              <w:pStyle w:val="BodyText"/>
              <w:spacing w:before="0" w:after="200"/>
              <w:rPr>
                <w:b/>
              </w:rPr>
            </w:pPr>
            <w:r>
              <w:rPr>
                <w:b/>
              </w:rPr>
              <w:t>MPR</w:t>
            </w:r>
          </w:p>
        </w:tc>
        <w:tc>
          <w:tcPr>
            <w:tcW w:w="7428" w:type="dxa"/>
          </w:tcPr>
          <w:p w14:paraId="73555451" w14:textId="77777777" w:rsidR="00BA126A" w:rsidRPr="002D2382" w:rsidRDefault="00BA126A" w:rsidP="00BA126A">
            <w:pPr>
              <w:pStyle w:val="BodyText"/>
              <w:spacing w:before="0" w:after="200"/>
            </w:pPr>
            <w:r w:rsidRPr="002D2382">
              <w:t>Medication Possession Ratio</w:t>
            </w:r>
          </w:p>
        </w:tc>
      </w:tr>
      <w:tr w:rsidR="00BA126A" w14:paraId="6FE2220E" w14:textId="77777777" w:rsidTr="000E7D02">
        <w:trPr>
          <w:trHeight w:val="80"/>
        </w:trPr>
        <w:tc>
          <w:tcPr>
            <w:tcW w:w="1643" w:type="dxa"/>
          </w:tcPr>
          <w:p w14:paraId="67F177DB" w14:textId="77777777" w:rsidR="00BA126A" w:rsidRDefault="00BA126A" w:rsidP="00BA126A">
            <w:pPr>
              <w:pStyle w:val="BodyText"/>
              <w:spacing w:before="0" w:after="200"/>
              <w:rPr>
                <w:b/>
              </w:rPr>
            </w:pPr>
            <w:r>
              <w:rPr>
                <w:b/>
              </w:rPr>
              <w:t>MRF</w:t>
            </w:r>
          </w:p>
        </w:tc>
        <w:tc>
          <w:tcPr>
            <w:tcW w:w="7428" w:type="dxa"/>
          </w:tcPr>
          <w:p w14:paraId="358FFCCD" w14:textId="77777777" w:rsidR="00BA126A" w:rsidRPr="002D2382" w:rsidRDefault="00BA126A" w:rsidP="00BA126A">
            <w:pPr>
              <w:pStyle w:val="BodyText"/>
              <w:spacing w:before="0" w:after="200"/>
            </w:pPr>
            <w:r w:rsidRPr="002D2382">
              <w:t>Medication review with follow-up</w:t>
            </w:r>
          </w:p>
        </w:tc>
      </w:tr>
      <w:tr w:rsidR="00BA126A" w14:paraId="0E1DFD4E" w14:textId="77777777" w:rsidTr="000E7D02">
        <w:trPr>
          <w:trHeight w:val="80"/>
        </w:trPr>
        <w:tc>
          <w:tcPr>
            <w:tcW w:w="1643" w:type="dxa"/>
          </w:tcPr>
          <w:p w14:paraId="51416E44" w14:textId="77777777" w:rsidR="00BA126A" w:rsidRDefault="00BA126A" w:rsidP="00BA126A">
            <w:pPr>
              <w:pStyle w:val="BodyText"/>
              <w:spacing w:before="0" w:after="200"/>
              <w:rPr>
                <w:b/>
              </w:rPr>
            </w:pPr>
            <w:r>
              <w:rPr>
                <w:b/>
              </w:rPr>
              <w:t>MSAC</w:t>
            </w:r>
          </w:p>
        </w:tc>
        <w:tc>
          <w:tcPr>
            <w:tcW w:w="7428" w:type="dxa"/>
          </w:tcPr>
          <w:p w14:paraId="56301838" w14:textId="77777777" w:rsidR="00BA126A" w:rsidRPr="002D2382" w:rsidRDefault="00BA126A" w:rsidP="00BA126A">
            <w:pPr>
              <w:pStyle w:val="BodyText"/>
              <w:spacing w:before="0" w:after="200"/>
            </w:pPr>
            <w:r w:rsidRPr="002D2382">
              <w:t>Medical Services Advisory Committee</w:t>
            </w:r>
          </w:p>
        </w:tc>
      </w:tr>
      <w:tr w:rsidR="00BA126A" w14:paraId="5B2685C8" w14:textId="77777777" w:rsidTr="000E7D02">
        <w:trPr>
          <w:trHeight w:val="80"/>
        </w:trPr>
        <w:tc>
          <w:tcPr>
            <w:tcW w:w="1643" w:type="dxa"/>
          </w:tcPr>
          <w:p w14:paraId="2F8B4E76" w14:textId="77777777" w:rsidR="00BA126A" w:rsidRDefault="00BA126A" w:rsidP="00BA126A">
            <w:pPr>
              <w:pStyle w:val="BodyText"/>
              <w:spacing w:before="0" w:after="200"/>
              <w:rPr>
                <w:b/>
              </w:rPr>
            </w:pPr>
            <w:r>
              <w:rPr>
                <w:b/>
              </w:rPr>
              <w:t>MTM</w:t>
            </w:r>
          </w:p>
        </w:tc>
        <w:tc>
          <w:tcPr>
            <w:tcW w:w="7428" w:type="dxa"/>
          </w:tcPr>
          <w:p w14:paraId="0E4DD664" w14:textId="77777777" w:rsidR="00BA126A" w:rsidRPr="002D2382" w:rsidRDefault="00BA126A" w:rsidP="00BA126A">
            <w:pPr>
              <w:pStyle w:val="BodyText"/>
              <w:spacing w:before="0" w:after="200"/>
            </w:pPr>
            <w:r w:rsidRPr="002D2382">
              <w:t>Medication therapy management</w:t>
            </w:r>
          </w:p>
        </w:tc>
      </w:tr>
      <w:tr w:rsidR="00BA126A" w14:paraId="6BE49195" w14:textId="77777777" w:rsidTr="000E7D02">
        <w:trPr>
          <w:trHeight w:val="80"/>
        </w:trPr>
        <w:tc>
          <w:tcPr>
            <w:tcW w:w="1643" w:type="dxa"/>
          </w:tcPr>
          <w:p w14:paraId="6FE7201F" w14:textId="77777777" w:rsidR="00BA126A" w:rsidRDefault="00BA126A" w:rsidP="00BA126A">
            <w:pPr>
              <w:pStyle w:val="BodyText"/>
              <w:spacing w:before="0" w:after="200"/>
              <w:rPr>
                <w:b/>
              </w:rPr>
            </w:pPr>
            <w:r>
              <w:rPr>
                <w:b/>
              </w:rPr>
              <w:t>NHS</w:t>
            </w:r>
          </w:p>
        </w:tc>
        <w:tc>
          <w:tcPr>
            <w:tcW w:w="7428" w:type="dxa"/>
          </w:tcPr>
          <w:p w14:paraId="10C836A2" w14:textId="77777777" w:rsidR="00BA126A" w:rsidRPr="002D2382" w:rsidRDefault="00BA126A" w:rsidP="00BA126A">
            <w:pPr>
              <w:pStyle w:val="BodyText"/>
              <w:spacing w:before="0" w:after="200"/>
            </w:pPr>
            <w:r w:rsidRPr="002D2382">
              <w:t>National Health Service</w:t>
            </w:r>
          </w:p>
        </w:tc>
      </w:tr>
      <w:tr w:rsidR="00BA126A" w14:paraId="5D0DA2FE" w14:textId="77777777" w:rsidTr="000E7D02">
        <w:trPr>
          <w:trHeight w:val="80"/>
        </w:trPr>
        <w:tc>
          <w:tcPr>
            <w:tcW w:w="1643" w:type="dxa"/>
          </w:tcPr>
          <w:p w14:paraId="3AB1EBD4" w14:textId="77777777" w:rsidR="00BA126A" w:rsidRDefault="00BA126A" w:rsidP="00BA126A">
            <w:pPr>
              <w:pStyle w:val="BodyText"/>
              <w:spacing w:before="0" w:after="200"/>
              <w:rPr>
                <w:b/>
              </w:rPr>
            </w:pPr>
            <w:r>
              <w:rPr>
                <w:b/>
              </w:rPr>
              <w:t>NR</w:t>
            </w:r>
          </w:p>
        </w:tc>
        <w:tc>
          <w:tcPr>
            <w:tcW w:w="7428" w:type="dxa"/>
          </w:tcPr>
          <w:p w14:paraId="56B0F0AB" w14:textId="77777777" w:rsidR="00BA126A" w:rsidRPr="002D2382" w:rsidRDefault="00BA126A" w:rsidP="00BA126A">
            <w:pPr>
              <w:pStyle w:val="BodyText"/>
              <w:spacing w:before="0" w:after="200"/>
            </w:pPr>
            <w:r>
              <w:t>Not reported</w:t>
            </w:r>
          </w:p>
        </w:tc>
      </w:tr>
      <w:tr w:rsidR="00BA126A" w14:paraId="3F429A8C" w14:textId="77777777" w:rsidTr="000E7D02">
        <w:trPr>
          <w:trHeight w:val="80"/>
        </w:trPr>
        <w:tc>
          <w:tcPr>
            <w:tcW w:w="1643" w:type="dxa"/>
          </w:tcPr>
          <w:p w14:paraId="6F32C010" w14:textId="77777777" w:rsidR="00BA126A" w:rsidRDefault="00BA126A" w:rsidP="00BA126A">
            <w:pPr>
              <w:pStyle w:val="BodyText"/>
              <w:spacing w:before="0" w:after="200"/>
              <w:rPr>
                <w:b/>
              </w:rPr>
            </w:pPr>
            <w:r>
              <w:rPr>
                <w:b/>
              </w:rPr>
              <w:t>NSF</w:t>
            </w:r>
          </w:p>
        </w:tc>
        <w:tc>
          <w:tcPr>
            <w:tcW w:w="7428" w:type="dxa"/>
          </w:tcPr>
          <w:p w14:paraId="08FF2532" w14:textId="77777777" w:rsidR="00BA126A" w:rsidRDefault="00BA126A" w:rsidP="00BA126A">
            <w:pPr>
              <w:pStyle w:val="BodyText"/>
              <w:spacing w:before="0" w:after="200"/>
            </w:pPr>
            <w:r w:rsidRPr="001107BE">
              <w:t>National Service Framework</w:t>
            </w:r>
          </w:p>
        </w:tc>
      </w:tr>
      <w:tr w:rsidR="00BA126A" w14:paraId="7A84B2FA" w14:textId="77777777" w:rsidTr="000E7D02">
        <w:trPr>
          <w:trHeight w:val="80"/>
        </w:trPr>
        <w:tc>
          <w:tcPr>
            <w:tcW w:w="1643" w:type="dxa"/>
          </w:tcPr>
          <w:p w14:paraId="792FCD37" w14:textId="77777777" w:rsidR="00BA126A" w:rsidRDefault="00BA126A" w:rsidP="00BA126A">
            <w:pPr>
              <w:pStyle w:val="BodyText"/>
              <w:spacing w:before="0" w:after="200"/>
              <w:rPr>
                <w:b/>
              </w:rPr>
            </w:pPr>
            <w:r>
              <w:rPr>
                <w:b/>
              </w:rPr>
              <w:t>NYHA</w:t>
            </w:r>
          </w:p>
        </w:tc>
        <w:tc>
          <w:tcPr>
            <w:tcW w:w="7428" w:type="dxa"/>
          </w:tcPr>
          <w:p w14:paraId="39E0A773" w14:textId="77777777" w:rsidR="00BA126A" w:rsidRPr="002D2382" w:rsidRDefault="00BA126A" w:rsidP="00BA126A">
            <w:pPr>
              <w:pStyle w:val="BodyText"/>
              <w:spacing w:before="0" w:after="200"/>
            </w:pPr>
            <w:r w:rsidRPr="000A69D1">
              <w:t>New York Heart Association</w:t>
            </w:r>
          </w:p>
        </w:tc>
      </w:tr>
      <w:tr w:rsidR="00BA126A" w14:paraId="433969C8" w14:textId="77777777" w:rsidTr="000E7D02">
        <w:trPr>
          <w:trHeight w:val="80"/>
        </w:trPr>
        <w:tc>
          <w:tcPr>
            <w:tcW w:w="1643" w:type="dxa"/>
          </w:tcPr>
          <w:p w14:paraId="4FD3169B" w14:textId="77777777" w:rsidR="00BA126A" w:rsidRDefault="00BA126A" w:rsidP="00BA126A">
            <w:pPr>
              <w:pStyle w:val="BodyText"/>
              <w:spacing w:before="0" w:after="200"/>
              <w:rPr>
                <w:b/>
              </w:rPr>
            </w:pPr>
            <w:r>
              <w:rPr>
                <w:b/>
              </w:rPr>
              <w:t>OR</w:t>
            </w:r>
          </w:p>
        </w:tc>
        <w:tc>
          <w:tcPr>
            <w:tcW w:w="7428" w:type="dxa"/>
          </w:tcPr>
          <w:p w14:paraId="701726D3" w14:textId="77777777" w:rsidR="00BA126A" w:rsidRPr="000A69D1" w:rsidRDefault="00BA126A" w:rsidP="00BA126A">
            <w:pPr>
              <w:pStyle w:val="BodyText"/>
              <w:spacing w:before="0" w:after="200"/>
            </w:pPr>
            <w:r w:rsidRPr="000A69D1">
              <w:t>Odds ratio</w:t>
            </w:r>
          </w:p>
        </w:tc>
      </w:tr>
      <w:tr w:rsidR="00BA126A" w14:paraId="552C6F58" w14:textId="77777777" w:rsidTr="000E7D02">
        <w:trPr>
          <w:trHeight w:val="80"/>
        </w:trPr>
        <w:tc>
          <w:tcPr>
            <w:tcW w:w="1643" w:type="dxa"/>
          </w:tcPr>
          <w:p w14:paraId="0C9C04B0" w14:textId="77777777" w:rsidR="00BA126A" w:rsidRDefault="00BA126A" w:rsidP="00BA126A">
            <w:pPr>
              <w:pStyle w:val="BodyText"/>
              <w:spacing w:before="0" w:after="200"/>
              <w:rPr>
                <w:b/>
              </w:rPr>
            </w:pPr>
            <w:r>
              <w:rPr>
                <w:b/>
              </w:rPr>
              <w:t>OTC</w:t>
            </w:r>
          </w:p>
        </w:tc>
        <w:tc>
          <w:tcPr>
            <w:tcW w:w="7428" w:type="dxa"/>
          </w:tcPr>
          <w:p w14:paraId="586C7E0C" w14:textId="77777777" w:rsidR="00BA126A" w:rsidRPr="000A69D1" w:rsidRDefault="00BA126A" w:rsidP="00BA126A">
            <w:pPr>
              <w:pStyle w:val="BodyText"/>
              <w:spacing w:before="0" w:after="200"/>
            </w:pPr>
            <w:r w:rsidRPr="000A69D1">
              <w:t>Over-the-counter</w:t>
            </w:r>
          </w:p>
        </w:tc>
      </w:tr>
      <w:tr w:rsidR="00BA126A" w14:paraId="5121591D" w14:textId="77777777" w:rsidTr="000E7D02">
        <w:trPr>
          <w:trHeight w:val="80"/>
        </w:trPr>
        <w:tc>
          <w:tcPr>
            <w:tcW w:w="1643" w:type="dxa"/>
          </w:tcPr>
          <w:p w14:paraId="24B86CC5" w14:textId="77777777" w:rsidR="00BA126A" w:rsidRDefault="00BA126A" w:rsidP="00BA126A">
            <w:pPr>
              <w:pStyle w:val="BodyText"/>
              <w:spacing w:before="0" w:after="200"/>
              <w:rPr>
                <w:b/>
              </w:rPr>
            </w:pPr>
            <w:r>
              <w:rPr>
                <w:b/>
              </w:rPr>
              <w:t>PBS</w:t>
            </w:r>
          </w:p>
        </w:tc>
        <w:tc>
          <w:tcPr>
            <w:tcW w:w="7428" w:type="dxa"/>
          </w:tcPr>
          <w:p w14:paraId="52318753" w14:textId="77777777" w:rsidR="00BA126A" w:rsidRPr="000A69D1" w:rsidRDefault="00BA126A" w:rsidP="00BA126A">
            <w:pPr>
              <w:pStyle w:val="BodyText"/>
              <w:spacing w:before="0" w:after="200"/>
            </w:pPr>
            <w:r w:rsidRPr="000A69D1">
              <w:t>Pharmaceutical Benefits Scheme</w:t>
            </w:r>
          </w:p>
        </w:tc>
      </w:tr>
      <w:tr w:rsidR="00BA126A" w14:paraId="20F98FB7" w14:textId="77777777" w:rsidTr="000E7D02">
        <w:trPr>
          <w:trHeight w:val="80"/>
        </w:trPr>
        <w:tc>
          <w:tcPr>
            <w:tcW w:w="1643" w:type="dxa"/>
          </w:tcPr>
          <w:p w14:paraId="07647ED6" w14:textId="77777777" w:rsidR="00BA126A" w:rsidRDefault="00BA126A" w:rsidP="00BA126A">
            <w:pPr>
              <w:pStyle w:val="BodyText"/>
              <w:spacing w:before="0" w:after="200"/>
              <w:rPr>
                <w:b/>
              </w:rPr>
            </w:pPr>
            <w:r>
              <w:rPr>
                <w:b/>
              </w:rPr>
              <w:t>PPI</w:t>
            </w:r>
          </w:p>
        </w:tc>
        <w:tc>
          <w:tcPr>
            <w:tcW w:w="7428" w:type="dxa"/>
          </w:tcPr>
          <w:p w14:paraId="35628E4A" w14:textId="77777777" w:rsidR="00BA126A" w:rsidRPr="000A69D1" w:rsidRDefault="00BA126A" w:rsidP="00BA126A">
            <w:pPr>
              <w:pStyle w:val="BodyText"/>
              <w:spacing w:before="0" w:after="200"/>
            </w:pPr>
            <w:r w:rsidRPr="000A69D1">
              <w:t>Pharmacy Practice Incentives</w:t>
            </w:r>
          </w:p>
        </w:tc>
      </w:tr>
      <w:tr w:rsidR="00BA126A" w14:paraId="2E8DFD8C" w14:textId="77777777" w:rsidTr="000E7D02">
        <w:trPr>
          <w:trHeight w:val="80"/>
        </w:trPr>
        <w:tc>
          <w:tcPr>
            <w:tcW w:w="1643" w:type="dxa"/>
          </w:tcPr>
          <w:p w14:paraId="210B295D" w14:textId="77777777" w:rsidR="00BA126A" w:rsidRDefault="00BA126A" w:rsidP="00BA126A">
            <w:pPr>
              <w:pStyle w:val="BodyText"/>
              <w:spacing w:before="0" w:after="200"/>
              <w:rPr>
                <w:b/>
              </w:rPr>
            </w:pPr>
            <w:r>
              <w:rPr>
                <w:b/>
              </w:rPr>
              <w:t>PSA</w:t>
            </w:r>
          </w:p>
        </w:tc>
        <w:tc>
          <w:tcPr>
            <w:tcW w:w="7428" w:type="dxa"/>
          </w:tcPr>
          <w:p w14:paraId="443E8C02" w14:textId="77777777" w:rsidR="00BA126A" w:rsidRPr="000A69D1" w:rsidRDefault="00BA126A" w:rsidP="00BA126A">
            <w:pPr>
              <w:pStyle w:val="BodyText"/>
              <w:spacing w:before="0" w:after="200"/>
            </w:pPr>
            <w:r w:rsidRPr="000A69D1">
              <w:t>Pharmaceutical Society of Australia</w:t>
            </w:r>
          </w:p>
        </w:tc>
      </w:tr>
      <w:tr w:rsidR="00BA126A" w14:paraId="3D7E92D9" w14:textId="77777777" w:rsidTr="000E7D02">
        <w:trPr>
          <w:trHeight w:val="80"/>
        </w:trPr>
        <w:tc>
          <w:tcPr>
            <w:tcW w:w="1643" w:type="dxa"/>
          </w:tcPr>
          <w:p w14:paraId="1844AF04" w14:textId="77777777" w:rsidR="00BA126A" w:rsidRDefault="00BA126A" w:rsidP="00BA126A">
            <w:pPr>
              <w:pStyle w:val="BodyText"/>
              <w:spacing w:before="0" w:after="200"/>
              <w:rPr>
                <w:b/>
              </w:rPr>
            </w:pPr>
            <w:r>
              <w:rPr>
                <w:b/>
              </w:rPr>
              <w:t>PSG</w:t>
            </w:r>
          </w:p>
        </w:tc>
        <w:tc>
          <w:tcPr>
            <w:tcW w:w="7428" w:type="dxa"/>
          </w:tcPr>
          <w:p w14:paraId="1DFAE70D" w14:textId="77777777" w:rsidR="00BA126A" w:rsidRPr="000A69D1" w:rsidRDefault="00BA126A" w:rsidP="00BA126A">
            <w:pPr>
              <w:pStyle w:val="BodyText"/>
              <w:spacing w:before="0" w:after="200"/>
            </w:pPr>
            <w:r w:rsidRPr="00F9360F">
              <w:t>Programme Specific Guidelines</w:t>
            </w:r>
          </w:p>
        </w:tc>
      </w:tr>
      <w:tr w:rsidR="00BA126A" w14:paraId="44ADCE0F" w14:textId="77777777" w:rsidTr="000E7D02">
        <w:trPr>
          <w:trHeight w:val="80"/>
        </w:trPr>
        <w:tc>
          <w:tcPr>
            <w:tcW w:w="1643" w:type="dxa"/>
          </w:tcPr>
          <w:p w14:paraId="3BD4605B" w14:textId="77777777" w:rsidR="00BA126A" w:rsidRDefault="00BA126A" w:rsidP="00BA126A">
            <w:pPr>
              <w:pStyle w:val="BodyText"/>
              <w:spacing w:before="0" w:after="200"/>
              <w:rPr>
                <w:b/>
              </w:rPr>
            </w:pPr>
            <w:r>
              <w:rPr>
                <w:b/>
              </w:rPr>
              <w:t>PTCA</w:t>
            </w:r>
          </w:p>
        </w:tc>
        <w:tc>
          <w:tcPr>
            <w:tcW w:w="7428" w:type="dxa"/>
          </w:tcPr>
          <w:p w14:paraId="5D814E83" w14:textId="77777777" w:rsidR="00BA126A" w:rsidRPr="00F9360F" w:rsidRDefault="00BA126A" w:rsidP="00BA126A">
            <w:pPr>
              <w:pStyle w:val="BodyText"/>
              <w:spacing w:before="0" w:after="200"/>
            </w:pPr>
            <w:r>
              <w:t>P</w:t>
            </w:r>
            <w:r w:rsidRPr="00F9360F">
              <w:t>ercutaneous transluminal coronary angioplasty</w:t>
            </w:r>
          </w:p>
        </w:tc>
      </w:tr>
      <w:tr w:rsidR="00BA126A" w14:paraId="2A7029A0" w14:textId="77777777" w:rsidTr="000E7D02">
        <w:trPr>
          <w:trHeight w:val="80"/>
        </w:trPr>
        <w:tc>
          <w:tcPr>
            <w:tcW w:w="1643" w:type="dxa"/>
          </w:tcPr>
          <w:p w14:paraId="5AC6E073" w14:textId="77777777" w:rsidR="00BA126A" w:rsidRDefault="00BA126A" w:rsidP="00BA126A">
            <w:pPr>
              <w:pStyle w:val="BodyText"/>
              <w:spacing w:before="0" w:after="200"/>
              <w:rPr>
                <w:b/>
              </w:rPr>
            </w:pPr>
            <w:r>
              <w:rPr>
                <w:b/>
              </w:rPr>
              <w:t>PwC</w:t>
            </w:r>
          </w:p>
        </w:tc>
        <w:tc>
          <w:tcPr>
            <w:tcW w:w="7428" w:type="dxa"/>
          </w:tcPr>
          <w:p w14:paraId="1A9D952A" w14:textId="77777777" w:rsidR="00BA126A" w:rsidRDefault="00BA126A" w:rsidP="00BA126A">
            <w:pPr>
              <w:pStyle w:val="BodyText"/>
              <w:spacing w:before="0" w:after="200"/>
            </w:pPr>
            <w:r>
              <w:t>Pricewaterhouse Coopers</w:t>
            </w:r>
          </w:p>
        </w:tc>
      </w:tr>
      <w:tr w:rsidR="00BA126A" w14:paraId="6E761509" w14:textId="77777777" w:rsidTr="000E7D02">
        <w:trPr>
          <w:trHeight w:val="80"/>
        </w:trPr>
        <w:tc>
          <w:tcPr>
            <w:tcW w:w="1643" w:type="dxa"/>
          </w:tcPr>
          <w:p w14:paraId="2BF9AFE6" w14:textId="77777777" w:rsidR="00BA126A" w:rsidRDefault="00BA126A" w:rsidP="00BA126A">
            <w:pPr>
              <w:pStyle w:val="BodyText"/>
              <w:spacing w:before="0" w:after="200"/>
              <w:rPr>
                <w:b/>
              </w:rPr>
            </w:pPr>
            <w:r>
              <w:rPr>
                <w:b/>
              </w:rPr>
              <w:t>QALY</w:t>
            </w:r>
          </w:p>
        </w:tc>
        <w:tc>
          <w:tcPr>
            <w:tcW w:w="7428" w:type="dxa"/>
          </w:tcPr>
          <w:p w14:paraId="24DDDD0D" w14:textId="77777777" w:rsidR="00BA126A" w:rsidRDefault="00BA126A" w:rsidP="00BA126A">
            <w:pPr>
              <w:pStyle w:val="BodyText"/>
              <w:spacing w:before="0" w:after="200"/>
            </w:pPr>
            <w:r>
              <w:t>Quality-adjusted life year</w:t>
            </w:r>
          </w:p>
        </w:tc>
      </w:tr>
      <w:tr w:rsidR="00BA126A" w14:paraId="2DF0D5DE" w14:textId="77777777" w:rsidTr="000E7D02">
        <w:trPr>
          <w:trHeight w:val="80"/>
        </w:trPr>
        <w:tc>
          <w:tcPr>
            <w:tcW w:w="1643" w:type="dxa"/>
          </w:tcPr>
          <w:p w14:paraId="4311E7E4" w14:textId="77777777" w:rsidR="00BA126A" w:rsidRDefault="00BA126A" w:rsidP="00BA126A">
            <w:pPr>
              <w:pStyle w:val="BodyText"/>
              <w:spacing w:before="0" w:after="200"/>
              <w:rPr>
                <w:b/>
              </w:rPr>
            </w:pPr>
            <w:r>
              <w:rPr>
                <w:b/>
              </w:rPr>
              <w:t>QoL</w:t>
            </w:r>
          </w:p>
        </w:tc>
        <w:tc>
          <w:tcPr>
            <w:tcW w:w="7428" w:type="dxa"/>
          </w:tcPr>
          <w:p w14:paraId="20F9E5C7" w14:textId="77777777" w:rsidR="00BA126A" w:rsidRDefault="00BA126A" w:rsidP="00BA126A">
            <w:pPr>
              <w:pStyle w:val="BodyText"/>
              <w:spacing w:before="0" w:after="200"/>
            </w:pPr>
            <w:r>
              <w:t>Quality of life</w:t>
            </w:r>
          </w:p>
        </w:tc>
      </w:tr>
      <w:tr w:rsidR="00BA126A" w14:paraId="03BFB99A" w14:textId="77777777" w:rsidTr="000E7D02">
        <w:trPr>
          <w:trHeight w:val="80"/>
        </w:trPr>
        <w:tc>
          <w:tcPr>
            <w:tcW w:w="1643" w:type="dxa"/>
          </w:tcPr>
          <w:p w14:paraId="0B495F92" w14:textId="77777777" w:rsidR="00BA126A" w:rsidRDefault="00BA126A" w:rsidP="00BA126A">
            <w:pPr>
              <w:pStyle w:val="BodyText"/>
              <w:spacing w:before="0" w:after="200"/>
              <w:rPr>
                <w:b/>
              </w:rPr>
            </w:pPr>
            <w:r>
              <w:rPr>
                <w:b/>
              </w:rPr>
              <w:t>RCT</w:t>
            </w:r>
          </w:p>
        </w:tc>
        <w:tc>
          <w:tcPr>
            <w:tcW w:w="7428" w:type="dxa"/>
          </w:tcPr>
          <w:p w14:paraId="18E4272D" w14:textId="77777777" w:rsidR="00BA126A" w:rsidRPr="00F9360F" w:rsidRDefault="00BA126A" w:rsidP="00BA126A">
            <w:pPr>
              <w:pStyle w:val="BodyText"/>
              <w:spacing w:before="0" w:after="200"/>
            </w:pPr>
            <w:r w:rsidRPr="00F9360F">
              <w:t>Randomised controlled trial</w:t>
            </w:r>
          </w:p>
        </w:tc>
      </w:tr>
      <w:tr w:rsidR="00BA126A" w14:paraId="33D171A9" w14:textId="77777777" w:rsidTr="000E7D02">
        <w:trPr>
          <w:trHeight w:val="80"/>
        </w:trPr>
        <w:tc>
          <w:tcPr>
            <w:tcW w:w="1643" w:type="dxa"/>
          </w:tcPr>
          <w:p w14:paraId="6D3FEAA9" w14:textId="77777777" w:rsidR="00BA126A" w:rsidRDefault="00BA126A" w:rsidP="00BA126A">
            <w:pPr>
              <w:pStyle w:val="BodyText"/>
              <w:spacing w:before="0" w:after="200"/>
              <w:rPr>
                <w:b/>
              </w:rPr>
            </w:pPr>
            <w:r>
              <w:rPr>
                <w:b/>
              </w:rPr>
              <w:t>RMMR</w:t>
            </w:r>
          </w:p>
        </w:tc>
        <w:tc>
          <w:tcPr>
            <w:tcW w:w="7428" w:type="dxa"/>
          </w:tcPr>
          <w:p w14:paraId="481A4B8E" w14:textId="77777777" w:rsidR="00BA126A" w:rsidRPr="00F9360F" w:rsidRDefault="00BA126A" w:rsidP="00BA126A">
            <w:pPr>
              <w:pStyle w:val="BodyText"/>
              <w:spacing w:before="0" w:after="200"/>
            </w:pPr>
            <w:r w:rsidRPr="00F9360F">
              <w:t>Residential Medication Management Review</w:t>
            </w:r>
          </w:p>
        </w:tc>
      </w:tr>
      <w:tr w:rsidR="00BA126A" w14:paraId="7900545D" w14:textId="77777777" w:rsidTr="000E7D02">
        <w:trPr>
          <w:trHeight w:val="80"/>
        </w:trPr>
        <w:tc>
          <w:tcPr>
            <w:tcW w:w="1643" w:type="dxa"/>
          </w:tcPr>
          <w:p w14:paraId="05022987" w14:textId="77777777" w:rsidR="00BA126A" w:rsidRDefault="00BA126A" w:rsidP="00BA126A">
            <w:pPr>
              <w:pStyle w:val="BodyText"/>
              <w:spacing w:before="0" w:after="200"/>
              <w:rPr>
                <w:b/>
              </w:rPr>
            </w:pPr>
            <w:r>
              <w:rPr>
                <w:b/>
              </w:rPr>
              <w:t>RR</w:t>
            </w:r>
          </w:p>
        </w:tc>
        <w:tc>
          <w:tcPr>
            <w:tcW w:w="7428" w:type="dxa"/>
          </w:tcPr>
          <w:p w14:paraId="3EFFDE4F" w14:textId="77777777" w:rsidR="00BA126A" w:rsidRPr="00F9360F" w:rsidRDefault="00BA126A" w:rsidP="00BA126A">
            <w:pPr>
              <w:pStyle w:val="BodyText"/>
              <w:spacing w:before="0" w:after="200"/>
            </w:pPr>
            <w:r>
              <w:t>Relative risk</w:t>
            </w:r>
          </w:p>
        </w:tc>
      </w:tr>
      <w:tr w:rsidR="00BA126A" w14:paraId="62E68649" w14:textId="77777777" w:rsidTr="000E7D02">
        <w:trPr>
          <w:trHeight w:val="80"/>
        </w:trPr>
        <w:tc>
          <w:tcPr>
            <w:tcW w:w="1643" w:type="dxa"/>
          </w:tcPr>
          <w:p w14:paraId="1CB1618F" w14:textId="77777777" w:rsidR="00BA126A" w:rsidRDefault="00BA126A" w:rsidP="00BA126A">
            <w:pPr>
              <w:pStyle w:val="BodyText"/>
              <w:spacing w:before="0" w:after="200"/>
              <w:rPr>
                <w:b/>
              </w:rPr>
            </w:pPr>
            <w:r>
              <w:rPr>
                <w:b/>
              </w:rPr>
              <w:t>SS</w:t>
            </w:r>
          </w:p>
        </w:tc>
        <w:tc>
          <w:tcPr>
            <w:tcW w:w="7428" w:type="dxa"/>
          </w:tcPr>
          <w:p w14:paraId="5BF86278" w14:textId="77777777" w:rsidR="00BA126A" w:rsidRDefault="00BA126A" w:rsidP="00BA126A">
            <w:pPr>
              <w:pStyle w:val="BodyText"/>
              <w:spacing w:before="0" w:after="200"/>
            </w:pPr>
            <w:r>
              <w:t>Statistically significant</w:t>
            </w:r>
          </w:p>
        </w:tc>
      </w:tr>
      <w:tr w:rsidR="00BA126A" w14:paraId="4624AE9D" w14:textId="77777777" w:rsidTr="000E7D02">
        <w:trPr>
          <w:trHeight w:val="80"/>
        </w:trPr>
        <w:tc>
          <w:tcPr>
            <w:tcW w:w="1643" w:type="dxa"/>
          </w:tcPr>
          <w:p w14:paraId="40BA7F8D" w14:textId="77777777" w:rsidR="00BA126A" w:rsidRDefault="00BA126A" w:rsidP="00BA126A">
            <w:pPr>
              <w:pStyle w:val="BodyText"/>
              <w:spacing w:before="0" w:after="200"/>
              <w:rPr>
                <w:b/>
              </w:rPr>
            </w:pPr>
            <w:r>
              <w:rPr>
                <w:b/>
              </w:rPr>
              <w:t>TRP</w:t>
            </w:r>
          </w:p>
        </w:tc>
        <w:tc>
          <w:tcPr>
            <w:tcW w:w="7428" w:type="dxa"/>
          </w:tcPr>
          <w:p w14:paraId="4DBC26AE" w14:textId="77777777" w:rsidR="00BA126A" w:rsidRDefault="00BA126A" w:rsidP="00BA126A">
            <w:pPr>
              <w:pStyle w:val="BodyText"/>
              <w:spacing w:before="0" w:after="200"/>
            </w:pPr>
            <w:r w:rsidRPr="00F9360F">
              <w:t>Treatment-related pro</w:t>
            </w:r>
            <w:r>
              <w:t>blem</w:t>
            </w:r>
          </w:p>
        </w:tc>
      </w:tr>
      <w:tr w:rsidR="00BA126A" w14:paraId="0B420933" w14:textId="77777777" w:rsidTr="000E7D02">
        <w:tc>
          <w:tcPr>
            <w:tcW w:w="1643" w:type="dxa"/>
          </w:tcPr>
          <w:p w14:paraId="084B88DE" w14:textId="77777777" w:rsidR="00BA126A" w:rsidRDefault="00BA126A" w:rsidP="00BA126A">
            <w:pPr>
              <w:pStyle w:val="BodyText"/>
              <w:spacing w:before="0" w:after="200"/>
              <w:rPr>
                <w:b/>
              </w:rPr>
            </w:pPr>
            <w:r>
              <w:rPr>
                <w:b/>
              </w:rPr>
              <w:t>UK</w:t>
            </w:r>
          </w:p>
        </w:tc>
        <w:tc>
          <w:tcPr>
            <w:tcW w:w="7428" w:type="dxa"/>
          </w:tcPr>
          <w:p w14:paraId="54CE593B" w14:textId="77777777" w:rsidR="00BA126A" w:rsidRPr="00A15CE5" w:rsidRDefault="00BA126A" w:rsidP="00BA126A">
            <w:pPr>
              <w:pStyle w:val="BodyText"/>
              <w:spacing w:before="0" w:after="200"/>
            </w:pPr>
            <w:r>
              <w:t>United Kingdom</w:t>
            </w:r>
          </w:p>
        </w:tc>
      </w:tr>
      <w:tr w:rsidR="00BA126A" w14:paraId="17B042E1" w14:textId="77777777" w:rsidTr="000E7D02">
        <w:tc>
          <w:tcPr>
            <w:tcW w:w="1643" w:type="dxa"/>
          </w:tcPr>
          <w:p w14:paraId="7F67980E" w14:textId="77777777" w:rsidR="00BA126A" w:rsidRDefault="00BA126A" w:rsidP="00BA126A">
            <w:pPr>
              <w:pStyle w:val="BodyText"/>
              <w:spacing w:before="0" w:after="200"/>
              <w:rPr>
                <w:b/>
              </w:rPr>
            </w:pPr>
            <w:r>
              <w:rPr>
                <w:b/>
              </w:rPr>
              <w:t>USA</w:t>
            </w:r>
          </w:p>
        </w:tc>
        <w:tc>
          <w:tcPr>
            <w:tcW w:w="7428" w:type="dxa"/>
          </w:tcPr>
          <w:p w14:paraId="44414992" w14:textId="77777777" w:rsidR="00BA126A" w:rsidRPr="00A15CE5" w:rsidRDefault="00BA126A" w:rsidP="00BA126A">
            <w:pPr>
              <w:pStyle w:val="BodyText"/>
              <w:spacing w:before="0" w:after="200"/>
            </w:pPr>
            <w:r>
              <w:t>United States of America</w:t>
            </w:r>
          </w:p>
        </w:tc>
      </w:tr>
    </w:tbl>
    <w:p w14:paraId="14F4F013" w14:textId="77777777" w:rsidR="00CB393E" w:rsidRPr="006B1A9D" w:rsidRDefault="00CB393E" w:rsidP="00CB393E">
      <w:pPr>
        <w:pStyle w:val="Heading4"/>
      </w:pPr>
      <w:bookmarkStart w:id="2" w:name="_Toc522873479"/>
      <w:r w:rsidRPr="006B1A9D">
        <w:lastRenderedPageBreak/>
        <w:t>Executive Summary</w:t>
      </w:r>
      <w:bookmarkEnd w:id="2"/>
    </w:p>
    <w:p w14:paraId="06EAF9DD" w14:textId="4E2B7AD3" w:rsidR="00450AE3" w:rsidRDefault="00450AE3" w:rsidP="00450AE3">
      <w:pPr>
        <w:pStyle w:val="02Bodytextbeforesingle-sentencebullets"/>
      </w:pPr>
      <w:bookmarkStart w:id="3" w:name="_Toc463447918"/>
      <w:r w:rsidRPr="00B93038">
        <w:t>On the 2</w:t>
      </w:r>
      <w:r>
        <w:t>7</w:t>
      </w:r>
      <w:r w:rsidRPr="001B2C48">
        <w:rPr>
          <w:vertAlign w:val="superscript"/>
        </w:rPr>
        <w:t>th</w:t>
      </w:r>
      <w:r>
        <w:t xml:space="preserve"> October </w:t>
      </w:r>
      <w:r w:rsidRPr="00B93038">
        <w:t xml:space="preserve">2016, the Department of Health engaged HealthConsult to </w:t>
      </w:r>
      <w:r>
        <w:t>u</w:t>
      </w:r>
      <w:r w:rsidRPr="001B2C48">
        <w:t>ndertake an evaluation to determine the clinical/cost</w:t>
      </w:r>
      <w:r w:rsidR="0088796C">
        <w:t>-</w:t>
      </w:r>
      <w:r w:rsidRPr="001B2C48">
        <w:t>effectiveness of four Medication Management Programs (MMPs)</w:t>
      </w:r>
      <w:r>
        <w:t xml:space="preserve"> funded under the </w:t>
      </w:r>
      <w:r w:rsidRPr="001B2C48">
        <w:t>Sixth Community Pharmacy Agreement</w:t>
      </w:r>
      <w:r>
        <w:t xml:space="preserve"> (6CPA):</w:t>
      </w:r>
      <w:r w:rsidRPr="001B2C48">
        <w:t xml:space="preserve"> </w:t>
      </w:r>
      <w:r>
        <w:t xml:space="preserve">Home Medicines Review (HMR); Residential Medication Management Review (RMMR); MedsCheck; and Diabetes MedsCheck.  This report presents the initial combined evaluation of the MedsCheck and Diabetes MedsCheck </w:t>
      </w:r>
      <w:r w:rsidR="00476D4D">
        <w:t>p</w:t>
      </w:r>
      <w:r>
        <w:t>rogram</w:t>
      </w:r>
      <w:r w:rsidR="00BA126A">
        <w:t>s</w:t>
      </w:r>
      <w:r>
        <w:t>, which has involved:</w:t>
      </w:r>
    </w:p>
    <w:p w14:paraId="7F8038AC" w14:textId="77777777" w:rsidR="00450AE3" w:rsidRDefault="00450AE3" w:rsidP="00450AE3">
      <w:pPr>
        <w:pStyle w:val="08Bulletsseriesofsentences"/>
      </w:pPr>
      <w:r>
        <w:t>a literature review to identify data to inform the comparative clinical and cost-effectiveness of the MedsCheck and Diabetes MedsCheck programs and ‘like’ programs internationally; and</w:t>
      </w:r>
    </w:p>
    <w:p w14:paraId="750B10D2" w14:textId="77777777" w:rsidR="00450AE3" w:rsidRPr="00C93B4B" w:rsidRDefault="00450AE3" w:rsidP="00450AE3">
      <w:pPr>
        <w:pStyle w:val="08Bulletsseriesofsentences"/>
      </w:pPr>
      <w:r>
        <w:t xml:space="preserve">an examination of the available Australian utilisation data from the MedsCheck and Diabetes MedsCheck programs going back to </w:t>
      </w:r>
      <w:r w:rsidRPr="00C93B4B">
        <w:t>its start under earlier Community Pharmacy Agreements (CPAs).</w:t>
      </w:r>
    </w:p>
    <w:p w14:paraId="4BF391E3" w14:textId="77777777" w:rsidR="00450AE3" w:rsidRDefault="00450AE3" w:rsidP="00450AE3">
      <w:pPr>
        <w:pStyle w:val="Heading5"/>
      </w:pPr>
      <w:r>
        <w:t>Background</w:t>
      </w:r>
      <w:bookmarkEnd w:id="3"/>
    </w:p>
    <w:p w14:paraId="4A1FACA9" w14:textId="5CD26826" w:rsidR="00F17A72" w:rsidRDefault="00F17A72" w:rsidP="00886CC4">
      <w:pPr>
        <w:pStyle w:val="BodyText"/>
      </w:pPr>
      <w:r w:rsidRPr="00F17A72">
        <w:t xml:space="preserve">The MedsCheck programme, comprising of the MedsCheck and Diabetes MedsCheck services, was designed to provide for in-pharmacy medication reviews between pharmacists and consumers to enhance quality use of medicines and </w:t>
      </w:r>
      <w:r>
        <w:t>reduce adverse events and associated hospital admissions or medical presentations</w:t>
      </w:r>
      <w:r w:rsidRPr="00F17A72">
        <w:t xml:space="preserve">. </w:t>
      </w:r>
    </w:p>
    <w:p w14:paraId="2721E2B8" w14:textId="77777777" w:rsidR="00F17A72" w:rsidRDefault="00F17A72" w:rsidP="00F17A72">
      <w:pPr>
        <w:pStyle w:val="BodyText"/>
      </w:pPr>
      <w:r w:rsidRPr="00A61E61">
        <w:rPr>
          <w:i/>
        </w:rPr>
        <w:t xml:space="preserve">MedsCheck </w:t>
      </w:r>
      <w:r>
        <w:t xml:space="preserve">is an in-pharmacy, patient-centred service that includes a review of a patient’s medicines, focusing on education and self-management.  </w:t>
      </w:r>
    </w:p>
    <w:p w14:paraId="5A0376B9" w14:textId="77777777" w:rsidR="00F17A72" w:rsidRDefault="00F17A72" w:rsidP="00F17A72">
      <w:pPr>
        <w:pStyle w:val="BodyText"/>
      </w:pPr>
      <w:r w:rsidRPr="00A61E61">
        <w:rPr>
          <w:i/>
        </w:rPr>
        <w:t>Diabetes MedsCheck</w:t>
      </w:r>
      <w:r>
        <w:rPr>
          <w:b/>
        </w:rPr>
        <w:t xml:space="preserve"> </w:t>
      </w:r>
      <w:r>
        <w:t>is an in-pharmacy, patient-centred service that provides a review of medications with a focus on the patient’s type 2 diabetes medicines management, monitoring devices, education and self-management.  The service is targeted at patients who are unable to gain timely access to other diabetes education or health services in their community.</w:t>
      </w:r>
    </w:p>
    <w:p w14:paraId="2C43A2E3" w14:textId="77777777" w:rsidR="00946F21" w:rsidRDefault="00946F21" w:rsidP="00946F21">
      <w:pPr>
        <w:pStyle w:val="02Bodytextbeforesingle-sentencebullets"/>
      </w:pPr>
      <w:r>
        <w:t xml:space="preserve">The MedsCheck service aims to enhance quality use of medicines and reduce the number of adverse events by: </w:t>
      </w:r>
    </w:p>
    <w:p w14:paraId="39CCB828" w14:textId="77777777" w:rsidR="00946F21" w:rsidRPr="00005085" w:rsidRDefault="00946F21" w:rsidP="00946F21">
      <w:pPr>
        <w:pStyle w:val="06Bulletsonelongsentence"/>
      </w:pPr>
      <w:r>
        <w:t>i</w:t>
      </w:r>
      <w:r w:rsidRPr="00005085">
        <w:t>dentify</w:t>
      </w:r>
      <w:r>
        <w:t>ing</w:t>
      </w:r>
      <w:r w:rsidRPr="00005085">
        <w:t xml:space="preserve"> problems that the patient may be experiencing with their medicines; </w:t>
      </w:r>
    </w:p>
    <w:p w14:paraId="7DC19A43" w14:textId="77777777" w:rsidR="00946F21" w:rsidRPr="00005085" w:rsidRDefault="00946F21" w:rsidP="00946F21">
      <w:pPr>
        <w:pStyle w:val="06Bulletsonelongsentence"/>
      </w:pPr>
      <w:r>
        <w:t>h</w:t>
      </w:r>
      <w:r w:rsidRPr="00005085">
        <w:t>elp</w:t>
      </w:r>
      <w:r>
        <w:t>ing</w:t>
      </w:r>
      <w:r w:rsidRPr="00005085">
        <w:t xml:space="preserve"> the patient learn more about their medicines including medicines affect medical conditions; </w:t>
      </w:r>
    </w:p>
    <w:p w14:paraId="07480457" w14:textId="77777777" w:rsidR="00946F21" w:rsidRPr="00005085" w:rsidRDefault="00946F21" w:rsidP="00946F21">
      <w:pPr>
        <w:pStyle w:val="06Bulletsonelongsentence"/>
      </w:pPr>
      <w:r>
        <w:t>i</w:t>
      </w:r>
      <w:r w:rsidRPr="00005085">
        <w:t>mprov</w:t>
      </w:r>
      <w:r>
        <w:t>ing</w:t>
      </w:r>
      <w:r w:rsidRPr="00005085">
        <w:t xml:space="preserve"> the effective use of medicines by patients; and </w:t>
      </w:r>
    </w:p>
    <w:p w14:paraId="70DB24CA" w14:textId="77777777" w:rsidR="00946F21" w:rsidRPr="00005085" w:rsidRDefault="00946F21" w:rsidP="00946F21">
      <w:pPr>
        <w:pStyle w:val="06Bulletsonelongsentence"/>
      </w:pPr>
      <w:r>
        <w:t>e</w:t>
      </w:r>
      <w:r w:rsidRPr="00005085">
        <w:t>ducat</w:t>
      </w:r>
      <w:r>
        <w:t>ing</w:t>
      </w:r>
      <w:r w:rsidRPr="00005085">
        <w:t xml:space="preserve"> patients about how to best use and store their medicines.  </w:t>
      </w:r>
    </w:p>
    <w:p w14:paraId="221F5983" w14:textId="77777777" w:rsidR="00946F21" w:rsidRDefault="00946F21" w:rsidP="00946F21">
      <w:pPr>
        <w:pStyle w:val="01BODYTEXT"/>
      </w:pPr>
      <w:r>
        <w:t xml:space="preserve">The Diabetes MedsCheck service aims to reduce adverse events and associated hospital admissions or medical presentations by: </w:t>
      </w:r>
    </w:p>
    <w:p w14:paraId="27B9C172" w14:textId="77777777" w:rsidR="00946F21" w:rsidRDefault="00946F21" w:rsidP="00946F21">
      <w:pPr>
        <w:pStyle w:val="06Bulletsonelongsentence"/>
        <w:numPr>
          <w:ilvl w:val="0"/>
          <w:numId w:val="23"/>
        </w:numPr>
        <w:spacing w:before="120"/>
        <w:ind w:left="357" w:hanging="357"/>
      </w:pPr>
      <w:r>
        <w:t xml:space="preserve">optimising a patient’s effective use of medicine through improving understanding of, and compliance with, their diabetes medication therapy; </w:t>
      </w:r>
    </w:p>
    <w:p w14:paraId="1C3EF780" w14:textId="77777777" w:rsidR="00946F21" w:rsidRDefault="00946F21" w:rsidP="00946F21">
      <w:pPr>
        <w:pStyle w:val="06Bulletsonelongsentence"/>
        <w:numPr>
          <w:ilvl w:val="0"/>
          <w:numId w:val="23"/>
        </w:numPr>
        <w:ind w:left="357" w:hanging="357"/>
      </w:pPr>
      <w:r>
        <w:t xml:space="preserve">improving a patient’s effective use of blood glucose monitoring devices through training and education; </w:t>
      </w:r>
    </w:p>
    <w:p w14:paraId="36A9AF1C" w14:textId="77777777" w:rsidR="00946F21" w:rsidRDefault="00946F21" w:rsidP="00946F21">
      <w:pPr>
        <w:pStyle w:val="06Bulletsonelongsentence"/>
        <w:numPr>
          <w:ilvl w:val="0"/>
          <w:numId w:val="23"/>
        </w:numPr>
        <w:ind w:left="357" w:hanging="357"/>
      </w:pPr>
      <w:r>
        <w:t>improving blood glucose control; and</w:t>
      </w:r>
    </w:p>
    <w:p w14:paraId="26AF9532" w14:textId="77777777" w:rsidR="00946F21" w:rsidRPr="00611EAC" w:rsidRDefault="00946F21" w:rsidP="00946F21">
      <w:pPr>
        <w:pStyle w:val="06Bulletsonelongsentence"/>
        <w:numPr>
          <w:ilvl w:val="0"/>
          <w:numId w:val="23"/>
        </w:numPr>
        <w:ind w:left="357" w:hanging="357"/>
      </w:pPr>
      <w:r>
        <w:t xml:space="preserve">reducing the risk of the patient developing complications associated with type 2 diabetes.  </w:t>
      </w:r>
    </w:p>
    <w:p w14:paraId="38FB78B4" w14:textId="77777777" w:rsidR="00946F21" w:rsidRDefault="00946F21" w:rsidP="00946F21">
      <w:pPr>
        <w:pStyle w:val="03Bodytextaftersingle-sentencebullets"/>
      </w:pPr>
      <w:r>
        <w:t xml:space="preserve">To participate in the MedsCheck and Diabetes MedsCheck programs there are pharmacy, service provider and patient eligibility criteria that need to be met.  </w:t>
      </w:r>
      <w:r w:rsidRPr="006C124F">
        <w:t>A pharmacy approved to provide MedsCheck services, where the patient eligibility criteria has been met, will be paid the set service fee for each MedsCheck and Diabetes MedsCheck service</w:t>
      </w:r>
      <w:r>
        <w:t xml:space="preserve">.  </w:t>
      </w:r>
      <w:r w:rsidRPr="006C124F">
        <w:t>The fees for each service are indexed each year to 30</w:t>
      </w:r>
      <w:r w:rsidRPr="00F17A72">
        <w:rPr>
          <w:vertAlign w:val="superscript"/>
        </w:rPr>
        <w:t>th</w:t>
      </w:r>
      <w:r>
        <w:t xml:space="preserve"> </w:t>
      </w:r>
      <w:r w:rsidRPr="006C124F">
        <w:lastRenderedPageBreak/>
        <w:t>June 2015</w:t>
      </w:r>
      <w:r>
        <w:t xml:space="preserve">.  </w:t>
      </w:r>
      <w:r w:rsidRPr="006C124F">
        <w:t>The current fees</w:t>
      </w:r>
      <w:r>
        <w:rPr>
          <w:rStyle w:val="FootnoteReference"/>
        </w:rPr>
        <w:footnoteReference w:id="1"/>
      </w:r>
      <w:r w:rsidRPr="006C124F">
        <w:t xml:space="preserve"> for services conducted on or after the 1</w:t>
      </w:r>
      <w:r w:rsidRPr="00DC464D">
        <w:rPr>
          <w:vertAlign w:val="superscript"/>
        </w:rPr>
        <w:t>st</w:t>
      </w:r>
      <w:r>
        <w:t xml:space="preserve"> </w:t>
      </w:r>
      <w:r w:rsidRPr="006C124F">
        <w:t>July 2016 are $63.81, per MedsCheck service and $95.71 per Diabetes MedsCheck service.</w:t>
      </w:r>
    </w:p>
    <w:p w14:paraId="3082DB40" w14:textId="15EAA8CF" w:rsidR="00F17A72" w:rsidRDefault="00F17A72" w:rsidP="00F17A72">
      <w:pPr>
        <w:pStyle w:val="02Bodytextbeforesingle-sentencebullets"/>
      </w:pPr>
      <w:r>
        <w:t>One MedsCheck/Diabetes MedsCheck service can be conducted per eligible patient per 12 months.  In addition, the eligible patient must not have received a HMR or RMMR in the preceding 12 months.</w:t>
      </w:r>
    </w:p>
    <w:p w14:paraId="065FC55D" w14:textId="77777777" w:rsidR="00450AE3" w:rsidRDefault="00450AE3" w:rsidP="00450AE3">
      <w:pPr>
        <w:pStyle w:val="Heading5"/>
      </w:pPr>
      <w:bookmarkStart w:id="4" w:name="_Toc463447919"/>
      <w:r>
        <w:t>Methodology</w:t>
      </w:r>
      <w:bookmarkEnd w:id="4"/>
    </w:p>
    <w:p w14:paraId="34BE91BB" w14:textId="6FC3AC66" w:rsidR="00886CC4" w:rsidRPr="00886CC4" w:rsidRDefault="00886CC4" w:rsidP="00886CC4">
      <w:pPr>
        <w:pStyle w:val="BodyText"/>
      </w:pPr>
      <w:r>
        <w:t xml:space="preserve">This </w:t>
      </w:r>
      <w:r w:rsidR="00476D4D">
        <w:t>s</w:t>
      </w:r>
      <w:r>
        <w:t>ection summarises the methodology used to identify the published as well as grey literature considered in this initial evaluation of the MedsCheck and Diabetes MedsCheck program.</w:t>
      </w:r>
    </w:p>
    <w:p w14:paraId="23232547" w14:textId="77777777" w:rsidR="00450AE3" w:rsidRDefault="00450AE3" w:rsidP="00450AE3">
      <w:pPr>
        <w:pStyle w:val="Heading6"/>
      </w:pPr>
      <w:r>
        <w:t>Literature search</w:t>
      </w:r>
    </w:p>
    <w:p w14:paraId="23AEC013" w14:textId="7106AA00" w:rsidR="00216BAE" w:rsidRDefault="00216BAE" w:rsidP="00216BAE">
      <w:pPr>
        <w:pStyle w:val="BodyText"/>
      </w:pPr>
      <w:r w:rsidRPr="00886CC4">
        <w:t>A systematic literature review was undertaken in December 2016 to identify studies that provide evidence relating to the safety, effectiveness, cost and cost-effectiveness of MedsCheck</w:t>
      </w:r>
      <w:r w:rsidR="00BA126A">
        <w:t>,</w:t>
      </w:r>
      <w:r w:rsidRPr="00886CC4">
        <w:t xml:space="preserve"> Diabetes MedsCheck or similar programs provided by community pharmacists </w:t>
      </w:r>
      <w:r w:rsidR="00BA126A">
        <w:t xml:space="preserve">(in pharmacies) </w:t>
      </w:r>
      <w:r w:rsidRPr="00886CC4">
        <w:t xml:space="preserve">to individuals living in the community.  The </w:t>
      </w:r>
      <w:r w:rsidRPr="0097701E">
        <w:t>grey literature was also searched, as were the reference lists of included studies</w:t>
      </w:r>
      <w:r>
        <w:t xml:space="preserve">.  </w:t>
      </w:r>
      <w:r w:rsidR="00586104">
        <w:fldChar w:fldCharType="begin"/>
      </w:r>
      <w:r w:rsidR="00586104">
        <w:instrText xml:space="preserve"> REF _Ref522794853 \h </w:instrText>
      </w:r>
      <w:r w:rsidR="00586104">
        <w:fldChar w:fldCharType="separate"/>
      </w:r>
      <w:r w:rsidR="009047A7">
        <w:t>Table ES.</w:t>
      </w:r>
      <w:r w:rsidR="009047A7">
        <w:rPr>
          <w:noProof/>
        </w:rPr>
        <w:t>1</w:t>
      </w:r>
      <w:r w:rsidR="00586104">
        <w:fldChar w:fldCharType="end"/>
      </w:r>
      <w:r w:rsidRPr="00886CC4">
        <w:t xml:space="preserve"> presents the evidence selection criteria for MedsCheck and </w:t>
      </w:r>
      <w:r w:rsidR="00BF76A3">
        <w:fldChar w:fldCharType="begin"/>
      </w:r>
      <w:r w:rsidR="00BF76A3">
        <w:instrText xml:space="preserve"> REF _Ref522794880 \h </w:instrText>
      </w:r>
      <w:r w:rsidR="00BF76A3">
        <w:fldChar w:fldCharType="separate"/>
      </w:r>
      <w:r w:rsidR="009047A7">
        <w:t>Table ES.</w:t>
      </w:r>
      <w:r w:rsidR="009047A7">
        <w:rPr>
          <w:noProof/>
        </w:rPr>
        <w:t>2</w:t>
      </w:r>
      <w:r w:rsidR="00BF76A3">
        <w:fldChar w:fldCharType="end"/>
      </w:r>
      <w:r w:rsidRPr="00886CC4">
        <w:t xml:space="preserve"> presents the evidence selection criteria for Diabetes MedsCheck.  </w:t>
      </w:r>
    </w:p>
    <w:p w14:paraId="450E38AD" w14:textId="5A4758F9" w:rsidR="00450AE3" w:rsidRDefault="00586104" w:rsidP="00586104">
      <w:pPr>
        <w:pStyle w:val="Caption"/>
      </w:pPr>
      <w:bookmarkStart w:id="5" w:name="_Ref522794853"/>
      <w:r>
        <w:t>Table ES.</w:t>
      </w:r>
      <w:r w:rsidR="009047A7">
        <w:rPr>
          <w:noProof/>
        </w:rPr>
        <w:fldChar w:fldCharType="begin"/>
      </w:r>
      <w:r w:rsidR="009047A7">
        <w:rPr>
          <w:noProof/>
        </w:rPr>
        <w:instrText xml:space="preserve"> SEQ Table_ES. \* ARABIC </w:instrText>
      </w:r>
      <w:r w:rsidR="009047A7">
        <w:rPr>
          <w:noProof/>
        </w:rPr>
        <w:fldChar w:fldCharType="separate"/>
      </w:r>
      <w:r w:rsidR="009047A7">
        <w:rPr>
          <w:noProof/>
        </w:rPr>
        <w:t>1</w:t>
      </w:r>
      <w:r w:rsidR="009047A7">
        <w:rPr>
          <w:noProof/>
        </w:rPr>
        <w:fldChar w:fldCharType="end"/>
      </w:r>
      <w:bookmarkEnd w:id="5"/>
      <w:r w:rsidR="00450AE3">
        <w:t>:</w:t>
      </w:r>
      <w:r w:rsidR="00450AE3" w:rsidRPr="008D241F">
        <w:t xml:space="preserve"> </w:t>
      </w:r>
      <w:r w:rsidR="00450AE3" w:rsidRPr="00DC464D">
        <w:t>Selection criteria for evidence relating to MedsCheck services provided by community pharmacists</w:t>
      </w:r>
    </w:p>
    <w:tbl>
      <w:tblPr>
        <w:tblStyle w:val="TableGrid1"/>
        <w:tblW w:w="9752" w:type="dxa"/>
        <w:jc w:val="center"/>
        <w:tblLayout w:type="fixed"/>
        <w:tblLook w:val="04A0" w:firstRow="1" w:lastRow="0" w:firstColumn="1" w:lastColumn="0" w:noHBand="0" w:noVBand="1"/>
        <w:tblCaption w:val="Table ES.1"/>
        <w:tblDescription w:val="Selection criteria for evidence relating to MedsCheck services provided by community pharmacists"/>
      </w:tblPr>
      <w:tblGrid>
        <w:gridCol w:w="1555"/>
        <w:gridCol w:w="8197"/>
      </w:tblGrid>
      <w:tr w:rsidR="00450AE3" w:rsidRPr="0035283E" w14:paraId="572DEC54" w14:textId="77777777" w:rsidTr="00BD1F1D">
        <w:trPr>
          <w:cnfStyle w:val="100000000000" w:firstRow="1" w:lastRow="0" w:firstColumn="0" w:lastColumn="0" w:oddVBand="0" w:evenVBand="0" w:oddHBand="0" w:evenHBand="0" w:firstRowFirstColumn="0" w:firstRowLastColumn="0" w:lastRowFirstColumn="0" w:lastRowLastColumn="0"/>
          <w:tblHeader/>
          <w:jc w:val="center"/>
        </w:trPr>
        <w:tc>
          <w:tcPr>
            <w:tcW w:w="1555" w:type="dxa"/>
            <w:shd w:val="clear" w:color="auto" w:fill="632423" w:themeFill="accent2" w:themeFillShade="80"/>
            <w:vAlign w:val="center"/>
          </w:tcPr>
          <w:p w14:paraId="4DA1208F" w14:textId="77777777" w:rsidR="00450AE3" w:rsidRPr="0035283E" w:rsidRDefault="00450AE3" w:rsidP="00BD1F1D">
            <w:pPr>
              <w:pStyle w:val="Table10ptheadingalignedleft"/>
              <w:spacing w:after="20"/>
            </w:pPr>
            <w:r>
              <w:t>Criteria</w:t>
            </w:r>
          </w:p>
        </w:tc>
        <w:tc>
          <w:tcPr>
            <w:tcW w:w="8197" w:type="dxa"/>
            <w:shd w:val="clear" w:color="auto" w:fill="632423" w:themeFill="accent2" w:themeFillShade="80"/>
            <w:vAlign w:val="center"/>
          </w:tcPr>
          <w:p w14:paraId="396AF460" w14:textId="77777777" w:rsidR="00450AE3" w:rsidRPr="0035283E" w:rsidRDefault="00450AE3" w:rsidP="00BD1F1D">
            <w:pPr>
              <w:pStyle w:val="Table10ptheadingcentred"/>
              <w:spacing w:after="20"/>
            </w:pPr>
            <w:r>
              <w:t>Description</w:t>
            </w:r>
          </w:p>
        </w:tc>
      </w:tr>
      <w:tr w:rsidR="00450AE3" w:rsidRPr="0035283E" w14:paraId="0E860210" w14:textId="77777777" w:rsidTr="00BD1F1D">
        <w:trPr>
          <w:jc w:val="center"/>
        </w:trPr>
        <w:tc>
          <w:tcPr>
            <w:tcW w:w="1555" w:type="dxa"/>
          </w:tcPr>
          <w:p w14:paraId="17D02A1C" w14:textId="77777777" w:rsidR="00450AE3" w:rsidRPr="0035283E" w:rsidRDefault="00450AE3" w:rsidP="00BD1F1D">
            <w:pPr>
              <w:pStyle w:val="Table10ptalignedleft"/>
              <w:spacing w:after="20"/>
            </w:pPr>
            <w:r>
              <w:t>Population</w:t>
            </w:r>
          </w:p>
        </w:tc>
        <w:tc>
          <w:tcPr>
            <w:tcW w:w="8197" w:type="dxa"/>
          </w:tcPr>
          <w:p w14:paraId="27EC349D" w14:textId="77777777" w:rsidR="00450AE3" w:rsidRDefault="00450AE3" w:rsidP="00BD1F1D">
            <w:pPr>
              <w:pStyle w:val="Table10ptalignedleft"/>
              <w:spacing w:before="20" w:after="20"/>
            </w:pPr>
            <w:r w:rsidRPr="0035283E">
              <w:t>Comm</w:t>
            </w:r>
            <w:r>
              <w:t>unity patients that are at risk of medication mismanagement and:</w:t>
            </w:r>
          </w:p>
          <w:p w14:paraId="2BAB269B" w14:textId="77777777" w:rsidR="00450AE3" w:rsidRDefault="00450AE3" w:rsidP="00BD1F1D">
            <w:pPr>
              <w:pStyle w:val="Table10ptbullet"/>
              <w:numPr>
                <w:ilvl w:val="0"/>
                <w:numId w:val="2"/>
              </w:numPr>
              <w:ind w:left="227" w:hanging="227"/>
            </w:pPr>
            <w:r>
              <w:t>are taking five or more prescription medicines, or</w:t>
            </w:r>
          </w:p>
          <w:p w14:paraId="5FF4CB4B" w14:textId="77777777" w:rsidR="00450AE3" w:rsidRDefault="00450AE3" w:rsidP="00BD1F1D">
            <w:pPr>
              <w:pStyle w:val="Table10ptbullet"/>
              <w:numPr>
                <w:ilvl w:val="0"/>
                <w:numId w:val="2"/>
              </w:numPr>
              <w:spacing w:after="20"/>
              <w:ind w:left="227" w:hanging="227"/>
            </w:pPr>
            <w:r>
              <w:t>have had a recent significant medical event (a recent event or new diagnosis that has the potential to impact on the consumer’s medication adherence or knowledge of their medicine regime and may increase the risk of medication misadventure).</w:t>
            </w:r>
          </w:p>
          <w:p w14:paraId="4D27E4EC" w14:textId="6C5FC7E4" w:rsidR="00450AE3" w:rsidRPr="0035283E" w:rsidRDefault="00450AE3" w:rsidP="00BD1F1D">
            <w:pPr>
              <w:pStyle w:val="Table10ptbullet"/>
              <w:spacing w:after="20"/>
              <w:ind w:left="0" w:firstLine="0"/>
            </w:pPr>
            <w:r>
              <w:rPr>
                <w:i/>
              </w:rPr>
              <w:t xml:space="preserve">Individuals with type 2 diabetes are excluded as these are covered by Diabetes MedsCheck services </w:t>
            </w:r>
            <w:r w:rsidR="00BD1F1D">
              <w:rPr>
                <w:i/>
              </w:rPr>
              <w:t>(see Table ES.2</w:t>
            </w:r>
            <w:r w:rsidR="00BD1F1D" w:rsidRPr="00FD54F6">
              <w:rPr>
                <w:i/>
              </w:rPr>
              <w:t>).</w:t>
            </w:r>
          </w:p>
        </w:tc>
      </w:tr>
      <w:tr w:rsidR="00450AE3" w:rsidRPr="0035283E" w14:paraId="605D3A7B" w14:textId="77777777"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4609C880" w14:textId="77777777" w:rsidR="00450AE3" w:rsidRDefault="00450AE3" w:rsidP="00BD1F1D">
            <w:pPr>
              <w:pStyle w:val="Table10ptalignedleft"/>
              <w:spacing w:after="20"/>
            </w:pPr>
            <w:r>
              <w:t>Intervention</w:t>
            </w:r>
          </w:p>
        </w:tc>
        <w:tc>
          <w:tcPr>
            <w:tcW w:w="8197" w:type="dxa"/>
            <w:shd w:val="clear" w:color="auto" w:fill="F2DBDB" w:themeFill="accent2" w:themeFillTint="33"/>
          </w:tcPr>
          <w:p w14:paraId="005DA22F" w14:textId="77777777" w:rsidR="00450AE3" w:rsidRDefault="00450AE3" w:rsidP="00BD1F1D">
            <w:pPr>
              <w:pStyle w:val="Table10ptalignedleftspaceafter"/>
              <w:spacing w:before="20" w:after="20"/>
            </w:pPr>
            <w:r>
              <w:t>A ‘medicines use review’ or a similar service performed by a pharmacist at a community pharmacy, and focusing</w:t>
            </w:r>
            <w:r w:rsidRPr="0041726C">
              <w:t xml:space="preserve"> on</w:t>
            </w:r>
            <w:r>
              <w:t xml:space="preserve"> education and self-management by:</w:t>
            </w:r>
          </w:p>
          <w:p w14:paraId="232383B9" w14:textId="77777777" w:rsidR="00450AE3" w:rsidRDefault="00450AE3" w:rsidP="00BD1F1D">
            <w:pPr>
              <w:pStyle w:val="Table10ptbullet"/>
              <w:numPr>
                <w:ilvl w:val="0"/>
                <w:numId w:val="2"/>
              </w:numPr>
              <w:ind w:left="227" w:hanging="227"/>
            </w:pPr>
            <w:r>
              <w:t>identifying</w:t>
            </w:r>
            <w:r w:rsidRPr="0041726C">
              <w:t xml:space="preserve"> problems that the patient may be expe</w:t>
            </w:r>
            <w:r>
              <w:t>riencing with their medicines;</w:t>
            </w:r>
          </w:p>
          <w:p w14:paraId="24810EDA" w14:textId="77777777" w:rsidR="00450AE3" w:rsidRDefault="00450AE3" w:rsidP="00BD1F1D">
            <w:pPr>
              <w:pStyle w:val="Table10ptbullet"/>
              <w:numPr>
                <w:ilvl w:val="0"/>
                <w:numId w:val="2"/>
              </w:numPr>
              <w:ind w:left="227" w:hanging="227"/>
            </w:pPr>
            <w:r>
              <w:t>providing education and guidance on correct use of medication/monitoring devices; or</w:t>
            </w:r>
          </w:p>
          <w:p w14:paraId="06237D5E" w14:textId="77777777" w:rsidR="00450AE3" w:rsidRDefault="00450AE3" w:rsidP="00BD1F1D">
            <w:pPr>
              <w:pStyle w:val="Table10ptbullet"/>
              <w:numPr>
                <w:ilvl w:val="0"/>
                <w:numId w:val="2"/>
              </w:numPr>
              <w:spacing w:after="20"/>
              <w:ind w:left="227" w:hanging="227"/>
            </w:pPr>
            <w:r>
              <w:t>attempting to resolve any drug-related problems.</w:t>
            </w:r>
          </w:p>
          <w:p w14:paraId="1A8D2D28" w14:textId="77777777" w:rsidR="00450AE3" w:rsidRDefault="00450AE3" w:rsidP="00BD1F1D">
            <w:pPr>
              <w:pStyle w:val="Table10ptalignedleft"/>
              <w:spacing w:before="120" w:after="20"/>
              <w:rPr>
                <w:i/>
              </w:rPr>
            </w:pPr>
            <w:r w:rsidRPr="003F561C">
              <w:rPr>
                <w:i/>
              </w:rPr>
              <w:t xml:space="preserve">Interventions </w:t>
            </w:r>
            <w:r>
              <w:rPr>
                <w:i/>
              </w:rPr>
              <w:t>specifying</w:t>
            </w:r>
            <w:r w:rsidRPr="003F561C">
              <w:rPr>
                <w:i/>
              </w:rPr>
              <w:t xml:space="preserve"> multiple </w:t>
            </w:r>
            <w:r>
              <w:rPr>
                <w:i/>
              </w:rPr>
              <w:t xml:space="preserve">scheduled </w:t>
            </w:r>
            <w:r w:rsidRPr="003F561C">
              <w:rPr>
                <w:i/>
              </w:rPr>
              <w:t>visits within a 12-month period will be excluded.</w:t>
            </w:r>
          </w:p>
          <w:p w14:paraId="350A1F3D" w14:textId="5C579CE4" w:rsidR="00450AE3" w:rsidRPr="0035283E" w:rsidRDefault="00450AE3" w:rsidP="00BD1F1D">
            <w:pPr>
              <w:pStyle w:val="Table10ptalignedleft"/>
              <w:spacing w:after="20"/>
            </w:pPr>
            <w:r>
              <w:rPr>
                <w:i/>
              </w:rPr>
              <w:t>Interventions provided to individuals with type 2 diabetes are excluded as these are covered by Diabetes MedsCheck services (see</w:t>
            </w:r>
            <w:r w:rsidR="00BD1F1D">
              <w:rPr>
                <w:i/>
              </w:rPr>
              <w:t xml:space="preserve"> Table ES.2</w:t>
            </w:r>
            <w:r w:rsidRPr="00FD54F6">
              <w:rPr>
                <w:i/>
              </w:rPr>
              <w:t>).</w:t>
            </w:r>
          </w:p>
        </w:tc>
      </w:tr>
      <w:tr w:rsidR="00450AE3" w:rsidRPr="0035283E" w14:paraId="06D83F1D" w14:textId="77777777" w:rsidTr="00BD1F1D">
        <w:trPr>
          <w:jc w:val="center"/>
        </w:trPr>
        <w:tc>
          <w:tcPr>
            <w:tcW w:w="1555" w:type="dxa"/>
          </w:tcPr>
          <w:p w14:paraId="739959EC" w14:textId="77777777" w:rsidR="00450AE3" w:rsidRPr="00142757" w:rsidRDefault="00450AE3" w:rsidP="00BD1F1D">
            <w:pPr>
              <w:pStyle w:val="Table10ptalignedleft"/>
              <w:spacing w:after="20"/>
            </w:pPr>
            <w:r w:rsidRPr="00142757">
              <w:t>Comparator</w:t>
            </w:r>
          </w:p>
        </w:tc>
        <w:tc>
          <w:tcPr>
            <w:tcW w:w="8197" w:type="dxa"/>
          </w:tcPr>
          <w:p w14:paraId="5D1B9962" w14:textId="3184779B" w:rsidR="00450AE3" w:rsidRPr="0035283E" w:rsidRDefault="00450AE3" w:rsidP="00BD1F1D">
            <w:pPr>
              <w:pStyle w:val="Table10ptalignedleft"/>
              <w:spacing w:before="20" w:after="20"/>
            </w:pPr>
            <w:r w:rsidRPr="00142757">
              <w:t xml:space="preserve">Community patients </w:t>
            </w:r>
            <w:r>
              <w:t xml:space="preserve">who did not </w:t>
            </w:r>
            <w:r w:rsidRPr="00142757">
              <w:t>access medicine use review services.</w:t>
            </w:r>
          </w:p>
        </w:tc>
      </w:tr>
      <w:tr w:rsidR="00450AE3" w:rsidRPr="0035283E" w14:paraId="1FB34BEE" w14:textId="77777777"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30F9EE56" w14:textId="77777777" w:rsidR="00450AE3" w:rsidRDefault="00450AE3" w:rsidP="00BD1F1D">
            <w:pPr>
              <w:pStyle w:val="Table10ptalignedleft"/>
              <w:spacing w:after="20"/>
            </w:pPr>
            <w:r>
              <w:t>Outcomes</w:t>
            </w:r>
          </w:p>
        </w:tc>
        <w:tc>
          <w:tcPr>
            <w:tcW w:w="8197" w:type="dxa"/>
            <w:shd w:val="clear" w:color="auto" w:fill="F2DBDB" w:themeFill="accent2" w:themeFillTint="33"/>
          </w:tcPr>
          <w:p w14:paraId="7F3938EC" w14:textId="77777777" w:rsidR="00450AE3" w:rsidRDefault="00450AE3" w:rsidP="00BD1F1D">
            <w:pPr>
              <w:pStyle w:val="Table10ptbullet"/>
              <w:spacing w:before="20"/>
            </w:pPr>
            <w:r>
              <w:t>Outcomes include:</w:t>
            </w:r>
          </w:p>
          <w:p w14:paraId="5149B436" w14:textId="77777777" w:rsidR="00450AE3" w:rsidRDefault="00450AE3" w:rsidP="00BD1F1D">
            <w:pPr>
              <w:pStyle w:val="Table10ptbullet"/>
              <w:numPr>
                <w:ilvl w:val="0"/>
                <w:numId w:val="2"/>
              </w:numPr>
              <w:spacing w:before="20"/>
              <w:ind w:left="227" w:hanging="227"/>
            </w:pPr>
            <w:r>
              <w:t>changes in a</w:t>
            </w:r>
            <w:r w:rsidRPr="005D568A">
              <w:t>dherence</w:t>
            </w:r>
            <w:r>
              <w:t>/</w:t>
            </w:r>
            <w:r w:rsidRPr="005D568A">
              <w:t xml:space="preserve">compliance/concordance </w:t>
            </w:r>
            <w:r>
              <w:t>with</w:t>
            </w:r>
            <w:r w:rsidRPr="005D568A">
              <w:t xml:space="preserve"> </w:t>
            </w:r>
            <w:r>
              <w:t>prescribed dose schedule (e.g. pill count, self-report);</w:t>
            </w:r>
          </w:p>
          <w:p w14:paraId="13936CD6" w14:textId="77777777" w:rsidR="00450AE3" w:rsidRDefault="00450AE3" w:rsidP="00BD1F1D">
            <w:pPr>
              <w:pStyle w:val="Table10ptbullet"/>
              <w:numPr>
                <w:ilvl w:val="0"/>
                <w:numId w:val="2"/>
              </w:numPr>
              <w:ind w:left="227" w:hanging="227"/>
            </w:pPr>
            <w:r>
              <w:t>changes in clinical outcomes</w:t>
            </w:r>
            <w:r w:rsidRPr="005D568A">
              <w:t xml:space="preserve"> (e.g. BP</w:t>
            </w:r>
            <w:r>
              <w:t xml:space="preserve"> in patients with hypertension</w:t>
            </w:r>
            <w:r w:rsidRPr="005D568A">
              <w:t>)</w:t>
            </w:r>
            <w:r>
              <w:t>;</w:t>
            </w:r>
          </w:p>
          <w:p w14:paraId="19C312D4" w14:textId="77777777" w:rsidR="00450AE3" w:rsidRDefault="00450AE3" w:rsidP="00BD1F1D">
            <w:pPr>
              <w:pStyle w:val="Table10ptbullet"/>
              <w:numPr>
                <w:ilvl w:val="0"/>
                <w:numId w:val="2"/>
              </w:numPr>
              <w:ind w:left="227" w:hanging="227"/>
            </w:pPr>
            <w:r>
              <w:t>rates of a</w:t>
            </w:r>
            <w:r w:rsidRPr="005D568A">
              <w:t>dverse drug event</w:t>
            </w:r>
            <w:r>
              <w:t>/reactions and medication-related problems;</w:t>
            </w:r>
          </w:p>
          <w:p w14:paraId="6BB6149F" w14:textId="77777777" w:rsidR="00450AE3" w:rsidRDefault="00450AE3" w:rsidP="00BD1F1D">
            <w:pPr>
              <w:pStyle w:val="Table10ptbullet"/>
              <w:numPr>
                <w:ilvl w:val="0"/>
                <w:numId w:val="2"/>
              </w:numPr>
              <w:ind w:left="227" w:hanging="227"/>
            </w:pPr>
            <w:r>
              <w:t>changes in disability indices;</w:t>
            </w:r>
          </w:p>
          <w:p w14:paraId="43420E26" w14:textId="77777777" w:rsidR="00450AE3" w:rsidRPr="00F25922" w:rsidRDefault="00450AE3" w:rsidP="00BD1F1D">
            <w:pPr>
              <w:pStyle w:val="Table10ptbullet"/>
              <w:numPr>
                <w:ilvl w:val="0"/>
                <w:numId w:val="2"/>
              </w:numPr>
              <w:ind w:left="227" w:hanging="227"/>
            </w:pPr>
            <w:r w:rsidRPr="00F25922">
              <w:t>health care resource use (ED attendance, hospitalisation, GP visits, specialist visits)</w:t>
            </w:r>
            <w:r>
              <w:t>;</w:t>
            </w:r>
          </w:p>
          <w:p w14:paraId="5825A158" w14:textId="77777777" w:rsidR="00450AE3" w:rsidRPr="00F25922" w:rsidRDefault="00450AE3" w:rsidP="00BD1F1D">
            <w:pPr>
              <w:pStyle w:val="Table10ptbullet"/>
              <w:numPr>
                <w:ilvl w:val="0"/>
                <w:numId w:val="2"/>
              </w:numPr>
              <w:ind w:left="227" w:hanging="227"/>
            </w:pPr>
            <w:r w:rsidRPr="00F25922">
              <w:t>patient acceptance/satisfaction</w:t>
            </w:r>
            <w:r>
              <w:t>;</w:t>
            </w:r>
          </w:p>
          <w:p w14:paraId="36AB8922" w14:textId="77777777" w:rsidR="00450AE3" w:rsidRPr="00F25922" w:rsidRDefault="00450AE3" w:rsidP="00BD1F1D">
            <w:pPr>
              <w:pStyle w:val="Table10ptbullet"/>
              <w:numPr>
                <w:ilvl w:val="0"/>
                <w:numId w:val="2"/>
              </w:numPr>
              <w:ind w:left="227" w:hanging="227"/>
            </w:pPr>
            <w:r w:rsidRPr="00F25922">
              <w:t>health-related quality of life</w:t>
            </w:r>
            <w:r>
              <w:t>;</w:t>
            </w:r>
          </w:p>
          <w:p w14:paraId="6DB8A0DC" w14:textId="77777777" w:rsidR="00450AE3" w:rsidRDefault="00450AE3" w:rsidP="00BD1F1D">
            <w:pPr>
              <w:pStyle w:val="Table10ptbullet"/>
              <w:numPr>
                <w:ilvl w:val="0"/>
                <w:numId w:val="2"/>
              </w:numPr>
              <w:ind w:left="227" w:hanging="227"/>
            </w:pPr>
            <w:r>
              <w:t>cost of the service;</w:t>
            </w:r>
          </w:p>
          <w:p w14:paraId="5F000B03" w14:textId="77777777" w:rsidR="00450AE3" w:rsidRPr="002474AA" w:rsidRDefault="00450AE3" w:rsidP="00BD1F1D">
            <w:pPr>
              <w:pStyle w:val="Table10ptbullet"/>
              <w:numPr>
                <w:ilvl w:val="0"/>
                <w:numId w:val="2"/>
              </w:numPr>
              <w:spacing w:after="20"/>
              <w:ind w:left="227" w:hanging="227"/>
            </w:pPr>
            <w:r>
              <w:t>c</w:t>
            </w:r>
            <w:r w:rsidRPr="005D568A">
              <w:t>ost-effectiveness</w:t>
            </w:r>
            <w:r>
              <w:t>.</w:t>
            </w:r>
          </w:p>
        </w:tc>
      </w:tr>
      <w:tr w:rsidR="00450AE3" w:rsidRPr="0035283E" w14:paraId="6A020E00" w14:textId="77777777" w:rsidTr="00BD1F1D">
        <w:trPr>
          <w:jc w:val="center"/>
        </w:trPr>
        <w:tc>
          <w:tcPr>
            <w:tcW w:w="1555" w:type="dxa"/>
          </w:tcPr>
          <w:p w14:paraId="3C74BB22" w14:textId="77777777" w:rsidR="00450AE3" w:rsidRDefault="00450AE3" w:rsidP="00BD1F1D">
            <w:pPr>
              <w:pStyle w:val="Table10ptalignedleft"/>
              <w:spacing w:after="20"/>
            </w:pPr>
            <w:r>
              <w:t>Study design</w:t>
            </w:r>
          </w:p>
        </w:tc>
        <w:tc>
          <w:tcPr>
            <w:tcW w:w="8197" w:type="dxa"/>
          </w:tcPr>
          <w:p w14:paraId="653BE0BD" w14:textId="77777777" w:rsidR="00450AE3" w:rsidRDefault="00450AE3" w:rsidP="00BD1F1D">
            <w:pPr>
              <w:pStyle w:val="Table10ptalignedleft"/>
              <w:spacing w:before="20" w:after="20"/>
            </w:pPr>
            <w:r w:rsidRPr="00527B3D">
              <w:t xml:space="preserve">Comparative studies (randomised or non-randomised controlled trials, </w:t>
            </w:r>
            <w:r>
              <w:t xml:space="preserve">comparative </w:t>
            </w:r>
            <w:r w:rsidRPr="00527B3D">
              <w:t>cohort studies</w:t>
            </w:r>
            <w:r>
              <w:t xml:space="preserve">, </w:t>
            </w:r>
            <w:r w:rsidRPr="00527B3D">
              <w:t>case control studies</w:t>
            </w:r>
            <w:r>
              <w:t>, before/after studies</w:t>
            </w:r>
            <w:r w:rsidRPr="00527B3D">
              <w:t>) or systematic reviews of comparative studies.</w:t>
            </w:r>
          </w:p>
          <w:p w14:paraId="4529A740" w14:textId="77777777" w:rsidR="00450AE3" w:rsidRPr="0035283E" w:rsidRDefault="00450AE3" w:rsidP="00BD1F1D">
            <w:pPr>
              <w:pStyle w:val="Table10ptalignedleft"/>
              <w:spacing w:after="20"/>
            </w:pPr>
            <w:r>
              <w:t>Applicability to the Australian context will be considered.</w:t>
            </w:r>
          </w:p>
        </w:tc>
      </w:tr>
      <w:tr w:rsidR="00450AE3" w:rsidRPr="0035283E" w14:paraId="5D9F34F9" w14:textId="77777777"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6BE00857" w14:textId="77777777" w:rsidR="00450AE3" w:rsidRDefault="00450AE3" w:rsidP="00BD1F1D">
            <w:pPr>
              <w:pStyle w:val="Table10ptalignedleft"/>
              <w:spacing w:after="20"/>
            </w:pPr>
            <w:r>
              <w:t>Publication type</w:t>
            </w:r>
          </w:p>
        </w:tc>
        <w:tc>
          <w:tcPr>
            <w:tcW w:w="8197" w:type="dxa"/>
            <w:shd w:val="clear" w:color="auto" w:fill="F2DBDB" w:themeFill="accent2" w:themeFillTint="33"/>
          </w:tcPr>
          <w:p w14:paraId="0CACD27E" w14:textId="77777777" w:rsidR="00450AE3" w:rsidRDefault="00450AE3" w:rsidP="00BD1F1D">
            <w:pPr>
              <w:pStyle w:val="Table10ptalignedleft"/>
              <w:spacing w:before="20" w:after="20"/>
            </w:pPr>
            <w:r>
              <w:t xml:space="preserve">Full English-language publications or reports. </w:t>
            </w:r>
          </w:p>
          <w:p w14:paraId="5D13DA01" w14:textId="77777777" w:rsidR="00450AE3" w:rsidRPr="005D568A" w:rsidRDefault="00450AE3" w:rsidP="00BD1F1D">
            <w:pPr>
              <w:pStyle w:val="Table10ptalignedleft"/>
              <w:spacing w:after="20"/>
            </w:pPr>
            <w:r>
              <w:t>Conference abstracts will be excluded.</w:t>
            </w:r>
          </w:p>
        </w:tc>
      </w:tr>
    </w:tbl>
    <w:p w14:paraId="1F887D01" w14:textId="595A4C37" w:rsidR="00BF0EBA" w:rsidRDefault="00BF0EBA" w:rsidP="00BF0EBA">
      <w:pPr>
        <w:pStyle w:val="TableorFigurefootnote"/>
      </w:pPr>
      <w:r w:rsidRPr="005D568A">
        <w:t>Abb</w:t>
      </w:r>
      <w:r>
        <w:t>reviations: BP, blood pressure; ED, emergency department; GP, general practitioner</w:t>
      </w:r>
    </w:p>
    <w:p w14:paraId="48DCA9A8" w14:textId="5EC523FC" w:rsidR="00450AE3" w:rsidRPr="009F1BF4" w:rsidRDefault="00586104" w:rsidP="00450AE3">
      <w:pPr>
        <w:pStyle w:val="01BODYTEXT"/>
      </w:pPr>
      <w:r>
        <w:lastRenderedPageBreak/>
        <w:fldChar w:fldCharType="begin"/>
      </w:r>
      <w:r>
        <w:instrText xml:space="preserve"> REF _Ref522794880 \h </w:instrText>
      </w:r>
      <w:r>
        <w:fldChar w:fldCharType="separate"/>
      </w:r>
      <w:r w:rsidR="009047A7">
        <w:t>Table ES.</w:t>
      </w:r>
      <w:r w:rsidR="009047A7">
        <w:rPr>
          <w:noProof/>
        </w:rPr>
        <w:t>2</w:t>
      </w:r>
      <w:r>
        <w:fldChar w:fldCharType="end"/>
      </w:r>
      <w:r w:rsidR="00450AE3">
        <w:t xml:space="preserve"> </w:t>
      </w:r>
      <w:r w:rsidR="00450AE3" w:rsidRPr="004F5841">
        <w:t>presents the selection criteria for evidence assessing the effectiveness and cost-effectiveness of</w:t>
      </w:r>
      <w:r w:rsidR="00450AE3">
        <w:t xml:space="preserve"> medicines use review services provided to individuals with diabetes (Diabetes MedsCheck)</w:t>
      </w:r>
      <w:r w:rsidR="00450AE3" w:rsidRPr="009F1BF4">
        <w:t>.</w:t>
      </w:r>
    </w:p>
    <w:p w14:paraId="54656E1E" w14:textId="3E49C58A" w:rsidR="00450AE3" w:rsidRPr="0035283E" w:rsidRDefault="00586104" w:rsidP="00586104">
      <w:pPr>
        <w:pStyle w:val="Caption"/>
      </w:pPr>
      <w:bookmarkStart w:id="6" w:name="_Ref522794880"/>
      <w:r>
        <w:t>Table ES.</w:t>
      </w:r>
      <w:r w:rsidR="009047A7">
        <w:rPr>
          <w:noProof/>
        </w:rPr>
        <w:fldChar w:fldCharType="begin"/>
      </w:r>
      <w:r w:rsidR="009047A7">
        <w:rPr>
          <w:noProof/>
        </w:rPr>
        <w:instrText xml:space="preserve"> SEQ Table_ES. \* ARABIC </w:instrText>
      </w:r>
      <w:r w:rsidR="009047A7">
        <w:rPr>
          <w:noProof/>
        </w:rPr>
        <w:fldChar w:fldCharType="separate"/>
      </w:r>
      <w:r w:rsidR="009047A7">
        <w:rPr>
          <w:noProof/>
        </w:rPr>
        <w:t>2</w:t>
      </w:r>
      <w:r w:rsidR="009047A7">
        <w:rPr>
          <w:noProof/>
        </w:rPr>
        <w:fldChar w:fldCharType="end"/>
      </w:r>
      <w:bookmarkEnd w:id="6"/>
      <w:r w:rsidR="00450AE3">
        <w:t xml:space="preserve">: </w:t>
      </w:r>
      <w:r w:rsidR="00450AE3" w:rsidRPr="00187213">
        <w:t xml:space="preserve">Selection criteria for evidence </w:t>
      </w:r>
      <w:r w:rsidR="00450AE3">
        <w:t xml:space="preserve">relating to </w:t>
      </w:r>
      <w:r w:rsidR="00450AE3" w:rsidRPr="00F03A0A">
        <w:t xml:space="preserve">Diabetes MedsCheck </w:t>
      </w:r>
      <w:r w:rsidR="00450AE3" w:rsidRPr="00FD54F6">
        <w:t xml:space="preserve">services </w:t>
      </w:r>
      <w:r w:rsidR="00450AE3">
        <w:t>provided by community pharmacists</w:t>
      </w:r>
    </w:p>
    <w:tbl>
      <w:tblPr>
        <w:tblStyle w:val="TableGrid1"/>
        <w:tblW w:w="9752" w:type="dxa"/>
        <w:jc w:val="center"/>
        <w:tblLayout w:type="fixed"/>
        <w:tblLook w:val="04A0" w:firstRow="1" w:lastRow="0" w:firstColumn="1" w:lastColumn="0" w:noHBand="0" w:noVBand="1"/>
        <w:tblCaption w:val="Table ES.2"/>
        <w:tblDescription w:val="Selection criteria for evidence relating to Diabetes MedsCheck services provided by community pharmacists"/>
      </w:tblPr>
      <w:tblGrid>
        <w:gridCol w:w="1555"/>
        <w:gridCol w:w="8197"/>
      </w:tblGrid>
      <w:tr w:rsidR="00450AE3" w:rsidRPr="0035283E" w14:paraId="782CF509" w14:textId="77777777" w:rsidTr="00BD1F1D">
        <w:trPr>
          <w:cnfStyle w:val="100000000000" w:firstRow="1" w:lastRow="0" w:firstColumn="0" w:lastColumn="0" w:oddVBand="0" w:evenVBand="0" w:oddHBand="0" w:evenHBand="0" w:firstRowFirstColumn="0" w:firstRowLastColumn="0" w:lastRowFirstColumn="0" w:lastRowLastColumn="0"/>
          <w:tblHeader/>
          <w:jc w:val="center"/>
        </w:trPr>
        <w:tc>
          <w:tcPr>
            <w:tcW w:w="1555" w:type="dxa"/>
            <w:shd w:val="clear" w:color="auto" w:fill="632423" w:themeFill="accent2" w:themeFillShade="80"/>
            <w:vAlign w:val="center"/>
          </w:tcPr>
          <w:p w14:paraId="523E57CE" w14:textId="77777777" w:rsidR="00450AE3" w:rsidRPr="0035283E" w:rsidRDefault="00450AE3" w:rsidP="00BD1F1D">
            <w:pPr>
              <w:pStyle w:val="Table10ptheadingalignedleft"/>
              <w:spacing w:after="20"/>
            </w:pPr>
            <w:r>
              <w:t>Criteria</w:t>
            </w:r>
          </w:p>
        </w:tc>
        <w:tc>
          <w:tcPr>
            <w:tcW w:w="8197" w:type="dxa"/>
            <w:shd w:val="clear" w:color="auto" w:fill="632423" w:themeFill="accent2" w:themeFillShade="80"/>
            <w:vAlign w:val="center"/>
          </w:tcPr>
          <w:p w14:paraId="3CBB4AAF" w14:textId="77777777" w:rsidR="00450AE3" w:rsidRPr="0035283E" w:rsidRDefault="00450AE3" w:rsidP="00BD1F1D">
            <w:pPr>
              <w:pStyle w:val="Table10ptheadingcentred"/>
              <w:spacing w:after="20"/>
            </w:pPr>
            <w:r>
              <w:t>Description</w:t>
            </w:r>
          </w:p>
        </w:tc>
      </w:tr>
      <w:tr w:rsidR="00450AE3" w:rsidRPr="0035283E" w14:paraId="7CAC2599" w14:textId="77777777" w:rsidTr="00BD1F1D">
        <w:trPr>
          <w:jc w:val="center"/>
        </w:trPr>
        <w:tc>
          <w:tcPr>
            <w:tcW w:w="1555" w:type="dxa"/>
          </w:tcPr>
          <w:p w14:paraId="6FC155D3" w14:textId="77777777" w:rsidR="00450AE3" w:rsidRPr="0035283E" w:rsidRDefault="00450AE3" w:rsidP="00BD1F1D">
            <w:pPr>
              <w:pStyle w:val="Table10ptalignedleft"/>
              <w:spacing w:after="20"/>
            </w:pPr>
            <w:r>
              <w:t>Population</w:t>
            </w:r>
          </w:p>
        </w:tc>
        <w:tc>
          <w:tcPr>
            <w:tcW w:w="8197" w:type="dxa"/>
          </w:tcPr>
          <w:p w14:paraId="67066DB8" w14:textId="77777777" w:rsidR="00450AE3" w:rsidRPr="0035283E" w:rsidRDefault="00450AE3" w:rsidP="00BD1F1D">
            <w:pPr>
              <w:pStyle w:val="Table10ptalignedleft"/>
              <w:spacing w:before="20" w:after="20"/>
            </w:pPr>
            <w:r w:rsidRPr="003F4A63">
              <w:t>Community patients that are at risk of medica</w:t>
            </w:r>
            <w:r>
              <w:t>tion mismanagement and have been diagnosed with type 2 diabetes within the past 12 months or their type 2 diabetes is less than ideally controlled.</w:t>
            </w:r>
          </w:p>
        </w:tc>
      </w:tr>
      <w:tr w:rsidR="00450AE3" w:rsidRPr="0035283E" w14:paraId="77043E5F" w14:textId="77777777"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732B6527" w14:textId="77777777" w:rsidR="00450AE3" w:rsidRDefault="00450AE3" w:rsidP="00BD1F1D">
            <w:pPr>
              <w:pStyle w:val="Table10ptalignedleft"/>
              <w:spacing w:after="20"/>
            </w:pPr>
            <w:r>
              <w:t>Intervention</w:t>
            </w:r>
          </w:p>
        </w:tc>
        <w:tc>
          <w:tcPr>
            <w:tcW w:w="8197" w:type="dxa"/>
            <w:shd w:val="clear" w:color="auto" w:fill="F2DBDB" w:themeFill="accent2" w:themeFillTint="33"/>
          </w:tcPr>
          <w:p w14:paraId="62D46BB2" w14:textId="77777777" w:rsidR="00450AE3" w:rsidRDefault="00450AE3" w:rsidP="00BD1F1D">
            <w:pPr>
              <w:pStyle w:val="Table10ptalignedleftspaceafter"/>
              <w:spacing w:before="20" w:after="20"/>
            </w:pPr>
            <w:r>
              <w:t>A ‘medicines use review’</w:t>
            </w:r>
            <w:r w:rsidRPr="00583D13">
              <w:t xml:space="preserve"> </w:t>
            </w:r>
            <w:r>
              <w:t>or similar service performed by a pharmacist at a community pharmacy and focusing</w:t>
            </w:r>
            <w:r w:rsidRPr="0041726C">
              <w:t xml:space="preserve"> </w:t>
            </w:r>
            <w:r w:rsidRPr="003F4A63">
              <w:t>on the patient’s type 2 diabetes medicines management, monitoring devices, education and self-management</w:t>
            </w:r>
            <w:r>
              <w:t xml:space="preserve"> by:</w:t>
            </w:r>
          </w:p>
          <w:p w14:paraId="0A34867A" w14:textId="77777777" w:rsidR="00450AE3" w:rsidRDefault="00450AE3" w:rsidP="00BD1F1D">
            <w:pPr>
              <w:pStyle w:val="Table10ptbullet"/>
              <w:numPr>
                <w:ilvl w:val="0"/>
                <w:numId w:val="2"/>
              </w:numPr>
              <w:ind w:left="227" w:hanging="227"/>
            </w:pPr>
            <w:r>
              <w:t>identifying</w:t>
            </w:r>
            <w:r w:rsidRPr="0041726C">
              <w:t xml:space="preserve"> problems that the patient may be expe</w:t>
            </w:r>
            <w:r>
              <w:t>riencing with their medicines;</w:t>
            </w:r>
          </w:p>
          <w:p w14:paraId="1C179EA2" w14:textId="77777777" w:rsidR="00450AE3" w:rsidRDefault="00450AE3" w:rsidP="00BD1F1D">
            <w:pPr>
              <w:pStyle w:val="Table10ptbullet"/>
              <w:numPr>
                <w:ilvl w:val="0"/>
                <w:numId w:val="2"/>
              </w:numPr>
              <w:ind w:left="227" w:hanging="227"/>
            </w:pPr>
            <w:r>
              <w:t>providing education and guidance on correct use of medication/monitoring devices; or</w:t>
            </w:r>
          </w:p>
          <w:p w14:paraId="512D7C0D" w14:textId="77777777" w:rsidR="00450AE3" w:rsidRDefault="00450AE3" w:rsidP="00BD1F1D">
            <w:pPr>
              <w:pStyle w:val="Table10ptbullet"/>
              <w:numPr>
                <w:ilvl w:val="0"/>
                <w:numId w:val="2"/>
              </w:numPr>
              <w:spacing w:after="20"/>
              <w:ind w:left="227" w:hanging="227"/>
            </w:pPr>
            <w:r>
              <w:t>attempting to resolve any drug-related problems.</w:t>
            </w:r>
          </w:p>
          <w:p w14:paraId="58FCD856" w14:textId="77777777" w:rsidR="00450AE3" w:rsidRPr="0001337B" w:rsidRDefault="00450AE3" w:rsidP="00BD1F1D">
            <w:pPr>
              <w:pStyle w:val="Table10ptalignedleft"/>
              <w:spacing w:before="120" w:after="20"/>
              <w:rPr>
                <w:i/>
              </w:rPr>
            </w:pPr>
            <w:r w:rsidRPr="003F561C">
              <w:rPr>
                <w:i/>
              </w:rPr>
              <w:t xml:space="preserve">Interventions </w:t>
            </w:r>
            <w:r>
              <w:rPr>
                <w:i/>
              </w:rPr>
              <w:t>specifying</w:t>
            </w:r>
            <w:r w:rsidRPr="003F561C">
              <w:rPr>
                <w:i/>
              </w:rPr>
              <w:t xml:space="preserve"> multiple </w:t>
            </w:r>
            <w:r>
              <w:rPr>
                <w:i/>
              </w:rPr>
              <w:t xml:space="preserve">scheduled </w:t>
            </w:r>
            <w:r w:rsidRPr="003F561C">
              <w:rPr>
                <w:i/>
              </w:rPr>
              <w:t>visits within a 12-month period will be excluded.</w:t>
            </w:r>
          </w:p>
        </w:tc>
      </w:tr>
      <w:tr w:rsidR="00450AE3" w:rsidRPr="0035283E" w14:paraId="480645F8" w14:textId="77777777" w:rsidTr="00BD1F1D">
        <w:trPr>
          <w:jc w:val="center"/>
        </w:trPr>
        <w:tc>
          <w:tcPr>
            <w:tcW w:w="1555" w:type="dxa"/>
          </w:tcPr>
          <w:p w14:paraId="78D9A843" w14:textId="77777777" w:rsidR="00450AE3" w:rsidRDefault="00450AE3" w:rsidP="00BD1F1D">
            <w:pPr>
              <w:pStyle w:val="Table10ptalignedleft"/>
              <w:spacing w:after="20"/>
            </w:pPr>
            <w:r>
              <w:t>Comparator</w:t>
            </w:r>
          </w:p>
        </w:tc>
        <w:tc>
          <w:tcPr>
            <w:tcW w:w="8197" w:type="dxa"/>
          </w:tcPr>
          <w:p w14:paraId="511905F4" w14:textId="77777777" w:rsidR="00450AE3" w:rsidRPr="0035283E" w:rsidRDefault="00450AE3" w:rsidP="00BD1F1D">
            <w:pPr>
              <w:pStyle w:val="Table10ptalignedleft"/>
              <w:spacing w:before="20" w:after="20"/>
            </w:pPr>
            <w:r>
              <w:t>C</w:t>
            </w:r>
            <w:r w:rsidRPr="005D568A">
              <w:t xml:space="preserve">ommunity patients </w:t>
            </w:r>
            <w:r>
              <w:t>with type 2 diabetes who did not access medicines use review services.</w:t>
            </w:r>
          </w:p>
        </w:tc>
      </w:tr>
      <w:tr w:rsidR="00450AE3" w:rsidRPr="0035283E" w14:paraId="2A6FA91D" w14:textId="77777777"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33B71D40" w14:textId="77777777" w:rsidR="00450AE3" w:rsidRDefault="00450AE3" w:rsidP="00BD1F1D">
            <w:pPr>
              <w:pStyle w:val="Table10ptalignedleft"/>
              <w:spacing w:after="20"/>
            </w:pPr>
            <w:r>
              <w:t>Outcomes</w:t>
            </w:r>
          </w:p>
        </w:tc>
        <w:tc>
          <w:tcPr>
            <w:tcW w:w="8197" w:type="dxa"/>
            <w:shd w:val="clear" w:color="auto" w:fill="F2DBDB" w:themeFill="accent2" w:themeFillTint="33"/>
          </w:tcPr>
          <w:p w14:paraId="12E9F825" w14:textId="77777777" w:rsidR="00450AE3" w:rsidRDefault="00450AE3" w:rsidP="00BD1F1D">
            <w:pPr>
              <w:pStyle w:val="Table10ptbullet"/>
              <w:spacing w:before="20"/>
            </w:pPr>
            <w:r>
              <w:t>Outcomes include:</w:t>
            </w:r>
          </w:p>
          <w:p w14:paraId="34E15964" w14:textId="77777777" w:rsidR="00450AE3" w:rsidRDefault="00450AE3" w:rsidP="00BD1F1D">
            <w:pPr>
              <w:pStyle w:val="Table10ptbullet"/>
              <w:numPr>
                <w:ilvl w:val="0"/>
                <w:numId w:val="2"/>
              </w:numPr>
              <w:spacing w:before="20"/>
              <w:ind w:left="227" w:hanging="227"/>
            </w:pPr>
            <w:r>
              <w:t>changes in a</w:t>
            </w:r>
            <w:r w:rsidRPr="005D568A">
              <w:t>dherence</w:t>
            </w:r>
            <w:r>
              <w:t>/</w:t>
            </w:r>
            <w:r w:rsidRPr="005D568A">
              <w:t xml:space="preserve">compliance/concordance </w:t>
            </w:r>
            <w:r>
              <w:t>with</w:t>
            </w:r>
            <w:r w:rsidRPr="005D568A">
              <w:t xml:space="preserve"> </w:t>
            </w:r>
            <w:r>
              <w:t>prescribed dose schedule (e.g. pill count, self-report);</w:t>
            </w:r>
          </w:p>
          <w:p w14:paraId="442F22C6" w14:textId="77777777" w:rsidR="00450AE3" w:rsidRDefault="00450AE3" w:rsidP="00BD1F1D">
            <w:pPr>
              <w:pStyle w:val="Table10ptbullet"/>
              <w:numPr>
                <w:ilvl w:val="0"/>
                <w:numId w:val="2"/>
              </w:numPr>
              <w:ind w:left="227" w:hanging="227"/>
            </w:pPr>
            <w:r>
              <w:t>changes in clinical outcomes</w:t>
            </w:r>
            <w:r w:rsidRPr="005D568A">
              <w:t xml:space="preserve"> (e.g. </w:t>
            </w:r>
            <w:r w:rsidRPr="00E77CA7">
              <w:t>bloo</w:t>
            </w:r>
            <w:r>
              <w:t>d glucose levels, glycated HbA</w:t>
            </w:r>
            <w:r w:rsidRPr="0001337B">
              <w:rPr>
                <w:vertAlign w:val="subscript"/>
              </w:rPr>
              <w:t>1c</w:t>
            </w:r>
            <w:r w:rsidRPr="005D568A">
              <w:t>)</w:t>
            </w:r>
            <w:r>
              <w:t>;</w:t>
            </w:r>
          </w:p>
          <w:p w14:paraId="5F55F0C7" w14:textId="77777777" w:rsidR="00450AE3" w:rsidRDefault="00450AE3" w:rsidP="00BD1F1D">
            <w:pPr>
              <w:pStyle w:val="Table10ptbullet"/>
              <w:numPr>
                <w:ilvl w:val="0"/>
                <w:numId w:val="2"/>
              </w:numPr>
              <w:ind w:left="227" w:hanging="227"/>
            </w:pPr>
            <w:r>
              <w:t>rates of a</w:t>
            </w:r>
            <w:r w:rsidRPr="005D568A">
              <w:t>dverse drug event</w:t>
            </w:r>
            <w:r>
              <w:t>/reactions and medication-related problems;</w:t>
            </w:r>
          </w:p>
          <w:p w14:paraId="7F02DCE1" w14:textId="77777777" w:rsidR="00450AE3" w:rsidRPr="00F54F73" w:rsidRDefault="00450AE3" w:rsidP="00BD1F1D">
            <w:pPr>
              <w:pStyle w:val="Table10ptbullet"/>
              <w:numPr>
                <w:ilvl w:val="0"/>
                <w:numId w:val="2"/>
              </w:numPr>
              <w:ind w:left="227" w:hanging="227"/>
            </w:pPr>
            <w:r w:rsidRPr="00F54F73">
              <w:t>mortality</w:t>
            </w:r>
            <w:r>
              <w:t xml:space="preserve"> rates;</w:t>
            </w:r>
          </w:p>
          <w:p w14:paraId="2BE094BB" w14:textId="77777777" w:rsidR="00450AE3" w:rsidRPr="00F25922" w:rsidRDefault="00450AE3" w:rsidP="00BD1F1D">
            <w:pPr>
              <w:pStyle w:val="Table10ptbullet"/>
              <w:numPr>
                <w:ilvl w:val="0"/>
                <w:numId w:val="2"/>
              </w:numPr>
              <w:ind w:left="227" w:hanging="227"/>
            </w:pPr>
            <w:r w:rsidRPr="00F25922">
              <w:t>health care resource use (ED attendance, hospitalisation, GP visits, specialist visits)</w:t>
            </w:r>
            <w:r>
              <w:t>;</w:t>
            </w:r>
          </w:p>
          <w:p w14:paraId="61B6A079" w14:textId="77777777" w:rsidR="00450AE3" w:rsidRPr="00F25922" w:rsidRDefault="00450AE3" w:rsidP="00BD1F1D">
            <w:pPr>
              <w:pStyle w:val="Table10ptbullet"/>
              <w:numPr>
                <w:ilvl w:val="0"/>
                <w:numId w:val="2"/>
              </w:numPr>
              <w:ind w:left="227" w:hanging="227"/>
            </w:pPr>
            <w:r w:rsidRPr="00F25922">
              <w:t>patient acceptance/satisfaction</w:t>
            </w:r>
            <w:r>
              <w:t>;</w:t>
            </w:r>
          </w:p>
          <w:p w14:paraId="36373A4B" w14:textId="77777777" w:rsidR="00450AE3" w:rsidRPr="00F25922" w:rsidRDefault="00450AE3" w:rsidP="00BD1F1D">
            <w:pPr>
              <w:pStyle w:val="Table10ptbullet"/>
              <w:numPr>
                <w:ilvl w:val="0"/>
                <w:numId w:val="2"/>
              </w:numPr>
              <w:ind w:left="227" w:hanging="227"/>
            </w:pPr>
            <w:r w:rsidRPr="00F25922">
              <w:t>health-related quality of life</w:t>
            </w:r>
            <w:r>
              <w:t>;</w:t>
            </w:r>
          </w:p>
          <w:p w14:paraId="7FC41E24" w14:textId="77777777" w:rsidR="00450AE3" w:rsidRDefault="00450AE3" w:rsidP="00BD1F1D">
            <w:pPr>
              <w:pStyle w:val="Table10ptbullet"/>
              <w:numPr>
                <w:ilvl w:val="0"/>
                <w:numId w:val="2"/>
              </w:numPr>
              <w:ind w:left="227" w:hanging="227"/>
            </w:pPr>
            <w:r>
              <w:t>cost of the service;</w:t>
            </w:r>
          </w:p>
          <w:p w14:paraId="21C5558C" w14:textId="77777777" w:rsidR="00450AE3" w:rsidRPr="00E77CA7" w:rsidRDefault="00450AE3" w:rsidP="00BD1F1D">
            <w:pPr>
              <w:pStyle w:val="Table10ptbullet"/>
              <w:numPr>
                <w:ilvl w:val="0"/>
                <w:numId w:val="2"/>
              </w:numPr>
              <w:spacing w:after="20"/>
              <w:ind w:left="227" w:hanging="227"/>
            </w:pPr>
            <w:r>
              <w:t>cost-effectiveness.</w:t>
            </w:r>
          </w:p>
        </w:tc>
      </w:tr>
      <w:tr w:rsidR="00450AE3" w:rsidRPr="0035283E" w14:paraId="35F554D8" w14:textId="77777777" w:rsidTr="00BD1F1D">
        <w:trPr>
          <w:jc w:val="center"/>
        </w:trPr>
        <w:tc>
          <w:tcPr>
            <w:tcW w:w="1555" w:type="dxa"/>
          </w:tcPr>
          <w:p w14:paraId="18B77B6E" w14:textId="77777777" w:rsidR="00450AE3" w:rsidRDefault="00450AE3" w:rsidP="00BD1F1D">
            <w:pPr>
              <w:pStyle w:val="Table10ptalignedleft"/>
              <w:spacing w:after="20"/>
            </w:pPr>
            <w:r>
              <w:t>Study design</w:t>
            </w:r>
          </w:p>
        </w:tc>
        <w:tc>
          <w:tcPr>
            <w:tcW w:w="8197" w:type="dxa"/>
          </w:tcPr>
          <w:p w14:paraId="5206DFC9" w14:textId="77777777" w:rsidR="00450AE3" w:rsidRDefault="00450AE3" w:rsidP="00BD1F1D">
            <w:pPr>
              <w:pStyle w:val="Table10ptalignedleft"/>
              <w:spacing w:before="20" w:after="20"/>
            </w:pPr>
            <w:r w:rsidRPr="00527B3D">
              <w:t xml:space="preserve">Comparative studies (randomised or non-randomised controlled trials, </w:t>
            </w:r>
            <w:r>
              <w:t xml:space="preserve">comparative </w:t>
            </w:r>
            <w:r w:rsidRPr="00527B3D">
              <w:t>cohort studies, case control studies</w:t>
            </w:r>
            <w:r>
              <w:t>, before/after studies</w:t>
            </w:r>
            <w:r w:rsidRPr="00527B3D">
              <w:t>) or systematic reviews of comparative studies.</w:t>
            </w:r>
          </w:p>
          <w:p w14:paraId="6CC3FE07" w14:textId="77777777" w:rsidR="00450AE3" w:rsidRPr="0035283E" w:rsidRDefault="00450AE3" w:rsidP="00BD1F1D">
            <w:pPr>
              <w:pStyle w:val="Table10ptalignedleft"/>
              <w:spacing w:after="20"/>
            </w:pPr>
            <w:r>
              <w:t>Applicability to the Australian context will be considered.</w:t>
            </w:r>
          </w:p>
        </w:tc>
      </w:tr>
      <w:tr w:rsidR="00450AE3" w:rsidRPr="0035283E" w14:paraId="3E2B942B" w14:textId="77777777" w:rsidTr="00BD1F1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1FC4B784" w14:textId="77777777" w:rsidR="00450AE3" w:rsidRDefault="00450AE3" w:rsidP="00BD1F1D">
            <w:pPr>
              <w:pStyle w:val="Table10ptalignedleft"/>
              <w:spacing w:after="20"/>
            </w:pPr>
            <w:r>
              <w:t>Publication type</w:t>
            </w:r>
          </w:p>
        </w:tc>
        <w:tc>
          <w:tcPr>
            <w:tcW w:w="8197" w:type="dxa"/>
            <w:shd w:val="clear" w:color="auto" w:fill="F2DBDB" w:themeFill="accent2" w:themeFillTint="33"/>
          </w:tcPr>
          <w:p w14:paraId="58C0FCA6" w14:textId="77777777" w:rsidR="00450AE3" w:rsidRDefault="00450AE3" w:rsidP="00BD1F1D">
            <w:pPr>
              <w:pStyle w:val="Table10ptalignedleft"/>
              <w:spacing w:before="20" w:after="20"/>
            </w:pPr>
            <w:r>
              <w:t xml:space="preserve">Full English-language publications or reports. </w:t>
            </w:r>
          </w:p>
          <w:p w14:paraId="7EA940E5" w14:textId="77777777" w:rsidR="00450AE3" w:rsidRPr="005D568A" w:rsidRDefault="00450AE3" w:rsidP="00BD1F1D">
            <w:pPr>
              <w:pStyle w:val="Table10ptalignedleft"/>
              <w:spacing w:after="20"/>
            </w:pPr>
            <w:r>
              <w:t>Conference abstracts will be excluded.</w:t>
            </w:r>
          </w:p>
        </w:tc>
      </w:tr>
    </w:tbl>
    <w:p w14:paraId="28DFFC94" w14:textId="1B049CA9" w:rsidR="00450AE3" w:rsidRPr="00527B3D" w:rsidRDefault="00450AE3" w:rsidP="00450AE3">
      <w:pPr>
        <w:pStyle w:val="TableorFigurefootnote"/>
      </w:pPr>
      <w:r w:rsidRPr="005D568A">
        <w:t>Abb</w:t>
      </w:r>
      <w:r>
        <w:t xml:space="preserve">reviations: ED, emergency department; </w:t>
      </w:r>
      <w:r w:rsidR="00BF0EBA">
        <w:t xml:space="preserve">GP, general practitioner; </w:t>
      </w:r>
      <w:r>
        <w:t>HBA</w:t>
      </w:r>
      <w:r w:rsidRPr="00F837EF">
        <w:rPr>
          <w:vertAlign w:val="subscript"/>
        </w:rPr>
        <w:t>1c</w:t>
      </w:r>
      <w:r>
        <w:t xml:space="preserve">, glycated haemoglobin. </w:t>
      </w:r>
    </w:p>
    <w:p w14:paraId="1BBE4E82" w14:textId="77777777" w:rsidR="006B010E" w:rsidRPr="009754CE" w:rsidRDefault="006B010E" w:rsidP="006B010E">
      <w:pPr>
        <w:pStyle w:val="BodyText"/>
      </w:pPr>
      <w:r w:rsidRPr="009754CE">
        <w:t xml:space="preserve">The literature search identified a number of systematic reviews that did not focus on </w:t>
      </w:r>
      <w:r>
        <w:t>MedsCheck or Diabetes MedsCheck</w:t>
      </w:r>
      <w:r w:rsidRPr="009754CE">
        <w:t xml:space="preserve"> conducted by a pharmacist, but on medication reviews in any setting or medication review within a multidisciplinary model or a disease management</w:t>
      </w:r>
      <w:r>
        <w:t>/care</w:t>
      </w:r>
      <w:r w:rsidRPr="009754CE">
        <w:t xml:space="preserve"> plan, or medication reviews that were delivered by any health professional.  Therefore, findings from these systematic reviews cannot be extrapolated to the evaluation of the</w:t>
      </w:r>
      <w:r>
        <w:t xml:space="preserve"> MedsCheck/Diabetes MedsCheck</w:t>
      </w:r>
      <w:r w:rsidRPr="009754CE">
        <w:t xml:space="preserve"> service.  For this reason, only evidence from studies that evaluated </w:t>
      </w:r>
      <w:r>
        <w:t>MedsCheck/Diabetes MedsCheck</w:t>
      </w:r>
      <w:r w:rsidRPr="009754CE">
        <w:t xml:space="preserve"> principally delivered by a pharmacist, and independent of any other intervention aiming at optimising drug regimens and patient outcomes is presented in t</w:t>
      </w:r>
      <w:r>
        <w:t>he systematic literature review</w:t>
      </w:r>
      <w:r w:rsidRPr="009754CE">
        <w:t>.</w:t>
      </w:r>
    </w:p>
    <w:p w14:paraId="6ED687D9" w14:textId="75FDFD27" w:rsidR="006B010E" w:rsidRDefault="006B010E" w:rsidP="006B010E">
      <w:pPr>
        <w:pStyle w:val="BodyText"/>
      </w:pPr>
      <w:r>
        <w:t>A total of 13</w:t>
      </w:r>
      <w:r w:rsidRPr="00A756F5">
        <w:t xml:space="preserve"> primary studies were identified that examined </w:t>
      </w:r>
      <w:r>
        <w:t>community pharmacy based medication review</w:t>
      </w:r>
      <w:r w:rsidRPr="00A756F5">
        <w:t xml:space="preserve"> similar to the MedsCheck performed by a pharmacist, </w:t>
      </w:r>
      <w:r w:rsidR="00BA126A">
        <w:t xml:space="preserve">that involved </w:t>
      </w:r>
      <w:r w:rsidRPr="00A756F5">
        <w:t>checking and optimisin</w:t>
      </w:r>
      <w:r>
        <w:t xml:space="preserve">g the patients’ drug regimens </w:t>
      </w:r>
      <w:r w:rsidRPr="00A756F5">
        <w:t>through the identification of drug</w:t>
      </w:r>
      <w:r w:rsidR="0088796C">
        <w:t>-</w:t>
      </w:r>
      <w:r w:rsidRPr="00A756F5">
        <w:t>related problems (DRPs) and providing recommendations for GPs, as well as increasing patients’ knowledge</w:t>
      </w:r>
      <w:r>
        <w:t xml:space="preserve"> and/or adherence.  </w:t>
      </w:r>
      <w:r w:rsidRPr="00A756F5">
        <w:t xml:space="preserve">The studies were mixed in design and included </w:t>
      </w:r>
      <w:r>
        <w:t>10</w:t>
      </w:r>
      <w:r w:rsidRPr="00A756F5">
        <w:t xml:space="preserve"> rando</w:t>
      </w:r>
      <w:r>
        <w:t>mised controlled trials (RCTs), one observational study with pre- post-design and one retrospective sub-analysis of a cluster RCT</w:t>
      </w:r>
      <w:r w:rsidRPr="00A756F5">
        <w:t xml:space="preserve">. </w:t>
      </w:r>
      <w:r w:rsidR="00BA126A">
        <w:t xml:space="preserve"> </w:t>
      </w:r>
      <w:r w:rsidRPr="001E18C4">
        <w:t>An additional study evaluated the cost-effectiveness of a community pharmacy based medication review</w:t>
      </w:r>
      <w:r w:rsidR="001436BE">
        <w:t xml:space="preserve"> using a cost-utility analysis</w:t>
      </w:r>
      <w:r w:rsidRPr="001E18C4">
        <w:t>.</w:t>
      </w:r>
      <w:r>
        <w:t xml:space="preserve"> </w:t>
      </w:r>
      <w:r w:rsidRPr="00A756F5">
        <w:t xml:space="preserve"> </w:t>
      </w:r>
      <w:r w:rsidRPr="001E18C4">
        <w:t xml:space="preserve">None of the studies were Australian, but were mostly conducted in the USA and Europe.  </w:t>
      </w:r>
      <w:r w:rsidR="001436BE">
        <w:t>Only one study that evaluated a community pharmacy based medication review targeting patients with type 2 diabetes was identified.</w:t>
      </w:r>
    </w:p>
    <w:p w14:paraId="372679A2" w14:textId="77777777" w:rsidR="006B010E" w:rsidRDefault="006B010E" w:rsidP="006B010E">
      <w:pPr>
        <w:pStyle w:val="01BODYTEXT"/>
      </w:pPr>
      <w:r w:rsidRPr="00F63487">
        <w:t xml:space="preserve">The search </w:t>
      </w:r>
      <w:r>
        <w:t xml:space="preserve">also </w:t>
      </w:r>
      <w:r w:rsidRPr="00F63487">
        <w:t xml:space="preserve">identified </w:t>
      </w:r>
      <w:r>
        <w:t xml:space="preserve">two </w:t>
      </w:r>
      <w:r w:rsidRPr="00F63487">
        <w:t xml:space="preserve">previous evaluations of the </w:t>
      </w:r>
      <w:r>
        <w:t xml:space="preserve">MedsCheck/Diabetes Check </w:t>
      </w:r>
      <w:r w:rsidRPr="00F63487">
        <w:t xml:space="preserve">initiative funded under the 3CPA </w:t>
      </w:r>
      <w:r>
        <w:t>(</w:t>
      </w:r>
      <w:r w:rsidRPr="00DB209E">
        <w:t xml:space="preserve">Deloitte </w:t>
      </w:r>
      <w:r>
        <w:t xml:space="preserve">Access Economics) </w:t>
      </w:r>
      <w:r w:rsidRPr="00F63487">
        <w:t>and 5CPA</w:t>
      </w:r>
      <w:r>
        <w:t xml:space="preserve"> (</w:t>
      </w:r>
      <w:r w:rsidRPr="00DB209E">
        <w:t>PricewaterhouseCoopers</w:t>
      </w:r>
      <w:r>
        <w:t xml:space="preserve"> (PwC).  </w:t>
      </w:r>
      <w:r>
        <w:rPr>
          <w:szCs w:val="24"/>
        </w:rPr>
        <w:t xml:space="preserve">These studies did not meet the inclusion criteria for the systematic review, they were non-comparative and largely took a program evaluation approach.  As commented on by some of the authors, the studies </w:t>
      </w:r>
      <w:r>
        <w:rPr>
          <w:szCs w:val="24"/>
        </w:rPr>
        <w:lastRenderedPageBreak/>
        <w:t xml:space="preserve">provide low level evidence of the impact of MedsChecks.  Nonetheless, given the importance of these studies from a policy perspective and the fact that they specifically address the program being reviewed, they have been summarised </w:t>
      </w:r>
      <w:r w:rsidRPr="00F63487">
        <w:t xml:space="preserve">in </w:t>
      </w:r>
      <w:r>
        <w:t xml:space="preserve">Chapter 4 of </w:t>
      </w:r>
      <w:r w:rsidRPr="00F63487">
        <w:t xml:space="preserve">this </w:t>
      </w:r>
      <w:r>
        <w:t>report, and their findings have been included and referenced when drawing conclusions in this Executive Summary.</w:t>
      </w:r>
    </w:p>
    <w:p w14:paraId="794B3EA9" w14:textId="77777777" w:rsidR="00450AE3" w:rsidRDefault="00450AE3" w:rsidP="00450AE3">
      <w:pPr>
        <w:pStyle w:val="Heading6"/>
      </w:pPr>
      <w:r>
        <w:t>Utilisation analysis</w:t>
      </w:r>
    </w:p>
    <w:p w14:paraId="1F32AF1D" w14:textId="101A3DBB" w:rsidR="00F5001A" w:rsidRPr="00F5001A" w:rsidRDefault="00F5001A" w:rsidP="00F5001A">
      <w:pPr>
        <w:pStyle w:val="01BODYTEXT"/>
      </w:pPr>
      <w:bookmarkStart w:id="7" w:name="_Toc463447920"/>
      <w:r w:rsidRPr="00F5001A">
        <w:t xml:space="preserve">The data available for inclusion in the utilisation analysis were claims payment data held by the Department of Health and the Pharmacy Guild.  These data have been analysed primarily on inter-record and longitudinal relationships within the claims system extracts and also in the context of ‘remoteness’ inferred from the patient postcode. </w:t>
      </w:r>
      <w:r w:rsidR="00216BAE">
        <w:t xml:space="preserve"> </w:t>
      </w:r>
      <w:r w:rsidRPr="00F5001A">
        <w:t xml:space="preserve">Data attributes and remoteness were used to assess whether participating pharmacies are implementing the </w:t>
      </w:r>
      <w:r w:rsidR="00216BAE">
        <w:t xml:space="preserve">MedsCheck </w:t>
      </w:r>
      <w:r w:rsidRPr="00F5001A">
        <w:t xml:space="preserve">and Diabetes MedsChecks scheme in line with guidance uniformly. </w:t>
      </w:r>
    </w:p>
    <w:p w14:paraId="7674A78D" w14:textId="17A111DF" w:rsidR="00F5001A" w:rsidRDefault="00F5001A" w:rsidP="00F5001A">
      <w:pPr>
        <w:pStyle w:val="01BODYTEXT"/>
      </w:pPr>
      <w:r w:rsidRPr="00F5001A">
        <w:t xml:space="preserve">Key metrics in the analysis are the amount of claims paid, the number of patient </w:t>
      </w:r>
      <w:r w:rsidR="00216BAE">
        <w:t xml:space="preserve">MedsCheck </w:t>
      </w:r>
      <w:r w:rsidRPr="00F5001A">
        <w:t xml:space="preserve">and Diabetes MedsCheck services provided, the interval time between dates of service for patients who received more than one service, the number of prescription medicines the patient was taking, the number of chronic conditions that the patent has and summary information at patient level about the recommendations from their MedsChecks. </w:t>
      </w:r>
      <w:r w:rsidR="00216BAE">
        <w:t xml:space="preserve"> MedsCheck </w:t>
      </w:r>
      <w:r w:rsidRPr="00F5001A">
        <w:t xml:space="preserve">and Diabetes MedsChecks </w:t>
      </w:r>
      <w:r w:rsidR="00BA126A">
        <w:t>we</w:t>
      </w:r>
      <w:r w:rsidRPr="00F5001A">
        <w:t xml:space="preserve">re analysed </w:t>
      </w:r>
      <w:r w:rsidR="00BA126A">
        <w:t xml:space="preserve">and presented </w:t>
      </w:r>
      <w:r w:rsidRPr="00F5001A">
        <w:t>separately.</w:t>
      </w:r>
    </w:p>
    <w:p w14:paraId="1F6B0F6D" w14:textId="5AFD4459" w:rsidR="00450AE3" w:rsidRDefault="00450AE3" w:rsidP="00450AE3">
      <w:pPr>
        <w:pStyle w:val="Heading5"/>
      </w:pPr>
      <w:r>
        <w:t>Results of the literature review</w:t>
      </w:r>
      <w:bookmarkEnd w:id="7"/>
    </w:p>
    <w:p w14:paraId="24AAA2F9" w14:textId="19374E7D" w:rsidR="00BD33C4" w:rsidRDefault="00BD33C4" w:rsidP="00BD33C4">
      <w:pPr>
        <w:spacing w:before="240"/>
        <w:jc w:val="both"/>
        <w:rPr>
          <w:rFonts w:ascii="Garamond" w:hAnsi="Garamond"/>
          <w:sz w:val="24"/>
        </w:rPr>
      </w:pPr>
      <w:r w:rsidRPr="00975F6D">
        <w:rPr>
          <w:rFonts w:ascii="Garamond" w:hAnsi="Garamond"/>
          <w:sz w:val="24"/>
        </w:rPr>
        <w:t>This section presents a summary of the findings drawn from the systematic literature review and review of the grey literature (which</w:t>
      </w:r>
      <w:r>
        <w:rPr>
          <w:rFonts w:ascii="Garamond" w:hAnsi="Garamond"/>
          <w:sz w:val="24"/>
        </w:rPr>
        <w:t>, in a departure from our usual practice for assessment reports prepared for the Medical Services Advisory Committee (MSAC)</w:t>
      </w:r>
      <w:r w:rsidR="00476D4D">
        <w:rPr>
          <w:rFonts w:ascii="Garamond" w:hAnsi="Garamond"/>
          <w:sz w:val="24"/>
        </w:rPr>
        <w:t>)</w:t>
      </w:r>
      <w:r>
        <w:rPr>
          <w:rFonts w:ascii="Garamond" w:hAnsi="Garamond"/>
          <w:sz w:val="24"/>
        </w:rPr>
        <w:t xml:space="preserve">, </w:t>
      </w:r>
      <w:r w:rsidR="00216BAE">
        <w:rPr>
          <w:rFonts w:ascii="Garamond" w:hAnsi="Garamond"/>
          <w:sz w:val="24"/>
        </w:rPr>
        <w:t xml:space="preserve">and </w:t>
      </w:r>
      <w:r>
        <w:rPr>
          <w:rFonts w:ascii="Garamond" w:hAnsi="Garamond"/>
          <w:sz w:val="24"/>
        </w:rPr>
        <w:t xml:space="preserve">where relevant, the low level evidence derived from the </w:t>
      </w:r>
      <w:r w:rsidRPr="00975F6D">
        <w:rPr>
          <w:rFonts w:ascii="Garamond" w:hAnsi="Garamond"/>
          <w:sz w:val="24"/>
        </w:rPr>
        <w:t xml:space="preserve">program evaluations conducted on the </w:t>
      </w:r>
      <w:r>
        <w:rPr>
          <w:rFonts w:ascii="Garamond" w:hAnsi="Garamond"/>
          <w:sz w:val="24"/>
        </w:rPr>
        <w:t>Med</w:t>
      </w:r>
      <w:r w:rsidR="00BA126A">
        <w:rPr>
          <w:rFonts w:ascii="Garamond" w:hAnsi="Garamond"/>
          <w:sz w:val="24"/>
        </w:rPr>
        <w:t>s</w:t>
      </w:r>
      <w:r>
        <w:rPr>
          <w:rFonts w:ascii="Garamond" w:hAnsi="Garamond"/>
          <w:sz w:val="24"/>
        </w:rPr>
        <w:t xml:space="preserve">Checks </w:t>
      </w:r>
      <w:r w:rsidRPr="00975F6D">
        <w:rPr>
          <w:rFonts w:ascii="Garamond" w:hAnsi="Garamond"/>
          <w:sz w:val="24"/>
        </w:rPr>
        <w:t>program</w:t>
      </w:r>
      <w:r>
        <w:rPr>
          <w:rFonts w:ascii="Garamond" w:hAnsi="Garamond"/>
          <w:sz w:val="24"/>
        </w:rPr>
        <w:t>s</w:t>
      </w:r>
      <w:r w:rsidRPr="00975F6D">
        <w:rPr>
          <w:rFonts w:ascii="Garamond" w:hAnsi="Garamond"/>
          <w:sz w:val="24"/>
        </w:rPr>
        <w:t xml:space="preserve"> funded under prior CPAs.</w:t>
      </w:r>
    </w:p>
    <w:p w14:paraId="30B8FF50" w14:textId="77777777" w:rsidR="006B010E" w:rsidRDefault="006B010E" w:rsidP="006B010E">
      <w:pPr>
        <w:pStyle w:val="Heading6"/>
      </w:pPr>
      <w:r>
        <w:t>Clinical outcomes</w:t>
      </w:r>
    </w:p>
    <w:p w14:paraId="442769F1" w14:textId="3424EC44" w:rsidR="006B010E" w:rsidRPr="009134FB" w:rsidRDefault="006B010E" w:rsidP="006B010E">
      <w:pPr>
        <w:pStyle w:val="BodyText"/>
      </w:pPr>
      <w:r w:rsidRPr="00D52542">
        <w:t>Evidence from one RCT showed that a community pharmacy based medication review can lead to significant improvements in clinical outcomes, including blood pressure, glucose levels, and triglyceride levels.  However, this RCT was conducted in a different heal</w:t>
      </w:r>
      <w:r>
        <w:t>th care system than Australia</w:t>
      </w:r>
      <w:r w:rsidR="0069375B">
        <w:t xml:space="preserve"> (i.e. in Jordan)</w:t>
      </w:r>
      <w:r>
        <w:t xml:space="preserve">, </w:t>
      </w:r>
      <w:r w:rsidRPr="00D52542">
        <w:t xml:space="preserve">where most patients with a health ailment prefer to visit the community pharmacy first rather than a physician to save the time and cost of a doctor.  Further, most medications </w:t>
      </w:r>
      <w:r>
        <w:t>were</w:t>
      </w:r>
      <w:r w:rsidRPr="00D52542">
        <w:t xml:space="preserve"> dispensed by a pharmacist without a medical prescription, thus leading to major implications for the safety and effectiveness of the pharmacotherapy used in this country.  Therefore, positive findings from this study may not necessarily translate to Australia’s health care system, and sho</w:t>
      </w:r>
      <w:r>
        <w:t>uld be considered with caution.</w:t>
      </w:r>
    </w:p>
    <w:p w14:paraId="37182023" w14:textId="77777777" w:rsidR="006B010E" w:rsidRDefault="006B010E" w:rsidP="006B010E">
      <w:pPr>
        <w:pStyle w:val="Heading6"/>
      </w:pPr>
      <w:r>
        <w:t>Hospital admissions</w:t>
      </w:r>
    </w:p>
    <w:p w14:paraId="3395B389" w14:textId="733DA6A4" w:rsidR="006B010E" w:rsidRPr="005A7528" w:rsidRDefault="006B010E" w:rsidP="006B010E">
      <w:pPr>
        <w:pStyle w:val="BodyText"/>
      </w:pPr>
      <w:r w:rsidRPr="005A7528">
        <w:t xml:space="preserve">Evidence is conflicting to draw conclusions about the effect of community pharmacy based medication review on reducing the </w:t>
      </w:r>
      <w:r w:rsidR="000C3CD9">
        <w:t>number of hospitalisations.  Three</w:t>
      </w:r>
      <w:r w:rsidRPr="005A7528">
        <w:t xml:space="preserve"> RCTs found no effect on number of hospital admissions (with one RCT reported no significant effect on reducing </w:t>
      </w:r>
      <w:r w:rsidR="00BA126A">
        <w:t>Emergency Department (</w:t>
      </w:r>
      <w:r w:rsidRPr="005A7528">
        <w:t>ED</w:t>
      </w:r>
      <w:r w:rsidR="00BA126A">
        <w:t>)</w:t>
      </w:r>
      <w:r w:rsidRPr="005A7528">
        <w:t xml:space="preserve"> visits).  On the other hand, evidence from a sub-analysis of a cluster RCT and another with a pre- post-design suggest that community pharmacy based medication review results in a significant reduction in hospital admissions.  A major limitation of pharmacist-led interventions studies is their relatively small sample size and hence, they are not sufficiently powered to detect differences in health care use. </w:t>
      </w:r>
      <w:r>
        <w:t xml:space="preserve"> </w:t>
      </w:r>
      <w:r w:rsidRPr="005A7528">
        <w:t>Importantly, there is a lack of a cause and effect analysis in most of the included studies, and whether any observed reduction in hospitalisation was drug-related, thus restricting the generalisation of the results.  Another limitation is the relatively short duration of follow-up</w:t>
      </w:r>
      <w:r>
        <w:t xml:space="preserve"> in the included studies</w:t>
      </w:r>
      <w:r w:rsidRPr="005A7528">
        <w:t>.</w:t>
      </w:r>
      <w:r>
        <w:t xml:space="preserve">  It is likely that a </w:t>
      </w:r>
      <w:r w:rsidRPr="005A7528">
        <w:t>study follow-up period</w:t>
      </w:r>
      <w:r>
        <w:t xml:space="preserve"> of less than one year</w:t>
      </w:r>
      <w:r w:rsidRPr="005A7528">
        <w:t xml:space="preserve"> is too short to realise longer-term reducti</w:t>
      </w:r>
      <w:r>
        <w:t>on in health care use</w:t>
      </w:r>
      <w:r w:rsidRPr="005A7528">
        <w:t>.  Therefore, the evidence of the impact of medication review performed at the pharmacy on hospital admissions remains uncertain.</w:t>
      </w:r>
    </w:p>
    <w:p w14:paraId="111559ED" w14:textId="77777777" w:rsidR="006B010E" w:rsidRDefault="006B010E" w:rsidP="006B010E">
      <w:pPr>
        <w:pStyle w:val="Heading6"/>
      </w:pPr>
      <w:r>
        <w:lastRenderedPageBreak/>
        <w:t>Health care resource costs</w:t>
      </w:r>
    </w:p>
    <w:p w14:paraId="7B2793B0" w14:textId="11CDB44D" w:rsidR="006B010E" w:rsidRPr="005A7528" w:rsidRDefault="000C3CD9" w:rsidP="006B010E">
      <w:pPr>
        <w:pStyle w:val="BodyText"/>
      </w:pPr>
      <w:r w:rsidRPr="000C3CD9">
        <w:t>There is a paucity of evidence on the effect of a community pharmacy based medication review on reducing health care costs.  Evidence from one retrospective sub-analysis of one RCT showed that medication-related hospital costs were significantly lower for patients receiving a community pharmacy based medication.  However, these results should be interpreted with caution due to the poor quality of retrospective studies</w:t>
      </w:r>
      <w:r w:rsidR="006B010E" w:rsidRPr="005A7528">
        <w:t>.</w:t>
      </w:r>
    </w:p>
    <w:p w14:paraId="3859C8CA" w14:textId="77777777" w:rsidR="006B010E" w:rsidRDefault="006B010E" w:rsidP="006B010E">
      <w:pPr>
        <w:pStyle w:val="Heading6"/>
      </w:pPr>
      <w:r>
        <w:t>Drug burden</w:t>
      </w:r>
    </w:p>
    <w:p w14:paraId="6778BEFA" w14:textId="4C3F0742" w:rsidR="006B010E" w:rsidRPr="005A7528" w:rsidRDefault="006B010E" w:rsidP="006B010E">
      <w:pPr>
        <w:pStyle w:val="BodyText"/>
      </w:pPr>
      <w:r w:rsidRPr="005A7528">
        <w:t xml:space="preserve">Evidence from two RCTs that evaluated the effect of community pharmacy based medication review on reducing the number of medications associated with falling </w:t>
      </w:r>
      <w:r w:rsidR="00126313">
        <w:t xml:space="preserve">(i.e. fall risk increasing drugs) </w:t>
      </w:r>
      <w:r w:rsidRPr="005A7528">
        <w:t>were contradictory, with one showing a significant reduction in medications associated with increased falling and the other showing no effect.  Evidence from one observational study showed that community pharmacy based medication review has a positive effect in reducing the number of medicines, thus leading to a decrease in the percentage of polypharmacy patients.  However, there is no evidence showing that a decreased drug burden improves any patients’ health outcomes, such as decrease in DRPs</w:t>
      </w:r>
      <w:r>
        <w:t>, adverse drug events</w:t>
      </w:r>
      <w:r w:rsidRPr="005A7528">
        <w:t xml:space="preserve"> or reduction in falls, and consequently a reduction in health care costs.</w:t>
      </w:r>
    </w:p>
    <w:p w14:paraId="1E43759B" w14:textId="77777777" w:rsidR="006B010E" w:rsidRDefault="006B010E" w:rsidP="006B010E">
      <w:pPr>
        <w:pStyle w:val="Heading6"/>
      </w:pPr>
      <w:r>
        <w:t>Falls</w:t>
      </w:r>
    </w:p>
    <w:p w14:paraId="1D038DA8" w14:textId="16D582C5" w:rsidR="006B010E" w:rsidRPr="005F506A" w:rsidRDefault="00126313" w:rsidP="006B010E">
      <w:pPr>
        <w:pStyle w:val="BodyText"/>
      </w:pPr>
      <w:r>
        <w:t xml:space="preserve">Two RCTs evaluated the effect of a community pharmacy based medication review on the reduction of falls in the elderly.  </w:t>
      </w:r>
      <w:r w:rsidR="006B010E" w:rsidRPr="005F506A">
        <w:t xml:space="preserve">Evidence from two RCTs suggests that </w:t>
      </w:r>
      <w:r w:rsidR="006B010E">
        <w:t xml:space="preserve">a </w:t>
      </w:r>
      <w:r w:rsidR="006B010E" w:rsidRPr="005F506A">
        <w:t>community pharmacy based medication review has no effect on reducing falls in high-risk older adults.  However, both RCTs were of small sample size; hence more research is needed to evaluate the community pharmacy based medication review using a larger sample size that provides greater power to detect clinically meaningful effects of reduction in the use of high-risk medications on pre</w:t>
      </w:r>
      <w:r w:rsidR="006B010E">
        <w:t>venting or reducing falls in</w:t>
      </w:r>
      <w:r w:rsidR="006B010E" w:rsidRPr="005F506A">
        <w:t xml:space="preserve"> high-risk population</w:t>
      </w:r>
      <w:r w:rsidR="006B010E">
        <w:t>s</w:t>
      </w:r>
      <w:r w:rsidR="006B010E" w:rsidRPr="005F506A">
        <w:t>.</w:t>
      </w:r>
    </w:p>
    <w:p w14:paraId="2C5E3169" w14:textId="77777777" w:rsidR="006B010E" w:rsidRDefault="006B010E" w:rsidP="006B010E">
      <w:pPr>
        <w:pStyle w:val="Heading6"/>
      </w:pPr>
      <w:r>
        <w:t>Mortality</w:t>
      </w:r>
    </w:p>
    <w:p w14:paraId="349A58A5" w14:textId="77777777" w:rsidR="006B010E" w:rsidRPr="005F506A" w:rsidRDefault="006B010E" w:rsidP="006B010E">
      <w:pPr>
        <w:pStyle w:val="BodyText"/>
      </w:pPr>
      <w:r w:rsidRPr="005F506A">
        <w:t>Evidence from two RCTs did not demonstrate a significant effect on mortality in patients with heart disease.</w:t>
      </w:r>
    </w:p>
    <w:p w14:paraId="20478111" w14:textId="77777777" w:rsidR="006B010E" w:rsidRDefault="006B010E" w:rsidP="006B010E">
      <w:pPr>
        <w:pStyle w:val="Heading6"/>
      </w:pPr>
      <w:r>
        <w:t>Adverse drug events</w:t>
      </w:r>
    </w:p>
    <w:p w14:paraId="722F3BD2" w14:textId="651CC174" w:rsidR="006B010E" w:rsidRPr="005F506A" w:rsidRDefault="006B010E" w:rsidP="006B010E">
      <w:pPr>
        <w:pStyle w:val="BodyText"/>
      </w:pPr>
      <w:r w:rsidRPr="005F506A">
        <w:t xml:space="preserve">Evidence </w:t>
      </w:r>
      <w:r w:rsidR="00F2689D">
        <w:t>for an effect of a community pharmacy based medication review on adverse drug events (ADEs) is inconclusive.  One</w:t>
      </w:r>
      <w:r w:rsidRPr="005F506A">
        <w:t xml:space="preserve"> RCT that was statistically powered to detect a meaningful difference in ADEs found no effect of a community pharmacy based medication review o</w:t>
      </w:r>
      <w:r w:rsidR="00F2689D">
        <w:t>n reducing ADEs.  A</w:t>
      </w:r>
      <w:r>
        <w:t>nother</w:t>
      </w:r>
      <w:r w:rsidRPr="005F506A">
        <w:t xml:space="preserve"> RCT reported a significant reduction in DRPs but without translating this effect into reductions in ADEs.  </w:t>
      </w:r>
      <w:r w:rsidR="00F2689D">
        <w:t>A third</w:t>
      </w:r>
      <w:r w:rsidRPr="005F506A">
        <w:t xml:space="preserve"> RCT and one small observational study showed high acceptance of the pharmacist’s recommendations by physicians, leading to the resolution, improvement, or prevention of identified medication-related problems and DRPs.  Findings from these two studies may suggest that community pharmacy based medication review can assist patients achieve a safe and effective pharmacotherapy, however, there is no evidence to suggest that a reduction in DRPs or medication</w:t>
      </w:r>
      <w:r w:rsidR="005A297C">
        <w:t>-</w:t>
      </w:r>
      <w:r w:rsidRPr="005F506A">
        <w:t xml:space="preserve">related problems lead to reduction in ADEs or improvements in any other patient health outcome.  Therefore, further research is needed to identify the link between DRPs and ADEs, and aspects of medication review that are particularly effective at improving </w:t>
      </w:r>
      <w:r>
        <w:t xml:space="preserve">other </w:t>
      </w:r>
      <w:r w:rsidRPr="005F506A">
        <w:t xml:space="preserve">patients’ health outcomes, such as mortality, health-related </w:t>
      </w:r>
      <w:r w:rsidR="00BA126A">
        <w:t>QoL</w:t>
      </w:r>
      <w:r w:rsidRPr="005F506A">
        <w:t>, hospital admissions and use of health services.</w:t>
      </w:r>
    </w:p>
    <w:p w14:paraId="1916CE8B" w14:textId="77777777" w:rsidR="006B010E" w:rsidRDefault="006B010E" w:rsidP="006B010E">
      <w:pPr>
        <w:pStyle w:val="Heading6"/>
      </w:pPr>
      <w:r>
        <w:t>Prescribing appropriateness</w:t>
      </w:r>
    </w:p>
    <w:p w14:paraId="1AFE69AA" w14:textId="77777777" w:rsidR="006B010E" w:rsidRPr="00F03FCC" w:rsidRDefault="006B010E" w:rsidP="006B010E">
      <w:pPr>
        <w:pStyle w:val="BodyText"/>
      </w:pPr>
      <w:r w:rsidRPr="00D24C5E">
        <w:t>Evidence from one large RCT suggests that a community pharmacy based medication review has no positive effect on improving appropriateness of medication prescribing.</w:t>
      </w:r>
    </w:p>
    <w:p w14:paraId="2D2856F5" w14:textId="77777777" w:rsidR="006B010E" w:rsidRDefault="006B010E" w:rsidP="006B010E">
      <w:pPr>
        <w:pStyle w:val="Heading6"/>
      </w:pPr>
      <w:r>
        <w:lastRenderedPageBreak/>
        <w:t>Adherence</w:t>
      </w:r>
    </w:p>
    <w:p w14:paraId="7F9CB151" w14:textId="647235D5" w:rsidR="006B010E" w:rsidRPr="008E4D28" w:rsidRDefault="006B010E" w:rsidP="006B010E">
      <w:pPr>
        <w:pStyle w:val="BodyText"/>
      </w:pPr>
      <w:r w:rsidRPr="008E4D28">
        <w:t>The evidence for an effect of community pharmacy based medication review on adher</w:t>
      </w:r>
      <w:r w:rsidR="00F2689D">
        <w:t>ence was mixed.  Results from t</w:t>
      </w:r>
      <w:r w:rsidRPr="008E4D28">
        <w:t xml:space="preserve">hree RCTs showed that a community pharmacy based medication review did not </w:t>
      </w:r>
      <w:r w:rsidR="00F2689D">
        <w:t>have</w:t>
      </w:r>
      <w:r w:rsidRPr="008E4D28">
        <w:t xml:space="preserve"> a positive effect on improving patients’ adherence to medication.  However, one small RCT reported improvement in medication compliance in patients with moderate to severe heart failure.</w:t>
      </w:r>
    </w:p>
    <w:p w14:paraId="24DBE15C" w14:textId="77777777" w:rsidR="00BA126A" w:rsidRDefault="00BA126A" w:rsidP="00BA126A">
      <w:pPr>
        <w:pStyle w:val="BodyText"/>
      </w:pPr>
      <w:r>
        <w:t>The 5CPA MedsCheck program evaluation reported on consumers’ self-reported level of medication adherence and found that complete adherence was highest among participants who viewed their general health status to be excellent, decreasing with health status; and there were no large differences in complete or partial medication adherence between people consuming a small number (e.g. one) of medicines compared to people consuming a higher number of medicines (e.g. 10+).</w:t>
      </w:r>
    </w:p>
    <w:p w14:paraId="1F71738C" w14:textId="3C9317F8" w:rsidR="006B010E" w:rsidRDefault="006B010E" w:rsidP="006B010E">
      <w:pPr>
        <w:pStyle w:val="Heading6"/>
      </w:pPr>
      <w:r>
        <w:t>Health</w:t>
      </w:r>
      <w:r w:rsidR="005A297C">
        <w:t>-</w:t>
      </w:r>
      <w:r>
        <w:t>related quality of life</w:t>
      </w:r>
    </w:p>
    <w:p w14:paraId="5E6A95ED" w14:textId="55C6CA99" w:rsidR="006B010E" w:rsidRPr="00F03FCC" w:rsidRDefault="006B010E" w:rsidP="006B010E">
      <w:pPr>
        <w:pStyle w:val="BodyText"/>
      </w:pPr>
      <w:r w:rsidRPr="00F03FCC">
        <w:t xml:space="preserve">The evidence for an effect of community pharmacy based medication review on quality of life was conflicting, with </w:t>
      </w:r>
      <w:r w:rsidR="00F2689D">
        <w:t>one observational study reporting</w:t>
      </w:r>
      <w:r w:rsidRPr="00F03FCC">
        <w:t xml:space="preserve"> an improvement in QoL, and four RCTs showing no significant effect on QoL.  The inability of the pharmacy-led intervention to significantly affect health-related QoL in the elderly may partially be due to a greater disease burden experienced by the elderly and thus, the intervention may only have a nonsignificant effect on QoL.  More research is necessary in order to define the effect of a clinical medication review on patient QoL.</w:t>
      </w:r>
    </w:p>
    <w:p w14:paraId="3A069DA8" w14:textId="77777777" w:rsidR="006B010E" w:rsidRDefault="006B010E" w:rsidP="006B010E">
      <w:pPr>
        <w:pStyle w:val="Heading6"/>
      </w:pPr>
      <w:r>
        <w:t>Patient acceptance/satisfaction</w:t>
      </w:r>
    </w:p>
    <w:p w14:paraId="2ADB19D6" w14:textId="77777777" w:rsidR="006B010E" w:rsidRPr="00F03FCC" w:rsidRDefault="006B010E" w:rsidP="006B010E">
      <w:pPr>
        <w:pStyle w:val="BodyText"/>
      </w:pPr>
      <w:r w:rsidRPr="00F03FCC">
        <w:t>Evidence from two RCTs suggests that community pharmacy based medication review has a positive effect on patient satisfaction</w:t>
      </w:r>
      <w:r>
        <w:t xml:space="preserve">, especially in relation to </w:t>
      </w:r>
      <w:r w:rsidRPr="00F03FCC">
        <w:t>treatment and symptom control</w:t>
      </w:r>
      <w:r>
        <w:t xml:space="preserve"> as a result of the medication review</w:t>
      </w:r>
      <w:r w:rsidRPr="00F03FCC">
        <w:t>.</w:t>
      </w:r>
    </w:p>
    <w:p w14:paraId="069EE3E1" w14:textId="77777777" w:rsidR="00BA126A" w:rsidRDefault="00BA126A" w:rsidP="00BA126A">
      <w:pPr>
        <w:pStyle w:val="BodyText"/>
      </w:pPr>
      <w:r w:rsidRPr="003343FD">
        <w:t xml:space="preserve">Findings from </w:t>
      </w:r>
      <w:r>
        <w:t xml:space="preserve">the evaluation of the MedsCheck pilot program </w:t>
      </w:r>
      <w:r w:rsidRPr="003343FD">
        <w:t>fou</w:t>
      </w:r>
      <w:r>
        <w:t xml:space="preserve">nd that majority of patients were </w:t>
      </w:r>
      <w:r w:rsidRPr="003343FD">
        <w:t xml:space="preserve">satisfied with the service provided and would recommend the MedsCheck or Diabetes MedsCheck service to others.  </w:t>
      </w:r>
      <w:r>
        <w:t>P</w:t>
      </w:r>
      <w:r w:rsidRPr="008B3350">
        <w:t xml:space="preserve">atient benefits were </w:t>
      </w:r>
      <w:r>
        <w:t xml:space="preserve">reported to be </w:t>
      </w:r>
      <w:r w:rsidRPr="008B3350">
        <w:t>realised through acquiring an increased understanding of their medicines relating to indication, dosing, side effects, interactions and storage</w:t>
      </w:r>
      <w:r>
        <w:t xml:space="preserve">.  </w:t>
      </w:r>
    </w:p>
    <w:p w14:paraId="3381A96C" w14:textId="1898E224" w:rsidR="006B010E" w:rsidRPr="00FE44B2" w:rsidRDefault="006B010E" w:rsidP="006B010E">
      <w:pPr>
        <w:pStyle w:val="Heading6"/>
      </w:pPr>
      <w:r w:rsidRPr="00FE44B2">
        <w:t xml:space="preserve">Evidence relating </w:t>
      </w:r>
      <w:r w:rsidR="00BA126A">
        <w:t xml:space="preserve">specifically </w:t>
      </w:r>
      <w:r w:rsidRPr="00FE44B2">
        <w:t>to Diabetes MedsCheck</w:t>
      </w:r>
    </w:p>
    <w:p w14:paraId="104D6DED" w14:textId="73EA1A08" w:rsidR="006B010E" w:rsidRPr="00FE44B2" w:rsidRDefault="006B010E" w:rsidP="006B010E">
      <w:pPr>
        <w:pStyle w:val="BodyText"/>
      </w:pPr>
      <w:r w:rsidRPr="00FE44B2">
        <w:t xml:space="preserve">There is insufficient evidence </w:t>
      </w:r>
      <w:r w:rsidRPr="00F03FCC">
        <w:t>evaluating</w:t>
      </w:r>
      <w:r w:rsidRPr="00FE44B2">
        <w:t xml:space="preserve"> the effect of a community pharmacy based medication review targeting patients with type 2 diabetes on patients’ outcomes.  A single small RCT found no significant effect on blood glucose</w:t>
      </w:r>
      <w:r w:rsidR="00DA01FB">
        <w:t xml:space="preserve"> levels, hospital admissions, general practitioner</w:t>
      </w:r>
      <w:r w:rsidRPr="00FE44B2">
        <w:t xml:space="preserve"> visits, drug burden, or quality of life.  However, a significant improvement in blood pressure was demonstrated.  </w:t>
      </w:r>
    </w:p>
    <w:p w14:paraId="057EE0D6" w14:textId="77777777" w:rsidR="006B010E" w:rsidRDefault="006B010E" w:rsidP="006B010E">
      <w:pPr>
        <w:pStyle w:val="Heading6"/>
      </w:pPr>
      <w:r>
        <w:t>Cost-effectiveness</w:t>
      </w:r>
    </w:p>
    <w:p w14:paraId="6F842D02" w14:textId="571DCE91" w:rsidR="006B010E" w:rsidRDefault="00F2689D" w:rsidP="006B010E">
      <w:pPr>
        <w:pStyle w:val="BodyText"/>
      </w:pPr>
      <w:r>
        <w:t xml:space="preserve">The </w:t>
      </w:r>
      <w:r w:rsidR="006B010E" w:rsidRPr="0000047D">
        <w:t xml:space="preserve">economic evaluation of MedsCheck </w:t>
      </w:r>
      <w:r w:rsidR="006B010E">
        <w:t xml:space="preserve">included </w:t>
      </w:r>
      <w:r w:rsidR="006B010E" w:rsidRPr="0000047D">
        <w:t>a cost-utility analysis</w:t>
      </w:r>
      <w:r w:rsidR="006B010E">
        <w:t xml:space="preserve"> (CUA)</w:t>
      </w:r>
      <w:r w:rsidR="006B010E" w:rsidRPr="0000047D">
        <w:t xml:space="preserve">. </w:t>
      </w:r>
      <w:r w:rsidR="006B010E">
        <w:t xml:space="preserve"> </w:t>
      </w:r>
      <w:r w:rsidR="006B010E" w:rsidRPr="0000047D">
        <w:t xml:space="preserve">The RCT upon which the economic evaluation was based was conducted in Spain between 2011 and 2013, involving medication review with </w:t>
      </w:r>
      <w:r w:rsidR="006B010E">
        <w:t xml:space="preserve">6-month </w:t>
      </w:r>
      <w:r w:rsidR="006B010E" w:rsidRPr="0000047D">
        <w:t>follow-up versus usual care.</w:t>
      </w:r>
      <w:r w:rsidR="006B010E">
        <w:t xml:space="preserve">  By the end of the follow-up period, patients in both groups had reduced the mean number of prescribed medications they took (the primary outcome for the study), and this reduction was greater in the intervention group than in the control group.  A </w:t>
      </w:r>
      <w:r w:rsidR="006B010E" w:rsidRPr="00F84E1A">
        <w:t>between-group</w:t>
      </w:r>
      <w:r w:rsidR="006B010E">
        <w:t xml:space="preserve"> comparison for the mean number of prescribed medications favoured the intervention group and was reported as </w:t>
      </w:r>
      <w:r w:rsidR="006B010E" w:rsidRPr="00F84E1A">
        <w:t>0.21</w:t>
      </w:r>
      <w:r w:rsidR="006B010E">
        <w:t xml:space="preserve"> </w:t>
      </w:r>
      <w:r w:rsidR="006B010E" w:rsidRPr="00F84E1A">
        <w:t>± 0.06 drugs (95 % CI 0.092</w:t>
      </w:r>
      <w:r w:rsidR="006B010E">
        <w:t xml:space="preserve"> </w:t>
      </w:r>
      <w:r w:rsidR="006B010E" w:rsidRPr="00F84E1A">
        <w:t>–</w:t>
      </w:r>
      <w:r w:rsidR="006B010E">
        <w:t xml:space="preserve"> </w:t>
      </w:r>
      <w:r w:rsidR="006B010E" w:rsidRPr="00F84E1A">
        <w:t>0.335)</w:t>
      </w:r>
      <w:r w:rsidR="006B010E">
        <w:t xml:space="preserve">.  Patients in the intervention group saw their QoL improved; in contrast, the control group experienced a slight reduction in their quality of life.  A </w:t>
      </w:r>
      <w:r w:rsidR="006B010E" w:rsidRPr="00F84E1A">
        <w:t>between-group</w:t>
      </w:r>
      <w:r w:rsidR="006B010E">
        <w:t xml:space="preserve"> comparison for QoL favoured the intervention group, and was reported as 0.0550 ± 0.01 in the utility score (95 % CI 0.0306–0.0794).  </w:t>
      </w:r>
    </w:p>
    <w:p w14:paraId="3CBF9991" w14:textId="6C1DC46D" w:rsidR="006B010E" w:rsidRDefault="006B010E" w:rsidP="006B010E">
      <w:pPr>
        <w:pStyle w:val="BodyText"/>
        <w:rPr>
          <w:highlight w:val="yellow"/>
        </w:rPr>
      </w:pPr>
      <w:r>
        <w:lastRenderedPageBreak/>
        <w:t xml:space="preserve">To estimate the </w:t>
      </w:r>
      <w:r w:rsidR="00660443">
        <w:t>incremental cost-effectiveness ratio (</w:t>
      </w:r>
      <w:r>
        <w:t>ICER</w:t>
      </w:r>
      <w:r w:rsidR="00660443">
        <w:t>)</w:t>
      </w:r>
      <w:r>
        <w:t>, the costs (adjusted for baseline medications) and QALYs (adjusted for baseline utility score) were used, resulting in a mean incremental total cost of –€250.51 and a mean incremental QALY of 0.0156.  The CUA shows that the medication review service is the dominant strategy.</w:t>
      </w:r>
      <w:r w:rsidRPr="007B6E0C">
        <w:t xml:space="preserve">  </w:t>
      </w:r>
      <w:r>
        <w:t xml:space="preserve">The acceptability curve shows that if the willingness-to-pay is between €30,000/QALY and €45,000/QALY, the probability of the medication review service being cost effective is 100%.  The authors concluded that ‘the medication review with follow-up service is an effective intervention for optimising prescribed medication and improving QoL in older adults with polypharmacy in community pharmacies.  The results from the CUA suggest that the </w:t>
      </w:r>
      <w:r w:rsidR="00DA01FB">
        <w:t>medication review with follow-up (</w:t>
      </w:r>
      <w:r>
        <w:t>MRF</w:t>
      </w:r>
      <w:r w:rsidR="00DA01FB">
        <w:t>)</w:t>
      </w:r>
      <w:r>
        <w:t xml:space="preserve"> service is cost effective.</w:t>
      </w:r>
      <w:r w:rsidRPr="007B6E0C">
        <w:t xml:space="preserve">’  </w:t>
      </w:r>
    </w:p>
    <w:p w14:paraId="1D7322A0" w14:textId="77777777" w:rsidR="006B010E" w:rsidRDefault="006B010E" w:rsidP="006B010E">
      <w:pPr>
        <w:pStyle w:val="BodyText"/>
      </w:pPr>
      <w:r>
        <w:t xml:space="preserve">It should be noted that the intervention and control groups were </w:t>
      </w:r>
      <w:r w:rsidRPr="00F0460F">
        <w:t>not balanced at baseline</w:t>
      </w:r>
      <w:r>
        <w:t xml:space="preserve"> with respect to mean number of prescribed medications or mobility problems as measured by EQ-5D.  There are other concerns with this study in terms of the intervention and the study design: the intervention is poorly described and the cluster RCT study design could allow for bias in favour of the intervention.</w:t>
      </w:r>
    </w:p>
    <w:p w14:paraId="65040A85" w14:textId="77777777" w:rsidR="006B010E" w:rsidRPr="00FE44B2" w:rsidRDefault="006B010E" w:rsidP="006B010E">
      <w:pPr>
        <w:pStyle w:val="BodyText"/>
      </w:pPr>
      <w:r>
        <w:t>Another RCT performed a cost-minimisation analysis using data on National Health Service (NHS) and patient costs (based on 2015 UK prices).  The analysis found that the difference at follow-up in total NHS-related cost (accounting for the cost of the pharmacy intervention) was statistically significant due to the cost of providing pharmacist training.  The pharmacist-led service was found to be more expensive than standard care.</w:t>
      </w:r>
    </w:p>
    <w:p w14:paraId="3140842E" w14:textId="77777777" w:rsidR="00450AE3" w:rsidRDefault="00450AE3" w:rsidP="00BC5971">
      <w:pPr>
        <w:pStyle w:val="Heading5"/>
      </w:pPr>
      <w:bookmarkStart w:id="8" w:name="_Toc463447921"/>
      <w:r>
        <w:t>Results of the utilisation analysis</w:t>
      </w:r>
      <w:bookmarkEnd w:id="8"/>
    </w:p>
    <w:p w14:paraId="5F071D15" w14:textId="612A756B" w:rsidR="00F5001A" w:rsidRPr="00F5001A" w:rsidRDefault="00F5001A" w:rsidP="00F5001A">
      <w:pPr>
        <w:pStyle w:val="01BODYTEXT"/>
      </w:pPr>
      <w:bookmarkStart w:id="9" w:name="_Toc463447922"/>
      <w:r w:rsidRPr="00F5001A">
        <w:t xml:space="preserve">The available data show that active enforcement of claims guidelines and the introduction of a </w:t>
      </w:r>
      <w:r w:rsidR="008903BE" w:rsidRPr="00F5001A">
        <w:t xml:space="preserve">MedsChecks </w:t>
      </w:r>
      <w:r w:rsidRPr="00F5001A">
        <w:t xml:space="preserve">and Diabetes MedsChecks claims caps </w:t>
      </w:r>
      <w:r w:rsidR="005624BD" w:rsidRPr="005624BD">
        <w:t>(</w:t>
      </w:r>
      <w:r w:rsidR="005624BD">
        <w:t xml:space="preserve">i.e. </w:t>
      </w:r>
      <w:r w:rsidR="006B010E">
        <w:t xml:space="preserve">a combined </w:t>
      </w:r>
      <w:r w:rsidR="005624BD" w:rsidRPr="005624BD">
        <w:t>total of 10 MedsCheck or Diabetes MedsCheck services per month, per pharmacy)</w:t>
      </w:r>
      <w:r w:rsidR="005624BD">
        <w:t xml:space="preserve"> </w:t>
      </w:r>
      <w:r w:rsidRPr="00F5001A">
        <w:t xml:space="preserve">in early 2014 was effective in reducing the burgeoning number of patients receiving MedsChecks. </w:t>
      </w:r>
      <w:r w:rsidR="008903BE">
        <w:t xml:space="preserve"> </w:t>
      </w:r>
      <w:r w:rsidRPr="00F5001A">
        <w:t xml:space="preserve">The effect on MedsChecks was particularly pronounced. </w:t>
      </w:r>
      <w:r w:rsidR="008903BE">
        <w:t xml:space="preserve"> </w:t>
      </w:r>
      <w:r w:rsidRPr="00F5001A">
        <w:t>The policy changes were also effective in promoting greater adherence to MedsChecks scheme guidelines (especially those relating to frequency).</w:t>
      </w:r>
    </w:p>
    <w:p w14:paraId="2EF39428" w14:textId="301D41C3" w:rsidR="00F5001A" w:rsidRPr="00F5001A" w:rsidRDefault="00F5001A" w:rsidP="00F5001A">
      <w:pPr>
        <w:pStyle w:val="01BODYTEXT"/>
      </w:pPr>
      <w:r w:rsidRPr="00F5001A">
        <w:t xml:space="preserve">The uncapped schemes attracted rapid and unexpected uptake by pharmacies (especially the MedsChecks scheme) and was servicing a substantial number of patients that mostly received a one-time </w:t>
      </w:r>
      <w:r w:rsidR="008903BE">
        <w:t xml:space="preserve">MedsCheck </w:t>
      </w:r>
      <w:r w:rsidRPr="00F5001A">
        <w:t xml:space="preserve">and Diabetes MedsChecks service between mid-2012 and mid-2014. </w:t>
      </w:r>
      <w:r w:rsidR="008903BE">
        <w:t xml:space="preserve"> </w:t>
      </w:r>
      <w:r w:rsidRPr="00F5001A">
        <w:t xml:space="preserve">For patients receiving multiple </w:t>
      </w:r>
      <w:r w:rsidR="008903BE" w:rsidRPr="00F5001A">
        <w:t xml:space="preserve">MedsChecks </w:t>
      </w:r>
      <w:r w:rsidRPr="00F5001A">
        <w:t>and Diabetes MedsChecks services between mid-2012 and mid-2014 a considerable proportion were occurring more frequently than stipulated in schemes’ guidelines.</w:t>
      </w:r>
    </w:p>
    <w:p w14:paraId="5187A117" w14:textId="7313DC8F" w:rsidR="00F5001A" w:rsidRDefault="00F5001A" w:rsidP="00F5001A">
      <w:pPr>
        <w:pStyle w:val="01BODYTEXT"/>
      </w:pPr>
      <w:r w:rsidRPr="00F5001A">
        <w:t>Between mid-2014 and mid-2016 (i</w:t>
      </w:r>
      <w:r w:rsidR="00BD33C4">
        <w:t>.</w:t>
      </w:r>
      <w:r w:rsidRPr="00F5001A">
        <w:t>e</w:t>
      </w:r>
      <w:r w:rsidR="00BD33C4">
        <w:t>.</w:t>
      </w:r>
      <w:r w:rsidRPr="00F5001A">
        <w:t xml:space="preserve"> after the introduction of the caps), both </w:t>
      </w:r>
      <w:r w:rsidR="008903BE" w:rsidRPr="00F5001A">
        <w:t xml:space="preserve">MedsChecks </w:t>
      </w:r>
      <w:r w:rsidRPr="00F5001A">
        <w:t xml:space="preserve">and Diabetes MedsChecks patient and service volumes declined rapidly before resuming a more stable growth pattern from a considerably lower base. </w:t>
      </w:r>
      <w:r w:rsidR="008903BE">
        <w:t xml:space="preserve"> </w:t>
      </w:r>
      <w:r w:rsidRPr="00F5001A">
        <w:t xml:space="preserve">Importantly, alignment with frequency guidelines improved markedly, and better alignment with expectations around patient age distribution and patterns of multiple prescription medicines and multiple chronic conditions. </w:t>
      </w:r>
      <w:r w:rsidR="008903BE">
        <w:t xml:space="preserve"> </w:t>
      </w:r>
      <w:r w:rsidRPr="00F5001A">
        <w:t>Some of the behaviour change can be attributed to the simple economics of introducing capped service levels</w:t>
      </w:r>
      <w:r w:rsidR="008903BE">
        <w:t>.  S</w:t>
      </w:r>
      <w:r w:rsidRPr="00F5001A">
        <w:t>ome of the more qualitative improvements like better guideline adherence may also have been influenced by the signalling effect of policy changes and expectation of greater stringency in claims policies and in guideline enforcement.</w:t>
      </w:r>
    </w:p>
    <w:p w14:paraId="7928F166" w14:textId="77777777" w:rsidR="00450AE3" w:rsidRDefault="00450AE3" w:rsidP="00BC5971">
      <w:pPr>
        <w:pStyle w:val="Heading5"/>
      </w:pPr>
      <w:r>
        <w:t>Conclusions</w:t>
      </w:r>
      <w:bookmarkEnd w:id="9"/>
    </w:p>
    <w:p w14:paraId="3BE8474F" w14:textId="1E20977D" w:rsidR="00BA126A" w:rsidRDefault="00BA126A" w:rsidP="00BA126A">
      <w:pPr>
        <w:pStyle w:val="BodyText"/>
      </w:pPr>
      <w:r>
        <w:t xml:space="preserve">Taken together, the systematic literature review and the lower level evidence in evaluations funded as part of successive CPAs does not allow a conclusive determination to be made with </w:t>
      </w:r>
      <w:r w:rsidR="00615D9D">
        <w:t>regard to the clinical and cost-</w:t>
      </w:r>
      <w:r>
        <w:t xml:space="preserve">effectiveness of MedsChecks or Diabetes MedsChecks performed by pharmacists.  </w:t>
      </w:r>
    </w:p>
    <w:p w14:paraId="677D5712" w14:textId="18E189B1" w:rsidR="00F9376C" w:rsidRPr="00ED012D" w:rsidRDefault="00821913" w:rsidP="00BA126A">
      <w:pPr>
        <w:pStyle w:val="BodyText"/>
      </w:pPr>
      <w:r w:rsidRPr="00ED012D">
        <w:lastRenderedPageBreak/>
        <w:t xml:space="preserve">The evidence for an effect of </w:t>
      </w:r>
      <w:r w:rsidR="00615D9D" w:rsidRPr="00ED012D">
        <w:t xml:space="preserve">MedsCheck </w:t>
      </w:r>
      <w:r w:rsidRPr="00ED012D">
        <w:t>on</w:t>
      </w:r>
      <w:r w:rsidR="00615D9D" w:rsidRPr="00ED012D">
        <w:t xml:space="preserve"> </w:t>
      </w:r>
      <w:r w:rsidR="00637E66" w:rsidRPr="00ED012D">
        <w:t>patient outcomes was mix</w:t>
      </w:r>
      <w:r w:rsidR="00F9376C" w:rsidRPr="00ED012D">
        <w:t>ed, with some studies showing</w:t>
      </w:r>
      <w:r w:rsidR="00637E66" w:rsidRPr="00ED012D">
        <w:t xml:space="preserve"> benefit in cert</w:t>
      </w:r>
      <w:r w:rsidR="00074225" w:rsidRPr="00ED012D">
        <w:t>ain populations, whereas others</w:t>
      </w:r>
      <w:r w:rsidR="00637E66" w:rsidRPr="00ED012D">
        <w:t xml:space="preserve"> reported no positive effect</w:t>
      </w:r>
      <w:r w:rsidR="00F9376C" w:rsidRPr="00ED012D">
        <w:t xml:space="preserve">.  </w:t>
      </w:r>
      <w:r w:rsidR="00946F21">
        <w:t>No studies address the ultimate clinical outcomes of a MedsCheck/Diabetes Check.  However, s</w:t>
      </w:r>
      <w:r w:rsidR="00D95500" w:rsidRPr="00ED012D">
        <w:t>everal included studies addressed the effects of a MedsCheck intervention on intermediate outcomes such as reduction in DRP</w:t>
      </w:r>
      <w:r w:rsidR="00316EA0" w:rsidRPr="00ED012D">
        <w:t>s as a result of pharmacist’s recommendations;</w:t>
      </w:r>
      <w:r w:rsidR="00D95500" w:rsidRPr="00ED012D">
        <w:t xml:space="preserve"> however, improvements in this outcome did not translate to a meaningful reduction in ADEs or improvements in any other patient health outcome.  In relation to cost-effectiveness, a single study with a cost-utility analysis concluded that medication review was cost-effective.  However, when comparing input costs using a cost-minimisation analysis from another study, the medication review service </w:t>
      </w:r>
      <w:r w:rsidR="00316EA0" w:rsidRPr="00ED012D">
        <w:t>was found to be more expensive than standard care.</w:t>
      </w:r>
    </w:p>
    <w:p w14:paraId="1852795B" w14:textId="508F458D" w:rsidR="00BA126A" w:rsidRPr="00463B7B" w:rsidRDefault="00BA126A" w:rsidP="00BA126A">
      <w:pPr>
        <w:pStyle w:val="BodyText"/>
        <w:spacing w:after="120"/>
        <w:rPr>
          <w:noProof/>
          <w:lang w:eastAsia="en-AU"/>
        </w:rPr>
      </w:pPr>
      <w:r w:rsidRPr="004B1DF1">
        <w:t>Thus, it is concluded that to make a robust asse</w:t>
      </w:r>
      <w:r w:rsidR="00615D9D">
        <w:t>ssment of the clinical and cost-</w:t>
      </w:r>
      <w:r w:rsidRPr="004B1DF1">
        <w:t xml:space="preserve">effectiveness of MedsChecks and Diabetes MedsCheck, further research is required.  The nature of that research is difficult to specify, as MedsChecks and Diabetes MedsCheck have become an accepted part of pharmacy practice.  It is considered that some progress could be made by identifying the characteristics of patients that experience adverse medication events and targeting research towards determining whether MedsChecks and/or Diabetes MedsCheck by a pharmacist can prevent those problems occurring.  The alternative may be to direct research towards developing a more targeted approach where patients using specific </w:t>
      </w:r>
      <w:r w:rsidRPr="004B1DF1">
        <w:rPr>
          <w:noProof/>
          <w:lang w:eastAsia="en-AU"/>
        </w:rPr>
        <w:t xml:space="preserve">medicine that are associated with a high risk of adverse events </w:t>
      </w:r>
      <w:r w:rsidRPr="004B1DF1">
        <w:t>(e.g. warfarin, amiodarone, tramadol, digoxin, lithium, etc.) are the target population for MedsChecks.</w:t>
      </w:r>
    </w:p>
    <w:p w14:paraId="1B2E82B4" w14:textId="77777777" w:rsidR="00244B2B" w:rsidRPr="006B1A9D" w:rsidRDefault="00244B2B" w:rsidP="00BC67A4">
      <w:pPr>
        <w:pStyle w:val="Heading1"/>
        <w:numPr>
          <w:ilvl w:val="0"/>
          <w:numId w:val="14"/>
        </w:numPr>
      </w:pPr>
      <w:r w:rsidRPr="006B1A9D">
        <w:lastRenderedPageBreak/>
        <w:br/>
      </w:r>
      <w:bookmarkStart w:id="10" w:name="_Toc522873480"/>
      <w:r w:rsidR="00C43084">
        <w:t>Introduction</w:t>
      </w:r>
      <w:bookmarkEnd w:id="1"/>
      <w:bookmarkEnd w:id="10"/>
    </w:p>
    <w:p w14:paraId="6258E36B" w14:textId="7E3F9B41" w:rsidR="00005F76" w:rsidRDefault="00005F76" w:rsidP="00E3409E">
      <w:pPr>
        <w:pStyle w:val="02Bodytextbeforesingle-sentencebullets"/>
      </w:pPr>
      <w:bookmarkStart w:id="11" w:name="_Toc463539386"/>
      <w:r w:rsidRPr="00B93038">
        <w:t>On the 2</w:t>
      </w:r>
      <w:r>
        <w:t>7</w:t>
      </w:r>
      <w:r w:rsidRPr="001B2C48">
        <w:rPr>
          <w:vertAlign w:val="superscript"/>
        </w:rPr>
        <w:t>th</w:t>
      </w:r>
      <w:r>
        <w:t xml:space="preserve"> October </w:t>
      </w:r>
      <w:r w:rsidRPr="00B93038">
        <w:t xml:space="preserve">2016, the Department of Health engaged HealthConsult to </w:t>
      </w:r>
      <w:r>
        <w:t>u</w:t>
      </w:r>
      <w:r w:rsidRPr="001B2C48">
        <w:t>ndertake an evaluation to determine the clinical</w:t>
      </w:r>
      <w:r w:rsidR="00A66EB0">
        <w:t xml:space="preserve"> and </w:t>
      </w:r>
      <w:r w:rsidRPr="001B2C48">
        <w:t>cost</w:t>
      </w:r>
      <w:r w:rsidR="0088796C">
        <w:t>-</w:t>
      </w:r>
      <w:r w:rsidRPr="001B2C48">
        <w:t>effectiveness of four Medication Management Programs (MMPs)</w:t>
      </w:r>
      <w:r w:rsidR="006F7B03">
        <w:t xml:space="preserve"> funded under the </w:t>
      </w:r>
      <w:r w:rsidR="006F7B03" w:rsidRPr="001B2C48">
        <w:t>Sixth Community Pharmacy Agreement</w:t>
      </w:r>
      <w:r w:rsidR="006F7B03">
        <w:t xml:space="preserve"> (6CPA)</w:t>
      </w:r>
      <w:r>
        <w:t>:</w:t>
      </w:r>
      <w:r w:rsidRPr="001B2C48">
        <w:t xml:space="preserve"> </w:t>
      </w:r>
      <w:r>
        <w:t>Home Medicines Review (HMR); Residential Medication Management Review (RMMR); MedsCheck; and Diabetes MedsCheck</w:t>
      </w:r>
      <w:r w:rsidR="00756837">
        <w:t xml:space="preserve">. </w:t>
      </w:r>
      <w:r>
        <w:t xml:space="preserve"> This report presents the initial </w:t>
      </w:r>
      <w:r w:rsidR="006F7B03">
        <w:t xml:space="preserve">combined </w:t>
      </w:r>
      <w:r>
        <w:t xml:space="preserve">evaluation of the </w:t>
      </w:r>
      <w:r w:rsidR="006F7B03">
        <w:t xml:space="preserve">MedsCheck and Diabetes MedsCheck </w:t>
      </w:r>
      <w:r w:rsidR="00476D4D">
        <w:t>p</w:t>
      </w:r>
      <w:r>
        <w:t>rogram</w:t>
      </w:r>
      <w:r w:rsidR="006F7B03">
        <w:t>s</w:t>
      </w:r>
      <w:r>
        <w:t>, which has involved:</w:t>
      </w:r>
    </w:p>
    <w:p w14:paraId="07196A46" w14:textId="4CCBBA44" w:rsidR="00005F76" w:rsidRDefault="00005F76" w:rsidP="006F7B03">
      <w:pPr>
        <w:pStyle w:val="08Bulletsseriesofsentences"/>
      </w:pPr>
      <w:r>
        <w:t xml:space="preserve">a literature review to identify data to inform the comparative clinical and cost-effectiveness of the </w:t>
      </w:r>
      <w:r w:rsidR="006F7B03">
        <w:t>MedsCheck and Diabetes MedsCheck</w:t>
      </w:r>
      <w:r>
        <w:t xml:space="preserve"> program</w:t>
      </w:r>
      <w:r w:rsidR="006F7B03">
        <w:t>s</w:t>
      </w:r>
      <w:r>
        <w:t xml:space="preserve"> and ‘like’ programs internationally; and</w:t>
      </w:r>
    </w:p>
    <w:p w14:paraId="750EB035" w14:textId="1478844F" w:rsidR="00005F76" w:rsidRPr="00C93B4B" w:rsidRDefault="00005F76" w:rsidP="006F7B03">
      <w:pPr>
        <w:pStyle w:val="08Bulletsseriesofsentences"/>
      </w:pPr>
      <w:r>
        <w:t xml:space="preserve">an examination of the available Australian utilisation data from the </w:t>
      </w:r>
      <w:r w:rsidR="006F7B03">
        <w:t xml:space="preserve">MedsCheck and Diabetes MedsCheck </w:t>
      </w:r>
      <w:r>
        <w:t>program</w:t>
      </w:r>
      <w:r w:rsidR="006F7B03">
        <w:t>s</w:t>
      </w:r>
      <w:r>
        <w:t xml:space="preserve"> going back to </w:t>
      </w:r>
      <w:r w:rsidRPr="00C93B4B">
        <w:t>its start under earlier Community Pharmacy Agreements (CPAs).</w:t>
      </w:r>
    </w:p>
    <w:p w14:paraId="4F8AC49C" w14:textId="77777777" w:rsidR="00005F76" w:rsidRPr="00C93B4B" w:rsidRDefault="00005F76" w:rsidP="00005F76">
      <w:pPr>
        <w:pStyle w:val="Heading2"/>
        <w:tabs>
          <w:tab w:val="left" w:pos="567"/>
        </w:tabs>
        <w:ind w:left="567" w:hanging="567"/>
        <w:jc w:val="left"/>
      </w:pPr>
      <w:bookmarkStart w:id="12" w:name="_Toc474252283"/>
      <w:r w:rsidRPr="00C93B4B">
        <w:t>Sixth Community Pharmacy Agreement</w:t>
      </w:r>
      <w:bookmarkEnd w:id="11"/>
      <w:bookmarkEnd w:id="12"/>
    </w:p>
    <w:p w14:paraId="19A5691E" w14:textId="77777777" w:rsidR="00005F76" w:rsidRPr="00C93B4B" w:rsidRDefault="00005F76" w:rsidP="00E3409E">
      <w:pPr>
        <w:pStyle w:val="02Bodytextbeforesingle-sentencebullets"/>
      </w:pPr>
      <w:r w:rsidRPr="00C93B4B">
        <w:t>In May 2015, the Australian Government and Pharmacy Guild of Australia entered into the 6CPA, which provides around $18.9 billion in remuneration for community pharmacy, as well as support to the pharmaceutical supply chain (with a further $372 million provided for chemotherapy compounding fees)</w:t>
      </w:r>
      <w:r w:rsidR="00756837">
        <w:t xml:space="preserve">.  </w:t>
      </w:r>
      <w:r w:rsidRPr="00C93B4B">
        <w:t xml:space="preserve"> Up to $1.26 billion in funding is available under the 6CPA for evidence-based, patient-focused professional pharmacy programs and services</w:t>
      </w:r>
      <w:r w:rsidR="00756837">
        <w:t xml:space="preserve">.  </w:t>
      </w:r>
      <w:r w:rsidR="00A602AE">
        <w:t xml:space="preserve"> </w:t>
      </w:r>
      <w:r w:rsidRPr="00C93B4B">
        <w:t xml:space="preserve">This consists of: </w:t>
      </w:r>
    </w:p>
    <w:p w14:paraId="79BE7292" w14:textId="77777777" w:rsidR="00005F76" w:rsidRPr="00C93B4B" w:rsidRDefault="00005F76" w:rsidP="006F7B03">
      <w:pPr>
        <w:pStyle w:val="06Bulletsonelongsentence"/>
      </w:pPr>
      <w:r w:rsidRPr="00C93B4B">
        <w:t>$613 million for the continuation of a number of programs and services from 5CPA;</w:t>
      </w:r>
    </w:p>
    <w:p w14:paraId="1A3E409B" w14:textId="77777777" w:rsidR="00005F76" w:rsidRPr="00C93B4B" w:rsidRDefault="00005F76" w:rsidP="006F7B03">
      <w:pPr>
        <w:pStyle w:val="06Bulletsonelongsentence"/>
      </w:pPr>
      <w:r w:rsidRPr="00C93B4B">
        <w:t>$50 million for a new pharmacy trial program; and</w:t>
      </w:r>
    </w:p>
    <w:p w14:paraId="61412DA2" w14:textId="77777777" w:rsidR="00005F76" w:rsidRPr="00C93B4B" w:rsidRDefault="00005F76" w:rsidP="006F7B03">
      <w:pPr>
        <w:pStyle w:val="06Bulletsonelongsentence"/>
      </w:pPr>
      <w:r w:rsidRPr="00C93B4B">
        <w:t>up to $600 million for new and expanded community pharmacy programs.</w:t>
      </w:r>
    </w:p>
    <w:p w14:paraId="1C8089F4" w14:textId="77777777" w:rsidR="00005F76" w:rsidRPr="00C93B4B" w:rsidRDefault="00005F76" w:rsidP="00C45E6B">
      <w:pPr>
        <w:pStyle w:val="02Bodytextbeforesingle-sentencebullets"/>
      </w:pPr>
      <w:r w:rsidRPr="00C93B4B">
        <w:t xml:space="preserve">The 6CPA includes three key funding elements: </w:t>
      </w:r>
    </w:p>
    <w:p w14:paraId="0A3910EA" w14:textId="77777777" w:rsidR="00005F76" w:rsidRPr="006F7B03" w:rsidRDefault="00005F76" w:rsidP="006F7B03">
      <w:pPr>
        <w:pStyle w:val="06Bulletsonelongsentence"/>
      </w:pPr>
      <w:r w:rsidRPr="006F7B03">
        <w:t>community pharmacy remuneration;</w:t>
      </w:r>
    </w:p>
    <w:p w14:paraId="4A4A881F" w14:textId="77777777" w:rsidR="00005F76" w:rsidRPr="006F7B03" w:rsidRDefault="00005F76" w:rsidP="006F7B03">
      <w:pPr>
        <w:pStyle w:val="06Bulletsonelongsentence"/>
      </w:pPr>
      <w:r w:rsidRPr="006F7B03">
        <w:t xml:space="preserve">ensuring that all Australians have timely access to the Pharmaceutical Benefits Scheme (PBS) medicines they require regardless of the cost of the medicine or where they live; and </w:t>
      </w:r>
    </w:p>
    <w:p w14:paraId="2854E00F" w14:textId="77777777" w:rsidR="00005F76" w:rsidRPr="006F7B03" w:rsidRDefault="00005F76" w:rsidP="006F7B03">
      <w:pPr>
        <w:pStyle w:val="06Bulletsonelongsentence"/>
      </w:pPr>
      <w:r w:rsidRPr="006F7B03">
        <w:t>community pharmacy programs directed at improving consumer management of their medications and delivering primary healthcare services through community pharmacy.</w:t>
      </w:r>
    </w:p>
    <w:p w14:paraId="5B246E46" w14:textId="32CBF242" w:rsidR="00005F76" w:rsidRPr="00C45E6B" w:rsidRDefault="006B0C78" w:rsidP="00C45E6B">
      <w:pPr>
        <w:pStyle w:val="Heading2"/>
      </w:pPr>
      <w:bookmarkStart w:id="13" w:name="_Toc463539387"/>
      <w:bookmarkStart w:id="14" w:name="_Toc474252284"/>
      <w:r>
        <w:t xml:space="preserve">Continuing CPA </w:t>
      </w:r>
      <w:r w:rsidR="00005F76" w:rsidRPr="00C45E6B">
        <w:t>Program</w:t>
      </w:r>
      <w:bookmarkEnd w:id="13"/>
      <w:bookmarkEnd w:id="14"/>
      <w:r>
        <w:t>s</w:t>
      </w:r>
    </w:p>
    <w:p w14:paraId="1FA75091" w14:textId="51DD5327" w:rsidR="00005F76" w:rsidRPr="00C93B4B" w:rsidRDefault="00005F76" w:rsidP="00A602AE">
      <w:pPr>
        <w:pStyle w:val="02Bodytextbeforesingle-sentencebullets"/>
      </w:pPr>
      <w:r w:rsidRPr="00C93B4B">
        <w:t>As part of the 6CPA, there are several continuing Programs directed at improving medication compliance through community pharmacies in Australia</w:t>
      </w:r>
      <w:r w:rsidR="00756837">
        <w:t xml:space="preserve">.  </w:t>
      </w:r>
      <w:r w:rsidR="00A602AE">
        <w:t xml:space="preserve"> </w:t>
      </w:r>
      <w:r w:rsidRPr="00C93B4B">
        <w:t>The continuing programs include:</w:t>
      </w:r>
    </w:p>
    <w:p w14:paraId="70CA9C0C" w14:textId="77777777" w:rsidR="00005F76" w:rsidRPr="00C93B4B" w:rsidRDefault="00005F76" w:rsidP="00C45E6B">
      <w:pPr>
        <w:pStyle w:val="06Bulletsonelongsentence"/>
      </w:pPr>
      <w:r w:rsidRPr="00C93B4B">
        <w:t>Med</w:t>
      </w:r>
      <w:r w:rsidRPr="00C45E6B">
        <w:t>i</w:t>
      </w:r>
      <w:r w:rsidRPr="00C93B4B">
        <w:t>cation Adherence Programs</w:t>
      </w:r>
      <w:r w:rsidR="00A602AE">
        <w:t xml:space="preserve"> (MAPs):</w:t>
      </w:r>
    </w:p>
    <w:p w14:paraId="27D15C3E" w14:textId="77777777" w:rsidR="00005F76" w:rsidRPr="006F7B03" w:rsidRDefault="00005F76" w:rsidP="006F7B03">
      <w:pPr>
        <w:pStyle w:val="07Bullets2ndlevelonelongsentence"/>
      </w:pPr>
      <w:r w:rsidRPr="006F7B03">
        <w:t>Dose Administration Aids (DAAs)</w:t>
      </w:r>
      <w:r w:rsidR="00A602AE" w:rsidRPr="006F7B03">
        <w:t>;</w:t>
      </w:r>
    </w:p>
    <w:p w14:paraId="25CC6EF2" w14:textId="77777777" w:rsidR="00005F76" w:rsidRPr="006F7B03" w:rsidRDefault="00005F76" w:rsidP="006F7B03">
      <w:pPr>
        <w:pStyle w:val="07Bullets2ndlevelonelongsentence"/>
      </w:pPr>
      <w:r w:rsidRPr="006F7B03">
        <w:t>Clinical Interventions (CIs)</w:t>
      </w:r>
      <w:r w:rsidR="00A602AE" w:rsidRPr="006F7B03">
        <w:t>; and</w:t>
      </w:r>
      <w:r w:rsidRPr="006F7B03">
        <w:t xml:space="preserve"> </w:t>
      </w:r>
    </w:p>
    <w:p w14:paraId="2EC90B23" w14:textId="77777777" w:rsidR="00005F76" w:rsidRPr="006F7B03" w:rsidRDefault="00005F76" w:rsidP="006F7B03">
      <w:pPr>
        <w:pStyle w:val="07Bullets2ndlevelonelongsentence"/>
      </w:pPr>
      <w:r w:rsidRPr="006F7B03">
        <w:t>Staged Supply (SS)</w:t>
      </w:r>
      <w:r w:rsidR="00A602AE" w:rsidRPr="006F7B03">
        <w:t>.</w:t>
      </w:r>
    </w:p>
    <w:p w14:paraId="71BD13A8" w14:textId="77777777" w:rsidR="00005F76" w:rsidRPr="00C93B4B" w:rsidRDefault="00005F76" w:rsidP="00C45E6B">
      <w:pPr>
        <w:pStyle w:val="06Bulletsonelongsentence"/>
      </w:pPr>
      <w:r w:rsidRPr="00C93B4B">
        <w:t>Medication Management Programs</w:t>
      </w:r>
      <w:r w:rsidR="00A602AE">
        <w:t xml:space="preserve"> (MMPs):</w:t>
      </w:r>
    </w:p>
    <w:p w14:paraId="7DA7FAFB" w14:textId="77777777" w:rsidR="00005F76" w:rsidRPr="00C93B4B" w:rsidRDefault="00005F76" w:rsidP="00C45E6B">
      <w:pPr>
        <w:pStyle w:val="07Bullets2ndlevelonelongsentence"/>
      </w:pPr>
      <w:r w:rsidRPr="00C93B4B">
        <w:t>Home Medicines Reviews (HMR)</w:t>
      </w:r>
      <w:r w:rsidR="00A602AE">
        <w:t>;</w:t>
      </w:r>
    </w:p>
    <w:p w14:paraId="30545F34" w14:textId="77777777" w:rsidR="00005F76" w:rsidRPr="00C93B4B" w:rsidRDefault="00005F76" w:rsidP="00C45E6B">
      <w:pPr>
        <w:pStyle w:val="07Bullets2ndlevelonelongsentence"/>
      </w:pPr>
      <w:r w:rsidRPr="00C93B4B">
        <w:t>Residential Medication Management Reviews (RMMR)</w:t>
      </w:r>
      <w:r w:rsidR="00A602AE">
        <w:t>; and</w:t>
      </w:r>
    </w:p>
    <w:p w14:paraId="2FD516A6" w14:textId="77777777" w:rsidR="00005F76" w:rsidRPr="00C93B4B" w:rsidRDefault="00005F76" w:rsidP="00C45E6B">
      <w:pPr>
        <w:pStyle w:val="07Bullets2ndlevelonelongsentence"/>
      </w:pPr>
      <w:r w:rsidRPr="00C93B4B">
        <w:t>MedsCheck and Diabetes MedsCheck</w:t>
      </w:r>
      <w:r w:rsidR="00A602AE">
        <w:t>.</w:t>
      </w:r>
    </w:p>
    <w:p w14:paraId="1CD2A018" w14:textId="77777777" w:rsidR="00005F76" w:rsidRPr="00C93B4B" w:rsidRDefault="00005F76" w:rsidP="00C45E6B">
      <w:pPr>
        <w:pStyle w:val="06Bulletsonelongsentence"/>
      </w:pPr>
      <w:r w:rsidRPr="00C93B4B">
        <w:lastRenderedPageBreak/>
        <w:t>Rural Support Programs</w:t>
      </w:r>
      <w:r w:rsidR="00A602AE">
        <w:t>:</w:t>
      </w:r>
    </w:p>
    <w:p w14:paraId="57547EA0" w14:textId="77777777" w:rsidR="00005F76" w:rsidRPr="00C93B4B" w:rsidRDefault="00005F76" w:rsidP="00C45E6B">
      <w:pPr>
        <w:pStyle w:val="07Bullets2ndlevelonelongsentence"/>
      </w:pPr>
      <w:r w:rsidRPr="00C93B4B">
        <w:t>Rural Pharmacy Workforce Program</w:t>
      </w:r>
      <w:r w:rsidR="00A602AE">
        <w:t>; and</w:t>
      </w:r>
    </w:p>
    <w:p w14:paraId="5F8AAC05" w14:textId="77777777" w:rsidR="00005F76" w:rsidRPr="00C93B4B" w:rsidRDefault="00005F76" w:rsidP="00C45E6B">
      <w:pPr>
        <w:pStyle w:val="07Bullets2ndlevelonelongsentence"/>
      </w:pPr>
      <w:r w:rsidRPr="00C93B4B">
        <w:t>Rural Pharmacy Maintenance Allowance</w:t>
      </w:r>
      <w:r w:rsidR="00A602AE">
        <w:t>.</w:t>
      </w:r>
    </w:p>
    <w:p w14:paraId="65F62B3C" w14:textId="77777777" w:rsidR="00005F76" w:rsidRPr="00C93B4B" w:rsidRDefault="00005F76" w:rsidP="00C45E6B">
      <w:pPr>
        <w:pStyle w:val="06Bulletsonelongsentence"/>
      </w:pPr>
      <w:r w:rsidRPr="00C93B4B">
        <w:t>Aboriginal and Torres Strait Islander (ATSI) Programs</w:t>
      </w:r>
      <w:r w:rsidR="00A602AE">
        <w:t>:</w:t>
      </w:r>
    </w:p>
    <w:p w14:paraId="2FE57A75" w14:textId="77777777" w:rsidR="00005F76" w:rsidRPr="00C93B4B" w:rsidRDefault="00005F76" w:rsidP="00C45E6B">
      <w:pPr>
        <w:pStyle w:val="07Bullets2ndlevelonelongsentence"/>
      </w:pPr>
      <w:r w:rsidRPr="00C93B4B">
        <w:t>Quality Use of Medicines Maximised for ATSI People (QUMAX)</w:t>
      </w:r>
      <w:r w:rsidR="00A602AE">
        <w:t>;</w:t>
      </w:r>
    </w:p>
    <w:p w14:paraId="1197B64B" w14:textId="77777777" w:rsidR="00005F76" w:rsidRPr="00C93B4B" w:rsidRDefault="00005F76" w:rsidP="00C45E6B">
      <w:pPr>
        <w:pStyle w:val="07Bullets2ndlevelonelongsentence"/>
      </w:pPr>
      <w:r w:rsidRPr="00C93B4B">
        <w:t>S100 Pharmacy Support Allowance</w:t>
      </w:r>
      <w:r w:rsidR="00A602AE">
        <w:t>; and</w:t>
      </w:r>
    </w:p>
    <w:p w14:paraId="04392248" w14:textId="77777777" w:rsidR="00005F76" w:rsidRPr="00C93B4B" w:rsidRDefault="00005F76" w:rsidP="00C45E6B">
      <w:pPr>
        <w:pStyle w:val="07Bullets2ndlevelonelongsentence"/>
      </w:pPr>
      <w:r w:rsidRPr="00C93B4B">
        <w:t>ATSI Workforce Program (Pharmacy Assistant Traineeship Scheme and Pharmacy Scholarships Scheme)</w:t>
      </w:r>
      <w:r w:rsidR="00A602AE">
        <w:t>.</w:t>
      </w:r>
    </w:p>
    <w:p w14:paraId="1EE4DF21" w14:textId="77777777" w:rsidR="00005F76" w:rsidRPr="00C93B4B" w:rsidRDefault="00005F76" w:rsidP="00C45E6B">
      <w:pPr>
        <w:pStyle w:val="06Bulletsonelongsentence"/>
      </w:pPr>
      <w:r w:rsidRPr="00C93B4B">
        <w:t>eHealth:</w:t>
      </w:r>
    </w:p>
    <w:p w14:paraId="4D50A697" w14:textId="77777777" w:rsidR="00005F76" w:rsidRPr="00C93B4B" w:rsidRDefault="00005F76" w:rsidP="00C45E6B">
      <w:pPr>
        <w:pStyle w:val="07Bullets2ndlevelonelongsentence"/>
      </w:pPr>
      <w:r w:rsidRPr="00C93B4B">
        <w:t>Electronic Prescription Fee</w:t>
      </w:r>
      <w:r w:rsidR="00A602AE">
        <w:t>.</w:t>
      </w:r>
    </w:p>
    <w:p w14:paraId="2A13D223" w14:textId="48542A31" w:rsidR="00005F76" w:rsidRDefault="00005F76" w:rsidP="00005F76">
      <w:pPr>
        <w:pStyle w:val="BodyText"/>
      </w:pPr>
      <w:r w:rsidRPr="00C93B4B">
        <w:t>Under 6CPA, all programs and services need to be reviewed by the Medical Services Advisory Committee (MSAC) for clinical and cost-effectiveness and the health benefits they offer to the community</w:t>
      </w:r>
      <w:r w:rsidR="00756837">
        <w:t xml:space="preserve">.  </w:t>
      </w:r>
      <w:r w:rsidRPr="00C93B4B">
        <w:t>This process is being used to ensure pharmacy programs and services are assessed against the same standards of evidence as for other health professions</w:t>
      </w:r>
      <w:r w:rsidR="00756837">
        <w:t xml:space="preserve">.  </w:t>
      </w:r>
      <w:r w:rsidRPr="00C93B4B">
        <w:t>It supports a consistent approach to informing investment that delivers the greatest benefit to consumers.</w:t>
      </w:r>
    </w:p>
    <w:p w14:paraId="5571560A" w14:textId="77777777" w:rsidR="003223F4" w:rsidRPr="006B1A9D" w:rsidRDefault="003223F4" w:rsidP="005715BC">
      <w:pPr>
        <w:pStyle w:val="01BODYTEXT"/>
      </w:pPr>
    </w:p>
    <w:p w14:paraId="77FEA8DA" w14:textId="77777777" w:rsidR="0023416E" w:rsidRPr="006B1A9D" w:rsidRDefault="0023416E" w:rsidP="0023416E">
      <w:pPr>
        <w:pStyle w:val="01BODYTEXT"/>
        <w:rPr>
          <w:rFonts w:cs="Arial"/>
        </w:rPr>
        <w:sectPr w:rsidR="0023416E" w:rsidRPr="006B1A9D" w:rsidSect="001C0081">
          <w:headerReference w:type="default" r:id="rId16"/>
          <w:footerReference w:type="default" r:id="rId17"/>
          <w:pgSz w:w="11906" w:h="16838" w:code="9"/>
          <w:pgMar w:top="1134" w:right="1134" w:bottom="1134" w:left="1134" w:header="680" w:footer="680" w:gutter="0"/>
          <w:pgNumType w:start="1"/>
          <w:cols w:space="708"/>
          <w:docGrid w:linePitch="360"/>
        </w:sectPr>
      </w:pPr>
    </w:p>
    <w:p w14:paraId="7FA0B09F" w14:textId="0A43CA05" w:rsidR="00C43084" w:rsidRPr="00C43084" w:rsidRDefault="00EF7031" w:rsidP="00C43084">
      <w:pPr>
        <w:pStyle w:val="Heading1"/>
      </w:pPr>
      <w:bookmarkStart w:id="15" w:name="_Toc451161095"/>
      <w:bookmarkStart w:id="16" w:name="_Toc457288733"/>
      <w:r w:rsidRPr="006B1A9D">
        <w:lastRenderedPageBreak/>
        <w:br/>
      </w:r>
      <w:bookmarkStart w:id="17" w:name="_Toc522873481"/>
      <w:r w:rsidR="00C43084">
        <w:t xml:space="preserve">Overview of the </w:t>
      </w:r>
      <w:r w:rsidR="0081126F">
        <w:t xml:space="preserve">MedsCheck </w:t>
      </w:r>
      <w:r w:rsidR="00533EC1">
        <w:t>Programme</w:t>
      </w:r>
      <w:r w:rsidR="00175B47">
        <w:t>s</w:t>
      </w:r>
      <w:bookmarkEnd w:id="17"/>
    </w:p>
    <w:p w14:paraId="52A4C6A9" w14:textId="6EBF4388" w:rsidR="00C43084" w:rsidRDefault="00C43084" w:rsidP="00C43084">
      <w:pPr>
        <w:pStyle w:val="01BODYTEXT"/>
      </w:pPr>
      <w:r>
        <w:t xml:space="preserve">This </w:t>
      </w:r>
      <w:r w:rsidR="00175B47">
        <w:t xml:space="preserve">Chapter </w:t>
      </w:r>
      <w:r w:rsidR="00564674">
        <w:t xml:space="preserve">briefly </w:t>
      </w:r>
      <w:r>
        <w:t xml:space="preserve">describes the </w:t>
      </w:r>
      <w:r w:rsidR="00533EC1">
        <w:t xml:space="preserve">MedsCheck </w:t>
      </w:r>
      <w:r w:rsidR="00175B47">
        <w:t>p</w:t>
      </w:r>
      <w:r w:rsidR="00533EC1">
        <w:t>rogram</w:t>
      </w:r>
      <w:r w:rsidR="00175B47">
        <w:t>me</w:t>
      </w:r>
      <w:r w:rsidR="00A66EB0">
        <w:t>s</w:t>
      </w:r>
      <w:r>
        <w:t xml:space="preserve">, </w:t>
      </w:r>
      <w:r w:rsidR="00564674">
        <w:t xml:space="preserve">as described in </w:t>
      </w:r>
      <w:r>
        <w:t>the Programme Specific Guidelines</w:t>
      </w:r>
      <w:r w:rsidR="0001242D">
        <w:t xml:space="preserve"> (PSG)</w:t>
      </w:r>
      <w:r>
        <w:t>, which falls under the M</w:t>
      </w:r>
      <w:r w:rsidR="001E38B6">
        <w:t>MP</w:t>
      </w:r>
      <w:r>
        <w:t xml:space="preserve"> within 6CPA</w:t>
      </w:r>
      <w:r w:rsidR="00756837">
        <w:t>.</w:t>
      </w:r>
    </w:p>
    <w:p w14:paraId="166627D3" w14:textId="3B96ECE1" w:rsidR="00C43084" w:rsidRDefault="00A9696F" w:rsidP="00C43084">
      <w:pPr>
        <w:pStyle w:val="Heading2"/>
      </w:pPr>
      <w:r>
        <w:t>MedsCheck and Diabetes MedsCheck</w:t>
      </w:r>
      <w:r w:rsidR="00C43084">
        <w:t xml:space="preserve"> </w:t>
      </w:r>
      <w:r w:rsidR="00175B47">
        <w:t>programs</w:t>
      </w:r>
    </w:p>
    <w:p w14:paraId="681288BD" w14:textId="524EDC20" w:rsidR="00E9603B" w:rsidRDefault="00C43084" w:rsidP="00611EAC">
      <w:pPr>
        <w:pStyle w:val="BodyText"/>
      </w:pPr>
      <w:r>
        <w:t xml:space="preserve">The </w:t>
      </w:r>
      <w:r w:rsidR="00533EC1">
        <w:t xml:space="preserve">MedsCheck </w:t>
      </w:r>
      <w:r w:rsidR="00175B47">
        <w:t>programme</w:t>
      </w:r>
      <w:r w:rsidR="00E9603B">
        <w:t>, comprising of the MedsCheck and Diabetes MedsCheck services,</w:t>
      </w:r>
      <w:r w:rsidR="00A9696F">
        <w:t xml:space="preserve"> </w:t>
      </w:r>
      <w:r w:rsidR="00564674">
        <w:t>was</w:t>
      </w:r>
      <w:r>
        <w:t xml:space="preserve"> designed to </w:t>
      </w:r>
      <w:r w:rsidR="00A9696F">
        <w:t xml:space="preserve">provide </w:t>
      </w:r>
      <w:r w:rsidR="00533EC1">
        <w:t xml:space="preserve">for </w:t>
      </w:r>
      <w:r w:rsidR="00A9696F">
        <w:t>in-pharmacy</w:t>
      </w:r>
      <w:r w:rsidR="00533EC1">
        <w:t xml:space="preserve"> medication</w:t>
      </w:r>
      <w:r w:rsidR="00A9696F">
        <w:t xml:space="preserve"> review</w:t>
      </w:r>
      <w:r w:rsidR="00533EC1">
        <w:t>s</w:t>
      </w:r>
      <w:r w:rsidR="00A9696F">
        <w:t xml:space="preserve"> between pharmacists and consumers to enhance quality use of medicines and reduce the number of adverse medicine events</w:t>
      </w:r>
      <w:r w:rsidR="00A73114">
        <w:t>.</w:t>
      </w:r>
    </w:p>
    <w:p w14:paraId="2A14B89E" w14:textId="77777777" w:rsidR="00E9603B" w:rsidRDefault="00096ABE" w:rsidP="00611EAC">
      <w:pPr>
        <w:pStyle w:val="BodyText"/>
      </w:pPr>
      <w:r w:rsidRPr="00A61E61">
        <w:rPr>
          <w:i/>
        </w:rPr>
        <w:t xml:space="preserve">MedsCheck </w:t>
      </w:r>
      <w:r>
        <w:t>is an in-pharmacy, patient-centred service that includes a review of a patient’s medicines, focusing on education and self-management</w:t>
      </w:r>
      <w:r w:rsidR="00756837">
        <w:t xml:space="preserve">.  </w:t>
      </w:r>
    </w:p>
    <w:p w14:paraId="77FB45D5" w14:textId="02AEDCDF" w:rsidR="00C43084" w:rsidRDefault="00096ABE" w:rsidP="00611EAC">
      <w:pPr>
        <w:pStyle w:val="BodyText"/>
      </w:pPr>
      <w:r w:rsidRPr="00A61E61">
        <w:rPr>
          <w:i/>
        </w:rPr>
        <w:t>Diabetes MedsCheck</w:t>
      </w:r>
      <w:r w:rsidR="00611EAC">
        <w:rPr>
          <w:b/>
        </w:rPr>
        <w:t xml:space="preserve"> </w:t>
      </w:r>
      <w:r w:rsidR="00611EAC">
        <w:t>is an in-pharmacy, patient-centred service that provides a review of medications with a focus on the patient’s type 2 diabetes medicines management, monitoring devices, education and self-management</w:t>
      </w:r>
      <w:r w:rsidR="00756837">
        <w:t xml:space="preserve">.  </w:t>
      </w:r>
      <w:r w:rsidR="00611EAC">
        <w:t>The service is targeted at patients who are unable to gain timely access to other diabetes education or health services in their community.</w:t>
      </w:r>
    </w:p>
    <w:p w14:paraId="7DB304AC" w14:textId="4677BF92" w:rsidR="00C43084" w:rsidRDefault="00C43084" w:rsidP="0062030F">
      <w:pPr>
        <w:pStyle w:val="01BODYTEXT"/>
      </w:pPr>
      <w:r>
        <w:t xml:space="preserve">The </w:t>
      </w:r>
      <w:r w:rsidR="00A9696F">
        <w:t xml:space="preserve">MedsCheck </w:t>
      </w:r>
      <w:r w:rsidR="00175B47">
        <w:t>p</w:t>
      </w:r>
      <w:r>
        <w:t>rogram</w:t>
      </w:r>
      <w:r w:rsidR="00005085">
        <w:t>me</w:t>
      </w:r>
      <w:r>
        <w:t xml:space="preserve"> is part of the suite of </w:t>
      </w:r>
      <w:r w:rsidR="00564674">
        <w:t>M</w:t>
      </w:r>
      <w:r w:rsidR="00A9696F">
        <w:t>M</w:t>
      </w:r>
      <w:r w:rsidR="00564674">
        <w:t xml:space="preserve">Ps </w:t>
      </w:r>
      <w:r>
        <w:t xml:space="preserve">funded under the </w:t>
      </w:r>
      <w:r w:rsidR="00564674">
        <w:t xml:space="preserve">6CPA </w:t>
      </w:r>
      <w:r>
        <w:t>to support quality use of medicines services that are designed to reduce adverse events and associated hospital admissions or medical presentations.</w:t>
      </w:r>
    </w:p>
    <w:p w14:paraId="57C723E8" w14:textId="55B26FE6" w:rsidR="00C43084" w:rsidRDefault="00C43084" w:rsidP="00C43084">
      <w:pPr>
        <w:pStyle w:val="Heading2"/>
      </w:pPr>
      <w:r>
        <w:t xml:space="preserve">Objectives of the </w:t>
      </w:r>
      <w:r w:rsidR="00A9696F">
        <w:t>MedsCheck</w:t>
      </w:r>
      <w:r w:rsidR="00A61E61">
        <w:t>s</w:t>
      </w:r>
      <w:r>
        <w:t xml:space="preserve"> </w:t>
      </w:r>
      <w:r w:rsidR="00E9603B">
        <w:t>services</w:t>
      </w:r>
    </w:p>
    <w:p w14:paraId="0DB96B01" w14:textId="669A3CF4" w:rsidR="00E9603B" w:rsidRDefault="00C43084" w:rsidP="0062030F">
      <w:pPr>
        <w:pStyle w:val="02Bodytextbeforesingle-sentencebullets"/>
      </w:pPr>
      <w:r>
        <w:t xml:space="preserve">The </w:t>
      </w:r>
      <w:r w:rsidR="00A9696F">
        <w:t>Meds</w:t>
      </w:r>
      <w:r w:rsidR="00E9603B">
        <w:t>Check</w:t>
      </w:r>
      <w:r w:rsidR="00A61E61">
        <w:t>s</w:t>
      </w:r>
      <w:r w:rsidR="00E9603B">
        <w:t xml:space="preserve"> </w:t>
      </w:r>
      <w:r w:rsidR="00175B47">
        <w:t>p</w:t>
      </w:r>
      <w:r>
        <w:t>rogram</w:t>
      </w:r>
      <w:r w:rsidR="00005085">
        <w:t>me</w:t>
      </w:r>
      <w:r>
        <w:t xml:space="preserve"> is part of an initiative to expand the role of community pharmacy, beyond medication dispensing to an increased primary healthcare contribution</w:t>
      </w:r>
      <w:r w:rsidR="00A73114">
        <w:t>.</w:t>
      </w:r>
    </w:p>
    <w:p w14:paraId="1D4AB22C" w14:textId="3BA0D336" w:rsidR="00C43084" w:rsidRDefault="00611EAC" w:rsidP="0062030F">
      <w:pPr>
        <w:pStyle w:val="02Bodytextbeforesingle-sentencebullets"/>
      </w:pPr>
      <w:r>
        <w:t xml:space="preserve">The MedsCheck service aims to: </w:t>
      </w:r>
    </w:p>
    <w:p w14:paraId="55A20D49" w14:textId="09400EA0" w:rsidR="00611EAC" w:rsidRPr="00005085" w:rsidRDefault="00005085" w:rsidP="00005085">
      <w:pPr>
        <w:pStyle w:val="06Bulletsonelongsentence"/>
      </w:pPr>
      <w:r>
        <w:t>i</w:t>
      </w:r>
      <w:r w:rsidR="00611EAC" w:rsidRPr="00005085">
        <w:t xml:space="preserve">dentify problems that the patient may be experiencing with their medicines; </w:t>
      </w:r>
    </w:p>
    <w:p w14:paraId="44E4986A" w14:textId="67A6498C" w:rsidR="00611EAC" w:rsidRPr="00005085" w:rsidRDefault="00005085" w:rsidP="00005085">
      <w:pPr>
        <w:pStyle w:val="06Bulletsonelongsentence"/>
      </w:pPr>
      <w:r>
        <w:t>h</w:t>
      </w:r>
      <w:r w:rsidR="00611EAC" w:rsidRPr="00005085">
        <w:t xml:space="preserve">elp the patient learn more about their medicines including medicines affect medical conditions; </w:t>
      </w:r>
    </w:p>
    <w:p w14:paraId="10B7EDC2" w14:textId="1C96C913" w:rsidR="00611EAC" w:rsidRPr="00005085" w:rsidRDefault="00005085" w:rsidP="00005085">
      <w:pPr>
        <w:pStyle w:val="06Bulletsonelongsentence"/>
      </w:pPr>
      <w:r>
        <w:t>i</w:t>
      </w:r>
      <w:r w:rsidR="00611EAC" w:rsidRPr="00005085">
        <w:t xml:space="preserve">mprove the effective use of medicines by patients; and </w:t>
      </w:r>
    </w:p>
    <w:p w14:paraId="7B28D762" w14:textId="7DC76013" w:rsidR="00611EAC" w:rsidRPr="00005085" w:rsidRDefault="00005085" w:rsidP="00005085">
      <w:pPr>
        <w:pStyle w:val="06Bulletsonelongsentence"/>
      </w:pPr>
      <w:r>
        <w:t>e</w:t>
      </w:r>
      <w:r w:rsidR="00611EAC" w:rsidRPr="00005085">
        <w:t>ducate patients about how to best use and store their medicines</w:t>
      </w:r>
      <w:r w:rsidR="00756837" w:rsidRPr="00005085">
        <w:t xml:space="preserve">.  </w:t>
      </w:r>
    </w:p>
    <w:p w14:paraId="4FC9F792" w14:textId="77777777" w:rsidR="00611EAC" w:rsidRDefault="00611EAC" w:rsidP="00005085">
      <w:pPr>
        <w:pStyle w:val="01BODYTEXT"/>
      </w:pPr>
      <w:r>
        <w:t xml:space="preserve">The Diabetes MedsCheck service aims to: </w:t>
      </w:r>
    </w:p>
    <w:p w14:paraId="122B71C3" w14:textId="5CE35905" w:rsidR="00611EAC" w:rsidRDefault="00005085" w:rsidP="00E9603B">
      <w:pPr>
        <w:pStyle w:val="06Bulletsonelongsentence"/>
        <w:numPr>
          <w:ilvl w:val="0"/>
          <w:numId w:val="23"/>
        </w:numPr>
        <w:spacing w:before="120"/>
        <w:ind w:left="357" w:hanging="357"/>
      </w:pPr>
      <w:r>
        <w:t>o</w:t>
      </w:r>
      <w:r w:rsidR="00533EC1">
        <w:t xml:space="preserve">ptimise a patient’s effective use of medicine through improving understanding of, and compliance with, their diabetes medication therapy; </w:t>
      </w:r>
    </w:p>
    <w:p w14:paraId="27B7F186" w14:textId="251EB0E2" w:rsidR="00533EC1" w:rsidRDefault="00005085" w:rsidP="00533EC1">
      <w:pPr>
        <w:pStyle w:val="06Bulletsonelongsentence"/>
        <w:numPr>
          <w:ilvl w:val="0"/>
          <w:numId w:val="23"/>
        </w:numPr>
        <w:ind w:left="357" w:hanging="357"/>
      </w:pPr>
      <w:r>
        <w:t>i</w:t>
      </w:r>
      <w:r w:rsidR="00533EC1">
        <w:t xml:space="preserve">mprove a patient’s effective use of blood glucose monitoring devices through training and education; </w:t>
      </w:r>
    </w:p>
    <w:p w14:paraId="56B9778C" w14:textId="02F1ED0D" w:rsidR="00533EC1" w:rsidRDefault="00005085" w:rsidP="00533EC1">
      <w:pPr>
        <w:pStyle w:val="06Bulletsonelongsentence"/>
        <w:numPr>
          <w:ilvl w:val="0"/>
          <w:numId w:val="23"/>
        </w:numPr>
        <w:ind w:left="357" w:hanging="357"/>
      </w:pPr>
      <w:r>
        <w:t>i</w:t>
      </w:r>
      <w:r w:rsidR="00533EC1">
        <w:t>mprove blood glucose control; and</w:t>
      </w:r>
    </w:p>
    <w:p w14:paraId="4A4ECD18" w14:textId="0D2A0D43" w:rsidR="00611EAC" w:rsidRPr="00611EAC" w:rsidRDefault="00005085" w:rsidP="00A61E61">
      <w:pPr>
        <w:pStyle w:val="06Bulletsonelongsentence"/>
        <w:numPr>
          <w:ilvl w:val="0"/>
          <w:numId w:val="23"/>
        </w:numPr>
        <w:ind w:left="357" w:hanging="357"/>
      </w:pPr>
      <w:r>
        <w:t>r</w:t>
      </w:r>
      <w:r w:rsidR="00533EC1">
        <w:t>educe the risk of the patient developing complications associated with type 2 diabetes</w:t>
      </w:r>
      <w:r w:rsidR="00756837">
        <w:t xml:space="preserve">.  </w:t>
      </w:r>
    </w:p>
    <w:p w14:paraId="4C1EF273" w14:textId="56D48E92" w:rsidR="00C43084" w:rsidRDefault="00C43084" w:rsidP="00C43084">
      <w:pPr>
        <w:pStyle w:val="Heading2"/>
      </w:pPr>
      <w:r>
        <w:lastRenderedPageBreak/>
        <w:t xml:space="preserve">Participation in the </w:t>
      </w:r>
      <w:r w:rsidR="000F2F3F">
        <w:t>MedsCheck</w:t>
      </w:r>
      <w:r w:rsidR="00A61E61">
        <w:t>s</w:t>
      </w:r>
      <w:r w:rsidR="000F2F3F">
        <w:t xml:space="preserve"> Programme</w:t>
      </w:r>
    </w:p>
    <w:p w14:paraId="5A4812B9" w14:textId="0D2CFC0E" w:rsidR="00C43084" w:rsidRDefault="00C43084" w:rsidP="0062030F">
      <w:pPr>
        <w:pStyle w:val="02Bodytextbeforesingle-sentencebullets"/>
      </w:pPr>
      <w:r>
        <w:t xml:space="preserve">To be eligible </w:t>
      </w:r>
      <w:r w:rsidR="0001242D">
        <w:t xml:space="preserve">to participate in the </w:t>
      </w:r>
      <w:r w:rsidR="00E9603B">
        <w:t xml:space="preserve">MedsCheck </w:t>
      </w:r>
      <w:r w:rsidR="00476D4D">
        <w:t>p</w:t>
      </w:r>
      <w:r w:rsidR="00E9603B">
        <w:t>rogramme</w:t>
      </w:r>
      <w:r>
        <w:t xml:space="preserve"> a </w:t>
      </w:r>
      <w:r w:rsidR="00E9603B">
        <w:t>pharmacy</w:t>
      </w:r>
      <w:r>
        <w:t xml:space="preserve"> must:</w:t>
      </w:r>
    </w:p>
    <w:p w14:paraId="1A032118" w14:textId="2AF64FD7" w:rsidR="00654957" w:rsidRDefault="00A61E61" w:rsidP="00654957">
      <w:pPr>
        <w:pStyle w:val="06Bulletsonelongsentence"/>
        <w:numPr>
          <w:ilvl w:val="0"/>
          <w:numId w:val="23"/>
        </w:numPr>
        <w:ind w:left="357" w:hanging="357"/>
      </w:pPr>
      <w:r>
        <w:t>b</w:t>
      </w:r>
      <w:r w:rsidR="000F2F3F">
        <w:t>e approved to dispense PBS medicines as part of the National Health Scheme defined in Section 90 of the National Health Act 1953 (Cth) (Section 90 pharmacy); and</w:t>
      </w:r>
    </w:p>
    <w:p w14:paraId="0519600D" w14:textId="3006C700" w:rsidR="000F2F3F" w:rsidRDefault="00A61E61" w:rsidP="000F2F3F">
      <w:pPr>
        <w:pStyle w:val="06Bulletsonelongsentence"/>
        <w:numPr>
          <w:ilvl w:val="0"/>
          <w:numId w:val="23"/>
        </w:numPr>
        <w:ind w:left="357" w:hanging="357"/>
      </w:pPr>
      <w:r>
        <w:t>h</w:t>
      </w:r>
      <w:r w:rsidR="000F2F3F">
        <w:t>ave access to the services of a Registered Pharmacist through employment of service contract relationships</w:t>
      </w:r>
      <w:r w:rsidR="00756837">
        <w:t xml:space="preserve">.  </w:t>
      </w:r>
    </w:p>
    <w:p w14:paraId="39868D64" w14:textId="3B95AF56" w:rsidR="000F2F3F" w:rsidRDefault="000F2F3F" w:rsidP="0062030F">
      <w:pPr>
        <w:pStyle w:val="02Bodytextbeforesingle-sentencebullets"/>
      </w:pPr>
      <w:r>
        <w:t xml:space="preserve">An approved MedsCheck </w:t>
      </w:r>
      <w:r w:rsidR="00476D4D">
        <w:t>s</w:t>
      </w:r>
      <w:r>
        <w:t xml:space="preserve">ervice </w:t>
      </w:r>
      <w:r w:rsidR="00476D4D">
        <w:t>p</w:t>
      </w:r>
      <w:r>
        <w:t xml:space="preserve">rovider must comply with the following requirements for ongoing participation in the MedsCheck and Diabetes Check: </w:t>
      </w:r>
    </w:p>
    <w:p w14:paraId="79EB17C8" w14:textId="055F6863" w:rsidR="000F2F3F" w:rsidRDefault="00A61E61" w:rsidP="00A61E61">
      <w:pPr>
        <w:pStyle w:val="Numberedlist1"/>
      </w:pPr>
      <w:r>
        <w:t>a</w:t>
      </w:r>
      <w:r w:rsidR="000F2F3F">
        <w:t>bide by the 6CPA General Terms and Conditions;</w:t>
      </w:r>
    </w:p>
    <w:p w14:paraId="4AFC476C" w14:textId="0661BC39" w:rsidR="000F2F3F" w:rsidRDefault="00A61E61" w:rsidP="00A61E61">
      <w:pPr>
        <w:pStyle w:val="Numberedlistcontinued"/>
      </w:pPr>
      <w:r>
        <w:t>u</w:t>
      </w:r>
      <w:r w:rsidR="000F2F3F">
        <w:t xml:space="preserve">ndertake to provide MedsCheck services in accordance with the </w:t>
      </w:r>
      <w:r>
        <w:t>PSG; and</w:t>
      </w:r>
    </w:p>
    <w:p w14:paraId="4B4CC623" w14:textId="18F96002" w:rsidR="000F2F3F" w:rsidRDefault="00A61E61" w:rsidP="00A61E61">
      <w:pPr>
        <w:pStyle w:val="Numberedlistcontinued"/>
      </w:pPr>
      <w:r>
        <w:t>e</w:t>
      </w:r>
      <w:r w:rsidR="000F2F3F">
        <w:t>nsure that MedsCheck services are carried out by a Registered Pharmacist face</w:t>
      </w:r>
      <w:r w:rsidR="0088796C">
        <w:t>-</w:t>
      </w:r>
      <w:r w:rsidR="000F2F3F">
        <w:t>to</w:t>
      </w:r>
      <w:r w:rsidR="0088796C">
        <w:t>-</w:t>
      </w:r>
      <w:r w:rsidR="000F2F3F">
        <w:t>face with the patient in an area of the community pharmacy approved premises that is physically separated from the retail trading floor so that the privacy and confidentiality of patients is protected</w:t>
      </w:r>
      <w:r w:rsidR="00756837">
        <w:t>.</w:t>
      </w:r>
    </w:p>
    <w:p w14:paraId="27BD2721" w14:textId="77777777" w:rsidR="000F2F3F" w:rsidRDefault="000F2F3F" w:rsidP="00A61E61">
      <w:pPr>
        <w:pStyle w:val="02Bodytextbeforesingle-sentencebullets"/>
        <w:ind w:left="567"/>
      </w:pPr>
      <w:r>
        <w:t xml:space="preserve">The area must meet the following requirements: </w:t>
      </w:r>
    </w:p>
    <w:p w14:paraId="1E92F242" w14:textId="61289F75" w:rsidR="000F2F3F" w:rsidRDefault="00A61E61" w:rsidP="00A61E61">
      <w:pPr>
        <w:pStyle w:val="06Bulletsonelongsentence"/>
        <w:numPr>
          <w:ilvl w:val="1"/>
          <w:numId w:val="32"/>
        </w:numPr>
        <w:ind w:left="993"/>
      </w:pPr>
      <w:r>
        <w:t>b</w:t>
      </w:r>
      <w:r w:rsidR="000F2F3F">
        <w:t xml:space="preserve">e appropriately furnished with facilities to allow the patient and the pharmacist to sit down together; </w:t>
      </w:r>
    </w:p>
    <w:p w14:paraId="06649C95" w14:textId="63A8FC95" w:rsidR="000F2F3F" w:rsidRDefault="00A61E61" w:rsidP="00A61E61">
      <w:pPr>
        <w:pStyle w:val="06Bulletsonelongsentence"/>
        <w:numPr>
          <w:ilvl w:val="1"/>
          <w:numId w:val="32"/>
        </w:numPr>
        <w:ind w:left="993"/>
      </w:pPr>
      <w:r>
        <w:t>b</w:t>
      </w:r>
      <w:r w:rsidR="000F2F3F">
        <w:t xml:space="preserve">e of sufficient size and appropriate layout to accommodate efficient workflow, including adequate room for the patient, their carer and the pharmacist as well as all the </w:t>
      </w:r>
      <w:r w:rsidR="00654957">
        <w:t xml:space="preserve">consumables, equipment and documentation required for the service; </w:t>
      </w:r>
    </w:p>
    <w:p w14:paraId="5CD7A1FF" w14:textId="35DFAB14" w:rsidR="00654957" w:rsidRDefault="00A61E61" w:rsidP="00A61E61">
      <w:pPr>
        <w:pStyle w:val="06Bulletsonelongsentence"/>
        <w:numPr>
          <w:ilvl w:val="1"/>
          <w:numId w:val="32"/>
        </w:numPr>
        <w:ind w:left="993"/>
      </w:pPr>
      <w:r>
        <w:t>a</w:t>
      </w:r>
      <w:r w:rsidR="00654957">
        <w:t xml:space="preserve">llow the patient and the pharmacist to talk at normal speaking volumes without being overheard by any other person (including pharmacy staff); </w:t>
      </w:r>
    </w:p>
    <w:p w14:paraId="576E915F" w14:textId="48A6665E" w:rsidR="00654957" w:rsidRDefault="00A61E61" w:rsidP="00A61E61">
      <w:pPr>
        <w:pStyle w:val="06Bulletsonelongsentence"/>
        <w:numPr>
          <w:ilvl w:val="1"/>
          <w:numId w:val="32"/>
        </w:numPr>
        <w:ind w:left="993"/>
      </w:pPr>
      <w:r>
        <w:t>b</w:t>
      </w:r>
      <w:r w:rsidR="00654957">
        <w:t>e clearly sign posted as a private consultation area; and</w:t>
      </w:r>
    </w:p>
    <w:p w14:paraId="47CBCC44" w14:textId="6F13BF7B" w:rsidR="00654957" w:rsidRDefault="00A61E61" w:rsidP="00A61E61">
      <w:pPr>
        <w:pStyle w:val="06Bulletsonelongsentence"/>
        <w:numPr>
          <w:ilvl w:val="1"/>
          <w:numId w:val="32"/>
        </w:numPr>
        <w:ind w:left="993"/>
      </w:pPr>
      <w:r>
        <w:t>s</w:t>
      </w:r>
      <w:r w:rsidR="00654957">
        <w:t>cript in an out counters (including those with privacy screens) do not meet the consultation area requirements</w:t>
      </w:r>
      <w:r w:rsidR="00756837">
        <w:t xml:space="preserve">.  </w:t>
      </w:r>
    </w:p>
    <w:p w14:paraId="68EB9986" w14:textId="77777777" w:rsidR="00654957" w:rsidRDefault="00654957" w:rsidP="00A61E61">
      <w:pPr>
        <w:pStyle w:val="Numberedlistcontinued"/>
      </w:pPr>
      <w:r>
        <w:t>Ensure the Registered Pharmacist conducting the MedsCheck or Diabetes MedsCheck services is not responsible for dispensing or undertaking other professional duties at the time of MedsCheck or Diabetes MedsCheck consultation</w:t>
      </w:r>
      <w:r w:rsidR="00756837">
        <w:t xml:space="preserve">.  </w:t>
      </w:r>
    </w:p>
    <w:p w14:paraId="316DA47D" w14:textId="77777777" w:rsidR="00654957" w:rsidRDefault="00654957" w:rsidP="00A61E61">
      <w:pPr>
        <w:pStyle w:val="Numberedlistcontinued"/>
      </w:pPr>
      <w:r>
        <w:t>When a Community Pharmacy is closed to members of the Public, MedsCheck services can be carried out in a public area of the pharmacy as long as the conversation between the Registered Pharmacist and the patient cannot be overheard by any other person (including pharmacy staff)</w:t>
      </w:r>
      <w:r w:rsidR="00756837">
        <w:t xml:space="preserve">.  </w:t>
      </w:r>
    </w:p>
    <w:p w14:paraId="564C1E15" w14:textId="410EC56E" w:rsidR="00654957" w:rsidRDefault="00654957" w:rsidP="00A61E61">
      <w:pPr>
        <w:pStyle w:val="Numberedlistcontinued"/>
      </w:pPr>
      <w:r>
        <w:t xml:space="preserve">Understand that no more than 10 MedsCheck and Diabetes MedsCheck </w:t>
      </w:r>
      <w:r w:rsidR="00476D4D">
        <w:t>s</w:t>
      </w:r>
      <w:r>
        <w:t xml:space="preserve">ervices in total per </w:t>
      </w:r>
      <w:r w:rsidR="00476D4D">
        <w:t>s</w:t>
      </w:r>
      <w:r>
        <w:t xml:space="preserve">ervice </w:t>
      </w:r>
      <w:r w:rsidR="00476D4D">
        <w:t>p</w:t>
      </w:r>
      <w:r>
        <w:t>rovider per calendar month will be rem</w:t>
      </w:r>
      <w:r w:rsidR="00A46799">
        <w:t>un</w:t>
      </w:r>
      <w:r>
        <w:t>erated</w:t>
      </w:r>
      <w:r w:rsidR="00756837">
        <w:t xml:space="preserve">.  </w:t>
      </w:r>
      <w:r>
        <w:t xml:space="preserve">The threshold applies per </w:t>
      </w:r>
      <w:r w:rsidR="00476D4D">
        <w:t>s</w:t>
      </w:r>
      <w:r>
        <w:t xml:space="preserve">ervice </w:t>
      </w:r>
      <w:r w:rsidR="00476D4D">
        <w:t>p</w:t>
      </w:r>
      <w:r>
        <w:t xml:space="preserve">rovider per calendar month, regardless of the number of registered pharmacists that may provide MedsCheck and Diabetes MedsCheck </w:t>
      </w:r>
      <w:r w:rsidR="00476D4D">
        <w:t>s</w:t>
      </w:r>
      <w:r>
        <w:t xml:space="preserve">ervices on the </w:t>
      </w:r>
      <w:r w:rsidR="00476D4D">
        <w:t>s</w:t>
      </w:r>
      <w:r>
        <w:t xml:space="preserve">ervice </w:t>
      </w:r>
      <w:r w:rsidR="00476D4D">
        <w:t>p</w:t>
      </w:r>
      <w:r>
        <w:t>rovider’s behalf</w:t>
      </w:r>
      <w:r w:rsidR="00756837">
        <w:t xml:space="preserve">.  </w:t>
      </w:r>
    </w:p>
    <w:p w14:paraId="29D98E6B" w14:textId="0236406A" w:rsidR="00AB1F0F" w:rsidRDefault="00AB1F0F" w:rsidP="00CB7A98">
      <w:pPr>
        <w:pStyle w:val="02Bodytextbeforesingle-sentencebullets"/>
      </w:pPr>
      <w:r>
        <w:t xml:space="preserve">The </w:t>
      </w:r>
      <w:r w:rsidR="00E51B25" w:rsidRPr="00AB1F0F">
        <w:t xml:space="preserve">patient </w:t>
      </w:r>
      <w:r w:rsidR="00CB7A98">
        <w:t>e</w:t>
      </w:r>
      <w:r w:rsidR="00654957" w:rsidRPr="00AB1F0F">
        <w:t xml:space="preserve">ligibility </w:t>
      </w:r>
      <w:r w:rsidR="00CB7A98">
        <w:t>c</w:t>
      </w:r>
      <w:r w:rsidR="00654957" w:rsidRPr="00AB1F0F">
        <w:t>riteria</w:t>
      </w:r>
      <w:r>
        <w:t xml:space="preserve"> for </w:t>
      </w:r>
      <w:r w:rsidRPr="00AB1F0F">
        <w:t>MedsCheck</w:t>
      </w:r>
      <w:r>
        <w:t xml:space="preserve"> includes:</w:t>
      </w:r>
    </w:p>
    <w:p w14:paraId="257D61F8" w14:textId="3CAD74AB" w:rsidR="00654957" w:rsidRDefault="00CB7A98" w:rsidP="007C75CA">
      <w:pPr>
        <w:pStyle w:val="06Bulletsonelongsentence"/>
        <w:numPr>
          <w:ilvl w:val="0"/>
          <w:numId w:val="23"/>
        </w:numPr>
        <w:ind w:left="357" w:hanging="357"/>
      </w:pPr>
      <w:r>
        <w:t>i</w:t>
      </w:r>
      <w:r w:rsidR="00654957">
        <w:t xml:space="preserve">s a Medicare and/or </w:t>
      </w:r>
      <w:r w:rsidR="007C75CA">
        <w:t xml:space="preserve">Department of Veterans’ Affairs </w:t>
      </w:r>
      <w:r w:rsidR="00654957">
        <w:t xml:space="preserve">(DVA) </w:t>
      </w:r>
      <w:r w:rsidR="007C75CA">
        <w:t>cardholder;</w:t>
      </w:r>
    </w:p>
    <w:p w14:paraId="56243432" w14:textId="37BD631A" w:rsidR="00654957" w:rsidRDefault="00CB7A98" w:rsidP="007C75CA">
      <w:pPr>
        <w:pStyle w:val="06Bulletsonelongsentence"/>
        <w:numPr>
          <w:ilvl w:val="0"/>
          <w:numId w:val="23"/>
        </w:numPr>
        <w:ind w:left="357" w:hanging="357"/>
      </w:pPr>
      <w:r>
        <w:t>h</w:t>
      </w:r>
      <w:r w:rsidR="00654957">
        <w:t>as not received a</w:t>
      </w:r>
      <w:r w:rsidR="007C75CA">
        <w:t xml:space="preserve"> MedsCheck, Diabetes MedsCheck, HMR or RMMR in the </w:t>
      </w:r>
      <w:r w:rsidR="00654957">
        <w:t>previous 12 months;</w:t>
      </w:r>
    </w:p>
    <w:p w14:paraId="45F3387B" w14:textId="5D11FA0E" w:rsidR="00654957" w:rsidRDefault="00CB7A98" w:rsidP="007C75CA">
      <w:pPr>
        <w:pStyle w:val="06Bulletsonelongsentence"/>
        <w:numPr>
          <w:ilvl w:val="0"/>
          <w:numId w:val="23"/>
        </w:numPr>
        <w:ind w:left="357" w:hanging="357"/>
      </w:pPr>
      <w:r>
        <w:t>i</w:t>
      </w:r>
      <w:r w:rsidR="00654957">
        <w:t>s living at home in a community setting;</w:t>
      </w:r>
    </w:p>
    <w:p w14:paraId="1ECAAA1E" w14:textId="08F6EA38" w:rsidR="00654957" w:rsidRDefault="00CB7A98" w:rsidP="007C75CA">
      <w:pPr>
        <w:pStyle w:val="06Bulletsonelongsentence"/>
        <w:numPr>
          <w:ilvl w:val="0"/>
          <w:numId w:val="23"/>
        </w:numPr>
        <w:ind w:left="357" w:hanging="357"/>
      </w:pPr>
      <w:r>
        <w:t>i</w:t>
      </w:r>
      <w:r w:rsidR="00654957">
        <w:t>s taking five or more prescription medicines; or</w:t>
      </w:r>
    </w:p>
    <w:p w14:paraId="5FECF5CC" w14:textId="6FFDA325" w:rsidR="00654957" w:rsidRDefault="00CB7A98" w:rsidP="007C75CA">
      <w:pPr>
        <w:pStyle w:val="06Bulletsonelongsentence"/>
        <w:numPr>
          <w:ilvl w:val="0"/>
          <w:numId w:val="23"/>
        </w:numPr>
        <w:ind w:left="357" w:hanging="357"/>
      </w:pPr>
      <w:r>
        <w:t>h</w:t>
      </w:r>
      <w:r w:rsidR="00654957">
        <w:t>as had a rece</w:t>
      </w:r>
      <w:r w:rsidR="007C75CA">
        <w:t>nt significant medical event</w:t>
      </w:r>
      <w:r w:rsidR="00756837">
        <w:t xml:space="preserve">.  </w:t>
      </w:r>
      <w:r w:rsidR="007C75CA">
        <w:t xml:space="preserve">A </w:t>
      </w:r>
      <w:r w:rsidR="00654957">
        <w:t>significant medical e</w:t>
      </w:r>
      <w:r w:rsidR="007C75CA">
        <w:t xml:space="preserve">vent can be defined as a recent </w:t>
      </w:r>
      <w:r w:rsidR="00654957">
        <w:t>event or new diagnosis that has the potential to</w:t>
      </w:r>
      <w:r w:rsidR="007C75CA">
        <w:t xml:space="preserve"> </w:t>
      </w:r>
      <w:r w:rsidR="00654957">
        <w:t>impact on the consumer’s medication adherence</w:t>
      </w:r>
      <w:r w:rsidR="007C75CA">
        <w:t xml:space="preserve"> </w:t>
      </w:r>
      <w:r w:rsidR="00654957">
        <w:t>or knowledge of their medicine regime and may</w:t>
      </w:r>
      <w:r w:rsidR="007C75CA">
        <w:t xml:space="preserve"> </w:t>
      </w:r>
      <w:r w:rsidR="00654957">
        <w:t>increase the r</w:t>
      </w:r>
      <w:r w:rsidR="007C75CA">
        <w:t>isk of medication misadventure</w:t>
      </w:r>
      <w:r w:rsidR="00756837">
        <w:t xml:space="preserve">.  </w:t>
      </w:r>
      <w:r w:rsidR="00654957">
        <w:t xml:space="preserve">MedsCheck </w:t>
      </w:r>
      <w:r>
        <w:t>s</w:t>
      </w:r>
      <w:r w:rsidR="00654957">
        <w:t>ervices are not available to in</w:t>
      </w:r>
      <w:r w:rsidR="005A297C">
        <w:t xml:space="preserve"> </w:t>
      </w:r>
      <w:r w:rsidR="00654957">
        <w:t>patients</w:t>
      </w:r>
      <w:r w:rsidR="007C75CA">
        <w:t xml:space="preserve"> </w:t>
      </w:r>
      <w:r w:rsidR="00654957">
        <w:t>of public or private hosp</w:t>
      </w:r>
      <w:r w:rsidR="007C75CA">
        <w:t xml:space="preserve">itals, day hospital facilities, </w:t>
      </w:r>
      <w:r w:rsidR="00654957">
        <w:t>transitional care facilities</w:t>
      </w:r>
      <w:r w:rsidR="007C75CA">
        <w:t>,</w:t>
      </w:r>
      <w:r w:rsidR="00654957">
        <w:t xml:space="preserve"> or to residents of an </w:t>
      </w:r>
      <w:r>
        <w:t>aged care facility</w:t>
      </w:r>
      <w:r w:rsidR="00F21712">
        <w:t xml:space="preserve"> (ACF)</w:t>
      </w:r>
      <w:r w:rsidR="00654957">
        <w:t>.</w:t>
      </w:r>
    </w:p>
    <w:p w14:paraId="7B364244" w14:textId="6B991433" w:rsidR="00CB7A98" w:rsidRDefault="00CB7A98" w:rsidP="00CB7A98">
      <w:pPr>
        <w:pStyle w:val="02Bodytextbeforesingle-sentencebullets"/>
      </w:pPr>
      <w:r>
        <w:lastRenderedPageBreak/>
        <w:t xml:space="preserve">The </w:t>
      </w:r>
      <w:r w:rsidRPr="00AB1F0F">
        <w:t xml:space="preserve">patient </w:t>
      </w:r>
      <w:r>
        <w:t>e</w:t>
      </w:r>
      <w:r w:rsidRPr="00AB1F0F">
        <w:t xml:space="preserve">ligibility </w:t>
      </w:r>
      <w:r>
        <w:t>c</w:t>
      </w:r>
      <w:r w:rsidRPr="00AB1F0F">
        <w:t>riteria</w:t>
      </w:r>
      <w:r>
        <w:t xml:space="preserve"> for Diabetes </w:t>
      </w:r>
      <w:r w:rsidRPr="00AB1F0F">
        <w:t>MedsCheck</w:t>
      </w:r>
      <w:r>
        <w:t xml:space="preserve"> includes:</w:t>
      </w:r>
    </w:p>
    <w:p w14:paraId="7E82F553" w14:textId="6B85303B" w:rsidR="007C75CA" w:rsidRDefault="00CB7A98" w:rsidP="007C75CA">
      <w:pPr>
        <w:pStyle w:val="06Bulletsonelongsentence"/>
        <w:numPr>
          <w:ilvl w:val="0"/>
          <w:numId w:val="23"/>
        </w:numPr>
        <w:ind w:left="357" w:hanging="357"/>
      </w:pPr>
      <w:r>
        <w:t>i</w:t>
      </w:r>
      <w:r w:rsidR="007C75CA">
        <w:t>s a Medicare and/or DVA cardholder;</w:t>
      </w:r>
    </w:p>
    <w:p w14:paraId="010A6D2A" w14:textId="3F8B2F57" w:rsidR="007C75CA" w:rsidRDefault="00CB7A98" w:rsidP="007C75CA">
      <w:pPr>
        <w:pStyle w:val="06Bulletsonelongsentence"/>
        <w:numPr>
          <w:ilvl w:val="0"/>
          <w:numId w:val="23"/>
        </w:numPr>
        <w:ind w:left="357" w:hanging="357"/>
      </w:pPr>
      <w:r>
        <w:t>h</w:t>
      </w:r>
      <w:r w:rsidR="007C75CA">
        <w:t>as not received a MedsCheck, Diabetes MedsCheck, HMR or RMMR in the previous 12 months;</w:t>
      </w:r>
    </w:p>
    <w:p w14:paraId="080A890D" w14:textId="00CDD520" w:rsidR="007C75CA" w:rsidRDefault="00CB7A98" w:rsidP="007C75CA">
      <w:pPr>
        <w:pStyle w:val="06Bulletsonelongsentence"/>
        <w:numPr>
          <w:ilvl w:val="0"/>
          <w:numId w:val="23"/>
        </w:numPr>
        <w:ind w:left="357" w:hanging="357"/>
      </w:pPr>
      <w:r>
        <w:t>i</w:t>
      </w:r>
      <w:r w:rsidR="007C75CA">
        <w:t>s living at home in a community setting;</w:t>
      </w:r>
    </w:p>
    <w:p w14:paraId="6B86746A" w14:textId="2459353F" w:rsidR="007C75CA" w:rsidRPr="007C75CA" w:rsidRDefault="00CB7A98" w:rsidP="00DC464D">
      <w:pPr>
        <w:pStyle w:val="06Bulletsonelongsentence"/>
        <w:numPr>
          <w:ilvl w:val="0"/>
          <w:numId w:val="23"/>
        </w:numPr>
        <w:ind w:left="357" w:hanging="357"/>
      </w:pPr>
      <w:r>
        <w:t>h</w:t>
      </w:r>
      <w:r w:rsidR="007C75CA">
        <w:t>as recently been diagnosed with type 2 diabetes (in the last 12 months);</w:t>
      </w:r>
      <w:r>
        <w:t xml:space="preserve"> </w:t>
      </w:r>
      <w:r w:rsidRPr="00CB7A98">
        <w:rPr>
          <w:b/>
          <w:i/>
        </w:rPr>
        <w:t>o</w:t>
      </w:r>
      <w:r w:rsidR="007C75CA" w:rsidRPr="00CB7A98">
        <w:rPr>
          <w:b/>
          <w:i/>
        </w:rPr>
        <w:t>r</w:t>
      </w:r>
      <w:r w:rsidR="007C75CA">
        <w:t xml:space="preserve"> has less than ideally controlled type 2 diabetes; </w:t>
      </w:r>
      <w:r w:rsidR="007C75CA" w:rsidRPr="00CB7A98">
        <w:rPr>
          <w:b/>
        </w:rPr>
        <w:t>and</w:t>
      </w:r>
    </w:p>
    <w:p w14:paraId="202CE6AE" w14:textId="316F1B7F" w:rsidR="007C75CA" w:rsidRDefault="00CB7A98" w:rsidP="007C75CA">
      <w:pPr>
        <w:pStyle w:val="06Bulletsonelongsentence"/>
        <w:numPr>
          <w:ilvl w:val="0"/>
          <w:numId w:val="23"/>
        </w:numPr>
        <w:ind w:left="357" w:hanging="357"/>
      </w:pPr>
      <w:r>
        <w:t>i</w:t>
      </w:r>
      <w:r w:rsidR="007C75CA">
        <w:t>s unable to gain timely access to existing diabetes education /health services in their community.</w:t>
      </w:r>
    </w:p>
    <w:p w14:paraId="4058CB73" w14:textId="77777777" w:rsidR="007C75CA" w:rsidRDefault="007C75CA" w:rsidP="00CB7A98">
      <w:pPr>
        <w:pStyle w:val="02Bodytextbeforesingle-sentencebullets"/>
      </w:pPr>
      <w:r>
        <w:t>Barriers to ‘timely access’ should be determined by the Registered Pharmacist based on the patient’s specific needs and may include:</w:t>
      </w:r>
    </w:p>
    <w:p w14:paraId="2981D36B" w14:textId="30CF80B5" w:rsidR="007C75CA" w:rsidRDefault="00CB7A98" w:rsidP="007C75CA">
      <w:pPr>
        <w:pStyle w:val="06Bulletsonelongsentence"/>
        <w:numPr>
          <w:ilvl w:val="0"/>
          <w:numId w:val="23"/>
        </w:numPr>
        <w:ind w:left="357" w:hanging="357"/>
      </w:pPr>
      <w:r>
        <w:t>a</w:t>
      </w:r>
      <w:r w:rsidR="007C75CA">
        <w:t>ppointment availability is not suitable to address the patient’s immediate needs</w:t>
      </w:r>
      <w:r w:rsidR="00FD3850">
        <w:t>; or</w:t>
      </w:r>
    </w:p>
    <w:p w14:paraId="74988523" w14:textId="0C50EC91" w:rsidR="007C75CA" w:rsidRDefault="00CB7A98" w:rsidP="007C75CA">
      <w:pPr>
        <w:pStyle w:val="06Bulletsonelongsentence"/>
        <w:numPr>
          <w:ilvl w:val="0"/>
          <w:numId w:val="23"/>
        </w:numPr>
        <w:ind w:left="357" w:hanging="357"/>
      </w:pPr>
      <w:r>
        <w:t>d</w:t>
      </w:r>
      <w:r w:rsidR="007C75CA">
        <w:t xml:space="preserve">istance to be travelled to the nearest diabetes education/health service is impractical for the patient; </w:t>
      </w:r>
    </w:p>
    <w:p w14:paraId="1A3884AE" w14:textId="3785D0A2" w:rsidR="007C75CA" w:rsidRDefault="00CB7A98" w:rsidP="007C75CA">
      <w:pPr>
        <w:pStyle w:val="06Bulletsonelongsentence"/>
        <w:numPr>
          <w:ilvl w:val="0"/>
          <w:numId w:val="23"/>
        </w:numPr>
        <w:ind w:left="357" w:hanging="357"/>
      </w:pPr>
      <w:r>
        <w:t>t</w:t>
      </w:r>
      <w:r w:rsidR="007C75CA">
        <w:t>here is a lack of accessibility to transport</w:t>
      </w:r>
      <w:r w:rsidR="00756837">
        <w:t xml:space="preserve">.  </w:t>
      </w:r>
    </w:p>
    <w:p w14:paraId="0546CF85" w14:textId="7D7C8BE1" w:rsidR="007C75CA" w:rsidRDefault="007C75CA" w:rsidP="007C75CA">
      <w:pPr>
        <w:pStyle w:val="03Bodytextaftersingle-sentencebullets"/>
      </w:pPr>
      <w:r>
        <w:t xml:space="preserve">Diabetes MedsCheck </w:t>
      </w:r>
      <w:r w:rsidR="00476D4D">
        <w:t>s</w:t>
      </w:r>
      <w:r>
        <w:t xml:space="preserve">ervices are not available to </w:t>
      </w:r>
      <w:r w:rsidR="009233FC">
        <w:t xml:space="preserve">admitted </w:t>
      </w:r>
      <w:r>
        <w:t>patients of public or private hospitals, day hospital facilities, transitional care facilities, or to residents of an ACF.</w:t>
      </w:r>
    </w:p>
    <w:p w14:paraId="0893DFA9" w14:textId="77777777" w:rsidR="007C75CA" w:rsidRDefault="007C75CA" w:rsidP="007C75CA">
      <w:pPr>
        <w:pStyle w:val="03Bodytextaftersingle-sentencebullets"/>
      </w:pPr>
      <w:r>
        <w:t>The patient must be present at the MedsCheck or Diabetes MedsCheck consultation</w:t>
      </w:r>
      <w:r w:rsidR="00756837">
        <w:t xml:space="preserve">.  </w:t>
      </w:r>
      <w:r>
        <w:t>The patient’s carer may also attend the MedsCheck or Diabetes MedsCheck consultation.</w:t>
      </w:r>
    </w:p>
    <w:p w14:paraId="2BF80EAB" w14:textId="77777777" w:rsidR="00654957" w:rsidRDefault="007C75CA" w:rsidP="007C75CA">
      <w:pPr>
        <w:pStyle w:val="03Bodytextaftersingle-sentencebullets"/>
      </w:pPr>
      <w:r>
        <w:t>A patient accessing the DVA’s Dose Administration Aid (DAA) Service is eligible for a MedsCheck or Diabetes MedsCheck</w:t>
      </w:r>
      <w:r w:rsidR="00756837">
        <w:t xml:space="preserve">.  </w:t>
      </w:r>
    </w:p>
    <w:p w14:paraId="66577968" w14:textId="23CB3958" w:rsidR="006C124F" w:rsidRDefault="006C124F" w:rsidP="0062030F">
      <w:pPr>
        <w:pStyle w:val="03Bodytextaftersingle-sentencebullets"/>
        <w:rPr>
          <w:highlight w:val="yellow"/>
        </w:rPr>
      </w:pPr>
      <w:r w:rsidRPr="006C124F">
        <w:t>A pharmacy approved to provide MedsCheck services, where the patient eligibility criteria has been met, will be paid the set service fee for each MedsCheck and Diabetes MedsCheck service</w:t>
      </w:r>
      <w:r w:rsidR="00756837">
        <w:t xml:space="preserve">.  </w:t>
      </w:r>
      <w:r w:rsidRPr="006C124F">
        <w:t>The fees for each service are indexed each year to 30</w:t>
      </w:r>
      <w:r w:rsidR="00F17A72" w:rsidRPr="00F17A72">
        <w:rPr>
          <w:vertAlign w:val="superscript"/>
        </w:rPr>
        <w:t>th</w:t>
      </w:r>
      <w:r w:rsidRPr="006C124F">
        <w:t xml:space="preserve"> June 2015</w:t>
      </w:r>
      <w:r w:rsidR="00756837">
        <w:t xml:space="preserve">.  </w:t>
      </w:r>
      <w:r w:rsidRPr="006C124F">
        <w:t>The current fees</w:t>
      </w:r>
      <w:r>
        <w:rPr>
          <w:rStyle w:val="FootnoteReference"/>
        </w:rPr>
        <w:footnoteReference w:id="2"/>
      </w:r>
      <w:r w:rsidRPr="006C124F">
        <w:t xml:space="preserve"> for services conducted on or after the 1</w:t>
      </w:r>
      <w:r w:rsidRPr="00DC464D">
        <w:rPr>
          <w:vertAlign w:val="superscript"/>
        </w:rPr>
        <w:t>st</w:t>
      </w:r>
      <w:r w:rsidR="00DC464D">
        <w:t xml:space="preserve"> </w:t>
      </w:r>
      <w:r w:rsidRPr="006C124F">
        <w:t>July 2016 are $63.81, per MedsCheck service and $95.71 per Diabetes MedsCheck service.</w:t>
      </w:r>
    </w:p>
    <w:p w14:paraId="44D968F7" w14:textId="77777777" w:rsidR="00C43084" w:rsidRDefault="00C43084" w:rsidP="0062030F">
      <w:pPr>
        <w:pStyle w:val="Heading2"/>
      </w:pPr>
      <w:r>
        <w:t>Frequency of service</w:t>
      </w:r>
    </w:p>
    <w:p w14:paraId="639CB1EE" w14:textId="77777777" w:rsidR="00BA4960" w:rsidRDefault="00BA4960" w:rsidP="00BA4960">
      <w:pPr>
        <w:pStyle w:val="02Bodytextbeforesingle-sentencebullets"/>
      </w:pPr>
      <w:r>
        <w:t>One MedsCheck/Diabetes MedsCheck service can be conducted per eligible patient per 12 months</w:t>
      </w:r>
      <w:r w:rsidR="00756837">
        <w:t xml:space="preserve">.  </w:t>
      </w:r>
      <w:r>
        <w:t>In addition, the eligible patient must not have received a HMR or RMMR in the preceding 12 months.</w:t>
      </w:r>
    </w:p>
    <w:p w14:paraId="0D62EE60" w14:textId="77777777" w:rsidR="00BA4960" w:rsidRDefault="00BA4960" w:rsidP="00BA4960">
      <w:pPr>
        <w:pStyle w:val="Heading2"/>
      </w:pPr>
      <w:r>
        <w:t>Identifying a patient</w:t>
      </w:r>
    </w:p>
    <w:p w14:paraId="275F9678" w14:textId="77777777" w:rsidR="00BA4960" w:rsidRDefault="00BA4960" w:rsidP="00BA7840">
      <w:pPr>
        <w:pStyle w:val="02Bodytextbeforesingle-sentencebullets"/>
      </w:pPr>
      <w:r w:rsidRPr="00BA4960">
        <w:t>Patients who have an identifiable need and may benefit</w:t>
      </w:r>
      <w:r>
        <w:t xml:space="preserve"> </w:t>
      </w:r>
      <w:r w:rsidRPr="00BA4960">
        <w:t>from a MedsCheck or Diabetes MedsCheck may be</w:t>
      </w:r>
      <w:r>
        <w:t xml:space="preserve"> </w:t>
      </w:r>
      <w:r w:rsidRPr="00BA4960">
        <w:t>identified through the following:</w:t>
      </w:r>
    </w:p>
    <w:p w14:paraId="191C38E9" w14:textId="260510E4" w:rsidR="00BA4960" w:rsidRDefault="00BA4960" w:rsidP="00697986">
      <w:pPr>
        <w:pStyle w:val="06Bulletsonelongsentence"/>
        <w:numPr>
          <w:ilvl w:val="0"/>
          <w:numId w:val="23"/>
        </w:numPr>
        <w:ind w:left="357" w:hanging="357"/>
      </w:pPr>
      <w:r>
        <w:t>Pharmacis</w:t>
      </w:r>
      <w:r w:rsidR="00DC464D">
        <w:t>t (or pharmacy staff) identifies a</w:t>
      </w:r>
      <w:r>
        <w:t xml:space="preserve"> patients who may benefit from a MedsCheck or Diabetes MedsCheck service based on the eligibility criteria; or</w:t>
      </w:r>
    </w:p>
    <w:p w14:paraId="6AC008C6" w14:textId="77777777" w:rsidR="00BA4960" w:rsidRDefault="00BA4960" w:rsidP="00697986">
      <w:pPr>
        <w:pStyle w:val="06Bulletsonelongsentence"/>
        <w:numPr>
          <w:ilvl w:val="0"/>
          <w:numId w:val="23"/>
        </w:numPr>
        <w:ind w:left="357" w:hanging="357"/>
      </w:pPr>
      <w:r>
        <w:t>The pharmacy receives a recommendation for a MedsCheck or Diabetes MedsCheck service from the patient’s general practitioner (GP) or other healthcare provider; or</w:t>
      </w:r>
    </w:p>
    <w:p w14:paraId="641D94BB" w14:textId="77777777" w:rsidR="00BA4960" w:rsidRDefault="00BA4960" w:rsidP="00697986">
      <w:pPr>
        <w:pStyle w:val="06Bulletsonelongsentence"/>
        <w:numPr>
          <w:ilvl w:val="0"/>
          <w:numId w:val="23"/>
        </w:numPr>
        <w:ind w:left="357" w:hanging="357"/>
      </w:pPr>
      <w:r>
        <w:t>The pharmacy receives a request from the patient</w:t>
      </w:r>
      <w:r w:rsidR="00697986">
        <w:t xml:space="preserve"> </w:t>
      </w:r>
      <w:r>
        <w:t>or patient’s carer for a MedsCheck or Diabetes</w:t>
      </w:r>
      <w:r w:rsidR="00697986">
        <w:t xml:space="preserve"> </w:t>
      </w:r>
      <w:r>
        <w:t>MedsCheck service.</w:t>
      </w:r>
    </w:p>
    <w:p w14:paraId="3A5ACC31" w14:textId="77777777" w:rsidR="00C43084" w:rsidRDefault="00C43084" w:rsidP="0062030F">
      <w:pPr>
        <w:pStyle w:val="01BODYTEXT"/>
        <w:rPr>
          <w:rFonts w:eastAsia="Times New Roman"/>
          <w:b/>
          <w:sz w:val="36"/>
          <w:szCs w:val="32"/>
        </w:rPr>
      </w:pPr>
      <w:r>
        <w:br w:type="page"/>
      </w:r>
    </w:p>
    <w:p w14:paraId="48583D15" w14:textId="77777777" w:rsidR="00EF7031" w:rsidRPr="006B1A9D" w:rsidRDefault="00C43084" w:rsidP="00EF7031">
      <w:pPr>
        <w:pStyle w:val="Heading1"/>
      </w:pPr>
      <w:r>
        <w:lastRenderedPageBreak/>
        <w:br/>
      </w:r>
      <w:bookmarkStart w:id="18" w:name="_Toc522873482"/>
      <w:r w:rsidR="005D23E0">
        <w:t>Review Methodology</w:t>
      </w:r>
      <w:bookmarkEnd w:id="18"/>
    </w:p>
    <w:p w14:paraId="7B626AAB" w14:textId="77777777" w:rsidR="006B010E" w:rsidRDefault="006B010E" w:rsidP="006B010E">
      <w:pPr>
        <w:pStyle w:val="01BODYTEXT"/>
      </w:pPr>
      <w:bookmarkStart w:id="19" w:name="_Toc474252294"/>
      <w:r w:rsidRPr="005D23E0">
        <w:t xml:space="preserve">This </w:t>
      </w:r>
      <w:r>
        <w:t xml:space="preserve">Chapter </w:t>
      </w:r>
      <w:r w:rsidRPr="005D23E0">
        <w:t xml:space="preserve">describes the methodology used to identify and assess the evidence relating to </w:t>
      </w:r>
      <w:r>
        <w:t>MedsCheck/Diabetes MedsCheck</w:t>
      </w:r>
      <w:r w:rsidRPr="005D23E0">
        <w:t xml:space="preserve"> or similar pharmacist-led programs</w:t>
      </w:r>
      <w:r>
        <w:t xml:space="preserve">.  </w:t>
      </w:r>
      <w:r w:rsidRPr="005D23E0">
        <w:t xml:space="preserve">The evaluation encompasses a systematic literature review of Australian and international evidence for the effectiveness and cost-effectiveness of pharmacist-delivered </w:t>
      </w:r>
      <w:r>
        <w:t xml:space="preserve">MedsCheck and Diabetes MedsCheck </w:t>
      </w:r>
      <w:r w:rsidRPr="005D23E0">
        <w:t xml:space="preserve">services provided </w:t>
      </w:r>
      <w:r>
        <w:t>to consumers who live at home in the community but the service is provided at the pharmacy;</w:t>
      </w:r>
      <w:r w:rsidRPr="005D23E0">
        <w:t xml:space="preserve"> and an analysis of available data on the utilisation of the service provided</w:t>
      </w:r>
      <w:r>
        <w:t xml:space="preserve">.  </w:t>
      </w:r>
    </w:p>
    <w:p w14:paraId="430E2CCE" w14:textId="77777777" w:rsidR="005D23E0" w:rsidRDefault="005D23E0" w:rsidP="005D23E0">
      <w:pPr>
        <w:pStyle w:val="Heading2"/>
        <w:tabs>
          <w:tab w:val="left" w:pos="567"/>
        </w:tabs>
        <w:ind w:left="567" w:hanging="567"/>
        <w:jc w:val="left"/>
      </w:pPr>
      <w:r>
        <w:t>Systematic literature review</w:t>
      </w:r>
      <w:bookmarkEnd w:id="19"/>
    </w:p>
    <w:p w14:paraId="11D9A2FF" w14:textId="4D797D50" w:rsidR="008D241F" w:rsidRPr="00BD1F1D" w:rsidRDefault="00BD1F1D" w:rsidP="00BD1F1D">
      <w:pPr>
        <w:pStyle w:val="01BODYTEXT"/>
      </w:pPr>
      <w:r w:rsidRPr="00BD1F1D">
        <w:t>This section presents the selection criteria, the search strategy use to identify studies the relevant evidence and a summary of the</w:t>
      </w:r>
      <w:r w:rsidR="0098271D">
        <w:t xml:space="preserve"> process used to </w:t>
      </w:r>
      <w:r w:rsidRPr="00BD1F1D">
        <w:t>include and</w:t>
      </w:r>
      <w:r w:rsidR="0098271D">
        <w:t>/or</w:t>
      </w:r>
      <w:r w:rsidRPr="00BD1F1D">
        <w:t xml:space="preserve"> exclude</w:t>
      </w:r>
      <w:r w:rsidR="0098271D">
        <w:t xml:space="preserve"> identified evidence to assess the </w:t>
      </w:r>
      <w:r w:rsidR="0098271D" w:rsidRPr="00324C3F">
        <w:t xml:space="preserve">safety, effectiveness and cost-effectiveness of </w:t>
      </w:r>
      <w:r w:rsidR="0098271D">
        <w:t xml:space="preserve">MedsCheck </w:t>
      </w:r>
      <w:r w:rsidR="006B010E">
        <w:t xml:space="preserve">and Diabetes MedsCheck </w:t>
      </w:r>
      <w:r w:rsidR="006B010E" w:rsidRPr="00324C3F">
        <w:t>services</w:t>
      </w:r>
      <w:r w:rsidRPr="00BD1F1D">
        <w:t xml:space="preserve">. </w:t>
      </w:r>
    </w:p>
    <w:p w14:paraId="654EC10A" w14:textId="77777777" w:rsidR="005D23E0" w:rsidRDefault="005D23E0" w:rsidP="005D23E0">
      <w:pPr>
        <w:pStyle w:val="Heading3"/>
      </w:pPr>
      <w:bookmarkStart w:id="20" w:name="_Ref462135430"/>
      <w:bookmarkStart w:id="21" w:name="_Toc467170341"/>
      <w:bookmarkStart w:id="22" w:name="_Ref471224486"/>
      <w:r>
        <w:t>PICO criteria</w:t>
      </w:r>
      <w:bookmarkEnd w:id="20"/>
      <w:bookmarkEnd w:id="21"/>
    </w:p>
    <w:bookmarkEnd w:id="22"/>
    <w:p w14:paraId="19508383" w14:textId="6C2A46A6" w:rsidR="005D23E0" w:rsidRDefault="00586104" w:rsidP="008D241F">
      <w:pPr>
        <w:pStyle w:val="01BODYTEXT"/>
      </w:pPr>
      <w:r>
        <w:fldChar w:fldCharType="begin"/>
      </w:r>
      <w:r>
        <w:instrText xml:space="preserve"> REF _Ref456903763 \h </w:instrText>
      </w:r>
      <w:r>
        <w:fldChar w:fldCharType="separate"/>
      </w:r>
      <w:r w:rsidR="009047A7" w:rsidRPr="008D241F">
        <w:t xml:space="preserve">Table </w:t>
      </w:r>
      <w:r w:rsidR="009047A7">
        <w:rPr>
          <w:noProof/>
        </w:rPr>
        <w:t>3</w:t>
      </w:r>
      <w:r w:rsidR="009047A7">
        <w:t>.</w:t>
      </w:r>
      <w:r w:rsidR="009047A7">
        <w:rPr>
          <w:noProof/>
        </w:rPr>
        <w:t>1</w:t>
      </w:r>
      <w:r>
        <w:fldChar w:fldCharType="end"/>
      </w:r>
      <w:r w:rsidR="00B7241B">
        <w:t xml:space="preserve"> </w:t>
      </w:r>
      <w:r w:rsidR="005D23E0" w:rsidRPr="00324C3F">
        <w:t xml:space="preserve">presents the selection criteria for evidence assessing the safety, effectiveness and cost-effectiveness of </w:t>
      </w:r>
      <w:r w:rsidR="00DC464D">
        <w:t xml:space="preserve">MedsCheck </w:t>
      </w:r>
      <w:r w:rsidR="005D23E0" w:rsidRPr="00324C3F">
        <w:t>services.</w:t>
      </w:r>
    </w:p>
    <w:p w14:paraId="40D1FB20" w14:textId="059B1C31" w:rsidR="008D241F" w:rsidRDefault="008D241F" w:rsidP="008D241F">
      <w:pPr>
        <w:pStyle w:val="Caption"/>
      </w:pPr>
      <w:bookmarkStart w:id="23" w:name="_Ref456903763"/>
      <w:r w:rsidRPr="008D241F">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3</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1</w:t>
      </w:r>
      <w:r w:rsidR="009047A7">
        <w:rPr>
          <w:noProof/>
        </w:rPr>
        <w:fldChar w:fldCharType="end"/>
      </w:r>
      <w:bookmarkEnd w:id="23"/>
      <w:r w:rsidRPr="008D241F">
        <w:t xml:space="preserve">: </w:t>
      </w:r>
      <w:r w:rsidR="00DC464D" w:rsidRPr="00DC464D">
        <w:t>Selection criteria for evidence relating to MedsCheck services provided by community pharmacists</w:t>
      </w:r>
    </w:p>
    <w:tbl>
      <w:tblPr>
        <w:tblStyle w:val="TableGrid1"/>
        <w:tblW w:w="9752" w:type="dxa"/>
        <w:jc w:val="center"/>
        <w:tblLayout w:type="fixed"/>
        <w:tblLook w:val="04A0" w:firstRow="1" w:lastRow="0" w:firstColumn="1" w:lastColumn="0" w:noHBand="0" w:noVBand="1"/>
        <w:tblCaption w:val="Table 3.1"/>
        <w:tblDescription w:val="Selection criteria for evidence relating to MedsCheck services provided by community pharmacists"/>
      </w:tblPr>
      <w:tblGrid>
        <w:gridCol w:w="1555"/>
        <w:gridCol w:w="8197"/>
      </w:tblGrid>
      <w:tr w:rsidR="00DC464D" w:rsidRPr="0035283E" w14:paraId="35A7E5D5" w14:textId="77777777" w:rsidTr="00DC464D">
        <w:trPr>
          <w:cnfStyle w:val="100000000000" w:firstRow="1" w:lastRow="0" w:firstColumn="0" w:lastColumn="0" w:oddVBand="0" w:evenVBand="0" w:oddHBand="0" w:evenHBand="0" w:firstRowFirstColumn="0" w:firstRowLastColumn="0" w:lastRowFirstColumn="0" w:lastRowLastColumn="0"/>
          <w:tblHeader/>
          <w:jc w:val="center"/>
        </w:trPr>
        <w:tc>
          <w:tcPr>
            <w:tcW w:w="1555" w:type="dxa"/>
            <w:shd w:val="clear" w:color="auto" w:fill="632423" w:themeFill="accent2" w:themeFillShade="80"/>
            <w:vAlign w:val="center"/>
          </w:tcPr>
          <w:p w14:paraId="2765F0E4" w14:textId="77777777" w:rsidR="00DC464D" w:rsidRPr="0035283E" w:rsidRDefault="00DC464D" w:rsidP="00DC464D">
            <w:pPr>
              <w:pStyle w:val="Table10ptheadingalignedleft"/>
              <w:spacing w:after="20"/>
            </w:pPr>
            <w:r>
              <w:t>Criteria</w:t>
            </w:r>
          </w:p>
        </w:tc>
        <w:tc>
          <w:tcPr>
            <w:tcW w:w="8197" w:type="dxa"/>
            <w:shd w:val="clear" w:color="auto" w:fill="632423" w:themeFill="accent2" w:themeFillShade="80"/>
            <w:vAlign w:val="center"/>
          </w:tcPr>
          <w:p w14:paraId="0CD72B61" w14:textId="77777777" w:rsidR="00DC464D" w:rsidRPr="0035283E" w:rsidRDefault="00DC464D" w:rsidP="00DC464D">
            <w:pPr>
              <w:pStyle w:val="Table10ptheadingcentred"/>
              <w:spacing w:after="20"/>
            </w:pPr>
            <w:r>
              <w:t>Description</w:t>
            </w:r>
          </w:p>
        </w:tc>
      </w:tr>
      <w:tr w:rsidR="00DC464D" w:rsidRPr="0035283E" w14:paraId="2DC641C9" w14:textId="77777777" w:rsidTr="00DC464D">
        <w:trPr>
          <w:jc w:val="center"/>
        </w:trPr>
        <w:tc>
          <w:tcPr>
            <w:tcW w:w="1555" w:type="dxa"/>
          </w:tcPr>
          <w:p w14:paraId="0528DBB2" w14:textId="77777777" w:rsidR="00DC464D" w:rsidRPr="0035283E" w:rsidRDefault="00DC464D" w:rsidP="00DC464D">
            <w:pPr>
              <w:pStyle w:val="Table10ptalignedleft"/>
              <w:spacing w:after="20"/>
            </w:pPr>
            <w:r>
              <w:t>Population</w:t>
            </w:r>
          </w:p>
        </w:tc>
        <w:tc>
          <w:tcPr>
            <w:tcW w:w="8197" w:type="dxa"/>
          </w:tcPr>
          <w:p w14:paraId="0B8101CD" w14:textId="77777777" w:rsidR="00DC464D" w:rsidRDefault="00DC464D" w:rsidP="00DC464D">
            <w:pPr>
              <w:pStyle w:val="Table10ptalignedleft"/>
              <w:spacing w:before="20" w:after="20"/>
            </w:pPr>
            <w:r w:rsidRPr="0035283E">
              <w:t>Comm</w:t>
            </w:r>
            <w:r>
              <w:t>unity patients that are at risk of medication mismanagement and:</w:t>
            </w:r>
          </w:p>
          <w:p w14:paraId="6F2EC98C" w14:textId="77777777" w:rsidR="00DC464D" w:rsidRDefault="00DC464D" w:rsidP="00DC464D">
            <w:pPr>
              <w:pStyle w:val="Table10ptbullet"/>
              <w:numPr>
                <w:ilvl w:val="0"/>
                <w:numId w:val="2"/>
              </w:numPr>
              <w:ind w:left="227" w:hanging="227"/>
            </w:pPr>
            <w:r>
              <w:t>are taking five or more prescription medicines, or</w:t>
            </w:r>
          </w:p>
          <w:p w14:paraId="70F6E2E9" w14:textId="77777777" w:rsidR="00DC464D" w:rsidRDefault="00DC464D" w:rsidP="00DC464D">
            <w:pPr>
              <w:pStyle w:val="Table10ptbullet"/>
              <w:numPr>
                <w:ilvl w:val="0"/>
                <w:numId w:val="2"/>
              </w:numPr>
              <w:spacing w:after="20"/>
              <w:ind w:left="227" w:hanging="227"/>
            </w:pPr>
            <w:r>
              <w:t>have had a recent significant medical event (a recent event or new diagnosis that has the potential to impact on the consumer’s medication adherence or knowledge of their medicine regime and may increase the risk of medication misadventure).</w:t>
            </w:r>
          </w:p>
          <w:p w14:paraId="01BF0A62" w14:textId="77777777" w:rsidR="009047A7" w:rsidRDefault="00DC464D" w:rsidP="006B010E">
            <w:pPr>
              <w:pStyle w:val="TableorFigurefootnote"/>
            </w:pPr>
            <w:r>
              <w:rPr>
                <w:i/>
              </w:rPr>
              <w:t xml:space="preserve">Individuals with type 2 diabetes are excluded as these are covered by Diabetes MedsCheck services (see </w:t>
            </w:r>
            <w:r w:rsidR="00BF76A3" w:rsidRPr="00BF76A3">
              <w:rPr>
                <w:i/>
              </w:rPr>
              <w:fldChar w:fldCharType="begin"/>
            </w:r>
            <w:r w:rsidR="00BF76A3" w:rsidRPr="00BF76A3">
              <w:rPr>
                <w:i/>
              </w:rPr>
              <w:instrText xml:space="preserve"> REF _Ref475607305 \h  \* MERGEFORMAT </w:instrText>
            </w:r>
            <w:r w:rsidR="00BF76A3" w:rsidRPr="00BF76A3">
              <w:rPr>
                <w:i/>
              </w:rPr>
            </w:r>
            <w:r w:rsidR="00BF76A3" w:rsidRPr="00BF76A3">
              <w:rPr>
                <w:i/>
              </w:rPr>
              <w:fldChar w:fldCharType="separate"/>
            </w:r>
            <w:r w:rsidR="009047A7" w:rsidRPr="009047A7">
              <w:rPr>
                <w:i/>
              </w:rPr>
              <w:t xml:space="preserve">Table </w:t>
            </w:r>
            <w:r w:rsidR="009047A7" w:rsidRPr="009047A7">
              <w:rPr>
                <w:i/>
                <w:noProof/>
              </w:rPr>
              <w:t>3.2</w:t>
            </w:r>
            <w:r w:rsidR="00BF76A3" w:rsidRPr="00BF76A3">
              <w:rPr>
                <w:i/>
              </w:rPr>
              <w:fldChar w:fldCharType="end"/>
            </w:r>
            <w:r w:rsidRPr="00FD54F6">
              <w:rPr>
                <w:i/>
              </w:rPr>
              <w:fldChar w:fldCharType="begin"/>
            </w:r>
            <w:r w:rsidRPr="00FD54F6">
              <w:rPr>
                <w:i/>
              </w:rPr>
              <w:instrText xml:space="preserve"> REF _Ref469055842 \h  \* MERGEFORMAT </w:instrText>
            </w:r>
            <w:r w:rsidRPr="00FD54F6">
              <w:rPr>
                <w:i/>
              </w:rPr>
            </w:r>
            <w:r w:rsidRPr="00FD54F6">
              <w:rPr>
                <w:i/>
              </w:rPr>
              <w:fldChar w:fldCharType="separate"/>
            </w:r>
            <w:r w:rsidR="009047A7" w:rsidRPr="005D568A">
              <w:t>Abb</w:t>
            </w:r>
            <w:r w:rsidR="009047A7">
              <w:t>reviations: BP, blood pressure; ED, emergency department; GP, general practitioner</w:t>
            </w:r>
          </w:p>
          <w:p w14:paraId="18FDF14D" w14:textId="77777777" w:rsidR="009047A7" w:rsidRPr="009F1BF4" w:rsidRDefault="009047A7" w:rsidP="00DC464D">
            <w:pPr>
              <w:pStyle w:val="01BODYTEXT"/>
            </w:pPr>
            <w:r>
              <w:t xml:space="preserve">Table </w:t>
            </w:r>
            <w:r>
              <w:rPr>
                <w:noProof/>
              </w:rPr>
              <w:t>3.2</w:t>
            </w:r>
            <w:r>
              <w:t xml:space="preserve"> </w:t>
            </w:r>
            <w:r w:rsidRPr="004F5841">
              <w:t>presents the selection criteria for evidence assessing the effectiveness and cost-effectiveness of</w:t>
            </w:r>
            <w:r>
              <w:t xml:space="preserve"> medicines use review services provided to individuals with diabetes (Diabetes MedsCheck)</w:t>
            </w:r>
            <w:r w:rsidRPr="009F1BF4">
              <w:t>.</w:t>
            </w:r>
          </w:p>
          <w:p w14:paraId="4A6C09F1" w14:textId="50C30C45" w:rsidR="00DC464D" w:rsidRPr="0035283E" w:rsidRDefault="00DC464D" w:rsidP="00BD1F1D">
            <w:pPr>
              <w:pStyle w:val="Table10ptbullet"/>
              <w:spacing w:after="20"/>
              <w:ind w:left="0" w:firstLine="0"/>
            </w:pPr>
            <w:r w:rsidRPr="00FD54F6">
              <w:rPr>
                <w:i/>
              </w:rPr>
              <w:fldChar w:fldCharType="end"/>
            </w:r>
          </w:p>
        </w:tc>
      </w:tr>
      <w:tr w:rsidR="00DC464D" w:rsidRPr="0035283E" w14:paraId="72DC10F5" w14:textId="77777777" w:rsidTr="00DC464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29D690B1" w14:textId="77777777" w:rsidR="00DC464D" w:rsidRDefault="00DC464D" w:rsidP="00DC464D">
            <w:pPr>
              <w:pStyle w:val="Table10ptalignedleft"/>
              <w:spacing w:after="20"/>
            </w:pPr>
            <w:r>
              <w:t>Intervention</w:t>
            </w:r>
          </w:p>
        </w:tc>
        <w:tc>
          <w:tcPr>
            <w:tcW w:w="8197" w:type="dxa"/>
            <w:shd w:val="clear" w:color="auto" w:fill="F2DBDB" w:themeFill="accent2" w:themeFillTint="33"/>
          </w:tcPr>
          <w:p w14:paraId="27799385" w14:textId="77777777" w:rsidR="00DC464D" w:rsidRDefault="00DC464D" w:rsidP="00DC464D">
            <w:pPr>
              <w:pStyle w:val="Table10ptalignedleftspaceafter"/>
              <w:spacing w:before="20" w:after="20"/>
            </w:pPr>
            <w:r>
              <w:t>A ‘medicines use review’ or a similar service performed by a pharmacist at a community pharmacy, and focusing</w:t>
            </w:r>
            <w:r w:rsidRPr="0041726C">
              <w:t xml:space="preserve"> on</w:t>
            </w:r>
            <w:r>
              <w:t xml:space="preserve"> education and self-management by:</w:t>
            </w:r>
          </w:p>
          <w:p w14:paraId="7E1D1826" w14:textId="77777777" w:rsidR="00DC464D" w:rsidRDefault="00DC464D" w:rsidP="00DC464D">
            <w:pPr>
              <w:pStyle w:val="Table10ptbullet"/>
              <w:numPr>
                <w:ilvl w:val="0"/>
                <w:numId w:val="2"/>
              </w:numPr>
              <w:ind w:left="227" w:hanging="227"/>
            </w:pPr>
            <w:r>
              <w:t>identifying</w:t>
            </w:r>
            <w:r w:rsidRPr="0041726C">
              <w:t xml:space="preserve"> problems that the patient may be expe</w:t>
            </w:r>
            <w:r>
              <w:t>riencing with their medicines;</w:t>
            </w:r>
          </w:p>
          <w:p w14:paraId="3D346AE8" w14:textId="77777777" w:rsidR="00DC464D" w:rsidRDefault="00DC464D" w:rsidP="00DC464D">
            <w:pPr>
              <w:pStyle w:val="Table10ptbullet"/>
              <w:numPr>
                <w:ilvl w:val="0"/>
                <w:numId w:val="2"/>
              </w:numPr>
              <w:ind w:left="227" w:hanging="227"/>
            </w:pPr>
            <w:r>
              <w:t>providing education and guidance on correct use of medication/monitoring devices; or</w:t>
            </w:r>
          </w:p>
          <w:p w14:paraId="1EF61EEC" w14:textId="77777777" w:rsidR="00DC464D" w:rsidRDefault="00DC464D" w:rsidP="00DC464D">
            <w:pPr>
              <w:pStyle w:val="Table10ptbullet"/>
              <w:numPr>
                <w:ilvl w:val="0"/>
                <w:numId w:val="2"/>
              </w:numPr>
              <w:spacing w:after="20"/>
              <w:ind w:left="227" w:hanging="227"/>
            </w:pPr>
            <w:r>
              <w:t>attempting to resolve any drug-related problems.</w:t>
            </w:r>
          </w:p>
          <w:p w14:paraId="630D1900" w14:textId="77777777" w:rsidR="00DC464D" w:rsidRDefault="00DC464D" w:rsidP="00DC464D">
            <w:pPr>
              <w:pStyle w:val="Table10ptalignedleft"/>
              <w:spacing w:before="120" w:after="20"/>
              <w:rPr>
                <w:i/>
              </w:rPr>
            </w:pPr>
            <w:r w:rsidRPr="003F561C">
              <w:rPr>
                <w:i/>
              </w:rPr>
              <w:t xml:space="preserve">Interventions </w:t>
            </w:r>
            <w:r>
              <w:rPr>
                <w:i/>
              </w:rPr>
              <w:t>specifying</w:t>
            </w:r>
            <w:r w:rsidRPr="003F561C">
              <w:rPr>
                <w:i/>
              </w:rPr>
              <w:t xml:space="preserve"> multiple </w:t>
            </w:r>
            <w:r>
              <w:rPr>
                <w:i/>
              </w:rPr>
              <w:t xml:space="preserve">scheduled </w:t>
            </w:r>
            <w:r w:rsidRPr="003F561C">
              <w:rPr>
                <w:i/>
              </w:rPr>
              <w:t>visits within a 12-month period will be excluded.</w:t>
            </w:r>
          </w:p>
          <w:p w14:paraId="088509F7" w14:textId="761BFCD3" w:rsidR="00DC464D" w:rsidRPr="0035283E" w:rsidRDefault="00DC464D" w:rsidP="00BD1F1D">
            <w:pPr>
              <w:pStyle w:val="Table10ptalignedleft"/>
              <w:spacing w:after="20"/>
            </w:pPr>
            <w:r>
              <w:rPr>
                <w:i/>
              </w:rPr>
              <w:t>Interventions provided to individuals with type 2 diabetes are excluded as these are covered by Diabetes MedsCheck services (see</w:t>
            </w:r>
            <w:r w:rsidR="00BD1F1D">
              <w:rPr>
                <w:i/>
              </w:rPr>
              <w:t xml:space="preserve"> </w:t>
            </w:r>
            <w:r w:rsidR="00BF76A3" w:rsidRPr="00BF76A3">
              <w:rPr>
                <w:i/>
              </w:rPr>
              <w:fldChar w:fldCharType="begin"/>
            </w:r>
            <w:r w:rsidR="00BF76A3" w:rsidRPr="00BF76A3">
              <w:rPr>
                <w:i/>
              </w:rPr>
              <w:instrText xml:space="preserve"> REF _Ref475607305 \h  \* MERGEFORMAT </w:instrText>
            </w:r>
            <w:r w:rsidR="00BF76A3" w:rsidRPr="00BF76A3">
              <w:rPr>
                <w:i/>
              </w:rPr>
            </w:r>
            <w:r w:rsidR="00BF76A3" w:rsidRPr="00BF76A3">
              <w:rPr>
                <w:i/>
              </w:rPr>
              <w:fldChar w:fldCharType="separate"/>
            </w:r>
            <w:r w:rsidR="009047A7" w:rsidRPr="009047A7">
              <w:rPr>
                <w:i/>
              </w:rPr>
              <w:t xml:space="preserve">Table </w:t>
            </w:r>
            <w:r w:rsidR="009047A7" w:rsidRPr="009047A7">
              <w:rPr>
                <w:i/>
                <w:noProof/>
              </w:rPr>
              <w:t>3.2</w:t>
            </w:r>
            <w:r w:rsidR="00BF76A3" w:rsidRPr="00BF76A3">
              <w:rPr>
                <w:i/>
              </w:rPr>
              <w:fldChar w:fldCharType="end"/>
            </w:r>
            <w:r w:rsidRPr="00FD54F6">
              <w:rPr>
                <w:i/>
              </w:rPr>
              <w:t>).</w:t>
            </w:r>
          </w:p>
        </w:tc>
      </w:tr>
      <w:tr w:rsidR="00DC464D" w:rsidRPr="0035283E" w14:paraId="5EC738BF" w14:textId="77777777" w:rsidTr="00DC464D">
        <w:trPr>
          <w:jc w:val="center"/>
        </w:trPr>
        <w:tc>
          <w:tcPr>
            <w:tcW w:w="1555" w:type="dxa"/>
          </w:tcPr>
          <w:p w14:paraId="7F838B19" w14:textId="77777777" w:rsidR="00DC464D" w:rsidRPr="00142757" w:rsidRDefault="00DC464D" w:rsidP="00DC464D">
            <w:pPr>
              <w:pStyle w:val="Table10ptalignedleft"/>
              <w:spacing w:after="20"/>
            </w:pPr>
            <w:r w:rsidRPr="00142757">
              <w:t>Comparator</w:t>
            </w:r>
          </w:p>
        </w:tc>
        <w:tc>
          <w:tcPr>
            <w:tcW w:w="8197" w:type="dxa"/>
          </w:tcPr>
          <w:p w14:paraId="747C4746" w14:textId="77777777" w:rsidR="00DC464D" w:rsidRPr="0035283E" w:rsidRDefault="00DC464D" w:rsidP="00DC464D">
            <w:pPr>
              <w:pStyle w:val="Table10ptalignedleft"/>
              <w:spacing w:before="20" w:after="20"/>
            </w:pPr>
            <w:r w:rsidRPr="00142757">
              <w:t xml:space="preserve">Community patients </w:t>
            </w:r>
            <w:r>
              <w:t xml:space="preserve">who did not </w:t>
            </w:r>
            <w:r w:rsidRPr="00142757">
              <w:t>access medicines use review services.</w:t>
            </w:r>
          </w:p>
        </w:tc>
      </w:tr>
      <w:tr w:rsidR="00DC464D" w:rsidRPr="0035283E" w14:paraId="633A7C6C" w14:textId="77777777" w:rsidTr="00DC464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1BD8DC05" w14:textId="77777777" w:rsidR="00DC464D" w:rsidRDefault="00DC464D" w:rsidP="00DC464D">
            <w:pPr>
              <w:pStyle w:val="Table10ptalignedleft"/>
              <w:spacing w:after="20"/>
            </w:pPr>
            <w:r>
              <w:lastRenderedPageBreak/>
              <w:t>Outcomes</w:t>
            </w:r>
          </w:p>
        </w:tc>
        <w:tc>
          <w:tcPr>
            <w:tcW w:w="8197" w:type="dxa"/>
            <w:shd w:val="clear" w:color="auto" w:fill="F2DBDB" w:themeFill="accent2" w:themeFillTint="33"/>
          </w:tcPr>
          <w:p w14:paraId="697D5D1E" w14:textId="77777777" w:rsidR="00DC464D" w:rsidRDefault="00DC464D" w:rsidP="00DC464D">
            <w:pPr>
              <w:pStyle w:val="Table10ptbullet"/>
              <w:spacing w:before="20"/>
            </w:pPr>
            <w:r>
              <w:t>Outcomes include:</w:t>
            </w:r>
          </w:p>
          <w:p w14:paraId="096A35AC" w14:textId="77777777" w:rsidR="00DC464D" w:rsidRDefault="00DC464D" w:rsidP="00DC464D">
            <w:pPr>
              <w:pStyle w:val="Table10ptbullet"/>
              <w:numPr>
                <w:ilvl w:val="0"/>
                <w:numId w:val="2"/>
              </w:numPr>
              <w:spacing w:before="20"/>
              <w:ind w:left="227" w:hanging="227"/>
            </w:pPr>
            <w:r>
              <w:t>changes in a</w:t>
            </w:r>
            <w:r w:rsidRPr="005D568A">
              <w:t>dherence</w:t>
            </w:r>
            <w:r>
              <w:t>/</w:t>
            </w:r>
            <w:r w:rsidRPr="005D568A">
              <w:t xml:space="preserve">compliance/concordance </w:t>
            </w:r>
            <w:r>
              <w:t>with</w:t>
            </w:r>
            <w:r w:rsidRPr="005D568A">
              <w:t xml:space="preserve"> </w:t>
            </w:r>
            <w:r>
              <w:t>prescribed dose schedule (e.g. pill count, self-report);</w:t>
            </w:r>
          </w:p>
          <w:p w14:paraId="4A99BEEE" w14:textId="77777777" w:rsidR="00DC464D" w:rsidRDefault="00DC464D" w:rsidP="00DC464D">
            <w:pPr>
              <w:pStyle w:val="Table10ptbullet"/>
              <w:numPr>
                <w:ilvl w:val="0"/>
                <w:numId w:val="2"/>
              </w:numPr>
              <w:ind w:left="227" w:hanging="227"/>
            </w:pPr>
            <w:r>
              <w:t>changes in clinical outcomes</w:t>
            </w:r>
            <w:r w:rsidRPr="005D568A">
              <w:t xml:space="preserve"> (e.g. BP</w:t>
            </w:r>
            <w:r>
              <w:t xml:space="preserve"> in patients with hypertension</w:t>
            </w:r>
            <w:r w:rsidRPr="005D568A">
              <w:t>)</w:t>
            </w:r>
            <w:r>
              <w:t>;</w:t>
            </w:r>
          </w:p>
          <w:p w14:paraId="073E9A30" w14:textId="77777777" w:rsidR="00DC464D" w:rsidRDefault="00DC464D" w:rsidP="00DC464D">
            <w:pPr>
              <w:pStyle w:val="Table10ptbullet"/>
              <w:numPr>
                <w:ilvl w:val="0"/>
                <w:numId w:val="2"/>
              </w:numPr>
              <w:ind w:left="227" w:hanging="227"/>
            </w:pPr>
            <w:r>
              <w:t>rates of a</w:t>
            </w:r>
            <w:r w:rsidRPr="005D568A">
              <w:t>dverse drug event</w:t>
            </w:r>
            <w:r>
              <w:t>/reactions and medication-related problems;</w:t>
            </w:r>
          </w:p>
          <w:p w14:paraId="07ADE23B" w14:textId="77777777" w:rsidR="00DC464D" w:rsidRDefault="00DC464D" w:rsidP="00DC464D">
            <w:pPr>
              <w:pStyle w:val="Table10ptbullet"/>
              <w:numPr>
                <w:ilvl w:val="0"/>
                <w:numId w:val="2"/>
              </w:numPr>
              <w:ind w:left="227" w:hanging="227"/>
            </w:pPr>
            <w:r>
              <w:t>changes in disability indices;</w:t>
            </w:r>
          </w:p>
          <w:p w14:paraId="34CCAD27" w14:textId="77777777" w:rsidR="00DC464D" w:rsidRPr="00F25922" w:rsidRDefault="00DC464D" w:rsidP="00DC464D">
            <w:pPr>
              <w:pStyle w:val="Table10ptbullet"/>
              <w:numPr>
                <w:ilvl w:val="0"/>
                <w:numId w:val="2"/>
              </w:numPr>
              <w:ind w:left="227" w:hanging="227"/>
            </w:pPr>
            <w:r w:rsidRPr="00F25922">
              <w:t>health care resource use (ED attendance, hospitalisation, GP visits, specialist visits)</w:t>
            </w:r>
            <w:r>
              <w:t>;</w:t>
            </w:r>
          </w:p>
          <w:p w14:paraId="2B1B8218" w14:textId="77777777" w:rsidR="00DC464D" w:rsidRPr="00F25922" w:rsidRDefault="00DC464D" w:rsidP="00DC464D">
            <w:pPr>
              <w:pStyle w:val="Table10ptbullet"/>
              <w:numPr>
                <w:ilvl w:val="0"/>
                <w:numId w:val="2"/>
              </w:numPr>
              <w:ind w:left="227" w:hanging="227"/>
            </w:pPr>
            <w:r w:rsidRPr="00F25922">
              <w:t>patient acceptance/satisfaction</w:t>
            </w:r>
            <w:r>
              <w:t>;</w:t>
            </w:r>
          </w:p>
          <w:p w14:paraId="595A8CC9" w14:textId="77777777" w:rsidR="00DC464D" w:rsidRPr="00F25922" w:rsidRDefault="00DC464D" w:rsidP="00DC464D">
            <w:pPr>
              <w:pStyle w:val="Table10ptbullet"/>
              <w:numPr>
                <w:ilvl w:val="0"/>
                <w:numId w:val="2"/>
              </w:numPr>
              <w:ind w:left="227" w:hanging="227"/>
            </w:pPr>
            <w:r w:rsidRPr="00F25922">
              <w:t>health-related quality of life</w:t>
            </w:r>
            <w:r>
              <w:t>;</w:t>
            </w:r>
          </w:p>
          <w:p w14:paraId="01D7F276" w14:textId="77777777" w:rsidR="00DC464D" w:rsidRDefault="00DC464D" w:rsidP="00DC464D">
            <w:pPr>
              <w:pStyle w:val="Table10ptbullet"/>
              <w:numPr>
                <w:ilvl w:val="0"/>
                <w:numId w:val="2"/>
              </w:numPr>
              <w:ind w:left="227" w:hanging="227"/>
            </w:pPr>
            <w:r>
              <w:t>cost of the service;</w:t>
            </w:r>
          </w:p>
          <w:p w14:paraId="547D3A82" w14:textId="77777777" w:rsidR="00DC464D" w:rsidRPr="002474AA" w:rsidRDefault="00DC464D" w:rsidP="00DC464D">
            <w:pPr>
              <w:pStyle w:val="Table10ptbullet"/>
              <w:numPr>
                <w:ilvl w:val="0"/>
                <w:numId w:val="2"/>
              </w:numPr>
              <w:spacing w:after="20"/>
              <w:ind w:left="227" w:hanging="227"/>
            </w:pPr>
            <w:r>
              <w:t>c</w:t>
            </w:r>
            <w:r w:rsidRPr="005D568A">
              <w:t>ost-effectiveness</w:t>
            </w:r>
            <w:r>
              <w:t>.</w:t>
            </w:r>
          </w:p>
        </w:tc>
      </w:tr>
      <w:tr w:rsidR="00DC464D" w:rsidRPr="0035283E" w14:paraId="7AAE3CFD" w14:textId="77777777" w:rsidTr="00DC464D">
        <w:trPr>
          <w:jc w:val="center"/>
        </w:trPr>
        <w:tc>
          <w:tcPr>
            <w:tcW w:w="1555" w:type="dxa"/>
          </w:tcPr>
          <w:p w14:paraId="55C41AFE" w14:textId="77777777" w:rsidR="00DC464D" w:rsidRDefault="00DC464D" w:rsidP="00DC464D">
            <w:pPr>
              <w:pStyle w:val="Table10ptalignedleft"/>
              <w:spacing w:after="20"/>
            </w:pPr>
            <w:r>
              <w:t>Study design</w:t>
            </w:r>
          </w:p>
        </w:tc>
        <w:tc>
          <w:tcPr>
            <w:tcW w:w="8197" w:type="dxa"/>
          </w:tcPr>
          <w:p w14:paraId="5F4C615B" w14:textId="77777777" w:rsidR="00DC464D" w:rsidRDefault="00DC464D" w:rsidP="00DC464D">
            <w:pPr>
              <w:pStyle w:val="Table10ptalignedleft"/>
              <w:spacing w:before="20" w:after="20"/>
            </w:pPr>
            <w:r w:rsidRPr="00527B3D">
              <w:t xml:space="preserve">Comparative studies (randomised or non-randomised controlled trials, </w:t>
            </w:r>
            <w:r>
              <w:t xml:space="preserve">comparative </w:t>
            </w:r>
            <w:r w:rsidRPr="00527B3D">
              <w:t>cohort studies</w:t>
            </w:r>
            <w:r>
              <w:t xml:space="preserve">, </w:t>
            </w:r>
            <w:r w:rsidRPr="00527B3D">
              <w:t>case control studies</w:t>
            </w:r>
            <w:r>
              <w:t>, before/after studies</w:t>
            </w:r>
            <w:r w:rsidRPr="00527B3D">
              <w:t>) or systematic reviews of comparative studies.</w:t>
            </w:r>
          </w:p>
          <w:p w14:paraId="103FCD28" w14:textId="77777777" w:rsidR="00DC464D" w:rsidRPr="0035283E" w:rsidRDefault="00DC464D" w:rsidP="00DC464D">
            <w:pPr>
              <w:pStyle w:val="Table10ptalignedleft"/>
              <w:spacing w:after="20"/>
            </w:pPr>
            <w:r>
              <w:t>Applicability to the Australian context will be considered.</w:t>
            </w:r>
          </w:p>
        </w:tc>
      </w:tr>
      <w:tr w:rsidR="00DC464D" w:rsidRPr="0035283E" w14:paraId="0069F5AD" w14:textId="77777777" w:rsidTr="00DC464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09669E5D" w14:textId="77777777" w:rsidR="00DC464D" w:rsidRDefault="00DC464D" w:rsidP="00DC464D">
            <w:pPr>
              <w:pStyle w:val="Table10ptalignedleft"/>
              <w:spacing w:after="20"/>
            </w:pPr>
            <w:r>
              <w:t>Publication type</w:t>
            </w:r>
          </w:p>
        </w:tc>
        <w:tc>
          <w:tcPr>
            <w:tcW w:w="8197" w:type="dxa"/>
            <w:shd w:val="clear" w:color="auto" w:fill="F2DBDB" w:themeFill="accent2" w:themeFillTint="33"/>
          </w:tcPr>
          <w:p w14:paraId="40D6115A" w14:textId="77777777" w:rsidR="00DC464D" w:rsidRDefault="00DC464D" w:rsidP="00DC464D">
            <w:pPr>
              <w:pStyle w:val="Table10ptalignedleft"/>
              <w:spacing w:before="20" w:after="20"/>
            </w:pPr>
            <w:r>
              <w:t xml:space="preserve">Full English-language publications or reports. </w:t>
            </w:r>
          </w:p>
          <w:p w14:paraId="6F64930B" w14:textId="77777777" w:rsidR="00DC464D" w:rsidRPr="005D568A" w:rsidRDefault="00DC464D" w:rsidP="00DC464D">
            <w:pPr>
              <w:pStyle w:val="Table10ptalignedleft"/>
              <w:spacing w:after="20"/>
            </w:pPr>
            <w:r>
              <w:t>Conference abstracts will be excluded.</w:t>
            </w:r>
          </w:p>
        </w:tc>
      </w:tr>
    </w:tbl>
    <w:p w14:paraId="798AADFF" w14:textId="117074E4" w:rsidR="006B010E" w:rsidRDefault="006B010E" w:rsidP="006B010E">
      <w:pPr>
        <w:pStyle w:val="TableorFigurefootnote"/>
      </w:pPr>
      <w:bookmarkStart w:id="24" w:name="_Ref469055842"/>
      <w:r w:rsidRPr="005D568A">
        <w:t>Abb</w:t>
      </w:r>
      <w:r>
        <w:t>reviations: BP, blood pressure; ED, emergency department; GP, general practitioner</w:t>
      </w:r>
    </w:p>
    <w:p w14:paraId="7CCB7888" w14:textId="0226E3D3" w:rsidR="00DC464D" w:rsidRPr="009F1BF4" w:rsidRDefault="00DC464D" w:rsidP="00DC464D">
      <w:pPr>
        <w:pStyle w:val="01BODYTEXT"/>
      </w:pPr>
      <w:r>
        <w:fldChar w:fldCharType="begin"/>
      </w:r>
      <w:r>
        <w:instrText xml:space="preserve"> REF _Ref475607305 \h </w:instrText>
      </w:r>
      <w:r>
        <w:fldChar w:fldCharType="separate"/>
      </w:r>
      <w:r w:rsidR="009047A7">
        <w:t xml:space="preserve">Table </w:t>
      </w:r>
      <w:r w:rsidR="009047A7">
        <w:rPr>
          <w:noProof/>
        </w:rPr>
        <w:t>3</w:t>
      </w:r>
      <w:r w:rsidR="009047A7">
        <w:t>.</w:t>
      </w:r>
      <w:r w:rsidR="009047A7">
        <w:rPr>
          <w:noProof/>
        </w:rPr>
        <w:t>2</w:t>
      </w:r>
      <w:r>
        <w:fldChar w:fldCharType="end"/>
      </w:r>
      <w:r>
        <w:t xml:space="preserve"> </w:t>
      </w:r>
      <w:r w:rsidRPr="004F5841">
        <w:t>presents the selection criteria for evidence assessing the effectiveness and cost-effectiveness of</w:t>
      </w:r>
      <w:r>
        <w:t xml:space="preserve"> medicines use review services provided to individuals with diabetes (Diabetes MedsCheck)</w:t>
      </w:r>
      <w:r w:rsidRPr="009F1BF4">
        <w:t>.</w:t>
      </w:r>
    </w:p>
    <w:p w14:paraId="5FDCAA79" w14:textId="514B2817" w:rsidR="00DC464D" w:rsidRPr="0035283E" w:rsidRDefault="00DC464D" w:rsidP="00DC464D">
      <w:pPr>
        <w:pStyle w:val="Caption"/>
      </w:pPr>
      <w:bookmarkStart w:id="25" w:name="_Ref475607305"/>
      <w:bookmarkEnd w:id="24"/>
      <w:r>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3</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2</w:t>
      </w:r>
      <w:r w:rsidR="009047A7">
        <w:rPr>
          <w:noProof/>
        </w:rPr>
        <w:fldChar w:fldCharType="end"/>
      </w:r>
      <w:bookmarkEnd w:id="25"/>
      <w:r w:rsidRPr="0035283E">
        <w:t xml:space="preserve">: </w:t>
      </w:r>
      <w:r w:rsidRPr="00187213">
        <w:t xml:space="preserve">Selection criteria for evidence </w:t>
      </w:r>
      <w:r>
        <w:t xml:space="preserve">relating to </w:t>
      </w:r>
      <w:r w:rsidRPr="00F03A0A">
        <w:t xml:space="preserve">Diabetes MedsCheck </w:t>
      </w:r>
      <w:r w:rsidRPr="00FD54F6">
        <w:t xml:space="preserve">services </w:t>
      </w:r>
      <w:r>
        <w:t>provided by community pharmacists</w:t>
      </w:r>
    </w:p>
    <w:tbl>
      <w:tblPr>
        <w:tblStyle w:val="TableGrid1"/>
        <w:tblW w:w="9752" w:type="dxa"/>
        <w:jc w:val="center"/>
        <w:tblLayout w:type="fixed"/>
        <w:tblLook w:val="04A0" w:firstRow="1" w:lastRow="0" w:firstColumn="1" w:lastColumn="0" w:noHBand="0" w:noVBand="1"/>
        <w:tblCaption w:val="Table 3.2"/>
        <w:tblDescription w:val="Selection criteria for evidence relating to Diabetes MedsCheck services provided by community pharmacists"/>
      </w:tblPr>
      <w:tblGrid>
        <w:gridCol w:w="1555"/>
        <w:gridCol w:w="8197"/>
      </w:tblGrid>
      <w:tr w:rsidR="00DC464D" w:rsidRPr="0035283E" w14:paraId="3C612E0C" w14:textId="77777777" w:rsidTr="00DC464D">
        <w:trPr>
          <w:cnfStyle w:val="100000000000" w:firstRow="1" w:lastRow="0" w:firstColumn="0" w:lastColumn="0" w:oddVBand="0" w:evenVBand="0" w:oddHBand="0" w:evenHBand="0" w:firstRowFirstColumn="0" w:firstRowLastColumn="0" w:lastRowFirstColumn="0" w:lastRowLastColumn="0"/>
          <w:tblHeader/>
          <w:jc w:val="center"/>
        </w:trPr>
        <w:tc>
          <w:tcPr>
            <w:tcW w:w="1555" w:type="dxa"/>
            <w:shd w:val="clear" w:color="auto" w:fill="632423" w:themeFill="accent2" w:themeFillShade="80"/>
            <w:vAlign w:val="center"/>
          </w:tcPr>
          <w:p w14:paraId="2F84BDCC" w14:textId="77777777" w:rsidR="00DC464D" w:rsidRPr="0035283E" w:rsidRDefault="00DC464D" w:rsidP="00DC464D">
            <w:pPr>
              <w:pStyle w:val="Table10ptheadingalignedleft"/>
              <w:spacing w:after="20"/>
            </w:pPr>
            <w:r>
              <w:t>Criteria</w:t>
            </w:r>
          </w:p>
        </w:tc>
        <w:tc>
          <w:tcPr>
            <w:tcW w:w="8197" w:type="dxa"/>
            <w:shd w:val="clear" w:color="auto" w:fill="632423" w:themeFill="accent2" w:themeFillShade="80"/>
            <w:vAlign w:val="center"/>
          </w:tcPr>
          <w:p w14:paraId="12720CC9" w14:textId="77777777" w:rsidR="00DC464D" w:rsidRPr="0035283E" w:rsidRDefault="00DC464D" w:rsidP="00DC464D">
            <w:pPr>
              <w:pStyle w:val="Table10ptheadingcentred"/>
              <w:spacing w:after="20"/>
            </w:pPr>
            <w:r>
              <w:t>Description</w:t>
            </w:r>
          </w:p>
        </w:tc>
      </w:tr>
      <w:tr w:rsidR="00DC464D" w:rsidRPr="0035283E" w14:paraId="23497AF1" w14:textId="77777777" w:rsidTr="00DC464D">
        <w:trPr>
          <w:jc w:val="center"/>
        </w:trPr>
        <w:tc>
          <w:tcPr>
            <w:tcW w:w="1555" w:type="dxa"/>
          </w:tcPr>
          <w:p w14:paraId="77305095" w14:textId="77777777" w:rsidR="00DC464D" w:rsidRPr="0035283E" w:rsidRDefault="00DC464D" w:rsidP="00DC464D">
            <w:pPr>
              <w:pStyle w:val="Table10ptalignedleft"/>
              <w:spacing w:after="20"/>
            </w:pPr>
            <w:r>
              <w:t>Population</w:t>
            </w:r>
          </w:p>
        </w:tc>
        <w:tc>
          <w:tcPr>
            <w:tcW w:w="8197" w:type="dxa"/>
          </w:tcPr>
          <w:p w14:paraId="1390563F" w14:textId="77777777" w:rsidR="00DC464D" w:rsidRPr="0035283E" w:rsidRDefault="00DC464D" w:rsidP="00DC464D">
            <w:pPr>
              <w:pStyle w:val="Table10ptalignedleft"/>
              <w:spacing w:before="20" w:after="20"/>
            </w:pPr>
            <w:r w:rsidRPr="003F4A63">
              <w:t>Community patients that are at risk of medica</w:t>
            </w:r>
            <w:r>
              <w:t>tion mismanagement and have been diagnosed with type 2 diabetes within the past 12 months or their type 2 diabetes is less than ideally controlled.</w:t>
            </w:r>
          </w:p>
        </w:tc>
      </w:tr>
      <w:tr w:rsidR="00DC464D" w:rsidRPr="0035283E" w14:paraId="23E580D1" w14:textId="77777777" w:rsidTr="00DC464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54FE310A" w14:textId="77777777" w:rsidR="00DC464D" w:rsidRDefault="00DC464D" w:rsidP="00DC464D">
            <w:pPr>
              <w:pStyle w:val="Table10ptalignedleft"/>
              <w:spacing w:after="20"/>
            </w:pPr>
            <w:r>
              <w:t>Intervention</w:t>
            </w:r>
          </w:p>
        </w:tc>
        <w:tc>
          <w:tcPr>
            <w:tcW w:w="8197" w:type="dxa"/>
            <w:shd w:val="clear" w:color="auto" w:fill="F2DBDB" w:themeFill="accent2" w:themeFillTint="33"/>
          </w:tcPr>
          <w:p w14:paraId="36AC1D08" w14:textId="77777777" w:rsidR="00DC464D" w:rsidRDefault="00DC464D" w:rsidP="00DC464D">
            <w:pPr>
              <w:pStyle w:val="Table10ptalignedleftspaceafter"/>
              <w:spacing w:before="20" w:after="20"/>
            </w:pPr>
            <w:r>
              <w:t>A ‘medicines use review’</w:t>
            </w:r>
            <w:r w:rsidRPr="00583D13">
              <w:t xml:space="preserve"> </w:t>
            </w:r>
            <w:r>
              <w:t>or similar service performed by a pharmacist at a community pharmacy and focusing</w:t>
            </w:r>
            <w:r w:rsidRPr="0041726C">
              <w:t xml:space="preserve"> </w:t>
            </w:r>
            <w:r w:rsidRPr="003F4A63">
              <w:t>on the patient’s type 2 diabetes medicines management, monitoring devices, education and self-management</w:t>
            </w:r>
            <w:r>
              <w:t xml:space="preserve"> by:</w:t>
            </w:r>
          </w:p>
          <w:p w14:paraId="03E291EE" w14:textId="77777777" w:rsidR="00DC464D" w:rsidRDefault="00DC464D" w:rsidP="00DC464D">
            <w:pPr>
              <w:pStyle w:val="Table10ptbullet"/>
              <w:numPr>
                <w:ilvl w:val="0"/>
                <w:numId w:val="2"/>
              </w:numPr>
              <w:ind w:left="227" w:hanging="227"/>
            </w:pPr>
            <w:r>
              <w:t>identifying</w:t>
            </w:r>
            <w:r w:rsidRPr="0041726C">
              <w:t xml:space="preserve"> problems that the patient may be expe</w:t>
            </w:r>
            <w:r>
              <w:t>riencing with their medicines;</w:t>
            </w:r>
          </w:p>
          <w:p w14:paraId="2604F8A8" w14:textId="77777777" w:rsidR="00DC464D" w:rsidRDefault="00DC464D" w:rsidP="00DC464D">
            <w:pPr>
              <w:pStyle w:val="Table10ptbullet"/>
              <w:numPr>
                <w:ilvl w:val="0"/>
                <w:numId w:val="2"/>
              </w:numPr>
              <w:ind w:left="227" w:hanging="227"/>
            </w:pPr>
            <w:r>
              <w:t>providing education and guidance on correct use of medication/monitoring devices; or</w:t>
            </w:r>
          </w:p>
          <w:p w14:paraId="27C40A6B" w14:textId="77777777" w:rsidR="00DC464D" w:rsidRDefault="00DC464D" w:rsidP="00DC464D">
            <w:pPr>
              <w:pStyle w:val="Table10ptbullet"/>
              <w:numPr>
                <w:ilvl w:val="0"/>
                <w:numId w:val="2"/>
              </w:numPr>
              <w:spacing w:after="20"/>
              <w:ind w:left="227" w:hanging="227"/>
            </w:pPr>
            <w:r>
              <w:t>attempting to resolve any drug-related problems.</w:t>
            </w:r>
          </w:p>
          <w:p w14:paraId="26D065FE" w14:textId="77777777" w:rsidR="00DC464D" w:rsidRPr="0001337B" w:rsidRDefault="00DC464D" w:rsidP="00DC464D">
            <w:pPr>
              <w:pStyle w:val="Table10ptalignedleft"/>
              <w:spacing w:before="120" w:after="20"/>
              <w:rPr>
                <w:i/>
              </w:rPr>
            </w:pPr>
            <w:r w:rsidRPr="003F561C">
              <w:rPr>
                <w:i/>
              </w:rPr>
              <w:t xml:space="preserve">Interventions </w:t>
            </w:r>
            <w:r>
              <w:rPr>
                <w:i/>
              </w:rPr>
              <w:t>specifying</w:t>
            </w:r>
            <w:r w:rsidRPr="003F561C">
              <w:rPr>
                <w:i/>
              </w:rPr>
              <w:t xml:space="preserve"> multiple </w:t>
            </w:r>
            <w:r>
              <w:rPr>
                <w:i/>
              </w:rPr>
              <w:t xml:space="preserve">scheduled </w:t>
            </w:r>
            <w:r w:rsidRPr="003F561C">
              <w:rPr>
                <w:i/>
              </w:rPr>
              <w:t>visits within a 12-month period will be excluded.</w:t>
            </w:r>
          </w:p>
        </w:tc>
      </w:tr>
      <w:tr w:rsidR="00DC464D" w:rsidRPr="0035283E" w14:paraId="1A1CF400" w14:textId="77777777" w:rsidTr="00DC464D">
        <w:trPr>
          <w:jc w:val="center"/>
        </w:trPr>
        <w:tc>
          <w:tcPr>
            <w:tcW w:w="1555" w:type="dxa"/>
          </w:tcPr>
          <w:p w14:paraId="368B869A" w14:textId="77777777" w:rsidR="00DC464D" w:rsidRDefault="00DC464D" w:rsidP="00DC464D">
            <w:pPr>
              <w:pStyle w:val="Table10ptalignedleft"/>
              <w:spacing w:after="20"/>
            </w:pPr>
            <w:r>
              <w:t>Comparator</w:t>
            </w:r>
          </w:p>
        </w:tc>
        <w:tc>
          <w:tcPr>
            <w:tcW w:w="8197" w:type="dxa"/>
          </w:tcPr>
          <w:p w14:paraId="21B79006" w14:textId="77777777" w:rsidR="00DC464D" w:rsidRPr="0035283E" w:rsidRDefault="00DC464D" w:rsidP="00DC464D">
            <w:pPr>
              <w:pStyle w:val="Table10ptalignedleft"/>
              <w:spacing w:before="20" w:after="20"/>
            </w:pPr>
            <w:r>
              <w:t>C</w:t>
            </w:r>
            <w:r w:rsidRPr="005D568A">
              <w:t xml:space="preserve">ommunity patients </w:t>
            </w:r>
            <w:r>
              <w:t>with type 2 diabetes who did not access medicines use review services.</w:t>
            </w:r>
          </w:p>
        </w:tc>
      </w:tr>
      <w:tr w:rsidR="00DC464D" w:rsidRPr="0035283E" w14:paraId="01855358" w14:textId="77777777" w:rsidTr="00DC464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63C951DB" w14:textId="77777777" w:rsidR="00DC464D" w:rsidRDefault="00DC464D" w:rsidP="00DC464D">
            <w:pPr>
              <w:pStyle w:val="Table10ptalignedleft"/>
              <w:spacing w:after="20"/>
            </w:pPr>
            <w:r>
              <w:t>Outcomes</w:t>
            </w:r>
          </w:p>
        </w:tc>
        <w:tc>
          <w:tcPr>
            <w:tcW w:w="8197" w:type="dxa"/>
            <w:shd w:val="clear" w:color="auto" w:fill="F2DBDB" w:themeFill="accent2" w:themeFillTint="33"/>
          </w:tcPr>
          <w:p w14:paraId="3D561EB1" w14:textId="77777777" w:rsidR="00DC464D" w:rsidRDefault="00DC464D" w:rsidP="00DC464D">
            <w:pPr>
              <w:pStyle w:val="Table10ptbullet"/>
              <w:spacing w:before="20"/>
            </w:pPr>
            <w:r>
              <w:t>Outcomes include:</w:t>
            </w:r>
          </w:p>
          <w:p w14:paraId="2BE447DD" w14:textId="77777777" w:rsidR="00DC464D" w:rsidRDefault="00DC464D" w:rsidP="00DC464D">
            <w:pPr>
              <w:pStyle w:val="Table10ptbullet"/>
              <w:numPr>
                <w:ilvl w:val="0"/>
                <w:numId w:val="2"/>
              </w:numPr>
              <w:spacing w:before="20"/>
              <w:ind w:left="227" w:hanging="227"/>
            </w:pPr>
            <w:r>
              <w:t>changes in a</w:t>
            </w:r>
            <w:r w:rsidRPr="005D568A">
              <w:t>dherence</w:t>
            </w:r>
            <w:r>
              <w:t>/</w:t>
            </w:r>
            <w:r w:rsidRPr="005D568A">
              <w:t xml:space="preserve">compliance/concordance </w:t>
            </w:r>
            <w:r>
              <w:t>with</w:t>
            </w:r>
            <w:r w:rsidRPr="005D568A">
              <w:t xml:space="preserve"> </w:t>
            </w:r>
            <w:r>
              <w:t>prescribed dose schedule (e.g. pill count, self-report);</w:t>
            </w:r>
          </w:p>
          <w:p w14:paraId="6FA5C1C6" w14:textId="77777777" w:rsidR="00DC464D" w:rsidRDefault="00DC464D" w:rsidP="00DC464D">
            <w:pPr>
              <w:pStyle w:val="Table10ptbullet"/>
              <w:numPr>
                <w:ilvl w:val="0"/>
                <w:numId w:val="2"/>
              </w:numPr>
              <w:ind w:left="227" w:hanging="227"/>
            </w:pPr>
            <w:r>
              <w:t>changes in clinical outcomes</w:t>
            </w:r>
            <w:r w:rsidRPr="005D568A">
              <w:t xml:space="preserve"> (e.g. </w:t>
            </w:r>
            <w:r w:rsidRPr="00E77CA7">
              <w:t>bloo</w:t>
            </w:r>
            <w:r>
              <w:t>d glucose levels, glycated HbA</w:t>
            </w:r>
            <w:r w:rsidRPr="0001337B">
              <w:rPr>
                <w:vertAlign w:val="subscript"/>
              </w:rPr>
              <w:t>1c</w:t>
            </w:r>
            <w:r w:rsidRPr="005D568A">
              <w:t>)</w:t>
            </w:r>
            <w:r>
              <w:t>;</w:t>
            </w:r>
          </w:p>
          <w:p w14:paraId="4507B6A0" w14:textId="77777777" w:rsidR="00DC464D" w:rsidRDefault="00DC464D" w:rsidP="00DC464D">
            <w:pPr>
              <w:pStyle w:val="Table10ptbullet"/>
              <w:numPr>
                <w:ilvl w:val="0"/>
                <w:numId w:val="2"/>
              </w:numPr>
              <w:ind w:left="227" w:hanging="227"/>
            </w:pPr>
            <w:r>
              <w:t>rates of a</w:t>
            </w:r>
            <w:r w:rsidRPr="005D568A">
              <w:t>dverse drug event</w:t>
            </w:r>
            <w:r>
              <w:t>/reactions and medication-related problems;</w:t>
            </w:r>
          </w:p>
          <w:p w14:paraId="53F5EEF7" w14:textId="77777777" w:rsidR="00DC464D" w:rsidRPr="00F54F73" w:rsidRDefault="00DC464D" w:rsidP="00DC464D">
            <w:pPr>
              <w:pStyle w:val="Table10ptbullet"/>
              <w:numPr>
                <w:ilvl w:val="0"/>
                <w:numId w:val="2"/>
              </w:numPr>
              <w:ind w:left="227" w:hanging="227"/>
            </w:pPr>
            <w:r w:rsidRPr="00F54F73">
              <w:t>mortality</w:t>
            </w:r>
            <w:r>
              <w:t xml:space="preserve"> rates;</w:t>
            </w:r>
          </w:p>
          <w:p w14:paraId="1CDD6794" w14:textId="77777777" w:rsidR="00DC464D" w:rsidRPr="00F25922" w:rsidRDefault="00DC464D" w:rsidP="00DC464D">
            <w:pPr>
              <w:pStyle w:val="Table10ptbullet"/>
              <w:numPr>
                <w:ilvl w:val="0"/>
                <w:numId w:val="2"/>
              </w:numPr>
              <w:ind w:left="227" w:hanging="227"/>
            </w:pPr>
            <w:r w:rsidRPr="00F25922">
              <w:t>health care resource use (ED attendance, hospitalisation, GP visits, specialist visits)</w:t>
            </w:r>
            <w:r>
              <w:t>;</w:t>
            </w:r>
          </w:p>
          <w:p w14:paraId="74DB572E" w14:textId="77777777" w:rsidR="00DC464D" w:rsidRPr="00F25922" w:rsidRDefault="00DC464D" w:rsidP="00DC464D">
            <w:pPr>
              <w:pStyle w:val="Table10ptbullet"/>
              <w:numPr>
                <w:ilvl w:val="0"/>
                <w:numId w:val="2"/>
              </w:numPr>
              <w:ind w:left="227" w:hanging="227"/>
            </w:pPr>
            <w:r w:rsidRPr="00F25922">
              <w:t>patient acceptance/satisfaction</w:t>
            </w:r>
            <w:r>
              <w:t>;</w:t>
            </w:r>
          </w:p>
          <w:p w14:paraId="1DAC6551" w14:textId="77777777" w:rsidR="00DC464D" w:rsidRPr="00F25922" w:rsidRDefault="00DC464D" w:rsidP="00DC464D">
            <w:pPr>
              <w:pStyle w:val="Table10ptbullet"/>
              <w:numPr>
                <w:ilvl w:val="0"/>
                <w:numId w:val="2"/>
              </w:numPr>
              <w:ind w:left="227" w:hanging="227"/>
            </w:pPr>
            <w:r w:rsidRPr="00F25922">
              <w:t>health-related quality of life</w:t>
            </w:r>
            <w:r>
              <w:t>;</w:t>
            </w:r>
          </w:p>
          <w:p w14:paraId="79B79396" w14:textId="77777777" w:rsidR="00DC464D" w:rsidRDefault="00DC464D" w:rsidP="00DC464D">
            <w:pPr>
              <w:pStyle w:val="Table10ptbullet"/>
              <w:numPr>
                <w:ilvl w:val="0"/>
                <w:numId w:val="2"/>
              </w:numPr>
              <w:ind w:left="227" w:hanging="227"/>
            </w:pPr>
            <w:r>
              <w:t>cost of the service;</w:t>
            </w:r>
          </w:p>
          <w:p w14:paraId="12A5E66B" w14:textId="77777777" w:rsidR="00DC464D" w:rsidRPr="00E77CA7" w:rsidRDefault="00DC464D" w:rsidP="00DC464D">
            <w:pPr>
              <w:pStyle w:val="Table10ptbullet"/>
              <w:numPr>
                <w:ilvl w:val="0"/>
                <w:numId w:val="2"/>
              </w:numPr>
              <w:spacing w:after="20"/>
              <w:ind w:left="227" w:hanging="227"/>
            </w:pPr>
            <w:r>
              <w:t>cost-effectiveness.</w:t>
            </w:r>
          </w:p>
        </w:tc>
      </w:tr>
      <w:tr w:rsidR="00DC464D" w:rsidRPr="0035283E" w14:paraId="6BD25097" w14:textId="77777777" w:rsidTr="00DC464D">
        <w:trPr>
          <w:jc w:val="center"/>
        </w:trPr>
        <w:tc>
          <w:tcPr>
            <w:tcW w:w="1555" w:type="dxa"/>
          </w:tcPr>
          <w:p w14:paraId="72DAFA7B" w14:textId="77777777" w:rsidR="00DC464D" w:rsidRDefault="00DC464D" w:rsidP="00DC464D">
            <w:pPr>
              <w:pStyle w:val="Table10ptalignedleft"/>
              <w:spacing w:after="20"/>
            </w:pPr>
            <w:r>
              <w:t>Study design</w:t>
            </w:r>
          </w:p>
        </w:tc>
        <w:tc>
          <w:tcPr>
            <w:tcW w:w="8197" w:type="dxa"/>
          </w:tcPr>
          <w:p w14:paraId="55C844A2" w14:textId="77777777" w:rsidR="00DC464D" w:rsidRDefault="00DC464D" w:rsidP="00DC464D">
            <w:pPr>
              <w:pStyle w:val="Table10ptalignedleft"/>
              <w:spacing w:before="20" w:after="20"/>
            </w:pPr>
            <w:r w:rsidRPr="00527B3D">
              <w:t xml:space="preserve">Comparative studies (randomised or non-randomised controlled trials, </w:t>
            </w:r>
            <w:r>
              <w:t xml:space="preserve">comparative </w:t>
            </w:r>
            <w:r w:rsidRPr="00527B3D">
              <w:t>cohort studies, case control studies</w:t>
            </w:r>
            <w:r>
              <w:t>, before/after studies</w:t>
            </w:r>
            <w:r w:rsidRPr="00527B3D">
              <w:t>) or systematic reviews of comparative studies.</w:t>
            </w:r>
          </w:p>
          <w:p w14:paraId="7EFDDB48" w14:textId="77777777" w:rsidR="00DC464D" w:rsidRPr="0035283E" w:rsidRDefault="00DC464D" w:rsidP="00DC464D">
            <w:pPr>
              <w:pStyle w:val="Table10ptalignedleft"/>
              <w:spacing w:after="20"/>
            </w:pPr>
            <w:r>
              <w:t>Applicability to the Australian context will be considered.</w:t>
            </w:r>
          </w:p>
        </w:tc>
      </w:tr>
      <w:tr w:rsidR="00DC464D" w:rsidRPr="0035283E" w14:paraId="2FE2C2CE" w14:textId="77777777" w:rsidTr="00DC464D">
        <w:trPr>
          <w:cnfStyle w:val="000000010000" w:firstRow="0" w:lastRow="0" w:firstColumn="0" w:lastColumn="0" w:oddVBand="0" w:evenVBand="0" w:oddHBand="0" w:evenHBand="1" w:firstRowFirstColumn="0" w:firstRowLastColumn="0" w:lastRowFirstColumn="0" w:lastRowLastColumn="0"/>
          <w:jc w:val="center"/>
        </w:trPr>
        <w:tc>
          <w:tcPr>
            <w:tcW w:w="1555" w:type="dxa"/>
            <w:shd w:val="clear" w:color="auto" w:fill="F2DBDB" w:themeFill="accent2" w:themeFillTint="33"/>
          </w:tcPr>
          <w:p w14:paraId="7E6A9F5F" w14:textId="77777777" w:rsidR="00DC464D" w:rsidRDefault="00DC464D" w:rsidP="00DC464D">
            <w:pPr>
              <w:pStyle w:val="Table10ptalignedleft"/>
              <w:spacing w:after="20"/>
            </w:pPr>
            <w:r>
              <w:t>Publication type</w:t>
            </w:r>
          </w:p>
        </w:tc>
        <w:tc>
          <w:tcPr>
            <w:tcW w:w="8197" w:type="dxa"/>
            <w:shd w:val="clear" w:color="auto" w:fill="F2DBDB" w:themeFill="accent2" w:themeFillTint="33"/>
          </w:tcPr>
          <w:p w14:paraId="5B70FCB7" w14:textId="77777777" w:rsidR="00DC464D" w:rsidRDefault="00DC464D" w:rsidP="00DC464D">
            <w:pPr>
              <w:pStyle w:val="Table10ptalignedleft"/>
              <w:spacing w:before="20" w:after="20"/>
            </w:pPr>
            <w:r>
              <w:t xml:space="preserve">Full English-language publications or reports. </w:t>
            </w:r>
          </w:p>
          <w:p w14:paraId="189BE667" w14:textId="77777777" w:rsidR="00DC464D" w:rsidRPr="005D568A" w:rsidRDefault="00DC464D" w:rsidP="00DC464D">
            <w:pPr>
              <w:pStyle w:val="Table10ptalignedleft"/>
              <w:spacing w:after="20"/>
            </w:pPr>
            <w:r>
              <w:t>Conference abstracts will be excluded.</w:t>
            </w:r>
          </w:p>
        </w:tc>
      </w:tr>
    </w:tbl>
    <w:p w14:paraId="295813F5" w14:textId="6361D350" w:rsidR="00DC464D" w:rsidRPr="00527B3D" w:rsidRDefault="00DC464D" w:rsidP="00DC464D">
      <w:pPr>
        <w:pStyle w:val="TableorFigurefootnote"/>
      </w:pPr>
      <w:r w:rsidRPr="005D568A">
        <w:t>Abb</w:t>
      </w:r>
      <w:r>
        <w:t xml:space="preserve">reviations: ED, emergency department; </w:t>
      </w:r>
      <w:r w:rsidR="006B010E">
        <w:t>GP, general practitioner;</w:t>
      </w:r>
      <w:r>
        <w:t>HBA</w:t>
      </w:r>
      <w:r w:rsidRPr="00F837EF">
        <w:rPr>
          <w:vertAlign w:val="subscript"/>
        </w:rPr>
        <w:t>1c</w:t>
      </w:r>
      <w:r>
        <w:t xml:space="preserve">, glycated haemoglobin. </w:t>
      </w:r>
    </w:p>
    <w:p w14:paraId="3D595BFC" w14:textId="77777777" w:rsidR="006B010E" w:rsidRDefault="006B010E" w:rsidP="006B010E">
      <w:pPr>
        <w:pStyle w:val="BodyText"/>
      </w:pPr>
      <w:bookmarkStart w:id="26" w:name="_Toc463539400"/>
      <w:bookmarkStart w:id="27" w:name="_Toc474252295"/>
      <w:r w:rsidRPr="00F9782F">
        <w:t xml:space="preserve">A comprehensive search of peer-reviewed scientific literature was conducted in </w:t>
      </w:r>
      <w:r>
        <w:t>December</w:t>
      </w:r>
      <w:r w:rsidRPr="00F9782F">
        <w:t xml:space="preserve"> 2016 to identify studies that provide evidence relating to the effectivene</w:t>
      </w:r>
      <w:r>
        <w:t xml:space="preserve">ss and cost-effectiveness of MedsCheck/Diabetes MedsCheck </w:t>
      </w:r>
      <w:r w:rsidRPr="00F9782F">
        <w:t xml:space="preserve">or similar </w:t>
      </w:r>
      <w:r>
        <w:t xml:space="preserve">community pharmacy based </w:t>
      </w:r>
      <w:r w:rsidRPr="00F9782F">
        <w:t xml:space="preserve">programs provided by pharmacists to individuals living </w:t>
      </w:r>
      <w:r>
        <w:t xml:space="preserve">in the community.  </w:t>
      </w:r>
    </w:p>
    <w:p w14:paraId="282AA08D" w14:textId="5A8A9BDB" w:rsidR="006B010E" w:rsidRPr="00975A5C" w:rsidRDefault="006B010E" w:rsidP="006B010E">
      <w:pPr>
        <w:pStyle w:val="BodyText"/>
      </w:pPr>
      <w:r>
        <w:t>Three</w:t>
      </w:r>
      <w:r w:rsidRPr="00F9782F">
        <w:t xml:space="preserve"> electronic database</w:t>
      </w:r>
      <w:r>
        <w:t xml:space="preserve">s were searched </w:t>
      </w:r>
      <w:r w:rsidRPr="00F9782F">
        <w:t xml:space="preserve">for original research papers describing </w:t>
      </w:r>
      <w:r>
        <w:t xml:space="preserve">relevant </w:t>
      </w:r>
      <w:r w:rsidRPr="00F9782F">
        <w:t>sy</w:t>
      </w:r>
      <w:r>
        <w:t xml:space="preserve">stematic reviews, meta-analyses or comparative studies; Embase (OVID), Medline (OVID) and the </w:t>
      </w:r>
      <w:r w:rsidRPr="001D420F">
        <w:t>Cochrane Library of Systematic Reviews (Cochrane Database of Systematic Reviews</w:t>
      </w:r>
      <w:r>
        <w:t>;</w:t>
      </w:r>
      <w:r w:rsidRPr="001D420F">
        <w:t xml:space="preserve"> Database of Abstracts of </w:t>
      </w:r>
      <w:r w:rsidRPr="001D420F">
        <w:lastRenderedPageBreak/>
        <w:t xml:space="preserve">Reviews of Effects; Cochrane Central Register of Controlled Trials; Health Technology Assessments Database; NHS </w:t>
      </w:r>
      <w:r>
        <w:t>Economic Evaluation Database).  The search was conducted on 19</w:t>
      </w:r>
      <w:r w:rsidRPr="00B645A0">
        <w:rPr>
          <w:vertAlign w:val="superscript"/>
        </w:rPr>
        <w:t>th</w:t>
      </w:r>
      <w:r w:rsidRPr="00F9782F">
        <w:t xml:space="preserve"> </w:t>
      </w:r>
      <w:r>
        <w:t>December</w:t>
      </w:r>
      <w:r w:rsidRPr="00F9782F">
        <w:t xml:space="preserve"> 2016</w:t>
      </w:r>
      <w:r>
        <w:t xml:space="preserve">, and the </w:t>
      </w:r>
      <w:r w:rsidRPr="00F9782F">
        <w:t>publication date was unrestricted</w:t>
      </w:r>
      <w:r>
        <w:t xml:space="preserve">.  </w:t>
      </w:r>
      <w:r w:rsidRPr="008046C0">
        <w:t xml:space="preserve">A search of the Health Systems Evidence database, and the websites of </w:t>
      </w:r>
      <w:r w:rsidR="00DA01FB">
        <w:t>health technology assessment (</w:t>
      </w:r>
      <w:r w:rsidRPr="008046C0">
        <w:t>HTA</w:t>
      </w:r>
      <w:r w:rsidR="00DA01FB">
        <w:t>)</w:t>
      </w:r>
      <w:r w:rsidRPr="008046C0">
        <w:t xml:space="preserve"> agencies was also </w:t>
      </w:r>
      <w:r>
        <w:t>conducted.</w:t>
      </w:r>
      <w:r w:rsidRPr="008046C0">
        <w:t xml:space="preserve">  </w:t>
      </w:r>
    </w:p>
    <w:p w14:paraId="065DF813" w14:textId="77777777" w:rsidR="006B010E" w:rsidRDefault="006B010E" w:rsidP="006B010E">
      <w:pPr>
        <w:pStyle w:val="BodyText"/>
      </w:pPr>
      <w:r w:rsidRPr="00F9782F">
        <w:t>The specific search terms used to identify relevant literature are outlined in</w:t>
      </w:r>
      <w:r>
        <w:t xml:space="preserve"> B.  The search strategy was designed to identify articles relevant to the evaluation of HMR, RMMR and also the MedsCheck and Diabetes MedsCheck programs.  While the screening for evidence pertinent to each of these programs was conducted simultaneously, the evaluation of</w:t>
      </w:r>
      <w:r w:rsidRPr="00490BF5">
        <w:t xml:space="preserve"> HMR, RMMR, MedsCheck and Diabetes MedsCheck </w:t>
      </w:r>
      <w:r>
        <w:t>is reported separately.</w:t>
      </w:r>
    </w:p>
    <w:p w14:paraId="5E02A2E1" w14:textId="77777777" w:rsidR="006B010E" w:rsidRDefault="006B010E" w:rsidP="006B010E">
      <w:pPr>
        <w:pStyle w:val="Heading3"/>
        <w:tabs>
          <w:tab w:val="left" w:pos="567"/>
        </w:tabs>
        <w:spacing w:before="240" w:line="259" w:lineRule="auto"/>
        <w:jc w:val="left"/>
      </w:pPr>
      <w:r>
        <w:t>Selection of relevant evidence</w:t>
      </w:r>
    </w:p>
    <w:p w14:paraId="262F7180" w14:textId="7A6A7EF5" w:rsidR="006B010E" w:rsidRDefault="006B010E" w:rsidP="006B010E">
      <w:pPr>
        <w:pStyle w:val="02Bodytextbeforesingle-sentencebullets"/>
      </w:pPr>
      <w:r>
        <w:t xml:space="preserve">The literature search outlined above identified 5,282 records from Embase, Medline and the Cochrane Library (3,670 unique citations; </w:t>
      </w:r>
      <w:r>
        <w:fldChar w:fldCharType="begin"/>
      </w:r>
      <w:r>
        <w:instrText xml:space="preserve"> REF _Ref471224526 \h  \* MERGEFORMAT </w:instrText>
      </w:r>
      <w:r>
        <w:fldChar w:fldCharType="separate"/>
      </w:r>
      <w:r w:rsidR="009047A7" w:rsidRPr="00BD1F1D">
        <w:t xml:space="preserve">Table </w:t>
      </w:r>
      <w:r w:rsidR="009047A7">
        <w:rPr>
          <w:noProof/>
        </w:rPr>
        <w:t>3.3</w:t>
      </w:r>
      <w:r>
        <w:fldChar w:fldCharType="end"/>
      </w:r>
      <w:r>
        <w:t>) and 373 records in the Health Systems Evidence database.  The following exclusion criteria were applied:</w:t>
      </w:r>
    </w:p>
    <w:p w14:paraId="0521F43A" w14:textId="77777777" w:rsidR="006B010E" w:rsidRDefault="006B010E" w:rsidP="006B010E">
      <w:pPr>
        <w:pStyle w:val="06Bulletsonelongsentence"/>
      </w:pPr>
      <w:r>
        <w:t>wrong publication or study type– excludes narrative reviews, conference abstracts and editorials, and non-comparative studies (i.e.  single arm, descriptive studies);</w:t>
      </w:r>
    </w:p>
    <w:p w14:paraId="02A2F572" w14:textId="77777777" w:rsidR="006B010E" w:rsidRDefault="006B010E" w:rsidP="006B010E">
      <w:pPr>
        <w:pStyle w:val="06Bulletsonelongsentence"/>
      </w:pPr>
      <w:r>
        <w:t>wrong population – excludes services for patients not living in the community (e.g. hospital inpatients, patients attending clinics, residents of aged care facilities);</w:t>
      </w:r>
    </w:p>
    <w:p w14:paraId="40AEB582" w14:textId="1BA38F6C" w:rsidR="006B010E" w:rsidRDefault="006B010E" w:rsidP="006B010E">
      <w:pPr>
        <w:pStyle w:val="06Bulletsonelongsentence"/>
      </w:pPr>
      <w:r>
        <w:t xml:space="preserve">wrong intervention – excludes studies of interventions that do not align with MedsCheck/Diabetes MedsCheck services as described in Section </w:t>
      </w:r>
      <w:r>
        <w:fldChar w:fldCharType="begin"/>
      </w:r>
      <w:r>
        <w:instrText xml:space="preserve"> REF _Ref471224486 \n \h  \* MERGEFORMAT </w:instrText>
      </w:r>
      <w:r>
        <w:fldChar w:fldCharType="separate"/>
      </w:r>
      <w:r w:rsidR="009047A7">
        <w:t>3.1.1</w:t>
      </w:r>
      <w:r>
        <w:fldChar w:fldCharType="end"/>
      </w:r>
      <w:r>
        <w:t xml:space="preserve"> (e.g.  provided by a health professional other than a pharmacist, </w:t>
      </w:r>
      <w:r w:rsidRPr="00490BF5">
        <w:t>multidisciplinary models, or interventions that involve other services in addition to medication review</w:t>
      </w:r>
      <w:r>
        <w:t>);</w:t>
      </w:r>
    </w:p>
    <w:p w14:paraId="097624AF" w14:textId="77777777" w:rsidR="006B010E" w:rsidRDefault="006B010E" w:rsidP="006B010E">
      <w:pPr>
        <w:pStyle w:val="06Bulletsonelongsentence"/>
      </w:pPr>
      <w:r>
        <w:t>wrong comparator – excludes studies that do not include a comparator group of patients for whom the service was not provided;</w:t>
      </w:r>
    </w:p>
    <w:p w14:paraId="1469F9A3" w14:textId="628CA029" w:rsidR="006B010E" w:rsidRDefault="006B010E" w:rsidP="006B010E">
      <w:pPr>
        <w:pStyle w:val="06Bulletsonelongsentence"/>
      </w:pPr>
      <w:r>
        <w:t xml:space="preserve">wrong outcomes – excludes studies that do not assess one of the outcomes outlined in Section </w:t>
      </w:r>
      <w:r>
        <w:fldChar w:fldCharType="begin"/>
      </w:r>
      <w:r>
        <w:instrText xml:space="preserve"> REF _Ref471224486 \n \h  \* MERGEFORMAT </w:instrText>
      </w:r>
      <w:r>
        <w:fldChar w:fldCharType="separate"/>
      </w:r>
      <w:r w:rsidR="009047A7">
        <w:t>3.1.1</w:t>
      </w:r>
      <w:r>
        <w:fldChar w:fldCharType="end"/>
      </w:r>
      <w:r w:rsidRPr="00490BF5">
        <w:t xml:space="preserve"> </w:t>
      </w:r>
      <w:r>
        <w:t>(</w:t>
      </w:r>
      <w:r w:rsidRPr="00490BF5">
        <w:t xml:space="preserve">studies that assessed intermediate outcomes such as </w:t>
      </w:r>
      <w:r>
        <w:t>prescribing</w:t>
      </w:r>
      <w:r w:rsidRPr="00490BF5">
        <w:t xml:space="preserve"> appropriateness and drug burden were included</w:t>
      </w:r>
      <w:r>
        <w:t xml:space="preserve">); </w:t>
      </w:r>
    </w:p>
    <w:p w14:paraId="409A8E33" w14:textId="77777777" w:rsidR="006B010E" w:rsidRDefault="006B010E" w:rsidP="006B010E">
      <w:pPr>
        <w:pStyle w:val="06Bulletsonelongsentence"/>
      </w:pPr>
      <w:r>
        <w:t>not in English – excludes studies not published in English language or those that do not include at least some information (e.g.  a summary) in English.</w:t>
      </w:r>
    </w:p>
    <w:p w14:paraId="044E05E9" w14:textId="32B74484" w:rsidR="006B010E" w:rsidRPr="0077727F" w:rsidRDefault="006B010E" w:rsidP="006B010E">
      <w:pPr>
        <w:pStyle w:val="BodyText"/>
      </w:pPr>
      <w:r w:rsidRPr="00490BF5">
        <w:t>The exclusion of citations during screening of these r</w:t>
      </w:r>
      <w:r>
        <w:t>ecords is presented in</w:t>
      </w:r>
      <w:r w:rsidR="00FD3850">
        <w:t xml:space="preserve"> </w:t>
      </w:r>
      <w:r w:rsidR="00FD3850">
        <w:fldChar w:fldCharType="begin"/>
      </w:r>
      <w:r w:rsidR="00FD3850">
        <w:instrText xml:space="preserve"> REF _Ref471224526 \h </w:instrText>
      </w:r>
      <w:r w:rsidR="00FD3850">
        <w:fldChar w:fldCharType="separate"/>
      </w:r>
      <w:r w:rsidR="009047A7" w:rsidRPr="00BD1F1D">
        <w:t xml:space="preserve">Table </w:t>
      </w:r>
      <w:r w:rsidR="009047A7">
        <w:rPr>
          <w:noProof/>
        </w:rPr>
        <w:t>3</w:t>
      </w:r>
      <w:r w:rsidR="009047A7">
        <w:t>.</w:t>
      </w:r>
      <w:r w:rsidR="009047A7">
        <w:rPr>
          <w:noProof/>
        </w:rPr>
        <w:t>3</w:t>
      </w:r>
      <w:r w:rsidR="00FD3850">
        <w:fldChar w:fldCharType="end"/>
      </w:r>
      <w:r w:rsidRPr="00490BF5">
        <w:t>.  The Health Systems Evidence search yielded an additional 32 systematic reviews or economic analyses, of which six were eligible for inclusion and 26 did not meet the inclusion criteria (e.g. focus of review too broad, including out-of-scope studies), but were checked for included studies that did meet our inclusion criteria.  A further 17 citations were identified by hand searching reference lists of these and other studies, and two records were identified in targeted HT</w:t>
      </w:r>
      <w:r>
        <w:t>A website searches and the grey literature.</w:t>
      </w:r>
    </w:p>
    <w:p w14:paraId="404564C8" w14:textId="49ABC82F" w:rsidR="006B010E" w:rsidRDefault="006B010E" w:rsidP="006B010E">
      <w:pPr>
        <w:pStyle w:val="Caption"/>
      </w:pPr>
      <w:bookmarkStart w:id="28" w:name="_Ref471224526"/>
      <w:r w:rsidRPr="00BD1F1D">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3</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3</w:t>
      </w:r>
      <w:r w:rsidR="009047A7">
        <w:rPr>
          <w:noProof/>
        </w:rPr>
        <w:fldChar w:fldCharType="end"/>
      </w:r>
      <w:bookmarkEnd w:id="28"/>
      <w:r w:rsidRPr="00BD1F1D">
        <w:rPr>
          <w:noProof/>
        </w:rPr>
        <w:t xml:space="preserve">: </w:t>
      </w:r>
      <w:r w:rsidRPr="00BD1F1D">
        <w:t>Summary of the process used to identify studies and reports relevant to the evaluation of MedsCheck and Diabetes MedsCheck services</w:t>
      </w:r>
    </w:p>
    <w:tbl>
      <w:tblPr>
        <w:tblStyle w:val="TableGrid"/>
        <w:tblW w:w="0" w:type="auto"/>
        <w:tblLook w:val="04A0" w:firstRow="1" w:lastRow="0" w:firstColumn="1" w:lastColumn="0" w:noHBand="0" w:noVBand="1"/>
        <w:tblCaption w:val="Table 3.3"/>
        <w:tblDescription w:val="Summary of the process used to identify studies and reports relevant to the evaluation of MedsCheck and Diabetes MedsCheck services"/>
      </w:tblPr>
      <w:tblGrid>
        <w:gridCol w:w="4815"/>
        <w:gridCol w:w="1604"/>
        <w:gridCol w:w="1604"/>
        <w:gridCol w:w="1605"/>
      </w:tblGrid>
      <w:tr w:rsidR="006B010E" w:rsidRPr="00B343D8" w14:paraId="3A30879E" w14:textId="77777777" w:rsidTr="006B010E">
        <w:trPr>
          <w:cnfStyle w:val="100000000000" w:firstRow="1" w:lastRow="0" w:firstColumn="0" w:lastColumn="0" w:oddVBand="0" w:evenVBand="0" w:oddHBand="0" w:evenHBand="0" w:firstRowFirstColumn="0" w:firstRowLastColumn="0" w:lastRowFirstColumn="0" w:lastRowLastColumn="0"/>
        </w:trPr>
        <w:tc>
          <w:tcPr>
            <w:tcW w:w="4815" w:type="dxa"/>
            <w:vAlign w:val="center"/>
          </w:tcPr>
          <w:p w14:paraId="41381BC8" w14:textId="77777777" w:rsidR="006B010E" w:rsidRPr="00B343D8" w:rsidRDefault="006B010E" w:rsidP="006B010E">
            <w:pPr>
              <w:pStyle w:val="01Tableheaderrowleftaligned"/>
              <w:rPr>
                <w:sz w:val="20"/>
                <w:szCs w:val="20"/>
              </w:rPr>
            </w:pPr>
            <w:r w:rsidRPr="00B343D8">
              <w:rPr>
                <w:sz w:val="20"/>
                <w:szCs w:val="20"/>
              </w:rPr>
              <w:t>Description</w:t>
            </w:r>
          </w:p>
        </w:tc>
        <w:tc>
          <w:tcPr>
            <w:tcW w:w="1604" w:type="dxa"/>
            <w:vAlign w:val="center"/>
          </w:tcPr>
          <w:p w14:paraId="208E9A4E" w14:textId="77777777" w:rsidR="006B010E" w:rsidRPr="00B343D8" w:rsidRDefault="006B010E" w:rsidP="006B010E">
            <w:pPr>
              <w:jc w:val="center"/>
              <w:rPr>
                <w:b/>
                <w:sz w:val="20"/>
                <w:szCs w:val="20"/>
              </w:rPr>
            </w:pPr>
            <w:r w:rsidRPr="00B343D8">
              <w:rPr>
                <w:b/>
                <w:sz w:val="20"/>
                <w:szCs w:val="20"/>
              </w:rPr>
              <w:t>Embase</w:t>
            </w:r>
          </w:p>
        </w:tc>
        <w:tc>
          <w:tcPr>
            <w:tcW w:w="1604" w:type="dxa"/>
            <w:vAlign w:val="center"/>
          </w:tcPr>
          <w:p w14:paraId="19C2633A" w14:textId="77777777" w:rsidR="006B010E" w:rsidRPr="00B343D8" w:rsidRDefault="006B010E" w:rsidP="006B010E">
            <w:pPr>
              <w:jc w:val="center"/>
              <w:rPr>
                <w:b/>
                <w:sz w:val="20"/>
                <w:szCs w:val="20"/>
              </w:rPr>
            </w:pPr>
            <w:r w:rsidRPr="00B343D8">
              <w:rPr>
                <w:b/>
                <w:sz w:val="20"/>
                <w:szCs w:val="20"/>
              </w:rPr>
              <w:t>Medline</w:t>
            </w:r>
          </w:p>
        </w:tc>
        <w:tc>
          <w:tcPr>
            <w:tcW w:w="1605" w:type="dxa"/>
            <w:vAlign w:val="center"/>
          </w:tcPr>
          <w:p w14:paraId="51656716" w14:textId="77777777" w:rsidR="006B010E" w:rsidRPr="00B343D8" w:rsidRDefault="006B010E" w:rsidP="006B010E">
            <w:pPr>
              <w:jc w:val="center"/>
              <w:rPr>
                <w:b/>
                <w:sz w:val="20"/>
                <w:szCs w:val="20"/>
              </w:rPr>
            </w:pPr>
            <w:r w:rsidRPr="00B343D8">
              <w:rPr>
                <w:b/>
                <w:sz w:val="20"/>
                <w:szCs w:val="20"/>
              </w:rPr>
              <w:t>Cochrane Library</w:t>
            </w:r>
          </w:p>
        </w:tc>
      </w:tr>
      <w:tr w:rsidR="006B010E" w:rsidRPr="00B343D8" w14:paraId="7FDF247B" w14:textId="77777777" w:rsidTr="006B010E">
        <w:tc>
          <w:tcPr>
            <w:tcW w:w="4815" w:type="dxa"/>
          </w:tcPr>
          <w:p w14:paraId="72CF7CF4" w14:textId="77777777" w:rsidR="006B010E" w:rsidRPr="00B343D8" w:rsidRDefault="006B010E" w:rsidP="006B010E">
            <w:pPr>
              <w:pStyle w:val="05Tabletext"/>
              <w:rPr>
                <w:sz w:val="20"/>
                <w:szCs w:val="20"/>
              </w:rPr>
            </w:pPr>
            <w:r w:rsidRPr="00B343D8">
              <w:rPr>
                <w:sz w:val="20"/>
                <w:szCs w:val="20"/>
              </w:rPr>
              <w:t>Records retrieved</w:t>
            </w:r>
          </w:p>
        </w:tc>
        <w:tc>
          <w:tcPr>
            <w:tcW w:w="1604" w:type="dxa"/>
            <w:tcBorders>
              <w:bottom w:val="single" w:sz="4" w:space="0" w:color="auto"/>
            </w:tcBorders>
            <w:shd w:val="clear" w:color="auto" w:fill="auto"/>
          </w:tcPr>
          <w:p w14:paraId="1CF9A490" w14:textId="77777777" w:rsidR="006B010E" w:rsidRPr="00CA6280" w:rsidRDefault="006B010E" w:rsidP="006B010E">
            <w:pPr>
              <w:pStyle w:val="05Tabletext"/>
              <w:jc w:val="center"/>
              <w:rPr>
                <w:sz w:val="20"/>
                <w:szCs w:val="20"/>
              </w:rPr>
            </w:pPr>
            <w:r w:rsidRPr="00CA6280">
              <w:rPr>
                <w:sz w:val="20"/>
                <w:szCs w:val="20"/>
              </w:rPr>
              <w:t>3,131</w:t>
            </w:r>
          </w:p>
        </w:tc>
        <w:tc>
          <w:tcPr>
            <w:tcW w:w="1604" w:type="dxa"/>
            <w:tcBorders>
              <w:bottom w:val="single" w:sz="4" w:space="0" w:color="auto"/>
            </w:tcBorders>
            <w:shd w:val="clear" w:color="auto" w:fill="auto"/>
          </w:tcPr>
          <w:p w14:paraId="302AEEF9" w14:textId="77777777" w:rsidR="006B010E" w:rsidRPr="00CA6280" w:rsidRDefault="006B010E" w:rsidP="006B010E">
            <w:pPr>
              <w:pStyle w:val="05Tabletext"/>
              <w:jc w:val="center"/>
              <w:rPr>
                <w:sz w:val="20"/>
                <w:szCs w:val="20"/>
              </w:rPr>
            </w:pPr>
            <w:r w:rsidRPr="00CA6280">
              <w:rPr>
                <w:sz w:val="20"/>
                <w:szCs w:val="20"/>
              </w:rPr>
              <w:t>1,507</w:t>
            </w:r>
          </w:p>
        </w:tc>
        <w:tc>
          <w:tcPr>
            <w:tcW w:w="1605" w:type="dxa"/>
            <w:tcBorders>
              <w:bottom w:val="single" w:sz="4" w:space="0" w:color="auto"/>
            </w:tcBorders>
            <w:shd w:val="clear" w:color="auto" w:fill="auto"/>
          </w:tcPr>
          <w:p w14:paraId="7A1E84F2" w14:textId="77777777" w:rsidR="006B010E" w:rsidRPr="00CA6280" w:rsidRDefault="006B010E" w:rsidP="006B010E">
            <w:pPr>
              <w:pStyle w:val="05Tabletext"/>
              <w:jc w:val="center"/>
              <w:rPr>
                <w:sz w:val="20"/>
                <w:szCs w:val="20"/>
              </w:rPr>
            </w:pPr>
            <w:r w:rsidRPr="00CA6280">
              <w:rPr>
                <w:sz w:val="20"/>
                <w:szCs w:val="20"/>
              </w:rPr>
              <w:t>644</w:t>
            </w:r>
          </w:p>
        </w:tc>
      </w:tr>
      <w:tr w:rsidR="006B010E" w:rsidRPr="00B343D8" w14:paraId="5FE19EF0" w14:textId="77777777" w:rsidTr="006B010E">
        <w:trPr>
          <w:cnfStyle w:val="000000010000" w:firstRow="0" w:lastRow="0" w:firstColumn="0" w:lastColumn="0" w:oddVBand="0" w:evenVBand="0" w:oddHBand="0" w:evenHBand="1" w:firstRowFirstColumn="0" w:firstRowLastColumn="0" w:lastRowFirstColumn="0" w:lastRowLastColumn="0"/>
        </w:trPr>
        <w:tc>
          <w:tcPr>
            <w:tcW w:w="4815" w:type="dxa"/>
          </w:tcPr>
          <w:p w14:paraId="2E878A88" w14:textId="77777777" w:rsidR="006B010E" w:rsidRPr="00B343D8" w:rsidRDefault="006B010E" w:rsidP="006B010E">
            <w:pPr>
              <w:pStyle w:val="05Tabletext"/>
              <w:rPr>
                <w:sz w:val="20"/>
                <w:szCs w:val="20"/>
              </w:rPr>
            </w:pPr>
            <w:r w:rsidRPr="00B343D8">
              <w:rPr>
                <w:sz w:val="20"/>
                <w:szCs w:val="20"/>
              </w:rPr>
              <w:t>Total number of citations</w:t>
            </w:r>
          </w:p>
        </w:tc>
        <w:tc>
          <w:tcPr>
            <w:tcW w:w="1604" w:type="dxa"/>
            <w:tcBorders>
              <w:right w:val="nil"/>
            </w:tcBorders>
            <w:shd w:val="clear" w:color="auto" w:fill="F2DBDB" w:themeFill="accent2" w:themeFillTint="33"/>
          </w:tcPr>
          <w:p w14:paraId="20DA4306" w14:textId="77777777" w:rsidR="006B010E" w:rsidRPr="00CA6280" w:rsidRDefault="006B010E" w:rsidP="006B010E">
            <w:pPr>
              <w:pStyle w:val="05Tabletext"/>
              <w:jc w:val="center"/>
              <w:rPr>
                <w:sz w:val="20"/>
                <w:szCs w:val="20"/>
              </w:rPr>
            </w:pPr>
          </w:p>
        </w:tc>
        <w:tc>
          <w:tcPr>
            <w:tcW w:w="1604" w:type="dxa"/>
            <w:tcBorders>
              <w:left w:val="nil"/>
              <w:right w:val="nil"/>
            </w:tcBorders>
            <w:shd w:val="clear" w:color="auto" w:fill="F2DBDB" w:themeFill="accent2" w:themeFillTint="33"/>
          </w:tcPr>
          <w:p w14:paraId="7049F8D2" w14:textId="77777777" w:rsidR="006B010E" w:rsidRPr="00CA6280" w:rsidRDefault="006B010E" w:rsidP="006B010E">
            <w:pPr>
              <w:pStyle w:val="05Tabletext"/>
              <w:jc w:val="center"/>
              <w:rPr>
                <w:sz w:val="20"/>
                <w:szCs w:val="20"/>
              </w:rPr>
            </w:pPr>
            <w:r w:rsidRPr="00CA6280">
              <w:rPr>
                <w:sz w:val="20"/>
                <w:szCs w:val="20"/>
              </w:rPr>
              <w:t>5,282</w:t>
            </w:r>
          </w:p>
        </w:tc>
        <w:tc>
          <w:tcPr>
            <w:tcW w:w="1605" w:type="dxa"/>
            <w:tcBorders>
              <w:left w:val="nil"/>
            </w:tcBorders>
            <w:shd w:val="clear" w:color="auto" w:fill="F2DBDB" w:themeFill="accent2" w:themeFillTint="33"/>
          </w:tcPr>
          <w:p w14:paraId="60DB809B" w14:textId="77777777" w:rsidR="006B010E" w:rsidRPr="00CA6280" w:rsidRDefault="006B010E" w:rsidP="006B010E">
            <w:pPr>
              <w:pStyle w:val="05Tabletext"/>
              <w:jc w:val="center"/>
              <w:rPr>
                <w:sz w:val="20"/>
                <w:szCs w:val="20"/>
              </w:rPr>
            </w:pPr>
          </w:p>
        </w:tc>
      </w:tr>
      <w:tr w:rsidR="006B010E" w:rsidRPr="00B343D8" w14:paraId="49A0F079" w14:textId="77777777" w:rsidTr="006B010E">
        <w:tc>
          <w:tcPr>
            <w:tcW w:w="4815" w:type="dxa"/>
          </w:tcPr>
          <w:p w14:paraId="6D9B34DA" w14:textId="77777777" w:rsidR="006B010E" w:rsidRPr="00B343D8" w:rsidRDefault="006B010E" w:rsidP="006B010E">
            <w:pPr>
              <w:pStyle w:val="05Tabletext"/>
              <w:rPr>
                <w:sz w:val="20"/>
                <w:szCs w:val="20"/>
              </w:rPr>
            </w:pPr>
            <w:r w:rsidRPr="00B343D8">
              <w:rPr>
                <w:sz w:val="20"/>
                <w:szCs w:val="20"/>
              </w:rPr>
              <w:t>Duplicates within and across sets removed</w:t>
            </w:r>
          </w:p>
        </w:tc>
        <w:tc>
          <w:tcPr>
            <w:tcW w:w="1604" w:type="dxa"/>
            <w:tcBorders>
              <w:right w:val="nil"/>
            </w:tcBorders>
            <w:shd w:val="clear" w:color="auto" w:fill="auto"/>
          </w:tcPr>
          <w:p w14:paraId="76477CF6" w14:textId="77777777" w:rsidR="006B010E" w:rsidRPr="00CA6280" w:rsidRDefault="006B010E" w:rsidP="006B010E">
            <w:pPr>
              <w:pStyle w:val="05Tabletext"/>
              <w:jc w:val="center"/>
              <w:rPr>
                <w:sz w:val="20"/>
                <w:szCs w:val="20"/>
              </w:rPr>
            </w:pPr>
          </w:p>
        </w:tc>
        <w:tc>
          <w:tcPr>
            <w:tcW w:w="1604" w:type="dxa"/>
            <w:tcBorders>
              <w:left w:val="nil"/>
              <w:right w:val="nil"/>
            </w:tcBorders>
            <w:shd w:val="clear" w:color="auto" w:fill="auto"/>
          </w:tcPr>
          <w:p w14:paraId="2F91ED9E" w14:textId="77777777" w:rsidR="006B010E" w:rsidRPr="00CA6280" w:rsidRDefault="006B010E" w:rsidP="006B010E">
            <w:pPr>
              <w:pStyle w:val="05Tabletext"/>
              <w:jc w:val="center"/>
              <w:rPr>
                <w:sz w:val="20"/>
                <w:szCs w:val="20"/>
              </w:rPr>
            </w:pPr>
            <w:r w:rsidRPr="00CA6280">
              <w:rPr>
                <w:sz w:val="20"/>
                <w:szCs w:val="20"/>
              </w:rPr>
              <w:t>1612</w:t>
            </w:r>
          </w:p>
        </w:tc>
        <w:tc>
          <w:tcPr>
            <w:tcW w:w="1605" w:type="dxa"/>
            <w:tcBorders>
              <w:left w:val="nil"/>
            </w:tcBorders>
            <w:shd w:val="clear" w:color="auto" w:fill="auto"/>
          </w:tcPr>
          <w:p w14:paraId="0C5590CE" w14:textId="77777777" w:rsidR="006B010E" w:rsidRPr="00CA6280" w:rsidRDefault="006B010E" w:rsidP="006B010E">
            <w:pPr>
              <w:pStyle w:val="05Tabletext"/>
              <w:jc w:val="center"/>
              <w:rPr>
                <w:sz w:val="20"/>
                <w:szCs w:val="20"/>
              </w:rPr>
            </w:pPr>
          </w:p>
        </w:tc>
      </w:tr>
      <w:tr w:rsidR="006B010E" w:rsidRPr="00B343D8" w14:paraId="435F9E62" w14:textId="77777777" w:rsidTr="006B010E">
        <w:trPr>
          <w:cnfStyle w:val="000000010000" w:firstRow="0" w:lastRow="0" w:firstColumn="0" w:lastColumn="0" w:oddVBand="0" w:evenVBand="0" w:oddHBand="0" w:evenHBand="1" w:firstRowFirstColumn="0" w:firstRowLastColumn="0" w:lastRowFirstColumn="0" w:lastRowLastColumn="0"/>
        </w:trPr>
        <w:tc>
          <w:tcPr>
            <w:tcW w:w="4815" w:type="dxa"/>
          </w:tcPr>
          <w:p w14:paraId="3E36304B" w14:textId="77777777" w:rsidR="006B010E" w:rsidRPr="00B343D8" w:rsidRDefault="006B010E" w:rsidP="006B010E">
            <w:pPr>
              <w:pStyle w:val="05Tabletext"/>
              <w:rPr>
                <w:sz w:val="20"/>
                <w:szCs w:val="20"/>
              </w:rPr>
            </w:pPr>
            <w:r w:rsidRPr="00B343D8">
              <w:rPr>
                <w:sz w:val="20"/>
                <w:szCs w:val="20"/>
              </w:rPr>
              <w:t>Total number of citations screened</w:t>
            </w:r>
          </w:p>
        </w:tc>
        <w:tc>
          <w:tcPr>
            <w:tcW w:w="1604" w:type="dxa"/>
            <w:tcBorders>
              <w:right w:val="nil"/>
            </w:tcBorders>
            <w:shd w:val="clear" w:color="auto" w:fill="F2DBDB" w:themeFill="accent2" w:themeFillTint="33"/>
          </w:tcPr>
          <w:p w14:paraId="3FE77B06" w14:textId="77777777" w:rsidR="006B010E" w:rsidRPr="00CA6280" w:rsidRDefault="006B010E" w:rsidP="006B010E">
            <w:pPr>
              <w:pStyle w:val="05Tabletext"/>
              <w:jc w:val="center"/>
              <w:rPr>
                <w:sz w:val="20"/>
                <w:szCs w:val="20"/>
              </w:rPr>
            </w:pPr>
          </w:p>
        </w:tc>
        <w:tc>
          <w:tcPr>
            <w:tcW w:w="1604" w:type="dxa"/>
            <w:tcBorders>
              <w:left w:val="nil"/>
              <w:right w:val="nil"/>
            </w:tcBorders>
            <w:shd w:val="clear" w:color="auto" w:fill="F2DBDB" w:themeFill="accent2" w:themeFillTint="33"/>
          </w:tcPr>
          <w:p w14:paraId="2E675D7D" w14:textId="77777777" w:rsidR="006B010E" w:rsidRPr="00CA6280" w:rsidRDefault="006B010E" w:rsidP="006B010E">
            <w:pPr>
              <w:pStyle w:val="05Tabletext"/>
              <w:jc w:val="center"/>
              <w:rPr>
                <w:sz w:val="20"/>
                <w:szCs w:val="20"/>
              </w:rPr>
            </w:pPr>
            <w:r w:rsidRPr="00CA6280">
              <w:rPr>
                <w:sz w:val="20"/>
                <w:szCs w:val="20"/>
              </w:rPr>
              <w:t>3670</w:t>
            </w:r>
          </w:p>
        </w:tc>
        <w:tc>
          <w:tcPr>
            <w:tcW w:w="1605" w:type="dxa"/>
            <w:tcBorders>
              <w:left w:val="nil"/>
            </w:tcBorders>
            <w:shd w:val="clear" w:color="auto" w:fill="F2DBDB" w:themeFill="accent2" w:themeFillTint="33"/>
          </w:tcPr>
          <w:p w14:paraId="4E7A42C0" w14:textId="77777777" w:rsidR="006B010E" w:rsidRPr="00CA6280" w:rsidRDefault="006B010E" w:rsidP="006B010E">
            <w:pPr>
              <w:pStyle w:val="05Tabletext"/>
              <w:jc w:val="center"/>
              <w:rPr>
                <w:sz w:val="20"/>
                <w:szCs w:val="20"/>
              </w:rPr>
            </w:pPr>
          </w:p>
        </w:tc>
      </w:tr>
      <w:tr w:rsidR="006B010E" w:rsidRPr="00B343D8" w14:paraId="0B860068" w14:textId="77777777" w:rsidTr="006B010E">
        <w:tc>
          <w:tcPr>
            <w:tcW w:w="4815" w:type="dxa"/>
          </w:tcPr>
          <w:p w14:paraId="464BFF40" w14:textId="77777777" w:rsidR="006B010E" w:rsidRPr="00B343D8" w:rsidRDefault="006B010E" w:rsidP="006B010E">
            <w:pPr>
              <w:pStyle w:val="05Tabletext"/>
              <w:rPr>
                <w:sz w:val="20"/>
                <w:szCs w:val="20"/>
              </w:rPr>
            </w:pPr>
            <w:r w:rsidRPr="00B343D8">
              <w:rPr>
                <w:sz w:val="20"/>
                <w:szCs w:val="20"/>
              </w:rPr>
              <w:lastRenderedPageBreak/>
              <w:t>Excluded at title/abstract review:</w:t>
            </w:r>
          </w:p>
          <w:p w14:paraId="6C8C186F" w14:textId="77777777" w:rsidR="006B010E" w:rsidRPr="00B343D8" w:rsidRDefault="006B010E" w:rsidP="006B010E">
            <w:pPr>
              <w:pStyle w:val="06Tabletextspacebefore"/>
              <w:ind w:left="720"/>
              <w:rPr>
                <w:sz w:val="20"/>
                <w:szCs w:val="20"/>
              </w:rPr>
            </w:pPr>
            <w:r w:rsidRPr="00B343D8">
              <w:rPr>
                <w:sz w:val="20"/>
                <w:szCs w:val="20"/>
              </w:rPr>
              <w:t>Wrong publication type</w:t>
            </w:r>
          </w:p>
          <w:p w14:paraId="55924087" w14:textId="77777777" w:rsidR="006B010E" w:rsidRPr="00B343D8" w:rsidRDefault="006B010E" w:rsidP="006B010E">
            <w:pPr>
              <w:pStyle w:val="06Tabletextspacebefore"/>
              <w:ind w:left="720"/>
              <w:rPr>
                <w:sz w:val="20"/>
                <w:szCs w:val="20"/>
              </w:rPr>
            </w:pPr>
            <w:r w:rsidRPr="00B343D8">
              <w:rPr>
                <w:sz w:val="20"/>
                <w:szCs w:val="20"/>
              </w:rPr>
              <w:t>Wrong population</w:t>
            </w:r>
          </w:p>
          <w:p w14:paraId="66C24B97" w14:textId="77777777" w:rsidR="006B010E" w:rsidRPr="00B343D8" w:rsidRDefault="006B010E" w:rsidP="006B010E">
            <w:pPr>
              <w:pStyle w:val="06Tabletextspacebefore"/>
              <w:ind w:left="720"/>
              <w:rPr>
                <w:sz w:val="20"/>
                <w:szCs w:val="20"/>
              </w:rPr>
            </w:pPr>
            <w:r w:rsidRPr="00B343D8">
              <w:rPr>
                <w:sz w:val="20"/>
                <w:szCs w:val="20"/>
              </w:rPr>
              <w:t>Wrong intervention</w:t>
            </w:r>
          </w:p>
          <w:p w14:paraId="46DAC3CF" w14:textId="77777777" w:rsidR="006B010E" w:rsidRPr="00B343D8" w:rsidRDefault="006B010E" w:rsidP="006B010E">
            <w:pPr>
              <w:pStyle w:val="06Tabletextspacebefore"/>
              <w:ind w:left="720"/>
              <w:rPr>
                <w:sz w:val="20"/>
                <w:szCs w:val="20"/>
              </w:rPr>
            </w:pPr>
            <w:r w:rsidRPr="00B343D8">
              <w:rPr>
                <w:sz w:val="20"/>
                <w:szCs w:val="20"/>
              </w:rPr>
              <w:t>Wrong comparator</w:t>
            </w:r>
          </w:p>
          <w:p w14:paraId="5196C1E0" w14:textId="77777777" w:rsidR="006B010E" w:rsidRPr="00B343D8" w:rsidRDefault="006B010E" w:rsidP="006B010E">
            <w:pPr>
              <w:pStyle w:val="06Tabletextspacebefore"/>
              <w:ind w:left="720"/>
              <w:rPr>
                <w:sz w:val="20"/>
                <w:szCs w:val="20"/>
              </w:rPr>
            </w:pPr>
            <w:r w:rsidRPr="00B343D8">
              <w:rPr>
                <w:sz w:val="20"/>
                <w:szCs w:val="20"/>
              </w:rPr>
              <w:t>Wrong outcome</w:t>
            </w:r>
          </w:p>
          <w:p w14:paraId="1F989AE0" w14:textId="77777777" w:rsidR="006B010E" w:rsidRPr="00B343D8" w:rsidRDefault="006B010E" w:rsidP="006B010E">
            <w:pPr>
              <w:pStyle w:val="06Tabletextspacebefore"/>
              <w:ind w:left="720"/>
              <w:rPr>
                <w:sz w:val="20"/>
                <w:szCs w:val="20"/>
              </w:rPr>
            </w:pPr>
            <w:r w:rsidRPr="00B343D8">
              <w:rPr>
                <w:sz w:val="20"/>
                <w:szCs w:val="20"/>
              </w:rPr>
              <w:t>Not English</w:t>
            </w:r>
          </w:p>
          <w:p w14:paraId="3C7A3773" w14:textId="77777777" w:rsidR="006B010E" w:rsidRPr="00B343D8" w:rsidRDefault="006B010E" w:rsidP="006B010E">
            <w:pPr>
              <w:pStyle w:val="06Tabletextspacebefore"/>
              <w:rPr>
                <w:i/>
                <w:sz w:val="20"/>
                <w:szCs w:val="20"/>
              </w:rPr>
            </w:pPr>
            <w:r w:rsidRPr="00B343D8">
              <w:rPr>
                <w:i/>
                <w:sz w:val="20"/>
                <w:szCs w:val="20"/>
              </w:rPr>
              <w:t>Total citations excluded at title/abstract review</w:t>
            </w:r>
          </w:p>
        </w:tc>
        <w:tc>
          <w:tcPr>
            <w:tcW w:w="1604" w:type="dxa"/>
            <w:tcBorders>
              <w:right w:val="nil"/>
            </w:tcBorders>
          </w:tcPr>
          <w:p w14:paraId="37AE19D5" w14:textId="77777777" w:rsidR="006B010E" w:rsidRPr="001E2D7B" w:rsidRDefault="006B010E" w:rsidP="006B010E">
            <w:pPr>
              <w:pStyle w:val="05Tabletext"/>
              <w:jc w:val="center"/>
              <w:rPr>
                <w:sz w:val="20"/>
                <w:szCs w:val="20"/>
                <w:highlight w:val="yellow"/>
              </w:rPr>
            </w:pPr>
          </w:p>
        </w:tc>
        <w:tc>
          <w:tcPr>
            <w:tcW w:w="1604" w:type="dxa"/>
            <w:tcBorders>
              <w:left w:val="nil"/>
              <w:right w:val="nil"/>
            </w:tcBorders>
          </w:tcPr>
          <w:p w14:paraId="2D21DF2A" w14:textId="77777777" w:rsidR="006B010E" w:rsidRPr="001E2D7B" w:rsidRDefault="006B010E" w:rsidP="006B010E">
            <w:pPr>
              <w:pStyle w:val="05Tabletext"/>
              <w:jc w:val="center"/>
              <w:rPr>
                <w:sz w:val="20"/>
                <w:szCs w:val="20"/>
                <w:highlight w:val="yellow"/>
              </w:rPr>
            </w:pPr>
          </w:p>
          <w:p w14:paraId="077B1F7C" w14:textId="77777777" w:rsidR="006B010E" w:rsidRPr="00490BF5" w:rsidRDefault="006B010E" w:rsidP="006B010E">
            <w:pPr>
              <w:pStyle w:val="06Tabletextspacebefore"/>
              <w:jc w:val="center"/>
              <w:rPr>
                <w:sz w:val="20"/>
                <w:szCs w:val="20"/>
              </w:rPr>
            </w:pPr>
            <w:r w:rsidRPr="00490BF5">
              <w:rPr>
                <w:sz w:val="20"/>
                <w:szCs w:val="20"/>
              </w:rPr>
              <w:t>238</w:t>
            </w:r>
          </w:p>
          <w:p w14:paraId="197387A1" w14:textId="77777777" w:rsidR="006B010E" w:rsidRPr="00490BF5" w:rsidRDefault="006B010E" w:rsidP="006B010E">
            <w:pPr>
              <w:pStyle w:val="06Tabletextspacebefore"/>
              <w:jc w:val="center"/>
              <w:rPr>
                <w:sz w:val="20"/>
                <w:szCs w:val="20"/>
              </w:rPr>
            </w:pPr>
            <w:r w:rsidRPr="00490BF5">
              <w:rPr>
                <w:sz w:val="20"/>
                <w:szCs w:val="20"/>
              </w:rPr>
              <w:t>360</w:t>
            </w:r>
          </w:p>
          <w:p w14:paraId="0026EC15" w14:textId="77777777" w:rsidR="006B010E" w:rsidRPr="00490BF5" w:rsidRDefault="006B010E" w:rsidP="006B010E">
            <w:pPr>
              <w:pStyle w:val="06Tabletextspacebefore"/>
              <w:jc w:val="center"/>
              <w:rPr>
                <w:sz w:val="20"/>
                <w:szCs w:val="20"/>
              </w:rPr>
            </w:pPr>
            <w:r w:rsidRPr="00490BF5">
              <w:rPr>
                <w:sz w:val="20"/>
                <w:szCs w:val="20"/>
              </w:rPr>
              <w:t>2,144</w:t>
            </w:r>
          </w:p>
          <w:p w14:paraId="703B84C5" w14:textId="77777777" w:rsidR="006B010E" w:rsidRPr="00490BF5" w:rsidRDefault="006B010E" w:rsidP="006B010E">
            <w:pPr>
              <w:pStyle w:val="06Tabletextspacebefore"/>
              <w:jc w:val="center"/>
              <w:rPr>
                <w:sz w:val="20"/>
                <w:szCs w:val="20"/>
              </w:rPr>
            </w:pPr>
            <w:r w:rsidRPr="00490BF5">
              <w:rPr>
                <w:sz w:val="20"/>
                <w:szCs w:val="20"/>
              </w:rPr>
              <w:t>10</w:t>
            </w:r>
          </w:p>
          <w:p w14:paraId="36615AAD" w14:textId="77777777" w:rsidR="006B010E" w:rsidRPr="00490BF5" w:rsidRDefault="006B010E" w:rsidP="006B010E">
            <w:pPr>
              <w:pStyle w:val="06Tabletextspacebefore"/>
              <w:jc w:val="center"/>
              <w:rPr>
                <w:sz w:val="20"/>
                <w:szCs w:val="20"/>
              </w:rPr>
            </w:pPr>
            <w:r w:rsidRPr="00490BF5">
              <w:rPr>
                <w:sz w:val="20"/>
                <w:szCs w:val="20"/>
              </w:rPr>
              <w:t>81</w:t>
            </w:r>
          </w:p>
          <w:p w14:paraId="4FE0704B" w14:textId="77777777" w:rsidR="006B010E" w:rsidRPr="00490BF5" w:rsidRDefault="006B010E" w:rsidP="006B010E">
            <w:pPr>
              <w:pStyle w:val="06Tabletextspacebefore"/>
              <w:jc w:val="center"/>
              <w:rPr>
                <w:sz w:val="20"/>
                <w:szCs w:val="20"/>
              </w:rPr>
            </w:pPr>
            <w:r w:rsidRPr="00490BF5">
              <w:rPr>
                <w:sz w:val="20"/>
                <w:szCs w:val="20"/>
              </w:rPr>
              <w:t>90</w:t>
            </w:r>
          </w:p>
          <w:p w14:paraId="7040D817" w14:textId="77777777" w:rsidR="006B010E" w:rsidRPr="001E2D7B" w:rsidRDefault="006B010E" w:rsidP="006B010E">
            <w:pPr>
              <w:pStyle w:val="06Tabletextspacebefore"/>
              <w:jc w:val="center"/>
              <w:rPr>
                <w:sz w:val="20"/>
                <w:szCs w:val="20"/>
                <w:highlight w:val="yellow"/>
              </w:rPr>
            </w:pPr>
            <w:r w:rsidRPr="00490BF5">
              <w:rPr>
                <w:sz w:val="20"/>
                <w:szCs w:val="20"/>
              </w:rPr>
              <w:t>2,923</w:t>
            </w:r>
          </w:p>
        </w:tc>
        <w:tc>
          <w:tcPr>
            <w:tcW w:w="1605" w:type="dxa"/>
            <w:tcBorders>
              <w:left w:val="nil"/>
            </w:tcBorders>
          </w:tcPr>
          <w:p w14:paraId="02AEEB50" w14:textId="77777777" w:rsidR="006B010E" w:rsidRPr="001E2D7B" w:rsidRDefault="006B010E" w:rsidP="006B010E">
            <w:pPr>
              <w:pStyle w:val="05Tabletext"/>
              <w:jc w:val="center"/>
              <w:rPr>
                <w:sz w:val="20"/>
                <w:szCs w:val="20"/>
                <w:highlight w:val="yellow"/>
              </w:rPr>
            </w:pPr>
          </w:p>
        </w:tc>
      </w:tr>
      <w:tr w:rsidR="006B010E" w:rsidRPr="00B343D8" w14:paraId="26E0563C" w14:textId="77777777" w:rsidTr="006B010E">
        <w:trPr>
          <w:cnfStyle w:val="000000010000" w:firstRow="0" w:lastRow="0" w:firstColumn="0" w:lastColumn="0" w:oddVBand="0" w:evenVBand="0" w:oddHBand="0" w:evenHBand="1" w:firstRowFirstColumn="0" w:firstRowLastColumn="0" w:lastRowFirstColumn="0" w:lastRowLastColumn="0"/>
        </w:trPr>
        <w:tc>
          <w:tcPr>
            <w:tcW w:w="4815" w:type="dxa"/>
          </w:tcPr>
          <w:p w14:paraId="2ECA4CEF" w14:textId="77777777" w:rsidR="006B010E" w:rsidRPr="00B343D8" w:rsidRDefault="006B010E" w:rsidP="006B010E">
            <w:pPr>
              <w:pStyle w:val="05Tabletext"/>
              <w:rPr>
                <w:sz w:val="20"/>
                <w:szCs w:val="20"/>
              </w:rPr>
            </w:pPr>
            <w:r w:rsidRPr="00B343D8">
              <w:rPr>
                <w:sz w:val="20"/>
                <w:szCs w:val="20"/>
              </w:rPr>
              <w:t>Citations screened at full text review</w:t>
            </w:r>
          </w:p>
        </w:tc>
        <w:tc>
          <w:tcPr>
            <w:tcW w:w="1604" w:type="dxa"/>
            <w:tcBorders>
              <w:right w:val="nil"/>
            </w:tcBorders>
          </w:tcPr>
          <w:p w14:paraId="21F62B4F" w14:textId="77777777" w:rsidR="006B010E" w:rsidRPr="00B343D8" w:rsidRDefault="006B010E" w:rsidP="006B010E">
            <w:pPr>
              <w:pStyle w:val="05Tabletext"/>
              <w:jc w:val="center"/>
              <w:rPr>
                <w:sz w:val="20"/>
                <w:szCs w:val="20"/>
              </w:rPr>
            </w:pPr>
          </w:p>
        </w:tc>
        <w:tc>
          <w:tcPr>
            <w:tcW w:w="1604" w:type="dxa"/>
            <w:tcBorders>
              <w:left w:val="nil"/>
              <w:right w:val="nil"/>
            </w:tcBorders>
          </w:tcPr>
          <w:p w14:paraId="7BE82CA8" w14:textId="77777777" w:rsidR="006B010E" w:rsidRPr="00B343D8" w:rsidRDefault="006B010E" w:rsidP="006B010E">
            <w:pPr>
              <w:pStyle w:val="05Tabletext"/>
              <w:jc w:val="center"/>
              <w:rPr>
                <w:sz w:val="20"/>
                <w:szCs w:val="20"/>
              </w:rPr>
            </w:pPr>
            <w:r>
              <w:rPr>
                <w:sz w:val="20"/>
                <w:szCs w:val="20"/>
              </w:rPr>
              <w:t>747</w:t>
            </w:r>
          </w:p>
        </w:tc>
        <w:tc>
          <w:tcPr>
            <w:tcW w:w="1605" w:type="dxa"/>
            <w:tcBorders>
              <w:left w:val="nil"/>
            </w:tcBorders>
          </w:tcPr>
          <w:p w14:paraId="15061F02" w14:textId="77777777" w:rsidR="006B010E" w:rsidRPr="00B343D8" w:rsidRDefault="006B010E" w:rsidP="006B010E">
            <w:pPr>
              <w:pStyle w:val="05Tabletext"/>
              <w:jc w:val="center"/>
              <w:rPr>
                <w:sz w:val="20"/>
                <w:szCs w:val="20"/>
              </w:rPr>
            </w:pPr>
          </w:p>
        </w:tc>
      </w:tr>
      <w:tr w:rsidR="006B010E" w:rsidRPr="00B343D8" w14:paraId="66AD79CE" w14:textId="77777777" w:rsidTr="006B010E">
        <w:tc>
          <w:tcPr>
            <w:tcW w:w="4815" w:type="dxa"/>
          </w:tcPr>
          <w:p w14:paraId="075912B8" w14:textId="77777777" w:rsidR="006B010E" w:rsidRPr="00B343D8" w:rsidRDefault="006B010E" w:rsidP="006B010E">
            <w:pPr>
              <w:pStyle w:val="05Tabletext"/>
              <w:rPr>
                <w:sz w:val="20"/>
                <w:szCs w:val="20"/>
              </w:rPr>
            </w:pPr>
            <w:r w:rsidRPr="00B343D8">
              <w:rPr>
                <w:sz w:val="20"/>
                <w:szCs w:val="20"/>
              </w:rPr>
              <w:t>Excluded at full text review:</w:t>
            </w:r>
          </w:p>
          <w:p w14:paraId="7F2FC4ED" w14:textId="77777777" w:rsidR="006B010E" w:rsidRPr="00B343D8" w:rsidRDefault="006B010E" w:rsidP="006B010E">
            <w:pPr>
              <w:pStyle w:val="06Tabletextspacebefore"/>
              <w:ind w:left="720"/>
              <w:rPr>
                <w:sz w:val="20"/>
                <w:szCs w:val="20"/>
              </w:rPr>
            </w:pPr>
            <w:r w:rsidRPr="00B343D8">
              <w:rPr>
                <w:sz w:val="20"/>
                <w:szCs w:val="20"/>
              </w:rPr>
              <w:t>Wrong publication type</w:t>
            </w:r>
          </w:p>
          <w:p w14:paraId="66A2BF1E" w14:textId="77777777" w:rsidR="006B010E" w:rsidRPr="00B343D8" w:rsidRDefault="006B010E" w:rsidP="006B010E">
            <w:pPr>
              <w:pStyle w:val="06Tabletextspacebefore"/>
              <w:ind w:left="720"/>
              <w:rPr>
                <w:sz w:val="20"/>
                <w:szCs w:val="20"/>
              </w:rPr>
            </w:pPr>
            <w:r w:rsidRPr="00B343D8">
              <w:rPr>
                <w:sz w:val="20"/>
                <w:szCs w:val="20"/>
              </w:rPr>
              <w:t>Wrong population</w:t>
            </w:r>
          </w:p>
          <w:p w14:paraId="0C8AC807" w14:textId="77777777" w:rsidR="006B010E" w:rsidRPr="00B343D8" w:rsidRDefault="006B010E" w:rsidP="006B010E">
            <w:pPr>
              <w:pStyle w:val="06Tabletextspacebefore"/>
              <w:ind w:left="720"/>
              <w:rPr>
                <w:sz w:val="20"/>
                <w:szCs w:val="20"/>
              </w:rPr>
            </w:pPr>
            <w:r w:rsidRPr="00B343D8">
              <w:rPr>
                <w:sz w:val="20"/>
                <w:szCs w:val="20"/>
              </w:rPr>
              <w:t>Wrong intervention</w:t>
            </w:r>
          </w:p>
          <w:p w14:paraId="43287E1F" w14:textId="77777777" w:rsidR="006B010E" w:rsidRPr="00B343D8" w:rsidRDefault="006B010E" w:rsidP="006B010E">
            <w:pPr>
              <w:pStyle w:val="06Tabletextspacebefore"/>
              <w:ind w:left="720"/>
              <w:rPr>
                <w:sz w:val="20"/>
                <w:szCs w:val="20"/>
              </w:rPr>
            </w:pPr>
            <w:r w:rsidRPr="00B343D8">
              <w:rPr>
                <w:sz w:val="20"/>
                <w:szCs w:val="20"/>
              </w:rPr>
              <w:t>Wrong comparator</w:t>
            </w:r>
          </w:p>
          <w:p w14:paraId="037B5357" w14:textId="77777777" w:rsidR="006B010E" w:rsidRPr="00B343D8" w:rsidRDefault="006B010E" w:rsidP="006B010E">
            <w:pPr>
              <w:pStyle w:val="06Tabletextspacebefore"/>
              <w:ind w:left="720"/>
              <w:rPr>
                <w:sz w:val="20"/>
                <w:szCs w:val="20"/>
              </w:rPr>
            </w:pPr>
            <w:r w:rsidRPr="00B343D8">
              <w:rPr>
                <w:sz w:val="20"/>
                <w:szCs w:val="20"/>
              </w:rPr>
              <w:t>Wrong outcome</w:t>
            </w:r>
          </w:p>
          <w:p w14:paraId="2D38EF8C" w14:textId="77777777" w:rsidR="006B010E" w:rsidRPr="00B343D8" w:rsidRDefault="006B010E" w:rsidP="006B010E">
            <w:pPr>
              <w:pStyle w:val="06Tabletextspacebefore"/>
              <w:rPr>
                <w:i/>
                <w:sz w:val="20"/>
                <w:szCs w:val="20"/>
              </w:rPr>
            </w:pPr>
            <w:r w:rsidRPr="00B343D8">
              <w:rPr>
                <w:i/>
                <w:sz w:val="20"/>
                <w:szCs w:val="20"/>
              </w:rPr>
              <w:t>Total citations excluded at full text review</w:t>
            </w:r>
          </w:p>
        </w:tc>
        <w:tc>
          <w:tcPr>
            <w:tcW w:w="1604" w:type="dxa"/>
            <w:tcBorders>
              <w:right w:val="nil"/>
            </w:tcBorders>
          </w:tcPr>
          <w:p w14:paraId="7C4A9783" w14:textId="77777777" w:rsidR="006B010E" w:rsidRPr="00B343D8" w:rsidRDefault="006B010E" w:rsidP="006B010E">
            <w:pPr>
              <w:pStyle w:val="05Tabletext"/>
              <w:jc w:val="center"/>
              <w:rPr>
                <w:sz w:val="20"/>
                <w:szCs w:val="20"/>
              </w:rPr>
            </w:pPr>
          </w:p>
        </w:tc>
        <w:tc>
          <w:tcPr>
            <w:tcW w:w="1604" w:type="dxa"/>
            <w:tcBorders>
              <w:left w:val="nil"/>
              <w:right w:val="nil"/>
            </w:tcBorders>
          </w:tcPr>
          <w:p w14:paraId="54A36BA2" w14:textId="77777777" w:rsidR="006B010E" w:rsidRDefault="006B010E" w:rsidP="006B010E">
            <w:pPr>
              <w:pStyle w:val="06Tabletextspacebefore"/>
              <w:ind w:left="720"/>
              <w:rPr>
                <w:sz w:val="20"/>
                <w:szCs w:val="20"/>
              </w:rPr>
            </w:pPr>
          </w:p>
          <w:p w14:paraId="1C650730" w14:textId="77777777" w:rsidR="006B010E" w:rsidRPr="00CA6280" w:rsidRDefault="006B010E" w:rsidP="006B010E">
            <w:pPr>
              <w:pStyle w:val="06Tabletextspacebefore"/>
              <w:jc w:val="center"/>
              <w:rPr>
                <w:sz w:val="20"/>
                <w:szCs w:val="20"/>
              </w:rPr>
            </w:pPr>
            <w:r w:rsidRPr="00CA6280">
              <w:rPr>
                <w:sz w:val="20"/>
                <w:szCs w:val="20"/>
              </w:rPr>
              <w:t>26</w:t>
            </w:r>
          </w:p>
          <w:p w14:paraId="6AD16E0A" w14:textId="77777777" w:rsidR="006B010E" w:rsidRPr="00CA6280" w:rsidRDefault="006B010E" w:rsidP="006B010E">
            <w:pPr>
              <w:pStyle w:val="06Tabletextspacebefore"/>
              <w:jc w:val="center"/>
              <w:rPr>
                <w:sz w:val="20"/>
                <w:szCs w:val="20"/>
              </w:rPr>
            </w:pPr>
            <w:r w:rsidRPr="00CA6280">
              <w:rPr>
                <w:sz w:val="20"/>
                <w:szCs w:val="20"/>
              </w:rPr>
              <w:t>45</w:t>
            </w:r>
          </w:p>
          <w:p w14:paraId="7F7758E9" w14:textId="77777777" w:rsidR="006B010E" w:rsidRPr="00CA6280" w:rsidRDefault="006B010E" w:rsidP="006B010E">
            <w:pPr>
              <w:pStyle w:val="06Tabletextspacebefore"/>
              <w:jc w:val="center"/>
              <w:rPr>
                <w:sz w:val="20"/>
                <w:szCs w:val="20"/>
              </w:rPr>
            </w:pPr>
            <w:r>
              <w:rPr>
                <w:sz w:val="20"/>
                <w:szCs w:val="20"/>
              </w:rPr>
              <w:t>649</w:t>
            </w:r>
          </w:p>
          <w:p w14:paraId="209AD669" w14:textId="77777777" w:rsidR="006B010E" w:rsidRPr="00CA6280" w:rsidRDefault="006B010E" w:rsidP="006B010E">
            <w:pPr>
              <w:pStyle w:val="06Tabletextspacebefore"/>
              <w:jc w:val="center"/>
              <w:rPr>
                <w:sz w:val="20"/>
                <w:szCs w:val="20"/>
              </w:rPr>
            </w:pPr>
            <w:r w:rsidRPr="00CA6280">
              <w:rPr>
                <w:sz w:val="20"/>
                <w:szCs w:val="20"/>
              </w:rPr>
              <w:t>3</w:t>
            </w:r>
          </w:p>
          <w:p w14:paraId="6F20460B" w14:textId="77777777" w:rsidR="006B010E" w:rsidRPr="00CA6280" w:rsidRDefault="006B010E" w:rsidP="006B010E">
            <w:pPr>
              <w:pStyle w:val="06Tabletextspacebefore"/>
              <w:jc w:val="center"/>
              <w:rPr>
                <w:sz w:val="20"/>
                <w:szCs w:val="20"/>
              </w:rPr>
            </w:pPr>
            <w:r w:rsidRPr="00CA6280">
              <w:rPr>
                <w:sz w:val="20"/>
                <w:szCs w:val="20"/>
              </w:rPr>
              <w:t>11</w:t>
            </w:r>
          </w:p>
          <w:p w14:paraId="442C1446" w14:textId="77777777" w:rsidR="006B010E" w:rsidRPr="00CA6280" w:rsidRDefault="006B010E" w:rsidP="006B010E">
            <w:pPr>
              <w:pStyle w:val="06Tabletextspacebefore"/>
              <w:jc w:val="center"/>
              <w:rPr>
                <w:i/>
                <w:sz w:val="20"/>
                <w:szCs w:val="20"/>
              </w:rPr>
            </w:pPr>
            <w:r>
              <w:rPr>
                <w:i/>
                <w:sz w:val="20"/>
                <w:szCs w:val="20"/>
              </w:rPr>
              <w:t>734</w:t>
            </w:r>
          </w:p>
        </w:tc>
        <w:tc>
          <w:tcPr>
            <w:tcW w:w="1605" w:type="dxa"/>
            <w:tcBorders>
              <w:left w:val="nil"/>
            </w:tcBorders>
          </w:tcPr>
          <w:p w14:paraId="6A129A11" w14:textId="77777777" w:rsidR="006B010E" w:rsidRPr="00B343D8" w:rsidRDefault="006B010E" w:rsidP="006B010E">
            <w:pPr>
              <w:pStyle w:val="05Tabletext"/>
              <w:jc w:val="center"/>
              <w:rPr>
                <w:sz w:val="20"/>
                <w:szCs w:val="20"/>
              </w:rPr>
            </w:pPr>
          </w:p>
        </w:tc>
      </w:tr>
      <w:tr w:rsidR="006B010E" w:rsidRPr="00B343D8" w14:paraId="1B5C1F63" w14:textId="77777777" w:rsidTr="006B010E">
        <w:trPr>
          <w:cnfStyle w:val="000000010000" w:firstRow="0" w:lastRow="0" w:firstColumn="0" w:lastColumn="0" w:oddVBand="0" w:evenVBand="0" w:oddHBand="0" w:evenHBand="1" w:firstRowFirstColumn="0" w:firstRowLastColumn="0" w:lastRowFirstColumn="0" w:lastRowLastColumn="0"/>
        </w:trPr>
        <w:tc>
          <w:tcPr>
            <w:tcW w:w="4815" w:type="dxa"/>
          </w:tcPr>
          <w:p w14:paraId="2826C8CD" w14:textId="77777777" w:rsidR="006B010E" w:rsidRPr="00B343D8" w:rsidRDefault="006B010E" w:rsidP="006B010E">
            <w:pPr>
              <w:pStyle w:val="05Tabletext"/>
              <w:rPr>
                <w:sz w:val="20"/>
                <w:szCs w:val="20"/>
              </w:rPr>
            </w:pPr>
            <w:r w:rsidRPr="00B343D8">
              <w:rPr>
                <w:sz w:val="20"/>
                <w:szCs w:val="20"/>
              </w:rPr>
              <w:t>Total included studies or reports from Embase/Medline/Cochrane</w:t>
            </w:r>
          </w:p>
        </w:tc>
        <w:tc>
          <w:tcPr>
            <w:tcW w:w="1604" w:type="dxa"/>
            <w:tcBorders>
              <w:right w:val="nil"/>
            </w:tcBorders>
          </w:tcPr>
          <w:p w14:paraId="72F228B3" w14:textId="77777777" w:rsidR="006B010E" w:rsidRPr="00B343D8" w:rsidRDefault="006B010E" w:rsidP="006B010E">
            <w:pPr>
              <w:pStyle w:val="05Tabletext"/>
              <w:jc w:val="center"/>
              <w:rPr>
                <w:sz w:val="20"/>
                <w:szCs w:val="20"/>
              </w:rPr>
            </w:pPr>
          </w:p>
        </w:tc>
        <w:tc>
          <w:tcPr>
            <w:tcW w:w="1604" w:type="dxa"/>
            <w:tcBorders>
              <w:left w:val="nil"/>
              <w:right w:val="nil"/>
            </w:tcBorders>
          </w:tcPr>
          <w:p w14:paraId="4F105F20" w14:textId="77777777" w:rsidR="006B010E" w:rsidRPr="00B343D8" w:rsidRDefault="006B010E" w:rsidP="006B010E">
            <w:pPr>
              <w:pStyle w:val="05Tabletext"/>
              <w:jc w:val="center"/>
              <w:rPr>
                <w:sz w:val="20"/>
                <w:szCs w:val="20"/>
              </w:rPr>
            </w:pPr>
            <w:r>
              <w:rPr>
                <w:sz w:val="20"/>
                <w:szCs w:val="20"/>
              </w:rPr>
              <w:t>13</w:t>
            </w:r>
          </w:p>
        </w:tc>
        <w:tc>
          <w:tcPr>
            <w:tcW w:w="1605" w:type="dxa"/>
            <w:tcBorders>
              <w:left w:val="nil"/>
            </w:tcBorders>
          </w:tcPr>
          <w:p w14:paraId="421E3175" w14:textId="77777777" w:rsidR="006B010E" w:rsidRPr="00B343D8" w:rsidRDefault="006B010E" w:rsidP="006B010E">
            <w:pPr>
              <w:pStyle w:val="05Tabletext"/>
              <w:jc w:val="center"/>
              <w:rPr>
                <w:sz w:val="20"/>
                <w:szCs w:val="20"/>
              </w:rPr>
            </w:pPr>
          </w:p>
        </w:tc>
      </w:tr>
      <w:tr w:rsidR="006B010E" w:rsidRPr="00B343D8" w14:paraId="2D32BE67" w14:textId="77777777" w:rsidTr="006B010E">
        <w:tc>
          <w:tcPr>
            <w:tcW w:w="4815" w:type="dxa"/>
          </w:tcPr>
          <w:p w14:paraId="382CD030" w14:textId="77777777" w:rsidR="006B010E" w:rsidRPr="00B343D8" w:rsidRDefault="006B010E" w:rsidP="006B010E">
            <w:pPr>
              <w:pStyle w:val="05Tabletext"/>
              <w:rPr>
                <w:sz w:val="20"/>
                <w:szCs w:val="20"/>
              </w:rPr>
            </w:pPr>
            <w:r w:rsidRPr="00B343D8">
              <w:rPr>
                <w:sz w:val="20"/>
                <w:szCs w:val="20"/>
              </w:rPr>
              <w:t>Included from Health Systems Evidence database</w:t>
            </w:r>
          </w:p>
        </w:tc>
        <w:tc>
          <w:tcPr>
            <w:tcW w:w="1604" w:type="dxa"/>
            <w:tcBorders>
              <w:right w:val="nil"/>
            </w:tcBorders>
          </w:tcPr>
          <w:p w14:paraId="2A3B9642" w14:textId="77777777" w:rsidR="006B010E" w:rsidRPr="00B343D8" w:rsidRDefault="006B010E" w:rsidP="006B010E">
            <w:pPr>
              <w:pStyle w:val="05Tabletext"/>
              <w:jc w:val="center"/>
              <w:rPr>
                <w:sz w:val="20"/>
                <w:szCs w:val="20"/>
              </w:rPr>
            </w:pPr>
          </w:p>
        </w:tc>
        <w:tc>
          <w:tcPr>
            <w:tcW w:w="1604" w:type="dxa"/>
            <w:tcBorders>
              <w:left w:val="nil"/>
              <w:right w:val="nil"/>
            </w:tcBorders>
          </w:tcPr>
          <w:p w14:paraId="4B002D21" w14:textId="77777777" w:rsidR="006B010E" w:rsidRPr="00B343D8" w:rsidRDefault="006B010E" w:rsidP="006B010E">
            <w:pPr>
              <w:pStyle w:val="05Tabletext"/>
              <w:jc w:val="center"/>
              <w:rPr>
                <w:sz w:val="20"/>
                <w:szCs w:val="20"/>
              </w:rPr>
            </w:pPr>
            <w:r>
              <w:rPr>
                <w:sz w:val="20"/>
                <w:szCs w:val="20"/>
              </w:rPr>
              <w:t>0</w:t>
            </w:r>
          </w:p>
        </w:tc>
        <w:tc>
          <w:tcPr>
            <w:tcW w:w="1605" w:type="dxa"/>
            <w:tcBorders>
              <w:left w:val="nil"/>
            </w:tcBorders>
          </w:tcPr>
          <w:p w14:paraId="60D02BF2" w14:textId="77777777" w:rsidR="006B010E" w:rsidRPr="00B343D8" w:rsidRDefault="006B010E" w:rsidP="006B010E">
            <w:pPr>
              <w:pStyle w:val="05Tabletext"/>
              <w:jc w:val="center"/>
              <w:rPr>
                <w:sz w:val="20"/>
                <w:szCs w:val="20"/>
              </w:rPr>
            </w:pPr>
          </w:p>
        </w:tc>
      </w:tr>
      <w:tr w:rsidR="006B010E" w:rsidRPr="00B343D8" w14:paraId="7CEA2F9E" w14:textId="77777777" w:rsidTr="006B010E">
        <w:trPr>
          <w:cnfStyle w:val="000000010000" w:firstRow="0" w:lastRow="0" w:firstColumn="0" w:lastColumn="0" w:oddVBand="0" w:evenVBand="0" w:oddHBand="0" w:evenHBand="1" w:firstRowFirstColumn="0" w:firstRowLastColumn="0" w:lastRowFirstColumn="0" w:lastRowLastColumn="0"/>
        </w:trPr>
        <w:tc>
          <w:tcPr>
            <w:tcW w:w="4815" w:type="dxa"/>
          </w:tcPr>
          <w:p w14:paraId="0EBF46F1" w14:textId="77777777" w:rsidR="006B010E" w:rsidRPr="00B343D8" w:rsidRDefault="006B010E" w:rsidP="006B010E">
            <w:pPr>
              <w:pStyle w:val="05Tabletext"/>
              <w:rPr>
                <w:sz w:val="20"/>
                <w:szCs w:val="20"/>
              </w:rPr>
            </w:pPr>
            <w:r w:rsidRPr="00B343D8">
              <w:rPr>
                <w:sz w:val="20"/>
                <w:szCs w:val="20"/>
              </w:rPr>
              <w:t>Included from HTA websites</w:t>
            </w:r>
          </w:p>
        </w:tc>
        <w:tc>
          <w:tcPr>
            <w:tcW w:w="1604" w:type="dxa"/>
            <w:tcBorders>
              <w:right w:val="nil"/>
            </w:tcBorders>
          </w:tcPr>
          <w:p w14:paraId="5B115701" w14:textId="77777777" w:rsidR="006B010E" w:rsidRPr="00B343D8" w:rsidRDefault="006B010E" w:rsidP="006B010E">
            <w:pPr>
              <w:pStyle w:val="05Tabletext"/>
              <w:jc w:val="center"/>
              <w:rPr>
                <w:sz w:val="20"/>
                <w:szCs w:val="20"/>
              </w:rPr>
            </w:pPr>
          </w:p>
        </w:tc>
        <w:tc>
          <w:tcPr>
            <w:tcW w:w="1604" w:type="dxa"/>
            <w:tcBorders>
              <w:left w:val="nil"/>
              <w:right w:val="nil"/>
            </w:tcBorders>
          </w:tcPr>
          <w:p w14:paraId="434397D5" w14:textId="77777777" w:rsidR="006B010E" w:rsidRPr="00B343D8" w:rsidRDefault="006B010E" w:rsidP="006B010E">
            <w:pPr>
              <w:pStyle w:val="05Tabletext"/>
              <w:jc w:val="center"/>
              <w:rPr>
                <w:sz w:val="20"/>
                <w:szCs w:val="20"/>
              </w:rPr>
            </w:pPr>
            <w:r>
              <w:rPr>
                <w:sz w:val="20"/>
                <w:szCs w:val="20"/>
              </w:rPr>
              <w:t>0</w:t>
            </w:r>
          </w:p>
        </w:tc>
        <w:tc>
          <w:tcPr>
            <w:tcW w:w="1605" w:type="dxa"/>
            <w:tcBorders>
              <w:left w:val="nil"/>
            </w:tcBorders>
          </w:tcPr>
          <w:p w14:paraId="13249163" w14:textId="77777777" w:rsidR="006B010E" w:rsidRPr="00B343D8" w:rsidRDefault="006B010E" w:rsidP="006B010E">
            <w:pPr>
              <w:pStyle w:val="05Tabletext"/>
              <w:jc w:val="center"/>
              <w:rPr>
                <w:sz w:val="20"/>
                <w:szCs w:val="20"/>
              </w:rPr>
            </w:pPr>
          </w:p>
        </w:tc>
      </w:tr>
      <w:tr w:rsidR="006B010E" w:rsidRPr="00B343D8" w14:paraId="7AF19F13" w14:textId="77777777" w:rsidTr="006B010E">
        <w:tc>
          <w:tcPr>
            <w:tcW w:w="4815" w:type="dxa"/>
          </w:tcPr>
          <w:p w14:paraId="3F31CA7E" w14:textId="77777777" w:rsidR="006B010E" w:rsidRPr="00B343D8" w:rsidRDefault="006B010E" w:rsidP="006B010E">
            <w:pPr>
              <w:pStyle w:val="05Tabletext"/>
              <w:rPr>
                <w:sz w:val="20"/>
                <w:szCs w:val="20"/>
              </w:rPr>
            </w:pPr>
            <w:r w:rsidRPr="00B343D8">
              <w:rPr>
                <w:sz w:val="20"/>
                <w:szCs w:val="20"/>
              </w:rPr>
              <w:t>Included from hand searching reference lists</w:t>
            </w:r>
          </w:p>
        </w:tc>
        <w:tc>
          <w:tcPr>
            <w:tcW w:w="1604" w:type="dxa"/>
            <w:tcBorders>
              <w:right w:val="nil"/>
            </w:tcBorders>
          </w:tcPr>
          <w:p w14:paraId="7432149E" w14:textId="77777777" w:rsidR="006B010E" w:rsidRPr="00B343D8" w:rsidRDefault="006B010E" w:rsidP="006B010E">
            <w:pPr>
              <w:pStyle w:val="05Tabletext"/>
              <w:jc w:val="center"/>
              <w:rPr>
                <w:sz w:val="20"/>
                <w:szCs w:val="20"/>
              </w:rPr>
            </w:pPr>
          </w:p>
        </w:tc>
        <w:tc>
          <w:tcPr>
            <w:tcW w:w="1604" w:type="dxa"/>
            <w:tcBorders>
              <w:left w:val="nil"/>
              <w:right w:val="nil"/>
            </w:tcBorders>
          </w:tcPr>
          <w:p w14:paraId="404DF13A" w14:textId="77777777" w:rsidR="006B010E" w:rsidRPr="00B343D8" w:rsidRDefault="006B010E" w:rsidP="006B010E">
            <w:pPr>
              <w:pStyle w:val="05Tabletext"/>
              <w:jc w:val="center"/>
              <w:rPr>
                <w:sz w:val="20"/>
                <w:szCs w:val="20"/>
              </w:rPr>
            </w:pPr>
            <w:r>
              <w:rPr>
                <w:sz w:val="20"/>
                <w:szCs w:val="20"/>
              </w:rPr>
              <w:t>1</w:t>
            </w:r>
          </w:p>
        </w:tc>
        <w:tc>
          <w:tcPr>
            <w:tcW w:w="1605" w:type="dxa"/>
            <w:tcBorders>
              <w:left w:val="nil"/>
            </w:tcBorders>
          </w:tcPr>
          <w:p w14:paraId="092C136B" w14:textId="77777777" w:rsidR="006B010E" w:rsidRPr="00B343D8" w:rsidRDefault="006B010E" w:rsidP="006B010E">
            <w:pPr>
              <w:pStyle w:val="05Tabletext"/>
              <w:jc w:val="center"/>
              <w:rPr>
                <w:sz w:val="20"/>
                <w:szCs w:val="20"/>
              </w:rPr>
            </w:pPr>
          </w:p>
        </w:tc>
      </w:tr>
      <w:tr w:rsidR="006B010E" w:rsidRPr="00B343D8" w14:paraId="56CA14F5" w14:textId="77777777" w:rsidTr="006B010E">
        <w:trPr>
          <w:cnfStyle w:val="000000010000" w:firstRow="0" w:lastRow="0" w:firstColumn="0" w:lastColumn="0" w:oddVBand="0" w:evenVBand="0" w:oddHBand="0" w:evenHBand="1" w:firstRowFirstColumn="0" w:firstRowLastColumn="0" w:lastRowFirstColumn="0" w:lastRowLastColumn="0"/>
        </w:trPr>
        <w:tc>
          <w:tcPr>
            <w:tcW w:w="4815" w:type="dxa"/>
          </w:tcPr>
          <w:p w14:paraId="22708661" w14:textId="77777777" w:rsidR="006B010E" w:rsidRPr="00B343D8" w:rsidRDefault="006B010E" w:rsidP="006B010E">
            <w:pPr>
              <w:pStyle w:val="05Tabletext"/>
              <w:rPr>
                <w:sz w:val="20"/>
                <w:szCs w:val="20"/>
              </w:rPr>
            </w:pPr>
            <w:r w:rsidRPr="00B343D8">
              <w:rPr>
                <w:sz w:val="20"/>
                <w:szCs w:val="20"/>
              </w:rPr>
              <w:t>Total included studies or reports:</w:t>
            </w:r>
          </w:p>
          <w:p w14:paraId="51DFEF0F" w14:textId="77777777" w:rsidR="006B010E" w:rsidRPr="00B343D8" w:rsidRDefault="006B010E" w:rsidP="006B010E">
            <w:pPr>
              <w:pStyle w:val="06Tabletextspacebefore"/>
              <w:ind w:left="720"/>
              <w:rPr>
                <w:sz w:val="20"/>
                <w:szCs w:val="20"/>
              </w:rPr>
            </w:pPr>
            <w:r w:rsidRPr="00B343D8">
              <w:rPr>
                <w:sz w:val="20"/>
                <w:szCs w:val="20"/>
              </w:rPr>
              <w:t>Rel</w:t>
            </w:r>
            <w:r>
              <w:rPr>
                <w:sz w:val="20"/>
                <w:szCs w:val="20"/>
              </w:rPr>
              <w:t>evant to MedsCheck</w:t>
            </w:r>
          </w:p>
          <w:p w14:paraId="16E2F8A7" w14:textId="77777777" w:rsidR="006B010E" w:rsidRPr="00B343D8" w:rsidRDefault="006B010E" w:rsidP="006B010E">
            <w:pPr>
              <w:pStyle w:val="06Tabletextspacebefore"/>
              <w:ind w:left="720"/>
              <w:rPr>
                <w:sz w:val="20"/>
                <w:szCs w:val="20"/>
              </w:rPr>
            </w:pPr>
            <w:r>
              <w:rPr>
                <w:sz w:val="20"/>
                <w:szCs w:val="20"/>
              </w:rPr>
              <w:t>Relevant to Diabetes MedsCheck</w:t>
            </w:r>
          </w:p>
        </w:tc>
        <w:tc>
          <w:tcPr>
            <w:tcW w:w="1604" w:type="dxa"/>
            <w:tcBorders>
              <w:right w:val="nil"/>
            </w:tcBorders>
          </w:tcPr>
          <w:p w14:paraId="1C69EF38" w14:textId="77777777" w:rsidR="006B010E" w:rsidRPr="00B343D8" w:rsidRDefault="006B010E" w:rsidP="006B010E">
            <w:pPr>
              <w:pStyle w:val="05Tabletext"/>
              <w:jc w:val="center"/>
              <w:rPr>
                <w:sz w:val="20"/>
                <w:szCs w:val="20"/>
              </w:rPr>
            </w:pPr>
          </w:p>
        </w:tc>
        <w:tc>
          <w:tcPr>
            <w:tcW w:w="1604" w:type="dxa"/>
            <w:tcBorders>
              <w:left w:val="nil"/>
              <w:right w:val="nil"/>
            </w:tcBorders>
          </w:tcPr>
          <w:p w14:paraId="270AF4F0" w14:textId="77777777" w:rsidR="006B010E" w:rsidRDefault="006B010E" w:rsidP="006B010E">
            <w:pPr>
              <w:pStyle w:val="05Tabletext"/>
              <w:jc w:val="center"/>
              <w:rPr>
                <w:sz w:val="20"/>
                <w:szCs w:val="20"/>
              </w:rPr>
            </w:pPr>
            <w:r>
              <w:rPr>
                <w:sz w:val="20"/>
                <w:szCs w:val="20"/>
              </w:rPr>
              <w:t>14</w:t>
            </w:r>
          </w:p>
          <w:p w14:paraId="6A635A80" w14:textId="77777777" w:rsidR="006B010E" w:rsidRDefault="006B010E" w:rsidP="006B010E">
            <w:pPr>
              <w:pStyle w:val="06Tabletextspacebefore"/>
              <w:jc w:val="center"/>
            </w:pPr>
            <w:r>
              <w:t>13</w:t>
            </w:r>
          </w:p>
          <w:p w14:paraId="0093CD00" w14:textId="77777777" w:rsidR="006B010E" w:rsidRPr="00AD671A" w:rsidRDefault="006B010E" w:rsidP="006B010E">
            <w:pPr>
              <w:pStyle w:val="06Tabletextspacebefore"/>
              <w:jc w:val="center"/>
            </w:pPr>
            <w:r>
              <w:t>1</w:t>
            </w:r>
          </w:p>
        </w:tc>
        <w:tc>
          <w:tcPr>
            <w:tcW w:w="1605" w:type="dxa"/>
            <w:tcBorders>
              <w:left w:val="nil"/>
            </w:tcBorders>
          </w:tcPr>
          <w:p w14:paraId="412C2D13" w14:textId="77777777" w:rsidR="006B010E" w:rsidRPr="00B343D8" w:rsidRDefault="006B010E" w:rsidP="006B010E">
            <w:pPr>
              <w:pStyle w:val="05Tabletext"/>
              <w:jc w:val="center"/>
              <w:rPr>
                <w:sz w:val="20"/>
                <w:szCs w:val="20"/>
              </w:rPr>
            </w:pPr>
          </w:p>
        </w:tc>
      </w:tr>
    </w:tbl>
    <w:p w14:paraId="2192E541" w14:textId="77777777" w:rsidR="006B010E" w:rsidRDefault="006B010E" w:rsidP="006B010E">
      <w:pPr>
        <w:pStyle w:val="TableorFigurefootnote"/>
      </w:pPr>
      <w:r>
        <w:t>Abbreviations; HTA, health technology assessment.</w:t>
      </w:r>
    </w:p>
    <w:p w14:paraId="6F5E7DD8" w14:textId="3F54BC5B" w:rsidR="00B046A8" w:rsidRPr="00B046A8" w:rsidRDefault="00B046A8" w:rsidP="00B046A8">
      <w:pPr>
        <w:keepNext/>
        <w:numPr>
          <w:ilvl w:val="2"/>
          <w:numId w:val="37"/>
        </w:numPr>
        <w:spacing w:before="360" w:after="0"/>
        <w:ind w:left="0"/>
        <w:jc w:val="both"/>
        <w:outlineLvl w:val="2"/>
        <w:rPr>
          <w:rFonts w:ascii="Garamond" w:eastAsia="Times New Roman" w:hAnsi="Garamond"/>
          <w:b/>
          <w:i/>
          <w:sz w:val="24"/>
          <w:szCs w:val="24"/>
        </w:rPr>
      </w:pPr>
      <w:r w:rsidRPr="00B046A8">
        <w:rPr>
          <w:rFonts w:ascii="Garamond" w:eastAsia="Times New Roman" w:hAnsi="Garamond"/>
          <w:b/>
          <w:i/>
          <w:sz w:val="24"/>
          <w:szCs w:val="24"/>
        </w:rPr>
        <w:t>Previous evaluations of the MedsChecks program</w:t>
      </w:r>
    </w:p>
    <w:p w14:paraId="170EB1D3" w14:textId="7316EBFB" w:rsidR="00B046A8" w:rsidRPr="00D23A08" w:rsidRDefault="00B046A8" w:rsidP="00B046A8">
      <w:pPr>
        <w:pStyle w:val="01BODYTEXT"/>
      </w:pPr>
      <w:r w:rsidRPr="00B046A8">
        <w:t xml:space="preserve">The targeted search of the websites of relevant pharmacy organisations and the Commonwealth Department of Health identified </w:t>
      </w:r>
      <w:r>
        <w:t xml:space="preserve">two </w:t>
      </w:r>
      <w:r w:rsidRPr="00B046A8">
        <w:t xml:space="preserve">program evaluations of the MedsCheck programs that were funded under prior CPAs.  The citations </w:t>
      </w:r>
      <w:r>
        <w:t>are</w:t>
      </w:r>
      <w:r w:rsidRPr="00B046A8">
        <w:t xml:space="preserve"> provided in </w:t>
      </w:r>
      <w:r w:rsidRPr="00B046A8">
        <w:fldChar w:fldCharType="begin"/>
      </w:r>
      <w:r w:rsidRPr="00B046A8">
        <w:instrText xml:space="preserve"> REF _Ref476583394 \h  \* MERGEFORMAT </w:instrText>
      </w:r>
      <w:r w:rsidRPr="00B046A8">
        <w:fldChar w:fldCharType="separate"/>
      </w:r>
      <w:r w:rsidR="009047A7">
        <w:t xml:space="preserve">Table </w:t>
      </w:r>
      <w:r w:rsidR="009047A7">
        <w:rPr>
          <w:noProof/>
        </w:rPr>
        <w:t>3.4</w:t>
      </w:r>
      <w:r w:rsidRPr="00B046A8">
        <w:fldChar w:fldCharType="end"/>
      </w:r>
      <w:r w:rsidRPr="00B046A8">
        <w:rPr>
          <w:szCs w:val="24"/>
        </w:rPr>
        <w:t xml:space="preserve">.  </w:t>
      </w:r>
      <w:r w:rsidRPr="00B046A8">
        <w:t>A summary of the findings and conclusions of th</w:t>
      </w:r>
      <w:r>
        <w:t>e</w:t>
      </w:r>
      <w:r w:rsidRPr="00B046A8">
        <w:t xml:space="preserve"> prior evaluation</w:t>
      </w:r>
      <w:r>
        <w:t xml:space="preserve"> are</w:t>
      </w:r>
      <w:r w:rsidRPr="00B046A8">
        <w:t xml:space="preserve"> reported in Chapter 4.</w:t>
      </w:r>
    </w:p>
    <w:p w14:paraId="29C8B3F6" w14:textId="1C6264DA" w:rsidR="00B046A8" w:rsidRPr="000575E2" w:rsidRDefault="00B046A8" w:rsidP="00B046A8">
      <w:pPr>
        <w:pStyle w:val="Caption"/>
        <w:rPr>
          <w:b w:val="0"/>
          <w:iCs w:val="0"/>
        </w:rPr>
      </w:pPr>
      <w:bookmarkStart w:id="29" w:name="_Ref476583394"/>
      <w:r>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3</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4</w:t>
      </w:r>
      <w:r w:rsidR="009047A7">
        <w:rPr>
          <w:noProof/>
        </w:rPr>
        <w:fldChar w:fldCharType="end"/>
      </w:r>
      <w:bookmarkEnd w:id="29"/>
      <w:r>
        <w:t>:</w:t>
      </w:r>
      <w:r w:rsidRPr="000C2DA9">
        <w:rPr>
          <w:b w:val="0"/>
          <w:iCs w:val="0"/>
          <w:noProof/>
        </w:rPr>
        <w:t xml:space="preserve"> </w:t>
      </w:r>
      <w:r w:rsidRPr="000C2DA9">
        <w:rPr>
          <w:noProof/>
        </w:rPr>
        <w:t xml:space="preserve">Citation details </w:t>
      </w:r>
      <w:r>
        <w:rPr>
          <w:noProof/>
        </w:rPr>
        <w:t>of program evaluations of the HMR program</w:t>
      </w:r>
    </w:p>
    <w:tbl>
      <w:tblPr>
        <w:tblStyle w:val="TableGrid4"/>
        <w:tblW w:w="0" w:type="auto"/>
        <w:tblLook w:val="04A0" w:firstRow="1" w:lastRow="0" w:firstColumn="1" w:lastColumn="0" w:noHBand="0" w:noVBand="1"/>
        <w:tblCaption w:val="Table 3.4"/>
        <w:tblDescription w:val="Citation details of program evaluations of the HMR program"/>
      </w:tblPr>
      <w:tblGrid>
        <w:gridCol w:w="1696"/>
        <w:gridCol w:w="7932"/>
      </w:tblGrid>
      <w:tr w:rsidR="00B046A8" w:rsidRPr="00B63EF8" w14:paraId="2C7C379E" w14:textId="77777777" w:rsidTr="008046C0">
        <w:trPr>
          <w:cnfStyle w:val="100000000000" w:firstRow="1" w:lastRow="0" w:firstColumn="0" w:lastColumn="0" w:oddVBand="0" w:evenVBand="0" w:oddHBand="0" w:evenHBand="0" w:firstRowFirstColumn="0" w:firstRowLastColumn="0" w:lastRowFirstColumn="0" w:lastRowLastColumn="0"/>
        </w:trPr>
        <w:tc>
          <w:tcPr>
            <w:tcW w:w="1696" w:type="dxa"/>
          </w:tcPr>
          <w:p w14:paraId="13ACA2B6" w14:textId="77777777" w:rsidR="00B046A8" w:rsidRPr="00B63EF8" w:rsidRDefault="00B046A8" w:rsidP="008046C0">
            <w:pPr>
              <w:spacing w:after="0"/>
              <w:rPr>
                <w:b/>
                <w:color w:val="FFFFFF"/>
                <w:sz w:val="20"/>
              </w:rPr>
            </w:pPr>
            <w:r w:rsidRPr="00B63EF8">
              <w:rPr>
                <w:b/>
                <w:color w:val="FFFFFF"/>
                <w:sz w:val="20"/>
              </w:rPr>
              <w:t>Study ID</w:t>
            </w:r>
          </w:p>
        </w:tc>
        <w:tc>
          <w:tcPr>
            <w:tcW w:w="7932" w:type="dxa"/>
          </w:tcPr>
          <w:p w14:paraId="60EAD863" w14:textId="77777777" w:rsidR="00B046A8" w:rsidRPr="00B63EF8" w:rsidRDefault="00B046A8" w:rsidP="008046C0">
            <w:pPr>
              <w:spacing w:after="0"/>
              <w:rPr>
                <w:b/>
                <w:color w:val="FFFFFF"/>
                <w:sz w:val="20"/>
              </w:rPr>
            </w:pPr>
            <w:r w:rsidRPr="00B63EF8">
              <w:rPr>
                <w:b/>
                <w:color w:val="FFFFFF"/>
                <w:sz w:val="20"/>
              </w:rPr>
              <w:t>Citation</w:t>
            </w:r>
          </w:p>
        </w:tc>
      </w:tr>
      <w:tr w:rsidR="00B046A8" w14:paraId="62630D68" w14:textId="77777777" w:rsidTr="008046C0">
        <w:tc>
          <w:tcPr>
            <w:tcW w:w="1696" w:type="dxa"/>
            <w:hideMark/>
          </w:tcPr>
          <w:p w14:paraId="346E6039" w14:textId="10F7557C" w:rsidR="00B046A8" w:rsidRDefault="00B046A8" w:rsidP="00B046A8">
            <w:pPr>
              <w:rPr>
                <w:sz w:val="20"/>
                <w:szCs w:val="20"/>
              </w:rPr>
            </w:pPr>
            <w:r>
              <w:rPr>
                <w:sz w:val="20"/>
                <w:szCs w:val="20"/>
              </w:rPr>
              <w:t>Deloitte (2012)</w:t>
            </w:r>
          </w:p>
        </w:tc>
        <w:tc>
          <w:tcPr>
            <w:tcW w:w="7932" w:type="dxa"/>
            <w:hideMark/>
          </w:tcPr>
          <w:p w14:paraId="096E2A8D" w14:textId="74CCCC90" w:rsidR="00B046A8" w:rsidRDefault="00B046A8" w:rsidP="00B046A8">
            <w:pPr>
              <w:rPr>
                <w:sz w:val="20"/>
                <w:szCs w:val="20"/>
              </w:rPr>
            </w:pPr>
            <w:r>
              <w:rPr>
                <w:sz w:val="20"/>
                <w:szCs w:val="20"/>
              </w:rPr>
              <w:t>Deloitte – Evaluation of the MedsCheck and Diabetes MedsCheck Pilot Program; 2012</w:t>
            </w:r>
          </w:p>
        </w:tc>
      </w:tr>
      <w:tr w:rsidR="00B046A8" w14:paraId="2A0AB4D3" w14:textId="77777777" w:rsidTr="008046C0">
        <w:trPr>
          <w:cnfStyle w:val="000000010000" w:firstRow="0" w:lastRow="0" w:firstColumn="0" w:lastColumn="0" w:oddVBand="0" w:evenVBand="0" w:oddHBand="0" w:evenHBand="1" w:firstRowFirstColumn="0" w:firstRowLastColumn="0" w:lastRowFirstColumn="0" w:lastRowLastColumn="0"/>
        </w:trPr>
        <w:tc>
          <w:tcPr>
            <w:tcW w:w="1696" w:type="dxa"/>
          </w:tcPr>
          <w:p w14:paraId="0DD47604" w14:textId="79E15F74" w:rsidR="00B046A8" w:rsidRDefault="00B046A8" w:rsidP="00B046A8">
            <w:pPr>
              <w:rPr>
                <w:sz w:val="20"/>
                <w:szCs w:val="20"/>
              </w:rPr>
            </w:pPr>
            <w:r>
              <w:rPr>
                <w:sz w:val="20"/>
                <w:szCs w:val="20"/>
              </w:rPr>
              <w:t>PwC (2015)</w:t>
            </w:r>
          </w:p>
        </w:tc>
        <w:tc>
          <w:tcPr>
            <w:tcW w:w="7932" w:type="dxa"/>
          </w:tcPr>
          <w:p w14:paraId="2AC03053" w14:textId="5617E604" w:rsidR="00B046A8" w:rsidRDefault="00B046A8" w:rsidP="00B046A8">
            <w:pPr>
              <w:rPr>
                <w:sz w:val="20"/>
                <w:szCs w:val="20"/>
              </w:rPr>
            </w:pPr>
            <w:r>
              <w:rPr>
                <w:sz w:val="20"/>
                <w:szCs w:val="20"/>
              </w:rPr>
              <w:t>PwC – Combined Review of Fifth Community Pharmacy Agreement Medication Management Programmes: Final Report; 2015.</w:t>
            </w:r>
          </w:p>
        </w:tc>
      </w:tr>
    </w:tbl>
    <w:p w14:paraId="43484E13" w14:textId="77777777" w:rsidR="006B010E" w:rsidRPr="00E07ACE" w:rsidRDefault="006B010E" w:rsidP="006B010E">
      <w:pPr>
        <w:pStyle w:val="Heading3"/>
        <w:jc w:val="left"/>
      </w:pPr>
      <w:r w:rsidRPr="00E07ACE">
        <w:t>Systematic reviews</w:t>
      </w:r>
    </w:p>
    <w:p w14:paraId="47E8182D" w14:textId="77777777" w:rsidR="006B010E" w:rsidRPr="00E07ACE" w:rsidRDefault="006B010E" w:rsidP="006B010E">
      <w:pPr>
        <w:pStyle w:val="BodyText"/>
      </w:pPr>
      <w:r w:rsidRPr="00E07ACE">
        <w:t xml:space="preserve">The literature search identified a number of systematic reviews and narrative reviews that did not focus on </w:t>
      </w:r>
      <w:r>
        <w:t>MedsCheck/Diabetes MedsCheck</w:t>
      </w:r>
      <w:r w:rsidRPr="00E07ACE">
        <w:t xml:space="preserve"> conducted by a pharmacist but on medication reviews in any setting, or medication review within a multidisciplinary model or a disease management plan, or medication reviews that were delivered by any health professional.  Systematic reviews that presented analysis (or meta-analysis) from pharmacy interventions that included services other than the </w:t>
      </w:r>
      <w:r>
        <w:t>MedsCheck/Diabetes MedsCheck</w:t>
      </w:r>
      <w:r w:rsidRPr="00E07ACE">
        <w:t xml:space="preserve"> specifically performed by a pharmacist were excluded.  A list of these re</w:t>
      </w:r>
      <w:r>
        <w:t>views is presented in Appendix C</w:t>
      </w:r>
      <w:r w:rsidRPr="00E07ACE">
        <w:t xml:space="preserve">.  The reference lists of each of the excluded systematic reviews were hand-searched to identify any relevant studies not identified elsewhere. </w:t>
      </w:r>
    </w:p>
    <w:p w14:paraId="2DF4580E" w14:textId="77777777" w:rsidR="006B010E" w:rsidRPr="00E07ACE" w:rsidRDefault="006B010E" w:rsidP="006B010E">
      <w:pPr>
        <w:pStyle w:val="Heading3"/>
        <w:jc w:val="left"/>
      </w:pPr>
      <w:r w:rsidRPr="00E07ACE">
        <w:lastRenderedPageBreak/>
        <w:t>Primary studies</w:t>
      </w:r>
    </w:p>
    <w:p w14:paraId="11E2E589" w14:textId="5F885AE2" w:rsidR="006B010E" w:rsidRDefault="006B010E" w:rsidP="006B010E">
      <w:pPr>
        <w:pStyle w:val="BodyText"/>
      </w:pPr>
      <w:r w:rsidRPr="00E07ACE">
        <w:t xml:space="preserve">The systematic literature search for primary studies of </w:t>
      </w:r>
      <w:r>
        <w:t>MedsCheck identified 13</w:t>
      </w:r>
      <w:r w:rsidRPr="00E07ACE">
        <w:t xml:space="preserve"> eligible publications that investigated the effect of </w:t>
      </w:r>
      <w:r>
        <w:t>community pharmacy based medication review, similar to the Australian MedsCheck service,</w:t>
      </w:r>
      <w:r w:rsidRPr="00E07ACE">
        <w:t xml:space="preserve"> on a number</w:t>
      </w:r>
      <w:r>
        <w:t xml:space="preserve"> of patient outcomes.  Only one study was identified that evaluated a community pharmacy based medication review targeting patients with type 2 diabetes.  </w:t>
      </w:r>
      <w:r>
        <w:fldChar w:fldCharType="begin"/>
      </w:r>
      <w:r>
        <w:instrText xml:space="preserve"> REF _Ref477257363 \h </w:instrText>
      </w:r>
      <w:r>
        <w:fldChar w:fldCharType="separate"/>
      </w:r>
      <w:r w:rsidR="009047A7" w:rsidRPr="008D241F">
        <w:t xml:space="preserve">Table </w:t>
      </w:r>
      <w:r w:rsidR="009047A7">
        <w:rPr>
          <w:noProof/>
        </w:rPr>
        <w:t>3</w:t>
      </w:r>
      <w:r w:rsidR="009047A7">
        <w:t>.</w:t>
      </w:r>
      <w:r w:rsidR="009047A7">
        <w:rPr>
          <w:noProof/>
        </w:rPr>
        <w:t>5</w:t>
      </w:r>
      <w:r>
        <w:fldChar w:fldCharType="end"/>
      </w:r>
      <w:r w:rsidRPr="00E07ACE">
        <w:t xml:space="preserve"> presents the list of included studies.</w:t>
      </w:r>
    </w:p>
    <w:p w14:paraId="488C6115" w14:textId="3177D382" w:rsidR="006B010E" w:rsidRDefault="006B010E" w:rsidP="006B010E">
      <w:pPr>
        <w:pStyle w:val="Caption"/>
      </w:pPr>
      <w:bookmarkStart w:id="30" w:name="_Ref477257363"/>
      <w:r w:rsidRPr="008D241F">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3</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5</w:t>
      </w:r>
      <w:r w:rsidR="009047A7">
        <w:rPr>
          <w:noProof/>
        </w:rPr>
        <w:fldChar w:fldCharType="end"/>
      </w:r>
      <w:bookmarkEnd w:id="30"/>
      <w:r w:rsidRPr="008D241F">
        <w:t xml:space="preserve">: </w:t>
      </w:r>
      <w:r w:rsidRPr="00C36634">
        <w:t xml:space="preserve">Citation </w:t>
      </w:r>
      <w:r>
        <w:t>details for included studies of MedsCheck/Diabetes MedsCheck</w:t>
      </w:r>
    </w:p>
    <w:tbl>
      <w:tblPr>
        <w:tblStyle w:val="TableGrid"/>
        <w:tblW w:w="0" w:type="auto"/>
        <w:tblLook w:val="04A0" w:firstRow="1" w:lastRow="0" w:firstColumn="1" w:lastColumn="0" w:noHBand="0" w:noVBand="1"/>
        <w:tblCaption w:val="Table 3.5"/>
        <w:tblDescription w:val="Citation details for included studies of MedsCheck/Diabetes MedsCheck"/>
      </w:tblPr>
      <w:tblGrid>
        <w:gridCol w:w="1696"/>
        <w:gridCol w:w="7932"/>
      </w:tblGrid>
      <w:tr w:rsidR="006B010E" w14:paraId="35FEE29F" w14:textId="77777777" w:rsidTr="006B010E">
        <w:trPr>
          <w:cnfStyle w:val="100000000000" w:firstRow="1" w:lastRow="0" w:firstColumn="0" w:lastColumn="0" w:oddVBand="0" w:evenVBand="0" w:oddHBand="0" w:evenHBand="0" w:firstRowFirstColumn="0" w:firstRowLastColumn="0" w:lastRowFirstColumn="0" w:lastRowLastColumn="0"/>
        </w:trPr>
        <w:tc>
          <w:tcPr>
            <w:tcW w:w="1696" w:type="dxa"/>
          </w:tcPr>
          <w:p w14:paraId="4C7531D4" w14:textId="77777777" w:rsidR="006B010E" w:rsidRDefault="006B010E" w:rsidP="006B010E">
            <w:pPr>
              <w:pStyle w:val="Table10ptheadingalignedleft"/>
            </w:pPr>
            <w:r>
              <w:t>Study ID</w:t>
            </w:r>
          </w:p>
        </w:tc>
        <w:tc>
          <w:tcPr>
            <w:tcW w:w="7932" w:type="dxa"/>
          </w:tcPr>
          <w:p w14:paraId="47056BA1" w14:textId="77777777" w:rsidR="006B010E" w:rsidRDefault="006B010E" w:rsidP="006B010E">
            <w:pPr>
              <w:pStyle w:val="Table10ptheadingalignedleft"/>
            </w:pPr>
            <w:r>
              <w:t>Citation</w:t>
            </w:r>
          </w:p>
        </w:tc>
      </w:tr>
      <w:tr w:rsidR="006B010E" w14:paraId="2723F363" w14:textId="77777777" w:rsidTr="006B010E">
        <w:tc>
          <w:tcPr>
            <w:tcW w:w="1696" w:type="dxa"/>
            <w:shd w:val="clear" w:color="auto" w:fill="000000" w:themeFill="text1"/>
          </w:tcPr>
          <w:p w14:paraId="0E48AD28" w14:textId="77777777" w:rsidR="006B010E" w:rsidRDefault="006B010E" w:rsidP="006B010E">
            <w:pPr>
              <w:pStyle w:val="Table10ptalignedleft"/>
            </w:pPr>
            <w:r>
              <w:t>MedsCheck</w:t>
            </w:r>
          </w:p>
        </w:tc>
        <w:tc>
          <w:tcPr>
            <w:tcW w:w="7932" w:type="dxa"/>
            <w:shd w:val="clear" w:color="auto" w:fill="000000" w:themeFill="text1"/>
          </w:tcPr>
          <w:p w14:paraId="15277E46" w14:textId="77777777" w:rsidR="006B010E" w:rsidRPr="006C2613" w:rsidRDefault="006B010E" w:rsidP="006B010E">
            <w:pPr>
              <w:pStyle w:val="Table10ptalignedleft"/>
            </w:pPr>
          </w:p>
        </w:tc>
      </w:tr>
      <w:tr w:rsidR="006B010E" w14:paraId="78FB9499" w14:textId="77777777" w:rsidTr="006B010E">
        <w:trPr>
          <w:cnfStyle w:val="000000010000" w:firstRow="0" w:lastRow="0" w:firstColumn="0" w:lastColumn="0" w:oddVBand="0" w:evenVBand="0" w:oddHBand="0" w:evenHBand="1" w:firstRowFirstColumn="0" w:firstRowLastColumn="0" w:lastRowFirstColumn="0" w:lastRowLastColumn="0"/>
        </w:trPr>
        <w:tc>
          <w:tcPr>
            <w:tcW w:w="1696" w:type="dxa"/>
          </w:tcPr>
          <w:p w14:paraId="293CDA08" w14:textId="77777777" w:rsidR="006B010E" w:rsidRDefault="006B010E" w:rsidP="006B010E">
            <w:pPr>
              <w:pStyle w:val="Table10ptalignedleft"/>
            </w:pPr>
            <w:r>
              <w:t>Messerli (2016)</w:t>
            </w:r>
          </w:p>
        </w:tc>
        <w:tc>
          <w:tcPr>
            <w:tcW w:w="7932" w:type="dxa"/>
          </w:tcPr>
          <w:p w14:paraId="1E85402C" w14:textId="77777777" w:rsidR="006B010E" w:rsidRDefault="006B010E" w:rsidP="006B010E">
            <w:pPr>
              <w:pStyle w:val="Table10ptalignedleft"/>
            </w:pPr>
            <w:r w:rsidRPr="006C2613">
              <w:t>Messerli,</w:t>
            </w:r>
            <w:r>
              <w:t xml:space="preserve"> M., E. Blozik, et al. (2016). </w:t>
            </w:r>
            <w:r w:rsidRPr="006C2613">
              <w:t>Impact of a community pharmacist-led medication review on medicines use in patients on polypharmacy--a prospecti</w:t>
            </w:r>
            <w:r>
              <w:t>ve randomised controlled trial.</w:t>
            </w:r>
            <w:r w:rsidRPr="006C2613">
              <w:t xml:space="preserve"> BMC health services research 16: 145.</w:t>
            </w:r>
          </w:p>
        </w:tc>
      </w:tr>
      <w:tr w:rsidR="006B010E" w14:paraId="44AB5DA4" w14:textId="77777777" w:rsidTr="006B010E">
        <w:tc>
          <w:tcPr>
            <w:tcW w:w="1696" w:type="dxa"/>
          </w:tcPr>
          <w:p w14:paraId="6680AFC2" w14:textId="77777777" w:rsidR="006B010E" w:rsidRDefault="006B010E" w:rsidP="006B010E">
            <w:pPr>
              <w:pStyle w:val="Table10ptalignedleft"/>
            </w:pPr>
            <w:r>
              <w:t>Mott (2016)</w:t>
            </w:r>
          </w:p>
        </w:tc>
        <w:tc>
          <w:tcPr>
            <w:tcW w:w="7932" w:type="dxa"/>
          </w:tcPr>
          <w:p w14:paraId="71E3A12E" w14:textId="77777777" w:rsidR="006B010E" w:rsidRDefault="006B010E" w:rsidP="006B010E">
            <w:pPr>
              <w:pStyle w:val="Table10ptalignedleft"/>
            </w:pPr>
            <w:r>
              <w:t>Mott, D. A., B. Martin, et al. (2016). Impact of a medication therapy management intervention targeting medications associated with falling: Results of a pilot study. Journal of the American Pharmacists Association 56(1): 22-28.</w:t>
            </w:r>
          </w:p>
        </w:tc>
      </w:tr>
      <w:tr w:rsidR="006B010E" w14:paraId="5E71ED8B" w14:textId="77777777" w:rsidTr="006B010E">
        <w:trPr>
          <w:cnfStyle w:val="000000010000" w:firstRow="0" w:lastRow="0" w:firstColumn="0" w:lastColumn="0" w:oddVBand="0" w:evenVBand="0" w:oddHBand="0" w:evenHBand="1" w:firstRowFirstColumn="0" w:firstRowLastColumn="0" w:lastRowFirstColumn="0" w:lastRowLastColumn="0"/>
        </w:trPr>
        <w:tc>
          <w:tcPr>
            <w:tcW w:w="1696" w:type="dxa"/>
          </w:tcPr>
          <w:p w14:paraId="7D344733" w14:textId="77777777" w:rsidR="006B010E" w:rsidRDefault="006B010E" w:rsidP="006B010E">
            <w:pPr>
              <w:pStyle w:val="Table10ptalignedleft"/>
            </w:pPr>
            <w:r>
              <w:t>Basheti (2016)</w:t>
            </w:r>
          </w:p>
        </w:tc>
        <w:tc>
          <w:tcPr>
            <w:tcW w:w="7932" w:type="dxa"/>
          </w:tcPr>
          <w:p w14:paraId="599C5B93" w14:textId="77777777" w:rsidR="006B010E" w:rsidRDefault="006B010E" w:rsidP="006B010E">
            <w:pPr>
              <w:pStyle w:val="Table10ptalignedleft"/>
            </w:pPr>
            <w:r w:rsidRPr="00D1765B">
              <w:t>Basheti, I. A., Tadros, O</w:t>
            </w:r>
            <w:r>
              <w:t xml:space="preserve">. K. I. and Aburuz, S. (2016). </w:t>
            </w:r>
            <w:r w:rsidRPr="00D1765B">
              <w:t>Value of a Community-Based Medication Management Review Service in Jordan: A Prospectiv</w:t>
            </w:r>
            <w:r>
              <w:t>e Randomized Controlled Study.</w:t>
            </w:r>
            <w:r w:rsidRPr="00D1765B">
              <w:t>Pharmacotherapy 36(10): 1075-1086.</w:t>
            </w:r>
          </w:p>
        </w:tc>
      </w:tr>
      <w:tr w:rsidR="006B010E" w14:paraId="26761583" w14:textId="77777777" w:rsidTr="006B010E">
        <w:tc>
          <w:tcPr>
            <w:tcW w:w="1696" w:type="dxa"/>
          </w:tcPr>
          <w:p w14:paraId="53B2D0DA" w14:textId="77777777" w:rsidR="006B010E" w:rsidRDefault="006B010E" w:rsidP="006B010E">
            <w:pPr>
              <w:pStyle w:val="Table10ptalignedleft"/>
            </w:pPr>
            <w:r w:rsidRPr="00663092">
              <w:t>Malet-Larrea (2016)</w:t>
            </w:r>
            <w:r>
              <w:t xml:space="preserve"> </w:t>
            </w:r>
          </w:p>
        </w:tc>
        <w:tc>
          <w:tcPr>
            <w:tcW w:w="7932" w:type="dxa"/>
          </w:tcPr>
          <w:p w14:paraId="0E030F7E" w14:textId="77777777" w:rsidR="006B010E" w:rsidRPr="00D1765B" w:rsidRDefault="006B010E" w:rsidP="006B010E">
            <w:pPr>
              <w:pStyle w:val="Table10ptalignedleft"/>
            </w:pPr>
            <w:r>
              <w:t>Malet-Larrea, A., E. Goyenechea, et al. (2016). The impact of a medication review with follow-up service on hospital admissions in aged polypharmacy patients. British Journal of Clinical Pharmacology: 831-838.</w:t>
            </w:r>
          </w:p>
        </w:tc>
      </w:tr>
      <w:tr w:rsidR="006B010E" w14:paraId="6170D8BD" w14:textId="77777777" w:rsidTr="006B010E">
        <w:trPr>
          <w:cnfStyle w:val="000000010000" w:firstRow="0" w:lastRow="0" w:firstColumn="0" w:lastColumn="0" w:oddVBand="0" w:evenVBand="0" w:oddHBand="0" w:evenHBand="1" w:firstRowFirstColumn="0" w:firstRowLastColumn="0" w:lastRowFirstColumn="0" w:lastRowLastColumn="0"/>
        </w:trPr>
        <w:tc>
          <w:tcPr>
            <w:tcW w:w="1696" w:type="dxa"/>
          </w:tcPr>
          <w:p w14:paraId="1B241A09" w14:textId="77777777" w:rsidR="006B010E" w:rsidRDefault="006B010E" w:rsidP="006B010E">
            <w:pPr>
              <w:pStyle w:val="Table10ptalignedleft"/>
            </w:pPr>
            <w:r>
              <w:t>Ocampo (2015)</w:t>
            </w:r>
          </w:p>
        </w:tc>
        <w:tc>
          <w:tcPr>
            <w:tcW w:w="7932" w:type="dxa"/>
          </w:tcPr>
          <w:p w14:paraId="53077DC5" w14:textId="77777777" w:rsidR="006B010E" w:rsidRDefault="006B010E" w:rsidP="006B010E">
            <w:pPr>
              <w:pStyle w:val="Table10ptalignedleft"/>
            </w:pPr>
            <w:r>
              <w:t>Ocampo, C. C., V. Garcia-Cardenas, et al. (2015). Implementation of medication review with follow-up in a Spanish community pharmacy and its achieved outcomes. International Journal of Clinical Pharmacy 37(5): 931-940.</w:t>
            </w:r>
          </w:p>
        </w:tc>
      </w:tr>
      <w:tr w:rsidR="006B010E" w14:paraId="36A6B1D6" w14:textId="77777777" w:rsidTr="006B010E">
        <w:tc>
          <w:tcPr>
            <w:tcW w:w="1696" w:type="dxa"/>
          </w:tcPr>
          <w:p w14:paraId="4137B343" w14:textId="77777777" w:rsidR="006B010E" w:rsidRDefault="006B010E" w:rsidP="006B010E">
            <w:pPr>
              <w:pStyle w:val="Table10ptalignedleft"/>
            </w:pPr>
            <w:r>
              <w:t>Jodar-Sanchez (2015)</w:t>
            </w:r>
          </w:p>
        </w:tc>
        <w:tc>
          <w:tcPr>
            <w:tcW w:w="7932" w:type="dxa"/>
          </w:tcPr>
          <w:p w14:paraId="10E4DAB3" w14:textId="77777777" w:rsidR="006B010E" w:rsidRDefault="006B010E" w:rsidP="006B010E">
            <w:pPr>
              <w:pStyle w:val="Table10ptalignedleft"/>
            </w:pPr>
            <w:r>
              <w:t>Jodar-Sanchez F, Malet-Larrea A, Martin JJ et al. Cost-utility analysis of a medication review with follow-up service for older adults with polypharmacy in community pharmacies in Spain: the conSIGUE program. Pharmacoeconomics, 2015;33:599–610.</w:t>
            </w:r>
          </w:p>
        </w:tc>
      </w:tr>
      <w:tr w:rsidR="006B010E" w14:paraId="205EBC13" w14:textId="77777777" w:rsidTr="006B010E">
        <w:trPr>
          <w:cnfStyle w:val="000000010000" w:firstRow="0" w:lastRow="0" w:firstColumn="0" w:lastColumn="0" w:oddVBand="0" w:evenVBand="0" w:oddHBand="0" w:evenHBand="1" w:firstRowFirstColumn="0" w:firstRowLastColumn="0" w:lastRowFirstColumn="0" w:lastRowLastColumn="0"/>
        </w:trPr>
        <w:tc>
          <w:tcPr>
            <w:tcW w:w="1696" w:type="dxa"/>
          </w:tcPr>
          <w:p w14:paraId="34012A0C" w14:textId="77777777" w:rsidR="006B010E" w:rsidRDefault="006B010E" w:rsidP="006B010E">
            <w:pPr>
              <w:pStyle w:val="Table10ptalignedleft"/>
            </w:pPr>
            <w:r>
              <w:t>Geurts (2015)</w:t>
            </w:r>
          </w:p>
        </w:tc>
        <w:tc>
          <w:tcPr>
            <w:tcW w:w="7932" w:type="dxa"/>
          </w:tcPr>
          <w:p w14:paraId="2BB6D6E4" w14:textId="77777777" w:rsidR="006B010E" w:rsidRDefault="006B010E" w:rsidP="006B010E">
            <w:pPr>
              <w:pStyle w:val="Table10ptalignedleft"/>
            </w:pPr>
            <w:r w:rsidRPr="00D1765B">
              <w:t>Geurts MM, Stewart RE, Brouwers JR, Graeff PA, Gier JJ. Patient beliefs about medicines and quality of life after a clinical medication review and follow-up by a pharmaceutical care plan: a study in elderly polypharmacy patients with a cardiovascular disorder. J Pharm Health Serv Res, 2015;</w:t>
            </w:r>
            <w:r>
              <w:t xml:space="preserve"> </w:t>
            </w:r>
            <w:r w:rsidRPr="00D1765B">
              <w:t>6:171–176.</w:t>
            </w:r>
          </w:p>
        </w:tc>
      </w:tr>
      <w:tr w:rsidR="006B010E" w14:paraId="54D20F2C" w14:textId="77777777" w:rsidTr="006B010E">
        <w:tc>
          <w:tcPr>
            <w:tcW w:w="1696" w:type="dxa"/>
          </w:tcPr>
          <w:p w14:paraId="6D61F72C" w14:textId="77777777" w:rsidR="006B010E" w:rsidRDefault="006B010E" w:rsidP="006B010E">
            <w:pPr>
              <w:pStyle w:val="Table10ptalignedleft"/>
            </w:pPr>
            <w:r w:rsidRPr="008C1966">
              <w:t xml:space="preserve">Touchette (2012) </w:t>
            </w:r>
          </w:p>
        </w:tc>
        <w:tc>
          <w:tcPr>
            <w:tcW w:w="7932" w:type="dxa"/>
          </w:tcPr>
          <w:p w14:paraId="62543DC1" w14:textId="77777777" w:rsidR="006B010E" w:rsidRDefault="006B010E" w:rsidP="006B010E">
            <w:pPr>
              <w:pStyle w:val="Table10ptalignedleft"/>
            </w:pPr>
            <w:r w:rsidRPr="00D1765B">
              <w:t>Touchette, D. R., Masica, A. L., Dolor, R. J., Schumock, G. T., Choi, Y. K., Ki</w:t>
            </w:r>
            <w:r>
              <w:t xml:space="preserve">m, Y. and Smith, S. R. (2012). </w:t>
            </w:r>
            <w:r w:rsidRPr="00D1765B">
              <w:t>Safety-focused medication therapy management:</w:t>
            </w:r>
            <w:r>
              <w:t xml:space="preserve"> A randomized controlled trial.</w:t>
            </w:r>
            <w:r w:rsidRPr="00D1765B">
              <w:t xml:space="preserve"> Journal of the American Pharmacists Association 52(5): 603-612.</w:t>
            </w:r>
          </w:p>
        </w:tc>
      </w:tr>
      <w:tr w:rsidR="006B010E" w14:paraId="6E403D8E" w14:textId="77777777" w:rsidTr="006B010E">
        <w:trPr>
          <w:cnfStyle w:val="000000010000" w:firstRow="0" w:lastRow="0" w:firstColumn="0" w:lastColumn="0" w:oddVBand="0" w:evenVBand="0" w:oddHBand="0" w:evenHBand="1" w:firstRowFirstColumn="0" w:firstRowLastColumn="0" w:lastRowFirstColumn="0" w:lastRowLastColumn="0"/>
        </w:trPr>
        <w:tc>
          <w:tcPr>
            <w:tcW w:w="1696" w:type="dxa"/>
          </w:tcPr>
          <w:p w14:paraId="199CE0B4" w14:textId="77777777" w:rsidR="006B010E" w:rsidRDefault="006B010E" w:rsidP="006B010E">
            <w:pPr>
              <w:pStyle w:val="Table10ptalignedleft"/>
            </w:pPr>
            <w:r>
              <w:t xml:space="preserve">Blalock (2010) </w:t>
            </w:r>
          </w:p>
        </w:tc>
        <w:tc>
          <w:tcPr>
            <w:tcW w:w="7932" w:type="dxa"/>
          </w:tcPr>
          <w:p w14:paraId="32652B70" w14:textId="77777777" w:rsidR="006B010E" w:rsidRDefault="006B010E" w:rsidP="006B010E">
            <w:pPr>
              <w:pStyle w:val="Table10ptalignedleft"/>
            </w:pPr>
            <w:r>
              <w:t xml:space="preserve">Blalock SJ, Casteel C, Roth MT, Ferreri S; Karen B. Demby KB, and Shankar V. (2010). Impact of enhanced pharmacologic care on the prevention of falls: A randomized controlled trial. Am </w:t>
            </w:r>
            <w:r w:rsidRPr="000608B2">
              <w:t>Journal of Geriatric Pharmacotherapy</w:t>
            </w:r>
            <w:r>
              <w:t xml:space="preserve"> </w:t>
            </w:r>
            <w:r w:rsidRPr="000608B2">
              <w:t>Am J</w:t>
            </w:r>
            <w:r>
              <w:t xml:space="preserve"> Geriatr Pharmacother. </w:t>
            </w:r>
            <w:r w:rsidRPr="000608B2">
              <w:t>8(5):428-40.</w:t>
            </w:r>
          </w:p>
        </w:tc>
      </w:tr>
      <w:tr w:rsidR="006B010E" w14:paraId="581B405C" w14:textId="77777777" w:rsidTr="006B010E">
        <w:tc>
          <w:tcPr>
            <w:tcW w:w="1696" w:type="dxa"/>
          </w:tcPr>
          <w:p w14:paraId="31865092" w14:textId="77777777" w:rsidR="006B010E" w:rsidRDefault="006B010E" w:rsidP="006B010E">
            <w:pPr>
              <w:pStyle w:val="Table10ptalignedleft"/>
            </w:pPr>
            <w:r>
              <w:t>Vinks (SMOG, 2009)</w:t>
            </w:r>
          </w:p>
        </w:tc>
        <w:tc>
          <w:tcPr>
            <w:tcW w:w="7932" w:type="dxa"/>
          </w:tcPr>
          <w:p w14:paraId="08CDBEBE" w14:textId="77777777" w:rsidR="006B010E" w:rsidRDefault="006B010E" w:rsidP="006B010E">
            <w:pPr>
              <w:pStyle w:val="Table10ptalignedleft"/>
            </w:pPr>
            <w:r w:rsidRPr="006C2613">
              <w:t>Vinks TH et al. Pharmacist based medication review reduces potential drug-related problems in the elderly. The SMOG controlled trial. Drug Aging 2009; 26: 123- 33</w:t>
            </w:r>
            <w:r>
              <w:t>.</w:t>
            </w:r>
          </w:p>
        </w:tc>
      </w:tr>
      <w:tr w:rsidR="006B010E" w14:paraId="4FCF2D9C" w14:textId="77777777" w:rsidTr="006B010E">
        <w:trPr>
          <w:cnfStyle w:val="000000010000" w:firstRow="0" w:lastRow="0" w:firstColumn="0" w:lastColumn="0" w:oddVBand="0" w:evenVBand="0" w:oddHBand="0" w:evenHBand="1" w:firstRowFirstColumn="0" w:firstRowLastColumn="0" w:lastRowFirstColumn="0" w:lastRowLastColumn="0"/>
        </w:trPr>
        <w:tc>
          <w:tcPr>
            <w:tcW w:w="1696" w:type="dxa"/>
          </w:tcPr>
          <w:p w14:paraId="2880F240" w14:textId="77777777" w:rsidR="006B010E" w:rsidRDefault="006B010E" w:rsidP="006B010E">
            <w:pPr>
              <w:pStyle w:val="Table10ptalignedleft"/>
            </w:pPr>
            <w:r>
              <w:t>Bond (MEDMAN, 2007)</w:t>
            </w:r>
          </w:p>
        </w:tc>
        <w:tc>
          <w:tcPr>
            <w:tcW w:w="7932" w:type="dxa"/>
          </w:tcPr>
          <w:p w14:paraId="75DA3925" w14:textId="77777777" w:rsidR="006B010E" w:rsidRDefault="006B010E" w:rsidP="006B010E">
            <w:pPr>
              <w:pStyle w:val="Table10ptalignedleft"/>
            </w:pPr>
            <w:r>
              <w:t xml:space="preserve">Bond, C. (2007). </w:t>
            </w:r>
            <w:r w:rsidRPr="00A338C6">
              <w:t>The MEDMAN study: A randomized controlled trial of community pharmacy-led medicines management for patien</w:t>
            </w:r>
            <w:r>
              <w:t>ts with coronary heart disease.</w:t>
            </w:r>
            <w:r w:rsidRPr="00A338C6">
              <w:t xml:space="preserve"> Family Practice 24(2): 189-200.</w:t>
            </w:r>
          </w:p>
        </w:tc>
      </w:tr>
      <w:tr w:rsidR="006B010E" w14:paraId="7A6118E1" w14:textId="77777777" w:rsidTr="006B010E">
        <w:tc>
          <w:tcPr>
            <w:tcW w:w="1696" w:type="dxa"/>
          </w:tcPr>
          <w:p w14:paraId="5A15AC89" w14:textId="77777777" w:rsidR="006B010E" w:rsidRDefault="006B010E" w:rsidP="006B010E">
            <w:pPr>
              <w:pStyle w:val="Table10ptalignedleft"/>
            </w:pPr>
            <w:r>
              <w:t>Bouvy (2003)</w:t>
            </w:r>
          </w:p>
        </w:tc>
        <w:tc>
          <w:tcPr>
            <w:tcW w:w="7932" w:type="dxa"/>
          </w:tcPr>
          <w:p w14:paraId="0C88EF12" w14:textId="77777777" w:rsidR="006B010E" w:rsidRDefault="006B010E" w:rsidP="006B010E">
            <w:pPr>
              <w:pStyle w:val="Table10ptalignedleft"/>
            </w:pPr>
            <w:r>
              <w:t>Bouvy ML, Heerdink ER, Urquhart J, et al. Effect of a pharmacist-led intervention on diuretic compliance in heart failure patients: A randomized controlled study. Journal of Cardiac Failure.</w:t>
            </w:r>
          </w:p>
          <w:p w14:paraId="7C483D35" w14:textId="77777777" w:rsidR="006B010E" w:rsidRDefault="006B010E" w:rsidP="006B010E">
            <w:pPr>
              <w:pStyle w:val="Table10ptalignedleft"/>
            </w:pPr>
            <w:r>
              <w:t>2003; 9:404–411.</w:t>
            </w:r>
          </w:p>
        </w:tc>
      </w:tr>
      <w:tr w:rsidR="006B010E" w14:paraId="37A64B45" w14:textId="77777777" w:rsidTr="006B010E">
        <w:trPr>
          <w:cnfStyle w:val="000000010000" w:firstRow="0" w:lastRow="0" w:firstColumn="0" w:lastColumn="0" w:oddVBand="0" w:evenVBand="0" w:oddHBand="0" w:evenHBand="1" w:firstRowFirstColumn="0" w:firstRowLastColumn="0" w:lastRowFirstColumn="0" w:lastRowLastColumn="0"/>
        </w:trPr>
        <w:tc>
          <w:tcPr>
            <w:tcW w:w="1696" w:type="dxa"/>
          </w:tcPr>
          <w:p w14:paraId="7A046F0A" w14:textId="77777777" w:rsidR="006B010E" w:rsidRDefault="006B010E" w:rsidP="006B010E">
            <w:pPr>
              <w:pStyle w:val="Table10ptalignedleft"/>
            </w:pPr>
            <w:r>
              <w:t xml:space="preserve">Bernsten (2001) </w:t>
            </w:r>
          </w:p>
        </w:tc>
        <w:tc>
          <w:tcPr>
            <w:tcW w:w="7932" w:type="dxa"/>
          </w:tcPr>
          <w:p w14:paraId="1724C3DA" w14:textId="77777777" w:rsidR="006B010E" w:rsidRDefault="006B010E" w:rsidP="006B010E">
            <w:pPr>
              <w:pStyle w:val="Table10ptalignedleft"/>
            </w:pPr>
            <w:r>
              <w:t>Bernsten C, Björkman I, Caramona M, Crealey G, Frøkjaer B, Grundberger E, et al. Improving the well-being of elderly patients via community pharmacy-based provision of</w:t>
            </w:r>
          </w:p>
          <w:p w14:paraId="787A475A" w14:textId="77777777" w:rsidR="006B010E" w:rsidRDefault="006B010E" w:rsidP="006B010E">
            <w:pPr>
              <w:pStyle w:val="Table10ptalignedleft"/>
            </w:pPr>
            <w:r>
              <w:t>pharmaceutical care: a multicentre study in seven European</w:t>
            </w:r>
          </w:p>
          <w:p w14:paraId="06103AA4" w14:textId="77777777" w:rsidR="006B010E" w:rsidRDefault="006B010E" w:rsidP="006B010E">
            <w:pPr>
              <w:pStyle w:val="Table10ptalignedleft"/>
            </w:pPr>
            <w:r>
              <w:t>countries. Drugs Aging 2001; 18: 63–77.</w:t>
            </w:r>
          </w:p>
        </w:tc>
      </w:tr>
      <w:tr w:rsidR="006B010E" w14:paraId="11B04392" w14:textId="77777777" w:rsidTr="006B010E">
        <w:tc>
          <w:tcPr>
            <w:tcW w:w="1696" w:type="dxa"/>
            <w:shd w:val="clear" w:color="auto" w:fill="000000" w:themeFill="text1"/>
          </w:tcPr>
          <w:p w14:paraId="01A2578F" w14:textId="77777777" w:rsidR="006B010E" w:rsidRDefault="006B010E" w:rsidP="006B010E">
            <w:pPr>
              <w:pStyle w:val="Table10ptalignedleft"/>
            </w:pPr>
            <w:r>
              <w:t>Diabetes MedsCheck</w:t>
            </w:r>
          </w:p>
        </w:tc>
        <w:tc>
          <w:tcPr>
            <w:tcW w:w="7932" w:type="dxa"/>
            <w:shd w:val="clear" w:color="auto" w:fill="000000" w:themeFill="text1"/>
          </w:tcPr>
          <w:p w14:paraId="4C05B2FC" w14:textId="77777777" w:rsidR="006B010E" w:rsidRDefault="006B010E" w:rsidP="006B010E">
            <w:pPr>
              <w:pStyle w:val="Table10ptalignedleft"/>
            </w:pPr>
          </w:p>
        </w:tc>
      </w:tr>
      <w:tr w:rsidR="006B010E" w14:paraId="20DE4777" w14:textId="77777777" w:rsidTr="006B010E">
        <w:trPr>
          <w:cnfStyle w:val="000000010000" w:firstRow="0" w:lastRow="0" w:firstColumn="0" w:lastColumn="0" w:oddVBand="0" w:evenVBand="0" w:oddHBand="0" w:evenHBand="1" w:firstRowFirstColumn="0" w:firstRowLastColumn="0" w:lastRowFirstColumn="0" w:lastRowLastColumn="0"/>
        </w:trPr>
        <w:tc>
          <w:tcPr>
            <w:tcW w:w="1696" w:type="dxa"/>
          </w:tcPr>
          <w:p w14:paraId="321CE4B3" w14:textId="77777777" w:rsidR="006B010E" w:rsidRDefault="006B010E" w:rsidP="006B010E">
            <w:pPr>
              <w:pStyle w:val="Table10ptalignedleft"/>
            </w:pPr>
            <w:r>
              <w:t>Kjeldsen (2015)</w:t>
            </w:r>
          </w:p>
        </w:tc>
        <w:tc>
          <w:tcPr>
            <w:tcW w:w="7932" w:type="dxa"/>
          </w:tcPr>
          <w:p w14:paraId="197E6465" w14:textId="77777777" w:rsidR="006B010E" w:rsidRDefault="006B010E" w:rsidP="006B010E">
            <w:pPr>
              <w:pStyle w:val="Table10ptalignedleft"/>
            </w:pPr>
            <w:r w:rsidRPr="00D1765B">
              <w:t>Kjeldsen, L. J., Bjerrum, L., Dam, P., Larsen, B. O., Rossing, C., Sondergaa</w:t>
            </w:r>
            <w:r>
              <w:t xml:space="preserve">rd, B. and Herborg, H. (2015). </w:t>
            </w:r>
            <w:r w:rsidRPr="00D1765B">
              <w:t>Safe and effective use of medicines for patients with type 2 diabetes - A randomized controlled trial of two interventions delivered by local pharma</w:t>
            </w:r>
            <w:r>
              <w:t>cies.</w:t>
            </w:r>
            <w:r w:rsidRPr="00D1765B">
              <w:t xml:space="preserve"> Research in s</w:t>
            </w:r>
            <w:r>
              <w:t>ocial &amp; administrative pharmacy</w:t>
            </w:r>
            <w:r w:rsidRPr="00D1765B">
              <w:t>: RSAP 11(1): 47-62.</w:t>
            </w:r>
          </w:p>
        </w:tc>
      </w:tr>
    </w:tbl>
    <w:p w14:paraId="0A6872BB" w14:textId="77777777" w:rsidR="006B010E" w:rsidRPr="00C46DAF" w:rsidRDefault="006B010E" w:rsidP="006B010E">
      <w:pPr>
        <w:pStyle w:val="BodyText"/>
      </w:pPr>
      <w:r w:rsidRPr="00E07ACE">
        <w:t xml:space="preserve">Appendix C presents a list of other primary studies of medication reviews that were identified through the literature search and the reasons for their exclusion.  Studies that examined MedsCheck or Diabetes </w:t>
      </w:r>
      <w:r w:rsidRPr="00E07ACE">
        <w:lastRenderedPageBreak/>
        <w:t>MedsCheck as part of a more comprehensive pharmacy care program or were part of a multidisciplinary model were excluded.  Studies that evaluated MedsCheck/Diabetes MedsCheck performed by a healthcare professional other than a pharmacist were also excluded.</w:t>
      </w:r>
    </w:p>
    <w:p w14:paraId="1A5C5067" w14:textId="77777777" w:rsidR="008D241F" w:rsidRDefault="008D241F" w:rsidP="00B343D8">
      <w:pPr>
        <w:pStyle w:val="Heading2"/>
      </w:pPr>
      <w:r>
        <w:t>Utilisation analysis</w:t>
      </w:r>
      <w:bookmarkEnd w:id="26"/>
      <w:bookmarkEnd w:id="27"/>
    </w:p>
    <w:p w14:paraId="1754C472" w14:textId="0277CDEF" w:rsidR="00F5001A" w:rsidRPr="00427E5C" w:rsidRDefault="00F5001A" w:rsidP="00F5001A">
      <w:pPr>
        <w:pStyle w:val="01BODYTEXT"/>
      </w:pPr>
      <w:r w:rsidRPr="00427E5C">
        <w:t xml:space="preserve">Utilisation of MedsCheck services was analysed using the claims payment data extracted from DHS systems for years 2012/13 and 2013/14 and Pharmacy Guild claims systems extracts for years 2014/15 and 2015/16.  The analysis is restricted to claims paid for </w:t>
      </w:r>
      <w:r w:rsidR="00660443">
        <w:t>d</w:t>
      </w:r>
      <w:r w:rsidRPr="00427E5C">
        <w:t xml:space="preserve">ate of </w:t>
      </w:r>
      <w:r w:rsidR="00660443">
        <w:t>s</w:t>
      </w:r>
      <w:r w:rsidRPr="00427E5C">
        <w:t>ervice between 1</w:t>
      </w:r>
      <w:r w:rsidRPr="00427E5C">
        <w:rPr>
          <w:vertAlign w:val="superscript"/>
        </w:rPr>
        <w:t>st</w:t>
      </w:r>
      <w:r w:rsidRPr="00427E5C">
        <w:t xml:space="preserve"> July, 2012 and 30</w:t>
      </w:r>
      <w:r w:rsidRPr="00427E5C">
        <w:rPr>
          <w:vertAlign w:val="superscript"/>
        </w:rPr>
        <w:t>th</w:t>
      </w:r>
      <w:r w:rsidRPr="00427E5C">
        <w:t xml:space="preserve"> June, 2016 (records that do not have valid dates or have unrealistic dates were excluded from the datasets). </w:t>
      </w:r>
      <w:r w:rsidR="00427E5C" w:rsidRPr="00427E5C">
        <w:t xml:space="preserve"> </w:t>
      </w:r>
      <w:r w:rsidRPr="00427E5C">
        <w:t>The encryption of some key identifying fields in the DHS datasets placed some limitations on the analysis. These limitations have been noted, where relevant.</w:t>
      </w:r>
    </w:p>
    <w:p w14:paraId="2A010EA6" w14:textId="2EA0EB74" w:rsidR="00F5001A" w:rsidRPr="00427E5C" w:rsidRDefault="00F5001A" w:rsidP="00F5001A">
      <w:pPr>
        <w:pStyle w:val="01BODYTEXT"/>
      </w:pPr>
      <w:r w:rsidRPr="00427E5C">
        <w:t xml:space="preserve">MedsCheck claims payment data have been analysed with the emphasis on inter-record and longitudinal relationships within the claims system extracts, especially with regard to the </w:t>
      </w:r>
      <w:r w:rsidR="00660443">
        <w:t>f</w:t>
      </w:r>
      <w:r w:rsidRPr="00427E5C">
        <w:t xml:space="preserve">requency of </w:t>
      </w:r>
      <w:r w:rsidR="00660443">
        <w:t>s</w:t>
      </w:r>
      <w:r w:rsidRPr="00427E5C">
        <w:t xml:space="preserve">ervice stipulations (outlined in </w:t>
      </w:r>
      <w:r w:rsidR="00476D4D">
        <w:t>S</w:t>
      </w:r>
      <w:r w:rsidR="009233FC" w:rsidRPr="00427E5C">
        <w:t xml:space="preserve">ection </w:t>
      </w:r>
      <w:r w:rsidRPr="00427E5C">
        <w:t>2.4).</w:t>
      </w:r>
    </w:p>
    <w:p w14:paraId="059BC9DB" w14:textId="761A5DCE" w:rsidR="00F5001A" w:rsidRDefault="00F5001A" w:rsidP="00F5001A">
      <w:pPr>
        <w:pStyle w:val="01BODYTEXT"/>
      </w:pPr>
      <w:r w:rsidRPr="00427E5C">
        <w:t>MedsCheck claims payment data have also been analysed to assess ‘remoteness’</w:t>
      </w:r>
      <w:r w:rsidRPr="00427E5C">
        <w:rPr>
          <w:rStyle w:val="FootnoteReference"/>
        </w:rPr>
        <w:footnoteReference w:id="3"/>
      </w:r>
      <w:r w:rsidRPr="00427E5C">
        <w:t xml:space="preserve">, as inferred from the postcode of each </w:t>
      </w:r>
      <w:r w:rsidR="00427E5C" w:rsidRPr="00427E5C">
        <w:t xml:space="preserve">ACF </w:t>
      </w:r>
      <w:r w:rsidRPr="00427E5C">
        <w:t xml:space="preserve">(where that information is available). </w:t>
      </w:r>
      <w:r w:rsidR="00427E5C" w:rsidRPr="00427E5C">
        <w:t xml:space="preserve"> </w:t>
      </w:r>
      <w:r w:rsidRPr="00427E5C">
        <w:t xml:space="preserve">Facility postcodes were provided in a separate file and relate to Pharmacy Guild claims systems extracts for years 2014/15 and 2015/16. </w:t>
      </w:r>
      <w:r w:rsidR="00427E5C" w:rsidRPr="00427E5C">
        <w:t xml:space="preserve"> </w:t>
      </w:r>
      <w:r w:rsidRPr="00427E5C">
        <w:t xml:space="preserve">DHS claims systems extracts were generally not able to be categorised in this way. </w:t>
      </w:r>
      <w:r w:rsidR="00427E5C" w:rsidRPr="00427E5C">
        <w:t xml:space="preserve"> </w:t>
      </w:r>
      <w:r w:rsidRPr="00427E5C">
        <w:t>Postcodes were mapped to remoteness area using the Australian Bureau of Statistics (ABS) mapping table.</w:t>
      </w:r>
    </w:p>
    <w:p w14:paraId="2E7964C6" w14:textId="77777777" w:rsidR="00EF7031" w:rsidRPr="006B1A9D" w:rsidRDefault="00EF7031" w:rsidP="00EF7031">
      <w:pPr>
        <w:pStyle w:val="BodyText"/>
      </w:pPr>
    </w:p>
    <w:p w14:paraId="021BCDC9" w14:textId="77777777" w:rsidR="00A77666" w:rsidRPr="006B1A9D" w:rsidRDefault="00A77666" w:rsidP="00EF7031">
      <w:pPr>
        <w:pStyle w:val="01BODYTEXT"/>
        <w:sectPr w:rsidR="00A77666" w:rsidRPr="006B1A9D" w:rsidSect="00A95161">
          <w:pgSz w:w="11906" w:h="16838" w:code="9"/>
          <w:pgMar w:top="1134" w:right="1134" w:bottom="1134" w:left="1134" w:header="680" w:footer="680" w:gutter="0"/>
          <w:cols w:space="708"/>
          <w:docGrid w:linePitch="360"/>
        </w:sectPr>
      </w:pPr>
    </w:p>
    <w:p w14:paraId="7FB240ED" w14:textId="1BC6A7AA" w:rsidR="00244B2B" w:rsidRPr="006B1A9D" w:rsidRDefault="00244B2B" w:rsidP="00244B2B">
      <w:pPr>
        <w:pStyle w:val="Heading1"/>
      </w:pPr>
      <w:r w:rsidRPr="006B1A9D">
        <w:lastRenderedPageBreak/>
        <w:br/>
      </w:r>
      <w:bookmarkStart w:id="31" w:name="_Toc522873483"/>
      <w:r w:rsidR="00DB209E">
        <w:t>Previous</w:t>
      </w:r>
      <w:r w:rsidR="008D241F">
        <w:t xml:space="preserve"> evaluations of</w:t>
      </w:r>
      <w:bookmarkEnd w:id="15"/>
      <w:bookmarkEnd w:id="16"/>
      <w:r w:rsidR="00DB209E">
        <w:t xml:space="preserve"> </w:t>
      </w:r>
      <w:r w:rsidR="00756837">
        <w:t xml:space="preserve">the </w:t>
      </w:r>
      <w:r w:rsidR="00DB209E">
        <w:t>MedsCheck</w:t>
      </w:r>
      <w:r w:rsidR="00175B47">
        <w:t>s p</w:t>
      </w:r>
      <w:r w:rsidR="008D241F">
        <w:t>rogram</w:t>
      </w:r>
      <w:r w:rsidR="00427E5C">
        <w:t>me</w:t>
      </w:r>
      <w:r w:rsidR="00175B47">
        <w:t>s</w:t>
      </w:r>
      <w:bookmarkEnd w:id="31"/>
    </w:p>
    <w:p w14:paraId="7471CB0B" w14:textId="0680D61A" w:rsidR="008D241F" w:rsidRPr="000F48FC" w:rsidRDefault="008D241F" w:rsidP="008D241F">
      <w:pPr>
        <w:pStyle w:val="01BODYTEXT"/>
      </w:pPr>
      <w:r w:rsidRPr="00632C64">
        <w:t xml:space="preserve">This </w:t>
      </w:r>
      <w:r w:rsidR="00472CE2">
        <w:t xml:space="preserve">Chapter </w:t>
      </w:r>
      <w:r w:rsidR="00DB209E" w:rsidRPr="00DB209E">
        <w:t>summarises the findings of program evaluations of the MedsCheck</w:t>
      </w:r>
      <w:r w:rsidR="00756837">
        <w:t xml:space="preserve"> </w:t>
      </w:r>
      <w:r w:rsidR="00476D4D">
        <w:t>p</w:t>
      </w:r>
      <w:r w:rsidR="00756837">
        <w:t>rogramme</w:t>
      </w:r>
      <w:r w:rsidR="00427E5C">
        <w:t>s</w:t>
      </w:r>
      <w:r w:rsidR="00DB209E" w:rsidRPr="00DB209E">
        <w:t xml:space="preserve"> funded under </w:t>
      </w:r>
      <w:r w:rsidR="001E2D7B">
        <w:t xml:space="preserve">prior </w:t>
      </w:r>
      <w:r w:rsidR="00DB209E" w:rsidRPr="00DB209E">
        <w:t>CPA</w:t>
      </w:r>
      <w:r w:rsidR="001E2D7B">
        <w:t xml:space="preserve">.  There were two program evaluations identified: one by </w:t>
      </w:r>
      <w:r w:rsidR="00DB209E" w:rsidRPr="00DB209E">
        <w:t xml:space="preserve">Deloitte </w:t>
      </w:r>
      <w:r w:rsidR="001E2D7B">
        <w:t>Access Economics a</w:t>
      </w:r>
      <w:r w:rsidR="00DB209E" w:rsidRPr="00DB209E">
        <w:t xml:space="preserve">nd </w:t>
      </w:r>
      <w:r w:rsidR="001E2D7B">
        <w:t xml:space="preserve">the other by </w:t>
      </w:r>
      <w:r w:rsidR="00DB209E" w:rsidRPr="00DB209E">
        <w:t>PricewaterhouseCoopers</w:t>
      </w:r>
      <w:r w:rsidR="001E2D7B">
        <w:t xml:space="preserve"> (PwC)</w:t>
      </w:r>
      <w:r w:rsidR="00756837">
        <w:t xml:space="preserve">.  </w:t>
      </w:r>
      <w:r w:rsidR="00DB209E" w:rsidRPr="00DB209E">
        <w:t xml:space="preserve">The intention of these summaries is to provide MSAC with an understanding of the approaches taken to evaluate the </w:t>
      </w:r>
      <w:r w:rsidR="009A7E59" w:rsidRPr="00DB209E">
        <w:t>MedsCheck</w:t>
      </w:r>
      <w:r w:rsidR="009A7E59">
        <w:t xml:space="preserve"> </w:t>
      </w:r>
      <w:r w:rsidR="00476D4D">
        <w:t>p</w:t>
      </w:r>
      <w:r w:rsidR="009A7E59">
        <w:t>rogramme</w:t>
      </w:r>
      <w:r w:rsidR="00427E5C">
        <w:t>s</w:t>
      </w:r>
      <w:r w:rsidR="009A7E59" w:rsidRPr="00DB209E">
        <w:t xml:space="preserve"> </w:t>
      </w:r>
      <w:r w:rsidR="00DB209E" w:rsidRPr="00DB209E">
        <w:t>in Australia, as well as a high level overview of the findings of previous evaluations in relation to effectiveness and co</w:t>
      </w:r>
      <w:r w:rsidR="00DB209E">
        <w:t>st-effectiveness of the service</w:t>
      </w:r>
      <w:r w:rsidR="001E2D7B">
        <w:t>s</w:t>
      </w:r>
      <w:r w:rsidR="00756837">
        <w:t xml:space="preserve">.  </w:t>
      </w:r>
    </w:p>
    <w:p w14:paraId="4C875B02" w14:textId="77777777" w:rsidR="008D241F" w:rsidRPr="008D241F" w:rsidRDefault="00865369" w:rsidP="008D241F">
      <w:pPr>
        <w:pStyle w:val="Heading2"/>
      </w:pPr>
      <w:bookmarkStart w:id="32" w:name="_Toc467170360"/>
      <w:bookmarkStart w:id="33" w:name="_Toc474138456"/>
      <w:bookmarkStart w:id="34" w:name="_Toc474252299"/>
      <w:r>
        <w:t>Evaluation of the Medscheck</w:t>
      </w:r>
      <w:r w:rsidR="008D241F" w:rsidRPr="008D241F">
        <w:t xml:space="preserve"> Program</w:t>
      </w:r>
      <w:bookmarkEnd w:id="32"/>
      <w:bookmarkEnd w:id="33"/>
      <w:bookmarkEnd w:id="34"/>
      <w:r w:rsidR="009A7E59">
        <w:t>me</w:t>
      </w:r>
    </w:p>
    <w:p w14:paraId="7FBB38DC" w14:textId="3516F340" w:rsidR="00DB209E" w:rsidRPr="007D5701" w:rsidRDefault="00DB209E" w:rsidP="007D5701">
      <w:pPr>
        <w:pStyle w:val="BodyText"/>
      </w:pPr>
      <w:r>
        <w:t xml:space="preserve">The </w:t>
      </w:r>
      <w:r w:rsidR="009713F3">
        <w:t xml:space="preserve">pilot program of the </w:t>
      </w:r>
      <w:r w:rsidR="009A7E59" w:rsidRPr="00DB209E">
        <w:t>MedsCheck</w:t>
      </w:r>
      <w:r w:rsidR="009A7E59">
        <w:t xml:space="preserve"> </w:t>
      </w:r>
      <w:r w:rsidR="00476D4D">
        <w:t>p</w:t>
      </w:r>
      <w:r w:rsidR="009A7E59">
        <w:t>rogramme</w:t>
      </w:r>
      <w:r>
        <w:t xml:space="preserve"> was evaluated by Deloitte Access Economics </w:t>
      </w:r>
      <w:r w:rsidRPr="000E75AD">
        <w:t xml:space="preserve">to provide recommendations to assist the </w:t>
      </w:r>
      <w:r w:rsidR="001E2D7B">
        <w:t xml:space="preserve">then </w:t>
      </w:r>
      <w:r w:rsidRPr="000E75AD">
        <w:t>Department of Health and Ageing (the Department) with the 2012 national roll-out of these services</w:t>
      </w:r>
      <w:r w:rsidR="00756837">
        <w:t xml:space="preserve">.  </w:t>
      </w:r>
      <w:r>
        <w:t>The evaluation reviewed data from the first seven months of the pilot program</w:t>
      </w:r>
      <w:r w:rsidR="001E2D7B">
        <w:t xml:space="preserve"> (</w:t>
      </w:r>
      <w:r>
        <w:t>25</w:t>
      </w:r>
      <w:r w:rsidR="001E2D7B" w:rsidRPr="001E2D7B">
        <w:rPr>
          <w:vertAlign w:val="superscript"/>
        </w:rPr>
        <w:t>th</w:t>
      </w:r>
      <w:r w:rsidR="001E2D7B">
        <w:t xml:space="preserve"> </w:t>
      </w:r>
      <w:r>
        <w:t>August 2011 to 31</w:t>
      </w:r>
      <w:r w:rsidR="001E2D7B" w:rsidRPr="001E2D7B">
        <w:rPr>
          <w:vertAlign w:val="superscript"/>
        </w:rPr>
        <w:t>st</w:t>
      </w:r>
      <w:r w:rsidR="001E2D7B">
        <w:t xml:space="preserve"> </w:t>
      </w:r>
      <w:r>
        <w:t>March 2012</w:t>
      </w:r>
      <w:r w:rsidR="001E2D7B">
        <w:t>)</w:t>
      </w:r>
      <w:r w:rsidR="00756837">
        <w:t xml:space="preserve">.  </w:t>
      </w:r>
      <w:r w:rsidRPr="00DB209E">
        <w:rPr>
          <w:rFonts w:eastAsiaTheme="minorHAnsi" w:cstheme="minorBidi"/>
        </w:rPr>
        <w:t>The objectives of the evaluation were to:</w:t>
      </w:r>
    </w:p>
    <w:p w14:paraId="4C8147A8" w14:textId="7705ADFC" w:rsidR="00DB209E" w:rsidRPr="00551CF2" w:rsidRDefault="001E2D7B" w:rsidP="007D5701">
      <w:pPr>
        <w:pStyle w:val="06Bulletsonelongsentence"/>
        <w:numPr>
          <w:ilvl w:val="0"/>
          <w:numId w:val="18"/>
        </w:numPr>
        <w:spacing w:before="120"/>
        <w:ind w:left="357" w:hanging="357"/>
      </w:pPr>
      <w:r>
        <w:t>t</w:t>
      </w:r>
      <w:r w:rsidR="00DB209E" w:rsidRPr="00551CF2">
        <w:t>est the proposed eligibility criteria and adjust the criteria based on demand and resourcing availability to focus on those most in need;</w:t>
      </w:r>
    </w:p>
    <w:p w14:paraId="16A6DC10" w14:textId="441D728F" w:rsidR="00DB209E" w:rsidRPr="00551CF2" w:rsidRDefault="00EF5621" w:rsidP="00DB209E">
      <w:pPr>
        <w:pStyle w:val="06Bulletsonelongsentence"/>
        <w:numPr>
          <w:ilvl w:val="0"/>
          <w:numId w:val="18"/>
        </w:numPr>
        <w:ind w:left="357" w:hanging="357"/>
      </w:pPr>
      <w:r>
        <w:t>i</w:t>
      </w:r>
      <w:r w:rsidR="00DB209E" w:rsidRPr="00551CF2">
        <w:t>dentify the likely numbers of patients who qualify for the service; and</w:t>
      </w:r>
    </w:p>
    <w:p w14:paraId="1A551819" w14:textId="528B6E66" w:rsidR="00DB209E" w:rsidRPr="00551CF2" w:rsidRDefault="00EF5621" w:rsidP="00DB209E">
      <w:pPr>
        <w:pStyle w:val="06Bulletsonelongsentence"/>
        <w:numPr>
          <w:ilvl w:val="0"/>
          <w:numId w:val="18"/>
        </w:numPr>
        <w:ind w:left="357" w:hanging="357"/>
      </w:pPr>
      <w:r>
        <w:t>a</w:t>
      </w:r>
      <w:r w:rsidR="00DB209E" w:rsidRPr="00551CF2">
        <w:t>ssess the usefulness of the content within the Assessment Tool</w:t>
      </w:r>
      <w:r w:rsidR="00DB209E">
        <w:t xml:space="preserve"> (SmartForm)</w:t>
      </w:r>
      <w:r w:rsidR="00DB209E" w:rsidRPr="00551CF2">
        <w:t>.</w:t>
      </w:r>
    </w:p>
    <w:p w14:paraId="4D8A3918" w14:textId="34D3773E" w:rsidR="00DB209E" w:rsidRDefault="00DB209E" w:rsidP="00DB209E">
      <w:pPr>
        <w:pStyle w:val="BodyText"/>
      </w:pPr>
      <w:r>
        <w:t>The Department also requested an examination of the relationship between the MedsCheck</w:t>
      </w:r>
      <w:r w:rsidR="009A7E59">
        <w:t xml:space="preserve"> </w:t>
      </w:r>
      <w:r w:rsidR="00476D4D">
        <w:t>p</w:t>
      </w:r>
      <w:r w:rsidR="009A7E59">
        <w:t>rogramme</w:t>
      </w:r>
      <w:r>
        <w:t xml:space="preserve"> </w:t>
      </w:r>
      <w:r w:rsidR="00EF5621">
        <w:t xml:space="preserve">and </w:t>
      </w:r>
      <w:r>
        <w:t>other Fifth Community Pharmacy Agreement Services (5CPA), specifically, the Home Medicines Review program (HMR) and the Clinical Intervention program.</w:t>
      </w:r>
    </w:p>
    <w:p w14:paraId="4ABD2888" w14:textId="77777777" w:rsidR="00DB209E" w:rsidRDefault="00DB209E" w:rsidP="007D5701">
      <w:pPr>
        <w:pStyle w:val="BodyText"/>
      </w:pPr>
      <w:r>
        <w:t>The evaluation methodology was agreed with the Department in August 2011, but adjusted four months later in response to early findings that pharmacies were providing services at a much lower rate than initially anticipated and a majority of pharmacies had not yet claimed for a single service provided</w:t>
      </w:r>
      <w:r w:rsidR="00756837">
        <w:t xml:space="preserve">.  </w:t>
      </w:r>
      <w:r w:rsidRPr="00DB209E">
        <w:rPr>
          <w:rFonts w:eastAsiaTheme="minorHAnsi" w:cstheme="minorBidi"/>
        </w:rPr>
        <w:t>Another evaluation objective was added at this time as follows:</w:t>
      </w:r>
    </w:p>
    <w:p w14:paraId="55C8C8F0" w14:textId="77777777" w:rsidR="00DB209E" w:rsidRDefault="00DB209E" w:rsidP="007D5701">
      <w:pPr>
        <w:pStyle w:val="06Bulletsonelongsentence"/>
        <w:numPr>
          <w:ilvl w:val="0"/>
          <w:numId w:val="18"/>
        </w:numPr>
        <w:spacing w:before="120"/>
        <w:ind w:left="357" w:hanging="357"/>
      </w:pPr>
      <w:r w:rsidRPr="00551CF2">
        <w:t>To explore the main reasons for less than expected MedsCheck and Diabetes MedsCheck service delivery and the low program implementation rate</w:t>
      </w:r>
      <w:r w:rsidR="00756837">
        <w:t xml:space="preserve">.  </w:t>
      </w:r>
    </w:p>
    <w:p w14:paraId="12D18FBC" w14:textId="24720D06" w:rsidR="00DB209E" w:rsidRDefault="00DB209E" w:rsidP="00660443">
      <w:pPr>
        <w:pStyle w:val="01BODYTEXT"/>
      </w:pPr>
      <w:r w:rsidRPr="00551CF2">
        <w:t>The evaluation framework provided for a mixed methods approach using primary and secondary data sources</w:t>
      </w:r>
      <w:r w:rsidR="00C579A4">
        <w:t xml:space="preserve"> (e.g. SmartForm data reports)</w:t>
      </w:r>
      <w:r w:rsidR="00756837">
        <w:t xml:space="preserve">.  </w:t>
      </w:r>
      <w:r w:rsidRPr="00551CF2">
        <w:t>The main sources were monthly SmartForm data reports, an online survey of 75</w:t>
      </w:r>
      <w:r>
        <w:t xml:space="preserve"> pharmacists</w:t>
      </w:r>
      <w:r w:rsidRPr="00551CF2">
        <w:t>, a survey of 97 patients who recei</w:t>
      </w:r>
      <w:r>
        <w:t>ved services</w:t>
      </w:r>
      <w:r w:rsidRPr="00551CF2">
        <w:t>, and interviews with pharmacists, patients</w:t>
      </w:r>
      <w:r w:rsidR="00C579A4">
        <w:t xml:space="preserve"> (n=8)</w:t>
      </w:r>
      <w:r w:rsidRPr="00551CF2">
        <w:t>, the Pharmacy Guild of Australia, the Pharmaceutical Society of Australia (PSA) and the Rural Pharmacy Special Interest Group</w:t>
      </w:r>
      <w:r w:rsidR="00756837">
        <w:t xml:space="preserve">.  </w:t>
      </w:r>
      <w:r w:rsidRPr="00551CF2">
        <w:t>P</w:t>
      </w:r>
      <w:r w:rsidR="001E38B6">
        <w:t>BS</w:t>
      </w:r>
      <w:r w:rsidRPr="00551CF2">
        <w:t>, HMR, C</w:t>
      </w:r>
      <w:r w:rsidR="00660443">
        <w:t>Is</w:t>
      </w:r>
      <w:r w:rsidRPr="00551CF2">
        <w:t xml:space="preserve">, Medicare, ABS and </w:t>
      </w:r>
      <w:r w:rsidR="00660443">
        <w:t>Australian Institute of Health and Welfare (</w:t>
      </w:r>
      <w:r w:rsidRPr="00551CF2">
        <w:t>AIHW</w:t>
      </w:r>
      <w:r w:rsidR="00660443">
        <w:t>)</w:t>
      </w:r>
      <w:r w:rsidRPr="00551CF2">
        <w:t xml:space="preserve"> data were also reviewed</w:t>
      </w:r>
      <w:r w:rsidR="00756837">
        <w:t xml:space="preserve">.  </w:t>
      </w:r>
    </w:p>
    <w:p w14:paraId="34E71769" w14:textId="26B16099" w:rsidR="00EF5621" w:rsidRPr="00EF5621" w:rsidRDefault="00EF5621" w:rsidP="00EF5621">
      <w:pPr>
        <w:pStyle w:val="01BODYTEXT"/>
      </w:pPr>
      <w:bookmarkStart w:id="35" w:name="_Toc474138458"/>
      <w:r>
        <w:t>T</w:t>
      </w:r>
      <w:r w:rsidRPr="00EF5621">
        <w:t>h</w:t>
      </w:r>
      <w:r>
        <w:t xml:space="preserve">e following </w:t>
      </w:r>
      <w:r w:rsidRPr="00EF5621">
        <w:t>section</w:t>
      </w:r>
      <w:r>
        <w:t>s</w:t>
      </w:r>
      <w:r w:rsidRPr="00EF5621">
        <w:t xml:space="preserve"> </w:t>
      </w:r>
      <w:r>
        <w:t>describe the high lev</w:t>
      </w:r>
      <w:r w:rsidRPr="00EF5621">
        <w:t>el program evaluation findings specific to the PICO criteria, where present</w:t>
      </w:r>
      <w:r>
        <w:t xml:space="preserve"> (</w:t>
      </w:r>
      <w:r w:rsidRPr="00EF5621">
        <w:t>as outlined in Section 3.1.1</w:t>
      </w:r>
      <w:r>
        <w:t>)</w:t>
      </w:r>
      <w:r w:rsidRPr="00EF5621">
        <w:t xml:space="preserve">, followed by </w:t>
      </w:r>
      <w:r>
        <w:t xml:space="preserve">a summary of the </w:t>
      </w:r>
      <w:r w:rsidRPr="00EF5621">
        <w:t>limitations of the study and their overall conclusions</w:t>
      </w:r>
      <w:r>
        <w:t>.</w:t>
      </w:r>
    </w:p>
    <w:p w14:paraId="56E9FE2D" w14:textId="2079F183" w:rsidR="008D241F" w:rsidRPr="00CB393E" w:rsidRDefault="008A7DBD" w:rsidP="00EF5621">
      <w:pPr>
        <w:pStyle w:val="Heading3"/>
      </w:pPr>
      <w:r>
        <w:t xml:space="preserve">General </w:t>
      </w:r>
      <w:r w:rsidR="004266C8">
        <w:t>findings of the evaluation</w:t>
      </w:r>
      <w:bookmarkEnd w:id="35"/>
    </w:p>
    <w:p w14:paraId="69C8D737" w14:textId="528A679B" w:rsidR="00DB209E" w:rsidRDefault="00586104" w:rsidP="00DB209E">
      <w:pPr>
        <w:pStyle w:val="01BODYTEXT"/>
      </w:pPr>
      <w:r>
        <w:fldChar w:fldCharType="begin"/>
      </w:r>
      <w:r>
        <w:instrText xml:space="preserve"> REF _Ref522795049 \h </w:instrText>
      </w:r>
      <w:r>
        <w:fldChar w:fldCharType="separate"/>
      </w:r>
      <w:r w:rsidR="009047A7">
        <w:t xml:space="preserve">Table </w:t>
      </w:r>
      <w:r w:rsidR="009047A7">
        <w:rPr>
          <w:noProof/>
        </w:rPr>
        <w:t>4</w:t>
      </w:r>
      <w:r w:rsidR="009047A7">
        <w:t>.</w:t>
      </w:r>
      <w:r w:rsidR="009047A7">
        <w:rPr>
          <w:noProof/>
        </w:rPr>
        <w:t>1</w:t>
      </w:r>
      <w:r>
        <w:fldChar w:fldCharType="end"/>
      </w:r>
      <w:r w:rsidR="00E5004E">
        <w:t xml:space="preserve"> </w:t>
      </w:r>
      <w:r w:rsidR="00EF5621">
        <w:t>provides a summary of the main findings of the evaluation.  Note findings that relate to the PICO criteria are described in detail in the following sections.</w:t>
      </w:r>
    </w:p>
    <w:p w14:paraId="58F55523" w14:textId="5C237F4E" w:rsidR="008D241F" w:rsidRPr="00DB209E" w:rsidRDefault="00586104" w:rsidP="00586104">
      <w:pPr>
        <w:pStyle w:val="Caption"/>
      </w:pPr>
      <w:bookmarkStart w:id="36" w:name="_Ref522795049"/>
      <w:r>
        <w:lastRenderedPageBreak/>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4</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1</w:t>
      </w:r>
      <w:r w:rsidR="009047A7">
        <w:rPr>
          <w:noProof/>
        </w:rPr>
        <w:fldChar w:fldCharType="end"/>
      </w:r>
      <w:bookmarkEnd w:id="36"/>
      <w:r w:rsidR="00CB71CB">
        <w:t xml:space="preserve">: </w:t>
      </w:r>
      <w:r w:rsidR="00EF5621">
        <w:t>M</w:t>
      </w:r>
      <w:r w:rsidR="008D241F" w:rsidRPr="00DB209E">
        <w:t>ain findings</w:t>
      </w:r>
      <w:r w:rsidR="00EF5621">
        <w:t xml:space="preserve"> of the evaluation</w:t>
      </w:r>
      <w:r w:rsidR="008D241F" w:rsidRPr="00DB209E">
        <w:t>, outside the PICO criteria</w:t>
      </w:r>
    </w:p>
    <w:tbl>
      <w:tblPr>
        <w:tblStyle w:val="TableGrid3"/>
        <w:tblW w:w="5000" w:type="pct"/>
        <w:tblLook w:val="04A0" w:firstRow="1" w:lastRow="0" w:firstColumn="1" w:lastColumn="0" w:noHBand="0" w:noVBand="1"/>
        <w:tblCaption w:val="Table 4.1"/>
        <w:tblDescription w:val="Main findings of the evaluation, outside the PICO criteria"/>
      </w:tblPr>
      <w:tblGrid>
        <w:gridCol w:w="2005"/>
        <w:gridCol w:w="7623"/>
      </w:tblGrid>
      <w:tr w:rsidR="00DB209E" w:rsidRPr="00D8005A" w14:paraId="4448C692" w14:textId="77777777" w:rsidTr="003A21BA">
        <w:trPr>
          <w:cnfStyle w:val="100000000000" w:firstRow="1" w:lastRow="0" w:firstColumn="0" w:lastColumn="0" w:oddVBand="0" w:evenVBand="0" w:oddHBand="0" w:evenHBand="0" w:firstRowFirstColumn="0" w:firstRowLastColumn="0" w:lastRowFirstColumn="0" w:lastRowLastColumn="0"/>
        </w:trPr>
        <w:tc>
          <w:tcPr>
            <w:tcW w:w="1041" w:type="pct"/>
            <w:shd w:val="clear" w:color="auto" w:fill="632423" w:themeFill="accent2" w:themeFillShade="80"/>
          </w:tcPr>
          <w:p w14:paraId="56CFF8BB" w14:textId="77777777" w:rsidR="00DB209E" w:rsidRPr="00D8005A" w:rsidRDefault="00DB209E" w:rsidP="003A21BA">
            <w:pPr>
              <w:pStyle w:val="01Tableheaderrow"/>
              <w:rPr>
                <w:rFonts w:ascii="Garamond" w:hAnsi="Garamond"/>
                <w:sz w:val="20"/>
                <w:szCs w:val="20"/>
              </w:rPr>
            </w:pPr>
            <w:r>
              <w:rPr>
                <w:rFonts w:ascii="Garamond" w:hAnsi="Garamond"/>
                <w:sz w:val="20"/>
                <w:szCs w:val="20"/>
              </w:rPr>
              <w:t>Program area</w:t>
            </w:r>
          </w:p>
        </w:tc>
        <w:tc>
          <w:tcPr>
            <w:tcW w:w="3959" w:type="pct"/>
            <w:shd w:val="clear" w:color="auto" w:fill="632423" w:themeFill="accent2" w:themeFillShade="80"/>
          </w:tcPr>
          <w:p w14:paraId="0385EFAF" w14:textId="77777777" w:rsidR="00DB209E" w:rsidRPr="00D8005A" w:rsidRDefault="00DB209E" w:rsidP="003A21BA">
            <w:pPr>
              <w:pStyle w:val="01Tableheaderrow"/>
              <w:jc w:val="center"/>
              <w:rPr>
                <w:rFonts w:ascii="Garamond" w:hAnsi="Garamond"/>
                <w:sz w:val="20"/>
                <w:szCs w:val="20"/>
              </w:rPr>
            </w:pPr>
            <w:r w:rsidRPr="00D8005A">
              <w:rPr>
                <w:rFonts w:ascii="Garamond" w:hAnsi="Garamond"/>
                <w:sz w:val="20"/>
                <w:szCs w:val="20"/>
              </w:rPr>
              <w:t>Key findings</w:t>
            </w:r>
          </w:p>
        </w:tc>
      </w:tr>
      <w:tr w:rsidR="00DB209E" w:rsidRPr="00D8005A" w14:paraId="07496580" w14:textId="77777777" w:rsidTr="00847350">
        <w:tc>
          <w:tcPr>
            <w:tcW w:w="1041" w:type="pct"/>
            <w:shd w:val="clear" w:color="auto" w:fill="FFFFFF" w:themeFill="background1"/>
          </w:tcPr>
          <w:p w14:paraId="36F69925" w14:textId="77777777" w:rsidR="00DB209E" w:rsidRPr="00D8005A" w:rsidRDefault="00DB209E" w:rsidP="003A21BA">
            <w:pPr>
              <w:pStyle w:val="02Tabletext"/>
              <w:rPr>
                <w:rFonts w:ascii="Garamond" w:hAnsi="Garamond"/>
                <w:szCs w:val="20"/>
              </w:rPr>
            </w:pPr>
            <w:r>
              <w:rPr>
                <w:rFonts w:ascii="Garamond" w:hAnsi="Garamond"/>
                <w:szCs w:val="20"/>
              </w:rPr>
              <w:t>Benefits to patients reported by pharmacists</w:t>
            </w:r>
          </w:p>
        </w:tc>
        <w:tc>
          <w:tcPr>
            <w:tcW w:w="3959" w:type="pct"/>
            <w:shd w:val="clear" w:color="auto" w:fill="FFFFFF" w:themeFill="background1"/>
          </w:tcPr>
          <w:p w14:paraId="2D5DEC92" w14:textId="7697A3A6" w:rsidR="00DB209E" w:rsidRPr="001A71B5" w:rsidRDefault="00EF5621" w:rsidP="00EF5621">
            <w:pPr>
              <w:pStyle w:val="02Tabletext"/>
              <w:rPr>
                <w:rFonts w:ascii="Garamond" w:hAnsi="Garamond"/>
                <w:szCs w:val="20"/>
              </w:rPr>
            </w:pPr>
            <w:r>
              <w:rPr>
                <w:rFonts w:ascii="Garamond" w:hAnsi="Garamond"/>
                <w:szCs w:val="20"/>
              </w:rPr>
              <w:t>Respondents to the online p</w:t>
            </w:r>
            <w:r w:rsidR="00DB209E" w:rsidRPr="002D7F7C">
              <w:rPr>
                <w:rFonts w:ascii="Garamond" w:hAnsi="Garamond"/>
                <w:szCs w:val="20"/>
              </w:rPr>
              <w:t xml:space="preserve">harmacist </w:t>
            </w:r>
            <w:r>
              <w:rPr>
                <w:rFonts w:ascii="Garamond" w:hAnsi="Garamond"/>
                <w:szCs w:val="20"/>
              </w:rPr>
              <w:t>s</w:t>
            </w:r>
            <w:r w:rsidR="00DB209E" w:rsidRPr="002D7F7C">
              <w:rPr>
                <w:rFonts w:ascii="Garamond" w:hAnsi="Garamond"/>
                <w:szCs w:val="20"/>
              </w:rPr>
              <w:t>urvey were generally of the opinion that the MedsCheck and Diabetes MedsCheck had positive outcomes for patients</w:t>
            </w:r>
            <w:r w:rsidR="00756837">
              <w:rPr>
                <w:rFonts w:ascii="Garamond" w:hAnsi="Garamond"/>
                <w:szCs w:val="20"/>
              </w:rPr>
              <w:t xml:space="preserve">.  </w:t>
            </w:r>
            <w:r w:rsidR="00DB209E" w:rsidRPr="002D7F7C">
              <w:rPr>
                <w:rFonts w:ascii="Garamond" w:hAnsi="Garamond"/>
                <w:szCs w:val="20"/>
              </w:rPr>
              <w:t>Improved understanding of medicines and potential interactions were the two most cited beneficial outcomes of the program</w:t>
            </w:r>
            <w:r w:rsidR="00756837">
              <w:rPr>
                <w:rFonts w:ascii="Garamond" w:hAnsi="Garamond"/>
                <w:szCs w:val="20"/>
              </w:rPr>
              <w:t xml:space="preserve">.  </w:t>
            </w:r>
          </w:p>
        </w:tc>
      </w:tr>
      <w:tr w:rsidR="00DB209E" w:rsidRPr="00D8005A" w14:paraId="69C6A6F3" w14:textId="77777777" w:rsidTr="003A21BA">
        <w:trPr>
          <w:cnfStyle w:val="000000010000" w:firstRow="0" w:lastRow="0" w:firstColumn="0" w:lastColumn="0" w:oddVBand="0" w:evenVBand="0" w:oddHBand="0" w:evenHBand="1" w:firstRowFirstColumn="0" w:firstRowLastColumn="0" w:lastRowFirstColumn="0" w:lastRowLastColumn="0"/>
        </w:trPr>
        <w:tc>
          <w:tcPr>
            <w:tcW w:w="1041" w:type="pct"/>
            <w:shd w:val="clear" w:color="auto" w:fill="F2DBDB" w:themeFill="accent2" w:themeFillTint="33"/>
          </w:tcPr>
          <w:p w14:paraId="25C7856A" w14:textId="77777777" w:rsidR="00DB209E" w:rsidRPr="00D8005A" w:rsidRDefault="00DB209E" w:rsidP="003A21BA">
            <w:pPr>
              <w:pStyle w:val="02Tabletext"/>
              <w:rPr>
                <w:rFonts w:ascii="Garamond" w:hAnsi="Garamond"/>
                <w:szCs w:val="20"/>
              </w:rPr>
            </w:pPr>
            <w:r>
              <w:rPr>
                <w:rFonts w:ascii="Garamond" w:hAnsi="Garamond"/>
                <w:szCs w:val="20"/>
              </w:rPr>
              <w:t>Eligibility criteria</w:t>
            </w:r>
          </w:p>
        </w:tc>
        <w:tc>
          <w:tcPr>
            <w:tcW w:w="3959" w:type="pct"/>
            <w:shd w:val="clear" w:color="auto" w:fill="F2DBDB" w:themeFill="accent2" w:themeFillTint="33"/>
          </w:tcPr>
          <w:p w14:paraId="725609E6" w14:textId="28CB298F" w:rsidR="00DB209E" w:rsidRPr="00D8005A" w:rsidRDefault="00DB209E" w:rsidP="009303A6">
            <w:pPr>
              <w:pStyle w:val="02Tabletext"/>
              <w:rPr>
                <w:rFonts w:ascii="Garamond" w:hAnsi="Garamond"/>
                <w:szCs w:val="20"/>
              </w:rPr>
            </w:pPr>
            <w:r w:rsidRPr="001A71B5">
              <w:rPr>
                <w:rFonts w:ascii="Garamond" w:hAnsi="Garamond"/>
                <w:szCs w:val="20"/>
              </w:rPr>
              <w:t xml:space="preserve">While some participants in the pilot and organisations suggested modifications to the eligibility criteria, at this stage, </w:t>
            </w:r>
            <w:r w:rsidR="009303A6">
              <w:rPr>
                <w:rFonts w:ascii="Garamond" w:hAnsi="Garamond"/>
                <w:szCs w:val="20"/>
              </w:rPr>
              <w:t xml:space="preserve">the evaluators concluded that </w:t>
            </w:r>
            <w:r w:rsidRPr="001A71B5">
              <w:rPr>
                <w:rFonts w:ascii="Garamond" w:hAnsi="Garamond"/>
                <w:szCs w:val="20"/>
              </w:rPr>
              <w:t xml:space="preserve">adjustments to the eligibility criteria </w:t>
            </w:r>
            <w:r w:rsidR="009303A6">
              <w:rPr>
                <w:rFonts w:ascii="Garamond" w:hAnsi="Garamond"/>
                <w:szCs w:val="20"/>
              </w:rPr>
              <w:t>we</w:t>
            </w:r>
            <w:r w:rsidRPr="001A71B5">
              <w:rPr>
                <w:rFonts w:ascii="Garamond" w:hAnsi="Garamond"/>
                <w:szCs w:val="20"/>
              </w:rPr>
              <w:t>re not considered necessary to ensure sustainability of the program.</w:t>
            </w:r>
          </w:p>
        </w:tc>
      </w:tr>
      <w:tr w:rsidR="00DB209E" w:rsidRPr="00D8005A" w14:paraId="16AD5063" w14:textId="77777777" w:rsidTr="00847350">
        <w:tc>
          <w:tcPr>
            <w:tcW w:w="1041" w:type="pct"/>
            <w:shd w:val="clear" w:color="auto" w:fill="FFFFFF" w:themeFill="background1"/>
          </w:tcPr>
          <w:p w14:paraId="04FFB5C9" w14:textId="77777777" w:rsidR="00DB209E" w:rsidRPr="00D8005A" w:rsidRDefault="00DB209E" w:rsidP="003A21BA">
            <w:pPr>
              <w:pStyle w:val="02Tabletext"/>
              <w:rPr>
                <w:rFonts w:ascii="Garamond" w:hAnsi="Garamond"/>
                <w:szCs w:val="20"/>
              </w:rPr>
            </w:pPr>
            <w:r>
              <w:rPr>
                <w:rFonts w:ascii="Garamond" w:hAnsi="Garamond"/>
                <w:szCs w:val="20"/>
              </w:rPr>
              <w:t>Number of patients who will use the service</w:t>
            </w:r>
          </w:p>
        </w:tc>
        <w:tc>
          <w:tcPr>
            <w:tcW w:w="3959" w:type="pct"/>
            <w:shd w:val="clear" w:color="auto" w:fill="FFFFFF" w:themeFill="background1"/>
          </w:tcPr>
          <w:p w14:paraId="60ED9D02" w14:textId="57381914" w:rsidR="00DB209E" w:rsidRPr="0007687D" w:rsidRDefault="00DB209E" w:rsidP="009303A6">
            <w:pPr>
              <w:pStyle w:val="02Tabletext"/>
              <w:rPr>
                <w:rFonts w:ascii="Garamond" w:hAnsi="Garamond" w:cs="Times New Roman"/>
                <w:sz w:val="20"/>
                <w:szCs w:val="20"/>
              </w:rPr>
            </w:pPr>
            <w:r w:rsidRPr="00570F10">
              <w:rPr>
                <w:rFonts w:ascii="Garamond" w:hAnsi="Garamond"/>
                <w:szCs w:val="20"/>
              </w:rPr>
              <w:t>During the first seven months of the pilot program, less than a third (31%) of the 286 pharmacies that registered to deliver services successfully claimed for a service and only about 2% of the expected volume of services were delivered (844 in total, with 695 MedsCheck and 149 Diabetes MedsCheck)</w:t>
            </w:r>
            <w:r w:rsidR="00756837">
              <w:rPr>
                <w:rFonts w:ascii="Garamond" w:hAnsi="Garamond"/>
                <w:szCs w:val="20"/>
              </w:rPr>
              <w:t xml:space="preserve">.  </w:t>
            </w:r>
            <w:r w:rsidR="009303A6">
              <w:rPr>
                <w:rFonts w:ascii="Garamond" w:hAnsi="Garamond"/>
                <w:szCs w:val="20"/>
              </w:rPr>
              <w:t>Therefore the evaluators reported that “</w:t>
            </w:r>
            <w:r w:rsidRPr="00570F10">
              <w:rPr>
                <w:rFonts w:ascii="Garamond" w:hAnsi="Garamond"/>
                <w:szCs w:val="20"/>
              </w:rPr>
              <w:t>it is difficult to develop an accurate estimate of future service usage</w:t>
            </w:r>
            <w:r w:rsidR="009303A6">
              <w:rPr>
                <w:rFonts w:ascii="Garamond" w:hAnsi="Garamond"/>
                <w:szCs w:val="20"/>
              </w:rPr>
              <w:t>”</w:t>
            </w:r>
            <w:r w:rsidR="00756837">
              <w:rPr>
                <w:rFonts w:ascii="Garamond" w:hAnsi="Garamond"/>
                <w:szCs w:val="20"/>
              </w:rPr>
              <w:t xml:space="preserve">.  </w:t>
            </w:r>
            <w:r w:rsidRPr="00570F10">
              <w:rPr>
                <w:rFonts w:ascii="Garamond" w:hAnsi="Garamond"/>
                <w:szCs w:val="20"/>
              </w:rPr>
              <w:t>The pop</w:t>
            </w:r>
            <w:r w:rsidR="009303A6">
              <w:rPr>
                <w:rFonts w:ascii="Garamond" w:hAnsi="Garamond"/>
                <w:szCs w:val="20"/>
              </w:rPr>
              <w:t>ulation eligible for MedsCheck wa</w:t>
            </w:r>
            <w:r w:rsidRPr="00570F10">
              <w:rPr>
                <w:rFonts w:ascii="Garamond" w:hAnsi="Garamond"/>
                <w:szCs w:val="20"/>
              </w:rPr>
              <w:t>s estimated to be 1.16 million in 2012, and for Diabetes MedsCheck, 580,000</w:t>
            </w:r>
            <w:r w:rsidR="00756837">
              <w:rPr>
                <w:rFonts w:ascii="Garamond" w:hAnsi="Garamond"/>
                <w:szCs w:val="20"/>
              </w:rPr>
              <w:t xml:space="preserve">.  </w:t>
            </w:r>
            <w:r w:rsidR="009303A6">
              <w:rPr>
                <w:rFonts w:ascii="Garamond" w:hAnsi="Garamond"/>
                <w:szCs w:val="20"/>
              </w:rPr>
              <w:t>The evaluators stated that the “e</w:t>
            </w:r>
            <w:r w:rsidRPr="00570F10">
              <w:rPr>
                <w:rFonts w:ascii="Garamond" w:hAnsi="Garamond"/>
                <w:szCs w:val="20"/>
              </w:rPr>
              <w:t>ligible populations have been crudely estimated to increase to 1.4 million and 638,000 respectively in 2015</w:t>
            </w:r>
            <w:r w:rsidR="009303A6">
              <w:rPr>
                <w:rFonts w:ascii="Garamond" w:hAnsi="Garamond"/>
                <w:szCs w:val="20"/>
              </w:rPr>
              <w:t>”</w:t>
            </w:r>
            <w:r w:rsidRPr="00570F10">
              <w:rPr>
                <w:rFonts w:ascii="Garamond" w:hAnsi="Garamond"/>
                <w:szCs w:val="20"/>
              </w:rPr>
              <w:t>.</w:t>
            </w:r>
          </w:p>
        </w:tc>
      </w:tr>
      <w:tr w:rsidR="00DB209E" w:rsidRPr="00D8005A" w14:paraId="39CCAA3F" w14:textId="77777777" w:rsidTr="00847350">
        <w:trPr>
          <w:cnfStyle w:val="000000010000" w:firstRow="0" w:lastRow="0" w:firstColumn="0" w:lastColumn="0" w:oddVBand="0" w:evenVBand="0" w:oddHBand="0" w:evenHBand="1" w:firstRowFirstColumn="0" w:firstRowLastColumn="0" w:lastRowFirstColumn="0" w:lastRowLastColumn="0"/>
        </w:trPr>
        <w:tc>
          <w:tcPr>
            <w:tcW w:w="1041" w:type="pct"/>
            <w:shd w:val="clear" w:color="auto" w:fill="F2DBDB" w:themeFill="accent2" w:themeFillTint="33"/>
          </w:tcPr>
          <w:p w14:paraId="11F1A6B5" w14:textId="016EDA29" w:rsidR="00DB209E" w:rsidRPr="00D8005A" w:rsidRDefault="00DB209E" w:rsidP="003A21BA">
            <w:pPr>
              <w:pStyle w:val="02Tabletext"/>
              <w:rPr>
                <w:rFonts w:ascii="Garamond" w:hAnsi="Garamond"/>
                <w:szCs w:val="20"/>
              </w:rPr>
            </w:pPr>
            <w:r>
              <w:rPr>
                <w:rFonts w:ascii="Garamond" w:hAnsi="Garamond"/>
                <w:szCs w:val="20"/>
              </w:rPr>
              <w:t xml:space="preserve">Usefulness of the </w:t>
            </w:r>
            <w:r w:rsidR="00FD3850">
              <w:rPr>
                <w:rFonts w:ascii="Garamond" w:hAnsi="Garamond"/>
                <w:szCs w:val="20"/>
              </w:rPr>
              <w:t>a</w:t>
            </w:r>
            <w:r>
              <w:rPr>
                <w:rFonts w:ascii="Garamond" w:hAnsi="Garamond"/>
                <w:szCs w:val="20"/>
              </w:rPr>
              <w:t xml:space="preserve">ssessment </w:t>
            </w:r>
            <w:r w:rsidR="00FD3850">
              <w:rPr>
                <w:rFonts w:ascii="Garamond" w:hAnsi="Garamond"/>
                <w:szCs w:val="20"/>
              </w:rPr>
              <w:t>t</w:t>
            </w:r>
            <w:r>
              <w:rPr>
                <w:rFonts w:ascii="Garamond" w:hAnsi="Garamond"/>
                <w:szCs w:val="20"/>
              </w:rPr>
              <w:t>ool (SmartForm)</w:t>
            </w:r>
          </w:p>
        </w:tc>
        <w:tc>
          <w:tcPr>
            <w:tcW w:w="3959" w:type="pct"/>
            <w:shd w:val="clear" w:color="auto" w:fill="F2DBDB" w:themeFill="accent2" w:themeFillTint="33"/>
          </w:tcPr>
          <w:p w14:paraId="7E951ED4" w14:textId="743B59CF" w:rsidR="00DB209E" w:rsidRPr="001A71B5" w:rsidRDefault="007A60A4" w:rsidP="007A60A4">
            <w:pPr>
              <w:pStyle w:val="02Tabletext"/>
              <w:rPr>
                <w:rFonts w:ascii="Garamond" w:hAnsi="Garamond"/>
                <w:szCs w:val="20"/>
              </w:rPr>
            </w:pPr>
            <w:r w:rsidRPr="007A60A4">
              <w:rPr>
                <w:rFonts w:ascii="Garamond" w:hAnsi="Garamond"/>
                <w:szCs w:val="20"/>
              </w:rPr>
              <w:t xml:space="preserve">At the end of the MedsCheck or Diabetes MedsCheck consultation, an individualised report </w:t>
            </w:r>
            <w:r>
              <w:rPr>
                <w:rFonts w:ascii="Garamond" w:hAnsi="Garamond"/>
                <w:szCs w:val="20"/>
              </w:rPr>
              <w:t>(</w:t>
            </w:r>
            <w:r w:rsidRPr="001A71B5">
              <w:rPr>
                <w:rFonts w:ascii="Garamond" w:hAnsi="Garamond"/>
                <w:szCs w:val="20"/>
              </w:rPr>
              <w:t>SmartForm</w:t>
            </w:r>
            <w:r>
              <w:rPr>
                <w:rFonts w:ascii="Garamond" w:hAnsi="Garamond"/>
                <w:szCs w:val="20"/>
              </w:rPr>
              <w:t>)</w:t>
            </w:r>
            <w:r w:rsidRPr="001A71B5">
              <w:rPr>
                <w:rFonts w:ascii="Garamond" w:hAnsi="Garamond"/>
                <w:szCs w:val="20"/>
              </w:rPr>
              <w:t xml:space="preserve"> </w:t>
            </w:r>
            <w:r w:rsidRPr="007A60A4">
              <w:rPr>
                <w:rFonts w:ascii="Garamond" w:hAnsi="Garamond"/>
                <w:szCs w:val="20"/>
              </w:rPr>
              <w:t>with a medication list and recommendations is created for each patient and distributed to their healthcare professional as needed.</w:t>
            </w:r>
            <w:r>
              <w:rPr>
                <w:rFonts w:ascii="Garamond" w:hAnsi="Garamond"/>
                <w:szCs w:val="20"/>
              </w:rPr>
              <w:t xml:space="preserve">  </w:t>
            </w:r>
            <w:r w:rsidR="00DB209E" w:rsidRPr="001A71B5">
              <w:rPr>
                <w:rFonts w:ascii="Garamond" w:hAnsi="Garamond"/>
                <w:szCs w:val="20"/>
              </w:rPr>
              <w:t>Most patients surveyed considered the SmartForm patient report to be useful</w:t>
            </w:r>
            <w:r w:rsidR="00756837">
              <w:rPr>
                <w:rFonts w:ascii="Garamond" w:hAnsi="Garamond"/>
                <w:szCs w:val="20"/>
              </w:rPr>
              <w:t xml:space="preserve">.  </w:t>
            </w:r>
            <w:r w:rsidR="00DB209E" w:rsidRPr="001A71B5">
              <w:rPr>
                <w:rFonts w:ascii="Garamond" w:hAnsi="Garamond"/>
                <w:szCs w:val="20"/>
              </w:rPr>
              <w:t>However, most patients interviewed had not viewed the patient report and did not have suggested changes</w:t>
            </w:r>
            <w:r w:rsidR="00756837">
              <w:rPr>
                <w:rFonts w:ascii="Garamond" w:hAnsi="Garamond"/>
                <w:szCs w:val="20"/>
              </w:rPr>
              <w:t xml:space="preserve">.  </w:t>
            </w:r>
            <w:r w:rsidR="00DB209E" w:rsidRPr="001A71B5">
              <w:rPr>
                <w:rFonts w:ascii="Garamond" w:hAnsi="Garamond"/>
                <w:szCs w:val="20"/>
              </w:rPr>
              <w:t>Pharmacists believed the report was useful for patients and had various suggested changes to make it more user friendly</w:t>
            </w:r>
            <w:r w:rsidR="00756837">
              <w:rPr>
                <w:rFonts w:ascii="Garamond" w:hAnsi="Garamond"/>
                <w:szCs w:val="20"/>
              </w:rPr>
              <w:t xml:space="preserve">.  </w:t>
            </w:r>
            <w:r w:rsidR="00DB209E" w:rsidRPr="001A71B5">
              <w:rPr>
                <w:rFonts w:ascii="Garamond" w:hAnsi="Garamond"/>
                <w:szCs w:val="20"/>
              </w:rPr>
              <w:t>The evaluation team suggested changes to streamline data collection from the Tool and make the data more</w:t>
            </w:r>
            <w:r w:rsidR="00DB209E">
              <w:rPr>
                <w:rFonts w:ascii="Garamond" w:hAnsi="Garamond"/>
                <w:szCs w:val="20"/>
              </w:rPr>
              <w:t xml:space="preserve"> meaningful</w:t>
            </w:r>
            <w:r w:rsidR="00756837">
              <w:rPr>
                <w:rFonts w:ascii="Garamond" w:hAnsi="Garamond"/>
                <w:szCs w:val="20"/>
              </w:rPr>
              <w:t xml:space="preserve">.  </w:t>
            </w:r>
            <w:r w:rsidR="00DB209E">
              <w:rPr>
                <w:rFonts w:ascii="Garamond" w:hAnsi="Garamond"/>
                <w:szCs w:val="20"/>
              </w:rPr>
              <w:t xml:space="preserve">The Department </w:t>
            </w:r>
            <w:r w:rsidR="00DB209E" w:rsidRPr="001A71B5">
              <w:rPr>
                <w:rFonts w:ascii="Garamond" w:hAnsi="Garamond"/>
                <w:szCs w:val="20"/>
              </w:rPr>
              <w:t>decided not to use the pilot program SmartForm during the national roll-out of services.</w:t>
            </w:r>
          </w:p>
        </w:tc>
      </w:tr>
      <w:tr w:rsidR="00DB209E" w:rsidRPr="00D8005A" w14:paraId="4DC514FD" w14:textId="77777777" w:rsidTr="00847350">
        <w:tc>
          <w:tcPr>
            <w:tcW w:w="1041" w:type="pct"/>
            <w:shd w:val="clear" w:color="auto" w:fill="FFFFFF" w:themeFill="background1"/>
          </w:tcPr>
          <w:p w14:paraId="7BABF6D8" w14:textId="77777777" w:rsidR="00DB209E" w:rsidRPr="00D8005A" w:rsidRDefault="00DB209E" w:rsidP="003A21BA">
            <w:pPr>
              <w:pStyle w:val="02Tabletext"/>
              <w:rPr>
                <w:rFonts w:ascii="Garamond" w:hAnsi="Garamond"/>
                <w:szCs w:val="20"/>
              </w:rPr>
            </w:pPr>
            <w:r w:rsidRPr="001A71B5">
              <w:rPr>
                <w:rFonts w:ascii="Garamond" w:hAnsi="Garamond"/>
                <w:szCs w:val="20"/>
              </w:rPr>
              <w:t>Reasons for slower than expected program take-up</w:t>
            </w:r>
          </w:p>
        </w:tc>
        <w:tc>
          <w:tcPr>
            <w:tcW w:w="3959" w:type="pct"/>
            <w:shd w:val="clear" w:color="auto" w:fill="FFFFFF" w:themeFill="background1"/>
          </w:tcPr>
          <w:p w14:paraId="0F29B302" w14:textId="55A63DB2" w:rsidR="00DB209E" w:rsidRPr="00D8005A" w:rsidRDefault="00DB209E" w:rsidP="009303A6">
            <w:pPr>
              <w:pStyle w:val="02Tabletext"/>
              <w:rPr>
                <w:rFonts w:ascii="Garamond" w:hAnsi="Garamond"/>
                <w:szCs w:val="20"/>
              </w:rPr>
            </w:pPr>
            <w:r w:rsidRPr="007A3B27">
              <w:rPr>
                <w:rFonts w:ascii="Garamond" w:hAnsi="Garamond"/>
                <w:szCs w:val="20"/>
              </w:rPr>
              <w:t>The evaluation identified that an inability to integrate MedsCheck and Diabetes MedsCheck service delivery into the daily pharmacist’s workflow was the primary barrier to service provision</w:t>
            </w:r>
            <w:r w:rsidR="00756837">
              <w:rPr>
                <w:rFonts w:ascii="Garamond" w:hAnsi="Garamond"/>
                <w:szCs w:val="20"/>
              </w:rPr>
              <w:t xml:space="preserve">.  </w:t>
            </w:r>
            <w:r w:rsidRPr="007A3B27">
              <w:rPr>
                <w:rFonts w:ascii="Garamond" w:hAnsi="Garamond"/>
                <w:szCs w:val="20"/>
              </w:rPr>
              <w:t>The time taken to deliver the services was considered prohibitive, although this may have been influenced by either IT issues or the requirement to use a SmartForm Assessment Tool</w:t>
            </w:r>
            <w:r w:rsidR="00756837">
              <w:rPr>
                <w:rFonts w:ascii="Garamond" w:hAnsi="Garamond"/>
                <w:szCs w:val="20"/>
              </w:rPr>
              <w:t xml:space="preserve">.  </w:t>
            </w:r>
            <w:r w:rsidRPr="007A3B27">
              <w:rPr>
                <w:rFonts w:ascii="Garamond" w:hAnsi="Garamond"/>
                <w:szCs w:val="20"/>
              </w:rPr>
              <w:t>The SmartForm design itself was also considered a barrier to providing services</w:t>
            </w:r>
            <w:r w:rsidR="00756837">
              <w:rPr>
                <w:rFonts w:ascii="Garamond" w:hAnsi="Garamond"/>
                <w:szCs w:val="20"/>
              </w:rPr>
              <w:t xml:space="preserve">.  </w:t>
            </w:r>
            <w:r w:rsidRPr="007A3B27">
              <w:rPr>
                <w:rFonts w:ascii="Garamond" w:hAnsi="Garamond"/>
                <w:szCs w:val="20"/>
              </w:rPr>
              <w:t>On the basis of feedback received during the pilot, a decision was taken by the Department to not require the SmartForm to be used in the national program.</w:t>
            </w:r>
          </w:p>
        </w:tc>
      </w:tr>
      <w:tr w:rsidR="00DB209E" w:rsidRPr="00D8005A" w14:paraId="075CA4EE" w14:textId="77777777" w:rsidTr="00847350">
        <w:trPr>
          <w:cnfStyle w:val="000000010000" w:firstRow="0" w:lastRow="0" w:firstColumn="0" w:lastColumn="0" w:oddVBand="0" w:evenVBand="0" w:oddHBand="0" w:evenHBand="1" w:firstRowFirstColumn="0" w:firstRowLastColumn="0" w:lastRowFirstColumn="0" w:lastRowLastColumn="0"/>
        </w:trPr>
        <w:tc>
          <w:tcPr>
            <w:tcW w:w="1041" w:type="pct"/>
            <w:shd w:val="clear" w:color="auto" w:fill="F2DBDB" w:themeFill="accent2" w:themeFillTint="33"/>
          </w:tcPr>
          <w:p w14:paraId="1CC30FC5" w14:textId="77777777" w:rsidR="00DB209E" w:rsidRDefault="00DB209E" w:rsidP="003A21BA">
            <w:pPr>
              <w:pStyle w:val="02Tabletext"/>
              <w:rPr>
                <w:rFonts w:ascii="Garamond" w:hAnsi="Garamond"/>
                <w:szCs w:val="20"/>
              </w:rPr>
            </w:pPr>
            <w:r w:rsidRPr="001A71B5">
              <w:rPr>
                <w:rFonts w:ascii="Garamond" w:hAnsi="Garamond"/>
                <w:szCs w:val="20"/>
              </w:rPr>
              <w:t>Relationship with the HMR and Clinical Intervention program:</w:t>
            </w:r>
          </w:p>
        </w:tc>
        <w:tc>
          <w:tcPr>
            <w:tcW w:w="3959" w:type="pct"/>
            <w:shd w:val="clear" w:color="auto" w:fill="F2DBDB" w:themeFill="accent2" w:themeFillTint="33"/>
          </w:tcPr>
          <w:p w14:paraId="0240B497" w14:textId="782E25FC" w:rsidR="00DB209E" w:rsidRPr="001A71B5" w:rsidRDefault="00DB209E" w:rsidP="009303A6">
            <w:pPr>
              <w:pStyle w:val="02Tabletext"/>
              <w:rPr>
                <w:rFonts w:ascii="Garamond" w:hAnsi="Garamond"/>
                <w:szCs w:val="20"/>
              </w:rPr>
            </w:pPr>
            <w:r w:rsidRPr="001A71B5">
              <w:rPr>
                <w:rFonts w:ascii="Garamond" w:hAnsi="Garamond"/>
                <w:szCs w:val="20"/>
              </w:rPr>
              <w:t>The other 5CPA programs were seen as facilitators to service delivery</w:t>
            </w:r>
            <w:r w:rsidR="00756837">
              <w:rPr>
                <w:rFonts w:ascii="Garamond" w:hAnsi="Garamond"/>
                <w:szCs w:val="20"/>
              </w:rPr>
              <w:t xml:space="preserve">.  </w:t>
            </w:r>
            <w:r w:rsidRPr="001A71B5">
              <w:rPr>
                <w:rFonts w:ascii="Garamond" w:hAnsi="Garamond"/>
                <w:szCs w:val="20"/>
              </w:rPr>
              <w:t>The C</w:t>
            </w:r>
            <w:r w:rsidR="00660443">
              <w:rPr>
                <w:rFonts w:ascii="Garamond" w:hAnsi="Garamond"/>
                <w:szCs w:val="20"/>
              </w:rPr>
              <w:t>Is</w:t>
            </w:r>
            <w:r w:rsidRPr="001A71B5">
              <w:rPr>
                <w:rFonts w:ascii="Garamond" w:hAnsi="Garamond"/>
                <w:szCs w:val="20"/>
              </w:rPr>
              <w:t xml:space="preserve"> program had a much greater uptake than the MedsCheck and Diabetes MedsCheck pilot program due to its ease of integration into pharmacists’ workflow</w:t>
            </w:r>
            <w:r w:rsidR="00756837">
              <w:rPr>
                <w:rFonts w:ascii="Garamond" w:hAnsi="Garamond"/>
                <w:szCs w:val="20"/>
              </w:rPr>
              <w:t xml:space="preserve">.  </w:t>
            </w:r>
            <w:r w:rsidR="009303A6">
              <w:rPr>
                <w:rFonts w:ascii="Garamond" w:hAnsi="Garamond"/>
                <w:szCs w:val="20"/>
              </w:rPr>
              <w:t xml:space="preserve">The evaluators found that </w:t>
            </w:r>
            <w:r w:rsidRPr="001A71B5">
              <w:rPr>
                <w:rFonts w:ascii="Garamond" w:hAnsi="Garamond"/>
                <w:szCs w:val="20"/>
              </w:rPr>
              <w:t>the pilot had an insignificant impact on the HMR program, although analysis was limited due to the availability of data.</w:t>
            </w:r>
          </w:p>
        </w:tc>
      </w:tr>
    </w:tbl>
    <w:p w14:paraId="082FE80D" w14:textId="77777777" w:rsidR="00DB209E" w:rsidRPr="00847350" w:rsidRDefault="00DB209E" w:rsidP="00DB209E">
      <w:pPr>
        <w:pStyle w:val="08Tablefootnotes"/>
        <w:rPr>
          <w:rFonts w:ascii="Garamond" w:hAnsi="Garamond"/>
        </w:rPr>
      </w:pPr>
      <w:r w:rsidRPr="00847350">
        <w:rPr>
          <w:rFonts w:ascii="Garamond" w:hAnsi="Garamond"/>
        </w:rPr>
        <w:t>Source: Evaluation of the MedsCheck and Diabetes MedsCheck Pilot Program by Deloitte Access Economics 2012</w:t>
      </w:r>
    </w:p>
    <w:p w14:paraId="30E5FDED" w14:textId="0221449A" w:rsidR="00DB209E" w:rsidRDefault="00DB209E" w:rsidP="00DB209E">
      <w:pPr>
        <w:pStyle w:val="08Tablefootnotes"/>
        <w:rPr>
          <w:rFonts w:ascii="Garamond" w:hAnsi="Garamond"/>
        </w:rPr>
      </w:pPr>
      <w:r w:rsidRPr="00847350">
        <w:rPr>
          <w:rFonts w:ascii="Garamond" w:hAnsi="Garamond"/>
        </w:rPr>
        <w:t xml:space="preserve">Abbreviations: </w:t>
      </w:r>
      <w:r w:rsidR="001E38B6">
        <w:rPr>
          <w:rFonts w:ascii="Garamond" w:hAnsi="Garamond"/>
        </w:rPr>
        <w:t xml:space="preserve">The Department, </w:t>
      </w:r>
      <w:r w:rsidR="00570F10" w:rsidRPr="00847350">
        <w:rPr>
          <w:rFonts w:ascii="Garamond" w:hAnsi="Garamond"/>
        </w:rPr>
        <w:t>Department of Health and Ageing</w:t>
      </w:r>
      <w:r w:rsidRPr="00847350">
        <w:rPr>
          <w:rFonts w:ascii="Garamond" w:hAnsi="Garamond"/>
        </w:rPr>
        <w:t>;</w:t>
      </w:r>
      <w:r w:rsidR="00570F10" w:rsidRPr="00847350">
        <w:rPr>
          <w:rFonts w:ascii="Garamond" w:hAnsi="Garamond"/>
        </w:rPr>
        <w:t xml:space="preserve"> IT, Information Technology; 5CPA, Fifth Community Pharmacy Agreement; H</w:t>
      </w:r>
      <w:r w:rsidRPr="00847350">
        <w:rPr>
          <w:rFonts w:ascii="Garamond" w:hAnsi="Garamond"/>
        </w:rPr>
        <w:t xml:space="preserve">MR, </w:t>
      </w:r>
      <w:r w:rsidR="00570F10" w:rsidRPr="00847350">
        <w:rPr>
          <w:rFonts w:ascii="Garamond" w:hAnsi="Garamond"/>
        </w:rPr>
        <w:t>Home Medication</w:t>
      </w:r>
      <w:r w:rsidRPr="00847350">
        <w:rPr>
          <w:rFonts w:ascii="Garamond" w:hAnsi="Garamond"/>
        </w:rPr>
        <w:t xml:space="preserve"> Review</w:t>
      </w:r>
      <w:r w:rsidR="00A73114">
        <w:rPr>
          <w:rFonts w:ascii="Garamond" w:hAnsi="Garamond"/>
        </w:rPr>
        <w:t>.</w:t>
      </w:r>
    </w:p>
    <w:p w14:paraId="268DFC58" w14:textId="2E27076D" w:rsidR="00342159" w:rsidRDefault="00342159" w:rsidP="00342159">
      <w:pPr>
        <w:pStyle w:val="01BODYTEXT"/>
      </w:pPr>
      <w:r w:rsidRPr="00342159">
        <w:t>The evaluation also reported on the characteristics of patients who had received MedsCheck or Diabetes MedsCheck services in the pilot period.  They found that of the 844 patients who received MedsCheck or Diabetes MedsCheck services, 334 (40%) had a previous diagnosis of type 2 diabetes and</w:t>
      </w:r>
      <w:r>
        <w:t xml:space="preserve"> 149 of these patients received a Diabetes MedsCheck.</w:t>
      </w:r>
    </w:p>
    <w:p w14:paraId="30168CD1" w14:textId="77777777" w:rsidR="00342159" w:rsidRDefault="00342159" w:rsidP="00342159">
      <w:pPr>
        <w:pStyle w:val="06Bulletsonelongsentence"/>
        <w:numPr>
          <w:ilvl w:val="0"/>
          <w:numId w:val="18"/>
        </w:numPr>
        <w:spacing w:before="120"/>
        <w:ind w:left="357" w:hanging="357"/>
      </w:pPr>
      <w:r>
        <w:t>117 patients who received a Diabetes MedsCheck were eligible for this service because they had less than ideally controlled type 2 diabetes and did not have timely access to a diabetes educator or health service to talk about their condition.</w:t>
      </w:r>
    </w:p>
    <w:p w14:paraId="6C250763" w14:textId="77777777" w:rsidR="00342159" w:rsidRDefault="00342159" w:rsidP="00342159">
      <w:pPr>
        <w:pStyle w:val="06Bulletsonelongsentence"/>
        <w:numPr>
          <w:ilvl w:val="0"/>
          <w:numId w:val="18"/>
        </w:numPr>
        <w:spacing w:before="120"/>
        <w:ind w:left="357" w:hanging="357"/>
      </w:pPr>
      <w:r>
        <w:t>Seven patients had been recently diagnosed with type 2 diabetes and had similar difficulties accessing a diabetes educator.</w:t>
      </w:r>
    </w:p>
    <w:p w14:paraId="63995C85" w14:textId="77777777" w:rsidR="00342159" w:rsidRDefault="00342159" w:rsidP="00342159">
      <w:pPr>
        <w:pStyle w:val="06Bulletsonelongsentence"/>
        <w:numPr>
          <w:ilvl w:val="0"/>
          <w:numId w:val="18"/>
        </w:numPr>
        <w:spacing w:before="120"/>
        <w:ind w:left="357" w:hanging="357"/>
      </w:pPr>
      <w:r>
        <w:t>23 patients had both less than ideally controlled type 2 diabetes and were recently diagnosed with type 2 diabetes and had difficulties accessing a diabetes educator.</w:t>
      </w:r>
    </w:p>
    <w:p w14:paraId="0D7F4864" w14:textId="440D01C8" w:rsidR="00342159" w:rsidRDefault="00342159" w:rsidP="00342159">
      <w:pPr>
        <w:pStyle w:val="06Bulletsonelongsentence"/>
        <w:numPr>
          <w:ilvl w:val="0"/>
          <w:numId w:val="18"/>
        </w:numPr>
        <w:spacing w:before="120"/>
        <w:ind w:left="357" w:hanging="357"/>
      </w:pPr>
      <w:r>
        <w:t xml:space="preserve">Two patients had a diagnosis of type 2 diabetes </w:t>
      </w:r>
      <w:r w:rsidR="005D1417">
        <w:t>but</w:t>
      </w:r>
      <w:r>
        <w:t xml:space="preserve"> did not meet eligibility criteria but appear to have received a Diabetes MedsCheck in any case.</w:t>
      </w:r>
    </w:p>
    <w:p w14:paraId="6708D148" w14:textId="77777777" w:rsidR="00342159" w:rsidRDefault="00342159" w:rsidP="00342159">
      <w:pPr>
        <w:pStyle w:val="06Bulletsonelongsentence"/>
        <w:numPr>
          <w:ilvl w:val="0"/>
          <w:numId w:val="18"/>
        </w:numPr>
        <w:spacing w:before="120"/>
        <w:ind w:left="357" w:hanging="357"/>
      </w:pPr>
      <w:r>
        <w:t>One patient with no pre-existing diagnosis of type 2 diabetes received a Diabetes MedsCheck.</w:t>
      </w:r>
    </w:p>
    <w:p w14:paraId="5851B6C2" w14:textId="77777777" w:rsidR="00342159" w:rsidRDefault="00342159" w:rsidP="00342159">
      <w:pPr>
        <w:pStyle w:val="06Bulletsonelongsentence"/>
        <w:numPr>
          <w:ilvl w:val="0"/>
          <w:numId w:val="18"/>
        </w:numPr>
        <w:spacing w:before="120"/>
        <w:ind w:left="357" w:hanging="357"/>
      </w:pPr>
      <w:r>
        <w:t>118 of the 149 patients who received a Diabetes MedsCheck were self-monitoring their blood sugar levels and 138 were on five medicines or more.</w:t>
      </w:r>
    </w:p>
    <w:p w14:paraId="51DD1721" w14:textId="30ED090A" w:rsidR="00342159" w:rsidRDefault="00342159" w:rsidP="00342159">
      <w:pPr>
        <w:pStyle w:val="BodyText"/>
      </w:pPr>
      <w:r>
        <w:t xml:space="preserve">Of the remaining 186 patients with type 2 diabetes who received a MedsCheck but were not eligible for a Diabetes MedsCheck, 77 did not qualify as they had timely access to a diabetes educator or health </w:t>
      </w:r>
      <w:r>
        <w:lastRenderedPageBreak/>
        <w:t xml:space="preserve">service.  Sixty-seven of these patients had diabetes that was less than ideally controlled, eight had also been recently diagnosed with type 2 </w:t>
      </w:r>
      <w:r w:rsidRPr="00212B19">
        <w:t xml:space="preserve">diabetes and </w:t>
      </w:r>
      <w:r w:rsidR="00BF0EBA">
        <w:t>21</w:t>
      </w:r>
      <w:r w:rsidRPr="00212B19">
        <w:t xml:space="preserve"> had experienced a recent change in medicines</w:t>
      </w:r>
      <w:r>
        <w:t xml:space="preserve">.  </w:t>
      </w:r>
      <w:r w:rsidRPr="00212B19">
        <w:t>An additional ten patients were recently diagnosed with type 2 diabetes</w:t>
      </w:r>
      <w:r>
        <w:t xml:space="preserve">.  </w:t>
      </w:r>
      <w:r w:rsidRPr="00212B19">
        <w:t>One hundred and nine out of the 186 patients with type 2 diabetes did not receive a Diabetes MedsCheck because they had not been recently diagnosed and had well controlled diabetes.</w:t>
      </w:r>
    </w:p>
    <w:p w14:paraId="024B3510" w14:textId="77777777" w:rsidR="008A7DBD" w:rsidRPr="00CB393E" w:rsidRDefault="008A7DBD" w:rsidP="008A7DBD">
      <w:pPr>
        <w:pStyle w:val="Heading3"/>
      </w:pPr>
      <w:r>
        <w:t>A</w:t>
      </w:r>
      <w:r w:rsidRPr="00CB393E">
        <w:t xml:space="preserve">dverse drug events/reactions and medication-related problems </w:t>
      </w:r>
    </w:p>
    <w:p w14:paraId="1A3F49BB" w14:textId="77777777" w:rsidR="008A7DBD" w:rsidRDefault="008A7DBD" w:rsidP="008A7DBD">
      <w:pPr>
        <w:pStyle w:val="01BODYTEXT"/>
      </w:pPr>
      <w:r>
        <w:t xml:space="preserve">The evaluation found that: </w:t>
      </w:r>
    </w:p>
    <w:p w14:paraId="08FC5724" w14:textId="0E5B326D" w:rsidR="00DB209E" w:rsidRDefault="00DB209E" w:rsidP="00A85835">
      <w:pPr>
        <w:pStyle w:val="06Bulletsonelongsentence"/>
        <w:numPr>
          <w:ilvl w:val="0"/>
          <w:numId w:val="18"/>
        </w:numPr>
        <w:spacing w:before="120"/>
        <w:ind w:left="357" w:hanging="357"/>
      </w:pPr>
      <w:r w:rsidRPr="00E53308">
        <w:t>7,465 medicines were used by 844 patien</w:t>
      </w:r>
      <w:r>
        <w:t xml:space="preserve">ts or, on average, close to </w:t>
      </w:r>
      <w:r w:rsidR="00342159">
        <w:t>nine</w:t>
      </w:r>
      <w:r w:rsidRPr="00E53308">
        <w:t xml:space="preserve"> medicines per patien</w:t>
      </w:r>
      <w:r>
        <w:t>t</w:t>
      </w:r>
      <w:r w:rsidR="00342159">
        <w:t>;</w:t>
      </w:r>
    </w:p>
    <w:p w14:paraId="53A7C024" w14:textId="0F3B627C" w:rsidR="00DB209E" w:rsidRDefault="00342159" w:rsidP="00A85835">
      <w:pPr>
        <w:pStyle w:val="06Bulletsonelongsentence"/>
        <w:numPr>
          <w:ilvl w:val="0"/>
          <w:numId w:val="18"/>
        </w:numPr>
        <w:spacing w:before="120"/>
        <w:ind w:left="357" w:hanging="357"/>
      </w:pPr>
      <w:r>
        <w:t>one</w:t>
      </w:r>
      <w:r w:rsidR="00DB209E" w:rsidRPr="00E53308">
        <w:t xml:space="preserve"> patient </w:t>
      </w:r>
      <w:r w:rsidR="00DB209E">
        <w:t>took</w:t>
      </w:r>
      <w:r w:rsidR="00DB209E" w:rsidRPr="00E53308">
        <w:t xml:space="preserve"> all their medicines incorrectly</w:t>
      </w:r>
      <w:r>
        <w:t>;</w:t>
      </w:r>
    </w:p>
    <w:p w14:paraId="65830A87" w14:textId="57B741CF" w:rsidR="00DB209E" w:rsidRDefault="00DB209E" w:rsidP="00A85835">
      <w:pPr>
        <w:pStyle w:val="06Bulletsonelongsentence"/>
        <w:numPr>
          <w:ilvl w:val="0"/>
          <w:numId w:val="18"/>
        </w:numPr>
        <w:spacing w:before="120"/>
        <w:ind w:left="357" w:hanging="357"/>
      </w:pPr>
      <w:r>
        <w:t xml:space="preserve">843 patients were using </w:t>
      </w:r>
      <w:r w:rsidR="00342159">
        <w:t xml:space="preserve">one </w:t>
      </w:r>
      <w:r w:rsidRPr="00E53308">
        <w:t>or more medicines a</w:t>
      </w:r>
      <w:r>
        <w:t>s prescribed</w:t>
      </w:r>
      <w:r w:rsidR="00756837">
        <w:t xml:space="preserve">.  </w:t>
      </w:r>
      <w:r>
        <w:t>However</w:t>
      </w:r>
      <w:r w:rsidR="002F1CB7">
        <w:t xml:space="preserve">, </w:t>
      </w:r>
      <w:r>
        <w:t xml:space="preserve">of these, 209 patients (or 25%) were also taking </w:t>
      </w:r>
      <w:r w:rsidR="00342159">
        <w:t xml:space="preserve">one </w:t>
      </w:r>
      <w:r w:rsidRPr="00E53308">
        <w:t xml:space="preserve">or more medicines </w:t>
      </w:r>
      <w:r>
        <w:t>incorrectly</w:t>
      </w:r>
      <w:r w:rsidR="00342159">
        <w:t>;</w:t>
      </w:r>
    </w:p>
    <w:p w14:paraId="6F37DAFF" w14:textId="26DA7317" w:rsidR="00DB209E" w:rsidRDefault="00342159" w:rsidP="00A85835">
      <w:pPr>
        <w:pStyle w:val="06Bulletsonelongsentence"/>
        <w:numPr>
          <w:ilvl w:val="0"/>
          <w:numId w:val="18"/>
        </w:numPr>
        <w:spacing w:before="120"/>
        <w:ind w:left="357" w:hanging="357"/>
      </w:pPr>
      <w:r>
        <w:t>o</w:t>
      </w:r>
      <w:r w:rsidR="00DB209E" w:rsidRPr="00E53308">
        <w:t>n average, this latter group was taking slightly more medicines (9.3 medicines per person) than those who were taking all medicines as prescribed (8.7 medicines per person), and was on average younger</w:t>
      </w:r>
      <w:r w:rsidR="00756837">
        <w:t xml:space="preserve">.  </w:t>
      </w:r>
    </w:p>
    <w:p w14:paraId="4CD94F70" w14:textId="6FC546A4" w:rsidR="00DB209E" w:rsidRDefault="00DB209E" w:rsidP="00DB209E">
      <w:pPr>
        <w:pStyle w:val="BodyText"/>
      </w:pPr>
      <w:r>
        <w:t xml:space="preserve">The evaluators stated that these findings were broadly similar to those from the </w:t>
      </w:r>
      <w:r w:rsidR="00342159">
        <w:t>p</w:t>
      </w:r>
      <w:r>
        <w:t xml:space="preserve">atient </w:t>
      </w:r>
      <w:r w:rsidR="00342159">
        <w:t>s</w:t>
      </w:r>
      <w:r>
        <w:t xml:space="preserve">urvey, </w:t>
      </w:r>
      <w:r w:rsidR="00342159">
        <w:t>which found that</w:t>
      </w:r>
      <w:r>
        <w:t xml:space="preserve">: </w:t>
      </w:r>
    </w:p>
    <w:p w14:paraId="47C95D9E" w14:textId="7E33FCE8" w:rsidR="00DB209E" w:rsidRDefault="00DB209E" w:rsidP="00A85835">
      <w:pPr>
        <w:pStyle w:val="06Bulletsonelongsentence"/>
        <w:numPr>
          <w:ilvl w:val="0"/>
          <w:numId w:val="18"/>
        </w:numPr>
        <w:spacing w:before="120"/>
        <w:ind w:left="357" w:hanging="357"/>
      </w:pPr>
      <w:r>
        <w:t>84% of patients reported that they were taking their medicine(s) as prescribed by their doctor before their MedsCheck or Diabetes MedsCheck</w:t>
      </w:r>
      <w:r w:rsidR="00025B6F">
        <w:t xml:space="preserve"> service</w:t>
      </w:r>
      <w:r>
        <w:t xml:space="preserve">, indicating that a further 16% of patients </w:t>
      </w:r>
      <w:r w:rsidR="00025B6F">
        <w:t>had</w:t>
      </w:r>
      <w:r>
        <w:t xml:space="preserve"> </w:t>
      </w:r>
      <w:r w:rsidR="00025B6F">
        <w:t xml:space="preserve">a </w:t>
      </w:r>
      <w:r>
        <w:t xml:space="preserve">known or suspected issue with adherence, and </w:t>
      </w:r>
    </w:p>
    <w:p w14:paraId="13195FC0" w14:textId="420A25C1" w:rsidR="00DB209E" w:rsidRDefault="00DB209E" w:rsidP="00A85835">
      <w:pPr>
        <w:pStyle w:val="06Bulletsonelongsentence"/>
        <w:numPr>
          <w:ilvl w:val="0"/>
          <w:numId w:val="18"/>
        </w:numPr>
        <w:spacing w:before="120"/>
        <w:ind w:left="357" w:hanging="357"/>
      </w:pPr>
      <w:r>
        <w:t>20% of patients reported that their pharmac</w:t>
      </w:r>
      <w:r w:rsidR="00865369">
        <w:t>ist recommended they have a HMR</w:t>
      </w:r>
      <w:r w:rsidR="00865369">
        <w:rPr>
          <w:rStyle w:val="FootnoteReference"/>
        </w:rPr>
        <w:footnoteReference w:id="4"/>
      </w:r>
      <w:r w:rsidR="005D1417">
        <w:t>.</w:t>
      </w:r>
    </w:p>
    <w:p w14:paraId="4F7B0B10" w14:textId="13C9ACEF" w:rsidR="00DB209E" w:rsidRDefault="00462EE2" w:rsidP="00DB209E">
      <w:pPr>
        <w:pStyle w:val="BodyText"/>
        <w:rPr>
          <w:noProof/>
          <w:lang w:eastAsia="en-AU"/>
        </w:rPr>
      </w:pPr>
      <w:r>
        <w:rPr>
          <w:noProof/>
          <w:lang w:eastAsia="en-AU"/>
        </w:rPr>
        <w:t>A</w:t>
      </w:r>
      <w:r w:rsidR="00DB209E" w:rsidRPr="00A84BD1">
        <w:rPr>
          <w:noProof/>
          <w:lang w:eastAsia="en-AU"/>
        </w:rPr>
        <w:t xml:space="preserve">nalysis </w:t>
      </w:r>
      <w:r>
        <w:rPr>
          <w:noProof/>
          <w:lang w:eastAsia="en-AU"/>
        </w:rPr>
        <w:t xml:space="preserve">of SmartForm data </w:t>
      </w:r>
      <w:r w:rsidR="00DB209E" w:rsidRPr="00A84BD1">
        <w:rPr>
          <w:noProof/>
          <w:lang w:eastAsia="en-AU"/>
        </w:rPr>
        <w:t>revealed that 32% of patients provided with a MedsCheck or Diabetes MedsCheck service were taking a medicine associated with a high risk of adverse events</w:t>
      </w:r>
      <w:r w:rsidR="00756837">
        <w:rPr>
          <w:noProof/>
          <w:lang w:eastAsia="en-AU"/>
        </w:rPr>
        <w:t xml:space="preserve">.  </w:t>
      </w:r>
      <w:r w:rsidR="00DB209E" w:rsidRPr="00A84BD1">
        <w:rPr>
          <w:noProof/>
          <w:lang w:eastAsia="en-AU"/>
        </w:rPr>
        <w:t xml:space="preserve">The </w:t>
      </w:r>
      <w:r w:rsidR="009A7E59">
        <w:rPr>
          <w:noProof/>
          <w:lang w:eastAsia="en-AU"/>
        </w:rPr>
        <w:t>evaluators identified that the p</w:t>
      </w:r>
      <w:r w:rsidR="00DB209E" w:rsidRPr="00A84BD1">
        <w:rPr>
          <w:noProof/>
          <w:lang w:eastAsia="en-AU"/>
        </w:rPr>
        <w:t>harmacists were provided with little guidance as to what a ‘high</w:t>
      </w:r>
      <w:r w:rsidR="005A297C">
        <w:rPr>
          <w:noProof/>
          <w:lang w:eastAsia="en-AU"/>
        </w:rPr>
        <w:t>-</w:t>
      </w:r>
      <w:r w:rsidR="00DB209E" w:rsidRPr="00A84BD1">
        <w:rPr>
          <w:noProof/>
          <w:lang w:eastAsia="en-AU"/>
        </w:rPr>
        <w:t>risk’ medicine constituted and suggested that it may be worth considering providing further clarification around this</w:t>
      </w:r>
      <w:r w:rsidR="00756837">
        <w:rPr>
          <w:noProof/>
          <w:lang w:eastAsia="en-AU"/>
        </w:rPr>
        <w:t xml:space="preserve">.  </w:t>
      </w:r>
      <w:r w:rsidR="00DB209E" w:rsidRPr="00A84BD1">
        <w:rPr>
          <w:noProof/>
          <w:lang w:eastAsia="en-AU"/>
        </w:rPr>
        <w:t>After reviewing literature relating to ‘high</w:t>
      </w:r>
      <w:r w:rsidR="005A297C">
        <w:rPr>
          <w:noProof/>
          <w:lang w:eastAsia="en-AU"/>
        </w:rPr>
        <w:t>-</w:t>
      </w:r>
      <w:r w:rsidR="00DB209E" w:rsidRPr="00A84BD1">
        <w:rPr>
          <w:noProof/>
          <w:lang w:eastAsia="en-AU"/>
        </w:rPr>
        <w:t>risk’ medicines, the evaluators suggested that an easy way (easier f</w:t>
      </w:r>
      <w:r w:rsidR="005616C8">
        <w:rPr>
          <w:noProof/>
          <w:lang w:eastAsia="en-AU"/>
        </w:rPr>
        <w:t xml:space="preserve">or pharmacists) to ensure </w:t>
      </w:r>
      <w:r w:rsidR="00DB209E" w:rsidRPr="00A84BD1">
        <w:rPr>
          <w:noProof/>
          <w:lang w:eastAsia="en-AU"/>
        </w:rPr>
        <w:t>patients</w:t>
      </w:r>
      <w:r w:rsidR="005616C8">
        <w:rPr>
          <w:noProof/>
          <w:lang w:eastAsia="en-AU"/>
        </w:rPr>
        <w:t xml:space="preserve"> taking high</w:t>
      </w:r>
      <w:r w:rsidR="005A297C">
        <w:rPr>
          <w:noProof/>
          <w:lang w:eastAsia="en-AU"/>
        </w:rPr>
        <w:t>-</w:t>
      </w:r>
      <w:r w:rsidR="005616C8">
        <w:rPr>
          <w:noProof/>
          <w:lang w:eastAsia="en-AU"/>
        </w:rPr>
        <w:t>risk medicine</w:t>
      </w:r>
      <w:r w:rsidR="00DB209E" w:rsidRPr="00A84BD1">
        <w:rPr>
          <w:noProof/>
          <w:lang w:eastAsia="en-AU"/>
        </w:rPr>
        <w:t xml:space="preserve"> are captured within the MedsCheck criteria would be to lower the limit for receipt of a MedsCheck service to three or more (rather</w:t>
      </w:r>
      <w:r w:rsidR="00DB209E">
        <w:rPr>
          <w:noProof/>
          <w:lang w:eastAsia="en-AU"/>
        </w:rPr>
        <w:t xml:space="preserve"> than five or more) medicines</w:t>
      </w:r>
      <w:r w:rsidR="00756837">
        <w:rPr>
          <w:noProof/>
          <w:lang w:eastAsia="en-AU"/>
        </w:rPr>
        <w:t xml:space="preserve">.  </w:t>
      </w:r>
    </w:p>
    <w:p w14:paraId="3E643523" w14:textId="77777777" w:rsidR="00865369" w:rsidRPr="00865369" w:rsidRDefault="00865369" w:rsidP="00865369">
      <w:pPr>
        <w:pStyle w:val="Heading3"/>
      </w:pPr>
      <w:r w:rsidRPr="00865369">
        <w:t>Changes in clinical outcomes</w:t>
      </w:r>
    </w:p>
    <w:p w14:paraId="25574EC4" w14:textId="77777777" w:rsidR="00014C34" w:rsidRDefault="00A85835" w:rsidP="00865369">
      <w:pPr>
        <w:spacing w:before="240" w:after="120"/>
        <w:rPr>
          <w:rFonts w:ascii="Garamond" w:hAnsi="Garamond"/>
          <w:sz w:val="24"/>
        </w:rPr>
      </w:pPr>
      <w:r>
        <w:rPr>
          <w:rFonts w:ascii="Garamond" w:hAnsi="Garamond"/>
          <w:sz w:val="24"/>
        </w:rPr>
        <w:t>The evaluation did not provide specific findings for changes in clinical outcomes resulting from implementation of the pilot program</w:t>
      </w:r>
      <w:r w:rsidR="00756837">
        <w:rPr>
          <w:rFonts w:ascii="Garamond" w:hAnsi="Garamond"/>
          <w:sz w:val="24"/>
        </w:rPr>
        <w:t xml:space="preserve">.  </w:t>
      </w:r>
      <w:r>
        <w:rPr>
          <w:rFonts w:ascii="Garamond" w:hAnsi="Garamond"/>
          <w:sz w:val="24"/>
        </w:rPr>
        <w:t>However,</w:t>
      </w:r>
      <w:r w:rsidR="00014C34">
        <w:rPr>
          <w:rFonts w:ascii="Garamond" w:hAnsi="Garamond"/>
          <w:sz w:val="24"/>
        </w:rPr>
        <w:t xml:space="preserve"> the following commentary on the perceived impact of the patient report</w:t>
      </w:r>
      <w:r w:rsidR="00D37809">
        <w:rPr>
          <w:rFonts w:ascii="Garamond" w:hAnsi="Garamond"/>
          <w:sz w:val="24"/>
        </w:rPr>
        <w:t>,</w:t>
      </w:r>
      <w:r w:rsidR="00014C34">
        <w:rPr>
          <w:rFonts w:ascii="Garamond" w:hAnsi="Garamond"/>
          <w:sz w:val="24"/>
        </w:rPr>
        <w:t xml:space="preserve"> developed as part of the service</w:t>
      </w:r>
      <w:r w:rsidR="00D37809">
        <w:rPr>
          <w:rFonts w:ascii="Garamond" w:hAnsi="Garamond"/>
          <w:sz w:val="24"/>
        </w:rPr>
        <w:t>,</w:t>
      </w:r>
      <w:r w:rsidR="00014C34">
        <w:rPr>
          <w:rFonts w:ascii="Garamond" w:hAnsi="Garamond"/>
          <w:sz w:val="24"/>
        </w:rPr>
        <w:t xml:space="preserve"> was provided: </w:t>
      </w:r>
    </w:p>
    <w:p w14:paraId="3F8B967D" w14:textId="77777777" w:rsidR="007A60A4" w:rsidRPr="00DD61CE" w:rsidRDefault="007A60A4" w:rsidP="007A60A4">
      <w:pPr>
        <w:spacing w:before="240" w:after="120"/>
        <w:rPr>
          <w:rFonts w:ascii="Garamond" w:hAnsi="Garamond"/>
          <w:sz w:val="24"/>
          <w:szCs w:val="24"/>
        </w:rPr>
      </w:pPr>
      <w:r w:rsidRPr="00DD61CE">
        <w:rPr>
          <w:rFonts w:ascii="Garamond" w:hAnsi="Garamond"/>
          <w:sz w:val="24"/>
          <w:szCs w:val="24"/>
        </w:rPr>
        <w:t>According to analysis of SmartForm data from the pilot period:</w:t>
      </w:r>
    </w:p>
    <w:p w14:paraId="3E09057E" w14:textId="77777777" w:rsidR="007A60A4" w:rsidRPr="00DD61CE" w:rsidRDefault="007A60A4" w:rsidP="007A60A4">
      <w:pPr>
        <w:pStyle w:val="06Bulletsonelongsentence"/>
      </w:pPr>
      <w:r w:rsidRPr="00DD61CE">
        <w:t>579 reports (69% of total reports) were forwarded onto the patient’s GP with:</w:t>
      </w:r>
    </w:p>
    <w:p w14:paraId="61080015" w14:textId="77777777" w:rsidR="007A60A4" w:rsidRPr="00DD61CE" w:rsidRDefault="007A60A4" w:rsidP="00DD61CE">
      <w:pPr>
        <w:pStyle w:val="07Bullets2ndlevelonelongsentence"/>
      </w:pPr>
      <w:r w:rsidRPr="00DD61CE">
        <w:t xml:space="preserve">152 reports (18%) requesting that the GP consider the recommendations made; and </w:t>
      </w:r>
    </w:p>
    <w:p w14:paraId="77A7BA31" w14:textId="77777777" w:rsidR="00DD61CE" w:rsidRPr="00DD61CE" w:rsidRDefault="007A60A4" w:rsidP="00DD61CE">
      <w:pPr>
        <w:pStyle w:val="07Bullets2ndlevelonelongsentence"/>
      </w:pPr>
      <w:r w:rsidRPr="00DD61CE">
        <w:t xml:space="preserve">427 reports (51%) stating they were for the GP’s information only with no actions required. </w:t>
      </w:r>
    </w:p>
    <w:p w14:paraId="6B584275" w14:textId="789EDAF0" w:rsidR="007A60A4" w:rsidRPr="00DD61CE" w:rsidRDefault="007A60A4" w:rsidP="00DD61CE">
      <w:pPr>
        <w:pStyle w:val="08Bulletsseriesofsentences"/>
      </w:pPr>
      <w:r w:rsidRPr="00DD61CE">
        <w:t>Close to one-half (49%) of reports requested that either the patient or the GP take action or both.</w:t>
      </w:r>
    </w:p>
    <w:p w14:paraId="0142342F" w14:textId="77777777" w:rsidR="00DD61CE" w:rsidRPr="00DD61CE" w:rsidRDefault="007A60A4" w:rsidP="00DD61CE">
      <w:pPr>
        <w:pStyle w:val="06Bulletsonelongsentence"/>
      </w:pPr>
      <w:r w:rsidRPr="00DD61CE">
        <w:t xml:space="preserve">Five hundred and eighty-six (69%) reports were for the patient’s information only with no action required on behalf of the patient. </w:t>
      </w:r>
    </w:p>
    <w:p w14:paraId="08905085" w14:textId="77777777" w:rsidR="00DD61CE" w:rsidRPr="00DD61CE" w:rsidRDefault="007A60A4" w:rsidP="00DD61CE">
      <w:pPr>
        <w:pStyle w:val="06Bulletsonelongsentence"/>
      </w:pPr>
      <w:r w:rsidRPr="00DD61CE">
        <w:lastRenderedPageBreak/>
        <w:t>Of the remaining 258 reports distributed to patients</w:t>
      </w:r>
      <w:r w:rsidR="00DD61CE" w:rsidRPr="00DD61CE">
        <w:t>:</w:t>
      </w:r>
    </w:p>
    <w:p w14:paraId="3F2A2B26" w14:textId="77777777" w:rsidR="00DD61CE" w:rsidRPr="00DD61CE" w:rsidRDefault="007A60A4" w:rsidP="00DD61CE">
      <w:pPr>
        <w:pStyle w:val="07Bullets2ndlevelonelongsentence"/>
      </w:pPr>
      <w:r w:rsidRPr="00DD61CE">
        <w:t>211 (25%) requested that the patient take action as agreed in the action plan</w:t>
      </w:r>
      <w:r w:rsidR="00DD61CE" w:rsidRPr="00DD61CE">
        <w:t>;</w:t>
      </w:r>
      <w:r w:rsidRPr="00DD61CE">
        <w:t xml:space="preserve"> and </w:t>
      </w:r>
    </w:p>
    <w:p w14:paraId="7DB2AC64" w14:textId="77777777" w:rsidR="00DD61CE" w:rsidRPr="00DD61CE" w:rsidRDefault="007A60A4" w:rsidP="00DD61CE">
      <w:pPr>
        <w:pStyle w:val="07Bullets2ndlevelonelongsentence"/>
      </w:pPr>
      <w:r w:rsidRPr="00DD61CE">
        <w:t xml:space="preserve">110 (13%) requested that patients note the recommendations made to their health care professional (e.g. GP). </w:t>
      </w:r>
    </w:p>
    <w:p w14:paraId="633857C3" w14:textId="4A8C6772" w:rsidR="007A60A4" w:rsidRPr="00DD61CE" w:rsidRDefault="007A60A4" w:rsidP="00DD61CE">
      <w:pPr>
        <w:pStyle w:val="06Bulletsonelongsentence"/>
      </w:pPr>
      <w:r w:rsidRPr="00DD61CE">
        <w:t xml:space="preserve">Sixty-three reports distributed to patients requested that they both take action as agreed in the action plan and that they note the recommendations made to their health care professional. </w:t>
      </w:r>
    </w:p>
    <w:p w14:paraId="3D3AF0BE" w14:textId="038BB015" w:rsidR="00865369" w:rsidRPr="00865369" w:rsidRDefault="00865369" w:rsidP="00DD61CE">
      <w:pPr>
        <w:pStyle w:val="06Bulletsonelongsentence"/>
      </w:pPr>
      <w:r w:rsidRPr="00DD61CE">
        <w:t xml:space="preserve">A total of 551 reports (65% of all reports) </w:t>
      </w:r>
      <w:r w:rsidRPr="00DD61CE">
        <w:rPr>
          <w:i/>
          <w:iCs/>
        </w:rPr>
        <w:t xml:space="preserve">did not </w:t>
      </w:r>
      <w:r w:rsidRPr="00DD61CE">
        <w:t xml:space="preserve">require action by the patient or GP and appear to be purely for informational purposes and the remainder (35%) </w:t>
      </w:r>
      <w:r w:rsidRPr="00DD61CE">
        <w:rPr>
          <w:i/>
          <w:iCs/>
        </w:rPr>
        <w:t xml:space="preserve">did </w:t>
      </w:r>
      <w:r w:rsidRPr="00DD61CE">
        <w:t>require action or consideration.</w:t>
      </w:r>
    </w:p>
    <w:p w14:paraId="19327D05" w14:textId="77777777" w:rsidR="00865369" w:rsidRPr="000D647D" w:rsidRDefault="00865369" w:rsidP="005D1417">
      <w:pPr>
        <w:pStyle w:val="02Bodytextbeforesingle-sentencebullets"/>
      </w:pPr>
      <w:r w:rsidRPr="00865369">
        <w:t>The evaluation did not assess the rate with which GPs actioned pharmacists’ recommendations, effecting changes in medication regimens and potentially changes in clinical outcomes, as stated in the patient’s individualised report</w:t>
      </w:r>
      <w:r w:rsidR="00756837">
        <w:t xml:space="preserve">.  </w:t>
      </w:r>
      <w:r w:rsidR="000D647D">
        <w:t>However, t</w:t>
      </w:r>
      <w:r w:rsidRPr="00865369">
        <w:t xml:space="preserve">he evaluation </w:t>
      </w:r>
      <w:r w:rsidR="000D647D">
        <w:t xml:space="preserve">did find </w:t>
      </w:r>
      <w:r w:rsidRPr="00865369">
        <w:t>that the services provided valuable education to patients, as assessed via patient survey, but did not necessarily change behaviour.</w:t>
      </w:r>
    </w:p>
    <w:p w14:paraId="40F2F40B" w14:textId="01131675" w:rsidR="00865369" w:rsidRPr="005D1417" w:rsidRDefault="00865369" w:rsidP="005D1417">
      <w:pPr>
        <w:pStyle w:val="06Bulletsonelongsentence"/>
      </w:pPr>
      <w:r w:rsidRPr="00865369">
        <w:t>24 patients (26%) indicated that they had made changes to the way they managed their medicines (i.e</w:t>
      </w:r>
      <w:r w:rsidR="00756837">
        <w:t xml:space="preserve">.  </w:t>
      </w:r>
      <w:r w:rsidRPr="005D1417">
        <w:t>taken action)</w:t>
      </w:r>
      <w:r w:rsidR="00DD61CE" w:rsidRPr="005D1417">
        <w:t>;</w:t>
      </w:r>
    </w:p>
    <w:p w14:paraId="438931EC" w14:textId="29EE931F" w:rsidR="00865369" w:rsidRPr="005D1417" w:rsidRDefault="00946704" w:rsidP="005D1417">
      <w:pPr>
        <w:pStyle w:val="06Bulletsonelongsentence"/>
      </w:pPr>
      <w:r w:rsidRPr="005D1417">
        <w:t>n</w:t>
      </w:r>
      <w:r w:rsidR="00865369" w:rsidRPr="005D1417">
        <w:t>ine patients reported approaching another health care professional and only six more intended to, as recommended by the pharmacist</w:t>
      </w:r>
      <w:r w:rsidR="00DD61CE" w:rsidRPr="005D1417">
        <w:t xml:space="preserve">; </w:t>
      </w:r>
    </w:p>
    <w:p w14:paraId="1B94CDBC" w14:textId="73545CFA" w:rsidR="00DD61CE" w:rsidRPr="005D1417" w:rsidRDefault="00A105F1" w:rsidP="005D1417">
      <w:pPr>
        <w:pStyle w:val="06Bulletsonelongsentence"/>
      </w:pPr>
      <w:r w:rsidRPr="005D1417">
        <w:t>69%</w:t>
      </w:r>
      <w:r w:rsidR="00865369" w:rsidRPr="005D1417">
        <w:t xml:space="preserve"> of respondents to the </w:t>
      </w:r>
      <w:r w:rsidR="00946704" w:rsidRPr="005D1417">
        <w:t>p</w:t>
      </w:r>
      <w:r w:rsidR="00865369" w:rsidRPr="005D1417">
        <w:t xml:space="preserve">atient </w:t>
      </w:r>
      <w:r w:rsidR="0095407F" w:rsidRPr="005D1417">
        <w:t>s</w:t>
      </w:r>
      <w:r w:rsidR="00865369" w:rsidRPr="005D1417">
        <w:t>urvey reported that the pharmacist was happy with how they managed their medicines and</w:t>
      </w:r>
      <w:r w:rsidR="00946704" w:rsidRPr="005D1417">
        <w:t xml:space="preserve"> no changes were necessary, and</w:t>
      </w:r>
    </w:p>
    <w:p w14:paraId="014D021B" w14:textId="7FA4BD19" w:rsidR="00865369" w:rsidRPr="005D1417" w:rsidRDefault="00865369" w:rsidP="005D1417">
      <w:pPr>
        <w:pStyle w:val="06Bulletsonelongsentence"/>
      </w:pPr>
      <w:r w:rsidRPr="005D1417">
        <w:t>76% of respondents reported that they had not approached another health care provider as their pharmacist had not recommended it</w:t>
      </w:r>
      <w:r w:rsidR="00DD61CE" w:rsidRPr="005D1417">
        <w:t>.</w:t>
      </w:r>
      <w:r w:rsidRPr="005D1417">
        <w:t xml:space="preserve"> </w:t>
      </w:r>
    </w:p>
    <w:p w14:paraId="02567159" w14:textId="3EDAA4FC" w:rsidR="00865369" w:rsidRPr="00865369" w:rsidRDefault="00865369" w:rsidP="0017652F">
      <w:pPr>
        <w:pStyle w:val="01BODYTEXT"/>
      </w:pPr>
      <w:r w:rsidRPr="00865369">
        <w:t xml:space="preserve">Consistent with this finding, the </w:t>
      </w:r>
      <w:r w:rsidR="00FE6D2C">
        <w:t>p</w:t>
      </w:r>
      <w:r w:rsidRPr="00865369">
        <w:t xml:space="preserve">atient </w:t>
      </w:r>
      <w:r w:rsidR="00FE6D2C">
        <w:t>s</w:t>
      </w:r>
      <w:r w:rsidRPr="00865369">
        <w:t xml:space="preserve">urvey data </w:t>
      </w:r>
      <w:r w:rsidR="00E44705">
        <w:t xml:space="preserve">(n=96) </w:t>
      </w:r>
      <w:r w:rsidRPr="00865369">
        <w:t>indicate</w:t>
      </w:r>
      <w:r w:rsidR="0017652F">
        <w:t>d</w:t>
      </w:r>
      <w:r w:rsidRPr="00865369">
        <w:t xml:space="preserve"> that prior to their MedsCheck or Diabetes MedsCheck service:</w:t>
      </w:r>
    </w:p>
    <w:p w14:paraId="494704E7" w14:textId="77777777" w:rsidR="00865369" w:rsidRPr="00865369" w:rsidRDefault="00865369" w:rsidP="00A22A7F">
      <w:pPr>
        <w:pStyle w:val="06Bulletsonelongsentence"/>
        <w:numPr>
          <w:ilvl w:val="0"/>
          <w:numId w:val="18"/>
        </w:numPr>
        <w:spacing w:before="120"/>
        <w:ind w:left="357" w:hanging="357"/>
      </w:pPr>
      <w:r w:rsidRPr="00865369">
        <w:t>84% of patients reported that they were taking their medicine(s) correctly as prescribed by their doctor;</w:t>
      </w:r>
    </w:p>
    <w:p w14:paraId="4493DF47" w14:textId="77777777" w:rsidR="00865369" w:rsidRPr="00865369" w:rsidRDefault="00865369" w:rsidP="00A22A7F">
      <w:pPr>
        <w:pStyle w:val="06Bulletsonelongsentence"/>
        <w:numPr>
          <w:ilvl w:val="0"/>
          <w:numId w:val="18"/>
        </w:numPr>
        <w:spacing w:before="120"/>
        <w:ind w:left="357" w:hanging="357"/>
      </w:pPr>
      <w:r w:rsidRPr="00865369">
        <w:t>20% of patients sometimes became confused about when to take their medicine(s) or sometimes forgot to take their medicine(s) (8% of patients reported that they were both taking their medicine(s) correctly and that they sometimes became confused about when to take their medicine(s) or forgot to take their medicines);</w:t>
      </w:r>
    </w:p>
    <w:p w14:paraId="77E991B6" w14:textId="77777777" w:rsidR="00865369" w:rsidRPr="00865369" w:rsidRDefault="00865369" w:rsidP="00A22A7F">
      <w:pPr>
        <w:pStyle w:val="06Bulletsonelongsentence"/>
        <w:numPr>
          <w:ilvl w:val="0"/>
          <w:numId w:val="18"/>
        </w:numPr>
        <w:spacing w:before="120"/>
        <w:ind w:left="357" w:hanging="357"/>
      </w:pPr>
      <w:r w:rsidRPr="00865369">
        <w:t>8% of patients were unsure if they were taking their medicine(s) correctly; and</w:t>
      </w:r>
    </w:p>
    <w:p w14:paraId="5687FB09" w14:textId="77777777" w:rsidR="00865369" w:rsidRPr="00865369" w:rsidRDefault="00865369" w:rsidP="00A22A7F">
      <w:pPr>
        <w:pStyle w:val="06Bulletsonelongsentence"/>
        <w:numPr>
          <w:ilvl w:val="0"/>
          <w:numId w:val="18"/>
        </w:numPr>
        <w:spacing w:before="120"/>
        <w:ind w:left="357" w:hanging="357"/>
      </w:pPr>
      <w:r w:rsidRPr="00865369">
        <w:t>3% were unsure if they were using their puffer correctly.</w:t>
      </w:r>
    </w:p>
    <w:p w14:paraId="39B6754A" w14:textId="77777777" w:rsidR="00865369" w:rsidRPr="00865369" w:rsidRDefault="00865369" w:rsidP="00E44705">
      <w:pPr>
        <w:pStyle w:val="01BODYTEXT"/>
      </w:pPr>
      <w:r w:rsidRPr="00865369">
        <w:t>This theme was further explored during patient interviews</w:t>
      </w:r>
      <w:r w:rsidR="00756837">
        <w:t xml:space="preserve">.  </w:t>
      </w:r>
      <w:r w:rsidRPr="00865369">
        <w:t>Seven of the eight patients interviewed did not have any issues or concerns with managing their medicines prior to their MedsCheck or Diabetes MedsCheck service</w:t>
      </w:r>
      <w:r w:rsidR="00756837">
        <w:t xml:space="preserve">.  </w:t>
      </w:r>
      <w:r w:rsidR="00124B41">
        <w:t>O</w:t>
      </w:r>
      <w:r w:rsidRPr="00865369">
        <w:t>ne patient reported being concerned about the side effects of her medicines and potential interactions between her medicines</w:t>
      </w:r>
      <w:r w:rsidR="00756837">
        <w:t xml:space="preserve">.  </w:t>
      </w:r>
      <w:r w:rsidRPr="00865369">
        <w:t>Seven patients appeared to be adherent with their medicines with six stating that they had some kind of system in place to manage their medicines such as a pre-packed dosette box or morning and evening containers</w:t>
      </w:r>
      <w:r w:rsidR="00756837">
        <w:t xml:space="preserve">.  </w:t>
      </w:r>
      <w:r w:rsidRPr="00865369">
        <w:t>One patient stated that they occasionally forgot to take their medicines when visiting friends but this was not frequent.</w:t>
      </w:r>
    </w:p>
    <w:p w14:paraId="27BE7CBD" w14:textId="77777777" w:rsidR="00865369" w:rsidRDefault="00865369" w:rsidP="00865369">
      <w:pPr>
        <w:pStyle w:val="BodyText"/>
      </w:pPr>
      <w:r w:rsidRPr="00865369">
        <w:t>Further reinforcing that the service was used mainly for the transfer of information, seven of the eight patients interviewed stated that the pharmacist did not suggest they make any changes to the way they manage their medicines or that they visit another health care professional</w:t>
      </w:r>
      <w:r w:rsidR="00756837">
        <w:t xml:space="preserve">.  </w:t>
      </w:r>
      <w:r w:rsidR="00124B41">
        <w:t>O</w:t>
      </w:r>
      <w:r w:rsidRPr="00865369">
        <w:t>ne patient interviewed reported visiting their GP and making changes to their medicines directly as a result of the service.</w:t>
      </w:r>
    </w:p>
    <w:p w14:paraId="51C424DE" w14:textId="77777777" w:rsidR="00865369" w:rsidRDefault="00865369" w:rsidP="00865369">
      <w:pPr>
        <w:pStyle w:val="Heading3"/>
        <w:ind w:left="567" w:hanging="567"/>
      </w:pPr>
      <w:r w:rsidRPr="00B244A2">
        <w:lastRenderedPageBreak/>
        <w:t>Health care resource use</w:t>
      </w:r>
    </w:p>
    <w:p w14:paraId="6CC73A0E" w14:textId="0267A6BA" w:rsidR="00865369" w:rsidRPr="001E21B1" w:rsidRDefault="00865369" w:rsidP="00865369">
      <w:pPr>
        <w:pStyle w:val="02Bodytextbeforesingle-sentencebullets"/>
      </w:pPr>
      <w:r w:rsidRPr="001E21B1">
        <w:t>Between 25</w:t>
      </w:r>
      <w:r w:rsidR="005D1417" w:rsidRPr="005D1417">
        <w:rPr>
          <w:vertAlign w:val="superscript"/>
        </w:rPr>
        <w:t>th</w:t>
      </w:r>
      <w:r w:rsidR="005D1417">
        <w:t xml:space="preserve"> </w:t>
      </w:r>
      <w:r w:rsidRPr="001E21B1">
        <w:t>August 2011 and 31</w:t>
      </w:r>
      <w:r w:rsidR="005D1417" w:rsidRPr="005D1417">
        <w:rPr>
          <w:vertAlign w:val="superscript"/>
        </w:rPr>
        <w:t>st</w:t>
      </w:r>
      <w:r w:rsidR="005D1417">
        <w:t xml:space="preserve"> </w:t>
      </w:r>
      <w:r w:rsidRPr="001E21B1">
        <w:t xml:space="preserve"> March 2012, the </w:t>
      </w:r>
      <w:r>
        <w:t>evaluators found that</w:t>
      </w:r>
      <w:r w:rsidRPr="001E21B1">
        <w:t xml:space="preserve"> 31% of recruited pharmacies delivered at least one service, that is, 89 pharmacies delivered 695 MedsCheck services and approximately 149 Diabetes MedsCheck services</w:t>
      </w:r>
      <w:r w:rsidR="00756837">
        <w:t xml:space="preserve">.  </w:t>
      </w:r>
      <w:r w:rsidRPr="001E21B1">
        <w:t xml:space="preserve">In other words: </w:t>
      </w:r>
    </w:p>
    <w:p w14:paraId="320B0A05" w14:textId="3BEBEC2D" w:rsidR="00865369" w:rsidRPr="001E21B1" w:rsidRDefault="00342159" w:rsidP="00BD778F">
      <w:pPr>
        <w:pStyle w:val="06Bulletsonelongsentence"/>
        <w:numPr>
          <w:ilvl w:val="0"/>
          <w:numId w:val="18"/>
        </w:numPr>
        <w:spacing w:before="120"/>
        <w:ind w:left="357" w:hanging="357"/>
      </w:pPr>
      <w:r>
        <w:t>a</w:t>
      </w:r>
      <w:r w:rsidR="00865369" w:rsidRPr="001E21B1">
        <w:t xml:space="preserve">pproximately 13 MedsCheck services were delivered per pharmacy per year; and </w:t>
      </w:r>
    </w:p>
    <w:p w14:paraId="6C8C410C" w14:textId="5D73D069" w:rsidR="00865369" w:rsidRPr="001E21B1" w:rsidRDefault="00342159" w:rsidP="00A22A7F">
      <w:pPr>
        <w:pStyle w:val="06Bulletsonelongsentence"/>
        <w:numPr>
          <w:ilvl w:val="0"/>
          <w:numId w:val="18"/>
        </w:numPr>
        <w:spacing w:before="120"/>
        <w:ind w:left="357" w:hanging="357"/>
      </w:pPr>
      <w:r>
        <w:t>t</w:t>
      </w:r>
      <w:r w:rsidR="00865369" w:rsidRPr="001E21B1">
        <w:t>hree Diabetes MedsCheck services were delivered per pharmacy per year</w:t>
      </w:r>
      <w:r w:rsidR="00756837">
        <w:t xml:space="preserve">.  </w:t>
      </w:r>
    </w:p>
    <w:p w14:paraId="6620340E" w14:textId="2B39A7D5" w:rsidR="00865369" w:rsidRPr="001E21B1" w:rsidRDefault="00865369" w:rsidP="00342159">
      <w:pPr>
        <w:pStyle w:val="01BODYTEXT"/>
      </w:pPr>
      <w:r>
        <w:t xml:space="preserve">The evaluators identified that </w:t>
      </w:r>
      <w:r w:rsidRPr="001E21B1">
        <w:t>if all pharmacies across Australia</w:t>
      </w:r>
      <w:r w:rsidR="00F553B5">
        <w:rPr>
          <w:rStyle w:val="FootnoteReference"/>
        </w:rPr>
        <w:footnoteReference w:id="5"/>
      </w:r>
      <w:r>
        <w:t>,</w:t>
      </w:r>
      <w:r w:rsidRPr="001E21B1">
        <w:t xml:space="preserve"> during </w:t>
      </w:r>
      <w:r>
        <w:t xml:space="preserve">the national roll-out, </w:t>
      </w:r>
      <w:r w:rsidRPr="001E21B1">
        <w:t>provide</w:t>
      </w:r>
      <w:r>
        <w:t>d</w:t>
      </w:r>
      <w:r w:rsidRPr="001E21B1">
        <w:t xml:space="preserve"> services at the rate</w:t>
      </w:r>
      <w:r w:rsidR="00342159">
        <w:t xml:space="preserve"> calculated above then </w:t>
      </w:r>
      <w:r w:rsidRPr="001E21B1">
        <w:t>67,977 MedsCheck services and 15,687 Diabetes MedsCheck services would be provided in any 12 month period</w:t>
      </w:r>
      <w:r w:rsidR="00756837">
        <w:t xml:space="preserve">.  </w:t>
      </w:r>
      <w:r w:rsidRPr="001E21B1">
        <w:t xml:space="preserve">The evaluators </w:t>
      </w:r>
      <w:r>
        <w:t>recogni</w:t>
      </w:r>
      <w:r w:rsidR="00342159">
        <w:t>s</w:t>
      </w:r>
      <w:r>
        <w:t>ed</w:t>
      </w:r>
      <w:r w:rsidRPr="001E21B1">
        <w:t xml:space="preserve"> that this was significantly below the number of services for which funding was allocated</w:t>
      </w:r>
      <w:r w:rsidR="00756837">
        <w:t xml:space="preserve">.  </w:t>
      </w:r>
    </w:p>
    <w:p w14:paraId="6F66BCDA" w14:textId="77777777" w:rsidR="003A21BA" w:rsidRDefault="003A21BA" w:rsidP="003A21BA">
      <w:pPr>
        <w:pStyle w:val="Heading3"/>
        <w:ind w:left="567" w:hanging="567"/>
      </w:pPr>
      <w:r>
        <w:t>Patient acceptance/satisfaction</w:t>
      </w:r>
    </w:p>
    <w:p w14:paraId="5367FC44" w14:textId="11577D30" w:rsidR="003A21BA" w:rsidRDefault="003A21BA" w:rsidP="003A21BA">
      <w:pPr>
        <w:pStyle w:val="BodyText"/>
      </w:pPr>
      <w:r>
        <w:t xml:space="preserve">Ninety-eight percent of patients responding to the relevant questions in the </w:t>
      </w:r>
      <w:r w:rsidR="00342159">
        <w:t>p</w:t>
      </w:r>
      <w:r>
        <w:t xml:space="preserve">atient </w:t>
      </w:r>
      <w:r w:rsidR="00342159">
        <w:t>s</w:t>
      </w:r>
      <w:r>
        <w:t>urvey agreed or strongly agreed that the information provided by the pharmacist during the MedsCheck or Diabetes MedsCheck consultation was useful</w:t>
      </w:r>
      <w:r w:rsidR="00756837">
        <w:t xml:space="preserve">.  </w:t>
      </w:r>
    </w:p>
    <w:p w14:paraId="5745AD52" w14:textId="012480F4" w:rsidR="003A21BA" w:rsidRDefault="003A21BA" w:rsidP="003A21BA">
      <w:pPr>
        <w:pStyle w:val="BodyText"/>
      </w:pPr>
      <w:r>
        <w:t>In addition, 97% reported that they were satisfied with the service provided and 96% would recommend the MedsCheck or Diabetes MedsCheck service to others</w:t>
      </w:r>
      <w:r w:rsidR="00756837">
        <w:t xml:space="preserve">.  </w:t>
      </w:r>
    </w:p>
    <w:p w14:paraId="2716FCDB" w14:textId="77777777" w:rsidR="003A21BA" w:rsidRDefault="003A21BA" w:rsidP="00342159">
      <w:pPr>
        <w:pStyle w:val="02Bodytextbeforesingle-sentencebullets"/>
      </w:pPr>
      <w:r>
        <w:t>Almost all patients agreed or strongly agreed that they benefited in the following ways:</w:t>
      </w:r>
    </w:p>
    <w:p w14:paraId="37EF1DC6" w14:textId="52BC0701" w:rsidR="003A21BA" w:rsidRPr="00342159" w:rsidRDefault="00342159" w:rsidP="00342159">
      <w:pPr>
        <w:pStyle w:val="06Bulletsonelongsentence"/>
      </w:pPr>
      <w:r w:rsidRPr="00342159">
        <w:t>i</w:t>
      </w:r>
      <w:r w:rsidR="003A21BA" w:rsidRPr="00342159">
        <w:t>ncreased confidence in the w</w:t>
      </w:r>
      <w:r w:rsidR="0095407F">
        <w:t>ay they manage their medicines;</w:t>
      </w:r>
    </w:p>
    <w:p w14:paraId="6B5601F4" w14:textId="608869D6" w:rsidR="003A21BA" w:rsidRPr="00342159" w:rsidRDefault="00342159" w:rsidP="00342159">
      <w:pPr>
        <w:pStyle w:val="06Bulletsonelongsentence"/>
      </w:pPr>
      <w:r w:rsidRPr="00342159">
        <w:t>b</w:t>
      </w:r>
      <w:r w:rsidR="003A21BA" w:rsidRPr="00342159">
        <w:t xml:space="preserve">etter understanding of the conditions their medicines treat; </w:t>
      </w:r>
    </w:p>
    <w:p w14:paraId="5D95E35A" w14:textId="719181CE" w:rsidR="003A21BA" w:rsidRPr="00342159" w:rsidRDefault="00342159" w:rsidP="00342159">
      <w:pPr>
        <w:pStyle w:val="06Bulletsonelongsentence"/>
      </w:pPr>
      <w:r w:rsidRPr="00342159">
        <w:t>b</w:t>
      </w:r>
      <w:r w:rsidR="003A21BA" w:rsidRPr="00342159">
        <w:t>etter understanding about the s</w:t>
      </w:r>
      <w:r w:rsidR="0095407F">
        <w:t>ide effects of their medicines;</w:t>
      </w:r>
    </w:p>
    <w:p w14:paraId="5A3FDB52" w14:textId="5CDF1875" w:rsidR="003A21BA" w:rsidRPr="00342159" w:rsidRDefault="00342159" w:rsidP="00342159">
      <w:pPr>
        <w:pStyle w:val="06Bulletsonelongsentence"/>
      </w:pPr>
      <w:r w:rsidRPr="00342159">
        <w:t>b</w:t>
      </w:r>
      <w:r w:rsidR="003A21BA" w:rsidRPr="00342159">
        <w:t>etter understanding about which medicines/other health products/foods</w:t>
      </w:r>
      <w:r w:rsidR="0095407F">
        <w:t xml:space="preserve"> to avoid with their medicines;</w:t>
      </w:r>
    </w:p>
    <w:p w14:paraId="5ECDBAA5" w14:textId="6C47C1AA" w:rsidR="003A21BA" w:rsidRPr="00342159" w:rsidRDefault="00342159" w:rsidP="00342159">
      <w:pPr>
        <w:pStyle w:val="06Bulletsonelongsentence"/>
      </w:pPr>
      <w:r w:rsidRPr="00342159">
        <w:t>b</w:t>
      </w:r>
      <w:r w:rsidR="003A21BA" w:rsidRPr="00342159">
        <w:t>etter understanding of medicines storage in the home; and</w:t>
      </w:r>
    </w:p>
    <w:p w14:paraId="157E2E53" w14:textId="01ED187C" w:rsidR="003A21BA" w:rsidRPr="00342159" w:rsidRDefault="00342159" w:rsidP="00342159">
      <w:pPr>
        <w:pStyle w:val="06Bulletsonelongsentence"/>
      </w:pPr>
      <w:r w:rsidRPr="00342159">
        <w:t>o</w:t>
      </w:r>
      <w:r w:rsidR="003A21BA" w:rsidRPr="00342159">
        <w:t>verall feeling that the service benefited them</w:t>
      </w:r>
      <w:r w:rsidR="0095407F">
        <w:t>.</w:t>
      </w:r>
    </w:p>
    <w:p w14:paraId="24C3EC96" w14:textId="77777777" w:rsidR="003A21BA" w:rsidRDefault="003A21BA" w:rsidP="003A21BA">
      <w:pPr>
        <w:pStyle w:val="Heading3"/>
        <w:ind w:left="567" w:hanging="567"/>
      </w:pPr>
      <w:r>
        <w:t>Cost of the service</w:t>
      </w:r>
    </w:p>
    <w:p w14:paraId="0B580672" w14:textId="77777777" w:rsidR="003A21BA" w:rsidRDefault="003A21BA" w:rsidP="003A21BA">
      <w:pPr>
        <w:pStyle w:val="BodyText"/>
      </w:pPr>
      <w:r w:rsidRPr="00F74899">
        <w:t>For the national roll-out of the MedsCheck and Diabetes MedsCheck program, the 5CPA provides for funding across Australia of $29.6 million for MedsCheck service provision and $12.2 million for Diabetes MedsCheck service provision</w:t>
      </w:r>
      <w:r w:rsidR="00756837">
        <w:t xml:space="preserve">.  </w:t>
      </w:r>
      <w:r w:rsidRPr="00F74899">
        <w:t>This is sufficient funding for approximately 120,000 MedsCheck services per year and 33,750 Diabetes MedsCheck services per year over the next four years of the agreement</w:t>
      </w:r>
      <w:r w:rsidR="00756837">
        <w:t xml:space="preserve">.  </w:t>
      </w:r>
    </w:p>
    <w:p w14:paraId="4AFBEF9F" w14:textId="5203DFCA" w:rsidR="003A21BA" w:rsidRDefault="003A21BA" w:rsidP="003A21BA">
      <w:pPr>
        <w:pStyle w:val="BodyText"/>
      </w:pPr>
      <w:r>
        <w:t xml:space="preserve">The cost of services </w:t>
      </w:r>
      <w:r w:rsidR="00C579A4">
        <w:t xml:space="preserve">incurred </w:t>
      </w:r>
      <w:r>
        <w:t xml:space="preserve">within the </w:t>
      </w:r>
      <w:r w:rsidR="00C579A4">
        <w:t xml:space="preserve">pilot </w:t>
      </w:r>
      <w:r>
        <w:t>period</w:t>
      </w:r>
      <w:r w:rsidR="00342159">
        <w:t xml:space="preserve"> </w:t>
      </w:r>
      <w:r w:rsidR="00C579A4">
        <w:t xml:space="preserve">were not reported in the </w:t>
      </w:r>
      <w:r>
        <w:t>evaluation</w:t>
      </w:r>
      <w:r w:rsidR="00C579A4">
        <w:t xml:space="preserve"> report.</w:t>
      </w:r>
      <w:r w:rsidR="00756837">
        <w:t xml:space="preserve">  </w:t>
      </w:r>
      <w:r w:rsidR="004569E5">
        <w:t>A cost-effectiveness analysis was also not conducted as part of the evaluation.</w:t>
      </w:r>
    </w:p>
    <w:p w14:paraId="3E24870C" w14:textId="1D75638E" w:rsidR="003A21BA" w:rsidRDefault="003A21BA" w:rsidP="003A21BA">
      <w:pPr>
        <w:pStyle w:val="BodyText"/>
      </w:pPr>
      <w:r>
        <w:t>The evaluators identified that g</w:t>
      </w:r>
      <w:r w:rsidR="00826B93">
        <w:t xml:space="preserve">iven that the MedsCheck </w:t>
      </w:r>
      <w:r w:rsidR="00476D4D">
        <w:t>p</w:t>
      </w:r>
      <w:r w:rsidRPr="00CF3240">
        <w:t>rogram</w:t>
      </w:r>
      <w:r w:rsidR="00826B93">
        <w:t>me</w:t>
      </w:r>
      <w:r w:rsidRPr="00CF3240">
        <w:t xml:space="preserve"> is still in its pilot stage, pharmacists may not have invested in permanent infrastructure and estimates of infrastructure costs associated with services may therefore understate the potential set up costs associated with provision of the services</w:t>
      </w:r>
      <w:r w:rsidR="00756837">
        <w:t xml:space="preserve">.  </w:t>
      </w:r>
      <w:r>
        <w:t>According to the evaluators, T</w:t>
      </w:r>
      <w:r w:rsidRPr="00CF3240">
        <w:t>he Guild stated that with the national roll-out, there may be a number of fixed costs that pharmacies would possibly incur, including, software upgrades, purchase of hardware such as an additional laptop, and creation of a space in which the service would be provided</w:t>
      </w:r>
      <w:r w:rsidR="00756837">
        <w:t xml:space="preserve">.  </w:t>
      </w:r>
    </w:p>
    <w:p w14:paraId="5E195E92" w14:textId="77777777" w:rsidR="008D241F" w:rsidRPr="00CB393E" w:rsidRDefault="008D241F" w:rsidP="00CB393E">
      <w:pPr>
        <w:pStyle w:val="Heading3"/>
      </w:pPr>
      <w:bookmarkStart w:id="37" w:name="_Toc474138459"/>
      <w:r w:rsidRPr="00CB393E">
        <w:lastRenderedPageBreak/>
        <w:t>Conclusion</w:t>
      </w:r>
      <w:bookmarkEnd w:id="37"/>
    </w:p>
    <w:p w14:paraId="0E4DF6E9" w14:textId="42821462" w:rsidR="008B3350" w:rsidRDefault="008D241F" w:rsidP="00CB393E">
      <w:pPr>
        <w:pStyle w:val="01BODYTEXT"/>
      </w:pPr>
      <w:r w:rsidRPr="00F60A17">
        <w:t xml:space="preserve">The </w:t>
      </w:r>
      <w:r w:rsidR="008B3350">
        <w:t>evaluation found that, b</w:t>
      </w:r>
      <w:r w:rsidR="008B3350" w:rsidRPr="008B3350">
        <w:t>roadly consistent with the original objectives of the program, patient benefits were realised through acquiring an increased understanding of their medicines relating to indication, dosing, side effects, interactions and storage</w:t>
      </w:r>
      <w:r w:rsidR="00756837">
        <w:t xml:space="preserve">.  </w:t>
      </w:r>
      <w:r w:rsidR="008B3350" w:rsidRPr="008B3350">
        <w:t>Patient benefit was the main reason that pharmacists who had provided the service would deliver services in future, as well as positive patient response and use of their professional knowledge and skills</w:t>
      </w:r>
      <w:r w:rsidR="00756837">
        <w:t xml:space="preserve">.  </w:t>
      </w:r>
    </w:p>
    <w:p w14:paraId="60060363" w14:textId="477A8394" w:rsidR="008D241F" w:rsidRDefault="008D241F" w:rsidP="00CB393E">
      <w:pPr>
        <w:pStyle w:val="01BODYTEXT"/>
      </w:pPr>
      <w:r>
        <w:t xml:space="preserve">The </w:t>
      </w:r>
      <w:r w:rsidR="008B3350" w:rsidRPr="008B3350">
        <w:t>following recommendations were made for the national roll-out of the MedsCheck program</w:t>
      </w:r>
      <w:r w:rsidR="00FB73B2">
        <w:t>s</w:t>
      </w:r>
      <w:r w:rsidR="008B3350" w:rsidRPr="008B3350">
        <w:t>:</w:t>
      </w:r>
    </w:p>
    <w:p w14:paraId="61BCD663" w14:textId="379F369F" w:rsidR="008B3350" w:rsidRPr="002D1FDC" w:rsidRDefault="004569E5" w:rsidP="00A22A7F">
      <w:pPr>
        <w:pStyle w:val="06Bulletsonelongsentence"/>
        <w:numPr>
          <w:ilvl w:val="0"/>
          <w:numId w:val="18"/>
        </w:numPr>
        <w:spacing w:before="120"/>
        <w:ind w:left="357" w:hanging="357"/>
      </w:pPr>
      <w:r>
        <w:t>e</w:t>
      </w:r>
      <w:r w:rsidR="008B3350" w:rsidRPr="002D1FDC">
        <w:t xml:space="preserve">ligibility criteria for the program should remain the same; </w:t>
      </w:r>
    </w:p>
    <w:p w14:paraId="2479839C" w14:textId="66A00BAC" w:rsidR="008B3350" w:rsidRPr="002D1FDC" w:rsidRDefault="004569E5" w:rsidP="00A22A7F">
      <w:pPr>
        <w:pStyle w:val="06Bulletsonelongsentence"/>
        <w:numPr>
          <w:ilvl w:val="0"/>
          <w:numId w:val="18"/>
        </w:numPr>
        <w:spacing w:before="120"/>
        <w:ind w:left="357" w:hanging="357"/>
      </w:pPr>
      <w:r>
        <w:t>m</w:t>
      </w:r>
      <w:r w:rsidR="008B3350" w:rsidRPr="002D1FDC">
        <w:t xml:space="preserve">onitoring of the program should be undertaken to determine whether, on the basis of low service uptake, modifications should be made in the future; </w:t>
      </w:r>
    </w:p>
    <w:p w14:paraId="64BAC3DF" w14:textId="27216860" w:rsidR="008B3350" w:rsidRPr="002D1FDC" w:rsidRDefault="004569E5" w:rsidP="00A22A7F">
      <w:pPr>
        <w:pStyle w:val="06Bulletsonelongsentence"/>
        <w:numPr>
          <w:ilvl w:val="0"/>
          <w:numId w:val="18"/>
        </w:numPr>
        <w:spacing w:before="120"/>
        <w:ind w:left="357" w:hanging="357"/>
      </w:pPr>
      <w:r>
        <w:t>e</w:t>
      </w:r>
      <w:r w:rsidR="008B3350" w:rsidRPr="002D1FDC">
        <w:t xml:space="preserve">ducational materials should be developed, to assist in uptake of the program; </w:t>
      </w:r>
    </w:p>
    <w:p w14:paraId="6BF937CC" w14:textId="76431CD4" w:rsidR="008B3350" w:rsidRPr="002D1FDC" w:rsidRDefault="004569E5" w:rsidP="00A22A7F">
      <w:pPr>
        <w:pStyle w:val="06Bulletsonelongsentence"/>
        <w:numPr>
          <w:ilvl w:val="0"/>
          <w:numId w:val="18"/>
        </w:numPr>
        <w:spacing w:before="120"/>
        <w:ind w:left="357" w:hanging="357"/>
      </w:pPr>
      <w:r>
        <w:t>f</w:t>
      </w:r>
      <w:r w:rsidR="008B3350" w:rsidRPr="002D1FDC">
        <w:t xml:space="preserve">or future programs, consideration should be given to the format, interoperability and functionality of software used prior to programs being rolled out; and </w:t>
      </w:r>
    </w:p>
    <w:p w14:paraId="52DE7BA1" w14:textId="66B7E856" w:rsidR="008D241F" w:rsidRDefault="004569E5" w:rsidP="00A22A7F">
      <w:pPr>
        <w:pStyle w:val="06Bulletsonelongsentence"/>
        <w:numPr>
          <w:ilvl w:val="0"/>
          <w:numId w:val="18"/>
        </w:numPr>
        <w:spacing w:before="120"/>
        <w:ind w:left="357" w:hanging="357"/>
      </w:pPr>
      <w:r>
        <w:t>d</w:t>
      </w:r>
      <w:r w:rsidR="008B3350" w:rsidRPr="002D1FDC">
        <w:t>efinitions of ‘significant medical events’ should be provided to program participants to enable consistent eligibility checking and categorisation of medical events</w:t>
      </w:r>
      <w:r w:rsidR="00756837">
        <w:t xml:space="preserve">.  </w:t>
      </w:r>
    </w:p>
    <w:p w14:paraId="3C39A655" w14:textId="77777777" w:rsidR="00620F52" w:rsidRPr="008D241F" w:rsidRDefault="00620F52" w:rsidP="00620F52">
      <w:pPr>
        <w:pStyle w:val="Heading2"/>
      </w:pPr>
      <w:bookmarkStart w:id="38" w:name="_Ref462845755"/>
      <w:bookmarkStart w:id="39" w:name="_Toc474138454"/>
      <w:bookmarkStart w:id="40" w:name="_Toc474252297"/>
      <w:r w:rsidRPr="008D241F">
        <w:t>5CPA Program Combined Review by PricewaterhouseCoopers 2015</w:t>
      </w:r>
      <w:bookmarkEnd w:id="38"/>
      <w:bookmarkEnd w:id="39"/>
      <w:bookmarkEnd w:id="40"/>
    </w:p>
    <w:p w14:paraId="0AAED25D" w14:textId="2B46F1D6" w:rsidR="00235339" w:rsidRDefault="00235339" w:rsidP="00235339">
      <w:pPr>
        <w:pStyle w:val="BodyText"/>
      </w:pPr>
      <w:r>
        <w:t>The</w:t>
      </w:r>
      <w:r w:rsidR="00A53382">
        <w:t xml:space="preserve"> </w:t>
      </w:r>
      <w:r>
        <w:t>MedsCheck</w:t>
      </w:r>
      <w:r w:rsidR="00A53382">
        <w:t xml:space="preserve"> </w:t>
      </w:r>
      <w:r w:rsidR="00476D4D">
        <w:t>p</w:t>
      </w:r>
      <w:r w:rsidRPr="000F48FC">
        <w:t>rogram</w:t>
      </w:r>
      <w:r w:rsidR="00A53382">
        <w:t>me</w:t>
      </w:r>
      <w:r w:rsidRPr="000F48FC">
        <w:t xml:space="preserve"> was evaluated as part of the </w:t>
      </w:r>
      <w:r>
        <w:t xml:space="preserve">5CPA </w:t>
      </w:r>
      <w:r w:rsidR="004569E5">
        <w:t>r</w:t>
      </w:r>
      <w:r w:rsidRPr="000F48FC">
        <w:t xml:space="preserve">eview of the </w:t>
      </w:r>
      <w:r w:rsidR="00A53382">
        <w:t xml:space="preserve">MMPs </w:t>
      </w:r>
      <w:r>
        <w:t>performed by PwC in 2015</w:t>
      </w:r>
      <w:r w:rsidR="008E4F24">
        <w:rPr>
          <w:rStyle w:val="FootnoteReference"/>
        </w:rPr>
        <w:footnoteReference w:id="6"/>
      </w:r>
      <w:r w:rsidR="00756837">
        <w:t xml:space="preserve">.  </w:t>
      </w:r>
      <w:r w:rsidRPr="000F48FC">
        <w:t xml:space="preserve">The overall aim of the </w:t>
      </w:r>
      <w:r>
        <w:t xml:space="preserve">evaluation </w:t>
      </w:r>
      <w:r w:rsidRPr="000F48FC">
        <w:t xml:space="preserve">was to better inform how the 5CPA </w:t>
      </w:r>
      <w:r>
        <w:t xml:space="preserve">MMPs </w:t>
      </w:r>
      <w:r w:rsidRPr="000F48FC">
        <w:t>contribute to improving consumer health outcomes, in order to better inform future investment by the Australian Government in pharmacy programs and services</w:t>
      </w:r>
      <w:r w:rsidR="00756837">
        <w:t xml:space="preserve">.  </w:t>
      </w:r>
    </w:p>
    <w:p w14:paraId="6FC8F833" w14:textId="0A24D0D2" w:rsidR="00235339" w:rsidRPr="00B63AE5" w:rsidRDefault="00235339" w:rsidP="00B63AE5">
      <w:pPr>
        <w:pStyle w:val="01BODYTEXT"/>
        <w:rPr>
          <w:szCs w:val="24"/>
        </w:rPr>
      </w:pPr>
      <w:r w:rsidRPr="00B63AE5">
        <w:rPr>
          <w:szCs w:val="24"/>
        </w:rPr>
        <w:t xml:space="preserve">PwC evaluated the three priority areas in the </w:t>
      </w:r>
      <w:r w:rsidR="00A53382" w:rsidRPr="00B63AE5">
        <w:rPr>
          <w:szCs w:val="24"/>
        </w:rPr>
        <w:t>MMP</w:t>
      </w:r>
      <w:r w:rsidRPr="00B63AE5">
        <w:rPr>
          <w:szCs w:val="24"/>
        </w:rPr>
        <w:t>: MedsCheck/Diabetes MedsCheck, RMMR and HMR</w:t>
      </w:r>
      <w:r w:rsidR="00756837" w:rsidRPr="00B63AE5">
        <w:rPr>
          <w:szCs w:val="24"/>
        </w:rPr>
        <w:t xml:space="preserve">.  </w:t>
      </w:r>
      <w:r w:rsidRPr="00B63AE5">
        <w:rPr>
          <w:szCs w:val="24"/>
        </w:rPr>
        <w:t>The evaluation methodology involved an analysis of the program data in order to assess the uptake and volume of services delivered over the duration of the 5CPA (between 2011 and 2014), stakeholder consultations</w:t>
      </w:r>
      <w:r w:rsidR="004569E5" w:rsidRPr="00B63AE5">
        <w:rPr>
          <w:szCs w:val="24"/>
        </w:rPr>
        <w:t xml:space="preserve"> </w:t>
      </w:r>
      <w:r w:rsidR="007F64EF" w:rsidRPr="00B63AE5">
        <w:rPr>
          <w:szCs w:val="24"/>
        </w:rPr>
        <w:t>(41 consultations undertaken, with over 50 individuals)</w:t>
      </w:r>
      <w:r w:rsidRPr="00B63AE5">
        <w:rPr>
          <w:szCs w:val="24"/>
        </w:rPr>
        <w:t>, consumer focus groups</w:t>
      </w:r>
      <w:r w:rsidR="004569E5" w:rsidRPr="00B63AE5">
        <w:rPr>
          <w:szCs w:val="24"/>
        </w:rPr>
        <w:t xml:space="preserve"> (</w:t>
      </w:r>
      <w:r w:rsidR="007F64EF" w:rsidRPr="00B63AE5">
        <w:rPr>
          <w:szCs w:val="24"/>
        </w:rPr>
        <w:t>6 focus groups conducted with 44 participants</w:t>
      </w:r>
      <w:r w:rsidR="004569E5" w:rsidRPr="00B63AE5">
        <w:rPr>
          <w:szCs w:val="24"/>
        </w:rPr>
        <w:t>)</w:t>
      </w:r>
      <w:r w:rsidRPr="00B63AE5">
        <w:rPr>
          <w:szCs w:val="24"/>
        </w:rPr>
        <w:t>, practitioner focus groups</w:t>
      </w:r>
      <w:r w:rsidR="004569E5" w:rsidRPr="00B63AE5">
        <w:rPr>
          <w:szCs w:val="24"/>
        </w:rPr>
        <w:t xml:space="preserve"> </w:t>
      </w:r>
      <w:r w:rsidR="007F64EF" w:rsidRPr="00B63AE5">
        <w:rPr>
          <w:szCs w:val="24"/>
        </w:rPr>
        <w:t>(11 focus groups conducted with 67 participants</w:t>
      </w:r>
      <w:r w:rsidR="004569E5" w:rsidRPr="00B63AE5">
        <w:rPr>
          <w:szCs w:val="24"/>
        </w:rPr>
        <w:t>)</w:t>
      </w:r>
      <w:r w:rsidRPr="00B63AE5">
        <w:rPr>
          <w:szCs w:val="24"/>
        </w:rPr>
        <w:t xml:space="preserve">, a practitioner survey </w:t>
      </w:r>
      <w:r w:rsidR="004569E5" w:rsidRPr="00B63AE5">
        <w:rPr>
          <w:szCs w:val="24"/>
        </w:rPr>
        <w:t>(n=</w:t>
      </w:r>
      <w:r w:rsidR="007F64EF" w:rsidRPr="00B63AE5">
        <w:rPr>
          <w:szCs w:val="24"/>
        </w:rPr>
        <w:t>767</w:t>
      </w:r>
      <w:r w:rsidR="004569E5" w:rsidRPr="00B63AE5">
        <w:rPr>
          <w:szCs w:val="24"/>
        </w:rPr>
        <w:t>,</w:t>
      </w:r>
      <w:r w:rsidR="006A1A2A" w:rsidRPr="00B63AE5">
        <w:rPr>
          <w:szCs w:val="24"/>
        </w:rPr>
        <w:t xml:space="preserve"> with 80% of respondents involved in HMR)</w:t>
      </w:r>
      <w:r w:rsidR="004569E5" w:rsidRPr="00B63AE5">
        <w:rPr>
          <w:szCs w:val="24"/>
        </w:rPr>
        <w:t xml:space="preserve"> </w:t>
      </w:r>
      <w:r w:rsidRPr="00B63AE5">
        <w:rPr>
          <w:szCs w:val="24"/>
        </w:rPr>
        <w:t>and a consumer survey</w:t>
      </w:r>
      <w:r w:rsidR="004569E5" w:rsidRPr="00B63AE5">
        <w:rPr>
          <w:szCs w:val="24"/>
        </w:rPr>
        <w:t xml:space="preserve"> (n=</w:t>
      </w:r>
      <w:r w:rsidR="00B63AE5" w:rsidRPr="00B63AE5">
        <w:rPr>
          <w:szCs w:val="24"/>
        </w:rPr>
        <w:t xml:space="preserve">502 (i.e. </w:t>
      </w:r>
      <w:r w:rsidR="00B63AE5" w:rsidRPr="00B63AE5">
        <w:rPr>
          <w:rFonts w:cs="Georgia"/>
          <w:szCs w:val="24"/>
          <w:lang w:eastAsia="en-AU"/>
        </w:rPr>
        <w:t>260 participants identifying having received HMR services, 232 received MedsCheck/Diabetes MedsCheck services and 10 received a DAA)</w:t>
      </w:r>
      <w:r w:rsidR="004569E5" w:rsidRPr="00B63AE5">
        <w:rPr>
          <w:szCs w:val="24"/>
        </w:rPr>
        <w:t xml:space="preserve">, response rate = </w:t>
      </w:r>
      <w:r w:rsidR="0021125A" w:rsidRPr="00B63AE5">
        <w:rPr>
          <w:szCs w:val="24"/>
        </w:rPr>
        <w:t>7.5</w:t>
      </w:r>
      <w:r w:rsidR="004569E5" w:rsidRPr="00B63AE5">
        <w:rPr>
          <w:szCs w:val="24"/>
        </w:rPr>
        <w:t>%)</w:t>
      </w:r>
      <w:r w:rsidR="00756837" w:rsidRPr="00B63AE5">
        <w:rPr>
          <w:szCs w:val="24"/>
        </w:rPr>
        <w:t xml:space="preserve">.  </w:t>
      </w:r>
    </w:p>
    <w:p w14:paraId="0BE6A222" w14:textId="187DE742" w:rsidR="00D458FE" w:rsidRDefault="00D458FE" w:rsidP="00D458FE">
      <w:pPr>
        <w:pStyle w:val="BodyText"/>
      </w:pPr>
      <w:r>
        <w:t xml:space="preserve">This section presents the program evaluation findings against the </w:t>
      </w:r>
      <w:r w:rsidRPr="008D241F">
        <w:t xml:space="preserve">PICO criteria </w:t>
      </w:r>
      <w:r>
        <w:t>(</w:t>
      </w:r>
      <w:r w:rsidRPr="008D241F">
        <w:t>Section 3.1.1</w:t>
      </w:r>
      <w:r>
        <w:t>)</w:t>
      </w:r>
      <w:r w:rsidR="00013013">
        <w:t xml:space="preserve"> for MedsChecks programme only</w:t>
      </w:r>
      <w:r w:rsidRPr="008D241F">
        <w:t xml:space="preserve">, </w:t>
      </w:r>
      <w:r>
        <w:t>where they exist, followed by thematic analysis of practitioner views and the limitations of the study and the gathered data</w:t>
      </w:r>
      <w:r w:rsidR="00756837">
        <w:t xml:space="preserve">.  </w:t>
      </w:r>
    </w:p>
    <w:p w14:paraId="31C84557" w14:textId="77777777" w:rsidR="00D379A7" w:rsidRPr="00CB393E" w:rsidRDefault="00D379A7" w:rsidP="00D379A7">
      <w:pPr>
        <w:pStyle w:val="Heading3"/>
      </w:pPr>
      <w:r>
        <w:t>General findings of the evaluation</w:t>
      </w:r>
    </w:p>
    <w:p w14:paraId="537D732B" w14:textId="1E7B20EF" w:rsidR="00D379A7" w:rsidRPr="00B355DE" w:rsidRDefault="00D379A7" w:rsidP="00D379A7">
      <w:pPr>
        <w:pStyle w:val="BodyText"/>
      </w:pPr>
      <w:r w:rsidRPr="006A0847">
        <w:fldChar w:fldCharType="begin"/>
      </w:r>
      <w:r w:rsidRPr="006A0847">
        <w:instrText xml:space="preserve"> REF _Ref474253280 \h  \* MERGEFORMAT </w:instrText>
      </w:r>
      <w:r w:rsidRPr="006A0847">
        <w:fldChar w:fldCharType="separate"/>
      </w:r>
      <w:r w:rsidR="009047A7" w:rsidRPr="00B63AE5">
        <w:t xml:space="preserve">Table </w:t>
      </w:r>
      <w:r w:rsidR="009047A7">
        <w:rPr>
          <w:noProof/>
        </w:rPr>
        <w:t>4.2</w:t>
      </w:r>
      <w:r w:rsidRPr="006A0847">
        <w:fldChar w:fldCharType="end"/>
      </w:r>
      <w:r w:rsidRPr="006A0847">
        <w:t xml:space="preserve"> summarises the main findings of the evalua</w:t>
      </w:r>
      <w:r>
        <w:t xml:space="preserve">tion in regards to the MedsCheck </w:t>
      </w:r>
      <w:r w:rsidR="00476D4D">
        <w:t>p</w:t>
      </w:r>
      <w:r w:rsidRPr="006A0847">
        <w:t>rogram</w:t>
      </w:r>
      <w:r>
        <w:t>me</w:t>
      </w:r>
      <w:r w:rsidR="00C31130">
        <w:t>s</w:t>
      </w:r>
      <w:r>
        <w:t xml:space="preserve">.  </w:t>
      </w:r>
      <w:r w:rsidRPr="006A0847">
        <w:t>Briefly, a total of 767 primary health care practitioners, with the majority being pharmacists (94%), responded to the practitioner survey</w:t>
      </w:r>
      <w:r>
        <w:t xml:space="preserve">.  </w:t>
      </w:r>
      <w:r w:rsidRPr="006A0847">
        <w:t>About half (46%)</w:t>
      </w:r>
      <w:r>
        <w:t xml:space="preserve"> were involved in the MedsCheck </w:t>
      </w:r>
      <w:r w:rsidR="00476D4D">
        <w:t>p</w:t>
      </w:r>
      <w:r w:rsidRPr="006A0847">
        <w:t>rogram</w:t>
      </w:r>
      <w:r>
        <w:t>me.  Additionally,</w:t>
      </w:r>
      <w:r w:rsidR="006730FA">
        <w:t xml:space="preserve"> of the 502 participants who completed the consumer survey,</w:t>
      </w:r>
      <w:r>
        <w:t xml:space="preserve"> 232</w:t>
      </w:r>
      <w:r w:rsidR="006730FA">
        <w:t xml:space="preserve"> identified having received a</w:t>
      </w:r>
      <w:r>
        <w:t xml:space="preserve"> MedsCheck/Diabetes MedsCheck.</w:t>
      </w:r>
    </w:p>
    <w:p w14:paraId="0EB82BCA" w14:textId="2CA94AD1" w:rsidR="00D379A7" w:rsidRPr="00B63AE5" w:rsidRDefault="00D379A7" w:rsidP="005608BC">
      <w:pPr>
        <w:pStyle w:val="Caption"/>
      </w:pPr>
      <w:bookmarkStart w:id="41" w:name="_Ref462226393"/>
      <w:bookmarkStart w:id="42" w:name="_Ref474253280"/>
      <w:bookmarkStart w:id="43" w:name="_Toc467170413"/>
      <w:r w:rsidRPr="00B63AE5">
        <w:lastRenderedPageBreak/>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4</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2</w:t>
      </w:r>
      <w:r w:rsidR="009047A7">
        <w:rPr>
          <w:noProof/>
        </w:rPr>
        <w:fldChar w:fldCharType="end"/>
      </w:r>
      <w:bookmarkEnd w:id="41"/>
      <w:bookmarkEnd w:id="42"/>
      <w:r w:rsidRPr="00B63AE5">
        <w:t>: Main findings of the 2015 5CPA combined review, 2011-2014</w:t>
      </w:r>
      <w:bookmarkEnd w:id="43"/>
    </w:p>
    <w:tbl>
      <w:tblPr>
        <w:tblStyle w:val="TableGrid3"/>
        <w:tblW w:w="9752" w:type="dxa"/>
        <w:tblLayout w:type="fixed"/>
        <w:tblLook w:val="04A0" w:firstRow="1" w:lastRow="0" w:firstColumn="1" w:lastColumn="0" w:noHBand="0" w:noVBand="1"/>
        <w:tblCaption w:val="Table 4.2"/>
        <w:tblDescription w:val="Main findings of the 2015 5CPA combined review, 2011-2014"/>
      </w:tblPr>
      <w:tblGrid>
        <w:gridCol w:w="2830"/>
        <w:gridCol w:w="6922"/>
      </w:tblGrid>
      <w:tr w:rsidR="0098271D" w:rsidRPr="00B355DE" w14:paraId="2926AEA1" w14:textId="77777777" w:rsidTr="00A73114">
        <w:trPr>
          <w:cnfStyle w:val="100000000000" w:firstRow="1" w:lastRow="0" w:firstColumn="0" w:lastColumn="0" w:oddVBand="0" w:evenVBand="0" w:oddHBand="0" w:evenHBand="0" w:firstRowFirstColumn="0" w:firstRowLastColumn="0" w:lastRowFirstColumn="0" w:lastRowLastColumn="0"/>
          <w:cantSplit w:val="0"/>
        </w:trPr>
        <w:tc>
          <w:tcPr>
            <w:tcW w:w="1451" w:type="pct"/>
            <w:shd w:val="clear" w:color="auto" w:fill="632423" w:themeFill="accent2" w:themeFillShade="80"/>
          </w:tcPr>
          <w:p w14:paraId="1143A721" w14:textId="77777777" w:rsidR="0098271D" w:rsidRPr="00B355DE" w:rsidRDefault="0098271D" w:rsidP="006730FA">
            <w:pPr>
              <w:pStyle w:val="01Tableheaderrow"/>
              <w:spacing w:before="0"/>
              <w:rPr>
                <w:rFonts w:ascii="Garamond" w:hAnsi="Garamond"/>
              </w:rPr>
            </w:pPr>
            <w:r w:rsidRPr="00B355DE">
              <w:rPr>
                <w:rFonts w:ascii="Garamond" w:hAnsi="Garamond"/>
              </w:rPr>
              <w:lastRenderedPageBreak/>
              <w:t>Measure/domain</w:t>
            </w:r>
          </w:p>
        </w:tc>
        <w:tc>
          <w:tcPr>
            <w:tcW w:w="3549" w:type="pct"/>
            <w:shd w:val="clear" w:color="auto" w:fill="632423" w:themeFill="accent2" w:themeFillShade="80"/>
            <w:vAlign w:val="center"/>
          </w:tcPr>
          <w:p w14:paraId="6B6F5542" w14:textId="77777777" w:rsidR="0098271D" w:rsidRPr="00B355DE" w:rsidRDefault="0098271D" w:rsidP="006730FA">
            <w:pPr>
              <w:pStyle w:val="01Tableheaderrow"/>
              <w:spacing w:before="0"/>
              <w:jc w:val="center"/>
              <w:rPr>
                <w:rFonts w:ascii="Garamond" w:hAnsi="Garamond"/>
              </w:rPr>
            </w:pPr>
            <w:r w:rsidRPr="00B355DE">
              <w:rPr>
                <w:rFonts w:ascii="Garamond" w:hAnsi="Garamond"/>
              </w:rPr>
              <w:t>Key findings</w:t>
            </w:r>
          </w:p>
        </w:tc>
      </w:tr>
      <w:tr w:rsidR="0098271D" w:rsidRPr="00B355DE" w14:paraId="16B78C40" w14:textId="77777777" w:rsidTr="00A73114">
        <w:trPr>
          <w:cantSplit w:val="0"/>
        </w:trPr>
        <w:tc>
          <w:tcPr>
            <w:tcW w:w="1451" w:type="pct"/>
            <w:shd w:val="clear" w:color="auto" w:fill="000000" w:themeFill="text1"/>
          </w:tcPr>
          <w:p w14:paraId="4C060E76" w14:textId="77777777" w:rsidR="0098271D" w:rsidRPr="00B355DE" w:rsidRDefault="0098271D" w:rsidP="006730FA">
            <w:pPr>
              <w:pStyle w:val="01Tableheadingorsubheading"/>
              <w:rPr>
                <w:rFonts w:ascii="Garamond" w:hAnsi="Garamond"/>
              </w:rPr>
            </w:pPr>
            <w:r w:rsidRPr="00B355DE">
              <w:rPr>
                <w:rFonts w:ascii="Garamond" w:hAnsi="Garamond"/>
              </w:rPr>
              <w:t>Program results</w:t>
            </w:r>
          </w:p>
        </w:tc>
        <w:tc>
          <w:tcPr>
            <w:tcW w:w="3549" w:type="pct"/>
            <w:shd w:val="clear" w:color="auto" w:fill="000000" w:themeFill="text1"/>
          </w:tcPr>
          <w:p w14:paraId="1F6592A5" w14:textId="77777777" w:rsidR="0098271D" w:rsidRPr="00B355DE" w:rsidRDefault="0098271D" w:rsidP="006730FA">
            <w:pPr>
              <w:pStyle w:val="01Tableheadingorsubheading"/>
              <w:rPr>
                <w:rFonts w:ascii="Garamond" w:hAnsi="Garamond"/>
              </w:rPr>
            </w:pPr>
          </w:p>
        </w:tc>
      </w:tr>
      <w:tr w:rsidR="0098271D" w:rsidRPr="00B355DE" w14:paraId="231E4110"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auto"/>
          </w:tcPr>
          <w:p w14:paraId="1A8C3198"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Total expenditure on MedsCheck/Diabetes MedsCheck initiative</w:t>
            </w:r>
          </w:p>
        </w:tc>
        <w:tc>
          <w:tcPr>
            <w:tcW w:w="3549" w:type="pct"/>
            <w:shd w:val="clear" w:color="auto" w:fill="auto"/>
          </w:tcPr>
          <w:p w14:paraId="0F574C7E"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Records for expenditure specifically paid out for MedsCheck/Diabetes MedsCheck services were not made available to the evaluators.</w:t>
            </w:r>
          </w:p>
        </w:tc>
      </w:tr>
      <w:tr w:rsidR="00A73114" w:rsidRPr="00B355DE" w14:paraId="15AEBF0F" w14:textId="77777777" w:rsidTr="00A73114">
        <w:trPr>
          <w:cantSplit w:val="0"/>
        </w:trPr>
        <w:tc>
          <w:tcPr>
            <w:tcW w:w="1451" w:type="pct"/>
            <w:shd w:val="clear" w:color="auto" w:fill="000000" w:themeFill="text1"/>
          </w:tcPr>
          <w:p w14:paraId="4881F5FF" w14:textId="77777777" w:rsidR="00A73114" w:rsidRPr="00B355DE" w:rsidRDefault="00A73114" w:rsidP="006730FA">
            <w:pPr>
              <w:pStyle w:val="02Tabletext"/>
              <w:spacing w:before="0"/>
              <w:rPr>
                <w:rFonts w:ascii="Garamond" w:hAnsi="Garamond"/>
              </w:rPr>
            </w:pPr>
            <w:r w:rsidRPr="00B355DE">
              <w:rPr>
                <w:rFonts w:ascii="Garamond" w:hAnsi="Garamond"/>
                <w:b/>
                <w:color w:val="FFFFFF" w:themeColor="background1"/>
              </w:rPr>
              <w:t>Consumer focus group themes raised</w:t>
            </w:r>
          </w:p>
        </w:tc>
        <w:tc>
          <w:tcPr>
            <w:tcW w:w="3549" w:type="pct"/>
            <w:shd w:val="clear" w:color="auto" w:fill="000000" w:themeFill="text1"/>
          </w:tcPr>
          <w:p w14:paraId="5AB2BAA2" w14:textId="24861FE2" w:rsidR="00A73114" w:rsidRPr="00B355DE" w:rsidRDefault="00A73114" w:rsidP="006730FA">
            <w:pPr>
              <w:pStyle w:val="02Tabletext"/>
              <w:spacing w:before="0"/>
              <w:rPr>
                <w:rFonts w:ascii="Garamond" w:hAnsi="Garamond"/>
              </w:rPr>
            </w:pPr>
          </w:p>
        </w:tc>
      </w:tr>
      <w:tr w:rsidR="0098271D" w:rsidRPr="00B355DE" w14:paraId="7243B2A9"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F2DBDB" w:themeFill="accent2" w:themeFillTint="33"/>
          </w:tcPr>
          <w:p w14:paraId="6BE44CA2"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Awareness</w:t>
            </w:r>
          </w:p>
        </w:tc>
        <w:tc>
          <w:tcPr>
            <w:tcW w:w="3549" w:type="pct"/>
            <w:shd w:val="clear" w:color="auto" w:fill="F2DBDB" w:themeFill="accent2" w:themeFillTint="33"/>
          </w:tcPr>
          <w:p w14:paraId="305CC6CF"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Most consumers, particularly Aboriginal and Torres Strait Islander consumers, noted that there was very low awareness in the community that these programmes and services are available, how to access them and the value they provide.</w:t>
            </w:r>
          </w:p>
        </w:tc>
      </w:tr>
      <w:tr w:rsidR="0098271D" w:rsidRPr="00B355DE" w14:paraId="78058529" w14:textId="77777777" w:rsidTr="00A73114">
        <w:trPr>
          <w:cantSplit w:val="0"/>
        </w:trPr>
        <w:tc>
          <w:tcPr>
            <w:tcW w:w="1451" w:type="pct"/>
            <w:shd w:val="clear" w:color="auto" w:fill="auto"/>
          </w:tcPr>
          <w:p w14:paraId="2A29F7D4"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Communication</w:t>
            </w:r>
          </w:p>
        </w:tc>
        <w:tc>
          <w:tcPr>
            <w:tcW w:w="3549" w:type="pct"/>
            <w:shd w:val="clear" w:color="auto" w:fill="auto"/>
          </w:tcPr>
          <w:p w14:paraId="2715525D"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There were mixed responses as to whether GPs and other health professionals communicate with pharmacists to manage consumers’ health, however the majority of consumers felt this was a very important (some noted essential) factor when managing medicines, especially for those with complex health conditions</w:t>
            </w:r>
            <w:r>
              <w:rPr>
                <w:rFonts w:ascii="Garamond" w:hAnsi="Garamond"/>
                <w:szCs w:val="18"/>
              </w:rPr>
              <w:t xml:space="preserve">.  </w:t>
            </w:r>
            <w:r w:rsidRPr="00B355DE">
              <w:rPr>
                <w:rFonts w:ascii="Garamond" w:hAnsi="Garamond"/>
                <w:szCs w:val="18"/>
              </w:rPr>
              <w:t>All Aboriginal and Torres Strait Islander consumers noted the importance of good communication with their health professionals/carers and the importance of a trusting relationship between pharmacist and consumer.</w:t>
            </w:r>
          </w:p>
        </w:tc>
      </w:tr>
      <w:tr w:rsidR="00A73114" w:rsidRPr="00B355DE" w14:paraId="517CC0AD"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000000" w:themeFill="text1"/>
          </w:tcPr>
          <w:p w14:paraId="7412BADC" w14:textId="77777777" w:rsidR="00A73114" w:rsidRPr="00B355DE" w:rsidRDefault="00A73114" w:rsidP="006730FA">
            <w:pPr>
              <w:pStyle w:val="01Tableheadingorsubheading"/>
              <w:rPr>
                <w:rFonts w:ascii="Garamond" w:hAnsi="Garamond"/>
              </w:rPr>
            </w:pPr>
            <w:r w:rsidRPr="00B355DE">
              <w:rPr>
                <w:rFonts w:ascii="Garamond" w:hAnsi="Garamond"/>
              </w:rPr>
              <w:t>Consumer survey results</w:t>
            </w:r>
          </w:p>
        </w:tc>
        <w:tc>
          <w:tcPr>
            <w:tcW w:w="3549" w:type="pct"/>
            <w:shd w:val="clear" w:color="auto" w:fill="000000" w:themeFill="text1"/>
          </w:tcPr>
          <w:p w14:paraId="06D26BC3" w14:textId="5C59976B" w:rsidR="00A73114" w:rsidRPr="00B355DE" w:rsidRDefault="00A73114" w:rsidP="006730FA">
            <w:pPr>
              <w:pStyle w:val="01Tableheadingorsubheading"/>
              <w:rPr>
                <w:rFonts w:ascii="Garamond" w:hAnsi="Garamond"/>
              </w:rPr>
            </w:pPr>
          </w:p>
        </w:tc>
      </w:tr>
      <w:tr w:rsidR="0098271D" w:rsidRPr="00B355DE" w14:paraId="77E2FF63" w14:textId="77777777" w:rsidTr="00A73114">
        <w:trPr>
          <w:cantSplit w:val="0"/>
        </w:trPr>
        <w:tc>
          <w:tcPr>
            <w:tcW w:w="1451" w:type="pct"/>
            <w:shd w:val="clear" w:color="auto" w:fill="F2DBDB" w:themeFill="accent2" w:themeFillTint="33"/>
          </w:tcPr>
          <w:p w14:paraId="39F88676"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Participants</w:t>
            </w:r>
          </w:p>
        </w:tc>
        <w:tc>
          <w:tcPr>
            <w:tcW w:w="3549" w:type="pct"/>
            <w:shd w:val="clear" w:color="auto" w:fill="F2DBDB" w:themeFill="accent2" w:themeFillTint="33"/>
          </w:tcPr>
          <w:p w14:paraId="0E4B4000" w14:textId="7FB8D326" w:rsidR="0098271D" w:rsidRPr="00B355DE" w:rsidRDefault="0098271D" w:rsidP="00C31130">
            <w:pPr>
              <w:pStyle w:val="02Tabletext"/>
              <w:spacing w:before="0"/>
              <w:rPr>
                <w:rFonts w:ascii="Garamond" w:hAnsi="Garamond"/>
                <w:szCs w:val="18"/>
              </w:rPr>
            </w:pPr>
            <w:r w:rsidRPr="00B355DE">
              <w:rPr>
                <w:rFonts w:ascii="Garamond" w:hAnsi="Garamond"/>
                <w:szCs w:val="18"/>
              </w:rPr>
              <w:t xml:space="preserve">Overall, the majority of survey participants were located in three </w:t>
            </w:r>
            <w:r w:rsidR="00C31130">
              <w:rPr>
                <w:rFonts w:ascii="Garamond" w:hAnsi="Garamond"/>
                <w:szCs w:val="18"/>
              </w:rPr>
              <w:t>States</w:t>
            </w:r>
            <w:r w:rsidRPr="00B355DE">
              <w:rPr>
                <w:rFonts w:ascii="Garamond" w:hAnsi="Garamond"/>
                <w:szCs w:val="18"/>
              </w:rPr>
              <w:t>: V</w:t>
            </w:r>
            <w:r w:rsidR="00C31130">
              <w:rPr>
                <w:rFonts w:ascii="Garamond" w:hAnsi="Garamond"/>
                <w:szCs w:val="18"/>
              </w:rPr>
              <w:t xml:space="preserve">ictoria </w:t>
            </w:r>
            <w:r w:rsidRPr="00B355DE">
              <w:rPr>
                <w:rFonts w:ascii="Garamond" w:hAnsi="Garamond"/>
                <w:szCs w:val="18"/>
              </w:rPr>
              <w:t>(33%); N</w:t>
            </w:r>
            <w:r w:rsidR="00C31130">
              <w:rPr>
                <w:rFonts w:ascii="Garamond" w:hAnsi="Garamond"/>
                <w:szCs w:val="18"/>
              </w:rPr>
              <w:t xml:space="preserve">ew </w:t>
            </w:r>
            <w:r w:rsidRPr="00B355DE">
              <w:rPr>
                <w:rFonts w:ascii="Garamond" w:hAnsi="Garamond"/>
                <w:szCs w:val="18"/>
              </w:rPr>
              <w:t>S</w:t>
            </w:r>
            <w:r w:rsidR="00C31130">
              <w:rPr>
                <w:rFonts w:ascii="Garamond" w:hAnsi="Garamond"/>
                <w:szCs w:val="18"/>
              </w:rPr>
              <w:t xml:space="preserve">outh </w:t>
            </w:r>
            <w:r w:rsidRPr="00B355DE">
              <w:rPr>
                <w:rFonts w:ascii="Garamond" w:hAnsi="Garamond"/>
                <w:szCs w:val="18"/>
              </w:rPr>
              <w:t>W</w:t>
            </w:r>
            <w:r w:rsidR="00C31130">
              <w:rPr>
                <w:rFonts w:ascii="Garamond" w:hAnsi="Garamond"/>
                <w:szCs w:val="18"/>
              </w:rPr>
              <w:t xml:space="preserve">ales </w:t>
            </w:r>
            <w:r w:rsidRPr="00B355DE">
              <w:rPr>
                <w:rFonts w:ascii="Garamond" w:hAnsi="Garamond"/>
                <w:szCs w:val="18"/>
              </w:rPr>
              <w:t xml:space="preserve">(31%); </w:t>
            </w:r>
            <w:r w:rsidR="00C31130">
              <w:rPr>
                <w:rFonts w:ascii="Garamond" w:hAnsi="Garamond"/>
                <w:szCs w:val="18"/>
              </w:rPr>
              <w:t>and Queensland</w:t>
            </w:r>
            <w:r w:rsidRPr="00B355DE">
              <w:rPr>
                <w:rFonts w:ascii="Garamond" w:hAnsi="Garamond"/>
                <w:szCs w:val="18"/>
              </w:rPr>
              <w:t xml:space="preserve"> (21%)</w:t>
            </w:r>
            <w:r>
              <w:rPr>
                <w:rFonts w:ascii="Garamond" w:hAnsi="Garamond"/>
                <w:szCs w:val="18"/>
              </w:rPr>
              <w:t xml:space="preserve">.  </w:t>
            </w:r>
            <w:r w:rsidRPr="00B355DE">
              <w:rPr>
                <w:rFonts w:ascii="Garamond" w:hAnsi="Garamond"/>
                <w:szCs w:val="18"/>
              </w:rPr>
              <w:t>The majority of participants were aged 50 years or older</w:t>
            </w:r>
            <w:r>
              <w:rPr>
                <w:rFonts w:ascii="Garamond" w:hAnsi="Garamond"/>
                <w:szCs w:val="18"/>
              </w:rPr>
              <w:t xml:space="preserve">.  </w:t>
            </w:r>
            <w:r w:rsidRPr="00B355DE">
              <w:rPr>
                <w:rFonts w:ascii="Garamond" w:hAnsi="Garamond"/>
                <w:szCs w:val="18"/>
              </w:rPr>
              <w:t>Less than 1% of participants were aged 18-24</w:t>
            </w:r>
            <w:r>
              <w:rPr>
                <w:rFonts w:ascii="Garamond" w:hAnsi="Garamond"/>
                <w:szCs w:val="18"/>
              </w:rPr>
              <w:t xml:space="preserve">.  </w:t>
            </w:r>
            <w:r w:rsidRPr="00B355DE">
              <w:rPr>
                <w:rFonts w:ascii="Garamond" w:hAnsi="Garamond"/>
                <w:szCs w:val="18"/>
              </w:rPr>
              <w:t>More than half (57%) of all survey participants were female.</w:t>
            </w:r>
          </w:p>
        </w:tc>
      </w:tr>
      <w:tr w:rsidR="0098271D" w:rsidRPr="00B355DE" w14:paraId="6DC9FD17"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auto"/>
          </w:tcPr>
          <w:p w14:paraId="5A6C6C6E"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General health status</w:t>
            </w:r>
          </w:p>
        </w:tc>
        <w:tc>
          <w:tcPr>
            <w:tcW w:w="3549" w:type="pct"/>
            <w:shd w:val="clear" w:color="auto" w:fill="auto"/>
          </w:tcPr>
          <w:p w14:paraId="0C888E5B"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The majority of survey participants (65%) perceived their health to range between good to excellent</w:t>
            </w:r>
            <w:r>
              <w:rPr>
                <w:rFonts w:ascii="Garamond" w:hAnsi="Garamond"/>
                <w:szCs w:val="18"/>
              </w:rPr>
              <w:t xml:space="preserve">.  </w:t>
            </w:r>
            <w:r w:rsidRPr="00B355DE">
              <w:rPr>
                <w:rFonts w:ascii="Garamond" w:hAnsi="Garamond"/>
                <w:szCs w:val="18"/>
              </w:rPr>
              <w:t>Only 10% of participants perceived their health to be poor.</w:t>
            </w:r>
          </w:p>
        </w:tc>
      </w:tr>
      <w:tr w:rsidR="0098271D" w:rsidRPr="00B355DE" w14:paraId="75B8FF08" w14:textId="77777777" w:rsidTr="00A73114">
        <w:trPr>
          <w:cantSplit w:val="0"/>
        </w:trPr>
        <w:tc>
          <w:tcPr>
            <w:tcW w:w="1451" w:type="pct"/>
            <w:shd w:val="clear" w:color="auto" w:fill="F2DBDB" w:themeFill="accent2" w:themeFillTint="33"/>
          </w:tcPr>
          <w:p w14:paraId="78FF58DB"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Relationship with pharmacist</w:t>
            </w:r>
          </w:p>
        </w:tc>
        <w:tc>
          <w:tcPr>
            <w:tcW w:w="3549" w:type="pct"/>
            <w:shd w:val="clear" w:color="auto" w:fill="F2DBDB" w:themeFill="accent2" w:themeFillTint="33"/>
          </w:tcPr>
          <w:p w14:paraId="7700D359"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Approximately 97% of survey participants reported that they visited the same pharmacy either all of the time or most of the time.</w:t>
            </w:r>
          </w:p>
        </w:tc>
      </w:tr>
      <w:tr w:rsidR="0098271D" w:rsidRPr="00B355DE" w14:paraId="6E20F804"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auto"/>
          </w:tcPr>
          <w:p w14:paraId="551CBFEE"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 xml:space="preserve">Knowledge of medication </w:t>
            </w:r>
          </w:p>
        </w:tc>
        <w:tc>
          <w:tcPr>
            <w:tcW w:w="3549" w:type="pct"/>
            <w:shd w:val="clear" w:color="auto" w:fill="auto"/>
          </w:tcPr>
          <w:p w14:paraId="4AFBE833"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Overall, more than 90% of survey participants either strongly agreed or agreed that they were knowledgeable about the medicines they were taking and what they were for.</w:t>
            </w:r>
          </w:p>
          <w:p w14:paraId="3D07C518"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Differences in knowledge of medicine did not differ by age, general health status or by the number of medicines taken.</w:t>
            </w:r>
          </w:p>
        </w:tc>
      </w:tr>
      <w:tr w:rsidR="00A73114" w:rsidRPr="00B355DE" w14:paraId="49B637FD" w14:textId="77777777" w:rsidTr="00A73114">
        <w:trPr>
          <w:cantSplit w:val="0"/>
        </w:trPr>
        <w:tc>
          <w:tcPr>
            <w:tcW w:w="1451" w:type="pct"/>
            <w:shd w:val="clear" w:color="auto" w:fill="000000" w:themeFill="text1"/>
          </w:tcPr>
          <w:p w14:paraId="7329B259" w14:textId="77777777" w:rsidR="00A73114" w:rsidRPr="00B355DE" w:rsidRDefault="00A73114" w:rsidP="006730FA">
            <w:pPr>
              <w:pStyle w:val="01Tableheadingorsubheading"/>
              <w:rPr>
                <w:rFonts w:ascii="Garamond" w:hAnsi="Garamond"/>
              </w:rPr>
            </w:pPr>
            <w:r w:rsidRPr="00B355DE">
              <w:rPr>
                <w:rFonts w:ascii="Garamond" w:hAnsi="Garamond"/>
              </w:rPr>
              <w:t>Practitioner focus group themes raised</w:t>
            </w:r>
          </w:p>
        </w:tc>
        <w:tc>
          <w:tcPr>
            <w:tcW w:w="3549" w:type="pct"/>
            <w:shd w:val="clear" w:color="auto" w:fill="000000" w:themeFill="text1"/>
          </w:tcPr>
          <w:p w14:paraId="01D7AA8B" w14:textId="78DDE1BB" w:rsidR="00A73114" w:rsidRPr="00B355DE" w:rsidRDefault="00A73114" w:rsidP="006730FA">
            <w:pPr>
              <w:pStyle w:val="01Tableheadingorsubheading"/>
              <w:rPr>
                <w:rFonts w:ascii="Garamond" w:hAnsi="Garamond"/>
              </w:rPr>
            </w:pPr>
          </w:p>
        </w:tc>
      </w:tr>
      <w:tr w:rsidR="0098271D" w:rsidRPr="00B355DE" w14:paraId="40A97D19"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F2DBDB" w:themeFill="accent2" w:themeFillTint="33"/>
          </w:tcPr>
          <w:p w14:paraId="6E8EC62B"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Addressing consumer need</w:t>
            </w:r>
          </w:p>
        </w:tc>
        <w:tc>
          <w:tcPr>
            <w:tcW w:w="3549" w:type="pct"/>
            <w:shd w:val="clear" w:color="auto" w:fill="F2DBDB" w:themeFill="accent2" w:themeFillTint="33"/>
          </w:tcPr>
          <w:p w14:paraId="7655479E" w14:textId="1F2FF29E" w:rsidR="0098271D" w:rsidRPr="00B355DE" w:rsidRDefault="0098271D" w:rsidP="006730FA">
            <w:pPr>
              <w:pStyle w:val="02Tabletext"/>
              <w:spacing w:before="0"/>
              <w:rPr>
                <w:rFonts w:ascii="Garamond" w:hAnsi="Garamond"/>
                <w:szCs w:val="18"/>
              </w:rPr>
            </w:pPr>
            <w:r w:rsidRPr="00B355DE">
              <w:rPr>
                <w:rFonts w:ascii="Garamond" w:hAnsi="Garamond"/>
                <w:szCs w:val="18"/>
              </w:rPr>
              <w:t>There were mixed views on the MedsCheck/Diabetes MedsCheck program, some participants noted that, when performed well, there was value by providing a medication management service to those that did not require a full review along with improving consumers’ knowledge and education, whil</w:t>
            </w:r>
            <w:r w:rsidR="005A297C">
              <w:rPr>
                <w:rFonts w:ascii="Garamond" w:hAnsi="Garamond"/>
                <w:szCs w:val="18"/>
              </w:rPr>
              <w:t>e</w:t>
            </w:r>
            <w:r w:rsidRPr="00B355DE">
              <w:rPr>
                <w:rFonts w:ascii="Garamond" w:hAnsi="Garamond"/>
                <w:szCs w:val="18"/>
              </w:rPr>
              <w:t xml:space="preserve"> others expressed their concerns regarding the lack of quality of the reviews as well as the lack of collaboration with consumers’ GP</w:t>
            </w:r>
            <w:r>
              <w:rPr>
                <w:rFonts w:ascii="Garamond" w:hAnsi="Garamond"/>
                <w:szCs w:val="18"/>
              </w:rPr>
              <w:t xml:space="preserve">.  </w:t>
            </w:r>
            <w:r w:rsidRPr="00B355DE">
              <w:rPr>
                <w:rFonts w:ascii="Garamond" w:hAnsi="Garamond"/>
                <w:szCs w:val="18"/>
              </w:rPr>
              <w:t>It was commo</w:t>
            </w:r>
            <w:r>
              <w:rPr>
                <w:rFonts w:ascii="Garamond" w:hAnsi="Garamond"/>
                <w:szCs w:val="18"/>
              </w:rPr>
              <w:t>nly noted that MedsCheck</w:t>
            </w:r>
            <w:r w:rsidRPr="00B355DE">
              <w:rPr>
                <w:rFonts w:ascii="Garamond" w:hAnsi="Garamond"/>
                <w:szCs w:val="18"/>
              </w:rPr>
              <w:t>/Diabetes MedsCheck</w:t>
            </w:r>
            <w:r>
              <w:rPr>
                <w:rFonts w:ascii="Garamond" w:hAnsi="Garamond"/>
                <w:szCs w:val="18"/>
              </w:rPr>
              <w:t xml:space="preserve"> services</w:t>
            </w:r>
            <w:r w:rsidRPr="00B355DE">
              <w:rPr>
                <w:rFonts w:ascii="Garamond" w:hAnsi="Garamond"/>
                <w:szCs w:val="18"/>
              </w:rPr>
              <w:t xml:space="preserve"> were a good screening service for an HMR, but not a holistic view of medication management</w:t>
            </w:r>
            <w:r>
              <w:rPr>
                <w:rFonts w:ascii="Garamond" w:hAnsi="Garamond"/>
                <w:szCs w:val="18"/>
              </w:rPr>
              <w:t xml:space="preserve">.  </w:t>
            </w:r>
            <w:r w:rsidRPr="00B355DE">
              <w:rPr>
                <w:rFonts w:ascii="Garamond" w:hAnsi="Garamond"/>
                <w:szCs w:val="18"/>
              </w:rPr>
              <w:t>Participants did not consider this to be an alternative for HMRs.</w:t>
            </w:r>
          </w:p>
        </w:tc>
      </w:tr>
      <w:tr w:rsidR="0098271D" w:rsidRPr="00B355DE" w14:paraId="52CC1CAA" w14:textId="77777777" w:rsidTr="00A73114">
        <w:trPr>
          <w:cantSplit w:val="0"/>
        </w:trPr>
        <w:tc>
          <w:tcPr>
            <w:tcW w:w="1451" w:type="pct"/>
            <w:shd w:val="clear" w:color="auto" w:fill="auto"/>
          </w:tcPr>
          <w:p w14:paraId="4130F5EF" w14:textId="77777777" w:rsidR="0098271D" w:rsidRPr="003530C2" w:rsidRDefault="0098271D" w:rsidP="006730FA">
            <w:pPr>
              <w:pStyle w:val="02Tabletext"/>
              <w:spacing w:before="0"/>
              <w:rPr>
                <w:rFonts w:ascii="Garamond" w:hAnsi="Garamond"/>
                <w:szCs w:val="18"/>
              </w:rPr>
            </w:pPr>
            <w:r w:rsidRPr="003530C2">
              <w:rPr>
                <w:rFonts w:ascii="Garamond" w:hAnsi="Garamond"/>
                <w:szCs w:val="18"/>
              </w:rPr>
              <w:t>Eligibility criteria and targeting</w:t>
            </w:r>
          </w:p>
        </w:tc>
        <w:tc>
          <w:tcPr>
            <w:tcW w:w="3549" w:type="pct"/>
            <w:shd w:val="clear" w:color="auto" w:fill="auto"/>
          </w:tcPr>
          <w:p w14:paraId="0E57A11A" w14:textId="77777777" w:rsidR="0098271D" w:rsidRPr="003530C2" w:rsidRDefault="0098271D" w:rsidP="006730FA">
            <w:pPr>
              <w:pStyle w:val="02Tabletext"/>
              <w:spacing w:before="0"/>
              <w:rPr>
                <w:rFonts w:ascii="Garamond" w:hAnsi="Garamond"/>
                <w:szCs w:val="18"/>
              </w:rPr>
            </w:pPr>
            <w:r w:rsidRPr="003530C2">
              <w:rPr>
                <w:rFonts w:ascii="Garamond" w:hAnsi="Garamond"/>
                <w:szCs w:val="18"/>
              </w:rPr>
              <w:t>There were no specific marketing strategies or recruitment activities directed at those most in need.</w:t>
            </w:r>
          </w:p>
        </w:tc>
      </w:tr>
      <w:tr w:rsidR="0098271D" w:rsidRPr="00B355DE" w14:paraId="2FA23B89"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F2DBDB" w:themeFill="accent2" w:themeFillTint="33"/>
          </w:tcPr>
          <w:p w14:paraId="7B7484C3"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Program implementation</w:t>
            </w:r>
          </w:p>
        </w:tc>
        <w:tc>
          <w:tcPr>
            <w:tcW w:w="3549" w:type="pct"/>
            <w:shd w:val="clear" w:color="auto" w:fill="F2DBDB" w:themeFill="accent2" w:themeFillTint="33"/>
          </w:tcPr>
          <w:p w14:paraId="40163955"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Many participants felt that a multidisciplinary, collaborative approach to programs/services would aid in the implementation of the programs and benefit the impacts and outcomes for consumers</w:t>
            </w:r>
            <w:r>
              <w:rPr>
                <w:rFonts w:ascii="Garamond" w:hAnsi="Garamond"/>
                <w:szCs w:val="18"/>
              </w:rPr>
              <w:t xml:space="preserve">.  </w:t>
            </w:r>
            <w:r w:rsidRPr="00B355DE">
              <w:rPr>
                <w:rFonts w:ascii="Garamond" w:hAnsi="Garamond"/>
                <w:szCs w:val="18"/>
              </w:rPr>
              <w:t>It was suggested that funding should be allocated to support implementation to prevent inconsistencies in the way that the programs are delivered</w:t>
            </w:r>
            <w:r>
              <w:rPr>
                <w:rFonts w:ascii="Garamond" w:hAnsi="Garamond"/>
                <w:szCs w:val="18"/>
              </w:rPr>
              <w:t xml:space="preserve">.  </w:t>
            </w:r>
            <w:r w:rsidRPr="00B355DE">
              <w:rPr>
                <w:rFonts w:ascii="Garamond" w:hAnsi="Garamond"/>
                <w:szCs w:val="18"/>
              </w:rPr>
              <w:t>It was generally noted that there was potential for investment in implementation activities to yield faster and more complete uptake of Programmes, as well as more consistency in the quality of delivery of Programmes</w:t>
            </w:r>
            <w:r>
              <w:rPr>
                <w:rFonts w:ascii="Garamond" w:hAnsi="Garamond"/>
                <w:szCs w:val="18"/>
              </w:rPr>
              <w:t xml:space="preserve">.  </w:t>
            </w:r>
            <w:r w:rsidRPr="00B355DE">
              <w:rPr>
                <w:rFonts w:ascii="Garamond" w:hAnsi="Garamond"/>
                <w:szCs w:val="18"/>
              </w:rPr>
              <w:t>This could be interpreted to mean more resourcing, better targeted resourcing, or both</w:t>
            </w:r>
            <w:r>
              <w:rPr>
                <w:rFonts w:ascii="Garamond" w:hAnsi="Garamond"/>
                <w:szCs w:val="18"/>
              </w:rPr>
              <w:t xml:space="preserve">.  </w:t>
            </w:r>
            <w:r w:rsidRPr="00B355DE">
              <w:rPr>
                <w:rFonts w:ascii="Garamond" w:hAnsi="Garamond"/>
                <w:szCs w:val="18"/>
              </w:rPr>
              <w:t>The targets might be improvement to the payment and claiming system, other administrative systems or targeting awareness of the Programmes</w:t>
            </w:r>
            <w:r>
              <w:rPr>
                <w:rFonts w:ascii="Garamond" w:hAnsi="Garamond"/>
                <w:szCs w:val="18"/>
              </w:rPr>
              <w:t xml:space="preserve">.  </w:t>
            </w:r>
            <w:r w:rsidRPr="00B355DE">
              <w:rPr>
                <w:rFonts w:ascii="Garamond" w:hAnsi="Garamond"/>
                <w:szCs w:val="18"/>
              </w:rPr>
              <w:t>It was suggested that the focus should be optimising uptake of various programmes and services.</w:t>
            </w:r>
          </w:p>
        </w:tc>
      </w:tr>
      <w:tr w:rsidR="0098271D" w:rsidRPr="00B355DE" w14:paraId="4FC4CA78" w14:textId="77777777" w:rsidTr="00A73114">
        <w:trPr>
          <w:cantSplit w:val="0"/>
        </w:trPr>
        <w:tc>
          <w:tcPr>
            <w:tcW w:w="1451" w:type="pct"/>
            <w:shd w:val="clear" w:color="auto" w:fill="auto"/>
          </w:tcPr>
          <w:p w14:paraId="7DD2BF72"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Policy and strategy</w:t>
            </w:r>
          </w:p>
        </w:tc>
        <w:tc>
          <w:tcPr>
            <w:tcW w:w="3549" w:type="pct"/>
            <w:shd w:val="clear" w:color="auto" w:fill="auto"/>
          </w:tcPr>
          <w:p w14:paraId="19077FF6" w14:textId="593F39C8" w:rsidR="0098271D" w:rsidRPr="00B355DE" w:rsidRDefault="0098271D" w:rsidP="00254BB5">
            <w:pPr>
              <w:pStyle w:val="02Tabletext"/>
              <w:spacing w:before="0"/>
              <w:rPr>
                <w:rFonts w:ascii="Garamond" w:hAnsi="Garamond"/>
                <w:szCs w:val="18"/>
              </w:rPr>
            </w:pPr>
            <w:r w:rsidRPr="00B355DE">
              <w:rPr>
                <w:rFonts w:ascii="Garamond" w:hAnsi="Garamond"/>
                <w:szCs w:val="18"/>
              </w:rPr>
              <w:t>Participants agreed that generally the 5CPA programs/services added value and should be part of the overall preventative strategy for consumers</w:t>
            </w:r>
            <w:r>
              <w:rPr>
                <w:rFonts w:ascii="Garamond" w:hAnsi="Garamond"/>
                <w:szCs w:val="18"/>
              </w:rPr>
              <w:t xml:space="preserve">.  </w:t>
            </w:r>
            <w:r w:rsidRPr="00B355DE">
              <w:rPr>
                <w:rFonts w:ascii="Garamond" w:hAnsi="Garamond"/>
                <w:szCs w:val="18"/>
              </w:rPr>
              <w:t>Some stakeholders indic</w:t>
            </w:r>
            <w:r w:rsidR="00254BB5">
              <w:rPr>
                <w:rFonts w:ascii="Garamond" w:hAnsi="Garamond"/>
                <w:szCs w:val="18"/>
              </w:rPr>
              <w:t>at</w:t>
            </w:r>
            <w:r w:rsidRPr="00B355DE">
              <w:rPr>
                <w:rFonts w:ascii="Garamond" w:hAnsi="Garamond"/>
                <w:szCs w:val="18"/>
              </w:rPr>
              <w:t>ed there is opportunity for the MMPs to better support primary care services by being more widely accessible to consumers.</w:t>
            </w:r>
          </w:p>
        </w:tc>
      </w:tr>
      <w:tr w:rsidR="0098271D" w:rsidRPr="00B355DE" w14:paraId="50941C0E"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F2DBDB" w:themeFill="accent2" w:themeFillTint="33"/>
          </w:tcPr>
          <w:p w14:paraId="4B985015"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Unintended consequences</w:t>
            </w:r>
          </w:p>
        </w:tc>
        <w:tc>
          <w:tcPr>
            <w:tcW w:w="3549" w:type="pct"/>
            <w:shd w:val="clear" w:color="auto" w:fill="F2DBDB" w:themeFill="accent2" w:themeFillTint="33"/>
          </w:tcPr>
          <w:p w14:paraId="2D452473"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The majority of participants commented that MMPs, unintentionally foster business models that rely on quantity rather than quality.</w:t>
            </w:r>
          </w:p>
        </w:tc>
      </w:tr>
      <w:tr w:rsidR="0098271D" w:rsidRPr="00B355DE" w14:paraId="09DAC6FD" w14:textId="77777777" w:rsidTr="00A73114">
        <w:trPr>
          <w:cantSplit w:val="0"/>
        </w:trPr>
        <w:tc>
          <w:tcPr>
            <w:tcW w:w="1451" w:type="pct"/>
            <w:shd w:val="clear" w:color="auto" w:fill="auto"/>
          </w:tcPr>
          <w:p w14:paraId="5D051B7A" w14:textId="77777777" w:rsidR="0098271D" w:rsidRPr="00B03DE0" w:rsidRDefault="0098271D" w:rsidP="006730FA">
            <w:pPr>
              <w:pStyle w:val="02Tabletext"/>
              <w:spacing w:before="0"/>
              <w:rPr>
                <w:rFonts w:ascii="Garamond" w:hAnsi="Garamond"/>
                <w:szCs w:val="18"/>
              </w:rPr>
            </w:pPr>
            <w:r w:rsidRPr="00B03DE0">
              <w:rPr>
                <w:rFonts w:ascii="Garamond" w:hAnsi="Garamond"/>
                <w:szCs w:val="18"/>
              </w:rPr>
              <w:t>Interaction between programs</w:t>
            </w:r>
          </w:p>
        </w:tc>
        <w:tc>
          <w:tcPr>
            <w:tcW w:w="3549" w:type="pct"/>
            <w:shd w:val="clear" w:color="auto" w:fill="auto"/>
          </w:tcPr>
          <w:p w14:paraId="27FC01B8" w14:textId="77777777" w:rsidR="0098271D" w:rsidRPr="00B03DE0" w:rsidRDefault="0098271D" w:rsidP="006730FA">
            <w:pPr>
              <w:pStyle w:val="02Tabletext"/>
              <w:spacing w:before="0"/>
              <w:rPr>
                <w:rFonts w:ascii="Garamond" w:hAnsi="Garamond"/>
                <w:szCs w:val="18"/>
              </w:rPr>
            </w:pPr>
            <w:r w:rsidRPr="00B03DE0">
              <w:rPr>
                <w:rFonts w:ascii="Garamond" w:hAnsi="Garamond"/>
                <w:szCs w:val="18"/>
              </w:rPr>
              <w:t>The majority of participants commented that there was little interaction and that there was not a clear flow between MMPs, each program/service was seen as fulfilling a specific purpose and do not necessarily form part of a continuum.</w:t>
            </w:r>
          </w:p>
        </w:tc>
      </w:tr>
      <w:tr w:rsidR="0098271D" w:rsidRPr="00B355DE" w14:paraId="6D859CB7"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F2DBDB" w:themeFill="accent2" w:themeFillTint="33"/>
          </w:tcPr>
          <w:p w14:paraId="291094E7"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Areas for improvement – funding arrangements</w:t>
            </w:r>
          </w:p>
        </w:tc>
        <w:tc>
          <w:tcPr>
            <w:tcW w:w="3549" w:type="pct"/>
            <w:shd w:val="clear" w:color="auto" w:fill="F2DBDB" w:themeFill="accent2" w:themeFillTint="33"/>
          </w:tcPr>
          <w:p w14:paraId="7C2D3635" w14:textId="77777777" w:rsidR="0098271D" w:rsidRPr="00247CE7" w:rsidRDefault="0098271D" w:rsidP="006730FA">
            <w:pPr>
              <w:pStyle w:val="02Tabletext"/>
              <w:spacing w:before="0"/>
              <w:rPr>
                <w:rFonts w:ascii="Garamond" w:hAnsi="Garamond"/>
                <w:szCs w:val="18"/>
              </w:rPr>
            </w:pPr>
            <w:r w:rsidRPr="00B355DE">
              <w:rPr>
                <w:rFonts w:ascii="Garamond" w:hAnsi="Garamond"/>
                <w:szCs w:val="18"/>
              </w:rPr>
              <w:t>Funding arrangements could readjust to better facilitate programme objectives: funding could be moved out of CPA into MBS, enabling similar audit procedures; appropriate funding should be allocated to each health professional to incentivise collaboration for the benefit of the consumer.</w:t>
            </w:r>
          </w:p>
        </w:tc>
      </w:tr>
      <w:tr w:rsidR="00A73114" w:rsidRPr="00B355DE" w14:paraId="7E95C775" w14:textId="77777777" w:rsidTr="00A73114">
        <w:trPr>
          <w:cantSplit w:val="0"/>
        </w:trPr>
        <w:tc>
          <w:tcPr>
            <w:tcW w:w="1451" w:type="pct"/>
            <w:shd w:val="clear" w:color="auto" w:fill="000000" w:themeFill="text1"/>
          </w:tcPr>
          <w:p w14:paraId="6F6E0060" w14:textId="77777777" w:rsidR="00A73114" w:rsidRPr="00B355DE" w:rsidRDefault="00A73114" w:rsidP="006730FA">
            <w:pPr>
              <w:pStyle w:val="01Tableheadingorsubheading"/>
              <w:rPr>
                <w:rFonts w:ascii="Garamond" w:hAnsi="Garamond"/>
              </w:rPr>
            </w:pPr>
            <w:r w:rsidRPr="00B355DE">
              <w:rPr>
                <w:rFonts w:ascii="Garamond" w:hAnsi="Garamond"/>
              </w:rPr>
              <w:lastRenderedPageBreak/>
              <w:t>Practitioners/providers survey results</w:t>
            </w:r>
          </w:p>
        </w:tc>
        <w:tc>
          <w:tcPr>
            <w:tcW w:w="3549" w:type="pct"/>
            <w:shd w:val="clear" w:color="auto" w:fill="000000" w:themeFill="text1"/>
          </w:tcPr>
          <w:p w14:paraId="39DA1649" w14:textId="57799C4C" w:rsidR="00A73114" w:rsidRPr="00B355DE" w:rsidRDefault="00A73114" w:rsidP="006730FA">
            <w:pPr>
              <w:pStyle w:val="01Tableheadingorsubheading"/>
              <w:rPr>
                <w:rFonts w:ascii="Garamond" w:hAnsi="Garamond"/>
              </w:rPr>
            </w:pPr>
          </w:p>
        </w:tc>
      </w:tr>
      <w:tr w:rsidR="0098271D" w:rsidRPr="00B355DE" w14:paraId="1FE802B5"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FFFFFF" w:themeFill="background1"/>
          </w:tcPr>
          <w:p w14:paraId="5311C4A5"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Interaction between programs</w:t>
            </w:r>
          </w:p>
        </w:tc>
        <w:tc>
          <w:tcPr>
            <w:tcW w:w="3549" w:type="pct"/>
            <w:shd w:val="clear" w:color="auto" w:fill="FFFFFF" w:themeFill="background1"/>
          </w:tcPr>
          <w:p w14:paraId="6BB1D291" w14:textId="534B7304" w:rsidR="0098271D" w:rsidRPr="00B355DE" w:rsidRDefault="0098271D" w:rsidP="006730FA">
            <w:pPr>
              <w:pStyle w:val="02Tabletext"/>
              <w:spacing w:before="0"/>
              <w:rPr>
                <w:rFonts w:ascii="Garamond" w:hAnsi="Garamond"/>
                <w:szCs w:val="18"/>
              </w:rPr>
            </w:pPr>
            <w:r w:rsidRPr="00B355DE">
              <w:rPr>
                <w:rFonts w:ascii="Garamond" w:hAnsi="Garamond"/>
                <w:szCs w:val="18"/>
              </w:rPr>
              <w:t>Less than half of survey respondents agreed or strongly agreed that the linkages/pathways between the programs/services were clearly identified</w:t>
            </w:r>
            <w:r>
              <w:rPr>
                <w:rFonts w:ascii="Garamond" w:hAnsi="Garamond"/>
                <w:szCs w:val="18"/>
              </w:rPr>
              <w:t xml:space="preserve">.  </w:t>
            </w:r>
            <w:r w:rsidRPr="00B355DE">
              <w:rPr>
                <w:rFonts w:ascii="Garamond" w:hAnsi="Garamond"/>
                <w:szCs w:val="18"/>
              </w:rPr>
              <w:t>More than half agreed there were gaps in the services provided, resulting in unmet needs of the consumer.</w:t>
            </w:r>
          </w:p>
        </w:tc>
      </w:tr>
      <w:tr w:rsidR="0098271D" w:rsidRPr="00B355DE" w14:paraId="47DFD9E5" w14:textId="77777777" w:rsidTr="00A73114">
        <w:trPr>
          <w:cantSplit w:val="0"/>
        </w:trPr>
        <w:tc>
          <w:tcPr>
            <w:tcW w:w="1451" w:type="pct"/>
            <w:shd w:val="clear" w:color="auto" w:fill="F2DBDB" w:themeFill="accent2" w:themeFillTint="33"/>
          </w:tcPr>
          <w:p w14:paraId="22BCA150"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Factors influencing clinical decision making (asked of pharmacists and GPs)</w:t>
            </w:r>
          </w:p>
        </w:tc>
        <w:tc>
          <w:tcPr>
            <w:tcW w:w="3549" w:type="pct"/>
            <w:shd w:val="clear" w:color="auto" w:fill="F2DBDB" w:themeFill="accent2" w:themeFillTint="33"/>
          </w:tcPr>
          <w:p w14:paraId="39853F72" w14:textId="77777777" w:rsidR="0098271D" w:rsidRPr="00B355DE" w:rsidRDefault="0098271D" w:rsidP="006730FA">
            <w:pPr>
              <w:pStyle w:val="02Tabletext"/>
              <w:spacing w:before="0"/>
              <w:rPr>
                <w:rFonts w:ascii="Garamond" w:hAnsi="Garamond" w:cs="Georgia"/>
                <w:szCs w:val="18"/>
              </w:rPr>
            </w:pPr>
            <w:r w:rsidRPr="00B355DE">
              <w:rPr>
                <w:rFonts w:ascii="Garamond" w:hAnsi="Garamond"/>
                <w:szCs w:val="18"/>
              </w:rPr>
              <w:t>Among Accredited Pharmacists, the most common aspects of consumers’ needs influencing clinical judgement to provide MedsCheck/Diabetes MedsCheck</w:t>
            </w:r>
            <w:r>
              <w:rPr>
                <w:rFonts w:ascii="Garamond" w:hAnsi="Garamond"/>
                <w:szCs w:val="18"/>
              </w:rPr>
              <w:t xml:space="preserve"> services</w:t>
            </w:r>
            <w:r w:rsidRPr="00B355DE">
              <w:rPr>
                <w:rFonts w:ascii="Garamond" w:hAnsi="Garamond"/>
                <w:szCs w:val="18"/>
              </w:rPr>
              <w:t xml:space="preserve"> were: being able to address the consumers’ needs right away; consumer needs educating about medicines/health conditions; and consumer may require a less intensive medicines review.</w:t>
            </w:r>
          </w:p>
        </w:tc>
      </w:tr>
      <w:tr w:rsidR="0098271D" w:rsidRPr="00B355DE" w14:paraId="41CA13A1"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FFFFFF" w:themeFill="background1"/>
          </w:tcPr>
          <w:p w14:paraId="71B70C17" w14:textId="77777777" w:rsidR="0098271D" w:rsidRPr="00B355DE" w:rsidRDefault="0098271D" w:rsidP="006730FA">
            <w:pPr>
              <w:pStyle w:val="02Tabletext"/>
              <w:spacing w:before="0"/>
              <w:rPr>
                <w:rFonts w:ascii="Garamond" w:hAnsi="Garamond"/>
                <w:szCs w:val="18"/>
                <w:highlight w:val="cyan"/>
              </w:rPr>
            </w:pPr>
            <w:r w:rsidRPr="00B355DE">
              <w:rPr>
                <w:rFonts w:ascii="Garamond" w:hAnsi="Garamond"/>
                <w:szCs w:val="18"/>
              </w:rPr>
              <w:t>Screening/diagnostic/intervention tools</w:t>
            </w:r>
          </w:p>
        </w:tc>
        <w:tc>
          <w:tcPr>
            <w:tcW w:w="3549" w:type="pct"/>
            <w:shd w:val="clear" w:color="auto" w:fill="FFFFFF" w:themeFill="background1"/>
          </w:tcPr>
          <w:p w14:paraId="1657CFC2" w14:textId="77777777" w:rsidR="0098271D" w:rsidRPr="00B355DE" w:rsidRDefault="0098271D" w:rsidP="006730FA">
            <w:pPr>
              <w:autoSpaceDE w:val="0"/>
              <w:autoSpaceDN w:val="0"/>
              <w:adjustRightInd w:val="0"/>
              <w:spacing w:after="0"/>
              <w:rPr>
                <w:rFonts w:ascii="Garamond" w:hAnsi="Garamond" w:cs="Georgia"/>
                <w:sz w:val="18"/>
                <w:szCs w:val="18"/>
              </w:rPr>
            </w:pPr>
            <w:r>
              <w:rPr>
                <w:rFonts w:ascii="Garamond" w:hAnsi="Garamond" w:cs="Times New Roman"/>
                <w:sz w:val="18"/>
                <w:szCs w:val="18"/>
              </w:rPr>
              <w:t>Overall, MedsCheck</w:t>
            </w:r>
            <w:r w:rsidRPr="00B355DE">
              <w:rPr>
                <w:rFonts w:ascii="Garamond" w:hAnsi="Garamond" w:cs="Times New Roman"/>
                <w:sz w:val="18"/>
                <w:szCs w:val="18"/>
              </w:rPr>
              <w:t>/Diabetes MedsCheck</w:t>
            </w:r>
            <w:r>
              <w:rPr>
                <w:rFonts w:ascii="Garamond" w:hAnsi="Garamond" w:cs="Times New Roman"/>
                <w:sz w:val="18"/>
                <w:szCs w:val="18"/>
              </w:rPr>
              <w:t xml:space="preserve"> service</w:t>
            </w:r>
            <w:r w:rsidRPr="00B355DE">
              <w:rPr>
                <w:rFonts w:ascii="Garamond" w:hAnsi="Garamond" w:cs="Times New Roman"/>
                <w:sz w:val="18"/>
                <w:szCs w:val="18"/>
              </w:rPr>
              <w:t>s were not viewed as screening and diagnostic tools</w:t>
            </w:r>
            <w:r>
              <w:rPr>
                <w:rFonts w:ascii="Garamond" w:hAnsi="Garamond" w:cs="Times New Roman"/>
                <w:sz w:val="18"/>
                <w:szCs w:val="18"/>
              </w:rPr>
              <w:t xml:space="preserve">.  </w:t>
            </w:r>
            <w:r w:rsidRPr="00B355DE">
              <w:rPr>
                <w:rFonts w:ascii="Garamond" w:hAnsi="Garamond" w:cs="Times New Roman"/>
                <w:sz w:val="18"/>
                <w:szCs w:val="18"/>
              </w:rPr>
              <w:t>Rather, they were viewed as either predominantly medication management intervention tools or medication risk prevention tools</w:t>
            </w:r>
            <w:r>
              <w:rPr>
                <w:rFonts w:ascii="Garamond" w:hAnsi="Garamond" w:cs="Times New Roman"/>
                <w:sz w:val="18"/>
                <w:szCs w:val="18"/>
              </w:rPr>
              <w:t xml:space="preserve">.  </w:t>
            </w:r>
          </w:p>
        </w:tc>
      </w:tr>
      <w:tr w:rsidR="0098271D" w:rsidRPr="00B355DE" w14:paraId="20D9408E" w14:textId="77777777" w:rsidTr="00A73114">
        <w:trPr>
          <w:cantSplit w:val="0"/>
        </w:trPr>
        <w:tc>
          <w:tcPr>
            <w:tcW w:w="1451" w:type="pct"/>
            <w:shd w:val="clear" w:color="auto" w:fill="F2DBDB" w:themeFill="accent2" w:themeFillTint="33"/>
          </w:tcPr>
          <w:p w14:paraId="005FCC47"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Provider satisfaction</w:t>
            </w:r>
          </w:p>
        </w:tc>
        <w:tc>
          <w:tcPr>
            <w:tcW w:w="3549" w:type="pct"/>
            <w:shd w:val="clear" w:color="auto" w:fill="F2DBDB" w:themeFill="accent2" w:themeFillTint="33"/>
          </w:tcPr>
          <w:p w14:paraId="762C6986" w14:textId="77777777" w:rsidR="0098271D" w:rsidRPr="00B355DE" w:rsidRDefault="0098271D" w:rsidP="006730FA">
            <w:pPr>
              <w:autoSpaceDE w:val="0"/>
              <w:autoSpaceDN w:val="0"/>
              <w:adjustRightInd w:val="0"/>
              <w:spacing w:after="0"/>
              <w:rPr>
                <w:rFonts w:ascii="Garamond" w:hAnsi="Garamond"/>
                <w:sz w:val="18"/>
                <w:szCs w:val="18"/>
              </w:rPr>
            </w:pPr>
            <w:r w:rsidRPr="00B355DE">
              <w:rPr>
                <w:rFonts w:ascii="Garamond" w:hAnsi="Garamond"/>
                <w:sz w:val="18"/>
                <w:szCs w:val="18"/>
              </w:rPr>
              <w:t>Just over half of those involved in MedsCheck/Diabetes MedsCheck reported being satisfied or very satisfied</w:t>
            </w:r>
            <w:r>
              <w:rPr>
                <w:rFonts w:ascii="Garamond" w:hAnsi="Garamond"/>
                <w:sz w:val="18"/>
                <w:szCs w:val="18"/>
              </w:rPr>
              <w:t xml:space="preserve">.  </w:t>
            </w:r>
            <w:r w:rsidRPr="00B355DE">
              <w:rPr>
                <w:rFonts w:ascii="Garamond" w:hAnsi="Garamond"/>
                <w:sz w:val="18"/>
                <w:szCs w:val="18"/>
              </w:rPr>
              <w:t>The majority of those who noted being dissatisfied or very dissatisfied with their involvement attributed this to regular policy changes, particularly the recent capping, and expressed discontent at the limited peak body representation</w:t>
            </w:r>
            <w:r>
              <w:rPr>
                <w:rFonts w:ascii="Garamond" w:hAnsi="Garamond"/>
                <w:sz w:val="18"/>
                <w:szCs w:val="18"/>
              </w:rPr>
              <w:t xml:space="preserve">.  </w:t>
            </w:r>
            <w:r w:rsidRPr="00B355DE">
              <w:rPr>
                <w:rFonts w:ascii="Garamond" w:hAnsi="Garamond"/>
                <w:sz w:val="18"/>
                <w:szCs w:val="18"/>
              </w:rPr>
              <w:t>The majority reported being satisfied with the benefit their consumers received through the MedsCheck/Diabetes MedsCheck program.</w:t>
            </w:r>
          </w:p>
        </w:tc>
      </w:tr>
      <w:tr w:rsidR="0098271D" w:rsidRPr="00B355DE" w14:paraId="7C5D850D" w14:textId="77777777" w:rsidTr="00A73114">
        <w:trPr>
          <w:cnfStyle w:val="000000010000" w:firstRow="0" w:lastRow="0" w:firstColumn="0" w:lastColumn="0" w:oddVBand="0" w:evenVBand="0" w:oddHBand="0" w:evenHBand="1" w:firstRowFirstColumn="0" w:firstRowLastColumn="0" w:lastRowFirstColumn="0" w:lastRowLastColumn="0"/>
          <w:cantSplit w:val="0"/>
        </w:trPr>
        <w:tc>
          <w:tcPr>
            <w:tcW w:w="1451" w:type="pct"/>
            <w:shd w:val="clear" w:color="auto" w:fill="FFFFFF" w:themeFill="background1"/>
          </w:tcPr>
          <w:p w14:paraId="498E47A6"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Collaboration</w:t>
            </w:r>
          </w:p>
        </w:tc>
        <w:tc>
          <w:tcPr>
            <w:tcW w:w="3549" w:type="pct"/>
            <w:shd w:val="clear" w:color="auto" w:fill="FFFFFF" w:themeFill="background1"/>
          </w:tcPr>
          <w:p w14:paraId="725F90C1" w14:textId="77777777" w:rsidR="0098271D" w:rsidRPr="00B355DE" w:rsidRDefault="0098271D" w:rsidP="006730FA">
            <w:pPr>
              <w:pStyle w:val="02Tabletext"/>
              <w:spacing w:before="0"/>
              <w:rPr>
                <w:rFonts w:ascii="Garamond" w:hAnsi="Garamond"/>
                <w:szCs w:val="18"/>
              </w:rPr>
            </w:pPr>
            <w:r w:rsidRPr="00B355DE">
              <w:rPr>
                <w:rFonts w:ascii="Garamond" w:hAnsi="Garamond"/>
                <w:szCs w:val="18"/>
              </w:rPr>
              <w:t>GPs reported communicating with pharmacists after the service somewhat more commonly than pharmacists reported communicating with the GP</w:t>
            </w:r>
            <w:r>
              <w:rPr>
                <w:rFonts w:ascii="Garamond" w:hAnsi="Garamond"/>
                <w:szCs w:val="18"/>
              </w:rPr>
              <w:t xml:space="preserve">.  </w:t>
            </w:r>
          </w:p>
          <w:p w14:paraId="57413A11" w14:textId="77777777" w:rsidR="0098271D" w:rsidRPr="00B355DE" w:rsidRDefault="0098271D" w:rsidP="006730FA">
            <w:pPr>
              <w:autoSpaceDE w:val="0"/>
              <w:autoSpaceDN w:val="0"/>
              <w:adjustRightInd w:val="0"/>
              <w:spacing w:after="0"/>
              <w:rPr>
                <w:rFonts w:ascii="Garamond" w:hAnsi="Garamond"/>
                <w:sz w:val="18"/>
                <w:szCs w:val="18"/>
              </w:rPr>
            </w:pPr>
            <w:r w:rsidRPr="00B355DE">
              <w:rPr>
                <w:rFonts w:ascii="Garamond" w:hAnsi="Garamond"/>
                <w:sz w:val="18"/>
                <w:szCs w:val="18"/>
              </w:rPr>
              <w:t>A breakdown was not available by specific program.</w:t>
            </w:r>
          </w:p>
        </w:tc>
      </w:tr>
    </w:tbl>
    <w:p w14:paraId="1B04F741" w14:textId="77777777" w:rsidR="00D379A7" w:rsidRPr="00856CBF" w:rsidRDefault="00D379A7" w:rsidP="00D379A7">
      <w:pPr>
        <w:pStyle w:val="08Tablefootnotes"/>
        <w:rPr>
          <w:rFonts w:ascii="Garamond" w:hAnsi="Garamond"/>
        </w:rPr>
      </w:pPr>
      <w:r w:rsidRPr="00856CBF">
        <w:rPr>
          <w:rFonts w:ascii="Garamond" w:hAnsi="Garamond"/>
        </w:rPr>
        <w:t>Source: PricewaterhouseCoopers Combined Review of 5CPA Medication Management Programmes (2015)</w:t>
      </w:r>
    </w:p>
    <w:p w14:paraId="288E3F33" w14:textId="13CC8447" w:rsidR="00D379A7" w:rsidRPr="00856CBF" w:rsidRDefault="00D379A7" w:rsidP="00D379A7">
      <w:pPr>
        <w:pStyle w:val="08Tablefootnotes"/>
        <w:rPr>
          <w:rFonts w:ascii="Garamond" w:hAnsi="Garamond"/>
        </w:rPr>
      </w:pPr>
      <w:r w:rsidRPr="00856CBF">
        <w:rPr>
          <w:rFonts w:ascii="Garamond" w:hAnsi="Garamond"/>
        </w:rPr>
        <w:t xml:space="preserve">Abbreviations: 5CPA, Fifth Community Pharmacy Agreement; GP, general practitioner; HMR, Home Medication Review; </w:t>
      </w:r>
      <w:r w:rsidR="00DA01FB">
        <w:rPr>
          <w:rFonts w:ascii="Garamond" w:hAnsi="Garamond"/>
        </w:rPr>
        <w:t xml:space="preserve">MBS, </w:t>
      </w:r>
      <w:r w:rsidR="00DA01FB" w:rsidRPr="00DA01FB">
        <w:rPr>
          <w:rFonts w:ascii="Garamond" w:hAnsi="Garamond"/>
        </w:rPr>
        <w:t>Medicare Benefits Schedule</w:t>
      </w:r>
      <w:r w:rsidR="00DA01FB">
        <w:rPr>
          <w:rFonts w:ascii="Garamond" w:hAnsi="Garamond"/>
        </w:rPr>
        <w:t xml:space="preserve">; </w:t>
      </w:r>
      <w:r w:rsidRPr="00856CBF">
        <w:rPr>
          <w:rFonts w:ascii="Garamond" w:hAnsi="Garamond"/>
        </w:rPr>
        <w:t>MMPs, Medica</w:t>
      </w:r>
      <w:r w:rsidR="00DA01FB">
        <w:rPr>
          <w:rFonts w:ascii="Garamond" w:hAnsi="Garamond"/>
        </w:rPr>
        <w:t>tion Management Programmes</w:t>
      </w:r>
      <w:r w:rsidRPr="00856CBF">
        <w:rPr>
          <w:rFonts w:ascii="Garamond" w:hAnsi="Garamond"/>
        </w:rPr>
        <w:t>..</w:t>
      </w:r>
    </w:p>
    <w:p w14:paraId="29E6B185" w14:textId="77777777" w:rsidR="00620F52" w:rsidRPr="008D241F" w:rsidRDefault="00620F52" w:rsidP="00620F52">
      <w:pPr>
        <w:pStyle w:val="Heading3"/>
      </w:pPr>
      <w:r w:rsidRPr="008D241F">
        <w:t>Changes in adherence/compliance/concordance with prescribed dose schedule</w:t>
      </w:r>
    </w:p>
    <w:p w14:paraId="1234F384" w14:textId="39F6701A" w:rsidR="00235339" w:rsidRDefault="00620F52" w:rsidP="00235339">
      <w:pPr>
        <w:pStyle w:val="01BODYTEXT"/>
      </w:pPr>
      <w:r>
        <w:t xml:space="preserve">All </w:t>
      </w:r>
      <w:r w:rsidR="00235339">
        <w:t>stakeholders</w:t>
      </w:r>
      <w:r w:rsidR="00254BB5">
        <w:t xml:space="preserve"> </w:t>
      </w:r>
      <w:r w:rsidR="00235339">
        <w:t>consult</w:t>
      </w:r>
      <w:r w:rsidR="00254BB5">
        <w:t>ed</w:t>
      </w:r>
      <w:r w:rsidR="00235339">
        <w:t xml:space="preserve"> commented that consistent perceived benefits of the MMP</w:t>
      </w:r>
      <w:r w:rsidR="004569E5">
        <w:t>s</w:t>
      </w:r>
      <w:r w:rsidR="00235339">
        <w:t xml:space="preserve"> included educating consumers about correct medication adherence; and improving consumers’ confidence/compliance in taking medicines</w:t>
      </w:r>
      <w:r w:rsidR="00756837">
        <w:t xml:space="preserve">.  </w:t>
      </w:r>
    </w:p>
    <w:p w14:paraId="146ECB46" w14:textId="26C8DE7E" w:rsidR="00235339" w:rsidRDefault="00235339" w:rsidP="004569E5">
      <w:pPr>
        <w:pStyle w:val="02Bodytextbeforesingle-sentencebullets"/>
      </w:pPr>
      <w:r>
        <w:t>The consumer survey</w:t>
      </w:r>
      <w:r w:rsidR="00D2714A">
        <w:rPr>
          <w:rStyle w:val="FootnoteReference"/>
        </w:rPr>
        <w:footnoteReference w:id="7"/>
      </w:r>
      <w:r>
        <w:t xml:space="preserve"> evaluated consumers’ self-reported level of medication adherence </w:t>
      </w:r>
      <w:r w:rsidR="00101B6E">
        <w:t>and found that</w:t>
      </w:r>
      <w:r>
        <w:t xml:space="preserve">: </w:t>
      </w:r>
    </w:p>
    <w:p w14:paraId="7978F85F" w14:textId="77777777" w:rsidR="00235339" w:rsidRDefault="00235339" w:rsidP="00235339">
      <w:pPr>
        <w:pStyle w:val="06Bulletsonelongsentence"/>
        <w:numPr>
          <w:ilvl w:val="0"/>
          <w:numId w:val="18"/>
        </w:numPr>
        <w:ind w:left="357" w:hanging="357"/>
      </w:pPr>
      <w:r>
        <w:t>Overall, the majority of participants were partially non-adherent (53%) to their medication while just under half of all participants were completely adherent (44%) to their medication</w:t>
      </w:r>
      <w:r w:rsidR="00756837">
        <w:t xml:space="preserve">.  </w:t>
      </w:r>
      <w:r>
        <w:t>The level of complete medication adherence appears to increase with age from 35 years.</w:t>
      </w:r>
    </w:p>
    <w:p w14:paraId="30DD3A57" w14:textId="77777777" w:rsidR="00235339" w:rsidRDefault="00235339" w:rsidP="00235339">
      <w:pPr>
        <w:pStyle w:val="06Bulletsonelongsentence"/>
        <w:numPr>
          <w:ilvl w:val="0"/>
          <w:numId w:val="18"/>
        </w:numPr>
        <w:ind w:left="357" w:hanging="357"/>
      </w:pPr>
      <w:r>
        <w:t>Complete adherence was highest (57%) among participants who viewed their general health status to be excellent, decreasing with health status.</w:t>
      </w:r>
    </w:p>
    <w:p w14:paraId="3213EFC0" w14:textId="1C8025CD" w:rsidR="00235339" w:rsidRDefault="00235339" w:rsidP="00235339">
      <w:pPr>
        <w:pStyle w:val="06Bulletsonelongsentence"/>
        <w:numPr>
          <w:ilvl w:val="0"/>
          <w:numId w:val="18"/>
        </w:numPr>
        <w:ind w:left="357" w:hanging="357"/>
      </w:pPr>
      <w:r>
        <w:t>There were no large differences in complete or partial medication adherence between people consuming a small number (</w:t>
      </w:r>
      <w:r w:rsidR="00101B6E">
        <w:t>e.g. one</w:t>
      </w:r>
      <w:r>
        <w:t>) of medicines compared to people consuming a higher number of medicines (</w:t>
      </w:r>
      <w:r w:rsidR="00101B6E">
        <w:t xml:space="preserve">e.g. </w:t>
      </w:r>
      <w:r>
        <w:t>10+).</w:t>
      </w:r>
    </w:p>
    <w:p w14:paraId="00DBFDB2" w14:textId="77777777" w:rsidR="00620F52" w:rsidRPr="008D241F" w:rsidRDefault="00620F52" w:rsidP="00620F52">
      <w:pPr>
        <w:pStyle w:val="Heading3"/>
      </w:pPr>
      <w:r w:rsidRPr="008D241F">
        <w:t>Changes in clinical outcomes</w:t>
      </w:r>
    </w:p>
    <w:p w14:paraId="569049F9" w14:textId="2E2DA353" w:rsidR="00232751" w:rsidRDefault="00E57672" w:rsidP="00E57672">
      <w:pPr>
        <w:pStyle w:val="BodyText"/>
      </w:pPr>
      <w:r w:rsidRPr="00E5461C">
        <w:t>All stakeholders</w:t>
      </w:r>
      <w:r w:rsidR="00254BB5">
        <w:t xml:space="preserve"> </w:t>
      </w:r>
      <w:r>
        <w:t>consult</w:t>
      </w:r>
      <w:r w:rsidR="00254BB5">
        <w:t>ed</w:t>
      </w:r>
      <w:r w:rsidRPr="00E5461C">
        <w:t xml:space="preserve"> commented that </w:t>
      </w:r>
      <w:r w:rsidR="009D65E4">
        <w:t xml:space="preserve">MMPs </w:t>
      </w:r>
      <w:r w:rsidRPr="00E5461C">
        <w:t xml:space="preserve">were contributing to improving consumer health outcomes and consistent perceived benefits were cited as: improving consumer </w:t>
      </w:r>
      <w:r>
        <w:t xml:space="preserve">health and </w:t>
      </w:r>
      <w:r w:rsidRPr="00E5461C">
        <w:t>reducing hospital admissions due to medi</w:t>
      </w:r>
      <w:r>
        <w:t>cation misadventures</w:t>
      </w:r>
      <w:r w:rsidR="00756837">
        <w:t xml:space="preserve">.  </w:t>
      </w:r>
      <w:r w:rsidRPr="00E5461C">
        <w:t>However the majority of stakeholders also commented that impacts and outcomes of the services needed to be reviewed regularly to ensure that the budget was being well spent and cost effective</w:t>
      </w:r>
      <w:r w:rsidR="00756837">
        <w:t xml:space="preserve">.  </w:t>
      </w:r>
      <w:r w:rsidR="002A752F">
        <w:t>“</w:t>
      </w:r>
      <w:r w:rsidRPr="00E5461C">
        <w:t>Due to the programmes and reviews being undertaken in isolation to other initiatives within primary health care, it is often difficult to attribute health outcomes to having received a M</w:t>
      </w:r>
      <w:r w:rsidR="00101B6E">
        <w:t>MP</w:t>
      </w:r>
      <w:r w:rsidR="002A752F">
        <w:t>”</w:t>
      </w:r>
      <w:r w:rsidR="00756837">
        <w:t xml:space="preserve">.  </w:t>
      </w:r>
    </w:p>
    <w:p w14:paraId="6179D6C4" w14:textId="1ACC6E60" w:rsidR="00232751" w:rsidRDefault="00232751" w:rsidP="00232751">
      <w:pPr>
        <w:pStyle w:val="02Bodytextbeforesingle-sentencebullets"/>
      </w:pPr>
      <w:r>
        <w:lastRenderedPageBreak/>
        <w:t>Pharmacists reported that t</w:t>
      </w:r>
      <w:r w:rsidR="00E57672" w:rsidRPr="00A31DDB">
        <w:t>he main outcomes and recommendations recorded for their MedsC</w:t>
      </w:r>
      <w:r w:rsidR="00E57672">
        <w:t xml:space="preserve">heck/Diabetes </w:t>
      </w:r>
      <w:r w:rsidR="00E57672" w:rsidRPr="00A31DDB">
        <w:t xml:space="preserve">MedsCheck service were: </w:t>
      </w:r>
    </w:p>
    <w:p w14:paraId="63C7693F" w14:textId="77777777" w:rsidR="00232751" w:rsidRDefault="00E57672" w:rsidP="00232751">
      <w:pPr>
        <w:pStyle w:val="06Bulletsonelongsentence"/>
      </w:pPr>
      <w:r w:rsidRPr="00A31DDB">
        <w:t>patient was educated on how to best use their medicines and or</w:t>
      </w:r>
      <w:r>
        <w:t xml:space="preserve"> </w:t>
      </w:r>
      <w:r w:rsidRPr="00A31DDB">
        <w:t>device (42%)</w:t>
      </w:r>
      <w:r w:rsidR="00232751">
        <w:t>;</w:t>
      </w:r>
    </w:p>
    <w:p w14:paraId="65041A52" w14:textId="77777777" w:rsidR="00232751" w:rsidRDefault="00E57672" w:rsidP="00232751">
      <w:pPr>
        <w:pStyle w:val="06Bulletsonelongsentence"/>
      </w:pPr>
      <w:r w:rsidRPr="00A31DDB">
        <w:t>information provided on medicine and or disease state-no further action</w:t>
      </w:r>
      <w:r>
        <w:t xml:space="preserve"> </w:t>
      </w:r>
      <w:r w:rsidRPr="00A31DDB">
        <w:t>required (37%)</w:t>
      </w:r>
      <w:r w:rsidR="00232751">
        <w:t>;</w:t>
      </w:r>
    </w:p>
    <w:p w14:paraId="015AA1B9" w14:textId="77777777" w:rsidR="00232751" w:rsidRDefault="00E57672" w:rsidP="00232751">
      <w:pPr>
        <w:pStyle w:val="06Bulletsonelongsentence"/>
      </w:pPr>
      <w:r w:rsidRPr="00A31DDB">
        <w:t>refer</w:t>
      </w:r>
      <w:r>
        <w:t>red patient to prescriber (9%)</w:t>
      </w:r>
      <w:r w:rsidR="00232751">
        <w:t>;</w:t>
      </w:r>
    </w:p>
    <w:p w14:paraId="69079427" w14:textId="77777777" w:rsidR="00232751" w:rsidRDefault="00E57672" w:rsidP="00232751">
      <w:pPr>
        <w:pStyle w:val="06Bulletsonelongsentence"/>
      </w:pPr>
      <w:r w:rsidRPr="00A31DDB">
        <w:t>DAAs were recommended for 34,603 (6%) of consumers</w:t>
      </w:r>
      <w:r w:rsidR="00232751">
        <w:t>;</w:t>
      </w:r>
      <w:r w:rsidRPr="00A31DDB">
        <w:t xml:space="preserve"> and </w:t>
      </w:r>
    </w:p>
    <w:p w14:paraId="29E09EBA" w14:textId="62CB80DF" w:rsidR="00E57672" w:rsidRDefault="00E57672" w:rsidP="00232751">
      <w:pPr>
        <w:pStyle w:val="06Bulletsonelongsentence"/>
      </w:pPr>
      <w:r w:rsidRPr="00A31DDB">
        <w:t>HMRs were recommended</w:t>
      </w:r>
      <w:r>
        <w:t xml:space="preserve"> </w:t>
      </w:r>
      <w:r w:rsidRPr="00A31DDB">
        <w:t>for 2,149 (&lt;1%).</w:t>
      </w:r>
    </w:p>
    <w:p w14:paraId="6E155542" w14:textId="54559084" w:rsidR="00E57672" w:rsidRDefault="00E57672" w:rsidP="00254BB5">
      <w:pPr>
        <w:pStyle w:val="01BODYTEXT"/>
      </w:pPr>
      <w:r w:rsidRPr="00A733E9">
        <w:t>Consumer perspectives of changes in clinical outcomes resulting from receiving a MedsCheck/Diabetes MedsCheck were ascertained via consumer survey</w:t>
      </w:r>
      <w:r w:rsidR="00756837">
        <w:t xml:space="preserve">. </w:t>
      </w:r>
      <w:r w:rsidRPr="00A733E9">
        <w:t xml:space="preserve"> </w:t>
      </w:r>
      <w:r w:rsidR="00232751">
        <w:t>T</w:t>
      </w:r>
      <w:r>
        <w:t>he consumers</w:t>
      </w:r>
      <w:r w:rsidR="00232751">
        <w:t xml:space="preserve"> </w:t>
      </w:r>
      <w:r w:rsidR="0072150F">
        <w:t>survey found that</w:t>
      </w:r>
      <w:r>
        <w:t xml:space="preserve">: </w:t>
      </w:r>
    </w:p>
    <w:p w14:paraId="6F3684A1" w14:textId="78ABCC96" w:rsidR="00E57672" w:rsidRDefault="0072150F" w:rsidP="006648D9">
      <w:pPr>
        <w:pStyle w:val="06Bulletsonelongsentence"/>
        <w:numPr>
          <w:ilvl w:val="0"/>
          <w:numId w:val="18"/>
        </w:numPr>
        <w:spacing w:before="120"/>
        <w:ind w:left="357" w:hanging="357"/>
      </w:pPr>
      <w:r>
        <w:t>t</w:t>
      </w:r>
      <w:r w:rsidR="00E57672">
        <w:t>he majority of participants, regardless of age group, either completely agreed or partially agreed that receiving a MedsCheck/Diabetes MedsCheck had a perceived impact on their health, confidence, side effects experienced an</w:t>
      </w:r>
      <w:r>
        <w:t>d/or understanding of medicines;</w:t>
      </w:r>
    </w:p>
    <w:p w14:paraId="198B0256" w14:textId="622D0691" w:rsidR="00E57672" w:rsidRDefault="0072150F" w:rsidP="006648D9">
      <w:pPr>
        <w:pStyle w:val="06Bulletsonelongsentence"/>
        <w:numPr>
          <w:ilvl w:val="0"/>
          <w:numId w:val="18"/>
        </w:numPr>
        <w:spacing w:before="120"/>
        <w:ind w:left="357" w:hanging="357"/>
      </w:pPr>
      <w:r>
        <w:t>a</w:t>
      </w:r>
      <w:r w:rsidR="00E57672">
        <w:t xml:space="preserve"> higher percentage of participants who perceived thei</w:t>
      </w:r>
      <w:r w:rsidR="0021125A">
        <w:t>r health status to be e</w:t>
      </w:r>
      <w:r w:rsidR="00E57672">
        <w:t>xcellent</w:t>
      </w:r>
      <w:r w:rsidR="0021125A">
        <w:t>,</w:t>
      </w:r>
      <w:r w:rsidR="00E57672">
        <w:t xml:space="preserve"> completely agreed that receiving a receiving a MedsCheck/Diabetes MedsCheck had a perceived impact on their health, confidence, side effects experienced and/or understanding of medicines</w:t>
      </w:r>
      <w:r>
        <w:t>; and</w:t>
      </w:r>
    </w:p>
    <w:p w14:paraId="04E55BD0" w14:textId="2E803777" w:rsidR="00E57672" w:rsidRPr="00AC0E7C" w:rsidRDefault="0072150F" w:rsidP="006648D9">
      <w:pPr>
        <w:pStyle w:val="06Bulletsonelongsentence"/>
        <w:numPr>
          <w:ilvl w:val="0"/>
          <w:numId w:val="18"/>
        </w:numPr>
        <w:spacing w:before="120"/>
        <w:ind w:left="357" w:hanging="357"/>
      </w:pPr>
      <w:r>
        <w:t>a</w:t>
      </w:r>
      <w:r w:rsidR="00E57672">
        <w:t xml:space="preserve"> higher percentage of participants on fewer medicines completely agreed that receiving a MedsCheck/Diabetes MedsCheck had a perceived impact on their health, confidence, side effects experienced and/or understanding of medicines</w:t>
      </w:r>
      <w:r w:rsidR="00756837">
        <w:t xml:space="preserve">.  </w:t>
      </w:r>
    </w:p>
    <w:p w14:paraId="6DFFE15F" w14:textId="77777777" w:rsidR="00620F52" w:rsidRPr="008D241F" w:rsidRDefault="00620F52" w:rsidP="00620F52">
      <w:pPr>
        <w:pStyle w:val="Heading3"/>
      </w:pPr>
      <w:r w:rsidRPr="008D241F">
        <w:t>Health care resource use</w:t>
      </w:r>
    </w:p>
    <w:p w14:paraId="6B049F65" w14:textId="13C1EA4B" w:rsidR="0074316C" w:rsidRDefault="00184363" w:rsidP="00164179">
      <w:pPr>
        <w:pStyle w:val="01BODYTEXT"/>
      </w:pPr>
      <w:r>
        <w:t>Utilisation analysis showed that there were a</w:t>
      </w:r>
      <w:r w:rsidR="0074316C" w:rsidRPr="00A31DDB">
        <w:t xml:space="preserve"> total of 5</w:t>
      </w:r>
      <w:r w:rsidR="0074316C">
        <w:t>,</w:t>
      </w:r>
      <w:r w:rsidR="0074316C" w:rsidRPr="00A31DDB">
        <w:t>162 pharmacies participated in deliveri</w:t>
      </w:r>
      <w:r w:rsidR="0074316C">
        <w:t xml:space="preserve">ng MedsCheck/Diabetes MedsCheck </w:t>
      </w:r>
      <w:r w:rsidR="0074316C" w:rsidRPr="00A31DDB">
        <w:t>services</w:t>
      </w:r>
      <w:r w:rsidR="0084198A">
        <w:t xml:space="preserve"> between 1</w:t>
      </w:r>
      <w:r w:rsidR="0021125A" w:rsidRPr="0021125A">
        <w:rPr>
          <w:vertAlign w:val="superscript"/>
        </w:rPr>
        <w:t>st</w:t>
      </w:r>
      <w:r w:rsidR="0021125A">
        <w:t xml:space="preserve"> </w:t>
      </w:r>
      <w:r w:rsidR="0084198A">
        <w:t>July 2010 and 28</w:t>
      </w:r>
      <w:r w:rsidR="0021125A" w:rsidRPr="0021125A">
        <w:rPr>
          <w:vertAlign w:val="superscript"/>
        </w:rPr>
        <w:t>th</w:t>
      </w:r>
      <w:r w:rsidR="0021125A">
        <w:t xml:space="preserve"> </w:t>
      </w:r>
      <w:r w:rsidR="0084198A">
        <w:t>February 2014</w:t>
      </w:r>
      <w:r w:rsidR="00756837">
        <w:t xml:space="preserve">.  </w:t>
      </w:r>
      <w:r w:rsidR="00681048">
        <w:t>For this period, a</w:t>
      </w:r>
      <w:r w:rsidR="0074316C" w:rsidRPr="00A31DDB">
        <w:t xml:space="preserve"> total of 601,174 MedsCheck/Diabetes MedsCheck</w:t>
      </w:r>
      <w:r w:rsidR="00AA3FF8">
        <w:t xml:space="preserve"> service</w:t>
      </w:r>
      <w:r w:rsidR="0074316C">
        <w:t xml:space="preserve">s were conducted, with a median </w:t>
      </w:r>
      <w:r w:rsidR="0074316C" w:rsidRPr="00A31DDB">
        <w:t>number of 53 MedsCheck/Diabetes MedsCheck</w:t>
      </w:r>
      <w:r w:rsidR="00AA3FF8">
        <w:t xml:space="preserve"> service</w:t>
      </w:r>
      <w:r w:rsidR="0074316C" w:rsidRPr="00A31DDB">
        <w:t>s pro</w:t>
      </w:r>
      <w:r w:rsidR="00681048">
        <w:t>vided per pharmacy, and</w:t>
      </w:r>
      <w:r w:rsidR="0074316C">
        <w:t xml:space="preserve"> 50% of </w:t>
      </w:r>
      <w:r w:rsidR="0074316C" w:rsidRPr="00A31DDB">
        <w:t>pharmacies conducting between 7 and 86 MedsChec</w:t>
      </w:r>
      <w:r w:rsidR="0074316C">
        <w:t>k services each.</w:t>
      </w:r>
      <w:r w:rsidR="0074316C">
        <w:rPr>
          <w:rStyle w:val="FootnoteReference"/>
          <w:rFonts w:cstheme="minorBidi"/>
        </w:rPr>
        <w:footnoteReference w:id="8"/>
      </w:r>
      <w:r w:rsidR="0074316C">
        <w:t xml:space="preserve"> </w:t>
      </w:r>
      <w:r w:rsidR="0021125A">
        <w:t xml:space="preserve"> </w:t>
      </w:r>
      <w:r w:rsidR="0074316C">
        <w:t xml:space="preserve">The median number of </w:t>
      </w:r>
      <w:r w:rsidR="0074316C" w:rsidRPr="00B4036D">
        <w:t xml:space="preserve">MedsCheck/Diabetes </w:t>
      </w:r>
      <w:r w:rsidR="0074316C">
        <w:t xml:space="preserve">MedsCheck services provided per </w:t>
      </w:r>
      <w:r w:rsidR="0074316C" w:rsidRPr="00B4036D">
        <w:t>pharmacist was 24.</w:t>
      </w:r>
      <w:r w:rsidR="0021125A">
        <w:t xml:space="preserve">  </w:t>
      </w:r>
      <w:r w:rsidR="00376EE3">
        <w:t>A</w:t>
      </w:r>
      <w:r w:rsidR="0074316C">
        <w:t>pproximately 12% (69,</w:t>
      </w:r>
      <w:r w:rsidR="00376EE3">
        <w:t>914), o</w:t>
      </w:r>
      <w:r w:rsidR="00376EE3" w:rsidRPr="00A31DDB">
        <w:t>f total MedsCheck/Diabetes MedsCheck serv</w:t>
      </w:r>
      <w:r w:rsidR="00376EE3">
        <w:t xml:space="preserve">ices </w:t>
      </w:r>
      <w:r w:rsidR="0074316C">
        <w:t xml:space="preserve">were Diabetes </w:t>
      </w:r>
      <w:r w:rsidR="0074316C" w:rsidRPr="00A31DDB">
        <w:t>MedsCheck</w:t>
      </w:r>
      <w:r w:rsidR="00AA3FF8">
        <w:t xml:space="preserve"> service</w:t>
      </w:r>
      <w:r w:rsidR="0074316C" w:rsidRPr="00A31DDB">
        <w:t>s</w:t>
      </w:r>
      <w:r w:rsidR="00756837">
        <w:t xml:space="preserve">.  </w:t>
      </w:r>
      <w:r w:rsidR="0074316C" w:rsidRPr="00A733E9">
        <w:t>MedsCheck</w:t>
      </w:r>
      <w:r w:rsidR="00AA3FF8">
        <w:t xml:space="preserve"> service</w:t>
      </w:r>
      <w:r w:rsidR="0074316C" w:rsidRPr="00A733E9">
        <w:t xml:space="preserve">s were most common </w:t>
      </w:r>
      <w:r w:rsidR="005A297C">
        <w:t>among</w:t>
      </w:r>
      <w:r w:rsidR="0074316C" w:rsidRPr="00A733E9">
        <w:t xml:space="preserve"> CALD consumers</w:t>
      </w:r>
      <w:r w:rsidR="00756837">
        <w:t xml:space="preserve">.  </w:t>
      </w:r>
    </w:p>
    <w:p w14:paraId="2B63E765" w14:textId="4ACBAC72" w:rsidR="00620F52" w:rsidRPr="00D212BF" w:rsidRDefault="00681048" w:rsidP="0074316C">
      <w:pPr>
        <w:pStyle w:val="01BODYTEXT"/>
      </w:pPr>
      <w:r>
        <w:t xml:space="preserve">A total of </w:t>
      </w:r>
      <w:r w:rsidR="0074316C" w:rsidRPr="00A31DDB">
        <w:t xml:space="preserve">77,231 </w:t>
      </w:r>
      <w:r w:rsidR="00376EE3">
        <w:t xml:space="preserve">claims for </w:t>
      </w:r>
      <w:r w:rsidR="00376EE3" w:rsidRPr="00A31DDB">
        <w:t xml:space="preserve">MedsCheck/Diabetes MedsCheck </w:t>
      </w:r>
      <w:r w:rsidR="00376EE3">
        <w:t xml:space="preserve">services </w:t>
      </w:r>
      <w:r w:rsidR="0074316C" w:rsidRPr="00A31DDB">
        <w:t>were rejected</w:t>
      </w:r>
      <w:r w:rsidR="00756837">
        <w:t xml:space="preserve">.  </w:t>
      </w:r>
      <w:r w:rsidR="0074316C" w:rsidRPr="00A31DDB">
        <w:t>The most common reasons for rejection were; patient receiving</w:t>
      </w:r>
      <w:r w:rsidR="0074316C">
        <w:t xml:space="preserve"> </w:t>
      </w:r>
      <w:r w:rsidR="0074316C" w:rsidRPr="00A31DDB">
        <w:t>HMR/M</w:t>
      </w:r>
      <w:r w:rsidR="0021125A">
        <w:t>edication Use Review (M</w:t>
      </w:r>
      <w:r w:rsidR="0074316C" w:rsidRPr="00A31DDB">
        <w:t>UR</w:t>
      </w:r>
      <w:r w:rsidR="0021125A">
        <w:t>)</w:t>
      </w:r>
      <w:r w:rsidR="0074316C" w:rsidRPr="00A31DDB">
        <w:t>/RMMR service within a 12 month period (38%), patient record not found (18%), pharmacists was not working for the provider on the service date (16%).</w:t>
      </w:r>
    </w:p>
    <w:p w14:paraId="32B0D15A" w14:textId="77777777" w:rsidR="00620F52" w:rsidRPr="008D241F" w:rsidRDefault="00620F52" w:rsidP="00620F52">
      <w:pPr>
        <w:pStyle w:val="Heading3"/>
      </w:pPr>
      <w:r w:rsidRPr="008D241F">
        <w:t xml:space="preserve">Patient acceptance/satisfaction </w:t>
      </w:r>
    </w:p>
    <w:p w14:paraId="445C445C" w14:textId="77777777" w:rsidR="00C72D88" w:rsidRDefault="0074316C" w:rsidP="0074316C">
      <w:pPr>
        <w:pStyle w:val="BodyText"/>
      </w:pPr>
      <w:r>
        <w:t>The</w:t>
      </w:r>
      <w:r w:rsidR="00376EE3">
        <w:t xml:space="preserve"> evaluators found that the</w:t>
      </w:r>
      <w:r w:rsidR="00C72D88">
        <w:t xml:space="preserve"> majority of </w:t>
      </w:r>
      <w:r>
        <w:t>participants (95%)</w:t>
      </w:r>
      <w:r w:rsidR="00C72D88">
        <w:t>, as ascertained via the consumer survey,</w:t>
      </w:r>
      <w:r>
        <w:t xml:space="preserve"> were either very satisfied or satisfied with the service their pharmacist provided</w:t>
      </w:r>
      <w:r w:rsidR="00756837">
        <w:t xml:space="preserve">.  </w:t>
      </w:r>
      <w:r>
        <w:t>S</w:t>
      </w:r>
      <w:r w:rsidR="00C72D88">
        <w:t xml:space="preserve">imilarly, the majority of </w:t>
      </w:r>
      <w:r>
        <w:t>participants (89%) who received MedsCheck/Diabetes MedsCheck programmes completely agreed or agreed that they were satisfied with the programmes and services delivered by their pharmacist</w:t>
      </w:r>
      <w:r w:rsidR="00756837">
        <w:t xml:space="preserve">.  </w:t>
      </w:r>
    </w:p>
    <w:p w14:paraId="22B74F05" w14:textId="77777777" w:rsidR="0074316C" w:rsidRDefault="0074316C" w:rsidP="0074316C">
      <w:pPr>
        <w:pStyle w:val="BodyText"/>
      </w:pPr>
      <w:r>
        <w:t>The level of satisfaction for programmes and services delivered by pharmacists did not differ by age, general health status or by number of medicines</w:t>
      </w:r>
      <w:r w:rsidR="00756837">
        <w:t xml:space="preserve">.  </w:t>
      </w:r>
    </w:p>
    <w:p w14:paraId="7AF00781" w14:textId="5C2B413E" w:rsidR="0074316C" w:rsidRDefault="0074316C" w:rsidP="00164179">
      <w:pPr>
        <w:pStyle w:val="01BODYTEXT"/>
      </w:pPr>
      <w:r>
        <w:t xml:space="preserve">Many consumers </w:t>
      </w:r>
      <w:r w:rsidR="0064183D">
        <w:t>commented</w:t>
      </w:r>
      <w:r>
        <w:rPr>
          <w:rStyle w:val="FootnoteReference"/>
        </w:rPr>
        <w:footnoteReference w:id="9"/>
      </w:r>
      <w:r>
        <w:t>, that while MedsCheck</w:t>
      </w:r>
      <w:r w:rsidR="00AA3FF8">
        <w:t>/Diabetes MedsCheck services</w:t>
      </w:r>
      <w:r>
        <w:t xml:space="preserve"> were valuable, in order for them to be done effectively, pharmacies needed to have a private consultation space</w:t>
      </w:r>
      <w:r w:rsidR="00756837">
        <w:t xml:space="preserve">.  </w:t>
      </w:r>
    </w:p>
    <w:p w14:paraId="34E4D6C1" w14:textId="77777777" w:rsidR="0074316C" w:rsidRDefault="0074316C" w:rsidP="00164179">
      <w:pPr>
        <w:pStyle w:val="01BODYTEXT"/>
      </w:pPr>
      <w:r>
        <w:lastRenderedPageBreak/>
        <w:t>The evaluators stated that more consume</w:t>
      </w:r>
      <w:r w:rsidR="00AA3FF8">
        <w:t>rs could benefit from MedsCheck</w:t>
      </w:r>
      <w:r>
        <w:t>/Diabetes MedsCheck</w:t>
      </w:r>
      <w:r w:rsidR="00AA3FF8">
        <w:t xml:space="preserve"> service</w:t>
      </w:r>
      <w:r>
        <w:t>s if they were appropriately advertised and awareness was raised</w:t>
      </w:r>
      <w:r w:rsidR="00756837">
        <w:t xml:space="preserve">.  </w:t>
      </w:r>
    </w:p>
    <w:p w14:paraId="7CA84626" w14:textId="77777777" w:rsidR="00856CBF" w:rsidRPr="00013013" w:rsidRDefault="00856CBF" w:rsidP="00856CBF">
      <w:pPr>
        <w:pStyle w:val="Heading3"/>
      </w:pPr>
      <w:r w:rsidRPr="00013013">
        <w:t>Limitations of the evaluation</w:t>
      </w:r>
    </w:p>
    <w:p w14:paraId="5E980B2D" w14:textId="54D9B301" w:rsidR="00856CBF" w:rsidRPr="00013013" w:rsidRDefault="00856CBF" w:rsidP="00856CBF">
      <w:pPr>
        <w:pStyle w:val="01BODYTEXT"/>
      </w:pPr>
      <w:r w:rsidRPr="00013013">
        <w:t xml:space="preserve">The evaluators reported that a </w:t>
      </w:r>
      <w:r w:rsidR="0064183D">
        <w:t>cost benefit analysis (</w:t>
      </w:r>
      <w:r w:rsidRPr="00013013">
        <w:t>CBA</w:t>
      </w:r>
      <w:r w:rsidR="0064183D">
        <w:t>)</w:t>
      </w:r>
      <w:r w:rsidRPr="00013013">
        <w:t xml:space="preserve"> was not performed in th</w:t>
      </w:r>
      <w:r w:rsidR="00013013" w:rsidRPr="00013013">
        <w:t>e</w:t>
      </w:r>
      <w:r w:rsidRPr="00013013">
        <w:t xml:space="preserve"> </w:t>
      </w:r>
      <w:r w:rsidR="00013013" w:rsidRPr="00013013">
        <w:t>r</w:t>
      </w:r>
      <w:r w:rsidRPr="00013013">
        <w:t xml:space="preserve">eview, thus direct and indirect benefits resulting from delivering </w:t>
      </w:r>
      <w:r w:rsidR="00013013" w:rsidRPr="00013013">
        <w:t xml:space="preserve">discrete </w:t>
      </w:r>
      <w:r w:rsidR="0064183D">
        <w:t xml:space="preserve">MMPs </w:t>
      </w:r>
      <w:r w:rsidRPr="00013013">
        <w:t>could not be inferred.  The evaluators recommended that a baseline benefits analysis be conducted in a future review of the Program to inform the health, social and economic benefits that result from these program implemented as part of the 6CPA and evaluate the cost-benefits as a result of the 6CPA investment.  “A reliable CBA would require a more sophisticated approach towards collection of data, linking program data (multiple datasets, including at consumer level) combined with regular auditing and reporting requirements to enable consumer health outcomes to be more effectively monitored and measured over time”.</w:t>
      </w:r>
    </w:p>
    <w:p w14:paraId="09F1B95C" w14:textId="77777777" w:rsidR="00856CBF" w:rsidRPr="00013013" w:rsidRDefault="00856CBF" w:rsidP="00856CBF">
      <w:pPr>
        <w:pStyle w:val="02Bodytextbeforesingle-sentencebullets"/>
      </w:pPr>
      <w:r w:rsidRPr="00013013">
        <w:t xml:space="preserve">There were also a number of limitations reported in relation to program data analysis: </w:t>
      </w:r>
    </w:p>
    <w:p w14:paraId="1960A324" w14:textId="3EB516CA" w:rsidR="00856CBF" w:rsidRPr="00013013" w:rsidRDefault="00856CBF" w:rsidP="00856CBF">
      <w:pPr>
        <w:pStyle w:val="06Bulletsonelongsentence"/>
        <w:numPr>
          <w:ilvl w:val="0"/>
          <w:numId w:val="18"/>
        </w:numPr>
        <w:spacing w:before="120"/>
        <w:ind w:left="357" w:hanging="357"/>
      </w:pPr>
      <w:r w:rsidRPr="00013013">
        <w:t>Data collected as part of the claims process provided limited insight on uptake and volume of programs and services since multiple services could be submitted under one claim.  The evaluators presented service level data where possible, merging accepted, rejected and claims datasets to conduct more accurate analyses.</w:t>
      </w:r>
    </w:p>
    <w:p w14:paraId="2B5F4FB5" w14:textId="354AA1F6" w:rsidR="00856CBF" w:rsidRPr="00013013" w:rsidRDefault="00856CBF" w:rsidP="00856CBF">
      <w:pPr>
        <w:pStyle w:val="06Bulletsonelongsentence"/>
        <w:numPr>
          <w:ilvl w:val="0"/>
          <w:numId w:val="18"/>
        </w:numPr>
        <w:spacing w:before="120"/>
        <w:ind w:left="357" w:hanging="357"/>
      </w:pPr>
      <w:r w:rsidRPr="00013013">
        <w:t>Consumer level data was de-identified and not link</w:t>
      </w:r>
      <w:r w:rsidR="0064183D">
        <w:t xml:space="preserve">ed to other data sources (e.g. </w:t>
      </w:r>
      <w:r w:rsidRPr="00013013">
        <w:t>Medicare or hospital data); therefore, it was not possible to determine the impact of participating in specific programs on consumer outcomes, outside of that particular episode of care.</w:t>
      </w:r>
    </w:p>
    <w:p w14:paraId="02818C01" w14:textId="48AC2CAF" w:rsidR="00856CBF" w:rsidRPr="00013013" w:rsidRDefault="00856CBF" w:rsidP="00856CBF">
      <w:pPr>
        <w:pStyle w:val="06Bulletsonelongsentence"/>
        <w:numPr>
          <w:ilvl w:val="0"/>
          <w:numId w:val="18"/>
        </w:numPr>
        <w:spacing w:before="120"/>
        <w:ind w:left="357" w:hanging="357"/>
      </w:pPr>
      <w:r w:rsidRPr="00013013">
        <w:t xml:space="preserve">Consumer demographic data, such as age and gender, was only available for HMR, RMMR and MedsCheck/Diabetes MedsCheck, therefore data was not able to be linked across all </w:t>
      </w:r>
      <w:r w:rsidR="0064183D">
        <w:t>six</w:t>
      </w:r>
      <w:r w:rsidRPr="00013013">
        <w:t xml:space="preserve"> datasets.  Postcode was not captured at the consumer level within any program/service dataset, therefore analysis of the data could not be performed for socioeconomic indicator (SEIFA) or remoteness (ARIA).</w:t>
      </w:r>
    </w:p>
    <w:p w14:paraId="3EE4AD26" w14:textId="77777777" w:rsidR="00856CBF" w:rsidRPr="00013013" w:rsidRDefault="00856CBF" w:rsidP="00856CBF">
      <w:pPr>
        <w:pStyle w:val="06Bulletsonelongsentence"/>
        <w:numPr>
          <w:ilvl w:val="0"/>
          <w:numId w:val="18"/>
        </w:numPr>
        <w:spacing w:before="120"/>
        <w:ind w:left="357" w:hanging="357"/>
      </w:pPr>
      <w:r w:rsidRPr="00013013">
        <w:t>The number of medicines and health conditions of consumers was not captured in the PPI Program dataset, resulting in the inability to analyse trends over time and potential investment value, including impact, for other programs and services.</w:t>
      </w:r>
    </w:p>
    <w:p w14:paraId="65D359C8" w14:textId="112F0BFE" w:rsidR="00856CBF" w:rsidRPr="00013013" w:rsidRDefault="00856CBF" w:rsidP="00856CBF">
      <w:pPr>
        <w:pStyle w:val="06Bulletsonelongsentence"/>
        <w:numPr>
          <w:ilvl w:val="0"/>
          <w:numId w:val="18"/>
        </w:numPr>
        <w:spacing w:before="120"/>
        <w:ind w:left="357" w:hanging="357"/>
      </w:pPr>
      <w:r w:rsidRPr="00013013">
        <w:t>Analysis of program data beyond 28</w:t>
      </w:r>
      <w:r w:rsidRPr="00013013">
        <w:rPr>
          <w:vertAlign w:val="superscript"/>
        </w:rPr>
        <w:t>th</w:t>
      </w:r>
      <w:r w:rsidR="00013013" w:rsidRPr="00013013">
        <w:t xml:space="preserve"> </w:t>
      </w:r>
      <w:r w:rsidRPr="00013013">
        <w:t>February 2014 was not performed, resulting in failure to capture the effects of administrative changes to programs and services implemented on 1</w:t>
      </w:r>
      <w:r w:rsidRPr="00013013">
        <w:rPr>
          <w:vertAlign w:val="superscript"/>
        </w:rPr>
        <w:t>st</w:t>
      </w:r>
      <w:r w:rsidR="00013013" w:rsidRPr="00013013">
        <w:t xml:space="preserve"> </w:t>
      </w:r>
      <w:r w:rsidRPr="00013013">
        <w:t>March 2014 on the uptake and volume of programs and services.</w:t>
      </w:r>
    </w:p>
    <w:p w14:paraId="599EAD0F" w14:textId="77777777" w:rsidR="00B355DE" w:rsidRDefault="00B355DE" w:rsidP="00B355DE">
      <w:pPr>
        <w:pStyle w:val="Heading3"/>
      </w:pPr>
      <w:r>
        <w:t>Conclusion</w:t>
      </w:r>
    </w:p>
    <w:p w14:paraId="3761FA9B" w14:textId="01FF0204" w:rsidR="00B355DE" w:rsidRPr="00E162EF" w:rsidRDefault="00B355DE" w:rsidP="00164179">
      <w:pPr>
        <w:pStyle w:val="01BODYTEXT"/>
      </w:pPr>
      <w:r w:rsidRPr="00E162EF">
        <w:t xml:space="preserve">Overall, practitioners reported being reasonably satisfied with their involvement in the </w:t>
      </w:r>
      <w:r w:rsidR="00013013">
        <w:t xml:space="preserve">MMPs </w:t>
      </w:r>
      <w:r w:rsidRPr="00E162EF">
        <w:t>and services</w:t>
      </w:r>
      <w:r w:rsidR="00756837">
        <w:t xml:space="preserve">. </w:t>
      </w:r>
      <w:r>
        <w:t xml:space="preserve"> </w:t>
      </w:r>
      <w:r w:rsidRPr="00E162EF">
        <w:t xml:space="preserve">They also reported being satisfied with the benefit their consumers received through </w:t>
      </w:r>
      <w:r w:rsidR="00013013">
        <w:t xml:space="preserve">MMPs </w:t>
      </w:r>
      <w:r w:rsidRPr="00E162EF">
        <w:t xml:space="preserve">and services, and they saw clear benefit in the suite of </w:t>
      </w:r>
      <w:r w:rsidR="00013013">
        <w:t>MMP</w:t>
      </w:r>
      <w:r w:rsidR="00BD33C4">
        <w:t>s</w:t>
      </w:r>
      <w:r w:rsidR="00013013">
        <w:t xml:space="preserve"> </w:t>
      </w:r>
      <w:r w:rsidRPr="00E162EF">
        <w:t>and services as contributing towards improving the health outcomes of consumers</w:t>
      </w:r>
      <w:r w:rsidR="00756837">
        <w:t xml:space="preserve">.  </w:t>
      </w:r>
    </w:p>
    <w:p w14:paraId="44D7E433" w14:textId="5A0E9D09" w:rsidR="00B355DE" w:rsidRDefault="00B355DE" w:rsidP="00164179">
      <w:pPr>
        <w:pStyle w:val="01BODYTEXT"/>
      </w:pPr>
      <w:r w:rsidRPr="000F48FC">
        <w:t xml:space="preserve">However, stakeholders and practitioners indicated that 5CPA programs were difficult to access for consumers due to low consumer awareness, information on programs not being readily available to consumers, and low GP engagement and awareness to refer consumers to the relevant programs, particularly for </w:t>
      </w:r>
      <w:r>
        <w:t>ATSI</w:t>
      </w:r>
      <w:r w:rsidRPr="000F48FC">
        <w:t xml:space="preserve"> and CALD peoples</w:t>
      </w:r>
      <w:r w:rsidR="00756837">
        <w:t>.</w:t>
      </w:r>
    </w:p>
    <w:p w14:paraId="24E777BB" w14:textId="77777777" w:rsidR="00BF275D" w:rsidRPr="006B1A9D" w:rsidRDefault="00BF275D" w:rsidP="005D44AA">
      <w:pPr>
        <w:pStyle w:val="01BODYTEXT"/>
      </w:pPr>
    </w:p>
    <w:p w14:paraId="5EE9026B" w14:textId="77777777" w:rsidR="00F96566" w:rsidRPr="006B1A9D" w:rsidRDefault="00F96566" w:rsidP="00F96566">
      <w:pPr>
        <w:pStyle w:val="BodyText"/>
        <w:sectPr w:rsidR="00F96566" w:rsidRPr="006B1A9D" w:rsidSect="009C574E">
          <w:pgSz w:w="11906" w:h="16838" w:code="9"/>
          <w:pgMar w:top="1134" w:right="1134" w:bottom="1134" w:left="1134" w:header="680" w:footer="680" w:gutter="0"/>
          <w:cols w:space="708"/>
          <w:docGrid w:linePitch="360"/>
        </w:sectPr>
      </w:pPr>
    </w:p>
    <w:p w14:paraId="2C0EB9A2" w14:textId="623B4F75" w:rsidR="00CB393E" w:rsidRDefault="00BB2E64" w:rsidP="00005F76">
      <w:pPr>
        <w:pStyle w:val="Heading1"/>
        <w:spacing w:after="120"/>
      </w:pPr>
      <w:r w:rsidRPr="006B1A9D">
        <w:lastRenderedPageBreak/>
        <w:br/>
      </w:r>
      <w:bookmarkStart w:id="44" w:name="_Toc522873484"/>
      <w:r w:rsidR="00CB393E">
        <w:t xml:space="preserve">Evidence for the effectiveness of the </w:t>
      </w:r>
      <w:r w:rsidR="0080797D">
        <w:t>MedsChecks</w:t>
      </w:r>
      <w:r w:rsidR="008046C0">
        <w:t xml:space="preserve"> </w:t>
      </w:r>
      <w:r w:rsidR="00CB393E">
        <w:t>program</w:t>
      </w:r>
      <w:r w:rsidR="008046C0">
        <w:t>s</w:t>
      </w:r>
      <w:bookmarkEnd w:id="44"/>
    </w:p>
    <w:p w14:paraId="4F41B0FA" w14:textId="77777777" w:rsidR="006B010E" w:rsidRDefault="006B010E" w:rsidP="006B010E">
      <w:pPr>
        <w:pStyle w:val="01BODYTEXT"/>
      </w:pPr>
      <w:r>
        <w:t>This Chapter</w:t>
      </w:r>
      <w:r w:rsidRPr="000A006F">
        <w:t xml:space="preserve"> presents evidence </w:t>
      </w:r>
      <w:r>
        <w:t xml:space="preserve">of </w:t>
      </w:r>
      <w:r w:rsidRPr="000A006F">
        <w:t>the effectiveness and safety</w:t>
      </w:r>
      <w:r w:rsidRPr="0047348A">
        <w:t xml:space="preserve"> </w:t>
      </w:r>
      <w:r>
        <w:t xml:space="preserve">from primary studies </w:t>
      </w:r>
      <w:r w:rsidRPr="0047348A">
        <w:t xml:space="preserve">that evaluated </w:t>
      </w:r>
      <w:r>
        <w:t>MedsCheck/Diabetes MedsCheck or similar community pharmacy based medication reviews</w:t>
      </w:r>
      <w:r w:rsidRPr="0047348A">
        <w:t xml:space="preserve"> principally delivered by a pharmacist, and independent of any other intervention aiming at optimising drug regimens and patient outcomes.  </w:t>
      </w:r>
      <w:r>
        <w:t xml:space="preserve">The evidence is presented </w:t>
      </w:r>
      <w:r w:rsidRPr="000A006F">
        <w:t>in relation to the PICO criteria outlined in Section</w:t>
      </w:r>
      <w:r>
        <w:t xml:space="preserve"> 3.1.1</w:t>
      </w:r>
      <w:r w:rsidRPr="000A006F">
        <w:t xml:space="preserve">.  </w:t>
      </w:r>
      <w:r w:rsidRPr="003C5FEA">
        <w:t>It does not include evidence reported in previous evaluations of the RMMR program, which was summarised in Chapter</w:t>
      </w:r>
      <w:r>
        <w:t xml:space="preserve"> 4.</w:t>
      </w:r>
    </w:p>
    <w:p w14:paraId="262F3B91" w14:textId="19465D8D" w:rsidR="006B010E" w:rsidRPr="000A006F" w:rsidRDefault="006B010E" w:rsidP="006B010E">
      <w:pPr>
        <w:pStyle w:val="01BODYTEXT"/>
      </w:pPr>
      <w:r>
        <w:t>In reviewing this Chapter, it should be noted that 22</w:t>
      </w:r>
      <w:r w:rsidRPr="000A006F">
        <w:t xml:space="preserve"> systematic reviews were assessed for inclusion </w:t>
      </w:r>
      <w:r>
        <w:t xml:space="preserve">using </w:t>
      </w:r>
      <w:r w:rsidRPr="000A006F">
        <w:t xml:space="preserve">the eligibility criteria </w:t>
      </w:r>
      <w:r>
        <w:t>for studies to be</w:t>
      </w:r>
      <w:r w:rsidRPr="000A006F">
        <w:t xml:space="preserve"> included </w:t>
      </w:r>
      <w:r>
        <w:t>in this review against the characteristics of each previous reviews</w:t>
      </w:r>
      <w:r w:rsidRPr="000A006F">
        <w:t>.  It appeared that the identified systematic reviews included studies (RCT- and non-RCT evidence) that evaluated the effects of medication reviews in any setting, including the home, residential aged</w:t>
      </w:r>
      <w:r w:rsidR="0088796C">
        <w:t xml:space="preserve"> </w:t>
      </w:r>
      <w:r w:rsidRPr="000A006F">
        <w:t>care facility, community pharmacy, as well as hospital, outpatient clinic, and medical centre.  Further, the systematic reviews included studies that evaluated medication reviews as part of a multidisciplinary model or multifaceted pharmacy-led intervention, or medication reviews delivered by combinations of health professionals (e.g. physician</w:t>
      </w:r>
      <w:r>
        <w:t>s</w:t>
      </w:r>
      <w:r w:rsidRPr="000A006F">
        <w:t>, nurses) where the pharmacist was only partly involved.  Therefore, findings from these systematic reviews cannot be extrapolated to the evaluation of t</w:t>
      </w:r>
      <w:r>
        <w:t>he MedsCheck/Diabetes MedsCheck</w:t>
      </w:r>
      <w:r w:rsidRPr="000A006F">
        <w:t xml:space="preserve"> service</w:t>
      </w:r>
      <w:r>
        <w:t>s</w:t>
      </w:r>
      <w:r w:rsidRPr="000A006F">
        <w:t xml:space="preserve">, and thus </w:t>
      </w:r>
      <w:r>
        <w:t>will not be discussed further</w:t>
      </w:r>
      <w:r w:rsidRPr="000A006F">
        <w:t xml:space="preserve">. </w:t>
      </w:r>
    </w:p>
    <w:p w14:paraId="7D0CEDDB" w14:textId="77777777" w:rsidR="006B010E" w:rsidRPr="000A006F" w:rsidRDefault="006B010E" w:rsidP="006B010E">
      <w:pPr>
        <w:pStyle w:val="Heading2"/>
      </w:pPr>
      <w:bookmarkStart w:id="45" w:name="_Toc476584123"/>
      <w:bookmarkStart w:id="46" w:name="_Toc477084316"/>
      <w:r w:rsidRPr="000A006F">
        <w:t>Evidence from primary studies</w:t>
      </w:r>
      <w:bookmarkEnd w:id="45"/>
      <w:bookmarkEnd w:id="46"/>
      <w:r>
        <w:t>-MedsCheck</w:t>
      </w:r>
    </w:p>
    <w:p w14:paraId="740DF5FF" w14:textId="77777777" w:rsidR="006B010E" w:rsidRPr="000A006F" w:rsidRDefault="006B010E" w:rsidP="00A60D96">
      <w:pPr>
        <w:pStyle w:val="01BODYTEXT"/>
      </w:pPr>
      <w:r w:rsidRPr="000A006F">
        <w:t>The systematic</w:t>
      </w:r>
      <w:r>
        <w:t xml:space="preserve"> literature review identified 12</w:t>
      </w:r>
      <w:r w:rsidRPr="000A006F">
        <w:t xml:space="preserve"> studies with </w:t>
      </w:r>
      <w:r>
        <w:t>mixed design, and included 10 RCTs, one observational study with pre- post-design, and one retrospective sub-analysis of a cluster RCT.  None of the studies were Australian, but were mostly conducted in the USA and Europe.  An additional study was identified that evaluated the cost-effectiveness of a community pharmacy based medication review, discussed in Chapter 6 of this Report.</w:t>
      </w:r>
    </w:p>
    <w:p w14:paraId="56A33930" w14:textId="1A7AD991" w:rsidR="006B010E" w:rsidRDefault="006B010E" w:rsidP="006B010E">
      <w:pPr>
        <w:spacing w:before="240" w:after="0"/>
        <w:jc w:val="both"/>
        <w:rPr>
          <w:rFonts w:ascii="Garamond" w:hAnsi="Garamond"/>
          <w:sz w:val="24"/>
        </w:rPr>
      </w:pPr>
      <w:r>
        <w:rPr>
          <w:rFonts w:ascii="Garamond" w:hAnsi="Garamond"/>
          <w:sz w:val="24"/>
        </w:rPr>
        <w:t>The studies evaluated a community pharmacy based medication review similar to the MedsCheck</w:t>
      </w:r>
      <w:r w:rsidRPr="000A006F">
        <w:rPr>
          <w:rFonts w:ascii="Garamond" w:hAnsi="Garamond"/>
          <w:sz w:val="24"/>
        </w:rPr>
        <w:t xml:space="preserve"> performed by a pharmacist, aimed at checking and optimising the patients’ drug regimens (i.e. ability to make recommendations on altering the regimen)</w:t>
      </w:r>
      <w:r>
        <w:rPr>
          <w:rFonts w:ascii="Garamond" w:hAnsi="Garamond"/>
          <w:sz w:val="24"/>
        </w:rPr>
        <w:t xml:space="preserve"> through the identification of drug</w:t>
      </w:r>
      <w:r w:rsidR="0088796C">
        <w:rPr>
          <w:rFonts w:ascii="Garamond" w:hAnsi="Garamond"/>
          <w:sz w:val="24"/>
        </w:rPr>
        <w:t>-</w:t>
      </w:r>
      <w:r>
        <w:rPr>
          <w:rFonts w:ascii="Garamond" w:hAnsi="Garamond"/>
          <w:sz w:val="24"/>
        </w:rPr>
        <w:t>related problems (DRPs) and providing recommendations for GPs</w:t>
      </w:r>
      <w:r w:rsidRPr="000A006F">
        <w:rPr>
          <w:rFonts w:ascii="Garamond" w:hAnsi="Garamond"/>
          <w:sz w:val="24"/>
        </w:rPr>
        <w:t xml:space="preserve">, </w:t>
      </w:r>
      <w:r>
        <w:rPr>
          <w:rFonts w:ascii="Garamond" w:hAnsi="Garamond"/>
          <w:sz w:val="24"/>
        </w:rPr>
        <w:t>as well as</w:t>
      </w:r>
      <w:r w:rsidRPr="000A006F">
        <w:rPr>
          <w:rFonts w:ascii="Garamond" w:hAnsi="Garamond"/>
          <w:sz w:val="24"/>
        </w:rPr>
        <w:t xml:space="preserve"> increasing patients’ knowledge and/or adherence.  Study participants </w:t>
      </w:r>
      <w:r>
        <w:rPr>
          <w:rFonts w:ascii="Garamond" w:hAnsi="Garamond"/>
          <w:sz w:val="24"/>
        </w:rPr>
        <w:t>were older people (mean age &gt;65</w:t>
      </w:r>
      <w:r w:rsidRPr="000A006F">
        <w:rPr>
          <w:rFonts w:ascii="Garamond" w:hAnsi="Garamond"/>
          <w:sz w:val="24"/>
        </w:rPr>
        <w:t xml:space="preserve"> years) </w:t>
      </w:r>
      <w:r>
        <w:rPr>
          <w:rFonts w:ascii="Garamond" w:hAnsi="Garamond"/>
          <w:sz w:val="24"/>
        </w:rPr>
        <w:t xml:space="preserve">and were living in the community.  </w:t>
      </w:r>
      <w:r w:rsidRPr="005920A9">
        <w:rPr>
          <w:rFonts w:ascii="Garamond" w:hAnsi="Garamond"/>
          <w:sz w:val="24"/>
        </w:rPr>
        <w:t>There was considerable variability in the outcomes measured, w</w:t>
      </w:r>
      <w:r>
        <w:rPr>
          <w:rFonts w:ascii="Garamond" w:hAnsi="Garamond"/>
          <w:sz w:val="24"/>
        </w:rPr>
        <w:t>ith a focus on hospitalisation, adverse drug events and adherence</w:t>
      </w:r>
      <w:r w:rsidRPr="005920A9">
        <w:rPr>
          <w:rFonts w:ascii="Garamond" w:hAnsi="Garamond"/>
          <w:sz w:val="24"/>
        </w:rPr>
        <w:t xml:space="preserve">.  Intermediate outcomes such as drug burden and </w:t>
      </w:r>
      <w:r>
        <w:rPr>
          <w:rFonts w:ascii="Garamond" w:hAnsi="Garamond"/>
          <w:sz w:val="24"/>
        </w:rPr>
        <w:t>prescription</w:t>
      </w:r>
      <w:r w:rsidRPr="005920A9">
        <w:rPr>
          <w:rFonts w:ascii="Garamond" w:hAnsi="Garamond"/>
          <w:sz w:val="24"/>
        </w:rPr>
        <w:t xml:space="preserve"> appropriateness were also investigated.  A major limitation of the evidence was the diversity of outcome measures and the fact that they differed in the way they were defined (if at all), collected and analysed.</w:t>
      </w:r>
      <w:r w:rsidRPr="00FB5010">
        <w:t xml:space="preserve"> </w:t>
      </w:r>
      <w:r w:rsidRPr="00FB5010">
        <w:rPr>
          <w:rFonts w:ascii="Garamond" w:hAnsi="Garamond"/>
          <w:sz w:val="24"/>
        </w:rPr>
        <w:t>Due to the heterogeneity of the included studies, meta-analysi</w:t>
      </w:r>
      <w:r>
        <w:rPr>
          <w:rFonts w:ascii="Garamond" w:hAnsi="Garamond"/>
          <w:sz w:val="24"/>
        </w:rPr>
        <w:t>s to determine the effect of</w:t>
      </w:r>
      <w:r w:rsidRPr="00FB5010">
        <w:rPr>
          <w:rFonts w:ascii="Garamond" w:hAnsi="Garamond"/>
          <w:sz w:val="24"/>
        </w:rPr>
        <w:t xml:space="preserve"> </w:t>
      </w:r>
      <w:r>
        <w:rPr>
          <w:rFonts w:ascii="Garamond" w:hAnsi="Garamond"/>
          <w:sz w:val="24"/>
        </w:rPr>
        <w:t>MedsCheck</w:t>
      </w:r>
      <w:r w:rsidRPr="00FB5010">
        <w:rPr>
          <w:rFonts w:ascii="Garamond" w:hAnsi="Garamond"/>
          <w:sz w:val="24"/>
        </w:rPr>
        <w:t xml:space="preserve"> on any outcome was not performed</w:t>
      </w:r>
    </w:p>
    <w:p w14:paraId="4ED5C286" w14:textId="77669177" w:rsidR="006B010E" w:rsidRDefault="006B010E" w:rsidP="006B010E">
      <w:pPr>
        <w:spacing w:before="240" w:after="0"/>
        <w:jc w:val="both"/>
        <w:rPr>
          <w:rFonts w:ascii="Garamond" w:hAnsi="Garamond"/>
          <w:sz w:val="24"/>
        </w:rPr>
      </w:pPr>
      <w:r w:rsidRPr="005920A9">
        <w:rPr>
          <w:rFonts w:ascii="Garamond" w:hAnsi="Garamond"/>
          <w:sz w:val="24"/>
        </w:rPr>
        <w:t>The charac</w:t>
      </w:r>
      <w:r>
        <w:rPr>
          <w:rFonts w:ascii="Garamond" w:hAnsi="Garamond"/>
          <w:sz w:val="24"/>
        </w:rPr>
        <w:t>teristics and results of the 12</w:t>
      </w:r>
      <w:r w:rsidRPr="005920A9">
        <w:rPr>
          <w:rFonts w:ascii="Garamond" w:hAnsi="Garamond"/>
          <w:sz w:val="24"/>
        </w:rPr>
        <w:t xml:space="preserve"> identified studies are presented in </w:t>
      </w:r>
      <w:r w:rsidR="00586104">
        <w:rPr>
          <w:rFonts w:ascii="Garamond" w:hAnsi="Garamond"/>
          <w:sz w:val="24"/>
        </w:rPr>
        <w:fldChar w:fldCharType="begin"/>
      </w:r>
      <w:r w:rsidR="00586104">
        <w:rPr>
          <w:rFonts w:ascii="Garamond" w:hAnsi="Garamond"/>
          <w:sz w:val="24"/>
        </w:rPr>
        <w:instrText xml:space="preserve"> REF _Ref522795148 \h  \* MERGEFORMAT </w:instrText>
      </w:r>
      <w:r w:rsidR="00586104">
        <w:rPr>
          <w:rFonts w:ascii="Garamond" w:hAnsi="Garamond"/>
          <w:sz w:val="24"/>
        </w:rPr>
      </w:r>
      <w:r w:rsidR="00586104">
        <w:rPr>
          <w:rFonts w:ascii="Garamond" w:hAnsi="Garamond"/>
          <w:sz w:val="24"/>
        </w:rPr>
        <w:fldChar w:fldCharType="separate"/>
      </w:r>
      <w:r w:rsidR="009047A7" w:rsidRPr="009047A7">
        <w:rPr>
          <w:rFonts w:ascii="Garamond" w:hAnsi="Garamond"/>
          <w:sz w:val="24"/>
        </w:rPr>
        <w:t>Table 5.1</w:t>
      </w:r>
      <w:r w:rsidR="00586104">
        <w:rPr>
          <w:rFonts w:ascii="Garamond" w:hAnsi="Garamond"/>
          <w:sz w:val="24"/>
        </w:rPr>
        <w:fldChar w:fldCharType="end"/>
      </w:r>
      <w:r w:rsidRPr="005920A9">
        <w:rPr>
          <w:rFonts w:ascii="Garamond" w:hAnsi="Garamond"/>
          <w:sz w:val="24"/>
        </w:rPr>
        <w:t xml:space="preserve"> and </w:t>
      </w:r>
      <w:r w:rsidR="00586104">
        <w:rPr>
          <w:rFonts w:ascii="Garamond" w:hAnsi="Garamond"/>
          <w:sz w:val="24"/>
        </w:rPr>
        <w:fldChar w:fldCharType="begin"/>
      </w:r>
      <w:r w:rsidR="00586104">
        <w:rPr>
          <w:rFonts w:ascii="Garamond" w:hAnsi="Garamond"/>
          <w:sz w:val="24"/>
        </w:rPr>
        <w:instrText xml:space="preserve"> REF _Ref522795161 \h  \* MERGEFORMAT </w:instrText>
      </w:r>
      <w:r w:rsidR="00586104">
        <w:rPr>
          <w:rFonts w:ascii="Garamond" w:hAnsi="Garamond"/>
          <w:sz w:val="24"/>
        </w:rPr>
      </w:r>
      <w:r w:rsidR="00586104">
        <w:rPr>
          <w:rFonts w:ascii="Garamond" w:hAnsi="Garamond"/>
          <w:sz w:val="24"/>
        </w:rPr>
        <w:fldChar w:fldCharType="separate"/>
      </w:r>
      <w:r w:rsidR="009047A7" w:rsidRPr="009047A7">
        <w:rPr>
          <w:rFonts w:ascii="Garamond" w:hAnsi="Garamond"/>
          <w:sz w:val="24"/>
        </w:rPr>
        <w:t>Table 5.2</w:t>
      </w:r>
      <w:r w:rsidR="00586104">
        <w:rPr>
          <w:rFonts w:ascii="Garamond" w:hAnsi="Garamond"/>
          <w:sz w:val="24"/>
        </w:rPr>
        <w:fldChar w:fldCharType="end"/>
      </w:r>
      <w:r>
        <w:rPr>
          <w:rFonts w:ascii="Garamond" w:hAnsi="Garamond"/>
          <w:sz w:val="24"/>
        </w:rPr>
        <w:t xml:space="preserve">, respectively. </w:t>
      </w:r>
    </w:p>
    <w:p w14:paraId="79947195" w14:textId="77777777" w:rsidR="006B010E" w:rsidRDefault="006B010E" w:rsidP="006B010E">
      <w:pPr>
        <w:spacing w:before="240" w:after="0"/>
        <w:jc w:val="both"/>
        <w:rPr>
          <w:rFonts w:ascii="Garamond" w:hAnsi="Garamond"/>
          <w:sz w:val="24"/>
        </w:rPr>
        <w:sectPr w:rsidR="006B010E" w:rsidSect="009C574E">
          <w:pgSz w:w="11906" w:h="16838" w:code="9"/>
          <w:pgMar w:top="1134" w:right="1134" w:bottom="1134" w:left="1134" w:header="680" w:footer="680" w:gutter="0"/>
          <w:cols w:space="708"/>
          <w:docGrid w:linePitch="360"/>
        </w:sectPr>
      </w:pPr>
    </w:p>
    <w:p w14:paraId="4ED65857" w14:textId="0F66FFFD" w:rsidR="006B010E" w:rsidRPr="008046C0" w:rsidRDefault="006B010E" w:rsidP="006B010E">
      <w:pPr>
        <w:pStyle w:val="Caption"/>
      </w:pPr>
      <w:bookmarkStart w:id="47" w:name="_Ref522795148"/>
      <w:r w:rsidRPr="008D241F">
        <w:lastRenderedPageBreak/>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5</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1</w:t>
      </w:r>
      <w:r w:rsidR="009047A7">
        <w:rPr>
          <w:noProof/>
        </w:rPr>
        <w:fldChar w:fldCharType="end"/>
      </w:r>
      <w:bookmarkEnd w:id="47"/>
      <w:r w:rsidRPr="008D241F">
        <w:t xml:space="preserve">: </w:t>
      </w:r>
      <w:r w:rsidRPr="001E228A">
        <w:t>Character</w:t>
      </w:r>
      <w:r>
        <w:t>istics of the included studies-MedsCheck</w:t>
      </w:r>
      <w:r w:rsidRPr="001E228A">
        <w:t xml:space="preserve"> performed by a pharmacist</w:t>
      </w:r>
    </w:p>
    <w:tbl>
      <w:tblPr>
        <w:tblStyle w:val="TableGrid"/>
        <w:tblW w:w="14855" w:type="dxa"/>
        <w:tblCellMar>
          <w:left w:w="57" w:type="dxa"/>
          <w:right w:w="57" w:type="dxa"/>
        </w:tblCellMar>
        <w:tblLook w:val="04A0" w:firstRow="1" w:lastRow="0" w:firstColumn="1" w:lastColumn="0" w:noHBand="0" w:noVBand="1"/>
        <w:tblCaption w:val="Table 5.1"/>
        <w:tblDescription w:val="Characteristics of the included studies-MedsCheck performed by a pharmacist"/>
      </w:tblPr>
      <w:tblGrid>
        <w:gridCol w:w="1254"/>
        <w:gridCol w:w="1800"/>
        <w:gridCol w:w="1034"/>
        <w:gridCol w:w="1931"/>
        <w:gridCol w:w="3824"/>
        <w:gridCol w:w="2115"/>
        <w:gridCol w:w="2897"/>
      </w:tblGrid>
      <w:tr w:rsidR="006B010E" w:rsidRPr="00626A83" w14:paraId="5EA46FDF" w14:textId="77777777" w:rsidTr="00626A83">
        <w:trPr>
          <w:cnfStyle w:val="100000000000" w:firstRow="1" w:lastRow="0" w:firstColumn="0" w:lastColumn="0" w:oddVBand="0" w:evenVBand="0" w:oddHBand="0" w:evenHBand="0" w:firstRowFirstColumn="0" w:firstRowLastColumn="0" w:lastRowFirstColumn="0" w:lastRowLastColumn="0"/>
        </w:trPr>
        <w:tc>
          <w:tcPr>
            <w:tcW w:w="422" w:type="pct"/>
            <w:vAlign w:val="center"/>
          </w:tcPr>
          <w:p w14:paraId="1007DB26" w14:textId="77777777" w:rsidR="006B010E" w:rsidRPr="00626A83" w:rsidRDefault="006B010E" w:rsidP="006B010E">
            <w:pPr>
              <w:spacing w:after="0"/>
              <w:rPr>
                <w:b/>
                <w:snapToGrid w:val="0"/>
                <w:color w:val="FFFFFF"/>
                <w:sz w:val="20"/>
                <w:szCs w:val="20"/>
              </w:rPr>
            </w:pPr>
            <w:r w:rsidRPr="00626A83">
              <w:rPr>
                <w:b/>
                <w:snapToGrid w:val="0"/>
                <w:color w:val="FFFFFF"/>
                <w:sz w:val="20"/>
                <w:szCs w:val="20"/>
              </w:rPr>
              <w:t>Study ID</w:t>
            </w:r>
          </w:p>
          <w:p w14:paraId="186EF69B" w14:textId="77777777" w:rsidR="006B010E" w:rsidRPr="00626A83" w:rsidRDefault="006B010E" w:rsidP="006B010E">
            <w:pPr>
              <w:spacing w:after="0"/>
              <w:rPr>
                <w:b/>
                <w:color w:val="FFFFFF"/>
                <w:sz w:val="20"/>
                <w:szCs w:val="20"/>
              </w:rPr>
            </w:pPr>
            <w:r w:rsidRPr="00626A83">
              <w:rPr>
                <w:b/>
                <w:snapToGrid w:val="0"/>
                <w:color w:val="FFFFFF"/>
                <w:sz w:val="20"/>
                <w:szCs w:val="20"/>
              </w:rPr>
              <w:t>Country</w:t>
            </w:r>
          </w:p>
        </w:tc>
        <w:tc>
          <w:tcPr>
            <w:tcW w:w="606" w:type="pct"/>
            <w:vAlign w:val="center"/>
          </w:tcPr>
          <w:p w14:paraId="73F75BD1" w14:textId="77777777" w:rsidR="006B010E" w:rsidRPr="00626A83" w:rsidRDefault="006B010E" w:rsidP="006B010E">
            <w:pPr>
              <w:spacing w:after="0"/>
              <w:rPr>
                <w:b/>
                <w:color w:val="FFFFFF"/>
                <w:sz w:val="20"/>
                <w:szCs w:val="20"/>
              </w:rPr>
            </w:pPr>
            <w:r w:rsidRPr="00626A83">
              <w:rPr>
                <w:b/>
                <w:snapToGrid w:val="0"/>
                <w:color w:val="FFFFFF"/>
                <w:sz w:val="20"/>
                <w:szCs w:val="20"/>
              </w:rPr>
              <w:t>Study design/total study duration</w:t>
            </w:r>
          </w:p>
        </w:tc>
        <w:tc>
          <w:tcPr>
            <w:tcW w:w="348" w:type="pct"/>
            <w:vAlign w:val="center"/>
          </w:tcPr>
          <w:p w14:paraId="738A5403" w14:textId="77777777" w:rsidR="006B010E" w:rsidRPr="00626A83" w:rsidRDefault="006B010E" w:rsidP="006B010E">
            <w:pPr>
              <w:spacing w:after="0"/>
              <w:rPr>
                <w:b/>
                <w:color w:val="FFFFFF"/>
                <w:sz w:val="20"/>
                <w:szCs w:val="20"/>
              </w:rPr>
            </w:pPr>
            <w:r w:rsidRPr="00626A83">
              <w:rPr>
                <w:b/>
                <w:color w:val="FFFFFF"/>
                <w:sz w:val="20"/>
                <w:szCs w:val="20"/>
              </w:rPr>
              <w:t xml:space="preserve">Mean age </w:t>
            </w:r>
          </w:p>
        </w:tc>
        <w:tc>
          <w:tcPr>
            <w:tcW w:w="650" w:type="pct"/>
            <w:vAlign w:val="center"/>
          </w:tcPr>
          <w:p w14:paraId="1CC5F74B" w14:textId="77777777" w:rsidR="006B010E" w:rsidRPr="00626A83" w:rsidRDefault="006B010E" w:rsidP="006B010E">
            <w:pPr>
              <w:spacing w:after="0"/>
              <w:rPr>
                <w:b/>
                <w:color w:val="FFFFFF"/>
                <w:sz w:val="20"/>
                <w:szCs w:val="20"/>
              </w:rPr>
            </w:pPr>
            <w:r w:rsidRPr="00626A83">
              <w:rPr>
                <w:b/>
                <w:snapToGrid w:val="0"/>
                <w:color w:val="FFFFFF"/>
                <w:sz w:val="20"/>
                <w:szCs w:val="20"/>
              </w:rPr>
              <w:t>Population</w:t>
            </w:r>
          </w:p>
        </w:tc>
        <w:tc>
          <w:tcPr>
            <w:tcW w:w="1287" w:type="pct"/>
            <w:vAlign w:val="center"/>
          </w:tcPr>
          <w:p w14:paraId="71ACC9FD" w14:textId="77777777" w:rsidR="006B010E" w:rsidRPr="00626A83" w:rsidRDefault="006B010E" w:rsidP="006B010E">
            <w:pPr>
              <w:spacing w:after="0"/>
              <w:rPr>
                <w:b/>
                <w:color w:val="FFFFFF"/>
                <w:sz w:val="20"/>
                <w:szCs w:val="20"/>
              </w:rPr>
            </w:pPr>
            <w:r w:rsidRPr="00626A83">
              <w:rPr>
                <w:b/>
                <w:snapToGrid w:val="0"/>
                <w:color w:val="FFFFFF"/>
                <w:sz w:val="20"/>
                <w:szCs w:val="20"/>
              </w:rPr>
              <w:t>Intervention</w:t>
            </w:r>
          </w:p>
        </w:tc>
        <w:tc>
          <w:tcPr>
            <w:tcW w:w="712" w:type="pct"/>
            <w:vAlign w:val="center"/>
          </w:tcPr>
          <w:p w14:paraId="0CCDF5A2" w14:textId="77777777" w:rsidR="006B010E" w:rsidRPr="00626A83" w:rsidRDefault="006B010E" w:rsidP="006B010E">
            <w:pPr>
              <w:spacing w:after="0"/>
              <w:rPr>
                <w:b/>
                <w:color w:val="FFFFFF"/>
                <w:sz w:val="20"/>
                <w:szCs w:val="20"/>
              </w:rPr>
            </w:pPr>
            <w:r w:rsidRPr="00626A83">
              <w:rPr>
                <w:b/>
                <w:snapToGrid w:val="0"/>
                <w:color w:val="FFFFFF"/>
                <w:sz w:val="20"/>
                <w:szCs w:val="20"/>
              </w:rPr>
              <w:t>Control</w:t>
            </w:r>
          </w:p>
        </w:tc>
        <w:tc>
          <w:tcPr>
            <w:tcW w:w="975" w:type="pct"/>
            <w:vAlign w:val="center"/>
          </w:tcPr>
          <w:p w14:paraId="5455121B" w14:textId="77777777" w:rsidR="006B010E" w:rsidRPr="00626A83" w:rsidRDefault="006B010E" w:rsidP="006B010E">
            <w:pPr>
              <w:spacing w:after="0"/>
              <w:rPr>
                <w:b/>
                <w:color w:val="FFFFFF"/>
                <w:sz w:val="20"/>
                <w:szCs w:val="20"/>
              </w:rPr>
            </w:pPr>
            <w:r w:rsidRPr="00626A83">
              <w:rPr>
                <w:b/>
                <w:snapToGrid w:val="0"/>
                <w:color w:val="FFFFFF"/>
                <w:sz w:val="20"/>
                <w:szCs w:val="20"/>
              </w:rPr>
              <w:t>Outcomes</w:t>
            </w:r>
          </w:p>
        </w:tc>
      </w:tr>
      <w:tr w:rsidR="006B010E" w:rsidRPr="00626A83" w14:paraId="45534311" w14:textId="77777777" w:rsidTr="00626A83">
        <w:tc>
          <w:tcPr>
            <w:tcW w:w="422" w:type="pct"/>
          </w:tcPr>
          <w:p w14:paraId="6564A496" w14:textId="77777777" w:rsidR="006B010E" w:rsidRPr="00626A83" w:rsidRDefault="006B010E" w:rsidP="006B010E">
            <w:pPr>
              <w:pStyle w:val="Table10ptalignedleft"/>
              <w:rPr>
                <w:szCs w:val="20"/>
              </w:rPr>
            </w:pPr>
            <w:r w:rsidRPr="00626A83">
              <w:rPr>
                <w:szCs w:val="20"/>
              </w:rPr>
              <w:t>Messerli (2016) Switzerland</w:t>
            </w:r>
          </w:p>
        </w:tc>
        <w:tc>
          <w:tcPr>
            <w:tcW w:w="606" w:type="pct"/>
          </w:tcPr>
          <w:p w14:paraId="610B01E1" w14:textId="77777777" w:rsidR="006B010E" w:rsidRPr="00626A83" w:rsidRDefault="006B010E" w:rsidP="006B010E">
            <w:pPr>
              <w:pStyle w:val="Table10ptalignedleft"/>
              <w:rPr>
                <w:szCs w:val="20"/>
              </w:rPr>
            </w:pPr>
            <w:r w:rsidRPr="00626A83">
              <w:rPr>
                <w:szCs w:val="20"/>
              </w:rPr>
              <w:t>RCT</w:t>
            </w:r>
          </w:p>
          <w:p w14:paraId="7E540A72" w14:textId="77777777" w:rsidR="006B010E" w:rsidRPr="00626A83" w:rsidRDefault="006B010E" w:rsidP="006B010E">
            <w:pPr>
              <w:pStyle w:val="Table10ptalignedleft"/>
              <w:rPr>
                <w:szCs w:val="20"/>
              </w:rPr>
            </w:pPr>
            <w:r w:rsidRPr="00626A83">
              <w:rPr>
                <w:szCs w:val="20"/>
              </w:rPr>
              <w:t>N=450 (54 community pharmacies)</w:t>
            </w:r>
          </w:p>
          <w:p w14:paraId="7921C553" w14:textId="77777777" w:rsidR="006B010E" w:rsidRPr="00626A83" w:rsidRDefault="006B010E" w:rsidP="006B010E">
            <w:pPr>
              <w:pStyle w:val="Table10ptalignedleft"/>
              <w:rPr>
                <w:szCs w:val="20"/>
              </w:rPr>
            </w:pPr>
            <w:r w:rsidRPr="00626A83">
              <w:rPr>
                <w:szCs w:val="20"/>
              </w:rPr>
              <w:t>28 weeks</w:t>
            </w:r>
          </w:p>
        </w:tc>
        <w:tc>
          <w:tcPr>
            <w:tcW w:w="348" w:type="pct"/>
          </w:tcPr>
          <w:p w14:paraId="1F9C028E" w14:textId="77777777" w:rsidR="006B010E" w:rsidRPr="00626A83" w:rsidRDefault="006B010E" w:rsidP="006B010E">
            <w:pPr>
              <w:pStyle w:val="Table10ptalignedleft"/>
              <w:rPr>
                <w:szCs w:val="20"/>
              </w:rPr>
            </w:pPr>
            <w:r w:rsidRPr="00626A83">
              <w:rPr>
                <w:szCs w:val="20"/>
              </w:rPr>
              <w:t>67.2</w:t>
            </w:r>
          </w:p>
        </w:tc>
        <w:tc>
          <w:tcPr>
            <w:tcW w:w="650" w:type="pct"/>
          </w:tcPr>
          <w:p w14:paraId="3F1ACFBD" w14:textId="77777777" w:rsidR="006B010E" w:rsidRPr="00626A83" w:rsidRDefault="006B010E" w:rsidP="006B010E">
            <w:pPr>
              <w:pStyle w:val="Table10ptalignedleft"/>
              <w:rPr>
                <w:szCs w:val="20"/>
              </w:rPr>
            </w:pPr>
            <w:r w:rsidRPr="00626A83">
              <w:rPr>
                <w:szCs w:val="20"/>
              </w:rPr>
              <w:t>Patients used ≥4 prescribed medicines over &gt;3 months.</w:t>
            </w:r>
          </w:p>
          <w:p w14:paraId="02A04A73" w14:textId="77777777" w:rsidR="006B010E" w:rsidRPr="00626A83" w:rsidRDefault="006B010E" w:rsidP="006B010E">
            <w:pPr>
              <w:pStyle w:val="Table10ptalignedleft"/>
              <w:rPr>
                <w:szCs w:val="20"/>
              </w:rPr>
            </w:pPr>
            <w:r w:rsidRPr="00626A83">
              <w:rPr>
                <w:szCs w:val="20"/>
              </w:rPr>
              <w:t>(n=218 intervention / 232 control)</w:t>
            </w:r>
          </w:p>
        </w:tc>
        <w:tc>
          <w:tcPr>
            <w:tcW w:w="1287" w:type="pct"/>
          </w:tcPr>
          <w:p w14:paraId="5A54C783" w14:textId="459E2B5A" w:rsidR="006B010E" w:rsidRPr="00626A83" w:rsidRDefault="00660443" w:rsidP="006B010E">
            <w:pPr>
              <w:pStyle w:val="Table10ptalignedleft"/>
              <w:rPr>
                <w:szCs w:val="20"/>
              </w:rPr>
            </w:pPr>
            <w:r w:rsidRPr="00626A83">
              <w:rPr>
                <w:szCs w:val="20"/>
              </w:rPr>
              <w:t>Polymedication Check</w:t>
            </w:r>
            <w:r w:rsidR="006B010E" w:rsidRPr="00626A83">
              <w:rPr>
                <w:szCs w:val="20"/>
              </w:rPr>
              <w:t xml:space="preserve">, a pharmacist-led medication review, at study start (T-0) and after 28 weeks (T-28) </w:t>
            </w:r>
          </w:p>
        </w:tc>
        <w:tc>
          <w:tcPr>
            <w:tcW w:w="712" w:type="pct"/>
          </w:tcPr>
          <w:p w14:paraId="0176CD1B" w14:textId="77777777" w:rsidR="006B010E" w:rsidRPr="00626A83" w:rsidRDefault="006B010E" w:rsidP="006B010E">
            <w:pPr>
              <w:pStyle w:val="Table10ptalignedleft"/>
              <w:rPr>
                <w:szCs w:val="20"/>
                <w:lang w:val="en-US"/>
              </w:rPr>
            </w:pPr>
            <w:r w:rsidRPr="00626A83">
              <w:rPr>
                <w:szCs w:val="20"/>
              </w:rPr>
              <w:t>Received a PMC at T-28 (end of the study)</w:t>
            </w:r>
          </w:p>
        </w:tc>
        <w:tc>
          <w:tcPr>
            <w:tcW w:w="975" w:type="pct"/>
          </w:tcPr>
          <w:p w14:paraId="45A72720" w14:textId="77777777" w:rsidR="006B010E" w:rsidRPr="00626A83" w:rsidRDefault="006B010E" w:rsidP="006B010E">
            <w:pPr>
              <w:pStyle w:val="Table10ptalignedleft"/>
              <w:rPr>
                <w:szCs w:val="20"/>
              </w:rPr>
            </w:pPr>
            <w:r w:rsidRPr="00626A83">
              <w:rPr>
                <w:szCs w:val="20"/>
              </w:rPr>
              <w:t>Primary outcome</w:t>
            </w:r>
          </w:p>
          <w:p w14:paraId="3894D7CF" w14:textId="153C6AF4"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objective adherence (measured using Medication Possession Ratio (MPR) and Daily Polypharmacy Possession Ratio (DPPR)a</w:t>
            </w:r>
            <w:r w:rsidR="00476D4D" w:rsidRPr="00626A83">
              <w:rPr>
                <w:rFonts w:eastAsiaTheme="minorHAnsi" w:cstheme="minorBidi"/>
                <w:szCs w:val="20"/>
              </w:rPr>
              <w:t>)</w:t>
            </w:r>
          </w:p>
          <w:p w14:paraId="4127F5B1" w14:textId="77777777" w:rsidR="006B010E" w:rsidRPr="00626A83" w:rsidRDefault="006B010E" w:rsidP="006B010E">
            <w:pPr>
              <w:pStyle w:val="Table10ptalignedleft"/>
              <w:rPr>
                <w:szCs w:val="20"/>
              </w:rPr>
            </w:pPr>
            <w:r w:rsidRPr="00626A83">
              <w:rPr>
                <w:szCs w:val="20"/>
              </w:rPr>
              <w:t>Secondary outcome</w:t>
            </w:r>
          </w:p>
          <w:p w14:paraId="35096ACE" w14:textId="27B6B922"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subjective adherence (measured by self-report questionnaire and two telephone interviews carried out at 2 and 16 weeks post</w:t>
            </w:r>
            <w:r w:rsidR="005A297C" w:rsidRPr="00626A83">
              <w:rPr>
                <w:rFonts w:eastAsiaTheme="minorHAnsi" w:cstheme="minorBidi"/>
                <w:szCs w:val="20"/>
              </w:rPr>
              <w:t>-</w:t>
            </w:r>
            <w:r w:rsidRPr="00626A83">
              <w:rPr>
                <w:rFonts w:eastAsiaTheme="minorHAnsi" w:cstheme="minorBidi"/>
                <w:szCs w:val="20"/>
              </w:rPr>
              <w:t>intervention)</w:t>
            </w:r>
          </w:p>
        </w:tc>
      </w:tr>
      <w:tr w:rsidR="006B010E" w:rsidRPr="00626A83" w14:paraId="4E4A3767" w14:textId="77777777" w:rsidTr="00626A83">
        <w:trPr>
          <w:cnfStyle w:val="000000010000" w:firstRow="0" w:lastRow="0" w:firstColumn="0" w:lastColumn="0" w:oddVBand="0" w:evenVBand="0" w:oddHBand="0" w:evenHBand="1" w:firstRowFirstColumn="0" w:firstRowLastColumn="0" w:lastRowFirstColumn="0" w:lastRowLastColumn="0"/>
        </w:trPr>
        <w:tc>
          <w:tcPr>
            <w:tcW w:w="422" w:type="pct"/>
          </w:tcPr>
          <w:p w14:paraId="2640C209" w14:textId="77777777" w:rsidR="006B010E" w:rsidRPr="00626A83" w:rsidRDefault="006B010E" w:rsidP="006B010E">
            <w:pPr>
              <w:pStyle w:val="Table10ptalignedleft"/>
              <w:rPr>
                <w:szCs w:val="20"/>
              </w:rPr>
            </w:pPr>
            <w:r w:rsidRPr="00626A83">
              <w:rPr>
                <w:szCs w:val="20"/>
              </w:rPr>
              <w:t>Mott (2016)</w:t>
            </w:r>
          </w:p>
          <w:p w14:paraId="1D60AB76" w14:textId="77777777" w:rsidR="006B010E" w:rsidRPr="00626A83" w:rsidRDefault="006B010E" w:rsidP="006B010E">
            <w:pPr>
              <w:pStyle w:val="Table10ptalignedleft"/>
              <w:rPr>
                <w:szCs w:val="20"/>
              </w:rPr>
            </w:pPr>
            <w:r w:rsidRPr="00626A83">
              <w:rPr>
                <w:szCs w:val="20"/>
              </w:rPr>
              <w:t>USA</w:t>
            </w:r>
          </w:p>
        </w:tc>
        <w:tc>
          <w:tcPr>
            <w:tcW w:w="606" w:type="pct"/>
          </w:tcPr>
          <w:p w14:paraId="209E9FB1" w14:textId="77777777" w:rsidR="006B010E" w:rsidRPr="00626A83" w:rsidRDefault="006B010E" w:rsidP="006B010E">
            <w:pPr>
              <w:pStyle w:val="Table10ptalignedleft"/>
              <w:rPr>
                <w:szCs w:val="20"/>
              </w:rPr>
            </w:pPr>
            <w:r w:rsidRPr="00626A83">
              <w:rPr>
                <w:szCs w:val="20"/>
              </w:rPr>
              <w:t>Cluster RCT</w:t>
            </w:r>
          </w:p>
          <w:p w14:paraId="00610A45" w14:textId="77777777" w:rsidR="006B010E" w:rsidRPr="00626A83" w:rsidRDefault="006B010E" w:rsidP="006B010E">
            <w:pPr>
              <w:pStyle w:val="Table10ptalignedleft"/>
              <w:rPr>
                <w:szCs w:val="20"/>
              </w:rPr>
            </w:pPr>
            <w:r w:rsidRPr="00626A83">
              <w:rPr>
                <w:szCs w:val="20"/>
              </w:rPr>
              <w:t>N=80 (1 pharmacy)</w:t>
            </w:r>
          </w:p>
          <w:p w14:paraId="25D398B0" w14:textId="77777777" w:rsidR="006B010E" w:rsidRPr="00626A83" w:rsidRDefault="006B010E" w:rsidP="006B010E">
            <w:pPr>
              <w:pStyle w:val="Table10ptalignedleft"/>
              <w:rPr>
                <w:szCs w:val="20"/>
              </w:rPr>
            </w:pPr>
            <w:r w:rsidRPr="00626A83">
              <w:rPr>
                <w:szCs w:val="20"/>
              </w:rPr>
              <w:t>6 months</w:t>
            </w:r>
          </w:p>
        </w:tc>
        <w:tc>
          <w:tcPr>
            <w:tcW w:w="348" w:type="pct"/>
          </w:tcPr>
          <w:p w14:paraId="41956471" w14:textId="77777777" w:rsidR="006B010E" w:rsidRPr="00626A83" w:rsidRDefault="006B010E" w:rsidP="006B010E">
            <w:pPr>
              <w:pStyle w:val="Table10ptalignedleft"/>
              <w:rPr>
                <w:szCs w:val="20"/>
              </w:rPr>
            </w:pPr>
            <w:r w:rsidRPr="00626A83">
              <w:rPr>
                <w:szCs w:val="20"/>
              </w:rPr>
              <w:t>74.9</w:t>
            </w:r>
          </w:p>
        </w:tc>
        <w:tc>
          <w:tcPr>
            <w:tcW w:w="650" w:type="pct"/>
          </w:tcPr>
          <w:p w14:paraId="1B3B1660" w14:textId="77777777" w:rsidR="006B010E" w:rsidRPr="00626A83" w:rsidRDefault="006B010E" w:rsidP="006B010E">
            <w:pPr>
              <w:pStyle w:val="Table10ptalignedleft"/>
              <w:rPr>
                <w:szCs w:val="20"/>
              </w:rPr>
            </w:pPr>
            <w:r w:rsidRPr="00626A83">
              <w:rPr>
                <w:szCs w:val="20"/>
              </w:rPr>
              <w:t>Patients ≥65 years, who had fallen in the past 12 months or had a fear of falling (n = 39 intervention / 41 control)</w:t>
            </w:r>
          </w:p>
        </w:tc>
        <w:tc>
          <w:tcPr>
            <w:tcW w:w="1287" w:type="pct"/>
            <w:tcBorders>
              <w:bottom w:val="single" w:sz="4" w:space="0" w:color="auto"/>
            </w:tcBorders>
          </w:tcPr>
          <w:p w14:paraId="44D613C0" w14:textId="77777777" w:rsidR="006B010E" w:rsidRPr="00626A83" w:rsidRDefault="006B010E" w:rsidP="006B010E">
            <w:pPr>
              <w:pStyle w:val="Table10ptalignedleft"/>
              <w:rPr>
                <w:szCs w:val="20"/>
              </w:rPr>
            </w:pPr>
            <w:r w:rsidRPr="00626A83">
              <w:rPr>
                <w:szCs w:val="20"/>
              </w:rPr>
              <w:t>Community pharmacy based medication review, with patients receiving a face-to-face interview, followed by a pharmaceutical action plan with recommendations to modify FRID use. Recommendations were discussed with the patient and prescriber as necessary</w:t>
            </w:r>
          </w:p>
        </w:tc>
        <w:tc>
          <w:tcPr>
            <w:tcW w:w="712" w:type="pct"/>
            <w:tcBorders>
              <w:bottom w:val="single" w:sz="4" w:space="0" w:color="auto"/>
            </w:tcBorders>
          </w:tcPr>
          <w:p w14:paraId="63C09366" w14:textId="77777777" w:rsidR="006B010E" w:rsidRPr="00626A83" w:rsidRDefault="006B010E" w:rsidP="006B010E">
            <w:pPr>
              <w:pStyle w:val="Table10ptalignedleft"/>
              <w:rPr>
                <w:szCs w:val="20"/>
              </w:rPr>
            </w:pPr>
            <w:r w:rsidRPr="00626A83">
              <w:rPr>
                <w:szCs w:val="20"/>
              </w:rPr>
              <w:t>No medication review-patients received a mailed pamphlet describing medication use and falls</w:t>
            </w:r>
          </w:p>
        </w:tc>
        <w:tc>
          <w:tcPr>
            <w:tcW w:w="975" w:type="pct"/>
          </w:tcPr>
          <w:p w14:paraId="6DE3AA69" w14:textId="77777777" w:rsidR="006B010E" w:rsidRPr="00626A83" w:rsidRDefault="006B010E" w:rsidP="006B010E">
            <w:pPr>
              <w:pStyle w:val="Table10ptalignedleft"/>
              <w:rPr>
                <w:szCs w:val="20"/>
              </w:rPr>
            </w:pPr>
            <w:r w:rsidRPr="00626A83">
              <w:rPr>
                <w:szCs w:val="20"/>
              </w:rPr>
              <w:t>Primary outcome</w:t>
            </w:r>
          </w:p>
          <w:p w14:paraId="520D6FBC" w14:textId="38D0FE36" w:rsidR="006B010E" w:rsidRPr="00626A83" w:rsidRDefault="00DA01FB"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rate of discontinuing FRIDs</w:t>
            </w:r>
          </w:p>
          <w:p w14:paraId="68846738"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number of falls</w:t>
            </w:r>
          </w:p>
          <w:p w14:paraId="3A78CD13" w14:textId="77777777" w:rsidR="006B010E" w:rsidRPr="00626A83" w:rsidRDefault="006B010E" w:rsidP="006B010E">
            <w:pPr>
              <w:pStyle w:val="Table10ptalignedleft"/>
              <w:rPr>
                <w:szCs w:val="20"/>
              </w:rPr>
            </w:pPr>
            <w:r w:rsidRPr="00626A83">
              <w:rPr>
                <w:szCs w:val="20"/>
              </w:rPr>
              <w:t>Secondary outcome</w:t>
            </w:r>
          </w:p>
          <w:p w14:paraId="476023CD"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acceptance rate of medication recommendations</w:t>
            </w:r>
            <w:r w:rsidRPr="00626A83">
              <w:rPr>
                <w:szCs w:val="20"/>
              </w:rPr>
              <w:t xml:space="preserve"> </w:t>
            </w:r>
          </w:p>
        </w:tc>
      </w:tr>
      <w:tr w:rsidR="006B010E" w:rsidRPr="00626A83" w14:paraId="4A7E1E27" w14:textId="77777777" w:rsidTr="00626A83">
        <w:tc>
          <w:tcPr>
            <w:tcW w:w="422" w:type="pct"/>
          </w:tcPr>
          <w:p w14:paraId="103C52A5" w14:textId="77777777" w:rsidR="006B010E" w:rsidRPr="00626A83" w:rsidRDefault="006B010E" w:rsidP="006B010E">
            <w:pPr>
              <w:pStyle w:val="Table10ptalignedleft"/>
              <w:rPr>
                <w:szCs w:val="20"/>
              </w:rPr>
            </w:pPr>
            <w:r w:rsidRPr="00626A83">
              <w:rPr>
                <w:szCs w:val="20"/>
              </w:rPr>
              <w:t>Basheti (2016)</w:t>
            </w:r>
          </w:p>
          <w:p w14:paraId="753B50D1" w14:textId="77777777" w:rsidR="006B010E" w:rsidRPr="00626A83" w:rsidRDefault="006B010E" w:rsidP="006B010E">
            <w:pPr>
              <w:pStyle w:val="Table10ptalignedleft"/>
              <w:rPr>
                <w:szCs w:val="20"/>
              </w:rPr>
            </w:pPr>
            <w:r w:rsidRPr="00626A83">
              <w:rPr>
                <w:szCs w:val="20"/>
              </w:rPr>
              <w:t>Jordan</w:t>
            </w:r>
          </w:p>
        </w:tc>
        <w:tc>
          <w:tcPr>
            <w:tcW w:w="606" w:type="pct"/>
          </w:tcPr>
          <w:p w14:paraId="7F9849B3" w14:textId="77777777" w:rsidR="006B010E" w:rsidRPr="00626A83" w:rsidRDefault="006B010E" w:rsidP="006B010E">
            <w:pPr>
              <w:pStyle w:val="Table10ptalignedleft"/>
              <w:rPr>
                <w:szCs w:val="20"/>
              </w:rPr>
            </w:pPr>
            <w:r w:rsidRPr="00626A83">
              <w:rPr>
                <w:szCs w:val="20"/>
              </w:rPr>
              <w:t>RCT</w:t>
            </w:r>
          </w:p>
          <w:p w14:paraId="105047E6" w14:textId="77777777" w:rsidR="006B010E" w:rsidRPr="00626A83" w:rsidRDefault="006B010E" w:rsidP="006B010E">
            <w:pPr>
              <w:pStyle w:val="Table10ptalignedleft"/>
              <w:rPr>
                <w:szCs w:val="20"/>
              </w:rPr>
            </w:pPr>
            <w:r w:rsidRPr="00626A83">
              <w:rPr>
                <w:szCs w:val="20"/>
              </w:rPr>
              <w:t>N=160 (2 community pharmacies)</w:t>
            </w:r>
          </w:p>
          <w:p w14:paraId="72E2FD5F" w14:textId="77777777" w:rsidR="006B010E" w:rsidRPr="00626A83" w:rsidRDefault="006B010E" w:rsidP="006B010E">
            <w:pPr>
              <w:pStyle w:val="Table10ptalignedleft"/>
              <w:rPr>
                <w:szCs w:val="20"/>
              </w:rPr>
            </w:pPr>
            <w:r w:rsidRPr="00626A83">
              <w:rPr>
                <w:szCs w:val="20"/>
              </w:rPr>
              <w:t>9 months</w:t>
            </w:r>
          </w:p>
          <w:p w14:paraId="091F15E8" w14:textId="77777777" w:rsidR="006B010E" w:rsidRPr="00626A83" w:rsidRDefault="006B010E" w:rsidP="006B010E">
            <w:pPr>
              <w:pStyle w:val="Table10ptalignedleft"/>
              <w:rPr>
                <w:szCs w:val="20"/>
              </w:rPr>
            </w:pPr>
            <w:r w:rsidRPr="00626A83">
              <w:rPr>
                <w:szCs w:val="20"/>
              </w:rPr>
              <w:t>(patients followed for average of 3.4 months)</w:t>
            </w:r>
          </w:p>
        </w:tc>
        <w:tc>
          <w:tcPr>
            <w:tcW w:w="348" w:type="pct"/>
          </w:tcPr>
          <w:p w14:paraId="08982A72" w14:textId="77777777" w:rsidR="006B010E" w:rsidRPr="00626A83" w:rsidRDefault="006B010E" w:rsidP="006B010E">
            <w:pPr>
              <w:pStyle w:val="Table10ptalignedleft"/>
              <w:rPr>
                <w:szCs w:val="20"/>
              </w:rPr>
            </w:pPr>
            <w:r w:rsidRPr="00626A83">
              <w:rPr>
                <w:szCs w:val="20"/>
              </w:rPr>
              <w:t>53.4</w:t>
            </w:r>
          </w:p>
        </w:tc>
        <w:tc>
          <w:tcPr>
            <w:tcW w:w="650" w:type="pct"/>
          </w:tcPr>
          <w:p w14:paraId="50A0FDA0" w14:textId="77777777" w:rsidR="006B010E" w:rsidRPr="00626A83" w:rsidRDefault="006B010E" w:rsidP="006B010E">
            <w:pPr>
              <w:pStyle w:val="Table10ptalignedleft"/>
              <w:rPr>
                <w:szCs w:val="20"/>
              </w:rPr>
            </w:pPr>
            <w:r w:rsidRPr="00626A83">
              <w:rPr>
                <w:szCs w:val="20"/>
              </w:rPr>
              <w:t>Patients &gt;18 years, with at least one chronic medical condition, and prescribed ≥3</w:t>
            </w:r>
          </w:p>
          <w:p w14:paraId="4B2ED564" w14:textId="77777777" w:rsidR="006B010E" w:rsidRPr="00626A83" w:rsidRDefault="006B010E" w:rsidP="006B010E">
            <w:pPr>
              <w:pStyle w:val="Table10ptalignedleft"/>
              <w:rPr>
                <w:szCs w:val="20"/>
              </w:rPr>
            </w:pPr>
            <w:r w:rsidRPr="00626A83">
              <w:rPr>
                <w:szCs w:val="20"/>
              </w:rPr>
              <w:t>Medications (n=82 intervention/78 control)</w:t>
            </w:r>
          </w:p>
        </w:tc>
        <w:tc>
          <w:tcPr>
            <w:tcW w:w="1287" w:type="pct"/>
            <w:tcBorders>
              <w:bottom w:val="single" w:sz="4" w:space="0" w:color="auto"/>
            </w:tcBorders>
            <w:shd w:val="clear" w:color="auto" w:fill="auto"/>
          </w:tcPr>
          <w:p w14:paraId="5EBD373E" w14:textId="27F95E1F" w:rsidR="006B010E" w:rsidRPr="00626A83" w:rsidRDefault="006B010E" w:rsidP="006B010E">
            <w:pPr>
              <w:pStyle w:val="Table10ptalignedleft"/>
              <w:rPr>
                <w:szCs w:val="20"/>
              </w:rPr>
            </w:pPr>
            <w:r w:rsidRPr="00626A83">
              <w:rPr>
                <w:szCs w:val="20"/>
              </w:rPr>
              <w:t xml:space="preserve">MedsCheck: the clinical pharmacist conducted a baseline assessment medication review to determine the prevalence and type of </w:t>
            </w:r>
            <w:r w:rsidR="00454377" w:rsidRPr="00626A83">
              <w:rPr>
                <w:szCs w:val="20"/>
              </w:rPr>
              <w:t>treatment-related</w:t>
            </w:r>
            <w:r w:rsidRPr="00626A83">
              <w:rPr>
                <w:szCs w:val="20"/>
              </w:rPr>
              <w:t xml:space="preserve"> problems (TRPs), recommendations were made regarding the identified TRPs that were submitted to the patients’ physicians</w:t>
            </w:r>
          </w:p>
        </w:tc>
        <w:tc>
          <w:tcPr>
            <w:tcW w:w="712" w:type="pct"/>
            <w:tcBorders>
              <w:bottom w:val="single" w:sz="4" w:space="0" w:color="auto"/>
            </w:tcBorders>
            <w:shd w:val="clear" w:color="auto" w:fill="auto"/>
          </w:tcPr>
          <w:p w14:paraId="1BFD1E2B" w14:textId="77777777" w:rsidR="006B010E" w:rsidRPr="00626A83" w:rsidRDefault="006B010E" w:rsidP="006B010E">
            <w:pPr>
              <w:pStyle w:val="Table10ptalignedleft"/>
              <w:rPr>
                <w:szCs w:val="20"/>
              </w:rPr>
            </w:pPr>
            <w:r w:rsidRPr="00626A83">
              <w:rPr>
                <w:szCs w:val="20"/>
                <w:lang w:val="en-US"/>
              </w:rPr>
              <w:t>GP care: patients receive a baseline assessment by the clinical pharmacist, however, TRPs are identified and corrected by physicians without any input from the clinical pharmacist</w:t>
            </w:r>
          </w:p>
        </w:tc>
        <w:tc>
          <w:tcPr>
            <w:tcW w:w="975" w:type="pct"/>
            <w:shd w:val="clear" w:color="auto" w:fill="auto"/>
          </w:tcPr>
          <w:p w14:paraId="587B0686" w14:textId="77777777" w:rsidR="006B010E" w:rsidRPr="00626A83" w:rsidRDefault="006B010E" w:rsidP="006B010E">
            <w:pPr>
              <w:pStyle w:val="Table10ptalignedleft"/>
              <w:rPr>
                <w:szCs w:val="20"/>
              </w:rPr>
            </w:pPr>
            <w:r w:rsidRPr="00626A83">
              <w:rPr>
                <w:szCs w:val="20"/>
              </w:rPr>
              <w:t>Primary outcome</w:t>
            </w:r>
          </w:p>
          <w:p w14:paraId="02B637A6"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recommendations acceptance rate by physicians</w:t>
            </w:r>
          </w:p>
          <w:p w14:paraId="23817D2D" w14:textId="48D99BCA" w:rsidR="006B010E" w:rsidRPr="00626A83" w:rsidRDefault="006B010E" w:rsidP="006B010E">
            <w:pPr>
              <w:pStyle w:val="Table10ptalignedleft"/>
              <w:rPr>
                <w:szCs w:val="20"/>
              </w:rPr>
            </w:pPr>
            <w:r w:rsidRPr="00626A83">
              <w:rPr>
                <w:szCs w:val="20"/>
              </w:rPr>
              <w:t>Secondary outcome</w:t>
            </w:r>
            <w:r w:rsidR="00EE2529" w:rsidRPr="00626A83">
              <w:rPr>
                <w:szCs w:val="20"/>
              </w:rPr>
              <w:t>s</w:t>
            </w:r>
          </w:p>
          <w:p w14:paraId="39ABDEB9"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reduction in TRPs</w:t>
            </w:r>
          </w:p>
          <w:p w14:paraId="118C329B" w14:textId="77777777" w:rsidR="006B010E" w:rsidRPr="00626A83" w:rsidRDefault="006B010E" w:rsidP="006B010E">
            <w:pPr>
              <w:pStyle w:val="Table10ptbullet"/>
              <w:numPr>
                <w:ilvl w:val="0"/>
                <w:numId w:val="2"/>
              </w:numPr>
              <w:ind w:left="227" w:hanging="227"/>
              <w:rPr>
                <w:rFonts w:ascii="Times New Roman" w:hAnsi="Times New Roman"/>
                <w:szCs w:val="20"/>
              </w:rPr>
            </w:pPr>
            <w:r w:rsidRPr="00626A83">
              <w:rPr>
                <w:rFonts w:eastAsiaTheme="minorHAnsi" w:cstheme="minorBidi"/>
                <w:szCs w:val="20"/>
              </w:rPr>
              <w:t>clinical outcomes (e.g. blood glucose; blood pressure and triglyceride levels)</w:t>
            </w:r>
          </w:p>
        </w:tc>
      </w:tr>
      <w:tr w:rsidR="006B010E" w:rsidRPr="00626A83" w14:paraId="25DC101E" w14:textId="77777777" w:rsidTr="00626A83">
        <w:trPr>
          <w:cnfStyle w:val="000000010000" w:firstRow="0" w:lastRow="0" w:firstColumn="0" w:lastColumn="0" w:oddVBand="0" w:evenVBand="0" w:oddHBand="0" w:evenHBand="1" w:firstRowFirstColumn="0" w:firstRowLastColumn="0" w:lastRowFirstColumn="0" w:lastRowLastColumn="0"/>
        </w:trPr>
        <w:tc>
          <w:tcPr>
            <w:tcW w:w="422" w:type="pct"/>
          </w:tcPr>
          <w:p w14:paraId="6357A0B2" w14:textId="77777777" w:rsidR="006B010E" w:rsidRPr="00626A83" w:rsidRDefault="006B010E" w:rsidP="006B010E">
            <w:pPr>
              <w:pStyle w:val="Table10ptalignedleft"/>
              <w:rPr>
                <w:szCs w:val="20"/>
              </w:rPr>
            </w:pPr>
            <w:r w:rsidRPr="00626A83">
              <w:rPr>
                <w:szCs w:val="20"/>
              </w:rPr>
              <w:t>Ocampo (2015)</w:t>
            </w:r>
          </w:p>
          <w:p w14:paraId="33BCC766" w14:textId="77777777" w:rsidR="006B010E" w:rsidRPr="00626A83" w:rsidRDefault="006B010E" w:rsidP="006B010E">
            <w:pPr>
              <w:pStyle w:val="Table10ptalignedleft"/>
              <w:rPr>
                <w:szCs w:val="20"/>
              </w:rPr>
            </w:pPr>
            <w:r w:rsidRPr="00626A83">
              <w:rPr>
                <w:szCs w:val="20"/>
              </w:rPr>
              <w:t>Spain</w:t>
            </w:r>
          </w:p>
        </w:tc>
        <w:tc>
          <w:tcPr>
            <w:tcW w:w="606" w:type="pct"/>
          </w:tcPr>
          <w:p w14:paraId="6C3A5BC2" w14:textId="77777777" w:rsidR="006B010E" w:rsidRPr="00626A83" w:rsidRDefault="006B010E" w:rsidP="006B010E">
            <w:pPr>
              <w:pStyle w:val="Table10ptalignedleft"/>
              <w:rPr>
                <w:szCs w:val="20"/>
              </w:rPr>
            </w:pPr>
            <w:r w:rsidRPr="00626A83">
              <w:rPr>
                <w:szCs w:val="20"/>
              </w:rPr>
              <w:t>Observational study, pre- post-design N=132 (1 pharmacy)</w:t>
            </w:r>
          </w:p>
          <w:p w14:paraId="15DF1B2A" w14:textId="77777777" w:rsidR="006B010E" w:rsidRPr="00626A83" w:rsidRDefault="006B010E" w:rsidP="006B010E">
            <w:pPr>
              <w:pStyle w:val="Table10ptalignedleft"/>
              <w:rPr>
                <w:szCs w:val="20"/>
              </w:rPr>
            </w:pPr>
            <w:r w:rsidRPr="00626A83">
              <w:rPr>
                <w:szCs w:val="20"/>
              </w:rPr>
              <w:t>18 months</w:t>
            </w:r>
          </w:p>
        </w:tc>
        <w:tc>
          <w:tcPr>
            <w:tcW w:w="348" w:type="pct"/>
          </w:tcPr>
          <w:p w14:paraId="2B21CD23" w14:textId="77777777" w:rsidR="006B010E" w:rsidRPr="00626A83" w:rsidRDefault="006B010E" w:rsidP="006B010E">
            <w:pPr>
              <w:pStyle w:val="Table10ptalignedleft"/>
              <w:rPr>
                <w:szCs w:val="20"/>
              </w:rPr>
            </w:pPr>
            <w:r w:rsidRPr="00626A83">
              <w:rPr>
                <w:szCs w:val="20"/>
              </w:rPr>
              <w:t>63.1</w:t>
            </w:r>
          </w:p>
        </w:tc>
        <w:tc>
          <w:tcPr>
            <w:tcW w:w="650" w:type="pct"/>
          </w:tcPr>
          <w:p w14:paraId="4AC77801" w14:textId="77777777" w:rsidR="006B010E" w:rsidRPr="00626A83" w:rsidRDefault="006B010E" w:rsidP="006B010E">
            <w:pPr>
              <w:pStyle w:val="Table10ptalignedleft"/>
              <w:rPr>
                <w:szCs w:val="20"/>
              </w:rPr>
            </w:pPr>
            <w:r w:rsidRPr="00626A83">
              <w:rPr>
                <w:szCs w:val="20"/>
              </w:rPr>
              <w:t>Patients prescribed at least one medicine</w:t>
            </w:r>
          </w:p>
        </w:tc>
        <w:tc>
          <w:tcPr>
            <w:tcW w:w="1287" w:type="pct"/>
            <w:tcBorders>
              <w:top w:val="single" w:sz="4" w:space="0" w:color="auto"/>
            </w:tcBorders>
          </w:tcPr>
          <w:p w14:paraId="6153925B" w14:textId="23897314" w:rsidR="006B010E" w:rsidRPr="00626A83" w:rsidRDefault="006B010E" w:rsidP="00FD3850">
            <w:pPr>
              <w:pStyle w:val="Table10ptalignedleft"/>
              <w:rPr>
                <w:szCs w:val="20"/>
              </w:rPr>
            </w:pPr>
            <w:r w:rsidRPr="00626A83">
              <w:rPr>
                <w:szCs w:val="20"/>
              </w:rPr>
              <w:t>Medication review conducted by pharmacists at the pharmacy.  The pharmacist identifies negative clinical outcomes related to medicines and DRPs, followed by an action plan agreed upon by the patient and the physician</w:t>
            </w:r>
          </w:p>
        </w:tc>
        <w:tc>
          <w:tcPr>
            <w:tcW w:w="712" w:type="pct"/>
            <w:tcBorders>
              <w:top w:val="single" w:sz="4" w:space="0" w:color="auto"/>
            </w:tcBorders>
          </w:tcPr>
          <w:p w14:paraId="5E229EA6" w14:textId="77777777" w:rsidR="006B010E" w:rsidRPr="00626A83" w:rsidRDefault="006B010E" w:rsidP="006B010E">
            <w:pPr>
              <w:pStyle w:val="Table10ptalignedleft"/>
              <w:rPr>
                <w:szCs w:val="20"/>
              </w:rPr>
            </w:pPr>
            <w:r w:rsidRPr="00626A83">
              <w:rPr>
                <w:szCs w:val="20"/>
              </w:rPr>
              <w:t>-</w:t>
            </w:r>
          </w:p>
        </w:tc>
        <w:tc>
          <w:tcPr>
            <w:tcW w:w="975" w:type="pct"/>
          </w:tcPr>
          <w:p w14:paraId="712D2E3A"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medication-related problems</w:t>
            </w:r>
          </w:p>
          <w:p w14:paraId="6D5364CC"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number of medicines</w:t>
            </w:r>
          </w:p>
          <w:p w14:paraId="334EDE85"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hospitalisation</w:t>
            </w:r>
          </w:p>
          <w:p w14:paraId="73BB6A42"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ED admissions</w:t>
            </w:r>
          </w:p>
          <w:p w14:paraId="77E84CED"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QoL (SF-36)</w:t>
            </w:r>
          </w:p>
        </w:tc>
      </w:tr>
      <w:tr w:rsidR="006B010E" w:rsidRPr="00626A83" w14:paraId="6FAC85CD" w14:textId="77777777" w:rsidTr="00626A83">
        <w:tc>
          <w:tcPr>
            <w:tcW w:w="422" w:type="pct"/>
          </w:tcPr>
          <w:p w14:paraId="066317A8" w14:textId="77777777" w:rsidR="006B010E" w:rsidRPr="00626A83" w:rsidRDefault="006B010E" w:rsidP="006B010E">
            <w:pPr>
              <w:pStyle w:val="Table10ptalignedleft"/>
              <w:rPr>
                <w:szCs w:val="20"/>
              </w:rPr>
            </w:pPr>
            <w:r w:rsidRPr="00626A83">
              <w:rPr>
                <w:szCs w:val="20"/>
              </w:rPr>
              <w:lastRenderedPageBreak/>
              <w:t xml:space="preserve">Malet-Larrea (2016) </w:t>
            </w:r>
          </w:p>
          <w:p w14:paraId="228F49D2" w14:textId="77777777" w:rsidR="006B010E" w:rsidRPr="00626A83" w:rsidRDefault="006B010E" w:rsidP="006B010E">
            <w:pPr>
              <w:pStyle w:val="Table10ptalignedleft"/>
              <w:rPr>
                <w:szCs w:val="20"/>
              </w:rPr>
            </w:pPr>
            <w:r w:rsidRPr="00626A83">
              <w:rPr>
                <w:szCs w:val="20"/>
              </w:rPr>
              <w:t>Spain</w:t>
            </w:r>
          </w:p>
        </w:tc>
        <w:tc>
          <w:tcPr>
            <w:tcW w:w="606" w:type="pct"/>
          </w:tcPr>
          <w:p w14:paraId="6E0FC332" w14:textId="77777777" w:rsidR="006B010E" w:rsidRPr="00626A83" w:rsidRDefault="006B010E" w:rsidP="006B010E">
            <w:pPr>
              <w:pStyle w:val="Table10ptalignedleft"/>
              <w:rPr>
                <w:szCs w:val="20"/>
              </w:rPr>
            </w:pPr>
            <w:r w:rsidRPr="00626A83">
              <w:rPr>
                <w:szCs w:val="20"/>
              </w:rPr>
              <w:t>Retrospective sub-analysis of the conSIGUE cluster RCT by Martinez-Martinez et al (2015; Spanish)</w:t>
            </w:r>
            <w:r w:rsidRPr="00626A83">
              <w:rPr>
                <w:szCs w:val="20"/>
                <w:vertAlign w:val="superscript"/>
              </w:rPr>
              <w:t>a</w:t>
            </w:r>
          </w:p>
          <w:p w14:paraId="6DC0410F" w14:textId="77777777" w:rsidR="006B010E" w:rsidRPr="00626A83" w:rsidRDefault="006B010E" w:rsidP="006B010E">
            <w:pPr>
              <w:pStyle w:val="Table10ptalignedleft"/>
              <w:rPr>
                <w:szCs w:val="20"/>
              </w:rPr>
            </w:pPr>
            <w:r w:rsidRPr="00626A83">
              <w:rPr>
                <w:szCs w:val="20"/>
              </w:rPr>
              <w:t>N=42 medication-related hospitalisations</w:t>
            </w:r>
          </w:p>
          <w:p w14:paraId="038CCBDF" w14:textId="77777777" w:rsidR="006B010E" w:rsidRPr="00626A83" w:rsidRDefault="006B010E" w:rsidP="006B010E">
            <w:pPr>
              <w:pStyle w:val="Table10ptalignedleft"/>
              <w:rPr>
                <w:szCs w:val="20"/>
              </w:rPr>
            </w:pPr>
            <w:r w:rsidRPr="00626A83">
              <w:rPr>
                <w:szCs w:val="20"/>
              </w:rPr>
              <w:t>6-month follow-up</w:t>
            </w:r>
          </w:p>
        </w:tc>
        <w:tc>
          <w:tcPr>
            <w:tcW w:w="348" w:type="pct"/>
          </w:tcPr>
          <w:p w14:paraId="4B75E162" w14:textId="77777777" w:rsidR="006B010E" w:rsidRPr="00626A83" w:rsidRDefault="006B010E" w:rsidP="006B010E">
            <w:pPr>
              <w:pStyle w:val="Table10ptalignedleft"/>
              <w:rPr>
                <w:szCs w:val="20"/>
              </w:rPr>
            </w:pPr>
            <w:r w:rsidRPr="00626A83">
              <w:rPr>
                <w:szCs w:val="20"/>
              </w:rPr>
              <w:t>n.a.</w:t>
            </w:r>
          </w:p>
        </w:tc>
        <w:tc>
          <w:tcPr>
            <w:tcW w:w="650" w:type="pct"/>
          </w:tcPr>
          <w:p w14:paraId="04544F5C" w14:textId="77777777" w:rsidR="006B010E" w:rsidRPr="00626A83" w:rsidRDefault="006B010E" w:rsidP="006B010E">
            <w:pPr>
              <w:pStyle w:val="Table10ptalignedleft"/>
              <w:rPr>
                <w:szCs w:val="20"/>
              </w:rPr>
            </w:pPr>
            <w:r w:rsidRPr="00626A83">
              <w:rPr>
                <w:szCs w:val="20"/>
              </w:rPr>
              <w:t>Patients ≥65 years, using five or more medications for at least 6 months</w:t>
            </w:r>
          </w:p>
        </w:tc>
        <w:tc>
          <w:tcPr>
            <w:tcW w:w="1287" w:type="pct"/>
          </w:tcPr>
          <w:p w14:paraId="31753F56" w14:textId="6B107924" w:rsidR="006B010E" w:rsidRPr="00626A83" w:rsidRDefault="006B010E" w:rsidP="00FD3850">
            <w:pPr>
              <w:pStyle w:val="Table10ptalignedleft"/>
              <w:rPr>
                <w:szCs w:val="20"/>
              </w:rPr>
            </w:pPr>
            <w:r w:rsidRPr="00626A83">
              <w:rPr>
                <w:szCs w:val="20"/>
              </w:rPr>
              <w:t xml:space="preserve">Medication review conducted by pharmacists at the pharmacy.  The pharmacist identifies negative clinical outcomes related to medicines and DRPs, followed by an action plan agreed upon by the patient and the physician </w:t>
            </w:r>
          </w:p>
        </w:tc>
        <w:tc>
          <w:tcPr>
            <w:tcW w:w="712" w:type="pct"/>
          </w:tcPr>
          <w:p w14:paraId="7A0B8195" w14:textId="77777777" w:rsidR="006B010E" w:rsidRPr="00626A83" w:rsidRDefault="006B010E" w:rsidP="006B010E">
            <w:pPr>
              <w:pStyle w:val="Table10ptalignedleft"/>
              <w:rPr>
                <w:szCs w:val="20"/>
              </w:rPr>
            </w:pPr>
            <w:r w:rsidRPr="00626A83">
              <w:rPr>
                <w:szCs w:val="20"/>
              </w:rPr>
              <w:t>Usual care</w:t>
            </w:r>
          </w:p>
        </w:tc>
        <w:tc>
          <w:tcPr>
            <w:tcW w:w="975" w:type="pct"/>
          </w:tcPr>
          <w:p w14:paraId="26772BF0" w14:textId="77777777" w:rsidR="006B010E" w:rsidRPr="00626A83" w:rsidRDefault="006B010E" w:rsidP="006B010E">
            <w:pPr>
              <w:pStyle w:val="Table10ptalignedleft"/>
              <w:rPr>
                <w:szCs w:val="20"/>
              </w:rPr>
            </w:pPr>
            <w:r w:rsidRPr="00626A83">
              <w:rPr>
                <w:szCs w:val="20"/>
              </w:rPr>
              <w:t>Primary outcome</w:t>
            </w:r>
          </w:p>
          <w:p w14:paraId="44DD64F0"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medication-related hospital admission</w:t>
            </w:r>
          </w:p>
          <w:p w14:paraId="7C76215A" w14:textId="77777777" w:rsidR="006B010E" w:rsidRPr="00626A83" w:rsidRDefault="006B010E" w:rsidP="006B010E">
            <w:pPr>
              <w:pStyle w:val="Table10ptalignedleft"/>
              <w:rPr>
                <w:szCs w:val="20"/>
              </w:rPr>
            </w:pPr>
            <w:r w:rsidRPr="00626A83">
              <w:rPr>
                <w:szCs w:val="20"/>
              </w:rPr>
              <w:t>Secondary outcome</w:t>
            </w:r>
          </w:p>
          <w:p w14:paraId="5AEA758D"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hospital costs</w:t>
            </w:r>
          </w:p>
        </w:tc>
      </w:tr>
      <w:tr w:rsidR="006B010E" w:rsidRPr="00626A83" w14:paraId="3820C2EF" w14:textId="77777777" w:rsidTr="00626A83">
        <w:trPr>
          <w:cnfStyle w:val="000000010000" w:firstRow="0" w:lastRow="0" w:firstColumn="0" w:lastColumn="0" w:oddVBand="0" w:evenVBand="0" w:oddHBand="0" w:evenHBand="1" w:firstRowFirstColumn="0" w:firstRowLastColumn="0" w:lastRowFirstColumn="0" w:lastRowLastColumn="0"/>
        </w:trPr>
        <w:tc>
          <w:tcPr>
            <w:tcW w:w="422" w:type="pct"/>
          </w:tcPr>
          <w:p w14:paraId="4895F2AC" w14:textId="77777777" w:rsidR="006B010E" w:rsidRPr="00626A83" w:rsidRDefault="006B010E" w:rsidP="006B010E">
            <w:pPr>
              <w:pStyle w:val="Table10ptalignedleft"/>
              <w:rPr>
                <w:szCs w:val="20"/>
              </w:rPr>
            </w:pPr>
            <w:r w:rsidRPr="00626A83">
              <w:rPr>
                <w:szCs w:val="20"/>
              </w:rPr>
              <w:t>Geurts (2015)</w:t>
            </w:r>
          </w:p>
          <w:p w14:paraId="3B8B8B39" w14:textId="77777777" w:rsidR="006B010E" w:rsidRPr="00626A83" w:rsidRDefault="006B010E" w:rsidP="006B010E">
            <w:pPr>
              <w:pStyle w:val="Table10ptalignedleft"/>
              <w:rPr>
                <w:szCs w:val="20"/>
              </w:rPr>
            </w:pPr>
            <w:r w:rsidRPr="00626A83">
              <w:rPr>
                <w:szCs w:val="20"/>
              </w:rPr>
              <w:t>The Netherlands</w:t>
            </w:r>
          </w:p>
        </w:tc>
        <w:tc>
          <w:tcPr>
            <w:tcW w:w="606" w:type="pct"/>
          </w:tcPr>
          <w:p w14:paraId="7368E245" w14:textId="77777777" w:rsidR="006B010E" w:rsidRPr="00626A83" w:rsidRDefault="006B010E" w:rsidP="006B010E">
            <w:pPr>
              <w:pStyle w:val="Table10ptalignedleft"/>
              <w:rPr>
                <w:szCs w:val="20"/>
              </w:rPr>
            </w:pPr>
            <w:r w:rsidRPr="00626A83">
              <w:rPr>
                <w:szCs w:val="20"/>
              </w:rPr>
              <w:t>RCT</w:t>
            </w:r>
          </w:p>
          <w:p w14:paraId="19BD65BC" w14:textId="77777777" w:rsidR="006B010E" w:rsidRPr="00626A83" w:rsidRDefault="006B010E" w:rsidP="006B010E">
            <w:pPr>
              <w:pStyle w:val="Table10ptalignedleft"/>
              <w:rPr>
                <w:szCs w:val="20"/>
              </w:rPr>
            </w:pPr>
            <w:r w:rsidRPr="00626A83">
              <w:rPr>
                <w:szCs w:val="20"/>
              </w:rPr>
              <w:t>N = 512 (12 community pharmacies)</w:t>
            </w:r>
          </w:p>
          <w:p w14:paraId="11F489BC" w14:textId="77777777" w:rsidR="006B010E" w:rsidRPr="00626A83" w:rsidRDefault="006B010E" w:rsidP="006B010E">
            <w:pPr>
              <w:pStyle w:val="Table10ptalignedleft"/>
              <w:rPr>
                <w:szCs w:val="20"/>
              </w:rPr>
            </w:pPr>
            <w:r w:rsidRPr="00626A83">
              <w:rPr>
                <w:szCs w:val="20"/>
              </w:rPr>
              <w:t>12 months</w:t>
            </w:r>
          </w:p>
        </w:tc>
        <w:tc>
          <w:tcPr>
            <w:tcW w:w="348" w:type="pct"/>
          </w:tcPr>
          <w:p w14:paraId="6D5499C1" w14:textId="77777777" w:rsidR="006B010E" w:rsidRPr="00626A83" w:rsidRDefault="006B010E" w:rsidP="006B010E">
            <w:pPr>
              <w:pStyle w:val="Table10ptalignedleft"/>
              <w:rPr>
                <w:szCs w:val="20"/>
              </w:rPr>
            </w:pPr>
            <w:r w:rsidRPr="00626A83">
              <w:rPr>
                <w:szCs w:val="20"/>
              </w:rPr>
              <w:t>72.5</w:t>
            </w:r>
          </w:p>
        </w:tc>
        <w:tc>
          <w:tcPr>
            <w:tcW w:w="650" w:type="pct"/>
          </w:tcPr>
          <w:p w14:paraId="619B849C" w14:textId="49DFC0B9" w:rsidR="006B010E" w:rsidRPr="00626A83" w:rsidRDefault="006B010E" w:rsidP="006B010E">
            <w:pPr>
              <w:pStyle w:val="Table10ptalignedleft"/>
              <w:rPr>
                <w:szCs w:val="20"/>
              </w:rPr>
            </w:pPr>
            <w:r w:rsidRPr="00626A83">
              <w:rPr>
                <w:szCs w:val="20"/>
              </w:rPr>
              <w:t xml:space="preserve">Patients ≥60 years, prescribed </w:t>
            </w:r>
            <w:r w:rsidRPr="00626A83">
              <w:rPr>
                <w:rFonts w:ascii="Times New Roman" w:eastAsiaTheme="minorHAnsi" w:hAnsi="Times New Roman"/>
                <w:szCs w:val="20"/>
              </w:rPr>
              <w:t>at least 5 medicines for chronic conditions, with at least one of these medicines prescribed for a cardiovascular disorder (</w:t>
            </w:r>
            <w:r w:rsidRPr="00626A83">
              <w:rPr>
                <w:szCs w:val="20"/>
              </w:rPr>
              <w:t>n = 178 intervention/ 334 control</w:t>
            </w:r>
            <w:r w:rsidR="00476D4D" w:rsidRPr="00626A83">
              <w:rPr>
                <w:szCs w:val="20"/>
              </w:rPr>
              <w:t>)</w:t>
            </w:r>
          </w:p>
        </w:tc>
        <w:tc>
          <w:tcPr>
            <w:tcW w:w="1287" w:type="pct"/>
          </w:tcPr>
          <w:p w14:paraId="263B4C7C" w14:textId="312BC3DF" w:rsidR="006B010E" w:rsidRPr="00626A83" w:rsidRDefault="006B010E" w:rsidP="006B010E">
            <w:pPr>
              <w:pStyle w:val="Table10ptalignedleft"/>
              <w:rPr>
                <w:szCs w:val="20"/>
              </w:rPr>
            </w:pPr>
            <w:r w:rsidRPr="00626A83">
              <w:rPr>
                <w:szCs w:val="20"/>
              </w:rPr>
              <w:t>Community pharmacy based medication review followed</w:t>
            </w:r>
            <w:r w:rsidR="005A297C" w:rsidRPr="00626A83">
              <w:rPr>
                <w:szCs w:val="20"/>
              </w:rPr>
              <w:t xml:space="preserve"> </w:t>
            </w:r>
            <w:r w:rsidRPr="00626A83">
              <w:rPr>
                <w:szCs w:val="20"/>
              </w:rPr>
              <w:t>up by a pharmaceutical care plan</w:t>
            </w:r>
          </w:p>
        </w:tc>
        <w:tc>
          <w:tcPr>
            <w:tcW w:w="712" w:type="pct"/>
          </w:tcPr>
          <w:p w14:paraId="4BF1F588" w14:textId="77777777" w:rsidR="006B010E" w:rsidRPr="00626A83" w:rsidRDefault="006B010E" w:rsidP="006B010E">
            <w:pPr>
              <w:pStyle w:val="Table10ptalignedleft"/>
              <w:rPr>
                <w:szCs w:val="20"/>
              </w:rPr>
            </w:pPr>
            <w:r w:rsidRPr="00626A83">
              <w:rPr>
                <w:szCs w:val="20"/>
              </w:rPr>
              <w:t>Usual care</w:t>
            </w:r>
          </w:p>
        </w:tc>
        <w:tc>
          <w:tcPr>
            <w:tcW w:w="975" w:type="pct"/>
          </w:tcPr>
          <w:p w14:paraId="1C653CFF" w14:textId="5F3A73C4" w:rsidR="006B010E" w:rsidRPr="00626A83" w:rsidRDefault="006B010E" w:rsidP="006B010E">
            <w:pPr>
              <w:pStyle w:val="Table10ptalignedleft"/>
              <w:rPr>
                <w:szCs w:val="20"/>
              </w:rPr>
            </w:pPr>
            <w:r w:rsidRPr="00626A83">
              <w:rPr>
                <w:szCs w:val="20"/>
              </w:rPr>
              <w:t>Primary outcome</w:t>
            </w:r>
            <w:r w:rsidR="00EE2529" w:rsidRPr="00626A83">
              <w:rPr>
                <w:szCs w:val="20"/>
              </w:rPr>
              <w:t>s</w:t>
            </w:r>
          </w:p>
          <w:p w14:paraId="72E1CD43"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Quality of life (EQ-5 D)</w:t>
            </w:r>
          </w:p>
          <w:p w14:paraId="5B8C803E"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Beliefs about medicines (BMQ)</w:t>
            </w:r>
          </w:p>
        </w:tc>
      </w:tr>
      <w:tr w:rsidR="006B010E" w:rsidRPr="00626A83" w14:paraId="3443492A" w14:textId="77777777" w:rsidTr="00626A83">
        <w:tc>
          <w:tcPr>
            <w:tcW w:w="422" w:type="pct"/>
          </w:tcPr>
          <w:p w14:paraId="5BE320B1" w14:textId="77777777" w:rsidR="006B010E" w:rsidRPr="00626A83" w:rsidRDefault="006B010E" w:rsidP="006B010E">
            <w:pPr>
              <w:pStyle w:val="Table10ptalignedleft"/>
              <w:rPr>
                <w:szCs w:val="20"/>
              </w:rPr>
            </w:pPr>
            <w:r w:rsidRPr="00626A83">
              <w:rPr>
                <w:szCs w:val="20"/>
              </w:rPr>
              <w:t xml:space="preserve">Touchette (2012) </w:t>
            </w:r>
          </w:p>
          <w:p w14:paraId="336A0649" w14:textId="77777777" w:rsidR="006B010E" w:rsidRPr="00626A83" w:rsidRDefault="006B010E" w:rsidP="006B010E">
            <w:pPr>
              <w:pStyle w:val="Table10ptalignedleft"/>
              <w:rPr>
                <w:szCs w:val="20"/>
              </w:rPr>
            </w:pPr>
            <w:r w:rsidRPr="00626A83">
              <w:rPr>
                <w:szCs w:val="20"/>
              </w:rPr>
              <w:t>USA</w:t>
            </w:r>
          </w:p>
        </w:tc>
        <w:tc>
          <w:tcPr>
            <w:tcW w:w="606" w:type="pct"/>
          </w:tcPr>
          <w:p w14:paraId="057FEC26" w14:textId="77777777" w:rsidR="006B010E" w:rsidRPr="00626A83" w:rsidRDefault="006B010E" w:rsidP="006B010E">
            <w:pPr>
              <w:pStyle w:val="Table10ptalignedleft"/>
              <w:rPr>
                <w:szCs w:val="20"/>
              </w:rPr>
            </w:pPr>
            <w:r w:rsidRPr="00626A83">
              <w:rPr>
                <w:szCs w:val="20"/>
              </w:rPr>
              <w:t>RCT</w:t>
            </w:r>
          </w:p>
          <w:p w14:paraId="1793282D" w14:textId="77777777" w:rsidR="006B010E" w:rsidRPr="00626A83" w:rsidRDefault="006B010E" w:rsidP="006B010E">
            <w:pPr>
              <w:pStyle w:val="Table10ptalignedleft"/>
              <w:rPr>
                <w:szCs w:val="20"/>
              </w:rPr>
            </w:pPr>
            <w:r w:rsidRPr="00626A83">
              <w:rPr>
                <w:szCs w:val="20"/>
              </w:rPr>
              <w:t>N = 637 (3 US healthcare sites with community pharmacies)</w:t>
            </w:r>
          </w:p>
          <w:p w14:paraId="03790CEF" w14:textId="77777777" w:rsidR="006B010E" w:rsidRPr="00626A83" w:rsidRDefault="006B010E" w:rsidP="006B010E">
            <w:pPr>
              <w:pStyle w:val="Table10ptalignedleft"/>
              <w:rPr>
                <w:szCs w:val="20"/>
              </w:rPr>
            </w:pPr>
            <w:r w:rsidRPr="00626A83">
              <w:rPr>
                <w:szCs w:val="20"/>
              </w:rPr>
              <w:t>6-month follow-up</w:t>
            </w:r>
          </w:p>
        </w:tc>
        <w:tc>
          <w:tcPr>
            <w:tcW w:w="348" w:type="pct"/>
          </w:tcPr>
          <w:p w14:paraId="55F1E458" w14:textId="77777777" w:rsidR="006B010E" w:rsidRPr="00626A83" w:rsidRDefault="006B010E" w:rsidP="006B010E">
            <w:pPr>
              <w:pStyle w:val="Table10ptalignedleft"/>
              <w:rPr>
                <w:szCs w:val="20"/>
              </w:rPr>
            </w:pPr>
            <w:r w:rsidRPr="00626A83">
              <w:rPr>
                <w:szCs w:val="20"/>
              </w:rPr>
              <w:t>74.5 (basic MTM)</w:t>
            </w:r>
          </w:p>
          <w:p w14:paraId="3BD1F4A9" w14:textId="77777777" w:rsidR="006B010E" w:rsidRPr="00626A83" w:rsidRDefault="006B010E" w:rsidP="006B010E">
            <w:pPr>
              <w:pStyle w:val="Table10ptalignedleft"/>
              <w:rPr>
                <w:szCs w:val="20"/>
              </w:rPr>
            </w:pPr>
            <w:r w:rsidRPr="00626A83">
              <w:rPr>
                <w:szCs w:val="20"/>
              </w:rPr>
              <w:t>74.8 (enhanced MTM)</w:t>
            </w:r>
          </w:p>
        </w:tc>
        <w:tc>
          <w:tcPr>
            <w:tcW w:w="650" w:type="pct"/>
          </w:tcPr>
          <w:p w14:paraId="00A3D86E" w14:textId="77777777" w:rsidR="006B010E" w:rsidRPr="00626A83" w:rsidRDefault="006B010E" w:rsidP="006B010E">
            <w:pPr>
              <w:pStyle w:val="Table10ptalignedleft"/>
              <w:rPr>
                <w:szCs w:val="20"/>
              </w:rPr>
            </w:pPr>
            <w:r w:rsidRPr="00626A83">
              <w:rPr>
                <w:szCs w:val="20"/>
              </w:rPr>
              <w:t>Patients ≥65 years with 3 or more chronic illnesses, 6 or more prescription medications, and at risk for a DRP</w:t>
            </w:r>
          </w:p>
          <w:p w14:paraId="28B2B00E" w14:textId="77777777" w:rsidR="006B010E" w:rsidRPr="00626A83" w:rsidRDefault="006B010E" w:rsidP="006B010E">
            <w:pPr>
              <w:pStyle w:val="Table10ptalignedleft"/>
              <w:rPr>
                <w:szCs w:val="20"/>
              </w:rPr>
            </w:pPr>
            <w:r w:rsidRPr="00626A83">
              <w:rPr>
                <w:szCs w:val="20"/>
              </w:rPr>
              <w:t>(n=429 intervention; 211 basic MTM &amp; 218 enhanced MTM/ 208 control)</w:t>
            </w:r>
          </w:p>
        </w:tc>
        <w:tc>
          <w:tcPr>
            <w:tcW w:w="1287" w:type="pct"/>
          </w:tcPr>
          <w:p w14:paraId="6A18D67C" w14:textId="77777777" w:rsidR="006B010E" w:rsidRPr="00626A83" w:rsidRDefault="006B010E" w:rsidP="006B010E">
            <w:pPr>
              <w:pStyle w:val="Table10ptalignedleft"/>
              <w:rPr>
                <w:szCs w:val="20"/>
              </w:rPr>
            </w:pPr>
            <w:r w:rsidRPr="00626A83">
              <w:rPr>
                <w:szCs w:val="20"/>
              </w:rPr>
              <w:t>Community pharmacy based medication review performed at 0 and 3 months, and identifying and resolving DRPs through patient education and recommendations to physicians (different level of medication review intervention for the 2 streams):</w:t>
            </w:r>
          </w:p>
          <w:p w14:paraId="55E950BD" w14:textId="77777777" w:rsidR="006B010E" w:rsidRPr="00626A83" w:rsidRDefault="006B010E" w:rsidP="006B010E">
            <w:pPr>
              <w:pStyle w:val="Table10ptalignedleft"/>
              <w:rPr>
                <w:szCs w:val="20"/>
              </w:rPr>
            </w:pPr>
            <w:r w:rsidRPr="00626A83">
              <w:rPr>
                <w:b/>
                <w:szCs w:val="20"/>
              </w:rPr>
              <w:t>Basic MTM</w:t>
            </w:r>
            <w:r w:rsidRPr="00626A83">
              <w:rPr>
                <w:szCs w:val="20"/>
              </w:rPr>
              <w:t>: comprehensive medication review and DRP assessment with no access to clinical information except what could be ascertained by patient interview.</w:t>
            </w:r>
          </w:p>
          <w:p w14:paraId="72CB4437" w14:textId="77777777" w:rsidR="006B010E" w:rsidRPr="00626A83" w:rsidRDefault="006B010E" w:rsidP="006B010E">
            <w:pPr>
              <w:pStyle w:val="Table10ptalignedleft"/>
              <w:rPr>
                <w:szCs w:val="20"/>
              </w:rPr>
            </w:pPr>
            <w:r w:rsidRPr="00626A83">
              <w:rPr>
                <w:b/>
                <w:szCs w:val="20"/>
              </w:rPr>
              <w:t>Enhanced MTM</w:t>
            </w:r>
            <w:r w:rsidRPr="00626A83">
              <w:rPr>
                <w:szCs w:val="20"/>
              </w:rPr>
              <w:t>: comprehensive medication review and DRP assessment by patient interview, including access to medical records, and providing a two-page clinical synopsis</w:t>
            </w:r>
          </w:p>
        </w:tc>
        <w:tc>
          <w:tcPr>
            <w:tcW w:w="712" w:type="pct"/>
          </w:tcPr>
          <w:p w14:paraId="7B04DED9" w14:textId="77777777" w:rsidR="006B010E" w:rsidRPr="00626A83" w:rsidRDefault="006B010E" w:rsidP="006B010E">
            <w:pPr>
              <w:pStyle w:val="Table10ptalignedleft"/>
              <w:rPr>
                <w:szCs w:val="20"/>
              </w:rPr>
            </w:pPr>
            <w:r w:rsidRPr="00626A83">
              <w:rPr>
                <w:szCs w:val="20"/>
              </w:rPr>
              <w:t>Usual care</w:t>
            </w:r>
          </w:p>
        </w:tc>
        <w:tc>
          <w:tcPr>
            <w:tcW w:w="975" w:type="pct"/>
          </w:tcPr>
          <w:p w14:paraId="04E62831" w14:textId="77777777" w:rsidR="006B010E" w:rsidRPr="00626A83" w:rsidRDefault="006B010E" w:rsidP="006B010E">
            <w:pPr>
              <w:pStyle w:val="Table10ptalignedleft"/>
              <w:rPr>
                <w:szCs w:val="20"/>
              </w:rPr>
            </w:pPr>
            <w:r w:rsidRPr="00626A83">
              <w:rPr>
                <w:szCs w:val="20"/>
              </w:rPr>
              <w:t>Primary outcome</w:t>
            </w:r>
          </w:p>
          <w:p w14:paraId="0CA08EEF"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frequency of adverse drug events (ADEs)</w:t>
            </w:r>
          </w:p>
          <w:p w14:paraId="069823F8" w14:textId="607808CF" w:rsidR="006B010E" w:rsidRPr="00626A83" w:rsidRDefault="006B010E" w:rsidP="006B010E">
            <w:pPr>
              <w:pStyle w:val="Table10ptalignedleft"/>
              <w:rPr>
                <w:szCs w:val="20"/>
              </w:rPr>
            </w:pPr>
            <w:r w:rsidRPr="00626A83">
              <w:rPr>
                <w:szCs w:val="20"/>
              </w:rPr>
              <w:t>Secondary outcome</w:t>
            </w:r>
            <w:r w:rsidR="00EE2529" w:rsidRPr="00626A83">
              <w:rPr>
                <w:szCs w:val="20"/>
              </w:rPr>
              <w:t>s</w:t>
            </w:r>
          </w:p>
          <w:p w14:paraId="15A89CF7"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number of DRPs</w:t>
            </w:r>
          </w:p>
          <w:p w14:paraId="009A683B"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health care visits</w:t>
            </w:r>
          </w:p>
          <w:p w14:paraId="3E9D5143" w14:textId="77777777" w:rsidR="006B010E" w:rsidRPr="00626A83" w:rsidRDefault="006B010E" w:rsidP="006B010E">
            <w:pPr>
              <w:pStyle w:val="Table10ptalignedleft"/>
              <w:rPr>
                <w:szCs w:val="20"/>
              </w:rPr>
            </w:pPr>
          </w:p>
        </w:tc>
      </w:tr>
      <w:tr w:rsidR="006B010E" w:rsidRPr="00626A83" w14:paraId="0B1C2F16" w14:textId="77777777" w:rsidTr="00626A83">
        <w:trPr>
          <w:cnfStyle w:val="000000010000" w:firstRow="0" w:lastRow="0" w:firstColumn="0" w:lastColumn="0" w:oddVBand="0" w:evenVBand="0" w:oddHBand="0" w:evenHBand="1" w:firstRowFirstColumn="0" w:firstRowLastColumn="0" w:lastRowFirstColumn="0" w:lastRowLastColumn="0"/>
        </w:trPr>
        <w:tc>
          <w:tcPr>
            <w:tcW w:w="422" w:type="pct"/>
          </w:tcPr>
          <w:p w14:paraId="145A9CB0" w14:textId="77777777" w:rsidR="006B010E" w:rsidRPr="00626A83" w:rsidRDefault="006B010E" w:rsidP="006B010E">
            <w:pPr>
              <w:pStyle w:val="Table10ptalignedleft"/>
              <w:rPr>
                <w:szCs w:val="20"/>
              </w:rPr>
            </w:pPr>
            <w:r w:rsidRPr="00626A83">
              <w:rPr>
                <w:szCs w:val="20"/>
              </w:rPr>
              <w:lastRenderedPageBreak/>
              <w:t xml:space="preserve">Blalock (2010) </w:t>
            </w:r>
          </w:p>
          <w:p w14:paraId="7339C9E7" w14:textId="77777777" w:rsidR="006B010E" w:rsidRPr="00626A83" w:rsidRDefault="006B010E" w:rsidP="006B010E">
            <w:pPr>
              <w:pStyle w:val="Table10ptalignedleft"/>
              <w:rPr>
                <w:szCs w:val="20"/>
              </w:rPr>
            </w:pPr>
            <w:r w:rsidRPr="00626A83">
              <w:rPr>
                <w:szCs w:val="20"/>
              </w:rPr>
              <w:t>USA</w:t>
            </w:r>
          </w:p>
        </w:tc>
        <w:tc>
          <w:tcPr>
            <w:tcW w:w="606" w:type="pct"/>
          </w:tcPr>
          <w:p w14:paraId="0B038514" w14:textId="77777777" w:rsidR="006B010E" w:rsidRPr="00626A83" w:rsidRDefault="006B010E" w:rsidP="006B010E">
            <w:pPr>
              <w:pStyle w:val="Table10ptalignedleft"/>
              <w:rPr>
                <w:szCs w:val="20"/>
              </w:rPr>
            </w:pPr>
            <w:r w:rsidRPr="00626A83">
              <w:rPr>
                <w:szCs w:val="20"/>
              </w:rPr>
              <w:t>RCT</w:t>
            </w:r>
          </w:p>
          <w:p w14:paraId="211501F2" w14:textId="77777777" w:rsidR="006B010E" w:rsidRPr="00626A83" w:rsidRDefault="006B010E" w:rsidP="006B010E">
            <w:pPr>
              <w:pStyle w:val="Table10ptalignedleft"/>
              <w:rPr>
                <w:szCs w:val="20"/>
              </w:rPr>
            </w:pPr>
            <w:r w:rsidRPr="00626A83">
              <w:rPr>
                <w:szCs w:val="20"/>
              </w:rPr>
              <w:t>N=186 (community pharmacy chain Kerr Drug)</w:t>
            </w:r>
          </w:p>
          <w:p w14:paraId="7D3FD5AD" w14:textId="38060D68" w:rsidR="006B010E" w:rsidRPr="00626A83" w:rsidRDefault="00476D4D" w:rsidP="006B010E">
            <w:pPr>
              <w:pStyle w:val="Table10ptalignedleft"/>
              <w:rPr>
                <w:szCs w:val="20"/>
              </w:rPr>
            </w:pPr>
            <w:r w:rsidRPr="00626A83">
              <w:rPr>
                <w:szCs w:val="20"/>
              </w:rPr>
              <w:t xml:space="preserve">24 months (1 year “look-back”, </w:t>
            </w:r>
            <w:r w:rsidR="006B010E" w:rsidRPr="00626A83">
              <w:rPr>
                <w:szCs w:val="20"/>
              </w:rPr>
              <w:t>1 year follow-up)</w:t>
            </w:r>
          </w:p>
        </w:tc>
        <w:tc>
          <w:tcPr>
            <w:tcW w:w="348" w:type="pct"/>
          </w:tcPr>
          <w:p w14:paraId="14F53973" w14:textId="77777777" w:rsidR="006B010E" w:rsidRPr="00626A83" w:rsidRDefault="006B010E" w:rsidP="006B010E">
            <w:pPr>
              <w:pStyle w:val="Table10ptalignedleft"/>
              <w:rPr>
                <w:szCs w:val="20"/>
              </w:rPr>
            </w:pPr>
            <w:r w:rsidRPr="00626A83">
              <w:rPr>
                <w:szCs w:val="20"/>
              </w:rPr>
              <w:t>75.5</w:t>
            </w:r>
          </w:p>
        </w:tc>
        <w:tc>
          <w:tcPr>
            <w:tcW w:w="650" w:type="pct"/>
          </w:tcPr>
          <w:p w14:paraId="1EA99DF6" w14:textId="77777777" w:rsidR="006B010E" w:rsidRPr="00626A83" w:rsidRDefault="006B010E" w:rsidP="006B010E">
            <w:pPr>
              <w:pStyle w:val="Table10ptalignedleft"/>
              <w:rPr>
                <w:szCs w:val="20"/>
              </w:rPr>
            </w:pPr>
            <w:r w:rsidRPr="00626A83">
              <w:rPr>
                <w:szCs w:val="20"/>
              </w:rPr>
              <w:t xml:space="preserve">Patients ≥65 years, had fallen at least once in year preceding randomisation and were taking medications associated with an increased risk of falling (n=93 intervention 93 control) </w:t>
            </w:r>
          </w:p>
        </w:tc>
        <w:tc>
          <w:tcPr>
            <w:tcW w:w="1287" w:type="pct"/>
          </w:tcPr>
          <w:p w14:paraId="6C1DAE25" w14:textId="77777777" w:rsidR="006B010E" w:rsidRPr="00626A83" w:rsidRDefault="006B010E" w:rsidP="006B010E">
            <w:pPr>
              <w:pStyle w:val="Table10ptalignedleft"/>
              <w:rPr>
                <w:szCs w:val="20"/>
              </w:rPr>
            </w:pPr>
            <w:r w:rsidRPr="00626A83">
              <w:rPr>
                <w:szCs w:val="20"/>
              </w:rPr>
              <w:t>MedsCheck-a face-to-face medication consultation conducted by a community pharmacy resident at a Kerr Health Care Centre (a pharmacy chain in the USA) near their homes</w:t>
            </w:r>
          </w:p>
        </w:tc>
        <w:tc>
          <w:tcPr>
            <w:tcW w:w="712" w:type="pct"/>
          </w:tcPr>
          <w:p w14:paraId="49AEC218" w14:textId="77777777" w:rsidR="006B010E" w:rsidRPr="00626A83" w:rsidRDefault="006B010E" w:rsidP="006B010E">
            <w:pPr>
              <w:pStyle w:val="Table10ptalignedleft"/>
              <w:rPr>
                <w:szCs w:val="20"/>
              </w:rPr>
            </w:pPr>
            <w:r w:rsidRPr="00626A83">
              <w:rPr>
                <w:szCs w:val="20"/>
              </w:rPr>
              <w:t>Standard care</w:t>
            </w:r>
          </w:p>
        </w:tc>
        <w:tc>
          <w:tcPr>
            <w:tcW w:w="975" w:type="pct"/>
          </w:tcPr>
          <w:p w14:paraId="5058E7E9" w14:textId="77777777" w:rsidR="006B010E" w:rsidRPr="00626A83" w:rsidRDefault="006B010E" w:rsidP="006B010E">
            <w:pPr>
              <w:pStyle w:val="Table10ptalignedleft"/>
              <w:rPr>
                <w:szCs w:val="20"/>
              </w:rPr>
            </w:pPr>
            <w:r w:rsidRPr="00626A83">
              <w:rPr>
                <w:szCs w:val="20"/>
              </w:rPr>
              <w:t>Primary outcome</w:t>
            </w:r>
          </w:p>
          <w:p w14:paraId="7DC5C3A3"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reduction in incidents or falls</w:t>
            </w:r>
          </w:p>
          <w:p w14:paraId="26EF36EF" w14:textId="77777777" w:rsidR="006B010E" w:rsidRPr="00626A83" w:rsidRDefault="006B010E" w:rsidP="00FD3850">
            <w:pPr>
              <w:pStyle w:val="Table10ptalignedleft"/>
              <w:rPr>
                <w:szCs w:val="20"/>
              </w:rPr>
            </w:pPr>
            <w:r w:rsidRPr="00626A83">
              <w:rPr>
                <w:szCs w:val="20"/>
              </w:rPr>
              <w:t>Secondary outcome</w:t>
            </w:r>
          </w:p>
          <w:p w14:paraId="421B25E6"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reduction in medications that increase the risk of falling</w:t>
            </w:r>
          </w:p>
          <w:p w14:paraId="2689AF70" w14:textId="77777777" w:rsidR="006B010E" w:rsidRPr="00626A83" w:rsidRDefault="006B010E" w:rsidP="006B010E">
            <w:pPr>
              <w:pStyle w:val="Table10ptalignedleft"/>
              <w:rPr>
                <w:szCs w:val="20"/>
              </w:rPr>
            </w:pPr>
          </w:p>
        </w:tc>
      </w:tr>
      <w:tr w:rsidR="006B010E" w:rsidRPr="00626A83" w14:paraId="38BC5C16" w14:textId="77777777" w:rsidTr="00626A83">
        <w:tc>
          <w:tcPr>
            <w:tcW w:w="422" w:type="pct"/>
          </w:tcPr>
          <w:p w14:paraId="534718D6" w14:textId="77777777" w:rsidR="006B010E" w:rsidRPr="00626A83" w:rsidRDefault="006B010E" w:rsidP="006B010E">
            <w:pPr>
              <w:pStyle w:val="Table10ptalignedleft"/>
              <w:rPr>
                <w:szCs w:val="20"/>
              </w:rPr>
            </w:pPr>
            <w:r w:rsidRPr="00626A83">
              <w:rPr>
                <w:szCs w:val="20"/>
              </w:rPr>
              <w:t>Vinks (SMOG, 2009)</w:t>
            </w:r>
          </w:p>
          <w:p w14:paraId="6990AC45" w14:textId="77777777" w:rsidR="006B010E" w:rsidRPr="00626A83" w:rsidRDefault="006B010E" w:rsidP="006B010E">
            <w:pPr>
              <w:pStyle w:val="Table10ptalignedleft"/>
              <w:rPr>
                <w:szCs w:val="20"/>
              </w:rPr>
            </w:pPr>
            <w:r w:rsidRPr="00626A83">
              <w:rPr>
                <w:szCs w:val="20"/>
              </w:rPr>
              <w:t>The Netherlands</w:t>
            </w:r>
          </w:p>
        </w:tc>
        <w:tc>
          <w:tcPr>
            <w:tcW w:w="606" w:type="pct"/>
          </w:tcPr>
          <w:p w14:paraId="6E2DCDCC" w14:textId="77777777" w:rsidR="006B010E" w:rsidRPr="00626A83" w:rsidRDefault="006B010E" w:rsidP="006B010E">
            <w:pPr>
              <w:pStyle w:val="Table10ptalignedleft"/>
              <w:rPr>
                <w:szCs w:val="20"/>
              </w:rPr>
            </w:pPr>
            <w:r w:rsidRPr="00626A83">
              <w:rPr>
                <w:szCs w:val="20"/>
              </w:rPr>
              <w:t xml:space="preserve">RCT </w:t>
            </w:r>
          </w:p>
          <w:p w14:paraId="34302D1B" w14:textId="6E5F784C" w:rsidR="006B010E" w:rsidRPr="00626A83" w:rsidRDefault="00476D4D" w:rsidP="006B010E">
            <w:pPr>
              <w:pStyle w:val="Table10ptalignedleft"/>
              <w:rPr>
                <w:szCs w:val="20"/>
              </w:rPr>
            </w:pPr>
            <w:r w:rsidRPr="00626A83">
              <w:rPr>
                <w:szCs w:val="20"/>
              </w:rPr>
              <w:t xml:space="preserve">N=174 (16 community </w:t>
            </w:r>
            <w:r w:rsidR="006B010E" w:rsidRPr="00626A83">
              <w:rPr>
                <w:szCs w:val="20"/>
              </w:rPr>
              <w:t>pharmacies)</w:t>
            </w:r>
          </w:p>
          <w:p w14:paraId="373F4518" w14:textId="77777777" w:rsidR="006B010E" w:rsidRPr="00626A83" w:rsidRDefault="006B010E" w:rsidP="006B010E">
            <w:pPr>
              <w:pStyle w:val="Table10ptalignedleft"/>
              <w:rPr>
                <w:szCs w:val="20"/>
              </w:rPr>
            </w:pPr>
            <w:r w:rsidRPr="00626A83">
              <w:rPr>
                <w:szCs w:val="20"/>
              </w:rPr>
              <w:t>4 months</w:t>
            </w:r>
          </w:p>
        </w:tc>
        <w:tc>
          <w:tcPr>
            <w:tcW w:w="348" w:type="pct"/>
          </w:tcPr>
          <w:p w14:paraId="114A6CDC" w14:textId="77777777" w:rsidR="006B010E" w:rsidRPr="00626A83" w:rsidRDefault="006B010E" w:rsidP="006B010E">
            <w:pPr>
              <w:pStyle w:val="Table10ptalignedleft"/>
              <w:rPr>
                <w:szCs w:val="20"/>
              </w:rPr>
            </w:pPr>
            <w:r w:rsidRPr="00626A83">
              <w:rPr>
                <w:szCs w:val="20"/>
              </w:rPr>
              <w:t>76.6</w:t>
            </w:r>
          </w:p>
        </w:tc>
        <w:tc>
          <w:tcPr>
            <w:tcW w:w="650" w:type="pct"/>
          </w:tcPr>
          <w:p w14:paraId="6F3EDDCE" w14:textId="77777777" w:rsidR="006B010E" w:rsidRPr="00626A83" w:rsidRDefault="006B010E" w:rsidP="006B010E">
            <w:pPr>
              <w:pStyle w:val="Table10ptalignedleft"/>
              <w:rPr>
                <w:szCs w:val="20"/>
              </w:rPr>
            </w:pPr>
            <w:r w:rsidRPr="00626A83">
              <w:rPr>
                <w:szCs w:val="20"/>
              </w:rPr>
              <w:t xml:space="preserve">Patients ≥65 years using ≥6 drugs </w:t>
            </w:r>
          </w:p>
          <w:p w14:paraId="59D01647" w14:textId="77777777" w:rsidR="006B010E" w:rsidRPr="00626A83" w:rsidRDefault="006B010E" w:rsidP="006B010E">
            <w:pPr>
              <w:pStyle w:val="Table10ptalignedleft"/>
              <w:rPr>
                <w:szCs w:val="20"/>
              </w:rPr>
            </w:pPr>
            <w:r w:rsidRPr="00626A83">
              <w:rPr>
                <w:szCs w:val="20"/>
              </w:rPr>
              <w:t>(n=87 intervention/ 87 control)</w:t>
            </w:r>
          </w:p>
        </w:tc>
        <w:tc>
          <w:tcPr>
            <w:tcW w:w="1287" w:type="pct"/>
          </w:tcPr>
          <w:p w14:paraId="1EF3981B" w14:textId="77777777" w:rsidR="006B010E" w:rsidRPr="00626A83" w:rsidRDefault="006B010E" w:rsidP="006B010E">
            <w:pPr>
              <w:pStyle w:val="Table10ptalignedleft"/>
              <w:rPr>
                <w:szCs w:val="20"/>
              </w:rPr>
            </w:pPr>
            <w:r w:rsidRPr="00626A83">
              <w:rPr>
                <w:szCs w:val="20"/>
              </w:rPr>
              <w:t>Community pharmacy based medication review aimed at identifying DRPs and providing recommendations that were discussed with GP.  The pharmacist performed another review 4 months later and screened for potential DRPs</w:t>
            </w:r>
          </w:p>
        </w:tc>
        <w:tc>
          <w:tcPr>
            <w:tcW w:w="712" w:type="pct"/>
          </w:tcPr>
          <w:p w14:paraId="021F1662" w14:textId="77777777" w:rsidR="006B010E" w:rsidRPr="00626A83" w:rsidRDefault="006B010E" w:rsidP="006B010E">
            <w:pPr>
              <w:pStyle w:val="Table10ptalignedleft"/>
              <w:rPr>
                <w:szCs w:val="20"/>
              </w:rPr>
            </w:pPr>
            <w:r w:rsidRPr="00626A83">
              <w:rPr>
                <w:szCs w:val="20"/>
              </w:rPr>
              <w:t>Usual care</w:t>
            </w:r>
          </w:p>
        </w:tc>
        <w:tc>
          <w:tcPr>
            <w:tcW w:w="975" w:type="pct"/>
          </w:tcPr>
          <w:p w14:paraId="7DAA6785" w14:textId="77777777" w:rsidR="006B010E" w:rsidRPr="00626A83" w:rsidRDefault="006B010E" w:rsidP="006B010E">
            <w:pPr>
              <w:pStyle w:val="Table10ptalignedleft"/>
              <w:rPr>
                <w:szCs w:val="20"/>
              </w:rPr>
            </w:pPr>
            <w:r w:rsidRPr="00626A83">
              <w:rPr>
                <w:szCs w:val="20"/>
              </w:rPr>
              <w:t>Primary outcome</w:t>
            </w:r>
          </w:p>
          <w:p w14:paraId="0D5242D2"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change in the number of DRPs</w:t>
            </w:r>
          </w:p>
          <w:p w14:paraId="27DA3341" w14:textId="77777777" w:rsidR="006B010E" w:rsidRPr="00626A83" w:rsidRDefault="006B010E" w:rsidP="006B010E">
            <w:pPr>
              <w:pStyle w:val="Table10ptalignedleft"/>
              <w:rPr>
                <w:szCs w:val="20"/>
              </w:rPr>
            </w:pPr>
            <w:r w:rsidRPr="00626A83">
              <w:rPr>
                <w:szCs w:val="20"/>
              </w:rPr>
              <w:t>Secondary outcome</w:t>
            </w:r>
          </w:p>
          <w:p w14:paraId="78ED0A98"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number of medications used</w:t>
            </w:r>
          </w:p>
        </w:tc>
      </w:tr>
      <w:tr w:rsidR="006B010E" w:rsidRPr="00626A83" w14:paraId="73D14A9A" w14:textId="77777777" w:rsidTr="00626A83">
        <w:trPr>
          <w:cnfStyle w:val="000000010000" w:firstRow="0" w:lastRow="0" w:firstColumn="0" w:lastColumn="0" w:oddVBand="0" w:evenVBand="0" w:oddHBand="0" w:evenHBand="1" w:firstRowFirstColumn="0" w:firstRowLastColumn="0" w:lastRowFirstColumn="0" w:lastRowLastColumn="0"/>
        </w:trPr>
        <w:tc>
          <w:tcPr>
            <w:tcW w:w="422" w:type="pct"/>
          </w:tcPr>
          <w:p w14:paraId="2D257D01" w14:textId="77777777" w:rsidR="006B010E" w:rsidRPr="00626A83" w:rsidRDefault="006B010E" w:rsidP="006B010E">
            <w:pPr>
              <w:pStyle w:val="Table10ptalignedleft"/>
              <w:rPr>
                <w:szCs w:val="20"/>
              </w:rPr>
            </w:pPr>
            <w:r w:rsidRPr="00626A83">
              <w:rPr>
                <w:szCs w:val="20"/>
              </w:rPr>
              <w:t>Bond (MEDMAN, 2007)</w:t>
            </w:r>
          </w:p>
          <w:p w14:paraId="12394E02" w14:textId="77777777" w:rsidR="006B010E" w:rsidRPr="00626A83" w:rsidRDefault="006B010E" w:rsidP="006B010E">
            <w:pPr>
              <w:pStyle w:val="Table10ptalignedleft"/>
              <w:rPr>
                <w:szCs w:val="20"/>
              </w:rPr>
            </w:pPr>
            <w:r w:rsidRPr="00626A83">
              <w:rPr>
                <w:szCs w:val="20"/>
              </w:rPr>
              <w:t>UK</w:t>
            </w:r>
          </w:p>
        </w:tc>
        <w:tc>
          <w:tcPr>
            <w:tcW w:w="606" w:type="pct"/>
          </w:tcPr>
          <w:p w14:paraId="3B725082" w14:textId="77777777" w:rsidR="006B010E" w:rsidRPr="00626A83" w:rsidRDefault="006B010E" w:rsidP="006B010E">
            <w:pPr>
              <w:pStyle w:val="Table10ptalignedleft"/>
              <w:rPr>
                <w:szCs w:val="20"/>
              </w:rPr>
            </w:pPr>
            <w:r w:rsidRPr="00626A83">
              <w:rPr>
                <w:szCs w:val="20"/>
              </w:rPr>
              <w:t>RCT</w:t>
            </w:r>
          </w:p>
          <w:p w14:paraId="2B876465" w14:textId="77777777" w:rsidR="006B010E" w:rsidRPr="00626A83" w:rsidRDefault="006B010E" w:rsidP="006B010E">
            <w:pPr>
              <w:pStyle w:val="Table10ptalignedleft"/>
              <w:rPr>
                <w:szCs w:val="20"/>
              </w:rPr>
            </w:pPr>
            <w:r w:rsidRPr="00626A83">
              <w:rPr>
                <w:szCs w:val="20"/>
              </w:rPr>
              <w:t>N=1,493 (70 community pharmacies)</w:t>
            </w:r>
          </w:p>
          <w:p w14:paraId="04233004" w14:textId="77777777" w:rsidR="006B010E" w:rsidRPr="00626A83" w:rsidRDefault="006B010E" w:rsidP="006B010E">
            <w:pPr>
              <w:pStyle w:val="Table10ptalignedleft"/>
              <w:rPr>
                <w:szCs w:val="20"/>
              </w:rPr>
            </w:pPr>
            <w:r w:rsidRPr="00626A83">
              <w:rPr>
                <w:szCs w:val="20"/>
              </w:rPr>
              <w:t>12 months</w:t>
            </w:r>
          </w:p>
        </w:tc>
        <w:tc>
          <w:tcPr>
            <w:tcW w:w="348" w:type="pct"/>
          </w:tcPr>
          <w:p w14:paraId="54F5BB34" w14:textId="77777777" w:rsidR="006B010E" w:rsidRPr="00626A83" w:rsidRDefault="006B010E" w:rsidP="006B010E">
            <w:pPr>
              <w:pStyle w:val="Table10ptalignedleft"/>
              <w:rPr>
                <w:szCs w:val="20"/>
              </w:rPr>
            </w:pPr>
            <w:r w:rsidRPr="00626A83">
              <w:rPr>
                <w:szCs w:val="20"/>
              </w:rPr>
              <w:t>68.7</w:t>
            </w:r>
          </w:p>
        </w:tc>
        <w:tc>
          <w:tcPr>
            <w:tcW w:w="650" w:type="pct"/>
          </w:tcPr>
          <w:p w14:paraId="721BAB1B" w14:textId="77777777" w:rsidR="006B010E" w:rsidRPr="00626A83" w:rsidRDefault="006B010E" w:rsidP="006B010E">
            <w:pPr>
              <w:pStyle w:val="Table10ptalignedleft"/>
              <w:rPr>
                <w:szCs w:val="20"/>
              </w:rPr>
            </w:pPr>
            <w:r w:rsidRPr="00626A83">
              <w:rPr>
                <w:szCs w:val="20"/>
              </w:rPr>
              <w:t>Patients ≤65 with</w:t>
            </w:r>
          </w:p>
          <w:p w14:paraId="0EE2A7BD" w14:textId="2E06F777" w:rsidR="006B010E" w:rsidRPr="00626A83" w:rsidRDefault="006B010E" w:rsidP="006B010E">
            <w:pPr>
              <w:pStyle w:val="Table10ptalignedleft"/>
              <w:rPr>
                <w:szCs w:val="20"/>
              </w:rPr>
            </w:pPr>
            <w:r w:rsidRPr="00626A83">
              <w:rPr>
                <w:szCs w:val="20"/>
              </w:rPr>
              <w:t xml:space="preserve">CHD (previous MI, angina, CABG and/or PTCA) </w:t>
            </w:r>
            <w:r w:rsidR="00476D4D" w:rsidRPr="00626A83">
              <w:rPr>
                <w:szCs w:val="20"/>
              </w:rPr>
              <w:t xml:space="preserve">(randomised 2:1 </w:t>
            </w:r>
            <w:r w:rsidRPr="00626A83">
              <w:rPr>
                <w:szCs w:val="20"/>
              </w:rPr>
              <w:t>allocation ratio</w:t>
            </w:r>
            <w:r w:rsidR="00476D4D" w:rsidRPr="00626A83">
              <w:rPr>
                <w:szCs w:val="20"/>
              </w:rPr>
              <w:t xml:space="preserve">; </w:t>
            </w:r>
            <w:r w:rsidRPr="00626A83">
              <w:rPr>
                <w:szCs w:val="20"/>
              </w:rPr>
              <w:t>n=980 intervention/ 513 control)</w:t>
            </w:r>
          </w:p>
        </w:tc>
        <w:tc>
          <w:tcPr>
            <w:tcW w:w="1287" w:type="pct"/>
          </w:tcPr>
          <w:p w14:paraId="2849B542" w14:textId="77777777" w:rsidR="006B010E" w:rsidRPr="00626A83" w:rsidRDefault="006B010E" w:rsidP="006B010E">
            <w:pPr>
              <w:pStyle w:val="Table10ptalignedleft"/>
              <w:rPr>
                <w:szCs w:val="20"/>
              </w:rPr>
            </w:pPr>
            <w:r w:rsidRPr="00626A83">
              <w:rPr>
                <w:szCs w:val="20"/>
              </w:rPr>
              <w:t>Community pharmacy based medication review, comprising an initial consultation with assessment of treatment, medication compliance, lifestyle, and social support.  Recommendations were made by the pharmacists and were sent to the GP.</w:t>
            </w:r>
          </w:p>
        </w:tc>
        <w:tc>
          <w:tcPr>
            <w:tcW w:w="712" w:type="pct"/>
          </w:tcPr>
          <w:p w14:paraId="2EBB7646" w14:textId="77777777" w:rsidR="006B010E" w:rsidRPr="00626A83" w:rsidRDefault="006B010E" w:rsidP="006B010E">
            <w:pPr>
              <w:pStyle w:val="Table10ptalignedleft"/>
              <w:rPr>
                <w:szCs w:val="20"/>
              </w:rPr>
            </w:pPr>
            <w:r w:rsidRPr="00626A83">
              <w:rPr>
                <w:szCs w:val="20"/>
              </w:rPr>
              <w:t>Usual GP care</w:t>
            </w:r>
          </w:p>
        </w:tc>
        <w:tc>
          <w:tcPr>
            <w:tcW w:w="975" w:type="pct"/>
          </w:tcPr>
          <w:p w14:paraId="68B53857" w14:textId="77777777" w:rsidR="006B010E" w:rsidRPr="00626A83" w:rsidRDefault="006B010E" w:rsidP="006B010E">
            <w:pPr>
              <w:pStyle w:val="Table10ptalignedleft"/>
              <w:rPr>
                <w:szCs w:val="20"/>
              </w:rPr>
            </w:pPr>
            <w:r w:rsidRPr="00626A83">
              <w:rPr>
                <w:szCs w:val="20"/>
              </w:rPr>
              <w:t>Primary outcomes</w:t>
            </w:r>
          </w:p>
          <w:p w14:paraId="0B3F4470"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prescribing appropriateness of cardiovascular medicines</w:t>
            </w:r>
          </w:p>
          <w:p w14:paraId="15314692"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QoL (SF-36, EQ-5D)</w:t>
            </w:r>
          </w:p>
          <w:p w14:paraId="1E6D0643"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NHS cost</w:t>
            </w:r>
          </w:p>
          <w:p w14:paraId="57960D28" w14:textId="77777777" w:rsidR="006B010E" w:rsidRPr="00626A83" w:rsidRDefault="006B010E" w:rsidP="006B010E">
            <w:pPr>
              <w:pStyle w:val="Table10ptalignedleft"/>
              <w:rPr>
                <w:szCs w:val="20"/>
              </w:rPr>
            </w:pPr>
            <w:r w:rsidRPr="00626A83">
              <w:rPr>
                <w:szCs w:val="20"/>
              </w:rPr>
              <w:t>Secondary outcomes</w:t>
            </w:r>
          </w:p>
          <w:p w14:paraId="3283A90C"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cardiovascular mortality</w:t>
            </w:r>
          </w:p>
          <w:p w14:paraId="7FF91250"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patient satisfaction</w:t>
            </w:r>
          </w:p>
          <w:p w14:paraId="114088EB"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adherence (self-report)</w:t>
            </w:r>
          </w:p>
        </w:tc>
      </w:tr>
      <w:tr w:rsidR="006B010E" w:rsidRPr="00626A83" w14:paraId="6484B6EE" w14:textId="77777777" w:rsidTr="00626A83">
        <w:tc>
          <w:tcPr>
            <w:tcW w:w="422" w:type="pct"/>
          </w:tcPr>
          <w:p w14:paraId="3F27EEBB" w14:textId="77777777" w:rsidR="006B010E" w:rsidRPr="00626A83" w:rsidRDefault="006B010E" w:rsidP="006B010E">
            <w:pPr>
              <w:pStyle w:val="Table10ptalignedleft"/>
              <w:rPr>
                <w:szCs w:val="20"/>
              </w:rPr>
            </w:pPr>
            <w:r w:rsidRPr="00626A83">
              <w:rPr>
                <w:szCs w:val="20"/>
              </w:rPr>
              <w:t>Bouvy (2003)</w:t>
            </w:r>
          </w:p>
          <w:p w14:paraId="79FE4E47" w14:textId="77777777" w:rsidR="006B010E" w:rsidRPr="00626A83" w:rsidRDefault="006B010E" w:rsidP="006B010E">
            <w:pPr>
              <w:pStyle w:val="Table10ptalignedleft"/>
              <w:rPr>
                <w:szCs w:val="20"/>
              </w:rPr>
            </w:pPr>
            <w:r w:rsidRPr="00626A83">
              <w:rPr>
                <w:szCs w:val="20"/>
              </w:rPr>
              <w:t>The Netherlands</w:t>
            </w:r>
          </w:p>
        </w:tc>
        <w:tc>
          <w:tcPr>
            <w:tcW w:w="606" w:type="pct"/>
          </w:tcPr>
          <w:p w14:paraId="2C0DEB89" w14:textId="77777777" w:rsidR="006B010E" w:rsidRPr="00626A83" w:rsidRDefault="006B010E" w:rsidP="006B010E">
            <w:pPr>
              <w:pStyle w:val="Table10ptalignedleft"/>
              <w:rPr>
                <w:szCs w:val="20"/>
              </w:rPr>
            </w:pPr>
            <w:r w:rsidRPr="00626A83">
              <w:rPr>
                <w:szCs w:val="20"/>
              </w:rPr>
              <w:t>RCT</w:t>
            </w:r>
          </w:p>
          <w:p w14:paraId="2D11B66B" w14:textId="77777777" w:rsidR="006B010E" w:rsidRPr="00626A83" w:rsidRDefault="006B010E" w:rsidP="006B010E">
            <w:pPr>
              <w:pStyle w:val="Table10ptalignedleft"/>
              <w:rPr>
                <w:szCs w:val="20"/>
              </w:rPr>
            </w:pPr>
            <w:r w:rsidRPr="00626A83">
              <w:rPr>
                <w:szCs w:val="20"/>
              </w:rPr>
              <w:t xml:space="preserve">N=152 </w:t>
            </w:r>
          </w:p>
          <w:p w14:paraId="1B9003EF" w14:textId="77777777" w:rsidR="006B010E" w:rsidRPr="00626A83" w:rsidRDefault="006B010E" w:rsidP="006B010E">
            <w:pPr>
              <w:pStyle w:val="Table10ptalignedleft"/>
              <w:rPr>
                <w:szCs w:val="20"/>
              </w:rPr>
            </w:pPr>
            <w:r w:rsidRPr="00626A83">
              <w:rPr>
                <w:szCs w:val="20"/>
              </w:rPr>
              <w:t>6 months</w:t>
            </w:r>
          </w:p>
        </w:tc>
        <w:tc>
          <w:tcPr>
            <w:tcW w:w="348" w:type="pct"/>
          </w:tcPr>
          <w:p w14:paraId="7EF3B239" w14:textId="77777777" w:rsidR="006B010E" w:rsidRPr="00626A83" w:rsidRDefault="006B010E" w:rsidP="006B010E">
            <w:pPr>
              <w:pStyle w:val="Table10ptalignedleft"/>
              <w:rPr>
                <w:szCs w:val="20"/>
              </w:rPr>
            </w:pPr>
            <w:r w:rsidRPr="00626A83">
              <w:rPr>
                <w:szCs w:val="20"/>
              </w:rPr>
              <w:t>69.1</w:t>
            </w:r>
          </w:p>
        </w:tc>
        <w:tc>
          <w:tcPr>
            <w:tcW w:w="650" w:type="pct"/>
          </w:tcPr>
          <w:p w14:paraId="66094312" w14:textId="77777777" w:rsidR="006B010E" w:rsidRPr="00626A83" w:rsidRDefault="006B010E" w:rsidP="006B010E">
            <w:pPr>
              <w:pStyle w:val="Table10ptalignedleft"/>
              <w:rPr>
                <w:szCs w:val="20"/>
              </w:rPr>
            </w:pPr>
            <w:r w:rsidRPr="00626A83">
              <w:rPr>
                <w:szCs w:val="20"/>
              </w:rPr>
              <w:t>Patients with moderate to severe heart failure (New York Heart Association [NYHA] II and III), treated with loop diuretics</w:t>
            </w:r>
          </w:p>
          <w:p w14:paraId="0C5EE7E1" w14:textId="77777777" w:rsidR="006B010E" w:rsidRPr="00626A83" w:rsidRDefault="006B010E" w:rsidP="006B010E">
            <w:pPr>
              <w:pStyle w:val="Table10ptalignedleft"/>
              <w:rPr>
                <w:szCs w:val="20"/>
              </w:rPr>
            </w:pPr>
            <w:r w:rsidRPr="00626A83">
              <w:rPr>
                <w:szCs w:val="20"/>
              </w:rPr>
              <w:t>(n=74 intervention / 78 control)</w:t>
            </w:r>
          </w:p>
        </w:tc>
        <w:tc>
          <w:tcPr>
            <w:tcW w:w="1287" w:type="pct"/>
          </w:tcPr>
          <w:p w14:paraId="2FF24A27" w14:textId="77777777" w:rsidR="006B010E" w:rsidRPr="00626A83" w:rsidRDefault="006B010E" w:rsidP="006B010E">
            <w:pPr>
              <w:pStyle w:val="Table10ptalignedleft"/>
              <w:rPr>
                <w:szCs w:val="20"/>
              </w:rPr>
            </w:pPr>
            <w:r w:rsidRPr="00626A83">
              <w:rPr>
                <w:szCs w:val="20"/>
              </w:rPr>
              <w:t>Community pharmacy based medication review focused on discussing medicine use and reasons for noncompliance (such as potential DRPs). A short report of the interview is forwarded to the GP and a 6-month follow-up on patients</w:t>
            </w:r>
          </w:p>
        </w:tc>
        <w:tc>
          <w:tcPr>
            <w:tcW w:w="712" w:type="pct"/>
          </w:tcPr>
          <w:p w14:paraId="7D138278" w14:textId="77777777" w:rsidR="006B010E" w:rsidRPr="00626A83" w:rsidRDefault="006B010E" w:rsidP="006B010E">
            <w:pPr>
              <w:pStyle w:val="Table10ptalignedleft"/>
              <w:rPr>
                <w:szCs w:val="20"/>
              </w:rPr>
            </w:pPr>
            <w:r w:rsidRPr="00626A83">
              <w:rPr>
                <w:szCs w:val="20"/>
              </w:rPr>
              <w:t>Usual care</w:t>
            </w:r>
          </w:p>
        </w:tc>
        <w:tc>
          <w:tcPr>
            <w:tcW w:w="975" w:type="pct"/>
          </w:tcPr>
          <w:p w14:paraId="708140A8" w14:textId="77777777" w:rsidR="006B010E" w:rsidRPr="00626A83" w:rsidRDefault="006B010E" w:rsidP="006B010E">
            <w:pPr>
              <w:pStyle w:val="Table10ptalignedleft"/>
              <w:rPr>
                <w:szCs w:val="20"/>
              </w:rPr>
            </w:pPr>
            <w:r w:rsidRPr="00626A83">
              <w:rPr>
                <w:szCs w:val="20"/>
              </w:rPr>
              <w:t>Primary outcome</w:t>
            </w:r>
          </w:p>
          <w:p w14:paraId="299A7208"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adherence/medication compliance (via electronic monitoring)</w:t>
            </w:r>
          </w:p>
          <w:p w14:paraId="25156045" w14:textId="77F6C889" w:rsidR="006B010E" w:rsidRPr="00626A83" w:rsidRDefault="006B010E" w:rsidP="006B010E">
            <w:pPr>
              <w:pStyle w:val="Table10ptalignedleft"/>
              <w:rPr>
                <w:szCs w:val="20"/>
              </w:rPr>
            </w:pPr>
            <w:r w:rsidRPr="00626A83">
              <w:rPr>
                <w:szCs w:val="20"/>
              </w:rPr>
              <w:t>Secondary outcome</w:t>
            </w:r>
            <w:r w:rsidR="00EE2529" w:rsidRPr="00626A83">
              <w:rPr>
                <w:szCs w:val="20"/>
              </w:rPr>
              <w:t>s</w:t>
            </w:r>
          </w:p>
          <w:p w14:paraId="401AF5DB" w14:textId="77777777" w:rsidR="006B010E" w:rsidRPr="00626A83" w:rsidRDefault="006B010E" w:rsidP="006B010E">
            <w:pPr>
              <w:pStyle w:val="Table10ptbullet"/>
              <w:numPr>
                <w:ilvl w:val="0"/>
                <w:numId w:val="2"/>
              </w:numPr>
              <w:ind w:left="227" w:hanging="227"/>
              <w:rPr>
                <w:szCs w:val="20"/>
              </w:rPr>
            </w:pPr>
            <w:r w:rsidRPr="00626A83">
              <w:rPr>
                <w:szCs w:val="20"/>
              </w:rPr>
              <w:t>number of rehospitalisation</w:t>
            </w:r>
          </w:p>
          <w:p w14:paraId="6556B4A3" w14:textId="77777777" w:rsidR="006B010E" w:rsidRPr="00626A83" w:rsidRDefault="006B010E" w:rsidP="006B010E">
            <w:pPr>
              <w:pStyle w:val="Table10ptbullet"/>
              <w:numPr>
                <w:ilvl w:val="0"/>
                <w:numId w:val="2"/>
              </w:numPr>
              <w:ind w:left="227" w:hanging="227"/>
              <w:rPr>
                <w:szCs w:val="20"/>
              </w:rPr>
            </w:pPr>
            <w:r w:rsidRPr="00626A83">
              <w:rPr>
                <w:szCs w:val="20"/>
              </w:rPr>
              <w:t>mortality</w:t>
            </w:r>
          </w:p>
          <w:p w14:paraId="4A5CC880" w14:textId="307EDBA0" w:rsidR="006B010E" w:rsidRPr="00626A83" w:rsidRDefault="006B010E" w:rsidP="006B010E">
            <w:pPr>
              <w:pStyle w:val="Table10ptbullet"/>
              <w:numPr>
                <w:ilvl w:val="0"/>
                <w:numId w:val="2"/>
              </w:numPr>
              <w:ind w:left="227" w:hanging="227"/>
              <w:rPr>
                <w:szCs w:val="20"/>
              </w:rPr>
            </w:pPr>
            <w:r w:rsidRPr="00626A83">
              <w:rPr>
                <w:szCs w:val="20"/>
              </w:rPr>
              <w:t>quality of life (assessed with generic instrument (Dartmouth COOP Functional Assessment Charts/WONCA) and a specific heart failure instrument (M</w:t>
            </w:r>
            <w:r w:rsidR="00A744A4" w:rsidRPr="00626A83">
              <w:rPr>
                <w:szCs w:val="20"/>
              </w:rPr>
              <w:t>L</w:t>
            </w:r>
            <w:r w:rsidRPr="00626A83">
              <w:rPr>
                <w:szCs w:val="20"/>
              </w:rPr>
              <w:t>HFQ))</w:t>
            </w:r>
          </w:p>
        </w:tc>
      </w:tr>
      <w:tr w:rsidR="006B010E" w:rsidRPr="00626A83" w14:paraId="5EE07ADC" w14:textId="77777777" w:rsidTr="00626A83">
        <w:trPr>
          <w:cnfStyle w:val="000000010000" w:firstRow="0" w:lastRow="0" w:firstColumn="0" w:lastColumn="0" w:oddVBand="0" w:evenVBand="0" w:oddHBand="0" w:evenHBand="1" w:firstRowFirstColumn="0" w:firstRowLastColumn="0" w:lastRowFirstColumn="0" w:lastRowLastColumn="0"/>
        </w:trPr>
        <w:tc>
          <w:tcPr>
            <w:tcW w:w="422" w:type="pct"/>
          </w:tcPr>
          <w:p w14:paraId="526ABFE5" w14:textId="3E6D5517" w:rsidR="006B010E" w:rsidRPr="00626A83" w:rsidRDefault="006B010E" w:rsidP="006B010E">
            <w:pPr>
              <w:pStyle w:val="Table10ptalignedleft"/>
              <w:rPr>
                <w:szCs w:val="20"/>
              </w:rPr>
            </w:pPr>
            <w:r w:rsidRPr="00626A83">
              <w:rPr>
                <w:szCs w:val="20"/>
              </w:rPr>
              <w:lastRenderedPageBreak/>
              <w:t>Bernsten (2001) Multi</w:t>
            </w:r>
            <w:r w:rsidR="005A297C" w:rsidRPr="00626A83">
              <w:rPr>
                <w:szCs w:val="20"/>
              </w:rPr>
              <w:t>centre</w:t>
            </w:r>
            <w:r w:rsidRPr="00626A83">
              <w:rPr>
                <w:szCs w:val="20"/>
              </w:rPr>
              <w:t xml:space="preserve"> (Europe)</w:t>
            </w:r>
          </w:p>
        </w:tc>
        <w:tc>
          <w:tcPr>
            <w:tcW w:w="606" w:type="pct"/>
          </w:tcPr>
          <w:p w14:paraId="6450A28F" w14:textId="77777777" w:rsidR="006B010E" w:rsidRPr="00626A83" w:rsidRDefault="006B010E" w:rsidP="006B010E">
            <w:pPr>
              <w:pStyle w:val="Table10ptalignedleft"/>
              <w:rPr>
                <w:szCs w:val="20"/>
              </w:rPr>
            </w:pPr>
            <w:r w:rsidRPr="00626A83">
              <w:rPr>
                <w:szCs w:val="20"/>
              </w:rPr>
              <w:t xml:space="preserve">RCT </w:t>
            </w:r>
          </w:p>
          <w:p w14:paraId="04793726" w14:textId="77777777" w:rsidR="006B010E" w:rsidRPr="00626A83" w:rsidRDefault="006B010E" w:rsidP="006B010E">
            <w:pPr>
              <w:pStyle w:val="Table10ptalignedleft"/>
              <w:rPr>
                <w:szCs w:val="20"/>
              </w:rPr>
            </w:pPr>
            <w:r w:rsidRPr="00626A83">
              <w:rPr>
                <w:szCs w:val="20"/>
              </w:rPr>
              <w:t>N=2,454 (190 community pharmacies)</w:t>
            </w:r>
          </w:p>
          <w:p w14:paraId="39454F33" w14:textId="77777777" w:rsidR="006B010E" w:rsidRPr="00626A83" w:rsidRDefault="006B010E" w:rsidP="006B010E">
            <w:pPr>
              <w:pStyle w:val="Table10ptalignedleft"/>
              <w:rPr>
                <w:szCs w:val="20"/>
              </w:rPr>
            </w:pPr>
            <w:r w:rsidRPr="00626A83">
              <w:rPr>
                <w:szCs w:val="20"/>
              </w:rPr>
              <w:t xml:space="preserve">18 months </w:t>
            </w:r>
          </w:p>
        </w:tc>
        <w:tc>
          <w:tcPr>
            <w:tcW w:w="348" w:type="pct"/>
          </w:tcPr>
          <w:p w14:paraId="32FC1951" w14:textId="77777777" w:rsidR="006B010E" w:rsidRPr="00626A83" w:rsidRDefault="006B010E" w:rsidP="006B010E">
            <w:pPr>
              <w:pStyle w:val="Table10ptalignedleft"/>
              <w:rPr>
                <w:szCs w:val="20"/>
              </w:rPr>
            </w:pPr>
            <w:r w:rsidRPr="00626A83">
              <w:rPr>
                <w:szCs w:val="20"/>
              </w:rPr>
              <w:t>74</w:t>
            </w:r>
          </w:p>
        </w:tc>
        <w:tc>
          <w:tcPr>
            <w:tcW w:w="650" w:type="pct"/>
          </w:tcPr>
          <w:p w14:paraId="0C63FE56" w14:textId="77777777" w:rsidR="006B010E" w:rsidRPr="00626A83" w:rsidRDefault="006B010E" w:rsidP="006B010E">
            <w:pPr>
              <w:pStyle w:val="Table10ptalignedleft"/>
              <w:rPr>
                <w:szCs w:val="20"/>
              </w:rPr>
            </w:pPr>
            <w:r w:rsidRPr="00626A83">
              <w:rPr>
                <w:szCs w:val="20"/>
              </w:rPr>
              <w:t>Patients≥65 years taking at least 4 prescribed medications (n=1,290 intervention/1,164 control)</w:t>
            </w:r>
          </w:p>
        </w:tc>
        <w:tc>
          <w:tcPr>
            <w:tcW w:w="1287" w:type="pct"/>
          </w:tcPr>
          <w:p w14:paraId="7320EEC6" w14:textId="77777777" w:rsidR="006B010E" w:rsidRPr="00626A83" w:rsidRDefault="006B010E" w:rsidP="006B010E">
            <w:pPr>
              <w:pStyle w:val="Table10ptalignedleft"/>
              <w:rPr>
                <w:szCs w:val="20"/>
              </w:rPr>
            </w:pPr>
            <w:r w:rsidRPr="00626A83">
              <w:rPr>
                <w:szCs w:val="20"/>
              </w:rPr>
              <w:t>Community pharmacy based medication review aimed at identifying DRPs followed by development pharmaceutical care and monitoring plan for the patients that include: patient education, implementing compliance-improving strategies, modifying drug regimens as necessary and in collaboration with the GP</w:t>
            </w:r>
          </w:p>
        </w:tc>
        <w:tc>
          <w:tcPr>
            <w:tcW w:w="712" w:type="pct"/>
          </w:tcPr>
          <w:p w14:paraId="51751159" w14:textId="77777777" w:rsidR="006B010E" w:rsidRPr="00626A83" w:rsidRDefault="006B010E" w:rsidP="006B010E">
            <w:pPr>
              <w:pStyle w:val="Table10ptalignedleft"/>
              <w:rPr>
                <w:szCs w:val="20"/>
              </w:rPr>
            </w:pPr>
            <w:r w:rsidRPr="00626A83">
              <w:rPr>
                <w:szCs w:val="20"/>
              </w:rPr>
              <w:t>Standard care</w:t>
            </w:r>
          </w:p>
        </w:tc>
        <w:tc>
          <w:tcPr>
            <w:tcW w:w="975" w:type="pct"/>
          </w:tcPr>
          <w:p w14:paraId="13276112" w14:textId="77777777" w:rsidR="006B010E" w:rsidRPr="00626A83" w:rsidRDefault="006B010E" w:rsidP="006B010E">
            <w:pPr>
              <w:pStyle w:val="Table10ptalignedleft"/>
              <w:rPr>
                <w:szCs w:val="20"/>
              </w:rPr>
            </w:pPr>
            <w:r w:rsidRPr="00626A83">
              <w:rPr>
                <w:szCs w:val="20"/>
              </w:rPr>
              <w:t>Primary outcomes</w:t>
            </w:r>
          </w:p>
          <w:p w14:paraId="68C3ABEE"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quality of life (SF-36)</w:t>
            </w:r>
          </w:p>
          <w:p w14:paraId="35A7B2BC"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hospitalisation</w:t>
            </w:r>
          </w:p>
          <w:p w14:paraId="7D80B800"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cost savings</w:t>
            </w:r>
          </w:p>
          <w:p w14:paraId="4E1FD2CF"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patients’ satisfaction</w:t>
            </w:r>
          </w:p>
          <w:p w14:paraId="35E71DF3" w14:textId="77777777" w:rsidR="006B010E" w:rsidRPr="00626A83" w:rsidRDefault="006B010E" w:rsidP="006B010E">
            <w:pPr>
              <w:pStyle w:val="Table10ptalignedleft"/>
              <w:rPr>
                <w:szCs w:val="20"/>
              </w:rPr>
            </w:pPr>
            <w:r w:rsidRPr="00626A83">
              <w:rPr>
                <w:szCs w:val="20"/>
              </w:rPr>
              <w:t>Secondary outcomes</w:t>
            </w:r>
          </w:p>
          <w:p w14:paraId="7E74C971" w14:textId="77777777" w:rsidR="006B010E" w:rsidRPr="00626A83" w:rsidRDefault="006B010E" w:rsidP="006B010E">
            <w:pPr>
              <w:pStyle w:val="Table10ptbullet"/>
              <w:numPr>
                <w:ilvl w:val="0"/>
                <w:numId w:val="2"/>
              </w:numPr>
              <w:ind w:left="227" w:hanging="227"/>
              <w:rPr>
                <w:rFonts w:eastAsiaTheme="minorHAnsi" w:cstheme="minorBidi"/>
                <w:szCs w:val="20"/>
              </w:rPr>
            </w:pPr>
            <w:r w:rsidRPr="00626A83">
              <w:rPr>
                <w:rFonts w:eastAsiaTheme="minorHAnsi" w:cstheme="minorBidi"/>
                <w:szCs w:val="20"/>
              </w:rPr>
              <w:t>adherence (self-reported questionnaire)</w:t>
            </w:r>
          </w:p>
          <w:p w14:paraId="6160EFE8" w14:textId="77777777" w:rsidR="006B010E" w:rsidRPr="00626A83" w:rsidRDefault="006B010E" w:rsidP="006B010E">
            <w:pPr>
              <w:pStyle w:val="Table10ptbullet"/>
              <w:numPr>
                <w:ilvl w:val="0"/>
                <w:numId w:val="2"/>
              </w:numPr>
              <w:ind w:left="227" w:hanging="227"/>
              <w:rPr>
                <w:szCs w:val="20"/>
              </w:rPr>
            </w:pPr>
            <w:r w:rsidRPr="00626A83">
              <w:rPr>
                <w:rFonts w:eastAsiaTheme="minorHAnsi" w:cstheme="minorBidi"/>
                <w:szCs w:val="20"/>
              </w:rPr>
              <w:t>patient knowledge of medicines</w:t>
            </w:r>
          </w:p>
        </w:tc>
      </w:tr>
    </w:tbl>
    <w:p w14:paraId="64D6331F" w14:textId="2087A685" w:rsidR="006B010E" w:rsidRPr="0050588D" w:rsidRDefault="006B010E" w:rsidP="006B010E">
      <w:pPr>
        <w:pStyle w:val="TableorFigurefootnote"/>
      </w:pPr>
      <w:r w:rsidRPr="007F6AF8">
        <w:t xml:space="preserve">Abbreviations: </w:t>
      </w:r>
      <w:r>
        <w:t>ADE, adverse drug events; BMQ, Beliefs about Medicines Questionnaire; CABG, c</w:t>
      </w:r>
      <w:r w:rsidRPr="001F6620">
        <w:t>oronary artery bypass graft</w:t>
      </w:r>
      <w:r>
        <w:t>;</w:t>
      </w:r>
      <w:r w:rsidRPr="001F6620">
        <w:t xml:space="preserve"> </w:t>
      </w:r>
      <w:r>
        <w:t xml:space="preserve">CHD, coronary heart disease; </w:t>
      </w:r>
      <w:r w:rsidR="00A744A4">
        <w:t xml:space="preserve">COOP, </w:t>
      </w:r>
      <w:r>
        <w:t xml:space="preserve">DPPR, </w:t>
      </w:r>
      <w:r w:rsidRPr="00A75B2D">
        <w:t>Daily Poly</w:t>
      </w:r>
      <w:r>
        <w:t xml:space="preserve">pharmacy Possession Ratio; </w:t>
      </w:r>
      <w:r w:rsidRPr="00F32EB0">
        <w:t>DRP, drug-related problem</w:t>
      </w:r>
      <w:r>
        <w:t xml:space="preserve">; </w:t>
      </w:r>
      <w:r w:rsidRPr="007F6AF8">
        <w:t>ED, emergency department;</w:t>
      </w:r>
      <w:r>
        <w:t xml:space="preserve"> FRID, </w:t>
      </w:r>
      <w:r w:rsidRPr="00F32EB0">
        <w:t>fall</w:t>
      </w:r>
      <w:r w:rsidR="0088796C">
        <w:t xml:space="preserve"> risk-</w:t>
      </w:r>
      <w:r w:rsidRPr="00F32EB0">
        <w:t>increasing drug</w:t>
      </w:r>
      <w:r>
        <w:t>;</w:t>
      </w:r>
      <w:r w:rsidRPr="00F32EB0">
        <w:t xml:space="preserve"> </w:t>
      </w:r>
      <w:r>
        <w:t xml:space="preserve">GP, general practitioner; </w:t>
      </w:r>
      <w:r w:rsidR="00A744A4">
        <w:t xml:space="preserve">MLHFQ, </w:t>
      </w:r>
      <w:r w:rsidR="00A744A4" w:rsidRPr="00A744A4">
        <w:t>Minnesota Living with Heart Failure questionnaire</w:t>
      </w:r>
      <w:r w:rsidR="00A744A4">
        <w:t>;</w:t>
      </w:r>
      <w:r w:rsidR="00A744A4" w:rsidRPr="00A744A4">
        <w:t xml:space="preserve"> </w:t>
      </w:r>
      <w:r>
        <w:t xml:space="preserve">MI, myocardial infarction; MPR, </w:t>
      </w:r>
      <w:r w:rsidR="00660443">
        <w:t>M</w:t>
      </w:r>
      <w:r>
        <w:t xml:space="preserve">edication </w:t>
      </w:r>
      <w:r w:rsidR="00660443">
        <w:t>P</w:t>
      </w:r>
      <w:r>
        <w:t xml:space="preserve">ossession </w:t>
      </w:r>
      <w:r w:rsidR="00660443">
        <w:t>R</w:t>
      </w:r>
      <w:r>
        <w:t xml:space="preserve">atio; MTM, medication therapy </w:t>
      </w:r>
      <w:r w:rsidRPr="0050588D">
        <w:t xml:space="preserve">management; n.a., not-applicable; </w:t>
      </w:r>
      <w:r>
        <w:t>NHS, National Health Service;</w:t>
      </w:r>
      <w:r w:rsidR="00A744A4">
        <w:t xml:space="preserve"> NYHA, New York Heart Association;</w:t>
      </w:r>
      <w:r>
        <w:t xml:space="preserve"> P</w:t>
      </w:r>
      <w:r w:rsidRPr="001F6620">
        <w:t>TCA</w:t>
      </w:r>
      <w:r>
        <w:t>,</w:t>
      </w:r>
      <w:r w:rsidRPr="001F6620">
        <w:t xml:space="preserve"> percutaneous transluminal coronary angioplasty</w:t>
      </w:r>
      <w:r>
        <w:t xml:space="preserve">; </w:t>
      </w:r>
      <w:r w:rsidRPr="0050588D">
        <w:t xml:space="preserve">QoL, quality of life; RCT, randomised controlled trial; </w:t>
      </w:r>
      <w:r w:rsidR="00A744A4">
        <w:t xml:space="preserve">SF-36, short Form-36; </w:t>
      </w:r>
      <w:r w:rsidRPr="0050588D">
        <w:t>TRP, treatment-related problem; USA, United States of America; vs, versus</w:t>
      </w:r>
    </w:p>
    <w:p w14:paraId="08740701" w14:textId="77777777" w:rsidR="006B010E" w:rsidRPr="0050588D" w:rsidRDefault="006B010E" w:rsidP="006B010E">
      <w:pPr>
        <w:pStyle w:val="TableorFigurefootnote"/>
      </w:pPr>
      <w:r w:rsidRPr="0050588D">
        <w:rPr>
          <w:b/>
        </w:rPr>
        <w:t>a</w:t>
      </w:r>
      <w:r w:rsidRPr="0050588D">
        <w:t xml:space="preserve"> Medication possession ratio (MPR) was calculated by dividing the days’ supply of a medication dispensed by the number of days in the time interval of interest, representing the adherence per each medicine.  Daily Polypharmacy Possession Ratio (DPPR) the proportion of time a patient had medication available for use by considering the presence or absence of multiple medications on each day in the observation period, representing the adherence per patient with his chronic polypharmacy.</w:t>
      </w:r>
    </w:p>
    <w:p w14:paraId="0C376C8B" w14:textId="19BB5616" w:rsidR="006B010E" w:rsidRPr="00623AA1" w:rsidRDefault="006B010E" w:rsidP="00BA126A">
      <w:pPr>
        <w:keepNext/>
        <w:spacing w:after="120"/>
        <w:jc w:val="center"/>
        <w:rPr>
          <w:rFonts w:ascii="Garamond" w:hAnsi="Garamond"/>
          <w:b/>
          <w:iCs/>
          <w:sz w:val="20"/>
          <w:szCs w:val="18"/>
        </w:rPr>
      </w:pPr>
      <w:bookmarkStart w:id="48" w:name="_Ref522795161"/>
      <w:r w:rsidRPr="00623AA1">
        <w:rPr>
          <w:rFonts w:ascii="Garamond" w:hAnsi="Garamond"/>
          <w:b/>
          <w:iCs/>
          <w:sz w:val="20"/>
          <w:szCs w:val="18"/>
        </w:rPr>
        <w:t xml:space="preserve">Table </w:t>
      </w:r>
      <w:r w:rsidR="0009681A">
        <w:rPr>
          <w:rFonts w:ascii="Garamond" w:hAnsi="Garamond"/>
          <w:b/>
          <w:iCs/>
          <w:sz w:val="20"/>
          <w:szCs w:val="18"/>
        </w:rPr>
        <w:fldChar w:fldCharType="begin"/>
      </w:r>
      <w:r w:rsidR="0009681A">
        <w:rPr>
          <w:rFonts w:ascii="Garamond" w:hAnsi="Garamond"/>
          <w:b/>
          <w:iCs/>
          <w:sz w:val="20"/>
          <w:szCs w:val="18"/>
        </w:rPr>
        <w:instrText xml:space="preserve"> STYLEREF 1 \s </w:instrText>
      </w:r>
      <w:r w:rsidR="0009681A">
        <w:rPr>
          <w:rFonts w:ascii="Garamond" w:hAnsi="Garamond"/>
          <w:b/>
          <w:iCs/>
          <w:sz w:val="20"/>
          <w:szCs w:val="18"/>
        </w:rPr>
        <w:fldChar w:fldCharType="separate"/>
      </w:r>
      <w:r w:rsidR="009047A7">
        <w:rPr>
          <w:rFonts w:ascii="Garamond" w:hAnsi="Garamond"/>
          <w:b/>
          <w:iCs/>
          <w:noProof/>
          <w:sz w:val="20"/>
          <w:szCs w:val="18"/>
        </w:rPr>
        <w:t>5</w:t>
      </w:r>
      <w:r w:rsidR="0009681A">
        <w:rPr>
          <w:rFonts w:ascii="Garamond" w:hAnsi="Garamond"/>
          <w:b/>
          <w:iCs/>
          <w:sz w:val="20"/>
          <w:szCs w:val="18"/>
        </w:rPr>
        <w:fldChar w:fldCharType="end"/>
      </w:r>
      <w:r w:rsidR="0009681A">
        <w:rPr>
          <w:rFonts w:ascii="Garamond" w:hAnsi="Garamond"/>
          <w:b/>
          <w:iCs/>
          <w:sz w:val="20"/>
          <w:szCs w:val="18"/>
        </w:rPr>
        <w:t>.</w:t>
      </w:r>
      <w:r w:rsidR="0009681A">
        <w:rPr>
          <w:rFonts w:ascii="Garamond" w:hAnsi="Garamond"/>
          <w:b/>
          <w:iCs/>
          <w:sz w:val="20"/>
          <w:szCs w:val="18"/>
        </w:rPr>
        <w:fldChar w:fldCharType="begin"/>
      </w:r>
      <w:r w:rsidR="0009681A">
        <w:rPr>
          <w:rFonts w:ascii="Garamond" w:hAnsi="Garamond"/>
          <w:b/>
          <w:iCs/>
          <w:sz w:val="20"/>
          <w:szCs w:val="18"/>
        </w:rPr>
        <w:instrText xml:space="preserve"> SEQ Table \* ARABIC \s 1 </w:instrText>
      </w:r>
      <w:r w:rsidR="0009681A">
        <w:rPr>
          <w:rFonts w:ascii="Garamond" w:hAnsi="Garamond"/>
          <w:b/>
          <w:iCs/>
          <w:sz w:val="20"/>
          <w:szCs w:val="18"/>
        </w:rPr>
        <w:fldChar w:fldCharType="separate"/>
      </w:r>
      <w:r w:rsidR="009047A7">
        <w:rPr>
          <w:rFonts w:ascii="Garamond" w:hAnsi="Garamond"/>
          <w:b/>
          <w:iCs/>
          <w:noProof/>
          <w:sz w:val="20"/>
          <w:szCs w:val="18"/>
        </w:rPr>
        <w:t>2</w:t>
      </w:r>
      <w:r w:rsidR="0009681A">
        <w:rPr>
          <w:rFonts w:ascii="Garamond" w:hAnsi="Garamond"/>
          <w:b/>
          <w:iCs/>
          <w:sz w:val="20"/>
          <w:szCs w:val="18"/>
        </w:rPr>
        <w:fldChar w:fldCharType="end"/>
      </w:r>
      <w:bookmarkEnd w:id="48"/>
      <w:r w:rsidRPr="00623AA1">
        <w:rPr>
          <w:rFonts w:ascii="Garamond" w:hAnsi="Garamond"/>
          <w:b/>
          <w:iCs/>
          <w:sz w:val="20"/>
          <w:szCs w:val="18"/>
        </w:rPr>
        <w:t>: Summary of results of the included studies</w:t>
      </w:r>
    </w:p>
    <w:tbl>
      <w:tblPr>
        <w:tblStyle w:val="TableGrid"/>
        <w:tblW w:w="14855" w:type="dxa"/>
        <w:tblCellMar>
          <w:left w:w="57" w:type="dxa"/>
          <w:right w:w="57" w:type="dxa"/>
        </w:tblCellMar>
        <w:tblLook w:val="04A0" w:firstRow="1" w:lastRow="0" w:firstColumn="1" w:lastColumn="0" w:noHBand="0" w:noVBand="1"/>
        <w:tblCaption w:val="Table 5.2"/>
        <w:tblDescription w:val="Summary of results of the included studies"/>
      </w:tblPr>
      <w:tblGrid>
        <w:gridCol w:w="1252"/>
        <w:gridCol w:w="1828"/>
        <w:gridCol w:w="2007"/>
        <w:gridCol w:w="1445"/>
        <w:gridCol w:w="5611"/>
        <w:gridCol w:w="2712"/>
      </w:tblGrid>
      <w:tr w:rsidR="006B010E" w:rsidRPr="00623AA1" w14:paraId="08C8D2EC" w14:textId="77777777" w:rsidTr="00626A83">
        <w:trPr>
          <w:cnfStyle w:val="100000000000" w:firstRow="1" w:lastRow="0" w:firstColumn="0" w:lastColumn="0" w:oddVBand="0" w:evenVBand="0" w:oddHBand="0" w:evenHBand="0" w:firstRowFirstColumn="0" w:firstRowLastColumn="0" w:lastRowFirstColumn="0" w:lastRowLastColumn="0"/>
        </w:trPr>
        <w:tc>
          <w:tcPr>
            <w:tcW w:w="1227" w:type="dxa"/>
          </w:tcPr>
          <w:p w14:paraId="454BD85A" w14:textId="77777777" w:rsidR="006B010E" w:rsidRPr="00623AA1" w:rsidRDefault="006B010E" w:rsidP="006B010E">
            <w:pPr>
              <w:spacing w:after="0"/>
              <w:rPr>
                <w:b/>
                <w:snapToGrid w:val="0"/>
                <w:color w:val="FFFFFF"/>
                <w:sz w:val="20"/>
              </w:rPr>
            </w:pPr>
            <w:r w:rsidRPr="00623AA1">
              <w:rPr>
                <w:b/>
                <w:snapToGrid w:val="0"/>
                <w:color w:val="FFFFFF"/>
                <w:sz w:val="20"/>
              </w:rPr>
              <w:t>Study ID</w:t>
            </w:r>
          </w:p>
          <w:p w14:paraId="09B7D5F5" w14:textId="77777777" w:rsidR="006B010E" w:rsidRPr="00623AA1" w:rsidRDefault="006B010E" w:rsidP="006B010E">
            <w:pPr>
              <w:spacing w:after="0"/>
              <w:rPr>
                <w:b/>
                <w:color w:val="FFFFFF"/>
                <w:sz w:val="20"/>
              </w:rPr>
            </w:pPr>
            <w:r w:rsidRPr="00623AA1">
              <w:rPr>
                <w:b/>
                <w:snapToGrid w:val="0"/>
                <w:color w:val="FFFFFF"/>
                <w:sz w:val="20"/>
              </w:rPr>
              <w:t>Country</w:t>
            </w:r>
          </w:p>
        </w:tc>
        <w:tc>
          <w:tcPr>
            <w:tcW w:w="1792" w:type="dxa"/>
          </w:tcPr>
          <w:p w14:paraId="6C97C2A3" w14:textId="77777777" w:rsidR="006B010E" w:rsidRPr="00623AA1" w:rsidRDefault="006B010E" w:rsidP="006B010E">
            <w:pPr>
              <w:spacing w:after="0"/>
              <w:rPr>
                <w:b/>
                <w:color w:val="FFFFFF"/>
                <w:sz w:val="20"/>
              </w:rPr>
            </w:pPr>
            <w:r w:rsidRPr="00623AA1">
              <w:rPr>
                <w:b/>
                <w:snapToGrid w:val="0"/>
                <w:color w:val="FFFFFF"/>
                <w:sz w:val="20"/>
              </w:rPr>
              <w:t>Study design/ duration</w:t>
            </w:r>
          </w:p>
        </w:tc>
        <w:tc>
          <w:tcPr>
            <w:tcW w:w="1967" w:type="dxa"/>
          </w:tcPr>
          <w:p w14:paraId="1512CE9E" w14:textId="77777777" w:rsidR="006B010E" w:rsidRPr="00623AA1" w:rsidRDefault="006B010E" w:rsidP="006B010E">
            <w:pPr>
              <w:spacing w:after="0"/>
              <w:rPr>
                <w:b/>
                <w:color w:val="FFFFFF"/>
                <w:sz w:val="20"/>
              </w:rPr>
            </w:pPr>
            <w:r w:rsidRPr="00623AA1">
              <w:rPr>
                <w:b/>
                <w:snapToGrid w:val="0"/>
                <w:color w:val="FFFFFF"/>
                <w:sz w:val="20"/>
              </w:rPr>
              <w:t>Population</w:t>
            </w:r>
          </w:p>
        </w:tc>
        <w:tc>
          <w:tcPr>
            <w:tcW w:w="1416" w:type="dxa"/>
          </w:tcPr>
          <w:p w14:paraId="0D8D505A" w14:textId="77777777" w:rsidR="006B010E" w:rsidRPr="00623AA1" w:rsidRDefault="006B010E" w:rsidP="006B010E">
            <w:pPr>
              <w:spacing w:after="0"/>
              <w:rPr>
                <w:b/>
                <w:color w:val="FFFFFF"/>
                <w:sz w:val="20"/>
              </w:rPr>
            </w:pPr>
            <w:r w:rsidRPr="00623AA1">
              <w:rPr>
                <w:b/>
                <w:snapToGrid w:val="0"/>
                <w:color w:val="FFFFFF"/>
                <w:sz w:val="20"/>
              </w:rPr>
              <w:t>Relevant comparison</w:t>
            </w:r>
          </w:p>
        </w:tc>
        <w:tc>
          <w:tcPr>
            <w:tcW w:w="5500" w:type="dxa"/>
          </w:tcPr>
          <w:p w14:paraId="01505515" w14:textId="77777777" w:rsidR="006B010E" w:rsidRPr="00623AA1" w:rsidRDefault="006B010E" w:rsidP="006B010E">
            <w:pPr>
              <w:spacing w:after="0"/>
              <w:rPr>
                <w:b/>
                <w:color w:val="FFFFFF"/>
                <w:sz w:val="20"/>
              </w:rPr>
            </w:pPr>
            <w:r w:rsidRPr="00623AA1">
              <w:rPr>
                <w:b/>
                <w:snapToGrid w:val="0"/>
                <w:color w:val="FFFFFF"/>
                <w:sz w:val="20"/>
              </w:rPr>
              <w:t>Effect</w:t>
            </w:r>
          </w:p>
        </w:tc>
        <w:tc>
          <w:tcPr>
            <w:tcW w:w="2658" w:type="dxa"/>
          </w:tcPr>
          <w:p w14:paraId="01DCA594" w14:textId="77777777" w:rsidR="006B010E" w:rsidRPr="00623AA1" w:rsidRDefault="006B010E" w:rsidP="006B010E">
            <w:pPr>
              <w:spacing w:after="0"/>
              <w:rPr>
                <w:b/>
                <w:color w:val="FFFFFF"/>
                <w:sz w:val="20"/>
              </w:rPr>
            </w:pPr>
            <w:r w:rsidRPr="00623AA1">
              <w:rPr>
                <w:b/>
                <w:snapToGrid w:val="0"/>
                <w:color w:val="FFFFFF"/>
                <w:sz w:val="20"/>
              </w:rPr>
              <w:t>Authors’ conclusions</w:t>
            </w:r>
          </w:p>
        </w:tc>
      </w:tr>
      <w:tr w:rsidR="006B010E" w:rsidRPr="00623AA1" w14:paraId="76A9CB49" w14:textId="77777777" w:rsidTr="00626A83">
        <w:tc>
          <w:tcPr>
            <w:tcW w:w="1227" w:type="dxa"/>
          </w:tcPr>
          <w:p w14:paraId="1B505088" w14:textId="77777777" w:rsidR="006B010E" w:rsidRPr="0077558A" w:rsidRDefault="006B010E" w:rsidP="006B010E">
            <w:pPr>
              <w:pStyle w:val="Table10ptalignedleft"/>
              <w:rPr>
                <w:highlight w:val="yellow"/>
              </w:rPr>
            </w:pPr>
            <w:r w:rsidRPr="00A75B2D">
              <w:t>Misserli (2016) Switzerland</w:t>
            </w:r>
          </w:p>
        </w:tc>
        <w:tc>
          <w:tcPr>
            <w:tcW w:w="1792" w:type="dxa"/>
          </w:tcPr>
          <w:p w14:paraId="732E43B9" w14:textId="77777777" w:rsidR="006B010E" w:rsidRPr="001756B5" w:rsidRDefault="006B010E" w:rsidP="006B010E">
            <w:pPr>
              <w:pStyle w:val="Table10ptalignedleft"/>
              <w:rPr>
                <w:szCs w:val="20"/>
              </w:rPr>
            </w:pPr>
            <w:r w:rsidRPr="001756B5">
              <w:rPr>
                <w:szCs w:val="20"/>
              </w:rPr>
              <w:t>RCT</w:t>
            </w:r>
          </w:p>
          <w:p w14:paraId="50E8FA88" w14:textId="77777777" w:rsidR="006B010E" w:rsidRDefault="006B010E" w:rsidP="006B010E">
            <w:pPr>
              <w:pStyle w:val="Table10ptalignedleft"/>
              <w:rPr>
                <w:szCs w:val="20"/>
              </w:rPr>
            </w:pPr>
            <w:r w:rsidRPr="001756B5">
              <w:rPr>
                <w:szCs w:val="20"/>
              </w:rPr>
              <w:t>N=450</w:t>
            </w:r>
            <w:r>
              <w:rPr>
                <w:szCs w:val="20"/>
              </w:rPr>
              <w:t xml:space="preserve"> (54 community pharmacies)</w:t>
            </w:r>
          </w:p>
          <w:p w14:paraId="14E003A8" w14:textId="77777777" w:rsidR="006B010E" w:rsidRPr="0077558A" w:rsidRDefault="006B010E" w:rsidP="006B010E">
            <w:pPr>
              <w:pStyle w:val="Table10ptalignedleft"/>
              <w:rPr>
                <w:highlight w:val="yellow"/>
              </w:rPr>
            </w:pPr>
            <w:r w:rsidRPr="001756B5">
              <w:rPr>
                <w:szCs w:val="20"/>
              </w:rPr>
              <w:t>28 weeks</w:t>
            </w:r>
          </w:p>
        </w:tc>
        <w:tc>
          <w:tcPr>
            <w:tcW w:w="1967" w:type="dxa"/>
          </w:tcPr>
          <w:p w14:paraId="70F90C1C" w14:textId="77777777" w:rsidR="006B010E" w:rsidRDefault="006B010E" w:rsidP="006B010E">
            <w:pPr>
              <w:pStyle w:val="Table10ptalignedleft"/>
            </w:pPr>
            <w:r>
              <w:t>Patients used ≥4 prescribed medicines over &gt;3 months.</w:t>
            </w:r>
          </w:p>
          <w:p w14:paraId="1D528456" w14:textId="77777777" w:rsidR="006B010E" w:rsidRPr="0077558A" w:rsidRDefault="006B010E" w:rsidP="006B010E">
            <w:pPr>
              <w:pStyle w:val="Table10ptalignedleft"/>
              <w:rPr>
                <w:highlight w:val="yellow"/>
              </w:rPr>
            </w:pPr>
            <w:r>
              <w:t>(n=218 intervention/ 232 control)</w:t>
            </w:r>
          </w:p>
        </w:tc>
        <w:tc>
          <w:tcPr>
            <w:tcW w:w="1416" w:type="dxa"/>
          </w:tcPr>
          <w:p w14:paraId="01AB9BF5" w14:textId="77777777" w:rsidR="006B010E" w:rsidRPr="00A75B2D" w:rsidRDefault="006B010E" w:rsidP="006B010E">
            <w:pPr>
              <w:pStyle w:val="Table10ptalignedleft"/>
            </w:pPr>
            <w:r w:rsidRPr="00A75B2D">
              <w:t>Polymedication Check vs usual care</w:t>
            </w:r>
          </w:p>
        </w:tc>
        <w:tc>
          <w:tcPr>
            <w:tcW w:w="5500" w:type="dxa"/>
          </w:tcPr>
          <w:p w14:paraId="2F8AA8C6" w14:textId="77777777" w:rsidR="006B010E" w:rsidRPr="00F94D9C" w:rsidRDefault="006B010E" w:rsidP="006B010E">
            <w:pPr>
              <w:pStyle w:val="Table10ptalignedleft"/>
            </w:pPr>
            <w:r w:rsidRPr="00F94D9C">
              <w:t>Objective adherence</w:t>
            </w:r>
          </w:p>
          <w:p w14:paraId="75797232" w14:textId="77777777" w:rsidR="006B010E" w:rsidRPr="00F94D9C" w:rsidRDefault="006B010E" w:rsidP="006B010E">
            <w:pPr>
              <w:pStyle w:val="Table10ptbullet"/>
              <w:numPr>
                <w:ilvl w:val="0"/>
                <w:numId w:val="2"/>
              </w:numPr>
              <w:ind w:left="227" w:hanging="227"/>
              <w:rPr>
                <w:rFonts w:eastAsiaTheme="minorHAnsi" w:cstheme="minorBidi"/>
                <w:sz w:val="18"/>
              </w:rPr>
            </w:pPr>
            <w:r w:rsidRPr="00F94D9C">
              <w:rPr>
                <w:rFonts w:eastAsiaTheme="minorHAnsi" w:cstheme="minorBidi"/>
                <w:sz w:val="18"/>
              </w:rPr>
              <w:t xml:space="preserve">MPR: 88.3±19.03 vs 87.5 ±20.75 (p = 0.811) </w:t>
            </w:r>
          </w:p>
          <w:p w14:paraId="4F1ED6D5" w14:textId="77777777" w:rsidR="006B010E" w:rsidRPr="00F94D9C" w:rsidRDefault="006B010E" w:rsidP="006B010E">
            <w:pPr>
              <w:pStyle w:val="Table10ptbullet"/>
              <w:numPr>
                <w:ilvl w:val="0"/>
                <w:numId w:val="2"/>
              </w:numPr>
              <w:ind w:left="227" w:hanging="227"/>
              <w:rPr>
                <w:rFonts w:eastAsiaTheme="minorHAnsi" w:cstheme="minorBidi"/>
                <w:sz w:val="18"/>
              </w:rPr>
            </w:pPr>
            <w:r w:rsidRPr="00F94D9C">
              <w:rPr>
                <w:rFonts w:eastAsiaTheme="minorHAnsi" w:cstheme="minorBidi"/>
                <w:sz w:val="18"/>
              </w:rPr>
              <w:t>DPPR: 88.0±13.31 vs 87.5± 20.75 (p = 0.906)</w:t>
            </w:r>
          </w:p>
          <w:p w14:paraId="6D248E28" w14:textId="77777777" w:rsidR="006B010E" w:rsidRPr="00F94D9C" w:rsidRDefault="006B010E" w:rsidP="006B010E">
            <w:pPr>
              <w:pStyle w:val="Table10ptalignedleft"/>
            </w:pPr>
            <w:r w:rsidRPr="00F94D9C">
              <w:t>Subjective adherence</w:t>
            </w:r>
          </w:p>
          <w:p w14:paraId="2E6E7A23" w14:textId="31C02BF4" w:rsidR="006B010E" w:rsidRPr="00F94D9C" w:rsidRDefault="006B010E" w:rsidP="006B010E">
            <w:pPr>
              <w:pStyle w:val="Table10ptbullet"/>
              <w:numPr>
                <w:ilvl w:val="0"/>
                <w:numId w:val="2"/>
              </w:numPr>
              <w:ind w:left="227" w:hanging="227"/>
            </w:pPr>
            <w:r>
              <w:rPr>
                <w:rFonts w:eastAsiaTheme="minorHAnsi" w:cstheme="minorBidi"/>
                <w:sz w:val="18"/>
              </w:rPr>
              <w:t>m</w:t>
            </w:r>
            <w:r w:rsidRPr="00F94D9C">
              <w:rPr>
                <w:rFonts w:eastAsiaTheme="minorHAnsi" w:cstheme="minorBidi"/>
                <w:sz w:val="18"/>
              </w:rPr>
              <w:t>ean absolute change (between baseline and two weeks post</w:t>
            </w:r>
            <w:r w:rsidR="005A297C">
              <w:rPr>
                <w:rFonts w:eastAsiaTheme="minorHAnsi" w:cstheme="minorBidi"/>
                <w:sz w:val="18"/>
              </w:rPr>
              <w:t>-</w:t>
            </w:r>
            <w:r w:rsidRPr="00F94D9C">
              <w:rPr>
                <w:rFonts w:eastAsiaTheme="minorHAnsi" w:cstheme="minorBidi"/>
                <w:sz w:val="18"/>
              </w:rPr>
              <w:t xml:space="preserve">intervention):  +1.03% vs −0.41 %; </w:t>
            </w:r>
            <w:r>
              <w:rPr>
                <w:rFonts w:eastAsiaTheme="minorHAnsi" w:cstheme="minorBidi"/>
                <w:sz w:val="18"/>
              </w:rPr>
              <w:t>p = 0.058)</w:t>
            </w:r>
          </w:p>
        </w:tc>
        <w:tc>
          <w:tcPr>
            <w:tcW w:w="2658" w:type="dxa"/>
          </w:tcPr>
          <w:p w14:paraId="5F504FE1" w14:textId="77777777" w:rsidR="006B010E" w:rsidRPr="006C55CA" w:rsidRDefault="006B010E" w:rsidP="006B010E">
            <w:pPr>
              <w:spacing w:after="0"/>
              <w:rPr>
                <w:sz w:val="20"/>
              </w:rPr>
            </w:pPr>
            <w:r>
              <w:rPr>
                <w:sz w:val="20"/>
              </w:rPr>
              <w:t>A community pharmacy based medication review had a positive effect on</w:t>
            </w:r>
            <w:r w:rsidRPr="006C55CA">
              <w:rPr>
                <w:sz w:val="20"/>
              </w:rPr>
              <w:t xml:space="preserve"> subjective</w:t>
            </w:r>
          </w:p>
          <w:p w14:paraId="2715494D" w14:textId="77777777" w:rsidR="006B010E" w:rsidRPr="00A75B2D" w:rsidRDefault="006B010E" w:rsidP="006B010E">
            <w:pPr>
              <w:spacing w:after="0"/>
              <w:rPr>
                <w:sz w:val="20"/>
              </w:rPr>
            </w:pPr>
            <w:r>
              <w:rPr>
                <w:sz w:val="20"/>
              </w:rPr>
              <w:t>adherence of more than ±5%.  However, no changes were observed in objective adherence as this was high at baseline (87.5%), thus providing little potential for improvement</w:t>
            </w:r>
          </w:p>
        </w:tc>
      </w:tr>
      <w:tr w:rsidR="006B010E" w:rsidRPr="00623AA1" w14:paraId="16E2E837" w14:textId="77777777" w:rsidTr="00626A83">
        <w:trPr>
          <w:cnfStyle w:val="000000010000" w:firstRow="0" w:lastRow="0" w:firstColumn="0" w:lastColumn="0" w:oddVBand="0" w:evenVBand="0" w:oddHBand="0" w:evenHBand="1" w:firstRowFirstColumn="0" w:firstRowLastColumn="0" w:lastRowFirstColumn="0" w:lastRowLastColumn="0"/>
        </w:trPr>
        <w:tc>
          <w:tcPr>
            <w:tcW w:w="1227" w:type="dxa"/>
          </w:tcPr>
          <w:p w14:paraId="6AE8B830" w14:textId="77777777" w:rsidR="006B010E" w:rsidRPr="00A75B2D" w:rsidRDefault="006B010E" w:rsidP="006B010E">
            <w:pPr>
              <w:pStyle w:val="Table10ptalignedleft"/>
            </w:pPr>
            <w:r>
              <w:t>Mott (2016)</w:t>
            </w:r>
          </w:p>
        </w:tc>
        <w:tc>
          <w:tcPr>
            <w:tcW w:w="1792" w:type="dxa"/>
          </w:tcPr>
          <w:p w14:paraId="7CEEEF43" w14:textId="77777777" w:rsidR="006B010E" w:rsidRPr="00567A85" w:rsidRDefault="006B010E" w:rsidP="006B010E">
            <w:pPr>
              <w:pStyle w:val="Table10ptalignedleft"/>
            </w:pPr>
            <w:r>
              <w:t xml:space="preserve">Cluster </w:t>
            </w:r>
            <w:r w:rsidRPr="00567A85">
              <w:t>RCT</w:t>
            </w:r>
          </w:p>
          <w:p w14:paraId="755DD7D8" w14:textId="77777777" w:rsidR="006B010E" w:rsidRPr="00567A85" w:rsidRDefault="006B010E" w:rsidP="006B010E">
            <w:pPr>
              <w:pStyle w:val="Table10ptalignedleft"/>
            </w:pPr>
            <w:r w:rsidRPr="00567A85">
              <w:t>N=80</w:t>
            </w:r>
            <w:r>
              <w:t xml:space="preserve"> (1 pharmacy)</w:t>
            </w:r>
          </w:p>
          <w:p w14:paraId="2C2E7913" w14:textId="77777777" w:rsidR="006B010E" w:rsidRPr="001756B5" w:rsidRDefault="006B010E" w:rsidP="006B010E">
            <w:pPr>
              <w:pStyle w:val="Table10ptalignedleft"/>
              <w:rPr>
                <w:szCs w:val="20"/>
              </w:rPr>
            </w:pPr>
            <w:r>
              <w:t>6 months</w:t>
            </w:r>
          </w:p>
        </w:tc>
        <w:tc>
          <w:tcPr>
            <w:tcW w:w="1967" w:type="dxa"/>
          </w:tcPr>
          <w:p w14:paraId="0DE78E45" w14:textId="77777777" w:rsidR="006B010E" w:rsidRDefault="006B010E" w:rsidP="006B010E">
            <w:pPr>
              <w:pStyle w:val="Table10ptalignedleft"/>
            </w:pPr>
            <w:r>
              <w:t>Patients ≥65 years</w:t>
            </w:r>
            <w:r w:rsidRPr="003A454B">
              <w:t>, who had fallen in the past 12 months or had a fear of f</w:t>
            </w:r>
            <w:r>
              <w:t>alling (n= 39 intervention/</w:t>
            </w:r>
            <w:r w:rsidRPr="00860BEC">
              <w:t>41 control</w:t>
            </w:r>
            <w:r>
              <w:t>)</w:t>
            </w:r>
          </w:p>
        </w:tc>
        <w:tc>
          <w:tcPr>
            <w:tcW w:w="1416" w:type="dxa"/>
          </w:tcPr>
          <w:p w14:paraId="0749A1AB" w14:textId="77777777" w:rsidR="006B010E" w:rsidRPr="00A75B2D" w:rsidRDefault="006B010E" w:rsidP="006B010E">
            <w:pPr>
              <w:pStyle w:val="Table10ptalignedleft"/>
            </w:pPr>
            <w:r>
              <w:t>Community pharmacy based medication review vs pamphlet education</w:t>
            </w:r>
          </w:p>
        </w:tc>
        <w:tc>
          <w:tcPr>
            <w:tcW w:w="5500" w:type="dxa"/>
          </w:tcPr>
          <w:p w14:paraId="2ECBE43B" w14:textId="77777777" w:rsidR="006B010E" w:rsidRDefault="006B010E" w:rsidP="006B010E">
            <w:pPr>
              <w:pStyle w:val="Table10ptalignedleft"/>
            </w:pPr>
            <w:r>
              <w:t>FRID use</w:t>
            </w:r>
          </w:p>
          <w:p w14:paraId="5EFF6D5E" w14:textId="77777777" w:rsidR="006B010E" w:rsidRDefault="006B010E" w:rsidP="006B010E">
            <w:pPr>
              <w:pStyle w:val="Table10ptbullet"/>
              <w:numPr>
                <w:ilvl w:val="0"/>
                <w:numId w:val="2"/>
              </w:numPr>
              <w:ind w:left="227" w:hanging="227"/>
              <w:rPr>
                <w:rFonts w:eastAsiaTheme="minorHAnsi" w:cstheme="minorBidi"/>
                <w:sz w:val="18"/>
              </w:rPr>
            </w:pPr>
            <w:r w:rsidRPr="00A87F23">
              <w:rPr>
                <w:rFonts w:eastAsiaTheme="minorHAnsi" w:cstheme="minorBidi"/>
                <w:sz w:val="18"/>
              </w:rPr>
              <w:t>77% and 28%, respectively; p&lt; 0.05</w:t>
            </w:r>
          </w:p>
          <w:p w14:paraId="0813A95C" w14:textId="77777777" w:rsidR="006B010E" w:rsidRDefault="006B010E" w:rsidP="006B010E">
            <w:pPr>
              <w:pStyle w:val="Table10ptalignedleft"/>
            </w:pPr>
            <w:r>
              <w:t>Falls</w:t>
            </w:r>
          </w:p>
          <w:p w14:paraId="7554EBB6" w14:textId="01343EA9" w:rsidR="006B010E" w:rsidRPr="00A87F23" w:rsidRDefault="006B010E" w:rsidP="006B010E">
            <w:pPr>
              <w:pStyle w:val="Table10ptbullet"/>
              <w:numPr>
                <w:ilvl w:val="0"/>
                <w:numId w:val="2"/>
              </w:numPr>
              <w:ind w:left="227" w:hanging="227"/>
              <w:rPr>
                <w:rFonts w:eastAsiaTheme="minorHAnsi" w:cstheme="minorBidi"/>
                <w:sz w:val="18"/>
              </w:rPr>
            </w:pPr>
            <w:r w:rsidRPr="00A87F23">
              <w:rPr>
                <w:rFonts w:eastAsiaTheme="minorHAnsi" w:cstheme="minorBidi"/>
                <w:sz w:val="18"/>
              </w:rPr>
              <w:t>subjects who fell dur</w:t>
            </w:r>
            <w:r>
              <w:rPr>
                <w:rFonts w:eastAsiaTheme="minorHAnsi" w:cstheme="minorBidi"/>
                <w:sz w:val="18"/>
              </w:rPr>
              <w:t>ing the post</w:t>
            </w:r>
            <w:r w:rsidR="005A297C">
              <w:rPr>
                <w:rFonts w:eastAsiaTheme="minorHAnsi" w:cstheme="minorBidi"/>
                <w:sz w:val="18"/>
              </w:rPr>
              <w:t>-intervention</w:t>
            </w:r>
            <w:r>
              <w:rPr>
                <w:rFonts w:eastAsiaTheme="minorHAnsi" w:cstheme="minorBidi"/>
                <w:sz w:val="18"/>
              </w:rPr>
              <w:t xml:space="preserve"> period: 11/39 (28.2%) vs </w:t>
            </w:r>
            <w:r w:rsidRPr="00A87F23">
              <w:rPr>
                <w:rFonts w:eastAsiaTheme="minorHAnsi" w:cstheme="minorBidi"/>
                <w:sz w:val="18"/>
              </w:rPr>
              <w:t>10/41 (24.4%)</w:t>
            </w:r>
          </w:p>
        </w:tc>
        <w:tc>
          <w:tcPr>
            <w:tcW w:w="2658" w:type="dxa"/>
          </w:tcPr>
          <w:p w14:paraId="55E39549" w14:textId="77777777" w:rsidR="006B010E" w:rsidRDefault="006B010E" w:rsidP="006B010E">
            <w:pPr>
              <w:spacing w:after="0"/>
              <w:rPr>
                <w:sz w:val="20"/>
              </w:rPr>
            </w:pPr>
            <w:r>
              <w:rPr>
                <w:sz w:val="20"/>
              </w:rPr>
              <w:t>M</w:t>
            </w:r>
            <w:r w:rsidRPr="00A87F23">
              <w:rPr>
                <w:sz w:val="20"/>
              </w:rPr>
              <w:t>edication review</w:t>
            </w:r>
            <w:r>
              <w:rPr>
                <w:sz w:val="20"/>
              </w:rPr>
              <w:t>s</w:t>
            </w:r>
            <w:r w:rsidRPr="00A87F23">
              <w:rPr>
                <w:sz w:val="20"/>
              </w:rPr>
              <w:t xml:space="preserve"> provided by a community pharmacist that focused on FRID use among older adults was effective in modifying FRID use. However, a decrease in the use of FRID did not result in a decrease in falls, likely because the cause of falls in the elderly is multifaceted and </w:t>
            </w:r>
            <w:r>
              <w:rPr>
                <w:sz w:val="20"/>
              </w:rPr>
              <w:t>not entirely caused by FRID use</w:t>
            </w:r>
          </w:p>
        </w:tc>
      </w:tr>
      <w:tr w:rsidR="006B010E" w:rsidRPr="00623AA1" w14:paraId="37D06267" w14:textId="77777777" w:rsidTr="00626A83">
        <w:trPr>
          <w:trHeight w:val="3140"/>
        </w:trPr>
        <w:tc>
          <w:tcPr>
            <w:tcW w:w="1227" w:type="dxa"/>
          </w:tcPr>
          <w:p w14:paraId="19F33F87" w14:textId="77777777" w:rsidR="006B010E" w:rsidRPr="002B7D42" w:rsidRDefault="006B010E" w:rsidP="006B010E">
            <w:pPr>
              <w:pStyle w:val="Table10ptalignedleft"/>
            </w:pPr>
            <w:r w:rsidRPr="002B7D42">
              <w:lastRenderedPageBreak/>
              <w:t>Basheti (2016)</w:t>
            </w:r>
          </w:p>
          <w:p w14:paraId="23D8E4B4" w14:textId="77777777" w:rsidR="006B010E" w:rsidRPr="00623AA1" w:rsidRDefault="006B010E" w:rsidP="006B010E">
            <w:pPr>
              <w:pStyle w:val="Table10ptalignedleft"/>
            </w:pPr>
            <w:r w:rsidRPr="002B7D42">
              <w:t>Jordan</w:t>
            </w:r>
          </w:p>
        </w:tc>
        <w:tc>
          <w:tcPr>
            <w:tcW w:w="1792" w:type="dxa"/>
          </w:tcPr>
          <w:p w14:paraId="52CA8BE1" w14:textId="77777777" w:rsidR="006B010E" w:rsidRPr="002B7D42" w:rsidRDefault="006B010E" w:rsidP="006B010E">
            <w:pPr>
              <w:pStyle w:val="Table10ptalignedleft"/>
            </w:pPr>
            <w:r w:rsidRPr="002B7D42">
              <w:t>RCT</w:t>
            </w:r>
          </w:p>
          <w:p w14:paraId="3F65234F" w14:textId="77777777" w:rsidR="006B010E" w:rsidRDefault="006B010E" w:rsidP="006B010E">
            <w:pPr>
              <w:pStyle w:val="Table10ptalignedleft"/>
            </w:pPr>
            <w:r>
              <w:t>N=16</w:t>
            </w:r>
            <w:r w:rsidRPr="002B7D42">
              <w:t>0</w:t>
            </w:r>
            <w:r>
              <w:t xml:space="preserve"> (2 community pharmacies)</w:t>
            </w:r>
          </w:p>
          <w:p w14:paraId="26086F1C" w14:textId="77777777" w:rsidR="006B010E" w:rsidRDefault="006B010E" w:rsidP="006B010E">
            <w:pPr>
              <w:pStyle w:val="Table10ptalignedleft"/>
            </w:pPr>
            <w:r>
              <w:t>9 months</w:t>
            </w:r>
          </w:p>
          <w:p w14:paraId="2C9B3DBF" w14:textId="77777777" w:rsidR="006B010E" w:rsidRPr="00623AA1" w:rsidRDefault="006B010E" w:rsidP="006B010E">
            <w:pPr>
              <w:pStyle w:val="Table10ptalignedleft"/>
            </w:pPr>
            <w:r>
              <w:t>(patients followed for average of 3.4 months)</w:t>
            </w:r>
          </w:p>
        </w:tc>
        <w:tc>
          <w:tcPr>
            <w:tcW w:w="1967" w:type="dxa"/>
          </w:tcPr>
          <w:p w14:paraId="5A9C812E" w14:textId="77777777" w:rsidR="006B010E" w:rsidRPr="00623AA1" w:rsidRDefault="006B010E" w:rsidP="006B010E">
            <w:pPr>
              <w:pStyle w:val="Table10ptalignedleft"/>
            </w:pPr>
            <w:r w:rsidRPr="00623AA1">
              <w:t>Patients &gt;18 years, with at least one chronic medical condition, and prescribed ≥3</w:t>
            </w:r>
          </w:p>
          <w:p w14:paraId="4114B5C6" w14:textId="77777777" w:rsidR="006B010E" w:rsidRPr="00623AA1" w:rsidRDefault="006B010E" w:rsidP="006B010E">
            <w:pPr>
              <w:pStyle w:val="Table10ptalignedleft"/>
            </w:pPr>
            <w:r>
              <w:t xml:space="preserve">Medications </w:t>
            </w:r>
            <w:r w:rsidRPr="00623AA1">
              <w:t>(n=82 intervention/78 control)</w:t>
            </w:r>
          </w:p>
        </w:tc>
        <w:tc>
          <w:tcPr>
            <w:tcW w:w="1416" w:type="dxa"/>
          </w:tcPr>
          <w:p w14:paraId="528E54A1" w14:textId="77777777" w:rsidR="006B010E" w:rsidRPr="00623AA1" w:rsidRDefault="006B010E" w:rsidP="006B010E">
            <w:pPr>
              <w:pStyle w:val="Table10ptalignedleft"/>
            </w:pPr>
            <w:r>
              <w:t>Community pharmacy based medication review vs GP care</w:t>
            </w:r>
          </w:p>
        </w:tc>
        <w:tc>
          <w:tcPr>
            <w:tcW w:w="5500" w:type="dxa"/>
          </w:tcPr>
          <w:p w14:paraId="39518D50" w14:textId="77777777" w:rsidR="006B010E" w:rsidRPr="00F94D9C" w:rsidRDefault="006B010E" w:rsidP="006B010E">
            <w:pPr>
              <w:pStyle w:val="Table10ptalignedleft"/>
            </w:pPr>
            <w:r w:rsidRPr="00F94D9C">
              <w:t>TRPs</w:t>
            </w:r>
          </w:p>
          <w:p w14:paraId="08A71453" w14:textId="77777777" w:rsidR="006B010E" w:rsidRPr="00E8091A" w:rsidRDefault="006B010E" w:rsidP="006B010E">
            <w:pPr>
              <w:pStyle w:val="Table10ptbullet"/>
              <w:numPr>
                <w:ilvl w:val="0"/>
                <w:numId w:val="2"/>
              </w:numPr>
              <w:ind w:left="227" w:hanging="227"/>
              <w:rPr>
                <w:rFonts w:eastAsiaTheme="minorHAnsi" w:cstheme="minorBidi"/>
                <w:sz w:val="18"/>
              </w:rPr>
            </w:pPr>
            <w:r w:rsidRPr="00E8091A">
              <w:rPr>
                <w:rFonts w:eastAsiaTheme="minorHAnsi" w:cstheme="minorBidi"/>
                <w:sz w:val="18"/>
              </w:rPr>
              <w:t>70% resolved or improved compared with 2% in the control group (p&lt;0.001)</w:t>
            </w:r>
          </w:p>
          <w:p w14:paraId="0CC37AF7" w14:textId="77777777" w:rsidR="006B010E" w:rsidRPr="00F94D9C" w:rsidRDefault="006B010E" w:rsidP="006B010E">
            <w:pPr>
              <w:pStyle w:val="Table10ptalignedleft"/>
            </w:pPr>
            <w:r w:rsidRPr="00F94D9C">
              <w:t>Glucose levels</w:t>
            </w:r>
          </w:p>
          <w:p w14:paraId="4250FBCB" w14:textId="77777777" w:rsidR="006B010E" w:rsidRPr="00E8091A" w:rsidRDefault="006B010E" w:rsidP="006B010E">
            <w:pPr>
              <w:pStyle w:val="Table10ptbullet"/>
              <w:numPr>
                <w:ilvl w:val="0"/>
                <w:numId w:val="2"/>
              </w:numPr>
              <w:ind w:left="227" w:hanging="227"/>
              <w:rPr>
                <w:rFonts w:eastAsiaTheme="minorHAnsi" w:cstheme="minorBidi"/>
                <w:sz w:val="18"/>
              </w:rPr>
            </w:pPr>
            <w:r w:rsidRPr="00E8091A">
              <w:rPr>
                <w:rFonts w:eastAsiaTheme="minorHAnsi" w:cstheme="minorBidi"/>
                <w:sz w:val="18"/>
              </w:rPr>
              <w:t>99.08 ± 9.66 vs 115.48 ± 17.34; p&lt;0.001</w:t>
            </w:r>
          </w:p>
          <w:p w14:paraId="37D87F13" w14:textId="77777777" w:rsidR="006B010E" w:rsidRPr="00F94D9C" w:rsidRDefault="006B010E" w:rsidP="006B010E">
            <w:pPr>
              <w:pStyle w:val="Table10ptalignedleft"/>
            </w:pPr>
            <w:r w:rsidRPr="00F94D9C">
              <w:t xml:space="preserve">Blood pressure </w:t>
            </w:r>
          </w:p>
          <w:p w14:paraId="078FDE10" w14:textId="77777777" w:rsidR="006B010E" w:rsidRPr="00E8091A" w:rsidRDefault="006B010E" w:rsidP="006B010E">
            <w:pPr>
              <w:pStyle w:val="Table10ptbullet"/>
              <w:numPr>
                <w:ilvl w:val="0"/>
                <w:numId w:val="2"/>
              </w:numPr>
              <w:ind w:left="227" w:hanging="227"/>
              <w:rPr>
                <w:rFonts w:eastAsiaTheme="minorHAnsi" w:cstheme="minorBidi"/>
                <w:sz w:val="18"/>
              </w:rPr>
            </w:pPr>
            <w:r w:rsidRPr="00E8091A">
              <w:rPr>
                <w:rFonts w:eastAsiaTheme="minorHAnsi" w:cstheme="minorBidi"/>
                <w:sz w:val="18"/>
              </w:rPr>
              <w:t>110.36/81.55 ± 9.45/3.91 vs 125.0/88.73 ± 10.34/4.12: p&lt;0.001</w:t>
            </w:r>
          </w:p>
          <w:p w14:paraId="3546BD57" w14:textId="77777777" w:rsidR="006B010E" w:rsidRPr="00F94D9C" w:rsidRDefault="006B010E" w:rsidP="006B010E">
            <w:pPr>
              <w:pStyle w:val="Table10ptalignedleft"/>
            </w:pPr>
            <w:r w:rsidRPr="00F94D9C">
              <w:t xml:space="preserve">Triglyceride levels </w:t>
            </w:r>
          </w:p>
          <w:p w14:paraId="75DA8EEA" w14:textId="77777777" w:rsidR="006B010E" w:rsidRPr="00F94D9C" w:rsidRDefault="006B010E" w:rsidP="006B010E">
            <w:pPr>
              <w:pStyle w:val="Table10ptbullet"/>
              <w:numPr>
                <w:ilvl w:val="0"/>
                <w:numId w:val="2"/>
              </w:numPr>
              <w:ind w:left="227" w:hanging="227"/>
              <w:rPr>
                <w:rFonts w:eastAsiaTheme="minorHAnsi" w:cstheme="minorBidi"/>
                <w:sz w:val="18"/>
              </w:rPr>
            </w:pPr>
            <w:r w:rsidRPr="00E8091A">
              <w:rPr>
                <w:rFonts w:eastAsiaTheme="minorHAnsi" w:cstheme="minorBidi"/>
                <w:sz w:val="18"/>
              </w:rPr>
              <w:t>148.53 ± 15.98 vs 170.74 ± 6.26: p=0.001</w:t>
            </w:r>
          </w:p>
          <w:p w14:paraId="5CA99ED1" w14:textId="77777777" w:rsidR="006B010E" w:rsidRPr="00F94D9C" w:rsidRDefault="006B010E" w:rsidP="006B010E">
            <w:pPr>
              <w:pStyle w:val="Table10ptalignedleft"/>
            </w:pPr>
            <w:r w:rsidRPr="00F94D9C">
              <w:t>Recommendations acceptance rate</w:t>
            </w:r>
          </w:p>
          <w:p w14:paraId="723EA2D9" w14:textId="77777777" w:rsidR="006B010E" w:rsidRPr="00623AA1" w:rsidRDefault="006B010E" w:rsidP="006B010E">
            <w:pPr>
              <w:pStyle w:val="Table10ptbullet"/>
              <w:numPr>
                <w:ilvl w:val="0"/>
                <w:numId w:val="2"/>
              </w:numPr>
              <w:ind w:left="227" w:hanging="227"/>
            </w:pPr>
            <w:r w:rsidRPr="00F94D9C">
              <w:rPr>
                <w:rFonts w:eastAsiaTheme="minorHAnsi" w:cstheme="minorBidi"/>
                <w:sz w:val="18"/>
              </w:rPr>
              <w:t>94% of pharmacists’ recommendations were accepted by the physicians</w:t>
            </w:r>
          </w:p>
        </w:tc>
        <w:tc>
          <w:tcPr>
            <w:tcW w:w="2658" w:type="dxa"/>
          </w:tcPr>
          <w:p w14:paraId="67FA4063" w14:textId="77777777" w:rsidR="006B010E" w:rsidRPr="00E8091A" w:rsidRDefault="006B010E" w:rsidP="006B010E">
            <w:pPr>
              <w:spacing w:after="0"/>
              <w:rPr>
                <w:sz w:val="20"/>
              </w:rPr>
            </w:pPr>
            <w:r>
              <w:rPr>
                <w:sz w:val="20"/>
              </w:rPr>
              <w:t>MedsCheck</w:t>
            </w:r>
            <w:r w:rsidRPr="00E8091A">
              <w:rPr>
                <w:sz w:val="20"/>
              </w:rPr>
              <w:t xml:space="preserve"> resulted in a significantly lower number of TRPs and significantly</w:t>
            </w:r>
          </w:p>
          <w:p w14:paraId="068502FD" w14:textId="77777777" w:rsidR="006B010E" w:rsidRPr="00623AA1" w:rsidRDefault="006B010E" w:rsidP="006B010E">
            <w:pPr>
              <w:spacing w:after="0"/>
              <w:rPr>
                <w:sz w:val="20"/>
              </w:rPr>
            </w:pPr>
            <w:r w:rsidRPr="00E8091A">
              <w:rPr>
                <w:sz w:val="20"/>
              </w:rPr>
              <w:t>improved clinical outcomes, and it was highly accepted by the physicians</w:t>
            </w:r>
          </w:p>
        </w:tc>
      </w:tr>
      <w:tr w:rsidR="006B010E" w:rsidRPr="00623AA1" w14:paraId="5477851C" w14:textId="77777777" w:rsidTr="00626A83">
        <w:trPr>
          <w:cnfStyle w:val="000000010000" w:firstRow="0" w:lastRow="0" w:firstColumn="0" w:lastColumn="0" w:oddVBand="0" w:evenVBand="0" w:oddHBand="0" w:evenHBand="1" w:firstRowFirstColumn="0" w:firstRowLastColumn="0" w:lastRowFirstColumn="0" w:lastRowLastColumn="0"/>
        </w:trPr>
        <w:tc>
          <w:tcPr>
            <w:tcW w:w="1227" w:type="dxa"/>
          </w:tcPr>
          <w:p w14:paraId="505BCFA0" w14:textId="77777777" w:rsidR="006B010E" w:rsidRDefault="006B010E" w:rsidP="006B010E">
            <w:pPr>
              <w:pStyle w:val="Table10ptalignedleft"/>
            </w:pPr>
            <w:r>
              <w:t>Ocampo (2015)</w:t>
            </w:r>
          </w:p>
          <w:p w14:paraId="6D390E88" w14:textId="77777777" w:rsidR="006B010E" w:rsidRDefault="006B010E" w:rsidP="006B010E">
            <w:pPr>
              <w:pStyle w:val="Table10ptalignedleft"/>
            </w:pPr>
            <w:r>
              <w:t>Spain</w:t>
            </w:r>
          </w:p>
        </w:tc>
        <w:tc>
          <w:tcPr>
            <w:tcW w:w="1792" w:type="dxa"/>
          </w:tcPr>
          <w:p w14:paraId="40EF5657" w14:textId="77777777" w:rsidR="006B010E" w:rsidRDefault="006B010E" w:rsidP="006B010E">
            <w:pPr>
              <w:pStyle w:val="Table10ptalignedleft"/>
            </w:pPr>
            <w:r>
              <w:t xml:space="preserve">Observational study, pre- post-design </w:t>
            </w:r>
          </w:p>
          <w:p w14:paraId="38D026D7" w14:textId="77777777" w:rsidR="006B010E" w:rsidRPr="0031734C" w:rsidRDefault="006B010E" w:rsidP="006B010E">
            <w:pPr>
              <w:pStyle w:val="Table10ptalignedleft"/>
            </w:pPr>
            <w:r w:rsidRPr="0031734C">
              <w:t>N=</w:t>
            </w:r>
            <w:r>
              <w:t>1</w:t>
            </w:r>
            <w:r w:rsidRPr="0031734C">
              <w:t>3</w:t>
            </w:r>
            <w:r>
              <w:t>2 (1 pharmacy)</w:t>
            </w:r>
          </w:p>
          <w:p w14:paraId="246EDAC7" w14:textId="77777777" w:rsidR="006B010E" w:rsidRDefault="006B010E" w:rsidP="006B010E">
            <w:pPr>
              <w:pStyle w:val="03Tabletextspacebefore"/>
              <w:spacing w:before="20"/>
            </w:pPr>
            <w:r>
              <w:t>18 months</w:t>
            </w:r>
          </w:p>
        </w:tc>
        <w:tc>
          <w:tcPr>
            <w:tcW w:w="1967" w:type="dxa"/>
          </w:tcPr>
          <w:p w14:paraId="4BCBC182" w14:textId="77777777" w:rsidR="006B010E" w:rsidRDefault="006B010E" w:rsidP="006B010E">
            <w:pPr>
              <w:pStyle w:val="Table10ptalignedleft"/>
            </w:pPr>
            <w:r w:rsidRPr="00313F28">
              <w:t>Patients prescribed at least one medicine</w:t>
            </w:r>
          </w:p>
        </w:tc>
        <w:tc>
          <w:tcPr>
            <w:tcW w:w="1416" w:type="dxa"/>
          </w:tcPr>
          <w:p w14:paraId="62CB816D" w14:textId="77777777" w:rsidR="006B010E" w:rsidRDefault="006B010E" w:rsidP="006B010E">
            <w:pPr>
              <w:pStyle w:val="Table10ptalignedleft"/>
            </w:pPr>
            <w:r>
              <w:t>Pre- vs post-medication review</w:t>
            </w:r>
          </w:p>
          <w:p w14:paraId="34310D56" w14:textId="77777777" w:rsidR="006B010E" w:rsidRPr="00900696" w:rsidRDefault="006B010E" w:rsidP="006B010E">
            <w:pPr>
              <w:pStyle w:val="Table10ptalignedleft"/>
            </w:pPr>
            <w:r>
              <w:t>(baseline vs 18-month follow-up)</w:t>
            </w:r>
          </w:p>
        </w:tc>
        <w:tc>
          <w:tcPr>
            <w:tcW w:w="5500" w:type="dxa"/>
          </w:tcPr>
          <w:p w14:paraId="58D974CE" w14:textId="77777777" w:rsidR="006B010E" w:rsidRDefault="006B010E" w:rsidP="006B010E">
            <w:pPr>
              <w:pStyle w:val="Table10ptalignedleft"/>
            </w:pPr>
            <w:r>
              <w:t>Medication-related problems</w:t>
            </w:r>
          </w:p>
          <w:p w14:paraId="2962F780" w14:textId="77777777" w:rsidR="006B010E" w:rsidRPr="00DC68D0"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66</w:t>
            </w:r>
            <w:r w:rsidRPr="00A657A3">
              <w:rPr>
                <w:rFonts w:eastAsiaTheme="minorHAnsi" w:cstheme="minorBidi"/>
                <w:sz w:val="18"/>
              </w:rPr>
              <w:t>% (393/</w:t>
            </w:r>
            <w:r>
              <w:rPr>
                <w:rFonts w:eastAsiaTheme="minorHAnsi" w:cstheme="minorBidi"/>
                <w:sz w:val="18"/>
              </w:rPr>
              <w:t>593</w:t>
            </w:r>
            <w:r w:rsidRPr="00A657A3">
              <w:rPr>
                <w:rFonts w:eastAsiaTheme="minorHAnsi" w:cstheme="minorBidi"/>
                <w:sz w:val="18"/>
              </w:rPr>
              <w:t>) were resolved post-medication review</w:t>
            </w:r>
          </w:p>
          <w:p w14:paraId="54BDBC38" w14:textId="77777777" w:rsidR="006B010E" w:rsidRPr="00A657A3" w:rsidRDefault="006B010E" w:rsidP="006B010E">
            <w:pPr>
              <w:pStyle w:val="Table10ptalignedleft"/>
            </w:pPr>
            <w:r>
              <w:t>N</w:t>
            </w:r>
            <w:r w:rsidRPr="00A657A3">
              <w:t>umber of medicines</w:t>
            </w:r>
          </w:p>
          <w:p w14:paraId="0DEA9E91" w14:textId="77777777" w:rsidR="006B010E" w:rsidRDefault="006B010E" w:rsidP="006B010E">
            <w:pPr>
              <w:pStyle w:val="Table10ptbullet"/>
              <w:numPr>
                <w:ilvl w:val="0"/>
                <w:numId w:val="2"/>
              </w:numPr>
              <w:ind w:left="227" w:hanging="227"/>
              <w:rPr>
                <w:rFonts w:eastAsiaTheme="minorHAnsi" w:cstheme="minorBidi"/>
                <w:sz w:val="18"/>
              </w:rPr>
            </w:pPr>
            <w:r w:rsidRPr="00A657A3">
              <w:rPr>
                <w:rFonts w:eastAsiaTheme="minorHAnsi" w:cstheme="minorBidi"/>
                <w:sz w:val="18"/>
              </w:rPr>
              <w:t>decreased from 6.1 (SD: 2.9) to 3.3 (SD: 2.2) (p value not reported</w:t>
            </w:r>
          </w:p>
          <w:p w14:paraId="7CD1DB91" w14:textId="77777777" w:rsidR="006B010E" w:rsidRPr="00A657A3" w:rsidRDefault="006B010E" w:rsidP="006B010E">
            <w:pPr>
              <w:pStyle w:val="Table10ptalignedleft"/>
              <w:rPr>
                <w:rFonts w:eastAsiaTheme="minorHAnsi" w:cstheme="minorBidi"/>
                <w:sz w:val="18"/>
              </w:rPr>
            </w:pPr>
            <w:r>
              <w:t>H</w:t>
            </w:r>
            <w:r w:rsidRPr="00A657A3">
              <w:t>ospital admissions</w:t>
            </w:r>
          </w:p>
          <w:p w14:paraId="19E1410A" w14:textId="77777777" w:rsidR="006B010E" w:rsidRPr="00A657A3"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4 vs 12 (</w:t>
            </w:r>
            <w:r w:rsidRPr="00A657A3">
              <w:rPr>
                <w:rFonts w:eastAsiaTheme="minorHAnsi" w:cstheme="minorBidi"/>
                <w:sz w:val="18"/>
              </w:rPr>
              <w:t>OR</w:t>
            </w:r>
            <w:r>
              <w:rPr>
                <w:rFonts w:eastAsiaTheme="minorHAnsi" w:cstheme="minorBidi"/>
                <w:sz w:val="18"/>
              </w:rPr>
              <w:t xml:space="preserve"> 0.31, </w:t>
            </w:r>
            <w:r w:rsidRPr="00A657A3">
              <w:rPr>
                <w:rFonts w:eastAsiaTheme="minorHAnsi" w:cstheme="minorBidi"/>
                <w:sz w:val="18"/>
              </w:rPr>
              <w:t>95 %</w:t>
            </w:r>
            <w:r>
              <w:rPr>
                <w:rFonts w:eastAsiaTheme="minorHAnsi" w:cstheme="minorBidi"/>
                <w:sz w:val="18"/>
              </w:rPr>
              <w:t xml:space="preserve"> CI</w:t>
            </w:r>
            <w:r w:rsidRPr="00A657A3">
              <w:rPr>
                <w:rFonts w:eastAsiaTheme="minorHAnsi" w:cstheme="minorBidi"/>
                <w:sz w:val="18"/>
              </w:rPr>
              <w:t xml:space="preserve"> 0.10–0.99</w:t>
            </w:r>
            <w:r>
              <w:rPr>
                <w:rFonts w:eastAsiaTheme="minorHAnsi" w:cstheme="minorBidi"/>
                <w:sz w:val="18"/>
              </w:rPr>
              <w:t>; p=0.039</w:t>
            </w:r>
            <w:r w:rsidRPr="00A657A3">
              <w:rPr>
                <w:rFonts w:eastAsiaTheme="minorHAnsi" w:cstheme="minorBidi"/>
                <w:sz w:val="18"/>
              </w:rPr>
              <w:t>)</w:t>
            </w:r>
          </w:p>
          <w:p w14:paraId="7188DDBE" w14:textId="77777777" w:rsidR="006B010E" w:rsidRPr="00A657A3" w:rsidRDefault="006B010E" w:rsidP="006B010E">
            <w:pPr>
              <w:pStyle w:val="Table10ptalignedleft"/>
            </w:pPr>
            <w:r w:rsidRPr="00A657A3">
              <w:t>ED visits</w:t>
            </w:r>
          </w:p>
          <w:p w14:paraId="2AAFBC4F" w14:textId="77777777" w:rsidR="006B010E" w:rsidRPr="00A83562" w:rsidRDefault="006B010E" w:rsidP="006B010E">
            <w:pPr>
              <w:pStyle w:val="Table10ptbullet"/>
              <w:numPr>
                <w:ilvl w:val="0"/>
                <w:numId w:val="2"/>
              </w:numPr>
              <w:ind w:left="227" w:hanging="227"/>
            </w:pPr>
            <w:r>
              <w:rPr>
                <w:rFonts w:eastAsiaTheme="minorHAnsi" w:cstheme="minorBidi"/>
                <w:sz w:val="18"/>
              </w:rPr>
              <w:t>3 vs 17 (</w:t>
            </w:r>
            <w:r w:rsidRPr="00A657A3">
              <w:rPr>
                <w:rFonts w:eastAsiaTheme="minorHAnsi" w:cstheme="minorBidi"/>
                <w:sz w:val="18"/>
              </w:rPr>
              <w:t xml:space="preserve">OR </w:t>
            </w:r>
            <w:r>
              <w:rPr>
                <w:rFonts w:eastAsiaTheme="minorHAnsi" w:cstheme="minorBidi"/>
                <w:sz w:val="18"/>
              </w:rPr>
              <w:t>0.16, 95</w:t>
            </w:r>
            <w:r w:rsidRPr="00A657A3">
              <w:rPr>
                <w:rFonts w:eastAsiaTheme="minorHAnsi" w:cstheme="minorBidi"/>
                <w:sz w:val="18"/>
              </w:rPr>
              <w:t>%</w:t>
            </w:r>
            <w:r>
              <w:rPr>
                <w:rFonts w:eastAsiaTheme="minorHAnsi" w:cstheme="minorBidi"/>
                <w:sz w:val="18"/>
              </w:rPr>
              <w:t xml:space="preserve"> CI 0.05–0.55</w:t>
            </w:r>
            <w:r w:rsidRPr="00A657A3">
              <w:rPr>
                <w:rFonts w:eastAsiaTheme="minorHAnsi" w:cstheme="minorBidi"/>
                <w:sz w:val="18"/>
              </w:rPr>
              <w:t>; p = 0.001</w:t>
            </w:r>
            <w:r>
              <w:rPr>
                <w:rFonts w:eastAsiaTheme="minorHAnsi" w:cstheme="minorBidi"/>
                <w:sz w:val="18"/>
              </w:rPr>
              <w:t>)</w:t>
            </w:r>
          </w:p>
          <w:p w14:paraId="32D7E6F6" w14:textId="77777777" w:rsidR="006B010E" w:rsidRPr="00A83562" w:rsidRDefault="006B010E" w:rsidP="006B010E">
            <w:pPr>
              <w:pStyle w:val="Table10ptalignedleft"/>
            </w:pPr>
            <w:r>
              <w:t>QoL</w:t>
            </w:r>
          </w:p>
          <w:p w14:paraId="1FC4310E" w14:textId="696A2593" w:rsidR="006B010E" w:rsidRDefault="006B010E" w:rsidP="00E13538">
            <w:pPr>
              <w:pStyle w:val="Table10ptbullet"/>
              <w:numPr>
                <w:ilvl w:val="0"/>
                <w:numId w:val="2"/>
              </w:numPr>
              <w:ind w:left="227" w:hanging="227"/>
            </w:pPr>
            <w:r w:rsidRPr="00E13538">
              <w:rPr>
                <w:rFonts w:eastAsiaTheme="minorHAnsi" w:cstheme="minorBidi"/>
                <w:sz w:val="18"/>
              </w:rPr>
              <w:t>construct</w:t>
            </w:r>
            <w:r>
              <w:t xml:space="preserve"> health </w:t>
            </w:r>
            <w:r w:rsidR="00FD3850">
              <w:t xml:space="preserve">transition: mean increase: 30.7 </w:t>
            </w:r>
            <w:r>
              <w:t>(SD: 25.4)</w:t>
            </w:r>
            <w:r w:rsidR="00FD3850">
              <w:t>)</w:t>
            </w:r>
          </w:p>
          <w:p w14:paraId="449A96B7" w14:textId="365FE1BC" w:rsidR="006B010E" w:rsidRDefault="00FD3850" w:rsidP="006B010E">
            <w:pPr>
              <w:pStyle w:val="16TabletextBullet"/>
            </w:pPr>
            <w:r>
              <w:t xml:space="preserve">bodily pain: </w:t>
            </w:r>
            <w:r w:rsidR="006B010E">
              <w:t xml:space="preserve">mean increase: 22.3 (SD: 25.4) </w:t>
            </w:r>
          </w:p>
          <w:p w14:paraId="7994BFE5" w14:textId="00C97836" w:rsidR="006B010E" w:rsidRDefault="00FD3850" w:rsidP="006B010E">
            <w:pPr>
              <w:pStyle w:val="16TabletextBullet"/>
            </w:pPr>
            <w:r>
              <w:t xml:space="preserve">general health: </w:t>
            </w:r>
            <w:r w:rsidR="006B010E">
              <w:t>mean increase: 20.7 (SD: 23.7)</w:t>
            </w:r>
          </w:p>
        </w:tc>
        <w:tc>
          <w:tcPr>
            <w:tcW w:w="2658" w:type="dxa"/>
          </w:tcPr>
          <w:p w14:paraId="4986D3C8" w14:textId="0E92FEEA" w:rsidR="006B010E" w:rsidRDefault="006B010E" w:rsidP="006B010E">
            <w:pPr>
              <w:spacing w:after="0"/>
              <w:rPr>
                <w:sz w:val="20"/>
              </w:rPr>
            </w:pPr>
            <w:r>
              <w:rPr>
                <w:sz w:val="20"/>
              </w:rPr>
              <w:t xml:space="preserve">A </w:t>
            </w:r>
            <w:r w:rsidRPr="00B846FB">
              <w:rPr>
                <w:sz w:val="20"/>
              </w:rPr>
              <w:t>comm</w:t>
            </w:r>
            <w:r>
              <w:rPr>
                <w:sz w:val="20"/>
              </w:rPr>
              <w:t xml:space="preserve">unity pharmacy based medication </w:t>
            </w:r>
            <w:r w:rsidRPr="00B846FB">
              <w:rPr>
                <w:sz w:val="20"/>
              </w:rPr>
              <w:t>review with follow-up</w:t>
            </w:r>
            <w:r>
              <w:rPr>
                <w:sz w:val="20"/>
              </w:rPr>
              <w:t xml:space="preserve"> service delivered by a trained pharmacist resulted in reduction of the number of medicines, hospital and</w:t>
            </w:r>
            <w:r w:rsidR="00F333E2">
              <w:rPr>
                <w:sz w:val="20"/>
              </w:rPr>
              <w:t xml:space="preserve"> ED admissions and improved QoL</w:t>
            </w:r>
          </w:p>
        </w:tc>
      </w:tr>
      <w:tr w:rsidR="006B010E" w:rsidRPr="00623AA1" w14:paraId="7628C572" w14:textId="77777777" w:rsidTr="00626A83">
        <w:tc>
          <w:tcPr>
            <w:tcW w:w="1227" w:type="dxa"/>
          </w:tcPr>
          <w:p w14:paraId="083A5AC4" w14:textId="77777777" w:rsidR="006B010E" w:rsidRPr="002B7D42" w:rsidRDefault="006B010E" w:rsidP="006B010E">
            <w:pPr>
              <w:pStyle w:val="Table10ptalignedleft"/>
            </w:pPr>
            <w:r>
              <w:t>Malet-Larrea (2016) Spain</w:t>
            </w:r>
          </w:p>
        </w:tc>
        <w:tc>
          <w:tcPr>
            <w:tcW w:w="1792" w:type="dxa"/>
          </w:tcPr>
          <w:p w14:paraId="41B8D1A4" w14:textId="77777777" w:rsidR="006B010E" w:rsidRPr="00125070" w:rsidRDefault="006B010E" w:rsidP="006B010E">
            <w:pPr>
              <w:pStyle w:val="Table10ptalignedleft"/>
              <w:rPr>
                <w:vertAlign w:val="superscript"/>
              </w:rPr>
            </w:pPr>
            <w:r>
              <w:t>Retrospective sub-analysis of the conSIGUE cluster RCT by Martinez-Martinez et al (2015; Spanish)</w:t>
            </w:r>
            <w:r>
              <w:rPr>
                <w:vertAlign w:val="superscript"/>
              </w:rPr>
              <w:t>a</w:t>
            </w:r>
          </w:p>
          <w:p w14:paraId="6A4F6282" w14:textId="77777777" w:rsidR="006B010E" w:rsidRPr="002B7D42" w:rsidRDefault="006B010E" w:rsidP="006B010E">
            <w:pPr>
              <w:pStyle w:val="Table10ptalignedleft"/>
            </w:pPr>
            <w:r>
              <w:t>N=42 medication-related hospitalisations</w:t>
            </w:r>
          </w:p>
        </w:tc>
        <w:tc>
          <w:tcPr>
            <w:tcW w:w="1967" w:type="dxa"/>
          </w:tcPr>
          <w:p w14:paraId="0282FE94" w14:textId="77777777" w:rsidR="006B010E" w:rsidRPr="00623AA1" w:rsidRDefault="006B010E" w:rsidP="006B010E">
            <w:pPr>
              <w:pStyle w:val="Table10ptalignedleft"/>
            </w:pPr>
            <w:r w:rsidRPr="00C57DF6">
              <w:t>Patients ≥65 years, using five or more med</w:t>
            </w:r>
            <w:r>
              <w:t xml:space="preserve">ications for at least 6 months  </w:t>
            </w:r>
          </w:p>
        </w:tc>
        <w:tc>
          <w:tcPr>
            <w:tcW w:w="1416" w:type="dxa"/>
          </w:tcPr>
          <w:p w14:paraId="766D3613" w14:textId="77777777" w:rsidR="006B010E" w:rsidRDefault="006B010E" w:rsidP="006B010E">
            <w:pPr>
              <w:pStyle w:val="Table10ptalignedleft"/>
            </w:pPr>
            <w:r w:rsidRPr="00C57DF6">
              <w:t>MedsCheck vs usual care</w:t>
            </w:r>
          </w:p>
        </w:tc>
        <w:tc>
          <w:tcPr>
            <w:tcW w:w="5500" w:type="dxa"/>
          </w:tcPr>
          <w:p w14:paraId="56C06D97" w14:textId="77777777" w:rsidR="006B010E" w:rsidRDefault="006B010E" w:rsidP="006B010E">
            <w:pPr>
              <w:pStyle w:val="Table10ptalignedleft"/>
            </w:pPr>
            <w:r>
              <w:t>Medication-related hospitalisation</w:t>
            </w:r>
          </w:p>
          <w:p w14:paraId="2F391FFC" w14:textId="77777777" w:rsidR="006B010E" w:rsidRPr="00C51D0E" w:rsidRDefault="006B010E" w:rsidP="006B010E">
            <w:pPr>
              <w:pStyle w:val="Table10ptbullet"/>
              <w:numPr>
                <w:ilvl w:val="0"/>
                <w:numId w:val="2"/>
              </w:numPr>
              <w:ind w:left="227" w:hanging="227"/>
              <w:rPr>
                <w:rFonts w:eastAsiaTheme="minorHAnsi" w:cstheme="minorBidi"/>
                <w:sz w:val="18"/>
              </w:rPr>
            </w:pPr>
            <w:r w:rsidRPr="00C51D0E">
              <w:rPr>
                <w:rFonts w:eastAsiaTheme="minorHAnsi" w:cstheme="minorBidi"/>
                <w:sz w:val="18"/>
              </w:rPr>
              <w:t>11 vs 31, p= 0.042</w:t>
            </w:r>
          </w:p>
          <w:p w14:paraId="3D8CD020" w14:textId="328E7CDD" w:rsidR="006B010E" w:rsidRPr="00C51D0E" w:rsidRDefault="006B010E" w:rsidP="006B010E">
            <w:pPr>
              <w:pStyle w:val="Table10ptbullet"/>
              <w:numPr>
                <w:ilvl w:val="0"/>
                <w:numId w:val="2"/>
              </w:numPr>
              <w:ind w:left="227" w:hanging="227"/>
              <w:rPr>
                <w:rFonts w:eastAsiaTheme="minorHAnsi" w:cstheme="minorBidi"/>
                <w:sz w:val="18"/>
              </w:rPr>
            </w:pPr>
            <w:r w:rsidRPr="00C51D0E">
              <w:rPr>
                <w:rFonts w:eastAsiaTheme="minorHAnsi" w:cstheme="minorBidi"/>
                <w:sz w:val="18"/>
              </w:rPr>
              <w:t>probability of being hospitalise</w:t>
            </w:r>
            <w:r w:rsidR="00F333E2">
              <w:rPr>
                <w:rFonts w:eastAsiaTheme="minorHAnsi" w:cstheme="minorBidi"/>
                <w:sz w:val="18"/>
              </w:rPr>
              <w:t>d was 3.7 times higher in the control group (OR</w:t>
            </w:r>
            <w:r w:rsidRPr="00C51D0E">
              <w:rPr>
                <w:rFonts w:eastAsiaTheme="minorHAnsi" w:cstheme="minorBidi"/>
                <w:sz w:val="18"/>
              </w:rPr>
              <w:t xml:space="preserve"> 3.7, 95% CI 1.2–11.3, p= 0</w:t>
            </w:r>
            <w:r>
              <w:rPr>
                <w:rFonts w:eastAsiaTheme="minorHAnsi" w:cstheme="minorBidi"/>
                <w:sz w:val="18"/>
              </w:rPr>
              <w:t>.021)</w:t>
            </w:r>
          </w:p>
          <w:p w14:paraId="5E1943B3" w14:textId="77777777" w:rsidR="006B010E" w:rsidRPr="00C51D0E" w:rsidRDefault="006B010E" w:rsidP="006B010E">
            <w:pPr>
              <w:pStyle w:val="Table10ptalignedleft"/>
            </w:pPr>
            <w:r w:rsidRPr="00C51D0E">
              <w:t>Costs for a medicine-related hospitalisation</w:t>
            </w:r>
          </w:p>
          <w:p w14:paraId="0A470F56" w14:textId="77777777" w:rsidR="006B010E" w:rsidRPr="00E8091A" w:rsidRDefault="006B010E" w:rsidP="006B010E">
            <w:pPr>
              <w:pStyle w:val="Table10ptbullet"/>
              <w:numPr>
                <w:ilvl w:val="0"/>
                <w:numId w:val="2"/>
              </w:numPr>
              <w:ind w:left="227" w:hanging="227"/>
            </w:pPr>
            <w:r w:rsidRPr="00C51D0E">
              <w:rPr>
                <w:rFonts w:eastAsiaTheme="minorHAnsi" w:cstheme="minorBidi"/>
                <w:sz w:val="18"/>
              </w:rPr>
              <w:t>€94 (SD 917) vs €301 (SD 2102); 95% CI 35.9–378.0, p= 0.018</w:t>
            </w:r>
          </w:p>
        </w:tc>
        <w:tc>
          <w:tcPr>
            <w:tcW w:w="2658" w:type="dxa"/>
          </w:tcPr>
          <w:p w14:paraId="6323F988" w14:textId="77777777" w:rsidR="006B010E" w:rsidRDefault="006B010E" w:rsidP="006B010E">
            <w:pPr>
              <w:spacing w:after="0"/>
              <w:rPr>
                <w:sz w:val="20"/>
              </w:rPr>
            </w:pPr>
            <w:r>
              <w:rPr>
                <w:sz w:val="20"/>
              </w:rPr>
              <w:t>Medication review</w:t>
            </w:r>
            <w:r w:rsidRPr="000B4A55">
              <w:rPr>
                <w:sz w:val="20"/>
              </w:rPr>
              <w:t xml:space="preserve"> provided by community pharmacist</w:t>
            </w:r>
            <w:r>
              <w:rPr>
                <w:sz w:val="20"/>
              </w:rPr>
              <w:t xml:space="preserve"> resulted in a reduction of </w:t>
            </w:r>
            <w:r w:rsidRPr="000B4A55">
              <w:rPr>
                <w:sz w:val="20"/>
              </w:rPr>
              <w:t>medication-related hospita</w:t>
            </w:r>
            <w:r>
              <w:rPr>
                <w:sz w:val="20"/>
              </w:rPr>
              <w:t>lis</w:t>
            </w:r>
            <w:r w:rsidRPr="000B4A55">
              <w:rPr>
                <w:sz w:val="20"/>
              </w:rPr>
              <w:t>ations in aged patients using polyph</w:t>
            </w:r>
            <w:r>
              <w:rPr>
                <w:sz w:val="20"/>
              </w:rPr>
              <w:t>armacy</w:t>
            </w:r>
          </w:p>
        </w:tc>
      </w:tr>
      <w:tr w:rsidR="006B010E" w:rsidRPr="00623AA1" w14:paraId="2212E7B3" w14:textId="77777777" w:rsidTr="00626A83">
        <w:trPr>
          <w:cnfStyle w:val="000000010000" w:firstRow="0" w:lastRow="0" w:firstColumn="0" w:lastColumn="0" w:oddVBand="0" w:evenVBand="0" w:oddHBand="0" w:evenHBand="1" w:firstRowFirstColumn="0" w:firstRowLastColumn="0" w:lastRowFirstColumn="0" w:lastRowLastColumn="0"/>
        </w:trPr>
        <w:tc>
          <w:tcPr>
            <w:tcW w:w="1227" w:type="dxa"/>
          </w:tcPr>
          <w:p w14:paraId="152BADF6" w14:textId="77777777" w:rsidR="006B010E" w:rsidRDefault="006B010E" w:rsidP="006B010E">
            <w:pPr>
              <w:pStyle w:val="Table10ptalignedleft"/>
            </w:pPr>
            <w:r>
              <w:lastRenderedPageBreak/>
              <w:t>Geurts (2015)</w:t>
            </w:r>
          </w:p>
          <w:p w14:paraId="47BD8079" w14:textId="77777777" w:rsidR="006B010E" w:rsidRDefault="006B010E" w:rsidP="006B010E">
            <w:pPr>
              <w:pStyle w:val="Table10ptalignedleft"/>
            </w:pPr>
            <w:r>
              <w:t>The Netherlands</w:t>
            </w:r>
          </w:p>
        </w:tc>
        <w:tc>
          <w:tcPr>
            <w:tcW w:w="1792" w:type="dxa"/>
          </w:tcPr>
          <w:p w14:paraId="4BF66E15" w14:textId="77777777" w:rsidR="006B010E" w:rsidRPr="00C52D1D" w:rsidRDefault="006B010E" w:rsidP="006B010E">
            <w:pPr>
              <w:pStyle w:val="Table10ptalignedleft"/>
              <w:rPr>
                <w:szCs w:val="20"/>
              </w:rPr>
            </w:pPr>
            <w:r w:rsidRPr="00C52D1D">
              <w:rPr>
                <w:szCs w:val="20"/>
              </w:rPr>
              <w:t>RCT</w:t>
            </w:r>
          </w:p>
          <w:p w14:paraId="47EA0A73" w14:textId="77777777" w:rsidR="006B010E" w:rsidRPr="00C52D1D" w:rsidRDefault="006B010E" w:rsidP="006B010E">
            <w:pPr>
              <w:pStyle w:val="Table10ptalignedleft"/>
              <w:rPr>
                <w:szCs w:val="20"/>
              </w:rPr>
            </w:pPr>
            <w:r w:rsidRPr="00C52D1D">
              <w:rPr>
                <w:szCs w:val="20"/>
              </w:rPr>
              <w:t>N = 512</w:t>
            </w:r>
            <w:r>
              <w:rPr>
                <w:szCs w:val="20"/>
              </w:rPr>
              <w:t xml:space="preserve"> (12 community pharamcies)</w:t>
            </w:r>
          </w:p>
          <w:p w14:paraId="789FAA0D" w14:textId="77777777" w:rsidR="006B010E" w:rsidRDefault="006B010E" w:rsidP="006B010E">
            <w:pPr>
              <w:pStyle w:val="Table10ptalignedleft"/>
            </w:pPr>
            <w:r>
              <w:t>12 months</w:t>
            </w:r>
          </w:p>
        </w:tc>
        <w:tc>
          <w:tcPr>
            <w:tcW w:w="1967" w:type="dxa"/>
          </w:tcPr>
          <w:p w14:paraId="204BB17B" w14:textId="76F57A6F" w:rsidR="006B010E" w:rsidRPr="00C57DF6" w:rsidRDefault="006B010E" w:rsidP="006B010E">
            <w:pPr>
              <w:pStyle w:val="Table10ptalignedleft"/>
            </w:pPr>
            <w:r>
              <w:t>Patients aged ≥</w:t>
            </w:r>
            <w:r w:rsidRPr="005035C5">
              <w:t>60 years, prescribed at least 5 medicines for chronic conditions, with at least one of these medicines prescribed for a c</w:t>
            </w:r>
            <w:r w:rsidR="00FD3850">
              <w:t xml:space="preserve">ardiovascular disorder (n = 178 </w:t>
            </w:r>
            <w:r w:rsidRPr="005035C5">
              <w:t>intervention/ 334 control</w:t>
            </w:r>
            <w:r w:rsidR="00FD3850">
              <w:t>)</w:t>
            </w:r>
          </w:p>
        </w:tc>
        <w:tc>
          <w:tcPr>
            <w:tcW w:w="1416" w:type="dxa"/>
          </w:tcPr>
          <w:p w14:paraId="12E47FCC" w14:textId="77777777" w:rsidR="006B010E" w:rsidRPr="00C57DF6" w:rsidRDefault="006B010E" w:rsidP="006B010E">
            <w:pPr>
              <w:pStyle w:val="Table10ptalignedleft"/>
            </w:pPr>
            <w:r w:rsidRPr="005035C5">
              <w:t>Community pharmacy based medication review vs usual care</w:t>
            </w:r>
          </w:p>
        </w:tc>
        <w:tc>
          <w:tcPr>
            <w:tcW w:w="5500" w:type="dxa"/>
          </w:tcPr>
          <w:p w14:paraId="63076CDB" w14:textId="77777777" w:rsidR="006B010E" w:rsidRDefault="006B010E" w:rsidP="006B010E">
            <w:pPr>
              <w:pStyle w:val="Table10ptalignedleft"/>
            </w:pPr>
            <w:r>
              <w:t>Beliefs about medicines (BMQ)</w:t>
            </w:r>
          </w:p>
          <w:p w14:paraId="2EE7ECCB" w14:textId="77777777" w:rsidR="006B010E"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 xml:space="preserve">General Harm: </w:t>
            </w:r>
            <w:r w:rsidRPr="005522A8">
              <w:rPr>
                <w:rFonts w:eastAsiaTheme="minorHAnsi" w:cstheme="minorBidi"/>
                <w:sz w:val="18"/>
              </w:rPr>
              <w:t>mean score increased significantly from 3.297 at baseline to 3.423 at 12-month follow-up in the intervention group (mean 0.126; 95% C</w:t>
            </w:r>
            <w:r>
              <w:rPr>
                <w:rFonts w:eastAsiaTheme="minorHAnsi" w:cstheme="minorBidi"/>
                <w:sz w:val="18"/>
              </w:rPr>
              <w:t>I −0.227 to −0.025; p= 0.014)</w:t>
            </w:r>
          </w:p>
          <w:p w14:paraId="1273FC6B" w14:textId="77777777" w:rsidR="006B010E" w:rsidRPr="005522A8"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 xml:space="preserve">General Overuse: Intervention </w:t>
            </w:r>
            <w:r w:rsidRPr="005522A8">
              <w:rPr>
                <w:rFonts w:eastAsiaTheme="minorHAnsi" w:cstheme="minorBidi"/>
                <w:sz w:val="18"/>
              </w:rPr>
              <w:t>3.387a</w:t>
            </w:r>
            <w:r>
              <w:rPr>
                <w:rFonts w:eastAsiaTheme="minorHAnsi" w:cstheme="minorBidi"/>
                <w:sz w:val="18"/>
              </w:rPr>
              <w:t>t baseline vs 3.416 at 12-month follow-up</w:t>
            </w:r>
            <w:r w:rsidRPr="005522A8">
              <w:rPr>
                <w:rFonts w:eastAsiaTheme="minorHAnsi" w:cstheme="minorBidi"/>
                <w:sz w:val="18"/>
              </w:rPr>
              <w:t xml:space="preserve"> </w:t>
            </w:r>
            <w:r>
              <w:rPr>
                <w:rFonts w:eastAsiaTheme="minorHAnsi" w:cstheme="minorBidi"/>
                <w:sz w:val="18"/>
              </w:rPr>
              <w:t>(p=</w:t>
            </w:r>
            <w:r w:rsidRPr="005522A8">
              <w:rPr>
                <w:rFonts w:eastAsiaTheme="minorHAnsi" w:cstheme="minorBidi"/>
                <w:sz w:val="18"/>
              </w:rPr>
              <w:t>0.541</w:t>
            </w:r>
            <w:r>
              <w:rPr>
                <w:rFonts w:eastAsiaTheme="minorHAnsi" w:cstheme="minorBidi"/>
                <w:sz w:val="18"/>
              </w:rPr>
              <w:t>)</w:t>
            </w:r>
          </w:p>
          <w:p w14:paraId="06A75217" w14:textId="77777777" w:rsidR="006B010E" w:rsidRPr="005522A8" w:rsidRDefault="006B010E" w:rsidP="006B010E">
            <w:pPr>
              <w:pStyle w:val="Table10ptalignedleft"/>
            </w:pPr>
            <w:r w:rsidRPr="005522A8">
              <w:t>QoL</w:t>
            </w:r>
          </w:p>
          <w:p w14:paraId="5C04FF31" w14:textId="2EAAF4A1" w:rsidR="006B010E" w:rsidRDefault="006B010E" w:rsidP="00E13538">
            <w:pPr>
              <w:pStyle w:val="Table10ptbullet"/>
              <w:numPr>
                <w:ilvl w:val="0"/>
                <w:numId w:val="2"/>
              </w:numPr>
              <w:ind w:left="227" w:hanging="227"/>
            </w:pPr>
            <w:r>
              <w:t>n</w:t>
            </w:r>
            <w:r w:rsidRPr="00ED6863">
              <w:t>ot SS</w:t>
            </w:r>
            <w:r>
              <w:t xml:space="preserve"> (Intervention 0</w:t>
            </w:r>
            <w:r w:rsidR="00E13538">
              <w:t xml:space="preserve">.735 at baseline vs 0.741 at 12 </w:t>
            </w:r>
            <w:r>
              <w:t>month follow-up (p=</w:t>
            </w:r>
            <w:r w:rsidRPr="005522A8">
              <w:t>0.706</w:t>
            </w:r>
            <w:r>
              <w:t>)</w:t>
            </w:r>
            <w:r w:rsidR="00FD3850">
              <w:t>)</w:t>
            </w:r>
          </w:p>
        </w:tc>
        <w:tc>
          <w:tcPr>
            <w:tcW w:w="2658" w:type="dxa"/>
          </w:tcPr>
          <w:p w14:paraId="46BED58A" w14:textId="77777777" w:rsidR="006B010E" w:rsidRDefault="006B010E" w:rsidP="006B010E">
            <w:pPr>
              <w:pStyle w:val="Table10ptalignedleft"/>
            </w:pPr>
            <w:r w:rsidRPr="001D54FA">
              <w:t xml:space="preserve">A </w:t>
            </w:r>
            <w:r>
              <w:t xml:space="preserve">community pharmacy based medication review followed by a </w:t>
            </w:r>
            <w:r w:rsidRPr="001D54FA">
              <w:t>pharmac</w:t>
            </w:r>
            <w:r>
              <w:t xml:space="preserve">eutical care plan resulted in a </w:t>
            </w:r>
            <w:r w:rsidRPr="001D54FA">
              <w:t>significant positive effect on patient beliefs about medicines, b</w:t>
            </w:r>
            <w:r>
              <w:t xml:space="preserve">ut had no significant effect on </w:t>
            </w:r>
            <w:r w:rsidRPr="001D54FA">
              <w:t>QoL in elderly patients sufferi</w:t>
            </w:r>
            <w:r>
              <w:t>ng from cardiovascular diseases</w:t>
            </w:r>
          </w:p>
        </w:tc>
      </w:tr>
      <w:tr w:rsidR="006B010E" w:rsidRPr="00623AA1" w14:paraId="1E4C24CB" w14:textId="77777777" w:rsidTr="00626A83">
        <w:tc>
          <w:tcPr>
            <w:tcW w:w="1227" w:type="dxa"/>
          </w:tcPr>
          <w:p w14:paraId="4A4F8C54" w14:textId="77777777" w:rsidR="006B010E" w:rsidRDefault="006B010E" w:rsidP="006B010E">
            <w:pPr>
              <w:pStyle w:val="Table10ptalignedleft"/>
            </w:pPr>
            <w:r>
              <w:t xml:space="preserve">Touchette (2012) </w:t>
            </w:r>
          </w:p>
          <w:p w14:paraId="68C7453C" w14:textId="77777777" w:rsidR="006B010E" w:rsidRDefault="006B010E" w:rsidP="006B010E">
            <w:pPr>
              <w:pStyle w:val="Table10ptalignedleft"/>
            </w:pPr>
            <w:r>
              <w:t>USA</w:t>
            </w:r>
          </w:p>
        </w:tc>
        <w:tc>
          <w:tcPr>
            <w:tcW w:w="1792" w:type="dxa"/>
          </w:tcPr>
          <w:p w14:paraId="3FB7FD04" w14:textId="77777777" w:rsidR="006B010E" w:rsidRPr="00623E9D" w:rsidRDefault="006B010E" w:rsidP="006B010E">
            <w:pPr>
              <w:pStyle w:val="Table10ptalignedleft"/>
              <w:rPr>
                <w:szCs w:val="20"/>
              </w:rPr>
            </w:pPr>
            <w:r w:rsidRPr="00623E9D">
              <w:rPr>
                <w:szCs w:val="20"/>
              </w:rPr>
              <w:t>RCT</w:t>
            </w:r>
          </w:p>
          <w:p w14:paraId="107263B7" w14:textId="77777777" w:rsidR="006B010E" w:rsidRPr="00623E9D" w:rsidRDefault="006B010E" w:rsidP="006B010E">
            <w:pPr>
              <w:pStyle w:val="Table10ptalignedleft"/>
              <w:rPr>
                <w:szCs w:val="20"/>
              </w:rPr>
            </w:pPr>
            <w:r w:rsidRPr="00623E9D">
              <w:rPr>
                <w:szCs w:val="20"/>
              </w:rPr>
              <w:t>N = 637</w:t>
            </w:r>
            <w:r>
              <w:rPr>
                <w:szCs w:val="20"/>
              </w:rPr>
              <w:t xml:space="preserve"> (3 US healthcare sites with community pharmacies)</w:t>
            </w:r>
          </w:p>
          <w:p w14:paraId="0F680E1E" w14:textId="77777777" w:rsidR="006B010E" w:rsidRDefault="006B010E" w:rsidP="006B010E">
            <w:pPr>
              <w:pStyle w:val="Table10ptalignedleft"/>
            </w:pPr>
            <w:r>
              <w:rPr>
                <w:szCs w:val="20"/>
              </w:rPr>
              <w:t>6-month follow-up</w:t>
            </w:r>
          </w:p>
        </w:tc>
        <w:tc>
          <w:tcPr>
            <w:tcW w:w="1967" w:type="dxa"/>
          </w:tcPr>
          <w:p w14:paraId="25F255F0" w14:textId="77777777" w:rsidR="006B010E" w:rsidRDefault="006B010E" w:rsidP="006B010E">
            <w:pPr>
              <w:pStyle w:val="Table10ptalignedleft"/>
            </w:pPr>
            <w:r>
              <w:t>Patients ≥65 years or older with three or more chronic illnesses, six or more prescription medications, and at risk for a DRP</w:t>
            </w:r>
          </w:p>
          <w:p w14:paraId="5CD7A523" w14:textId="77777777" w:rsidR="006B010E" w:rsidRPr="00C57DF6" w:rsidRDefault="006B010E" w:rsidP="006B010E">
            <w:pPr>
              <w:pStyle w:val="Table10ptalignedleft"/>
            </w:pPr>
            <w:r>
              <w:t>(n=429 intervention/ 208 control)</w:t>
            </w:r>
          </w:p>
        </w:tc>
        <w:tc>
          <w:tcPr>
            <w:tcW w:w="1416" w:type="dxa"/>
          </w:tcPr>
          <w:p w14:paraId="57E71E75" w14:textId="77777777" w:rsidR="006B010E" w:rsidRPr="00C57DF6" w:rsidRDefault="006B010E" w:rsidP="006B010E">
            <w:pPr>
              <w:pStyle w:val="Table10ptalignedleft"/>
            </w:pPr>
            <w:r>
              <w:t>Community pharmacy based medication review vs usual care</w:t>
            </w:r>
          </w:p>
        </w:tc>
        <w:tc>
          <w:tcPr>
            <w:tcW w:w="5500" w:type="dxa"/>
          </w:tcPr>
          <w:p w14:paraId="58885A2D" w14:textId="407F5BDF" w:rsidR="006B010E" w:rsidRDefault="006B010E" w:rsidP="006B010E">
            <w:pPr>
              <w:pStyle w:val="Table10ptalignedleft"/>
            </w:pPr>
            <w:r>
              <w:t>ADEs and DRPs</w:t>
            </w:r>
          </w:p>
          <w:p w14:paraId="01F84ADD" w14:textId="77777777" w:rsidR="006B010E" w:rsidRPr="00875027" w:rsidRDefault="006B010E" w:rsidP="006B010E">
            <w:pPr>
              <w:pStyle w:val="Table10ptbullet"/>
              <w:numPr>
                <w:ilvl w:val="0"/>
                <w:numId w:val="2"/>
              </w:numPr>
              <w:ind w:left="227" w:hanging="227"/>
              <w:rPr>
                <w:rFonts w:eastAsiaTheme="minorHAnsi" w:cstheme="minorBidi"/>
                <w:sz w:val="18"/>
              </w:rPr>
            </w:pPr>
            <w:r w:rsidRPr="00875027">
              <w:rPr>
                <w:rFonts w:eastAsiaTheme="minorHAnsi" w:cstheme="minorBidi"/>
                <w:sz w:val="18"/>
              </w:rPr>
              <w:t>DRPs declined in medication review group over time.  However, no differences were observed in potential ADEs among the medication review and control groups.</w:t>
            </w:r>
          </w:p>
          <w:p w14:paraId="2D5CC3F2" w14:textId="77777777" w:rsidR="006B010E" w:rsidRDefault="006B010E" w:rsidP="006B010E">
            <w:pPr>
              <w:pStyle w:val="Table10ptalignedleft"/>
            </w:pPr>
            <w:r>
              <w:t>Hospital admissions</w:t>
            </w:r>
          </w:p>
          <w:p w14:paraId="5AD5F594" w14:textId="77777777" w:rsidR="006B010E" w:rsidRDefault="006B010E" w:rsidP="00E13538">
            <w:pPr>
              <w:pStyle w:val="Table10ptbullet"/>
              <w:numPr>
                <w:ilvl w:val="0"/>
                <w:numId w:val="2"/>
              </w:numPr>
              <w:ind w:left="227" w:hanging="227"/>
            </w:pPr>
            <w:r w:rsidRPr="00E13538">
              <w:rPr>
                <w:rFonts w:eastAsiaTheme="minorHAnsi" w:cstheme="minorBidi"/>
                <w:sz w:val="18"/>
              </w:rPr>
              <w:t>no</w:t>
            </w:r>
            <w:r>
              <w:t xml:space="preserve"> statistically significant changes in the proportion of patients hospitalised over time </w:t>
            </w:r>
          </w:p>
          <w:p w14:paraId="5D3B175D" w14:textId="77777777" w:rsidR="006B010E" w:rsidRDefault="006B010E" w:rsidP="006B010E">
            <w:pPr>
              <w:pStyle w:val="Table10ptalignedleft"/>
            </w:pPr>
            <w:r>
              <w:t>ED visits</w:t>
            </w:r>
          </w:p>
          <w:p w14:paraId="3EFC3A81" w14:textId="71E4AA9C" w:rsidR="006B010E" w:rsidRDefault="00F333E2" w:rsidP="006B010E">
            <w:pPr>
              <w:pStyle w:val="16TabletextBullet"/>
            </w:pPr>
            <w:r>
              <w:t>n</w:t>
            </w:r>
            <w:r w:rsidR="006B010E" w:rsidRPr="009271C6">
              <w:t xml:space="preserve">o differences were observed </w:t>
            </w:r>
            <w:r w:rsidR="006B010E">
              <w:t>in ED visits</w:t>
            </w:r>
          </w:p>
          <w:p w14:paraId="6D5D3A08" w14:textId="77777777" w:rsidR="006B010E" w:rsidRPr="009271C6" w:rsidRDefault="006B010E" w:rsidP="006B010E">
            <w:pPr>
              <w:pStyle w:val="Table10ptalignedleft"/>
            </w:pPr>
            <w:r>
              <w:t>Physicians acceptance of recommendations</w:t>
            </w:r>
          </w:p>
          <w:p w14:paraId="00A26E03" w14:textId="6A80067A" w:rsidR="006B010E" w:rsidRDefault="006B010E" w:rsidP="00F333E2">
            <w:pPr>
              <w:pStyle w:val="16TabletextBullet"/>
              <w:ind w:left="227" w:hanging="227"/>
            </w:pPr>
            <w:r>
              <w:t>55%</w:t>
            </w:r>
          </w:p>
        </w:tc>
        <w:tc>
          <w:tcPr>
            <w:tcW w:w="2658" w:type="dxa"/>
          </w:tcPr>
          <w:p w14:paraId="72631CF0" w14:textId="77777777" w:rsidR="006B010E" w:rsidRDefault="006B010E" w:rsidP="006B010E">
            <w:pPr>
              <w:pStyle w:val="Table10ptalignedleft"/>
            </w:pPr>
            <w:r>
              <w:t>Community pharmacy based medication reviews resulted in a decrease of DRPs over time; however, the reductions in DRPs did not translate into measurable differences in patients’ health outcomes, particularly ADEs,</w:t>
            </w:r>
          </w:p>
          <w:p w14:paraId="5F5A17B3" w14:textId="720440BA" w:rsidR="006B010E" w:rsidRPr="009271C6" w:rsidRDefault="006B010E" w:rsidP="00FD3850">
            <w:pPr>
              <w:pStyle w:val="Table10ptalignedleft"/>
              <w:rPr>
                <w:sz w:val="22"/>
              </w:rPr>
            </w:pPr>
            <w:r>
              <w:t>hospitalisations, ED visits, or physician office visits</w:t>
            </w:r>
          </w:p>
        </w:tc>
      </w:tr>
      <w:tr w:rsidR="006B010E" w:rsidRPr="00623AA1" w14:paraId="66E08EF6" w14:textId="77777777" w:rsidTr="00626A83">
        <w:trPr>
          <w:cnfStyle w:val="000000010000" w:firstRow="0" w:lastRow="0" w:firstColumn="0" w:lastColumn="0" w:oddVBand="0" w:evenVBand="0" w:oddHBand="0" w:evenHBand="1" w:firstRowFirstColumn="0" w:firstRowLastColumn="0" w:lastRowFirstColumn="0" w:lastRowLastColumn="0"/>
        </w:trPr>
        <w:tc>
          <w:tcPr>
            <w:tcW w:w="1227" w:type="dxa"/>
          </w:tcPr>
          <w:p w14:paraId="6A2C2F66" w14:textId="77777777" w:rsidR="006B010E" w:rsidRPr="0058009E" w:rsidRDefault="006B010E" w:rsidP="006B010E">
            <w:pPr>
              <w:pStyle w:val="Table10ptalignedleft"/>
            </w:pPr>
            <w:r w:rsidRPr="0058009E">
              <w:t xml:space="preserve">Blalock (2010) </w:t>
            </w:r>
          </w:p>
          <w:p w14:paraId="3C2349FA" w14:textId="77777777" w:rsidR="006B010E" w:rsidRDefault="006B010E" w:rsidP="006B010E">
            <w:pPr>
              <w:pStyle w:val="Table10ptalignedleft"/>
            </w:pPr>
            <w:r w:rsidRPr="0058009E">
              <w:t>USA</w:t>
            </w:r>
          </w:p>
        </w:tc>
        <w:tc>
          <w:tcPr>
            <w:tcW w:w="1792" w:type="dxa"/>
          </w:tcPr>
          <w:p w14:paraId="30D9C135" w14:textId="77777777" w:rsidR="006B010E" w:rsidRPr="0058009E" w:rsidRDefault="006B010E" w:rsidP="006B010E">
            <w:pPr>
              <w:pStyle w:val="Table10ptalignedleft"/>
            </w:pPr>
            <w:r w:rsidRPr="0058009E">
              <w:t>RCT</w:t>
            </w:r>
          </w:p>
          <w:p w14:paraId="2CD5C960" w14:textId="77777777" w:rsidR="006B010E" w:rsidRPr="0058009E" w:rsidRDefault="006B010E" w:rsidP="006B010E">
            <w:pPr>
              <w:pStyle w:val="Table10ptalignedleft"/>
            </w:pPr>
            <w:r w:rsidRPr="0058009E">
              <w:t>N=186</w:t>
            </w:r>
            <w:r>
              <w:t xml:space="preserve"> (</w:t>
            </w:r>
            <w:r w:rsidRPr="0058009E">
              <w:t>community pharmacy chain</w:t>
            </w:r>
            <w:r>
              <w:t xml:space="preserve"> Kerr Drug</w:t>
            </w:r>
            <w:r w:rsidRPr="0058009E">
              <w:t>)</w:t>
            </w:r>
          </w:p>
          <w:p w14:paraId="7B43E88B" w14:textId="571419CA" w:rsidR="006B010E" w:rsidRPr="00FD3850" w:rsidRDefault="00FD3850" w:rsidP="006B010E">
            <w:pPr>
              <w:pStyle w:val="Table10ptalignedleft"/>
            </w:pPr>
            <w:r>
              <w:t xml:space="preserve">24 months (1 year “look-back”, </w:t>
            </w:r>
            <w:r w:rsidR="006B010E" w:rsidRPr="0058009E">
              <w:t>1 year follow-up)</w:t>
            </w:r>
          </w:p>
        </w:tc>
        <w:tc>
          <w:tcPr>
            <w:tcW w:w="1967" w:type="dxa"/>
          </w:tcPr>
          <w:p w14:paraId="773D10EE" w14:textId="77777777" w:rsidR="006B010E" w:rsidRDefault="006B010E" w:rsidP="006B010E">
            <w:pPr>
              <w:pStyle w:val="Table10ptalignedleft"/>
            </w:pPr>
            <w:r>
              <w:t>P</w:t>
            </w:r>
            <w:r w:rsidRPr="00CB304E">
              <w:t>atients ≥65 years, had fallen at least once in year preceding randomisation and were taking medications associated with an increased risk of falling (n=93 intervention 93 control)</w:t>
            </w:r>
          </w:p>
        </w:tc>
        <w:tc>
          <w:tcPr>
            <w:tcW w:w="1416" w:type="dxa"/>
          </w:tcPr>
          <w:p w14:paraId="7CBF8526" w14:textId="77777777" w:rsidR="006B010E" w:rsidRDefault="006B010E" w:rsidP="006B010E">
            <w:pPr>
              <w:pStyle w:val="Table10ptalignedleft"/>
            </w:pPr>
            <w:r w:rsidRPr="00CB304E">
              <w:t>Community pharmacy based medication review vs usual care</w:t>
            </w:r>
          </w:p>
        </w:tc>
        <w:tc>
          <w:tcPr>
            <w:tcW w:w="5500" w:type="dxa"/>
          </w:tcPr>
          <w:p w14:paraId="5A640B66" w14:textId="77777777" w:rsidR="006B010E" w:rsidRDefault="006B010E" w:rsidP="006B010E">
            <w:pPr>
              <w:pStyle w:val="Table10ptalignedleft"/>
            </w:pPr>
            <w:r>
              <w:t>As-treated analysis</w:t>
            </w:r>
          </w:p>
          <w:p w14:paraId="4B1626FD" w14:textId="77777777" w:rsidR="006B010E" w:rsidRPr="00D43BA4" w:rsidRDefault="006B010E" w:rsidP="006B010E">
            <w:pPr>
              <w:pStyle w:val="Table10ptalignedleft"/>
            </w:pPr>
            <w:r w:rsidRPr="00D43BA4">
              <w:t xml:space="preserve">Filling prescriptions for high-risk medications </w:t>
            </w:r>
          </w:p>
          <w:p w14:paraId="2BE29712" w14:textId="77777777" w:rsidR="006B010E" w:rsidRPr="00D43BA4" w:rsidRDefault="006B010E" w:rsidP="006B010E">
            <w:pPr>
              <w:pStyle w:val="16TabletextBullet"/>
              <w:ind w:left="227" w:hanging="227"/>
            </w:pPr>
            <w:r w:rsidRPr="00D43BA4">
              <w:t>RR 0.85; 95% CI, 0.72–1.03; p not significant</w:t>
            </w:r>
          </w:p>
          <w:p w14:paraId="2ECA5B3E" w14:textId="77777777" w:rsidR="006B010E" w:rsidRPr="00D43BA4" w:rsidRDefault="006B010E" w:rsidP="006B010E">
            <w:pPr>
              <w:pStyle w:val="Table10ptalignedleft"/>
            </w:pPr>
            <w:r w:rsidRPr="00D43BA4">
              <w:t>Recurrent falls</w:t>
            </w:r>
          </w:p>
          <w:p w14:paraId="7902BD4F" w14:textId="77777777" w:rsidR="00B565DD" w:rsidRDefault="006B010E" w:rsidP="00B565DD">
            <w:pPr>
              <w:pStyle w:val="16TabletextBullet"/>
              <w:ind w:left="227" w:hanging="227"/>
            </w:pPr>
            <w:r w:rsidRPr="00D43BA4">
              <w:t xml:space="preserve">RR 0.76; 95% CI, 0.53–1.09; p not significant </w:t>
            </w:r>
          </w:p>
          <w:p w14:paraId="241B1ADD" w14:textId="44FBA606" w:rsidR="006B010E" w:rsidRPr="00D43BA4" w:rsidRDefault="006B010E" w:rsidP="00B565DD">
            <w:pPr>
              <w:pStyle w:val="Table10ptalignedleft"/>
            </w:pPr>
            <w:r w:rsidRPr="00D43BA4">
              <w:t>Injurious falls</w:t>
            </w:r>
          </w:p>
          <w:p w14:paraId="3EE252BF" w14:textId="77777777" w:rsidR="006B010E" w:rsidRDefault="006B010E" w:rsidP="006B010E">
            <w:pPr>
              <w:pStyle w:val="16TabletextBullet"/>
              <w:ind w:left="227" w:hanging="227"/>
            </w:pPr>
            <w:r w:rsidRPr="00D43BA4">
              <w:t>RR 0.67; 95% CI, 0.43–1.05; p not significant</w:t>
            </w:r>
          </w:p>
        </w:tc>
        <w:tc>
          <w:tcPr>
            <w:tcW w:w="2658" w:type="dxa"/>
          </w:tcPr>
          <w:p w14:paraId="0B8D47A6" w14:textId="77777777" w:rsidR="006B010E" w:rsidRDefault="006B010E" w:rsidP="006B010E">
            <w:pPr>
              <w:pStyle w:val="Table10ptalignedleft"/>
            </w:pPr>
            <w:r>
              <w:t>Community pharmacy based medication reviews did not result in a significant reduction in the number of filling prescriptions of medications associated with falling in high-risk older adults.  Further, there was no significant reduction in</w:t>
            </w:r>
          </w:p>
          <w:p w14:paraId="4602721D" w14:textId="28341A14" w:rsidR="006B010E" w:rsidRDefault="006B010E" w:rsidP="00FD3850">
            <w:pPr>
              <w:pStyle w:val="Table10ptalignedleft"/>
            </w:pPr>
            <w:r>
              <w:t>the rate of recurrent falls or injurious falls</w:t>
            </w:r>
          </w:p>
        </w:tc>
      </w:tr>
      <w:tr w:rsidR="006B010E" w:rsidRPr="00623AA1" w14:paraId="307E0BA4" w14:textId="77777777" w:rsidTr="00626A83">
        <w:tc>
          <w:tcPr>
            <w:tcW w:w="1227" w:type="dxa"/>
          </w:tcPr>
          <w:p w14:paraId="4FD957B2" w14:textId="77777777" w:rsidR="006B010E" w:rsidRPr="008C1966" w:rsidRDefault="006B010E" w:rsidP="006B010E">
            <w:pPr>
              <w:pStyle w:val="Table10ptalignedleft"/>
            </w:pPr>
            <w:r w:rsidRPr="008C1966">
              <w:lastRenderedPageBreak/>
              <w:t>Bond (MEDMAN, 2007)</w:t>
            </w:r>
          </w:p>
          <w:p w14:paraId="600629D2" w14:textId="77777777" w:rsidR="006B010E" w:rsidRDefault="006B010E" w:rsidP="006B010E">
            <w:pPr>
              <w:pStyle w:val="Table10ptalignedleft"/>
            </w:pPr>
            <w:r w:rsidRPr="008C1966">
              <w:t>UK</w:t>
            </w:r>
          </w:p>
        </w:tc>
        <w:tc>
          <w:tcPr>
            <w:tcW w:w="1792" w:type="dxa"/>
          </w:tcPr>
          <w:p w14:paraId="677F352E" w14:textId="77777777" w:rsidR="006B010E" w:rsidRPr="008C1966" w:rsidRDefault="006B010E" w:rsidP="006B010E">
            <w:pPr>
              <w:pStyle w:val="Table10ptalignedleft"/>
            </w:pPr>
            <w:r w:rsidRPr="008C1966">
              <w:t>RCT</w:t>
            </w:r>
          </w:p>
          <w:p w14:paraId="16280207" w14:textId="77777777" w:rsidR="006B010E" w:rsidRPr="008C1966" w:rsidRDefault="006B010E" w:rsidP="006B010E">
            <w:pPr>
              <w:pStyle w:val="Table10ptalignedleft"/>
            </w:pPr>
            <w:r w:rsidRPr="008C1966">
              <w:t>N=1,493</w:t>
            </w:r>
            <w:r>
              <w:t xml:space="preserve"> (70 community phar</w:t>
            </w:r>
            <w:r w:rsidRPr="008C1966">
              <w:t>m</w:t>
            </w:r>
            <w:r>
              <w:t>a</w:t>
            </w:r>
            <w:r w:rsidRPr="008C1966">
              <w:t>cies)</w:t>
            </w:r>
          </w:p>
          <w:p w14:paraId="17E271A1" w14:textId="77777777" w:rsidR="006B010E" w:rsidRPr="00F32EB0" w:rsidRDefault="006B010E" w:rsidP="006B010E">
            <w:pPr>
              <w:pStyle w:val="Table10ptalignedleft"/>
            </w:pPr>
            <w:r w:rsidRPr="008C1966">
              <w:t>12 months</w:t>
            </w:r>
          </w:p>
        </w:tc>
        <w:tc>
          <w:tcPr>
            <w:tcW w:w="1967" w:type="dxa"/>
          </w:tcPr>
          <w:p w14:paraId="652DF1F9" w14:textId="77777777" w:rsidR="006B010E" w:rsidRDefault="006B010E" w:rsidP="006B010E">
            <w:pPr>
              <w:pStyle w:val="Table10ptalignedleft"/>
            </w:pPr>
            <w:r>
              <w:t xml:space="preserve">Patients ≤65 with </w:t>
            </w:r>
            <w:r w:rsidRPr="001F6620">
              <w:t>CHD (previous MI, angina, CABG and/or PTCA</w:t>
            </w:r>
            <w:r>
              <w:t>)</w:t>
            </w:r>
          </w:p>
          <w:p w14:paraId="19A96EFE" w14:textId="56EF00E2" w:rsidR="006B010E" w:rsidRPr="00F32EB0" w:rsidRDefault="006B010E" w:rsidP="006B010E">
            <w:pPr>
              <w:pStyle w:val="Table10ptalignedleft"/>
            </w:pPr>
            <w:r>
              <w:t>(r</w:t>
            </w:r>
            <w:r w:rsidR="00FD3850">
              <w:t xml:space="preserve">andomised 2:1 allocation ratio, </w:t>
            </w:r>
            <w:r>
              <w:t>n=980 intervention/ 513 control</w:t>
            </w:r>
          </w:p>
        </w:tc>
        <w:tc>
          <w:tcPr>
            <w:tcW w:w="1416" w:type="dxa"/>
          </w:tcPr>
          <w:p w14:paraId="1413B675" w14:textId="77777777" w:rsidR="006B010E" w:rsidRDefault="006B010E" w:rsidP="006B010E">
            <w:pPr>
              <w:pStyle w:val="Table10ptalignedleft"/>
            </w:pPr>
            <w:r>
              <w:t>Community pharmacy based medication review vs usual care</w:t>
            </w:r>
          </w:p>
        </w:tc>
        <w:tc>
          <w:tcPr>
            <w:tcW w:w="5500" w:type="dxa"/>
          </w:tcPr>
          <w:p w14:paraId="534B521C" w14:textId="77777777" w:rsidR="006B010E" w:rsidRPr="00356157" w:rsidRDefault="006B010E" w:rsidP="006B010E">
            <w:pPr>
              <w:pStyle w:val="Table10ptalignedleft"/>
            </w:pPr>
            <w:r w:rsidRPr="00356157">
              <w:t>Prescription appropriateness</w:t>
            </w:r>
          </w:p>
          <w:p w14:paraId="0B99F170" w14:textId="77777777" w:rsidR="006B010E" w:rsidRPr="00356157" w:rsidRDefault="006B010E" w:rsidP="00E13538">
            <w:pPr>
              <w:pStyle w:val="Table10ptbullet"/>
              <w:numPr>
                <w:ilvl w:val="0"/>
                <w:numId w:val="2"/>
              </w:numPr>
              <w:ind w:left="227" w:hanging="227"/>
            </w:pPr>
            <w:r>
              <w:t xml:space="preserve">no SS </w:t>
            </w:r>
            <w:r w:rsidRPr="00356157">
              <w:t xml:space="preserve">difference between </w:t>
            </w:r>
            <w:r>
              <w:t>groups (</w:t>
            </w:r>
            <w:r w:rsidRPr="00283F8D">
              <w:t>total score, mean 0.19, 95% CI –0.07 to 0.46; p=0.15</w:t>
            </w:r>
            <w:r>
              <w:t>)</w:t>
            </w:r>
          </w:p>
          <w:p w14:paraId="2BD0136E" w14:textId="77777777" w:rsidR="006B010E" w:rsidRDefault="006B010E" w:rsidP="006B010E">
            <w:pPr>
              <w:pStyle w:val="Table10ptalignedleft"/>
            </w:pPr>
            <w:r>
              <w:t>Cardiovascular mortality</w:t>
            </w:r>
          </w:p>
          <w:p w14:paraId="68863036" w14:textId="77777777" w:rsidR="006B010E" w:rsidRPr="00000730" w:rsidRDefault="006B010E" w:rsidP="006B010E">
            <w:pPr>
              <w:pStyle w:val="Table10ptbullet"/>
              <w:numPr>
                <w:ilvl w:val="0"/>
                <w:numId w:val="2"/>
              </w:numPr>
              <w:ind w:left="227" w:hanging="227"/>
              <w:rPr>
                <w:rFonts w:eastAsiaTheme="minorHAnsi" w:cstheme="minorBidi"/>
                <w:sz w:val="18"/>
              </w:rPr>
            </w:pPr>
            <w:r w:rsidRPr="00000730">
              <w:rPr>
                <w:rFonts w:eastAsiaTheme="minorHAnsi" w:cstheme="minorBidi"/>
                <w:sz w:val="18"/>
              </w:rPr>
              <w:t>no SS change in the future (5-year) risk of cardiovascular death</w:t>
            </w:r>
          </w:p>
          <w:p w14:paraId="7EF46BDE" w14:textId="77777777" w:rsidR="006B010E" w:rsidRPr="000E7C4A" w:rsidRDefault="006B010E" w:rsidP="006B010E">
            <w:pPr>
              <w:pStyle w:val="Table10ptalignedleft"/>
            </w:pPr>
            <w:r w:rsidRPr="000E7C4A">
              <w:t>QoL</w:t>
            </w:r>
          </w:p>
          <w:p w14:paraId="01DB2534" w14:textId="77777777" w:rsidR="006B010E" w:rsidRPr="000E7C4A" w:rsidRDefault="006B010E" w:rsidP="006B010E">
            <w:pPr>
              <w:pStyle w:val="Table10ptbullet"/>
              <w:numPr>
                <w:ilvl w:val="0"/>
                <w:numId w:val="2"/>
              </w:numPr>
              <w:ind w:left="227" w:hanging="227"/>
              <w:rPr>
                <w:rFonts w:eastAsiaTheme="minorHAnsi" w:cstheme="minorBidi"/>
                <w:sz w:val="18"/>
              </w:rPr>
            </w:pPr>
            <w:r w:rsidRPr="000E7C4A">
              <w:rPr>
                <w:rFonts w:eastAsiaTheme="minorHAnsi" w:cstheme="minorBidi"/>
                <w:sz w:val="18"/>
              </w:rPr>
              <w:t>EQ-4D: mean difference 0.04, 95% CI –0.05 to 0.13; p=0.37</w:t>
            </w:r>
          </w:p>
          <w:p w14:paraId="4F2EF19D" w14:textId="77777777" w:rsidR="006B010E" w:rsidRPr="000E7C4A" w:rsidRDefault="006B010E" w:rsidP="006B010E">
            <w:pPr>
              <w:pStyle w:val="Table10ptbullet"/>
              <w:numPr>
                <w:ilvl w:val="0"/>
                <w:numId w:val="2"/>
              </w:numPr>
              <w:ind w:left="227" w:hanging="227"/>
              <w:rPr>
                <w:rFonts w:eastAsiaTheme="minorHAnsi" w:cstheme="minorBidi"/>
                <w:sz w:val="18"/>
              </w:rPr>
            </w:pPr>
            <w:r w:rsidRPr="000E7C4A">
              <w:rPr>
                <w:rFonts w:eastAsiaTheme="minorHAnsi" w:cstheme="minorBidi"/>
                <w:sz w:val="18"/>
              </w:rPr>
              <w:t>SF-36: no SS difference found</w:t>
            </w:r>
            <w:r>
              <w:rPr>
                <w:rFonts w:eastAsiaTheme="minorHAnsi" w:cstheme="minorBidi"/>
                <w:sz w:val="18"/>
              </w:rPr>
              <w:t xml:space="preserve"> between groups</w:t>
            </w:r>
            <w:r w:rsidRPr="000E7C4A">
              <w:rPr>
                <w:rFonts w:eastAsiaTheme="minorHAnsi" w:cstheme="minorBidi"/>
                <w:sz w:val="18"/>
              </w:rPr>
              <w:t xml:space="preserve"> in any</w:t>
            </w:r>
            <w:r>
              <w:rPr>
                <w:rFonts w:eastAsiaTheme="minorHAnsi" w:cstheme="minorBidi"/>
                <w:sz w:val="18"/>
              </w:rPr>
              <w:t xml:space="preserve"> of the 8</w:t>
            </w:r>
            <w:r w:rsidRPr="000E7C4A">
              <w:rPr>
                <w:rFonts w:eastAsiaTheme="minorHAnsi" w:cstheme="minorBidi"/>
                <w:sz w:val="18"/>
              </w:rPr>
              <w:t xml:space="preserve"> domain</w:t>
            </w:r>
            <w:r>
              <w:rPr>
                <w:rFonts w:eastAsiaTheme="minorHAnsi" w:cstheme="minorBidi"/>
                <w:sz w:val="18"/>
              </w:rPr>
              <w:t>s</w:t>
            </w:r>
          </w:p>
          <w:p w14:paraId="56F7F6F1" w14:textId="77777777" w:rsidR="006B010E" w:rsidRPr="000E7C4A" w:rsidRDefault="006B010E" w:rsidP="006B010E">
            <w:pPr>
              <w:pStyle w:val="Table10ptalignedleft"/>
            </w:pPr>
            <w:r w:rsidRPr="000E7C4A">
              <w:t>Patient satisfaction</w:t>
            </w:r>
          </w:p>
          <w:p w14:paraId="01C96368" w14:textId="77777777" w:rsidR="006B010E" w:rsidRPr="000E7C4A" w:rsidRDefault="006B010E" w:rsidP="006B010E">
            <w:pPr>
              <w:pStyle w:val="Table10ptbullet"/>
              <w:numPr>
                <w:ilvl w:val="0"/>
                <w:numId w:val="2"/>
              </w:numPr>
              <w:ind w:left="227" w:hanging="227"/>
            </w:pPr>
            <w:r w:rsidRPr="000E7C4A">
              <w:rPr>
                <w:rFonts w:eastAsiaTheme="minorHAnsi" w:cstheme="minorBidi"/>
                <w:sz w:val="18"/>
              </w:rPr>
              <w:t>mean difference 4.0, 95% CI 1.7–6.3; p&lt;0.01</w:t>
            </w:r>
          </w:p>
          <w:p w14:paraId="25F736D1" w14:textId="77777777" w:rsidR="006B010E" w:rsidRPr="000E7C4A" w:rsidRDefault="006B010E" w:rsidP="006B010E">
            <w:pPr>
              <w:pStyle w:val="Table10ptalignedleft"/>
            </w:pPr>
            <w:r>
              <w:t>Medication compliance/adherence</w:t>
            </w:r>
          </w:p>
          <w:p w14:paraId="17FEC5F3" w14:textId="77777777" w:rsidR="006B010E" w:rsidRPr="00C7705D" w:rsidRDefault="006B010E" w:rsidP="00E13538">
            <w:pPr>
              <w:pStyle w:val="Table10ptbullet"/>
              <w:numPr>
                <w:ilvl w:val="0"/>
                <w:numId w:val="2"/>
              </w:numPr>
              <w:ind w:left="227" w:hanging="227"/>
            </w:pPr>
            <w:r>
              <w:t xml:space="preserve">no SS change (mean difference 1.0, 95% CI </w:t>
            </w:r>
            <w:r w:rsidRPr="00356157">
              <w:t>0.61 to 1.65</w:t>
            </w:r>
            <w:r>
              <w:t>; p=</w:t>
            </w:r>
            <w:r w:rsidRPr="00356157">
              <w:t>0.99</w:t>
            </w:r>
            <w:r>
              <w:t>)</w:t>
            </w:r>
          </w:p>
        </w:tc>
        <w:tc>
          <w:tcPr>
            <w:tcW w:w="2658" w:type="dxa"/>
          </w:tcPr>
          <w:p w14:paraId="23FCB37A" w14:textId="71D94A81" w:rsidR="006B010E" w:rsidRDefault="006B010E" w:rsidP="00FD3850">
            <w:pPr>
              <w:pStyle w:val="Table10ptalignedleft"/>
            </w:pPr>
            <w:r>
              <w:t>Community pharmacy based medication review did not demonstrate any significant change in NSF recommended treatment for the secondary prevention of CHD, future risk of cardiovascular death, adherence, or quality of life.  Patient satisfaction in the intervention group increased significantly compared with controls</w:t>
            </w:r>
          </w:p>
        </w:tc>
      </w:tr>
      <w:tr w:rsidR="006B010E" w:rsidRPr="00623AA1" w14:paraId="3A818C04" w14:textId="77777777" w:rsidTr="00626A83">
        <w:trPr>
          <w:cnfStyle w:val="000000010000" w:firstRow="0" w:lastRow="0" w:firstColumn="0" w:lastColumn="0" w:oddVBand="0" w:evenVBand="0" w:oddHBand="0" w:evenHBand="1" w:firstRowFirstColumn="0" w:firstRowLastColumn="0" w:lastRowFirstColumn="0" w:lastRowLastColumn="0"/>
        </w:trPr>
        <w:tc>
          <w:tcPr>
            <w:tcW w:w="1227" w:type="dxa"/>
          </w:tcPr>
          <w:p w14:paraId="6E914E85" w14:textId="77777777" w:rsidR="006B010E" w:rsidRDefault="006B010E" w:rsidP="006B010E">
            <w:pPr>
              <w:pStyle w:val="Table10ptalignedleft"/>
            </w:pPr>
            <w:r>
              <w:t>Vinks (SMOG, 2009)</w:t>
            </w:r>
          </w:p>
          <w:p w14:paraId="577E2A25" w14:textId="77777777" w:rsidR="006B010E" w:rsidRDefault="006B010E" w:rsidP="006B010E">
            <w:pPr>
              <w:pStyle w:val="Table10ptalignedleft"/>
            </w:pPr>
            <w:r>
              <w:t>The Netherlands</w:t>
            </w:r>
          </w:p>
        </w:tc>
        <w:tc>
          <w:tcPr>
            <w:tcW w:w="1792" w:type="dxa"/>
          </w:tcPr>
          <w:p w14:paraId="1E23A197" w14:textId="77777777" w:rsidR="006B010E" w:rsidRPr="00F32EB0" w:rsidRDefault="006B010E" w:rsidP="006B010E">
            <w:pPr>
              <w:pStyle w:val="Table10ptalignedleft"/>
            </w:pPr>
            <w:r w:rsidRPr="00F32EB0">
              <w:t xml:space="preserve">RCT </w:t>
            </w:r>
          </w:p>
          <w:p w14:paraId="4C239CB7" w14:textId="639C0B3C" w:rsidR="006B010E" w:rsidRPr="00F32EB0" w:rsidRDefault="006B010E" w:rsidP="006B010E">
            <w:pPr>
              <w:pStyle w:val="Table10ptalignedleft"/>
            </w:pPr>
            <w:r>
              <w:t>N=174 (</w:t>
            </w:r>
            <w:r w:rsidR="00FD3850">
              <w:t xml:space="preserve">16 community </w:t>
            </w:r>
            <w:r>
              <w:t>p</w:t>
            </w:r>
            <w:r w:rsidRPr="00F32EB0">
              <w:t>harmacies</w:t>
            </w:r>
            <w:r>
              <w:t>)</w:t>
            </w:r>
          </w:p>
          <w:p w14:paraId="0D3FF099" w14:textId="77777777" w:rsidR="006B010E" w:rsidRPr="00623E9D" w:rsidRDefault="006B010E" w:rsidP="006B010E">
            <w:pPr>
              <w:pStyle w:val="Table10ptalignedleft"/>
              <w:rPr>
                <w:szCs w:val="20"/>
              </w:rPr>
            </w:pPr>
            <w:r>
              <w:t>4</w:t>
            </w:r>
            <w:r w:rsidRPr="00F32EB0">
              <w:t xml:space="preserve"> months</w:t>
            </w:r>
          </w:p>
        </w:tc>
        <w:tc>
          <w:tcPr>
            <w:tcW w:w="1967" w:type="dxa"/>
          </w:tcPr>
          <w:p w14:paraId="68FDE86F" w14:textId="77777777" w:rsidR="006B010E" w:rsidRDefault="006B010E" w:rsidP="006B010E">
            <w:pPr>
              <w:pStyle w:val="Table10ptalignedleft"/>
            </w:pPr>
            <w:r w:rsidRPr="00F32EB0">
              <w:t xml:space="preserve">Patients ≥65 years using ≥6 drugs </w:t>
            </w:r>
          </w:p>
          <w:p w14:paraId="6FCAD5C5" w14:textId="77777777" w:rsidR="006B010E" w:rsidRDefault="006B010E" w:rsidP="006B010E">
            <w:pPr>
              <w:pStyle w:val="Table10ptalignedleft"/>
            </w:pPr>
            <w:r>
              <w:t xml:space="preserve">(n=87 </w:t>
            </w:r>
            <w:r w:rsidRPr="00F32EB0">
              <w:t>intervention/</w:t>
            </w:r>
            <w:r>
              <w:t xml:space="preserve"> 87</w:t>
            </w:r>
            <w:r w:rsidRPr="00F32EB0">
              <w:t xml:space="preserve"> control</w:t>
            </w:r>
            <w:r>
              <w:t>)</w:t>
            </w:r>
          </w:p>
        </w:tc>
        <w:tc>
          <w:tcPr>
            <w:tcW w:w="1416" w:type="dxa"/>
          </w:tcPr>
          <w:p w14:paraId="5377D28A" w14:textId="77777777" w:rsidR="006B010E" w:rsidRDefault="006B010E" w:rsidP="006B010E">
            <w:pPr>
              <w:pStyle w:val="Table10ptalignedleft"/>
            </w:pPr>
            <w:r>
              <w:t>Community pharmacy based medication review vs usual care</w:t>
            </w:r>
          </w:p>
        </w:tc>
        <w:tc>
          <w:tcPr>
            <w:tcW w:w="5500" w:type="dxa"/>
          </w:tcPr>
          <w:p w14:paraId="36D4C83B" w14:textId="77777777" w:rsidR="006B010E" w:rsidRPr="00C7705D" w:rsidRDefault="006B010E" w:rsidP="006B010E">
            <w:pPr>
              <w:pStyle w:val="Table10ptalignedleft"/>
            </w:pPr>
            <w:r w:rsidRPr="00000730">
              <w:t>Number</w:t>
            </w:r>
            <w:r w:rsidRPr="00C7705D">
              <w:t xml:space="preserve"> of DRPs</w:t>
            </w:r>
          </w:p>
          <w:p w14:paraId="1C125FF2" w14:textId="77777777" w:rsidR="006B010E" w:rsidRPr="00C7705D" w:rsidRDefault="006B010E" w:rsidP="006B010E">
            <w:pPr>
              <w:pStyle w:val="Table10ptbullet"/>
              <w:numPr>
                <w:ilvl w:val="0"/>
                <w:numId w:val="2"/>
              </w:numPr>
              <w:ind w:left="227" w:hanging="227"/>
              <w:rPr>
                <w:rFonts w:eastAsiaTheme="minorHAnsi" w:cstheme="minorBidi"/>
                <w:sz w:val="18"/>
              </w:rPr>
            </w:pPr>
            <w:r w:rsidRPr="00C7705D">
              <w:rPr>
                <w:rFonts w:eastAsiaTheme="minorHAnsi" w:cstheme="minorBidi"/>
                <w:sz w:val="18"/>
              </w:rPr>
              <w:t>mean difference -16.3%, 95% CI -24.3 to -8.3</w:t>
            </w:r>
          </w:p>
          <w:p w14:paraId="07F77898" w14:textId="77777777" w:rsidR="006B010E" w:rsidRDefault="006B010E" w:rsidP="006B010E">
            <w:pPr>
              <w:pStyle w:val="Table10ptbullet"/>
              <w:numPr>
                <w:ilvl w:val="0"/>
                <w:numId w:val="2"/>
              </w:numPr>
              <w:ind w:left="227" w:hanging="227"/>
            </w:pPr>
            <w:r w:rsidRPr="00C7705D">
              <w:rPr>
                <w:rFonts w:eastAsiaTheme="minorHAnsi" w:cstheme="minorBidi"/>
                <w:sz w:val="18"/>
              </w:rPr>
              <w:t>mean number of drugs/patient was not signific</w:t>
            </w:r>
            <w:r>
              <w:rPr>
                <w:rFonts w:eastAsiaTheme="minorHAnsi" w:cstheme="minorBidi"/>
                <w:sz w:val="18"/>
              </w:rPr>
              <w:t xml:space="preserve">antly reduced (mean difference </w:t>
            </w:r>
            <w:r w:rsidRPr="00C7705D">
              <w:rPr>
                <w:rFonts w:eastAsiaTheme="minorHAnsi" w:cstheme="minorBidi"/>
                <w:sz w:val="18"/>
              </w:rPr>
              <w:t>-4.7%, 95% CI -9.6 to 0.2)</w:t>
            </w:r>
          </w:p>
        </w:tc>
        <w:tc>
          <w:tcPr>
            <w:tcW w:w="2658" w:type="dxa"/>
          </w:tcPr>
          <w:p w14:paraId="3BDA231B" w14:textId="77777777" w:rsidR="006B010E" w:rsidRDefault="006B010E" w:rsidP="006B010E">
            <w:pPr>
              <w:pStyle w:val="Table10ptalignedleft"/>
            </w:pPr>
            <w:r>
              <w:t>Community pharmacy based medication review has a positive effect on reducing potential DRPs in the elderly.  However, no link was made to any patient health outcomes, such as quality of life, morbidity and mortality</w:t>
            </w:r>
          </w:p>
        </w:tc>
      </w:tr>
      <w:tr w:rsidR="006B010E" w:rsidRPr="00623AA1" w14:paraId="47E45057" w14:textId="77777777" w:rsidTr="00626A83">
        <w:tc>
          <w:tcPr>
            <w:tcW w:w="1227" w:type="dxa"/>
          </w:tcPr>
          <w:p w14:paraId="16E53AB1" w14:textId="77777777" w:rsidR="006B010E" w:rsidRDefault="006B010E" w:rsidP="006B010E">
            <w:pPr>
              <w:pStyle w:val="Table10ptalignedleft"/>
            </w:pPr>
            <w:r>
              <w:t>Bouvy (2003)</w:t>
            </w:r>
          </w:p>
          <w:p w14:paraId="7309457B" w14:textId="77777777" w:rsidR="006B010E" w:rsidRDefault="006B010E" w:rsidP="006B010E">
            <w:pPr>
              <w:pStyle w:val="Table10ptalignedleft"/>
            </w:pPr>
            <w:r>
              <w:t>The Netherlands</w:t>
            </w:r>
          </w:p>
        </w:tc>
        <w:tc>
          <w:tcPr>
            <w:tcW w:w="1792" w:type="dxa"/>
          </w:tcPr>
          <w:p w14:paraId="45BB6DD4" w14:textId="77777777" w:rsidR="006B010E" w:rsidRDefault="006B010E" w:rsidP="006B010E">
            <w:pPr>
              <w:pStyle w:val="Table10ptalignedleft"/>
            </w:pPr>
            <w:r>
              <w:t>RCT</w:t>
            </w:r>
          </w:p>
          <w:p w14:paraId="42713874" w14:textId="77777777" w:rsidR="006B010E" w:rsidRDefault="006B010E" w:rsidP="006B010E">
            <w:pPr>
              <w:pStyle w:val="Table10ptalignedleft"/>
            </w:pPr>
            <w:r>
              <w:t xml:space="preserve">N=152 </w:t>
            </w:r>
          </w:p>
          <w:p w14:paraId="0C8F9D33" w14:textId="77777777" w:rsidR="006B010E" w:rsidRPr="00F32EB0" w:rsidRDefault="006B010E" w:rsidP="006B010E">
            <w:pPr>
              <w:pStyle w:val="Table10ptalignedleft"/>
            </w:pPr>
            <w:r>
              <w:t>6 months</w:t>
            </w:r>
          </w:p>
        </w:tc>
        <w:tc>
          <w:tcPr>
            <w:tcW w:w="1967" w:type="dxa"/>
          </w:tcPr>
          <w:p w14:paraId="7C8E65F2" w14:textId="59AA42D5" w:rsidR="006B010E" w:rsidRDefault="006B010E" w:rsidP="006B010E">
            <w:pPr>
              <w:pStyle w:val="Table10ptalignedleft"/>
            </w:pPr>
            <w:r>
              <w:t>Patients with moderate to severe heart failu</w:t>
            </w:r>
            <w:r w:rsidR="001E38B6">
              <w:t>re (</w:t>
            </w:r>
            <w:r>
              <w:t>NYHA] II and III), treated with loop diuretics</w:t>
            </w:r>
          </w:p>
          <w:p w14:paraId="7DE9EC7F" w14:textId="77777777" w:rsidR="006B010E" w:rsidRPr="00F32EB0" w:rsidRDefault="006B010E" w:rsidP="006B010E">
            <w:pPr>
              <w:pStyle w:val="Table10ptalignedleft"/>
            </w:pPr>
            <w:r>
              <w:t>(n=74 intervention / 78 control)</w:t>
            </w:r>
          </w:p>
        </w:tc>
        <w:tc>
          <w:tcPr>
            <w:tcW w:w="1416" w:type="dxa"/>
          </w:tcPr>
          <w:p w14:paraId="1222C072" w14:textId="77777777" w:rsidR="006B010E" w:rsidRDefault="006B010E" w:rsidP="006B010E">
            <w:pPr>
              <w:pStyle w:val="Table10ptalignedleft"/>
            </w:pPr>
            <w:r>
              <w:t>Community pharmacy based medication review vs usual care</w:t>
            </w:r>
          </w:p>
        </w:tc>
        <w:tc>
          <w:tcPr>
            <w:tcW w:w="5500" w:type="dxa"/>
          </w:tcPr>
          <w:p w14:paraId="5A3D9613" w14:textId="77777777" w:rsidR="006B010E" w:rsidRPr="008832C1" w:rsidRDefault="006B010E" w:rsidP="006B010E">
            <w:pPr>
              <w:pStyle w:val="Table10ptalignedleft"/>
            </w:pPr>
            <w:r w:rsidRPr="008832C1">
              <w:t>Medication compliance</w:t>
            </w:r>
          </w:p>
          <w:p w14:paraId="07B34DBE" w14:textId="77777777" w:rsidR="006B010E" w:rsidRPr="008832C1" w:rsidRDefault="006B010E" w:rsidP="006B010E">
            <w:pPr>
              <w:pStyle w:val="Table10ptbullet"/>
              <w:numPr>
                <w:ilvl w:val="0"/>
                <w:numId w:val="2"/>
              </w:numPr>
              <w:ind w:left="227" w:hanging="227"/>
              <w:rPr>
                <w:rFonts w:eastAsiaTheme="minorHAnsi" w:cstheme="minorBidi"/>
                <w:sz w:val="18"/>
              </w:rPr>
            </w:pPr>
            <w:r w:rsidRPr="008832C1">
              <w:rPr>
                <w:rFonts w:eastAsiaTheme="minorHAnsi" w:cstheme="minorBidi"/>
                <w:sz w:val="18"/>
              </w:rPr>
              <w:t xml:space="preserve">days without use of loop diuretics: 140/7656 intervention vs 337/6196 control (RR 0.33, 95% CI 0.24–0.38) </w:t>
            </w:r>
          </w:p>
          <w:p w14:paraId="04BA28A6" w14:textId="77777777" w:rsidR="006B010E" w:rsidRPr="008832C1"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t</w:t>
            </w:r>
            <w:r w:rsidRPr="008832C1">
              <w:rPr>
                <w:rFonts w:eastAsiaTheme="minorHAnsi" w:cstheme="minorBidi"/>
                <w:sz w:val="18"/>
              </w:rPr>
              <w:t>wo consecutive days of non-dosing</w:t>
            </w:r>
            <w:r>
              <w:rPr>
                <w:rFonts w:eastAsiaTheme="minorHAnsi" w:cstheme="minorBidi"/>
                <w:sz w:val="18"/>
              </w:rPr>
              <w:t xml:space="preserve">: 18/7656 </w:t>
            </w:r>
            <w:r w:rsidRPr="008832C1">
              <w:rPr>
                <w:rFonts w:eastAsiaTheme="minorHAnsi" w:cstheme="minorBidi"/>
                <w:sz w:val="18"/>
              </w:rPr>
              <w:t>intervention vs 46/6196 control (RR 0.32, 95% CI 0.19–0.55)</w:t>
            </w:r>
          </w:p>
          <w:p w14:paraId="74B62BBD" w14:textId="77777777" w:rsidR="006B010E" w:rsidRPr="007C1C03" w:rsidRDefault="006B010E" w:rsidP="006B010E">
            <w:pPr>
              <w:pStyle w:val="Table10ptalignedleft"/>
            </w:pPr>
            <w:r w:rsidRPr="007C1C03">
              <w:t>Mortality</w:t>
            </w:r>
          </w:p>
          <w:p w14:paraId="0BB8DDC9" w14:textId="77777777" w:rsidR="006B010E" w:rsidRPr="008832C1"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n</w:t>
            </w:r>
            <w:r w:rsidRPr="008832C1">
              <w:rPr>
                <w:rFonts w:eastAsiaTheme="minorHAnsi" w:cstheme="minorBidi"/>
                <w:sz w:val="18"/>
              </w:rPr>
              <w:t>o SS difference between groups</w:t>
            </w:r>
          </w:p>
          <w:p w14:paraId="4E211FB1" w14:textId="77777777" w:rsidR="006B010E" w:rsidRPr="008832C1" w:rsidRDefault="006B010E" w:rsidP="006B010E">
            <w:pPr>
              <w:pStyle w:val="Table10ptalignedleft"/>
            </w:pPr>
            <w:r w:rsidRPr="008832C1">
              <w:t>R</w:t>
            </w:r>
            <w:r>
              <w:t>ehospitalisation</w:t>
            </w:r>
          </w:p>
          <w:p w14:paraId="67C9A190" w14:textId="77777777" w:rsidR="006B010E" w:rsidRPr="008832C1"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n</w:t>
            </w:r>
            <w:r w:rsidRPr="008832C1">
              <w:rPr>
                <w:rFonts w:eastAsiaTheme="minorHAnsi" w:cstheme="minorBidi"/>
                <w:sz w:val="18"/>
              </w:rPr>
              <w:t>o SS difference between groups</w:t>
            </w:r>
          </w:p>
          <w:p w14:paraId="3D481077" w14:textId="77777777" w:rsidR="006B010E" w:rsidRPr="008832C1" w:rsidRDefault="006B010E" w:rsidP="006B010E">
            <w:pPr>
              <w:pStyle w:val="Table10ptalignedleft"/>
            </w:pPr>
            <w:r w:rsidRPr="008832C1">
              <w:t>QoL</w:t>
            </w:r>
          </w:p>
          <w:p w14:paraId="10AC8870" w14:textId="77777777" w:rsidR="006B010E" w:rsidRPr="008832C1" w:rsidRDefault="006B010E" w:rsidP="006B010E">
            <w:pPr>
              <w:pStyle w:val="Table10ptbullet"/>
              <w:numPr>
                <w:ilvl w:val="0"/>
                <w:numId w:val="2"/>
              </w:numPr>
              <w:ind w:left="227" w:hanging="227"/>
            </w:pPr>
            <w:r w:rsidRPr="008832C1">
              <w:rPr>
                <w:rFonts w:eastAsiaTheme="minorHAnsi" w:cstheme="minorBidi"/>
                <w:sz w:val="18"/>
              </w:rPr>
              <w:t>no significant differences between groups</w:t>
            </w:r>
          </w:p>
        </w:tc>
        <w:tc>
          <w:tcPr>
            <w:tcW w:w="2658" w:type="dxa"/>
          </w:tcPr>
          <w:p w14:paraId="45FAF70C" w14:textId="77777777" w:rsidR="006B010E" w:rsidRDefault="006B010E" w:rsidP="006B010E">
            <w:pPr>
              <w:pStyle w:val="Table10ptalignedleft"/>
            </w:pPr>
            <w:r w:rsidRPr="00103115">
              <w:t>A pharmacy-led intervention can improve medication compliance in patients with moderate to severe heart failure, even in those with relatively high compliance. Future interventions should also focus at less compliant patients</w:t>
            </w:r>
          </w:p>
        </w:tc>
      </w:tr>
      <w:tr w:rsidR="006B010E" w:rsidRPr="00623AA1" w14:paraId="3B016BB2" w14:textId="77777777" w:rsidTr="00626A83">
        <w:trPr>
          <w:cnfStyle w:val="000000010000" w:firstRow="0" w:lastRow="0" w:firstColumn="0" w:lastColumn="0" w:oddVBand="0" w:evenVBand="0" w:oddHBand="0" w:evenHBand="1" w:firstRowFirstColumn="0" w:firstRowLastColumn="0" w:lastRowFirstColumn="0" w:lastRowLastColumn="0"/>
        </w:trPr>
        <w:tc>
          <w:tcPr>
            <w:tcW w:w="1227" w:type="dxa"/>
          </w:tcPr>
          <w:p w14:paraId="1CEAF04D" w14:textId="7FAA624F" w:rsidR="006B010E" w:rsidRDefault="006B010E" w:rsidP="006B010E">
            <w:pPr>
              <w:pStyle w:val="Table10ptalignedleft"/>
            </w:pPr>
            <w:r>
              <w:lastRenderedPageBreak/>
              <w:t>Bernsten (2001) Multi</w:t>
            </w:r>
            <w:r w:rsidR="005A297C">
              <w:t>centre</w:t>
            </w:r>
            <w:r>
              <w:t xml:space="preserve"> (Europe)</w:t>
            </w:r>
          </w:p>
        </w:tc>
        <w:tc>
          <w:tcPr>
            <w:tcW w:w="1792" w:type="dxa"/>
          </w:tcPr>
          <w:p w14:paraId="7C117384" w14:textId="77777777" w:rsidR="006B010E" w:rsidRPr="00800726" w:rsidRDefault="006B010E" w:rsidP="006B010E">
            <w:pPr>
              <w:pStyle w:val="Table10ptalignedleft"/>
            </w:pPr>
            <w:r w:rsidRPr="00800726">
              <w:t xml:space="preserve">RCT </w:t>
            </w:r>
          </w:p>
          <w:p w14:paraId="44897BF9" w14:textId="3AD42D93" w:rsidR="006B010E" w:rsidRDefault="006B010E" w:rsidP="006B010E">
            <w:pPr>
              <w:pStyle w:val="Table10ptalignedleft"/>
            </w:pPr>
            <w:r w:rsidRPr="00800726">
              <w:t>N=2,454</w:t>
            </w:r>
            <w:r>
              <w:t xml:space="preserve"> (190 community </w:t>
            </w:r>
            <w:r w:rsidR="00BA126A">
              <w:t>pharmacies</w:t>
            </w:r>
            <w:r>
              <w:t>)</w:t>
            </w:r>
          </w:p>
          <w:p w14:paraId="6965E462" w14:textId="77777777" w:rsidR="006B010E" w:rsidRPr="00F32EB0" w:rsidRDefault="006B010E" w:rsidP="006B010E">
            <w:pPr>
              <w:pStyle w:val="Table10ptalignedleft"/>
            </w:pPr>
            <w:r>
              <w:t xml:space="preserve">18 </w:t>
            </w:r>
            <w:r w:rsidRPr="00800726">
              <w:t>month</w:t>
            </w:r>
            <w:r>
              <w:t>s</w:t>
            </w:r>
            <w:r w:rsidRPr="00800726">
              <w:t xml:space="preserve"> </w:t>
            </w:r>
          </w:p>
        </w:tc>
        <w:tc>
          <w:tcPr>
            <w:tcW w:w="1967" w:type="dxa"/>
          </w:tcPr>
          <w:p w14:paraId="04F77725" w14:textId="77777777" w:rsidR="006B010E" w:rsidRPr="00F32EB0" w:rsidRDefault="006B010E" w:rsidP="006B010E">
            <w:pPr>
              <w:pStyle w:val="Table10ptalignedleft"/>
            </w:pPr>
            <w:r w:rsidRPr="00EF561D">
              <w:t>Patients≥65 years taking at least 4 prescribed medications, n=1,290 intervention/1,164 control</w:t>
            </w:r>
          </w:p>
        </w:tc>
        <w:tc>
          <w:tcPr>
            <w:tcW w:w="1416" w:type="dxa"/>
          </w:tcPr>
          <w:p w14:paraId="24A27D5E" w14:textId="77777777" w:rsidR="006B010E" w:rsidRDefault="006B010E" w:rsidP="006B010E">
            <w:pPr>
              <w:pStyle w:val="Table10ptalignedleft"/>
            </w:pPr>
            <w:r>
              <w:t>Community pharmacy based medication review vs usual care</w:t>
            </w:r>
          </w:p>
        </w:tc>
        <w:tc>
          <w:tcPr>
            <w:tcW w:w="5500" w:type="dxa"/>
          </w:tcPr>
          <w:p w14:paraId="08B03819" w14:textId="77777777" w:rsidR="006B010E" w:rsidRDefault="006B010E" w:rsidP="006B010E">
            <w:pPr>
              <w:pStyle w:val="Table10ptalignedleft"/>
            </w:pPr>
            <w:r>
              <w:t>QoL</w:t>
            </w:r>
          </w:p>
          <w:p w14:paraId="6B64CC5B" w14:textId="77777777" w:rsidR="006B010E" w:rsidRPr="00FC7072"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n</w:t>
            </w:r>
            <w:r w:rsidRPr="00FC7072">
              <w:rPr>
                <w:rFonts w:eastAsiaTheme="minorHAnsi" w:cstheme="minorBidi"/>
                <w:sz w:val="18"/>
              </w:rPr>
              <w:t>o SS differences betwe</w:t>
            </w:r>
            <w:r>
              <w:rPr>
                <w:rFonts w:eastAsiaTheme="minorHAnsi" w:cstheme="minorBidi"/>
                <w:sz w:val="18"/>
              </w:rPr>
              <w:t>en groups</w:t>
            </w:r>
          </w:p>
          <w:p w14:paraId="15009E85" w14:textId="77777777" w:rsidR="006B010E" w:rsidRPr="00FC7072" w:rsidRDefault="006B010E" w:rsidP="006B010E">
            <w:pPr>
              <w:pStyle w:val="Table10ptalignedleft"/>
            </w:pPr>
            <w:r w:rsidRPr="00FC7072">
              <w:t>Hospital admissions</w:t>
            </w:r>
          </w:p>
          <w:p w14:paraId="53CE17AD" w14:textId="77777777" w:rsidR="006B010E" w:rsidRPr="00FC7072" w:rsidRDefault="006B010E" w:rsidP="006B010E">
            <w:pPr>
              <w:pStyle w:val="Table10ptbullet"/>
              <w:numPr>
                <w:ilvl w:val="0"/>
                <w:numId w:val="2"/>
              </w:numPr>
              <w:ind w:left="227" w:hanging="227"/>
              <w:rPr>
                <w:rFonts w:eastAsiaTheme="minorHAnsi" w:cstheme="minorBidi"/>
                <w:sz w:val="18"/>
              </w:rPr>
            </w:pPr>
            <w:r w:rsidRPr="00FC7072">
              <w:rPr>
                <w:rFonts w:eastAsiaTheme="minorHAnsi" w:cstheme="minorBidi"/>
                <w:sz w:val="18"/>
              </w:rPr>
              <w:t>35.6% vs 40.4% (p&gt;0.05)</w:t>
            </w:r>
          </w:p>
          <w:p w14:paraId="246F2D01" w14:textId="77777777" w:rsidR="006B010E" w:rsidRPr="00FC7072" w:rsidRDefault="006B010E" w:rsidP="006B010E">
            <w:pPr>
              <w:pStyle w:val="Table10ptalignedleft"/>
            </w:pPr>
            <w:r w:rsidRPr="00FC7072">
              <w:t>Patient satisfaction</w:t>
            </w:r>
          </w:p>
          <w:p w14:paraId="581E3B14" w14:textId="77777777" w:rsidR="006B010E" w:rsidRPr="00FC7072"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a</w:t>
            </w:r>
            <w:r w:rsidRPr="00FC7072">
              <w:rPr>
                <w:rFonts w:eastAsiaTheme="minorHAnsi" w:cstheme="minorBidi"/>
                <w:sz w:val="18"/>
              </w:rPr>
              <w:t>t baseline: 66% intervention vs 68% control rated pharmacy services as excellent</w:t>
            </w:r>
          </w:p>
          <w:p w14:paraId="1ACD658E" w14:textId="77777777" w:rsidR="006B010E" w:rsidRPr="00FC7072" w:rsidRDefault="006B010E" w:rsidP="006B010E">
            <w:pPr>
              <w:pStyle w:val="Table10ptbullet"/>
              <w:numPr>
                <w:ilvl w:val="0"/>
                <w:numId w:val="2"/>
              </w:numPr>
              <w:ind w:left="227" w:hanging="227"/>
              <w:rPr>
                <w:rFonts w:eastAsiaTheme="minorHAnsi" w:cstheme="minorBidi"/>
                <w:sz w:val="18"/>
              </w:rPr>
            </w:pPr>
            <w:r w:rsidRPr="00FC7072">
              <w:rPr>
                <w:rFonts w:eastAsiaTheme="minorHAnsi" w:cstheme="minorBidi"/>
                <w:sz w:val="18"/>
              </w:rPr>
              <w:t>18-months follow-up: 74% intervention vs 65% control rated pharmacy services as excellent (p=0.018)</w:t>
            </w:r>
          </w:p>
          <w:p w14:paraId="54BDB2A8" w14:textId="77777777" w:rsidR="006B010E" w:rsidRPr="00FC7072" w:rsidRDefault="006B010E" w:rsidP="006B010E">
            <w:pPr>
              <w:pStyle w:val="Table10ptalignedleft"/>
            </w:pPr>
            <w:r w:rsidRPr="00FC7072">
              <w:t>Clinical signs and symptom control</w:t>
            </w:r>
          </w:p>
          <w:p w14:paraId="0C7BA81B" w14:textId="70746FAA" w:rsidR="006B010E" w:rsidRPr="00FC7072" w:rsidRDefault="006B010E" w:rsidP="006B010E">
            <w:pPr>
              <w:pStyle w:val="Table10ptbullet"/>
              <w:numPr>
                <w:ilvl w:val="0"/>
                <w:numId w:val="2"/>
              </w:numPr>
              <w:ind w:left="227" w:hanging="227"/>
            </w:pPr>
            <w:r w:rsidRPr="00FC7072">
              <w:rPr>
                <w:rFonts w:eastAsiaTheme="minorHAnsi" w:cstheme="minorBidi"/>
                <w:sz w:val="18"/>
              </w:rPr>
              <w:t>intervention patients agreed they had better control of their medication during the study at 6, 12 &amp; 18 months (73%, 71% &amp; 7</w:t>
            </w:r>
            <w:r w:rsidR="00E07125">
              <w:rPr>
                <w:rFonts w:eastAsiaTheme="minorHAnsi" w:cstheme="minorBidi"/>
                <w:sz w:val="18"/>
              </w:rPr>
              <w:t>5% - excludes t</w:t>
            </w:r>
            <w:r w:rsidRPr="00FC7072">
              <w:rPr>
                <w:rFonts w:eastAsiaTheme="minorHAnsi" w:cstheme="minorBidi"/>
                <w:sz w:val="18"/>
              </w:rPr>
              <w:t>he Netherlands cohort)</w:t>
            </w:r>
          </w:p>
          <w:p w14:paraId="7EECDBD0" w14:textId="77777777" w:rsidR="006B010E" w:rsidRPr="00FC7072" w:rsidRDefault="006B010E" w:rsidP="006B010E">
            <w:pPr>
              <w:pStyle w:val="Table10ptalignedleft"/>
            </w:pPr>
            <w:r>
              <w:t>Cost of healthcare</w:t>
            </w:r>
          </w:p>
          <w:p w14:paraId="5FB9A9C1" w14:textId="77777777" w:rsidR="006B010E" w:rsidRDefault="006B010E" w:rsidP="006B010E">
            <w:pPr>
              <w:pStyle w:val="Table10ptbullet"/>
              <w:numPr>
                <w:ilvl w:val="0"/>
                <w:numId w:val="2"/>
              </w:numPr>
              <w:ind w:left="227" w:hanging="227"/>
            </w:pPr>
            <w:r>
              <w:t>no SS difference between total costs for the control and intervention group in any country</w:t>
            </w:r>
          </w:p>
          <w:p w14:paraId="70B2403B" w14:textId="77777777" w:rsidR="006B010E" w:rsidRDefault="006B010E" w:rsidP="006B010E">
            <w:pPr>
              <w:pStyle w:val="Table10ptalignedleft"/>
            </w:pPr>
            <w:r>
              <w:t>Adherence</w:t>
            </w:r>
          </w:p>
          <w:p w14:paraId="0156FF97" w14:textId="77777777" w:rsidR="006B010E" w:rsidRPr="00000730" w:rsidRDefault="006B010E" w:rsidP="006B010E">
            <w:pPr>
              <w:pStyle w:val="Table10ptbullet"/>
              <w:numPr>
                <w:ilvl w:val="0"/>
                <w:numId w:val="2"/>
              </w:numPr>
              <w:ind w:left="227" w:hanging="227"/>
            </w:pPr>
            <w:r>
              <w:t>no SS difference between groups</w:t>
            </w:r>
          </w:p>
        </w:tc>
        <w:tc>
          <w:tcPr>
            <w:tcW w:w="2658" w:type="dxa"/>
          </w:tcPr>
          <w:p w14:paraId="0197E38E" w14:textId="77777777" w:rsidR="006B010E" w:rsidRDefault="006B010E" w:rsidP="006B010E">
            <w:pPr>
              <w:pStyle w:val="Table10ptalignedleft"/>
            </w:pPr>
            <w:r>
              <w:t>Community pharmacy based medication review had no significant effect on QoL, adherence, hospitalisation, or costs.  However, it resulted in greater patient satisfaction and control of their symptoms</w:t>
            </w:r>
          </w:p>
        </w:tc>
      </w:tr>
    </w:tbl>
    <w:p w14:paraId="408D57FA" w14:textId="5EBA045F" w:rsidR="006B010E" w:rsidRPr="007F6AF8" w:rsidRDefault="006B010E" w:rsidP="006B010E">
      <w:pPr>
        <w:pStyle w:val="TableorFigurefootnote"/>
      </w:pPr>
      <w:r w:rsidRPr="007F6AF8">
        <w:t xml:space="preserve">Abbreviations: </w:t>
      </w:r>
      <w:r>
        <w:t xml:space="preserve">CABG, coronary artery bypass graft; CHD, </w:t>
      </w:r>
      <w:r w:rsidRPr="00CE6725">
        <w:t>coronary heart disease</w:t>
      </w:r>
      <w:r>
        <w:t xml:space="preserve">; </w:t>
      </w:r>
      <w:r w:rsidR="00A744A4">
        <w:t xml:space="preserve">CI, confidence interval; </w:t>
      </w:r>
      <w:r w:rsidR="00F333E2">
        <w:t>D</w:t>
      </w:r>
      <w:r w:rsidR="00F333E2" w:rsidRPr="00F333E2">
        <w:t>PPR, Daily Polypharmacy Possession Ratio</w:t>
      </w:r>
      <w:r w:rsidR="00F333E2">
        <w:t xml:space="preserve">; </w:t>
      </w:r>
      <w:r w:rsidR="00A744A4">
        <w:t>DRP, drug</w:t>
      </w:r>
      <w:r w:rsidR="0088796C">
        <w:t>-</w:t>
      </w:r>
      <w:r w:rsidR="00A744A4">
        <w:t xml:space="preserve">related problem; </w:t>
      </w:r>
      <w:r w:rsidR="00A744A4" w:rsidRPr="00A744A4">
        <w:t>FRID, fall</w:t>
      </w:r>
      <w:r w:rsidR="0088796C">
        <w:t xml:space="preserve"> risk-</w:t>
      </w:r>
      <w:r w:rsidR="00A744A4" w:rsidRPr="00A744A4">
        <w:t>increasing drug</w:t>
      </w:r>
      <w:r w:rsidR="00A744A4">
        <w:t>;</w:t>
      </w:r>
      <w:r w:rsidR="00A744A4" w:rsidRPr="00A744A4">
        <w:t xml:space="preserve"> </w:t>
      </w:r>
      <w:r w:rsidR="00F333E2">
        <w:t>ED, emergency department;</w:t>
      </w:r>
      <w:r>
        <w:t xml:space="preserve"> </w:t>
      </w:r>
      <w:r w:rsidR="00F333E2" w:rsidRPr="00F333E2">
        <w:t xml:space="preserve">MI, myocardial infarction; MPR, </w:t>
      </w:r>
      <w:r w:rsidR="00660443">
        <w:t>M</w:t>
      </w:r>
      <w:r w:rsidR="00F333E2" w:rsidRPr="00F333E2">
        <w:t xml:space="preserve">edication </w:t>
      </w:r>
      <w:r w:rsidR="00660443">
        <w:t>P</w:t>
      </w:r>
      <w:r w:rsidR="00F333E2" w:rsidRPr="00F333E2">
        <w:t xml:space="preserve">ossession </w:t>
      </w:r>
      <w:r w:rsidR="00660443">
        <w:t>R</w:t>
      </w:r>
      <w:r w:rsidR="00F333E2" w:rsidRPr="00F333E2">
        <w:t xml:space="preserve">atio; NSF, National Service Framework; </w:t>
      </w:r>
      <w:r w:rsidR="001E38B6">
        <w:t xml:space="preserve">NYHA, New York Heart Association; </w:t>
      </w:r>
      <w:r w:rsidR="00F333E2">
        <w:t>OR</w:t>
      </w:r>
      <w:r w:rsidR="00A744A4" w:rsidRPr="00A744A4">
        <w:t>, odds ratio</w:t>
      </w:r>
      <w:r w:rsidR="00A744A4">
        <w:t>;</w:t>
      </w:r>
      <w:r w:rsidR="00A744A4" w:rsidRPr="00A744A4">
        <w:t xml:space="preserve"> </w:t>
      </w:r>
      <w:r>
        <w:t>P</w:t>
      </w:r>
      <w:r w:rsidRPr="001F6620">
        <w:t>TCA percutaneous transluminal coronary angioplasty</w:t>
      </w:r>
      <w:r>
        <w:t>;</w:t>
      </w:r>
      <w:r w:rsidR="00A744A4">
        <w:t xml:space="preserve"> </w:t>
      </w:r>
      <w:r w:rsidRPr="007F6AF8">
        <w:t xml:space="preserve">QoL, quality of life; RCT, randomised controlled trial; </w:t>
      </w:r>
      <w:r w:rsidR="00B565DD">
        <w:t xml:space="preserve">RR, relative risk (risk ratio); </w:t>
      </w:r>
      <w:r w:rsidRPr="007F6AF8">
        <w:t xml:space="preserve">SD, standard deviation; </w:t>
      </w:r>
      <w:r>
        <w:t xml:space="preserve">SS, statistically significant; </w:t>
      </w:r>
      <w:r w:rsidRPr="007F6AF8">
        <w:t>TRP, treatment-related problem;</w:t>
      </w:r>
      <w:r>
        <w:t xml:space="preserve"> UK, United Kingdom; USA, United States of America; </w:t>
      </w:r>
      <w:r w:rsidRPr="007F6AF8">
        <w:t>vs, versus</w:t>
      </w:r>
    </w:p>
    <w:p w14:paraId="64F1CA88" w14:textId="34E768E2" w:rsidR="006B010E" w:rsidRDefault="006B010E" w:rsidP="00BA126A">
      <w:pPr>
        <w:pStyle w:val="TableorFigurefootnote"/>
        <w:rPr>
          <w:sz w:val="24"/>
        </w:rPr>
      </w:pPr>
      <w:r w:rsidRPr="007F6AF8">
        <w:t xml:space="preserve">a The main conSIGUE study was a cluster RCT carried out in 178 community pharmacies in four Spanish provinces aimed at assessing the clinical, economic and humanistic impact of the medication review performed in community pharmacy on aged polypharmacy patients. Citation: Martinez-Martinez F, Farragher T, Faus M, Garcia-Cardenas V, Gastelurrutia M, Jodar F. Clinical, economic and humanistic outcomes of medication review with follow-up in aged polypharmacy patients in the Spanish community pharmacy. Madrid: General Council of Spanish Pharmacists; 2014 (cited 2015 Feb 18) (ISBN: 9788487276835). </w:t>
      </w:r>
      <w:hyperlink r:id="rId18" w:history="1">
        <w:r w:rsidRPr="007F6AF8">
          <w:rPr>
            <w:rStyle w:val="Hyperlink"/>
            <w:color w:val="auto"/>
            <w:u w:val="none"/>
          </w:rPr>
          <w:t>http://www.pharmaceutical-care.org/archivos/992/V2-Resultados-Definitivos-Programa- Consigue-Impacto-2011 2014.pdf</w:t>
        </w:r>
      </w:hyperlink>
    </w:p>
    <w:p w14:paraId="2AF3AB09" w14:textId="77777777" w:rsidR="006B010E" w:rsidRDefault="006B010E" w:rsidP="006B010E">
      <w:pPr>
        <w:spacing w:before="240" w:after="0"/>
        <w:jc w:val="both"/>
        <w:rPr>
          <w:rFonts w:ascii="Garamond" w:hAnsi="Garamond"/>
          <w:sz w:val="24"/>
        </w:rPr>
        <w:sectPr w:rsidR="006B010E" w:rsidSect="008046C0">
          <w:pgSz w:w="16838" w:h="11906" w:orient="landscape" w:code="9"/>
          <w:pgMar w:top="1134" w:right="1134" w:bottom="1134" w:left="1134" w:header="680" w:footer="680" w:gutter="0"/>
          <w:cols w:space="708"/>
          <w:docGrid w:linePitch="360"/>
        </w:sectPr>
      </w:pPr>
    </w:p>
    <w:p w14:paraId="60F533C3" w14:textId="77777777" w:rsidR="006B010E" w:rsidRDefault="006B010E" w:rsidP="006B010E">
      <w:pPr>
        <w:spacing w:before="240" w:after="0"/>
        <w:jc w:val="both"/>
        <w:rPr>
          <w:rFonts w:ascii="Garamond" w:hAnsi="Garamond"/>
          <w:sz w:val="24"/>
        </w:rPr>
      </w:pPr>
      <w:r>
        <w:rPr>
          <w:rFonts w:ascii="Garamond" w:hAnsi="Garamond"/>
          <w:sz w:val="24"/>
        </w:rPr>
        <w:lastRenderedPageBreak/>
        <w:t>The RCT by Misserli et al (2016)</w:t>
      </w:r>
      <w:r w:rsidRPr="00F7590A">
        <w:t xml:space="preserve"> </w:t>
      </w:r>
      <w:r>
        <w:rPr>
          <w:rFonts w:ascii="Garamond" w:hAnsi="Garamond"/>
          <w:sz w:val="24"/>
        </w:rPr>
        <w:t xml:space="preserve">evaluated </w:t>
      </w:r>
      <w:r w:rsidRPr="00F7590A">
        <w:rPr>
          <w:rFonts w:ascii="Garamond" w:hAnsi="Garamond"/>
          <w:sz w:val="24"/>
        </w:rPr>
        <w:t xml:space="preserve">the impact of </w:t>
      </w:r>
      <w:r>
        <w:rPr>
          <w:rFonts w:ascii="Garamond" w:hAnsi="Garamond"/>
          <w:sz w:val="24"/>
        </w:rPr>
        <w:t>community pharmacy based medication review, Polymedication Check (PMC)</w:t>
      </w:r>
      <w:r w:rsidRPr="00F7590A">
        <w:rPr>
          <w:rFonts w:ascii="Garamond" w:hAnsi="Garamond"/>
          <w:sz w:val="24"/>
        </w:rPr>
        <w:t xml:space="preserve"> </w:t>
      </w:r>
      <w:r>
        <w:rPr>
          <w:rFonts w:ascii="Garamond" w:hAnsi="Garamond"/>
          <w:sz w:val="24"/>
        </w:rPr>
        <w:t xml:space="preserve">on </w:t>
      </w:r>
      <w:r w:rsidRPr="00F7590A">
        <w:rPr>
          <w:rFonts w:ascii="Garamond" w:hAnsi="Garamond"/>
          <w:sz w:val="24"/>
        </w:rPr>
        <w:t>pati</w:t>
      </w:r>
      <w:r>
        <w:rPr>
          <w:rFonts w:ascii="Garamond" w:hAnsi="Garamond"/>
          <w:sz w:val="24"/>
        </w:rPr>
        <w:t>ents’ adherence</w:t>
      </w:r>
      <w:r w:rsidRPr="00F7590A">
        <w:rPr>
          <w:rFonts w:ascii="Garamond" w:hAnsi="Garamond"/>
          <w:sz w:val="24"/>
        </w:rPr>
        <w:t>.</w:t>
      </w:r>
      <w:r>
        <w:rPr>
          <w:rFonts w:ascii="Garamond" w:hAnsi="Garamond"/>
          <w:sz w:val="24"/>
        </w:rPr>
        <w:t xml:space="preserve">  It included 450 patients prescribed four or more</w:t>
      </w:r>
      <w:r w:rsidRPr="00F7590A">
        <w:rPr>
          <w:rFonts w:ascii="Garamond" w:hAnsi="Garamond"/>
          <w:sz w:val="24"/>
        </w:rPr>
        <w:t xml:space="preserve"> medicines over &gt;3 months. </w:t>
      </w:r>
      <w:r>
        <w:rPr>
          <w:rFonts w:ascii="Garamond" w:hAnsi="Garamond"/>
          <w:sz w:val="24"/>
        </w:rPr>
        <w:t xml:space="preserve"> </w:t>
      </w:r>
      <w:r w:rsidRPr="00F7590A">
        <w:rPr>
          <w:rFonts w:ascii="Garamond" w:hAnsi="Garamond"/>
          <w:sz w:val="24"/>
        </w:rPr>
        <w:t>The intervention group</w:t>
      </w:r>
      <w:r>
        <w:rPr>
          <w:rFonts w:ascii="Garamond" w:hAnsi="Garamond"/>
          <w:sz w:val="24"/>
        </w:rPr>
        <w:t xml:space="preserve"> (n=</w:t>
      </w:r>
      <w:r w:rsidRPr="00F7590A">
        <w:rPr>
          <w:rFonts w:ascii="Garamond" w:hAnsi="Garamond"/>
          <w:sz w:val="24"/>
        </w:rPr>
        <w:t xml:space="preserve"> </w:t>
      </w:r>
      <w:r>
        <w:rPr>
          <w:rFonts w:ascii="Garamond" w:hAnsi="Garamond"/>
          <w:sz w:val="24"/>
        </w:rPr>
        <w:t xml:space="preserve">218) </w:t>
      </w:r>
      <w:r w:rsidRPr="00F7590A">
        <w:rPr>
          <w:rFonts w:ascii="Garamond" w:hAnsi="Garamond"/>
          <w:sz w:val="24"/>
        </w:rPr>
        <w:t>received a PMC</w:t>
      </w:r>
      <w:r>
        <w:rPr>
          <w:rFonts w:ascii="Garamond" w:hAnsi="Garamond"/>
          <w:sz w:val="24"/>
        </w:rPr>
        <w:t xml:space="preserve"> at study start (T-0) and after </w:t>
      </w:r>
      <w:r w:rsidRPr="00F7590A">
        <w:rPr>
          <w:rFonts w:ascii="Garamond" w:hAnsi="Garamond"/>
          <w:sz w:val="24"/>
        </w:rPr>
        <w:t>28 weeks (T-28) while the control group</w:t>
      </w:r>
      <w:r>
        <w:rPr>
          <w:rFonts w:ascii="Garamond" w:hAnsi="Garamond"/>
          <w:sz w:val="24"/>
        </w:rPr>
        <w:t xml:space="preserve"> (n=232)</w:t>
      </w:r>
      <w:r w:rsidRPr="00F7590A">
        <w:rPr>
          <w:rFonts w:ascii="Garamond" w:hAnsi="Garamond"/>
          <w:sz w:val="24"/>
        </w:rPr>
        <w:t xml:space="preserve"> received only a PMC at T-28.</w:t>
      </w:r>
      <w:r>
        <w:rPr>
          <w:rFonts w:ascii="Garamond" w:hAnsi="Garamond"/>
          <w:sz w:val="24"/>
        </w:rPr>
        <w:t xml:space="preserve">  </w:t>
      </w:r>
      <w:r w:rsidRPr="00F7590A">
        <w:rPr>
          <w:rFonts w:ascii="Garamond" w:hAnsi="Garamond"/>
          <w:sz w:val="24"/>
        </w:rPr>
        <w:t>Primary outcome measure was change in patients’ objective adherence, calc</w:t>
      </w:r>
      <w:r>
        <w:rPr>
          <w:rFonts w:ascii="Garamond" w:hAnsi="Garamond"/>
          <w:sz w:val="24"/>
        </w:rPr>
        <w:t xml:space="preserve">ulated as Medication Possession </w:t>
      </w:r>
      <w:r w:rsidRPr="00F7590A">
        <w:rPr>
          <w:rFonts w:ascii="Garamond" w:hAnsi="Garamond"/>
          <w:sz w:val="24"/>
        </w:rPr>
        <w:t>Ratio (MPR) and Daily Polypharmacy Possession Ratio (DPPR), using refi</w:t>
      </w:r>
      <w:r>
        <w:rPr>
          <w:rFonts w:ascii="Garamond" w:hAnsi="Garamond"/>
          <w:sz w:val="24"/>
        </w:rPr>
        <w:t xml:space="preserve">ll data from the pharmacies and </w:t>
      </w:r>
      <w:r w:rsidRPr="00F7590A">
        <w:rPr>
          <w:rFonts w:ascii="Garamond" w:hAnsi="Garamond"/>
          <w:sz w:val="24"/>
        </w:rPr>
        <w:t>patient information of dosing.</w:t>
      </w:r>
      <w:r>
        <w:rPr>
          <w:rFonts w:ascii="Garamond" w:hAnsi="Garamond"/>
          <w:sz w:val="24"/>
        </w:rPr>
        <w:t xml:space="preserve">  </w:t>
      </w:r>
      <w:r w:rsidRPr="00F7590A">
        <w:rPr>
          <w:rFonts w:ascii="Garamond" w:hAnsi="Garamond"/>
          <w:sz w:val="24"/>
        </w:rPr>
        <w:t>Subjective adherence was assessed as secondary outcome by self-report quest</w:t>
      </w:r>
      <w:r>
        <w:rPr>
          <w:rFonts w:ascii="Garamond" w:hAnsi="Garamond"/>
          <w:sz w:val="24"/>
        </w:rPr>
        <w:t xml:space="preserve">ionnaires (at T-0 and T-28) and </w:t>
      </w:r>
      <w:r w:rsidRPr="00F7590A">
        <w:rPr>
          <w:rFonts w:ascii="Garamond" w:hAnsi="Garamond"/>
          <w:sz w:val="24"/>
        </w:rPr>
        <w:t>telephone interviews (at T-2 and T-16), where participants estimated their overall adherence on a scale from 0–100 %.</w:t>
      </w:r>
      <w:r>
        <w:rPr>
          <w:rFonts w:ascii="Garamond" w:hAnsi="Garamond"/>
          <w:sz w:val="24"/>
        </w:rPr>
        <w:t xml:space="preserve">  The study was powered to detect a 5 % increase in objective adherence (with a baseline at around 60 %).  A major limitation of this study is its short duration of 28 weeks of follow-up, with only </w:t>
      </w:r>
      <w:r w:rsidRPr="00A35477">
        <w:rPr>
          <w:rFonts w:ascii="Garamond" w:hAnsi="Garamond"/>
          <w:sz w:val="24"/>
        </w:rPr>
        <w:t xml:space="preserve">two refills to </w:t>
      </w:r>
      <w:r>
        <w:rPr>
          <w:rFonts w:ascii="Garamond" w:hAnsi="Garamond"/>
          <w:sz w:val="24"/>
        </w:rPr>
        <w:t xml:space="preserve">be considered for evaluation of </w:t>
      </w:r>
      <w:r w:rsidRPr="00A35477">
        <w:rPr>
          <w:rFonts w:ascii="Garamond" w:hAnsi="Garamond"/>
          <w:sz w:val="24"/>
        </w:rPr>
        <w:t xml:space="preserve">adherence. </w:t>
      </w:r>
      <w:r>
        <w:rPr>
          <w:rFonts w:ascii="Garamond" w:hAnsi="Garamond"/>
          <w:sz w:val="24"/>
        </w:rPr>
        <w:t xml:space="preserve"> Studies assessing long-term non-adherence require one- to two-year follow-up periods.  Further, participants </w:t>
      </w:r>
      <w:r w:rsidRPr="00AA6973">
        <w:rPr>
          <w:rFonts w:ascii="Garamond" w:hAnsi="Garamond"/>
          <w:sz w:val="24"/>
        </w:rPr>
        <w:t>showed high baselin</w:t>
      </w:r>
      <w:r>
        <w:rPr>
          <w:rFonts w:ascii="Garamond" w:hAnsi="Garamond"/>
          <w:sz w:val="24"/>
        </w:rPr>
        <w:t>e objective adherence of 87.5 % (perhaps due to the Hawthorne effect), thus providing little room for observing improvement in this primary outcome.</w:t>
      </w:r>
    </w:p>
    <w:p w14:paraId="39CFA239" w14:textId="1DB06C49" w:rsidR="006B010E" w:rsidRDefault="006B010E" w:rsidP="006B010E">
      <w:pPr>
        <w:spacing w:before="240" w:after="0"/>
        <w:jc w:val="both"/>
        <w:rPr>
          <w:rFonts w:ascii="Garamond" w:hAnsi="Garamond"/>
          <w:sz w:val="24"/>
        </w:rPr>
      </w:pPr>
      <w:r>
        <w:rPr>
          <w:rFonts w:ascii="Garamond" w:hAnsi="Garamond"/>
          <w:sz w:val="24"/>
        </w:rPr>
        <w:t xml:space="preserve">The cluster </w:t>
      </w:r>
      <w:r w:rsidRPr="003D392B">
        <w:rPr>
          <w:rFonts w:ascii="Garamond" w:hAnsi="Garamond"/>
          <w:sz w:val="24"/>
        </w:rPr>
        <w:t xml:space="preserve">RCT by Mott et al (2016) examined </w:t>
      </w:r>
      <w:r>
        <w:rPr>
          <w:rFonts w:ascii="Garamond" w:hAnsi="Garamond"/>
          <w:sz w:val="24"/>
        </w:rPr>
        <w:t xml:space="preserve">the </w:t>
      </w:r>
      <w:r w:rsidRPr="003D392B">
        <w:rPr>
          <w:rFonts w:ascii="Garamond" w:hAnsi="Garamond"/>
          <w:sz w:val="24"/>
        </w:rPr>
        <w:t>effects of a medication review (in the form of a medication therapy management (MTM) intervention) provided by a ph</w:t>
      </w:r>
      <w:r w:rsidR="005A297C">
        <w:rPr>
          <w:rFonts w:ascii="Garamond" w:hAnsi="Garamond"/>
          <w:sz w:val="24"/>
        </w:rPr>
        <w:t>armacist on modifying fall risk-</w:t>
      </w:r>
      <w:r w:rsidRPr="003D392B">
        <w:rPr>
          <w:rFonts w:ascii="Garamond" w:hAnsi="Garamond"/>
          <w:sz w:val="24"/>
        </w:rPr>
        <w:t xml:space="preserve">increasing drugs (FRIDs) and reduction of falls in the elderly. </w:t>
      </w:r>
      <w:r>
        <w:rPr>
          <w:rFonts w:ascii="Garamond" w:hAnsi="Garamond"/>
          <w:sz w:val="24"/>
        </w:rPr>
        <w:t xml:space="preserve"> </w:t>
      </w:r>
      <w:r w:rsidRPr="003D392B">
        <w:rPr>
          <w:rFonts w:ascii="Garamond" w:hAnsi="Garamond"/>
          <w:sz w:val="24"/>
        </w:rPr>
        <w:t>It included 81 older adults prescribed medications known to be associated with falls (e.g. antidepressants, anti</w:t>
      </w:r>
      <w:r w:rsidR="00BA126A">
        <w:rPr>
          <w:rFonts w:ascii="Garamond" w:hAnsi="Garamond"/>
          <w:sz w:val="24"/>
        </w:rPr>
        <w:t>-</w:t>
      </w:r>
      <w:r w:rsidRPr="003D392B">
        <w:rPr>
          <w:rFonts w:ascii="Garamond" w:hAnsi="Garamond"/>
          <w:sz w:val="24"/>
        </w:rPr>
        <w:t>hypertensives, benzodiazepines, neuroleptics, sedatives, hypnotics and certain additional drugs with high anticholinergic properties) and who completed a fall prevention worksho</w:t>
      </w:r>
      <w:r>
        <w:rPr>
          <w:rFonts w:ascii="Garamond" w:hAnsi="Garamond"/>
          <w:sz w:val="24"/>
        </w:rPr>
        <w:t>p.  The intervention group (n=39</w:t>
      </w:r>
      <w:r w:rsidRPr="003D392B">
        <w:rPr>
          <w:rFonts w:ascii="Garamond" w:hAnsi="Garamond"/>
          <w:sz w:val="24"/>
        </w:rPr>
        <w:t>) received a 60 minute face-to-face targeted medication review and direct feedback regarding their medication use from a community pharmacist in a private consultation room at the pharmacy and a follow-up</w:t>
      </w:r>
      <w:r>
        <w:rPr>
          <w:rFonts w:ascii="Garamond" w:hAnsi="Garamond"/>
          <w:sz w:val="24"/>
        </w:rPr>
        <w:t xml:space="preserve"> telephone call three months pos</w:t>
      </w:r>
      <w:r w:rsidRPr="003D392B">
        <w:rPr>
          <w:rFonts w:ascii="Garamond" w:hAnsi="Garamond"/>
          <w:sz w:val="24"/>
        </w:rPr>
        <w:t xml:space="preserve">t the medication review. </w:t>
      </w:r>
      <w:r>
        <w:rPr>
          <w:rFonts w:ascii="Garamond" w:hAnsi="Garamond"/>
          <w:sz w:val="24"/>
        </w:rPr>
        <w:t xml:space="preserve"> </w:t>
      </w:r>
      <w:r w:rsidRPr="003D392B">
        <w:rPr>
          <w:rFonts w:ascii="Garamond" w:hAnsi="Garamond"/>
          <w:sz w:val="24"/>
        </w:rPr>
        <w:t>The objective of the medication review was to identify and modify (i.e., stopping, lowering dose) FRID use.</w:t>
      </w:r>
      <w:r>
        <w:rPr>
          <w:rFonts w:ascii="Garamond" w:hAnsi="Garamond"/>
          <w:sz w:val="24"/>
        </w:rPr>
        <w:t xml:space="preserve"> </w:t>
      </w:r>
      <w:r w:rsidRPr="003D392B">
        <w:rPr>
          <w:rFonts w:ascii="Garamond" w:hAnsi="Garamond"/>
          <w:sz w:val="24"/>
        </w:rPr>
        <w:t xml:space="preserve"> Based on the medication review findings, the community pharmacist developed a medication-related action plan that included recommendations to modify FRID use. The community pharmacist discussed the recommendations with the </w:t>
      </w:r>
      <w:r>
        <w:rPr>
          <w:rFonts w:ascii="Garamond" w:hAnsi="Garamond"/>
          <w:sz w:val="24"/>
        </w:rPr>
        <w:t>patients or</w:t>
      </w:r>
      <w:r w:rsidRPr="003D392B">
        <w:rPr>
          <w:rFonts w:ascii="Garamond" w:hAnsi="Garamond"/>
          <w:sz w:val="24"/>
        </w:rPr>
        <w:t xml:space="preserve"> prescriber</w:t>
      </w:r>
      <w:r>
        <w:rPr>
          <w:rFonts w:ascii="Garamond" w:hAnsi="Garamond"/>
          <w:sz w:val="24"/>
        </w:rPr>
        <w:t xml:space="preserve"> as necessary</w:t>
      </w:r>
      <w:r w:rsidRPr="003D392B">
        <w:rPr>
          <w:rFonts w:ascii="Garamond" w:hAnsi="Garamond"/>
          <w:sz w:val="24"/>
        </w:rPr>
        <w:t xml:space="preserve">, and followed up on all recommendations to determine whether they were accepted or rejected. </w:t>
      </w:r>
      <w:r>
        <w:rPr>
          <w:rFonts w:ascii="Garamond" w:hAnsi="Garamond"/>
          <w:sz w:val="24"/>
        </w:rPr>
        <w:t xml:space="preserve"> </w:t>
      </w:r>
      <w:r w:rsidRPr="003D392B">
        <w:rPr>
          <w:rFonts w:ascii="Garamond" w:hAnsi="Garamond"/>
          <w:sz w:val="24"/>
        </w:rPr>
        <w:t xml:space="preserve">The community pharmacist was paid for each medication review and a follow-up telephone call. </w:t>
      </w:r>
      <w:r>
        <w:rPr>
          <w:rFonts w:ascii="Garamond" w:hAnsi="Garamond"/>
          <w:sz w:val="24"/>
        </w:rPr>
        <w:t xml:space="preserve"> </w:t>
      </w:r>
      <w:r w:rsidRPr="003D392B">
        <w:rPr>
          <w:rFonts w:ascii="Garamond" w:hAnsi="Garamond"/>
          <w:sz w:val="24"/>
        </w:rPr>
        <w:t xml:space="preserve">The control group (n=42) received a mailed pamphlet describing medication use and fall. </w:t>
      </w:r>
      <w:r>
        <w:rPr>
          <w:rFonts w:ascii="Garamond" w:hAnsi="Garamond"/>
          <w:sz w:val="24"/>
        </w:rPr>
        <w:t xml:space="preserve"> </w:t>
      </w:r>
      <w:r w:rsidRPr="003D392B">
        <w:rPr>
          <w:rFonts w:ascii="Garamond" w:hAnsi="Garamond"/>
          <w:sz w:val="24"/>
        </w:rPr>
        <w:t>The main outcome measures were the</w:t>
      </w:r>
      <w:r>
        <w:rPr>
          <w:rFonts w:ascii="Garamond" w:hAnsi="Garamond"/>
          <w:sz w:val="24"/>
        </w:rPr>
        <w:t xml:space="preserve"> rate of discontinuing FRIDs </w:t>
      </w:r>
      <w:r w:rsidRPr="003D392B">
        <w:rPr>
          <w:rFonts w:ascii="Garamond" w:hAnsi="Garamond"/>
          <w:sz w:val="24"/>
        </w:rPr>
        <w:t>and the number of falls.</w:t>
      </w:r>
      <w:r>
        <w:rPr>
          <w:rFonts w:ascii="Garamond" w:hAnsi="Garamond"/>
          <w:sz w:val="24"/>
        </w:rPr>
        <w:t xml:space="preserve"> </w:t>
      </w:r>
      <w:r w:rsidRPr="003D392B">
        <w:rPr>
          <w:rFonts w:ascii="Garamond" w:hAnsi="Garamond"/>
          <w:sz w:val="24"/>
        </w:rPr>
        <w:t xml:space="preserve"> </w:t>
      </w:r>
      <w:r w:rsidRPr="00191E99">
        <w:rPr>
          <w:rFonts w:ascii="Garamond" w:hAnsi="Garamond"/>
          <w:sz w:val="24"/>
        </w:rPr>
        <w:t>Medication recommendations in the intervention group had a 75% acceptance rate by patients and prescribers</w:t>
      </w:r>
      <w:r w:rsidRPr="003D392B">
        <w:rPr>
          <w:rFonts w:ascii="Garamond" w:hAnsi="Garamond"/>
          <w:sz w:val="24"/>
        </w:rPr>
        <w:t>.</w:t>
      </w:r>
      <w:r>
        <w:rPr>
          <w:rFonts w:ascii="Garamond" w:hAnsi="Garamond"/>
          <w:sz w:val="24"/>
        </w:rPr>
        <w:t xml:space="preserve"> </w:t>
      </w:r>
      <w:r w:rsidRPr="003D392B">
        <w:rPr>
          <w:rFonts w:ascii="Garamond" w:hAnsi="Garamond"/>
          <w:sz w:val="24"/>
        </w:rPr>
        <w:t xml:space="preserve"> The pilot study was not powered to detect statistically significant differences between study groups in outcomes.</w:t>
      </w:r>
    </w:p>
    <w:p w14:paraId="6D8F2B23" w14:textId="5FF1FE4D" w:rsidR="006B010E" w:rsidRDefault="006B010E" w:rsidP="006B010E">
      <w:pPr>
        <w:spacing w:before="240" w:after="0"/>
        <w:jc w:val="both"/>
        <w:rPr>
          <w:rFonts w:ascii="Garamond" w:hAnsi="Garamond"/>
          <w:sz w:val="24"/>
        </w:rPr>
      </w:pPr>
      <w:r>
        <w:rPr>
          <w:rFonts w:ascii="Garamond" w:hAnsi="Garamond"/>
          <w:sz w:val="24"/>
        </w:rPr>
        <w:t xml:space="preserve">The RCT by Basheti et al (2016) evaluated the impact of medication management review service on treatment-related problems (TRPs) and certain clinical outcomes.  </w:t>
      </w:r>
      <w:r w:rsidRPr="00C2296E">
        <w:rPr>
          <w:rFonts w:ascii="Garamond" w:hAnsi="Garamond"/>
          <w:sz w:val="24"/>
        </w:rPr>
        <w:t>A total of 160 people who visited the two community pharmacies</w:t>
      </w:r>
      <w:r>
        <w:rPr>
          <w:rFonts w:ascii="Garamond" w:hAnsi="Garamond"/>
          <w:sz w:val="24"/>
        </w:rPr>
        <w:t xml:space="preserve">, and were randomised to either receiving a medication review at the pharmacy (n=82) or cared for by their physicians (n=78).  </w:t>
      </w:r>
      <w:r w:rsidRPr="00564F12">
        <w:rPr>
          <w:rFonts w:ascii="Garamond" w:hAnsi="Garamond"/>
          <w:sz w:val="24"/>
        </w:rPr>
        <w:t>The most</w:t>
      </w:r>
      <w:r>
        <w:rPr>
          <w:rFonts w:ascii="Garamond" w:hAnsi="Garamond"/>
          <w:sz w:val="24"/>
        </w:rPr>
        <w:t xml:space="preserve"> common medical conditions that </w:t>
      </w:r>
      <w:r w:rsidRPr="00564F12">
        <w:rPr>
          <w:rFonts w:ascii="Garamond" w:hAnsi="Garamond"/>
          <w:sz w:val="24"/>
        </w:rPr>
        <w:t xml:space="preserve">the recruited </w:t>
      </w:r>
      <w:r>
        <w:rPr>
          <w:rFonts w:ascii="Garamond" w:hAnsi="Garamond"/>
          <w:sz w:val="24"/>
        </w:rPr>
        <w:t xml:space="preserve">patients had were hypertension, </w:t>
      </w:r>
      <w:r w:rsidRPr="00564F12">
        <w:rPr>
          <w:rFonts w:ascii="Garamond" w:hAnsi="Garamond"/>
          <w:sz w:val="24"/>
        </w:rPr>
        <w:t>diabetes, hyperlipid</w:t>
      </w:r>
      <w:r>
        <w:rPr>
          <w:rFonts w:ascii="Garamond" w:hAnsi="Garamond"/>
          <w:sz w:val="24"/>
        </w:rPr>
        <w:t xml:space="preserve">aemia, cardiovascular diseases, </w:t>
      </w:r>
      <w:r w:rsidRPr="00564F12">
        <w:rPr>
          <w:rFonts w:ascii="Garamond" w:hAnsi="Garamond"/>
          <w:sz w:val="24"/>
        </w:rPr>
        <w:t>and obesity.</w:t>
      </w:r>
      <w:r>
        <w:rPr>
          <w:rFonts w:ascii="Garamond" w:hAnsi="Garamond"/>
          <w:sz w:val="24"/>
        </w:rPr>
        <w:t xml:space="preserve">  The intervention comprises a medication review at baseline conducted by the clinical pharmacist at baseline for both the intervention and control groups to </w:t>
      </w:r>
      <w:r w:rsidRPr="00457701">
        <w:rPr>
          <w:rFonts w:ascii="Garamond" w:hAnsi="Garamond"/>
          <w:sz w:val="24"/>
        </w:rPr>
        <w:t>determine the prevalence and type of TRPs; however</w:t>
      </w:r>
      <w:r>
        <w:rPr>
          <w:rFonts w:ascii="Garamond" w:hAnsi="Garamond"/>
          <w:sz w:val="24"/>
        </w:rPr>
        <w:t xml:space="preserve">, recommendations regarding the </w:t>
      </w:r>
      <w:r w:rsidRPr="00457701">
        <w:rPr>
          <w:rFonts w:ascii="Garamond" w:hAnsi="Garamond"/>
          <w:sz w:val="24"/>
        </w:rPr>
        <w:t>identified TRPs were only submitted to the physicians of patients in the intervention group</w:t>
      </w:r>
      <w:r>
        <w:rPr>
          <w:rFonts w:ascii="Garamond" w:hAnsi="Garamond"/>
          <w:sz w:val="24"/>
        </w:rPr>
        <w:t>.  TRPs in the control group are identified and corrected by the physicians and without any input from the clinical pharmacist.</w:t>
      </w:r>
      <w:r w:rsidRPr="00756949">
        <w:rPr>
          <w:rFonts w:ascii="Garamond" w:hAnsi="Garamond"/>
          <w:sz w:val="24"/>
        </w:rPr>
        <w:t xml:space="preserve">  Outcome measures included </w:t>
      </w:r>
      <w:r>
        <w:rPr>
          <w:rFonts w:ascii="Garamond" w:hAnsi="Garamond"/>
          <w:sz w:val="24"/>
        </w:rPr>
        <w:t xml:space="preserve">the rate of physicians’ </w:t>
      </w:r>
      <w:r w:rsidRPr="00756949">
        <w:rPr>
          <w:rFonts w:ascii="Garamond" w:hAnsi="Garamond"/>
          <w:sz w:val="24"/>
        </w:rPr>
        <w:t>acceptance of the clinic</w:t>
      </w:r>
      <w:r>
        <w:rPr>
          <w:rFonts w:ascii="Garamond" w:hAnsi="Garamond"/>
          <w:sz w:val="24"/>
        </w:rPr>
        <w:t xml:space="preserve">al pharmacist’s recommendations, the number of TRPs resolved, blood pressure, </w:t>
      </w:r>
      <w:r w:rsidRPr="00756949">
        <w:rPr>
          <w:rFonts w:ascii="Garamond" w:hAnsi="Garamond"/>
          <w:sz w:val="24"/>
        </w:rPr>
        <w:t>blood glucose level, and triglyceride</w:t>
      </w:r>
      <w:r>
        <w:rPr>
          <w:rFonts w:ascii="Garamond" w:hAnsi="Garamond"/>
          <w:sz w:val="24"/>
        </w:rPr>
        <w:t xml:space="preserve"> levels.</w:t>
      </w:r>
      <w:r w:rsidRPr="0053262C">
        <w:t xml:space="preserve"> </w:t>
      </w:r>
      <w:r>
        <w:t xml:space="preserve"> </w:t>
      </w:r>
      <w:r w:rsidRPr="0053262C">
        <w:rPr>
          <w:rFonts w:ascii="Garamond" w:hAnsi="Garamond"/>
          <w:sz w:val="24"/>
        </w:rPr>
        <w:t>None of the patients includ</w:t>
      </w:r>
      <w:r>
        <w:rPr>
          <w:rFonts w:ascii="Garamond" w:hAnsi="Garamond"/>
          <w:sz w:val="24"/>
        </w:rPr>
        <w:t xml:space="preserve">ed in the </w:t>
      </w:r>
      <w:r w:rsidRPr="0053262C">
        <w:rPr>
          <w:rFonts w:ascii="Garamond" w:hAnsi="Garamond"/>
          <w:sz w:val="24"/>
        </w:rPr>
        <w:t>study were los</w:t>
      </w:r>
      <w:r>
        <w:rPr>
          <w:rFonts w:ascii="Garamond" w:hAnsi="Garamond"/>
          <w:sz w:val="24"/>
        </w:rPr>
        <w:t xml:space="preserve">t to follow-up during the study </w:t>
      </w:r>
      <w:r w:rsidRPr="0053262C">
        <w:rPr>
          <w:rFonts w:ascii="Garamond" w:hAnsi="Garamond"/>
          <w:sz w:val="24"/>
        </w:rPr>
        <w:t>period</w:t>
      </w:r>
      <w:r>
        <w:rPr>
          <w:rFonts w:ascii="Garamond" w:hAnsi="Garamond"/>
          <w:sz w:val="24"/>
        </w:rPr>
        <w:t>.</w:t>
      </w:r>
    </w:p>
    <w:p w14:paraId="2876D407" w14:textId="4F306A3C" w:rsidR="006B010E" w:rsidRDefault="006B010E" w:rsidP="006B010E">
      <w:pPr>
        <w:spacing w:before="240" w:after="0"/>
        <w:jc w:val="both"/>
        <w:rPr>
          <w:rFonts w:ascii="Garamond" w:hAnsi="Garamond"/>
          <w:sz w:val="24"/>
        </w:rPr>
      </w:pPr>
      <w:r>
        <w:rPr>
          <w:rFonts w:ascii="Garamond" w:hAnsi="Garamond"/>
          <w:sz w:val="24"/>
        </w:rPr>
        <w:t>The</w:t>
      </w:r>
      <w:r w:rsidRPr="00220BA9">
        <w:t xml:space="preserve"> </w:t>
      </w:r>
      <w:r w:rsidRPr="00220BA9">
        <w:rPr>
          <w:rFonts w:ascii="Garamond" w:hAnsi="Garamond"/>
          <w:sz w:val="24"/>
        </w:rPr>
        <w:t>sub-analysis of a clus</w:t>
      </w:r>
      <w:r>
        <w:rPr>
          <w:rFonts w:ascii="Garamond" w:hAnsi="Garamond"/>
          <w:sz w:val="24"/>
        </w:rPr>
        <w:t xml:space="preserve">ter RCT by Malet-Larrea et al (2016) </w:t>
      </w:r>
      <w:r w:rsidRPr="00C51D0E">
        <w:rPr>
          <w:rFonts w:ascii="Garamond" w:hAnsi="Garamond"/>
          <w:sz w:val="24"/>
        </w:rPr>
        <w:t>assess</w:t>
      </w:r>
      <w:r>
        <w:rPr>
          <w:rFonts w:ascii="Garamond" w:hAnsi="Garamond"/>
          <w:sz w:val="24"/>
        </w:rPr>
        <w:t>ed</w:t>
      </w:r>
      <w:r w:rsidRPr="00C51D0E">
        <w:rPr>
          <w:rFonts w:ascii="Garamond" w:hAnsi="Garamond"/>
          <w:sz w:val="24"/>
        </w:rPr>
        <w:t xml:space="preserve"> the impact of a medicat</w:t>
      </w:r>
      <w:r>
        <w:rPr>
          <w:rFonts w:ascii="Garamond" w:hAnsi="Garamond"/>
          <w:sz w:val="24"/>
        </w:rPr>
        <w:t xml:space="preserve">ion review with follow-up </w:t>
      </w:r>
      <w:r w:rsidRPr="00C51D0E">
        <w:rPr>
          <w:rFonts w:ascii="Garamond" w:hAnsi="Garamond"/>
          <w:sz w:val="24"/>
        </w:rPr>
        <w:t>service provide</w:t>
      </w:r>
      <w:r>
        <w:rPr>
          <w:rFonts w:ascii="Garamond" w:hAnsi="Garamond"/>
          <w:sz w:val="24"/>
        </w:rPr>
        <w:t xml:space="preserve">d in community pharmacy to aged </w:t>
      </w:r>
      <w:r w:rsidRPr="00C51D0E">
        <w:rPr>
          <w:rFonts w:ascii="Garamond" w:hAnsi="Garamond"/>
          <w:sz w:val="24"/>
        </w:rPr>
        <w:t>polypharmacy patients on the number of medication-related hospital admissions and to estima</w:t>
      </w:r>
      <w:r>
        <w:rPr>
          <w:rFonts w:ascii="Garamond" w:hAnsi="Garamond"/>
          <w:sz w:val="24"/>
        </w:rPr>
        <w:t>te the effect on hospital costs.  This study was part of a</w:t>
      </w:r>
      <w:r w:rsidRPr="00093E45">
        <w:rPr>
          <w:rFonts w:ascii="Garamond" w:hAnsi="Garamond"/>
          <w:sz w:val="24"/>
        </w:rPr>
        <w:t xml:space="preserve"> nationwide research project called </w:t>
      </w:r>
      <w:r>
        <w:rPr>
          <w:rFonts w:ascii="Garamond" w:hAnsi="Garamond"/>
          <w:sz w:val="24"/>
        </w:rPr>
        <w:t xml:space="preserve">the ‘conSIGUE Program’ </w:t>
      </w:r>
      <w:r w:rsidRPr="00093E45">
        <w:rPr>
          <w:rFonts w:ascii="Garamond" w:hAnsi="Garamond"/>
          <w:sz w:val="24"/>
        </w:rPr>
        <w:t>undertaken in Spai</w:t>
      </w:r>
      <w:r>
        <w:rPr>
          <w:rFonts w:ascii="Garamond" w:hAnsi="Garamond"/>
          <w:sz w:val="24"/>
        </w:rPr>
        <w:t xml:space="preserve">n with the aim </w:t>
      </w:r>
      <w:r>
        <w:rPr>
          <w:rFonts w:ascii="Garamond" w:hAnsi="Garamond"/>
          <w:sz w:val="24"/>
        </w:rPr>
        <w:lastRenderedPageBreak/>
        <w:t xml:space="preserve">of assessing the </w:t>
      </w:r>
      <w:r w:rsidRPr="00093E45">
        <w:rPr>
          <w:rFonts w:ascii="Garamond" w:hAnsi="Garamond"/>
          <w:sz w:val="24"/>
        </w:rPr>
        <w:t>economic, clinical and hu</w:t>
      </w:r>
      <w:r>
        <w:rPr>
          <w:rFonts w:ascii="Garamond" w:hAnsi="Garamond"/>
          <w:sz w:val="24"/>
        </w:rPr>
        <w:t xml:space="preserve">manistic impact of a </w:t>
      </w:r>
      <w:r w:rsidRPr="00C13E6D">
        <w:rPr>
          <w:rFonts w:ascii="Garamond" w:hAnsi="Garamond"/>
          <w:sz w:val="24"/>
        </w:rPr>
        <w:t xml:space="preserve">community pharmacy based </w:t>
      </w:r>
      <w:r>
        <w:rPr>
          <w:rFonts w:ascii="Garamond" w:hAnsi="Garamond"/>
          <w:sz w:val="24"/>
        </w:rPr>
        <w:t xml:space="preserve">medication </w:t>
      </w:r>
      <w:r w:rsidRPr="00093E45">
        <w:rPr>
          <w:rFonts w:ascii="Garamond" w:hAnsi="Garamond"/>
          <w:sz w:val="24"/>
        </w:rPr>
        <w:t>rev</w:t>
      </w:r>
      <w:r>
        <w:rPr>
          <w:rFonts w:ascii="Garamond" w:hAnsi="Garamond"/>
          <w:sz w:val="24"/>
        </w:rPr>
        <w:t>iew with follow-up service, provided</w:t>
      </w:r>
      <w:r w:rsidRPr="00093E45">
        <w:rPr>
          <w:rFonts w:ascii="Garamond" w:hAnsi="Garamond"/>
          <w:sz w:val="24"/>
        </w:rPr>
        <w:t xml:space="preserve"> to</w:t>
      </w:r>
      <w:r>
        <w:rPr>
          <w:rFonts w:ascii="Garamond" w:hAnsi="Garamond"/>
          <w:sz w:val="24"/>
        </w:rPr>
        <w:t xml:space="preserve"> aged polypharmacy patients (Martinz-Martinez et al, 2015)</w:t>
      </w:r>
      <w:r w:rsidRPr="00093E45">
        <w:rPr>
          <w:rFonts w:ascii="Garamond" w:hAnsi="Garamond"/>
          <w:sz w:val="24"/>
        </w:rPr>
        <w:t xml:space="preserve">. </w:t>
      </w:r>
      <w:r>
        <w:rPr>
          <w:rFonts w:ascii="Garamond" w:hAnsi="Garamond"/>
          <w:sz w:val="24"/>
        </w:rPr>
        <w:t>It included a</w:t>
      </w:r>
      <w:r w:rsidRPr="003576BE">
        <w:rPr>
          <w:rFonts w:ascii="Garamond" w:hAnsi="Garamond"/>
          <w:sz w:val="24"/>
        </w:rPr>
        <w:t xml:space="preserve"> total of 1403 patients </w:t>
      </w:r>
      <w:r>
        <w:rPr>
          <w:rFonts w:ascii="Garamond" w:hAnsi="Garamond"/>
          <w:sz w:val="24"/>
        </w:rPr>
        <w:t>from 178 pharmacies.  Pharmacies in the intervention group (n=688</w:t>
      </w:r>
      <w:r w:rsidRPr="00045FDD">
        <w:rPr>
          <w:rFonts w:ascii="Garamond" w:hAnsi="Garamond"/>
          <w:sz w:val="24"/>
        </w:rPr>
        <w:t xml:space="preserve">) provided a comprehensive medication review </w:t>
      </w:r>
      <w:r>
        <w:rPr>
          <w:rFonts w:ascii="Garamond" w:hAnsi="Garamond"/>
          <w:sz w:val="24"/>
        </w:rPr>
        <w:t xml:space="preserve">with a 6-month follow-up, whereas patients in the control group (n=715) received usual care.  </w:t>
      </w:r>
      <w:r w:rsidRPr="00C13E6D">
        <w:rPr>
          <w:rFonts w:ascii="Garamond" w:hAnsi="Garamond"/>
          <w:sz w:val="24"/>
        </w:rPr>
        <w:t xml:space="preserve">The </w:t>
      </w:r>
      <w:r>
        <w:rPr>
          <w:rFonts w:ascii="Garamond" w:hAnsi="Garamond"/>
          <w:sz w:val="24"/>
        </w:rPr>
        <w:t xml:space="preserve">intervention constituted a </w:t>
      </w:r>
      <w:r w:rsidRPr="00C13E6D">
        <w:rPr>
          <w:rFonts w:ascii="Garamond" w:hAnsi="Garamond"/>
          <w:sz w:val="24"/>
        </w:rPr>
        <w:t xml:space="preserve">medication review aimed at detecting </w:t>
      </w:r>
      <w:r w:rsidR="00DA01FB">
        <w:rPr>
          <w:rFonts w:ascii="Garamond" w:hAnsi="Garamond"/>
          <w:sz w:val="24"/>
        </w:rPr>
        <w:t>DRP</w:t>
      </w:r>
      <w:r w:rsidRPr="00C13E6D">
        <w:rPr>
          <w:rFonts w:ascii="Garamond" w:hAnsi="Garamond"/>
          <w:sz w:val="24"/>
        </w:rPr>
        <w:t xml:space="preserve"> in order to identify, prevent and solve negative clinical outcomes related to medicine</w:t>
      </w:r>
      <w:r>
        <w:rPr>
          <w:rFonts w:ascii="Garamond" w:hAnsi="Garamond"/>
          <w:sz w:val="24"/>
        </w:rPr>
        <w:t xml:space="preserve">. </w:t>
      </w:r>
      <w:r w:rsidRPr="00C13E6D">
        <w:rPr>
          <w:rFonts w:ascii="Garamond" w:hAnsi="Garamond"/>
          <w:sz w:val="24"/>
        </w:rPr>
        <w:t xml:space="preserve"> </w:t>
      </w:r>
      <w:r>
        <w:rPr>
          <w:rFonts w:ascii="Garamond" w:hAnsi="Garamond"/>
          <w:sz w:val="24"/>
        </w:rPr>
        <w:t xml:space="preserve">Due to the lack of a translated document for this RCT, only findings from the Malet-Larrea et al (2016) and Ocampo et al (2015) will be discussed in this Report.  </w:t>
      </w:r>
    </w:p>
    <w:p w14:paraId="71B0E330" w14:textId="77777777" w:rsidR="006B010E" w:rsidRDefault="006B010E" w:rsidP="006B010E">
      <w:pPr>
        <w:spacing w:before="240" w:after="0"/>
        <w:jc w:val="both"/>
        <w:rPr>
          <w:rFonts w:ascii="Garamond" w:hAnsi="Garamond"/>
          <w:sz w:val="24"/>
        </w:rPr>
      </w:pPr>
      <w:r>
        <w:rPr>
          <w:rFonts w:ascii="Garamond" w:hAnsi="Garamond"/>
          <w:sz w:val="24"/>
        </w:rPr>
        <w:t xml:space="preserve">An observation study with a pre- post-design by Ocampo et al (2015) </w:t>
      </w:r>
      <w:r w:rsidRPr="009B3A43">
        <w:rPr>
          <w:rFonts w:ascii="Garamond" w:hAnsi="Garamond"/>
          <w:sz w:val="24"/>
        </w:rPr>
        <w:t>evaluate</w:t>
      </w:r>
      <w:r>
        <w:rPr>
          <w:rFonts w:ascii="Garamond" w:hAnsi="Garamond"/>
          <w:sz w:val="24"/>
        </w:rPr>
        <w:t xml:space="preserve">d the clinical, </w:t>
      </w:r>
      <w:r w:rsidRPr="009B3A43">
        <w:rPr>
          <w:rFonts w:ascii="Garamond" w:hAnsi="Garamond"/>
          <w:sz w:val="24"/>
        </w:rPr>
        <w:t>economic, and humanistic i</w:t>
      </w:r>
      <w:r>
        <w:rPr>
          <w:rFonts w:ascii="Garamond" w:hAnsi="Garamond"/>
          <w:sz w:val="24"/>
        </w:rPr>
        <w:t xml:space="preserve">mpact of a pharmacist-conducted </w:t>
      </w:r>
      <w:r w:rsidRPr="009B3A43">
        <w:rPr>
          <w:rFonts w:ascii="Garamond" w:hAnsi="Garamond"/>
          <w:sz w:val="24"/>
        </w:rPr>
        <w:t>medication review wit</w:t>
      </w:r>
      <w:r>
        <w:rPr>
          <w:rFonts w:ascii="Garamond" w:hAnsi="Garamond"/>
          <w:sz w:val="24"/>
        </w:rPr>
        <w:t xml:space="preserve">h follow-up following 18-month </w:t>
      </w:r>
      <w:r w:rsidRPr="009B3A43">
        <w:rPr>
          <w:rFonts w:ascii="Garamond" w:hAnsi="Garamond"/>
          <w:sz w:val="24"/>
        </w:rPr>
        <w:t>implementation.</w:t>
      </w:r>
      <w:r>
        <w:rPr>
          <w:rFonts w:ascii="Garamond" w:hAnsi="Garamond"/>
          <w:sz w:val="24"/>
        </w:rPr>
        <w:t xml:space="preserve"> It included 132 patients prescribed at least one medicine, and that attended a single pharmacy on monthly basis and received the medication </w:t>
      </w:r>
      <w:r w:rsidRPr="009B3A43">
        <w:rPr>
          <w:rFonts w:ascii="Garamond" w:hAnsi="Garamond"/>
          <w:sz w:val="24"/>
        </w:rPr>
        <w:t xml:space="preserve">review with follow-up service. </w:t>
      </w:r>
      <w:r>
        <w:rPr>
          <w:rFonts w:ascii="Garamond" w:hAnsi="Garamond"/>
          <w:sz w:val="24"/>
        </w:rPr>
        <w:t xml:space="preserve"> The medication review included a patient interview where the pharmacist collects information about the patients’ health problems, medicines, and patient concerns and views of their diseases and medications.  The pharmacist then identifies DRPs and develops a pharmaceutical action plan that is discussed and agreed with the patient or patient’s physician as necessary.  </w:t>
      </w:r>
      <w:r w:rsidRPr="009B3A43">
        <w:rPr>
          <w:rFonts w:ascii="Garamond" w:hAnsi="Garamond"/>
          <w:sz w:val="24"/>
        </w:rPr>
        <w:t>Main outcome measure</w:t>
      </w:r>
      <w:r>
        <w:rPr>
          <w:rFonts w:ascii="Garamond" w:hAnsi="Garamond"/>
          <w:sz w:val="24"/>
        </w:rPr>
        <w:t xml:space="preserve">s included number of medicines, medication-related problems, hospital and emergency department (ED) admissions, and QoL.  Limitations of this study include the longitudinal </w:t>
      </w:r>
      <w:r w:rsidRPr="00DF55A5">
        <w:rPr>
          <w:rFonts w:ascii="Garamond" w:hAnsi="Garamond"/>
          <w:sz w:val="24"/>
        </w:rPr>
        <w:t>analy</w:t>
      </w:r>
      <w:r>
        <w:rPr>
          <w:rFonts w:ascii="Garamond" w:hAnsi="Garamond"/>
          <w:sz w:val="24"/>
        </w:rPr>
        <w:t xml:space="preserve">sis of patients with no randomisation or control group, </w:t>
      </w:r>
      <w:r w:rsidRPr="00DF55A5">
        <w:rPr>
          <w:rFonts w:ascii="Garamond" w:hAnsi="Garamond"/>
          <w:sz w:val="24"/>
        </w:rPr>
        <w:t>together with the presence</w:t>
      </w:r>
      <w:r>
        <w:rPr>
          <w:rFonts w:ascii="Garamond" w:hAnsi="Garamond"/>
          <w:sz w:val="24"/>
        </w:rPr>
        <w:t xml:space="preserve"> of only one trained pharmacist </w:t>
      </w:r>
      <w:r w:rsidRPr="00DF55A5">
        <w:rPr>
          <w:rFonts w:ascii="Garamond" w:hAnsi="Garamond"/>
          <w:sz w:val="24"/>
        </w:rPr>
        <w:t xml:space="preserve">delivering the service, </w:t>
      </w:r>
      <w:r>
        <w:rPr>
          <w:rFonts w:ascii="Garamond" w:hAnsi="Garamond"/>
          <w:sz w:val="24"/>
        </w:rPr>
        <w:t xml:space="preserve">thus </w:t>
      </w:r>
      <w:r w:rsidRPr="00DF55A5">
        <w:rPr>
          <w:rFonts w:ascii="Garamond" w:hAnsi="Garamond"/>
          <w:sz w:val="24"/>
        </w:rPr>
        <w:t>limit</w:t>
      </w:r>
      <w:r>
        <w:rPr>
          <w:rFonts w:ascii="Garamond" w:hAnsi="Garamond"/>
          <w:sz w:val="24"/>
        </w:rPr>
        <w:t>ing</w:t>
      </w:r>
      <w:r w:rsidRPr="00DF55A5">
        <w:rPr>
          <w:rFonts w:ascii="Garamond" w:hAnsi="Garamond"/>
          <w:sz w:val="24"/>
        </w:rPr>
        <w:t xml:space="preserve"> the extrapolation of the results</w:t>
      </w:r>
      <w:r>
        <w:rPr>
          <w:rFonts w:ascii="Garamond" w:hAnsi="Garamond"/>
          <w:sz w:val="24"/>
        </w:rPr>
        <w:t>.</w:t>
      </w:r>
    </w:p>
    <w:p w14:paraId="2A088FB1" w14:textId="77777777" w:rsidR="006B010E" w:rsidRPr="00ED6863" w:rsidRDefault="006B010E" w:rsidP="006B010E">
      <w:pPr>
        <w:spacing w:before="240" w:after="0"/>
        <w:jc w:val="both"/>
        <w:rPr>
          <w:rFonts w:ascii="Garamond" w:hAnsi="Garamond"/>
          <w:sz w:val="24"/>
        </w:rPr>
      </w:pPr>
      <w:r>
        <w:rPr>
          <w:rFonts w:ascii="Garamond" w:hAnsi="Garamond"/>
          <w:sz w:val="24"/>
        </w:rPr>
        <w:t>The RCT by Geurts et al (2015) evaluated</w:t>
      </w:r>
      <w:r w:rsidRPr="00ED6863">
        <w:rPr>
          <w:rFonts w:ascii="Garamond" w:hAnsi="Garamond"/>
          <w:sz w:val="24"/>
        </w:rPr>
        <w:t xml:space="preserve"> the effect of a </w:t>
      </w:r>
      <w:r>
        <w:rPr>
          <w:rFonts w:ascii="Garamond" w:hAnsi="Garamond"/>
          <w:sz w:val="24"/>
        </w:rPr>
        <w:t xml:space="preserve">community pharmacy based medication review </w:t>
      </w:r>
      <w:r w:rsidRPr="00ED6863">
        <w:rPr>
          <w:rFonts w:ascii="Garamond" w:hAnsi="Garamond"/>
          <w:sz w:val="24"/>
        </w:rPr>
        <w:t xml:space="preserve">on the beliefs about medicines and quality of life </w:t>
      </w:r>
      <w:r>
        <w:rPr>
          <w:rFonts w:ascii="Garamond" w:hAnsi="Garamond"/>
          <w:sz w:val="24"/>
        </w:rPr>
        <w:t xml:space="preserve">of older </w:t>
      </w:r>
      <w:r w:rsidRPr="00ED6863">
        <w:rPr>
          <w:rFonts w:ascii="Garamond" w:hAnsi="Garamond"/>
          <w:sz w:val="24"/>
        </w:rPr>
        <w:t>patients with polypharmacy and a cardiovascular disorder.</w:t>
      </w:r>
      <w:r>
        <w:rPr>
          <w:rFonts w:ascii="Garamond" w:hAnsi="Garamond"/>
          <w:sz w:val="24"/>
        </w:rPr>
        <w:t xml:space="preserve">  It included 512 patients prescribed at</w:t>
      </w:r>
      <w:r w:rsidRPr="00576A62">
        <w:t xml:space="preserve"> </w:t>
      </w:r>
      <w:r w:rsidRPr="00576A62">
        <w:rPr>
          <w:rFonts w:ascii="Garamond" w:hAnsi="Garamond"/>
          <w:sz w:val="24"/>
        </w:rPr>
        <w:t>least five medicines for chronic cond</w:t>
      </w:r>
      <w:r>
        <w:rPr>
          <w:rFonts w:ascii="Garamond" w:hAnsi="Garamond"/>
          <w:sz w:val="24"/>
        </w:rPr>
        <w:t xml:space="preserve">itions, with at least one of </w:t>
      </w:r>
      <w:r w:rsidRPr="00576A62">
        <w:rPr>
          <w:rFonts w:ascii="Garamond" w:hAnsi="Garamond"/>
          <w:sz w:val="24"/>
        </w:rPr>
        <w:t>these medicines prescribed f</w:t>
      </w:r>
      <w:r>
        <w:rPr>
          <w:rFonts w:ascii="Garamond" w:hAnsi="Garamond"/>
          <w:sz w:val="24"/>
        </w:rPr>
        <w:t xml:space="preserve">or a cardiovascular disorder or </w:t>
      </w:r>
      <w:r w:rsidRPr="00576A62">
        <w:rPr>
          <w:rFonts w:ascii="Garamond" w:hAnsi="Garamond"/>
          <w:sz w:val="24"/>
        </w:rPr>
        <w:t>cardio</w:t>
      </w:r>
      <w:r>
        <w:rPr>
          <w:rFonts w:ascii="Garamond" w:hAnsi="Garamond"/>
          <w:sz w:val="24"/>
        </w:rPr>
        <w:t>vascular risk factor.  The intervention group (n=248)</w:t>
      </w:r>
      <w:r w:rsidRPr="00ED6863">
        <w:rPr>
          <w:rFonts w:ascii="Garamond" w:hAnsi="Garamond"/>
          <w:sz w:val="24"/>
        </w:rPr>
        <w:t xml:space="preserve"> received a clinical </w:t>
      </w:r>
      <w:r>
        <w:rPr>
          <w:rFonts w:ascii="Garamond" w:hAnsi="Garamond"/>
          <w:sz w:val="24"/>
        </w:rPr>
        <w:t>medication review followed by</w:t>
      </w:r>
      <w:r w:rsidRPr="00ED6863">
        <w:rPr>
          <w:rFonts w:ascii="Garamond" w:hAnsi="Garamond"/>
          <w:sz w:val="24"/>
        </w:rPr>
        <w:t xml:space="preserve"> a</w:t>
      </w:r>
      <w:r>
        <w:rPr>
          <w:rFonts w:ascii="Garamond" w:hAnsi="Garamond"/>
          <w:sz w:val="24"/>
        </w:rPr>
        <w:t xml:space="preserve"> pharmaceutical care plan</w:t>
      </w:r>
      <w:r w:rsidRPr="00576A62">
        <w:t xml:space="preserve"> </w:t>
      </w:r>
      <w:r w:rsidRPr="00576A62">
        <w:rPr>
          <w:rFonts w:ascii="Garamond" w:hAnsi="Garamond"/>
          <w:sz w:val="24"/>
        </w:rPr>
        <w:t>devel</w:t>
      </w:r>
      <w:r>
        <w:rPr>
          <w:rFonts w:ascii="Garamond" w:hAnsi="Garamond"/>
          <w:sz w:val="24"/>
        </w:rPr>
        <w:t xml:space="preserve">oped in cooperation </w:t>
      </w:r>
      <w:r w:rsidRPr="00576A62">
        <w:rPr>
          <w:rFonts w:ascii="Garamond" w:hAnsi="Garamond"/>
          <w:sz w:val="24"/>
        </w:rPr>
        <w:t>between patients’ pharmaci</w:t>
      </w:r>
      <w:r>
        <w:rPr>
          <w:rFonts w:ascii="Garamond" w:hAnsi="Garamond"/>
          <w:sz w:val="24"/>
        </w:rPr>
        <w:t xml:space="preserve">st and GP, and agreed upon with </w:t>
      </w:r>
      <w:r w:rsidRPr="00576A62">
        <w:rPr>
          <w:rFonts w:ascii="Garamond" w:hAnsi="Garamond"/>
          <w:sz w:val="24"/>
        </w:rPr>
        <w:t>the patient.</w:t>
      </w:r>
      <w:r>
        <w:rPr>
          <w:rFonts w:ascii="Garamond" w:hAnsi="Garamond"/>
          <w:sz w:val="24"/>
        </w:rPr>
        <w:t xml:space="preserve">  The pharmaceutical plan documented possible </w:t>
      </w:r>
      <w:r w:rsidRPr="00576A62">
        <w:rPr>
          <w:rFonts w:ascii="Garamond" w:hAnsi="Garamond"/>
          <w:sz w:val="24"/>
        </w:rPr>
        <w:t xml:space="preserve">DRPs and </w:t>
      </w:r>
      <w:r>
        <w:rPr>
          <w:rFonts w:ascii="Garamond" w:hAnsi="Garamond"/>
          <w:sz w:val="24"/>
        </w:rPr>
        <w:t xml:space="preserve">pharmaceutical care issues and interventions </w:t>
      </w:r>
      <w:r w:rsidRPr="00576A62">
        <w:rPr>
          <w:rFonts w:ascii="Garamond" w:hAnsi="Garamond"/>
          <w:sz w:val="24"/>
        </w:rPr>
        <w:t xml:space="preserve">proposed in order to resolve </w:t>
      </w:r>
      <w:r>
        <w:rPr>
          <w:rFonts w:ascii="Garamond" w:hAnsi="Garamond"/>
          <w:sz w:val="24"/>
        </w:rPr>
        <w:t xml:space="preserve">them. </w:t>
      </w:r>
      <w:r w:rsidRPr="00576A62">
        <w:rPr>
          <w:rFonts w:ascii="Garamond" w:hAnsi="Garamond"/>
          <w:sz w:val="24"/>
        </w:rPr>
        <w:t xml:space="preserve"> </w:t>
      </w:r>
      <w:r>
        <w:rPr>
          <w:rFonts w:ascii="Garamond" w:hAnsi="Garamond"/>
          <w:sz w:val="24"/>
        </w:rPr>
        <w:t>The c</w:t>
      </w:r>
      <w:r w:rsidRPr="00ED6863">
        <w:rPr>
          <w:rFonts w:ascii="Garamond" w:hAnsi="Garamond"/>
          <w:sz w:val="24"/>
        </w:rPr>
        <w:t>ontrol group patients</w:t>
      </w:r>
      <w:r>
        <w:rPr>
          <w:rFonts w:ascii="Garamond" w:hAnsi="Garamond"/>
          <w:sz w:val="24"/>
        </w:rPr>
        <w:t xml:space="preserve"> (n=264)</w:t>
      </w:r>
      <w:r w:rsidRPr="00ED6863">
        <w:rPr>
          <w:rFonts w:ascii="Garamond" w:hAnsi="Garamond"/>
          <w:sz w:val="24"/>
        </w:rPr>
        <w:t xml:space="preserve"> received </w:t>
      </w:r>
      <w:r>
        <w:rPr>
          <w:rFonts w:ascii="Garamond" w:hAnsi="Garamond"/>
          <w:sz w:val="24"/>
        </w:rPr>
        <w:t xml:space="preserve">usual care.  The primary outcome measures were patients’ beliefs about medicines and quality of life.  Amajor limitation of this study was the number of patients needed in </w:t>
      </w:r>
      <w:r w:rsidRPr="00C00560">
        <w:rPr>
          <w:rFonts w:ascii="Garamond" w:hAnsi="Garamond"/>
          <w:sz w:val="24"/>
        </w:rPr>
        <w:t xml:space="preserve">order to determine the effect </w:t>
      </w:r>
      <w:r>
        <w:rPr>
          <w:rFonts w:ascii="Garamond" w:hAnsi="Garamond"/>
          <w:sz w:val="24"/>
        </w:rPr>
        <w:t xml:space="preserve">of a clinical medication review </w:t>
      </w:r>
      <w:r w:rsidRPr="00C00560">
        <w:rPr>
          <w:rFonts w:ascii="Garamond" w:hAnsi="Garamond"/>
          <w:sz w:val="24"/>
        </w:rPr>
        <w:t>on patients’ QoL</w:t>
      </w:r>
      <w:r>
        <w:rPr>
          <w:rFonts w:ascii="Garamond" w:hAnsi="Garamond"/>
          <w:sz w:val="24"/>
        </w:rPr>
        <w:t xml:space="preserve"> was not attained</w:t>
      </w:r>
      <w:r w:rsidRPr="00C00560">
        <w:rPr>
          <w:rFonts w:ascii="Garamond" w:hAnsi="Garamond"/>
          <w:sz w:val="24"/>
        </w:rPr>
        <w:t>.</w:t>
      </w:r>
    </w:p>
    <w:p w14:paraId="257D3878" w14:textId="77777777" w:rsidR="006B010E" w:rsidRDefault="006B010E" w:rsidP="006B010E">
      <w:pPr>
        <w:spacing w:before="240" w:after="0"/>
        <w:jc w:val="both"/>
        <w:rPr>
          <w:rFonts w:ascii="Garamond" w:hAnsi="Garamond"/>
          <w:sz w:val="24"/>
        </w:rPr>
      </w:pPr>
      <w:r>
        <w:rPr>
          <w:rFonts w:ascii="Garamond" w:hAnsi="Garamond"/>
          <w:sz w:val="24"/>
        </w:rPr>
        <w:t xml:space="preserve">The RCT by Touchette et al (2012) </w:t>
      </w:r>
      <w:r w:rsidRPr="00B522E7">
        <w:rPr>
          <w:rFonts w:ascii="Garamond" w:hAnsi="Garamond"/>
          <w:sz w:val="24"/>
        </w:rPr>
        <w:t>evaluate</w:t>
      </w:r>
      <w:r>
        <w:rPr>
          <w:rFonts w:ascii="Garamond" w:hAnsi="Garamond"/>
          <w:sz w:val="24"/>
        </w:rPr>
        <w:t>d</w:t>
      </w:r>
      <w:r w:rsidRPr="00B522E7">
        <w:rPr>
          <w:rFonts w:ascii="Garamond" w:hAnsi="Garamond"/>
          <w:sz w:val="24"/>
        </w:rPr>
        <w:t xml:space="preserve"> the effect of a </w:t>
      </w:r>
      <w:r>
        <w:rPr>
          <w:rFonts w:ascii="Garamond" w:hAnsi="Garamond"/>
          <w:sz w:val="24"/>
        </w:rPr>
        <w:t xml:space="preserve">community pharmacy based medication review </w:t>
      </w:r>
      <w:r w:rsidRPr="00B522E7">
        <w:rPr>
          <w:rFonts w:ascii="Garamond" w:hAnsi="Garamond"/>
          <w:sz w:val="24"/>
        </w:rPr>
        <w:t xml:space="preserve">on adverse drug events (ADEs), </w:t>
      </w:r>
      <w:r>
        <w:rPr>
          <w:rFonts w:ascii="Garamond" w:hAnsi="Garamond"/>
          <w:sz w:val="24"/>
        </w:rPr>
        <w:t>hospital and ED admissions</w:t>
      </w:r>
      <w:r w:rsidRPr="00B522E7">
        <w:rPr>
          <w:rFonts w:ascii="Garamond" w:hAnsi="Garamond"/>
          <w:sz w:val="24"/>
        </w:rPr>
        <w:t xml:space="preserve">, and </w:t>
      </w:r>
      <w:r>
        <w:rPr>
          <w:rFonts w:ascii="Garamond" w:hAnsi="Garamond"/>
          <w:sz w:val="24"/>
        </w:rPr>
        <w:t>DRPs</w:t>
      </w:r>
      <w:r w:rsidRPr="00B522E7">
        <w:rPr>
          <w:rFonts w:ascii="Garamond" w:hAnsi="Garamond"/>
          <w:sz w:val="24"/>
        </w:rPr>
        <w:t>.</w:t>
      </w:r>
      <w:r>
        <w:rPr>
          <w:rFonts w:ascii="Garamond" w:hAnsi="Garamond"/>
          <w:sz w:val="24"/>
        </w:rPr>
        <w:t xml:space="preserve">  It included 637 patients </w:t>
      </w:r>
      <w:r w:rsidRPr="00BC22F9">
        <w:rPr>
          <w:rFonts w:ascii="Garamond" w:hAnsi="Garamond"/>
          <w:sz w:val="24"/>
        </w:rPr>
        <w:t>aged 65 years or older with thre</w:t>
      </w:r>
      <w:r>
        <w:rPr>
          <w:rFonts w:ascii="Garamond" w:hAnsi="Garamond"/>
          <w:sz w:val="24"/>
        </w:rPr>
        <w:t xml:space="preserve">e or more chronic illnesses, prescribed six or more medications </w:t>
      </w:r>
      <w:r w:rsidRPr="00BC22F9">
        <w:rPr>
          <w:rFonts w:ascii="Garamond" w:hAnsi="Garamond"/>
          <w:sz w:val="24"/>
        </w:rPr>
        <w:t>and at risk for a DRP.</w:t>
      </w:r>
      <w:r>
        <w:rPr>
          <w:rFonts w:ascii="Garamond" w:hAnsi="Garamond"/>
          <w:sz w:val="24"/>
        </w:rPr>
        <w:t xml:space="preserve">  Patients were randomised to either receiving the medication review performed by a pharmacist at two time points (n=429) or usual care (n=208).  P</w:t>
      </w:r>
      <w:r w:rsidRPr="00BC22F9">
        <w:rPr>
          <w:rFonts w:ascii="Garamond" w:hAnsi="Garamond"/>
          <w:sz w:val="24"/>
        </w:rPr>
        <w:t>harmacists con</w:t>
      </w:r>
      <w:r>
        <w:rPr>
          <w:rFonts w:ascii="Garamond" w:hAnsi="Garamond"/>
          <w:sz w:val="24"/>
        </w:rPr>
        <w:t xml:space="preserve">ducted comprehensive medication </w:t>
      </w:r>
      <w:r w:rsidRPr="00BC22F9">
        <w:rPr>
          <w:rFonts w:ascii="Garamond" w:hAnsi="Garamond"/>
          <w:sz w:val="24"/>
        </w:rPr>
        <w:t>reviews and screened for and resolved DRP</w:t>
      </w:r>
      <w:r>
        <w:rPr>
          <w:rFonts w:ascii="Garamond" w:hAnsi="Garamond"/>
          <w:sz w:val="24"/>
        </w:rPr>
        <w:t xml:space="preserve">s through patient education and </w:t>
      </w:r>
      <w:r w:rsidRPr="00BC22F9">
        <w:rPr>
          <w:rFonts w:ascii="Garamond" w:hAnsi="Garamond"/>
          <w:sz w:val="24"/>
        </w:rPr>
        <w:t>recommendations to physicians.</w:t>
      </w:r>
      <w:r>
        <w:rPr>
          <w:rFonts w:ascii="Garamond" w:hAnsi="Garamond"/>
          <w:sz w:val="24"/>
        </w:rPr>
        <w:t xml:space="preserve">  </w:t>
      </w:r>
      <w:r w:rsidRPr="00C327E3">
        <w:rPr>
          <w:rFonts w:ascii="Garamond" w:hAnsi="Garamond"/>
          <w:sz w:val="24"/>
        </w:rPr>
        <w:t>Potential ADEs were the primary study outcome</w:t>
      </w:r>
      <w:r>
        <w:rPr>
          <w:rFonts w:ascii="Garamond" w:hAnsi="Garamond"/>
          <w:sz w:val="24"/>
        </w:rPr>
        <w:t xml:space="preserve"> where they </w:t>
      </w:r>
      <w:r w:rsidRPr="00C327E3">
        <w:rPr>
          <w:rFonts w:ascii="Garamond" w:hAnsi="Garamond"/>
          <w:sz w:val="24"/>
        </w:rPr>
        <w:t>were identified at 3 and 6 mo</w:t>
      </w:r>
      <w:r>
        <w:rPr>
          <w:rFonts w:ascii="Garamond" w:hAnsi="Garamond"/>
          <w:sz w:val="24"/>
        </w:rPr>
        <w:t xml:space="preserve">nths via telephone interview by </w:t>
      </w:r>
      <w:r w:rsidRPr="00C327E3">
        <w:rPr>
          <w:rFonts w:ascii="Garamond" w:hAnsi="Garamond"/>
          <w:sz w:val="24"/>
        </w:rPr>
        <w:t xml:space="preserve">study personnel blinded to the study arm using a </w:t>
      </w:r>
      <w:r>
        <w:rPr>
          <w:rFonts w:ascii="Garamond" w:hAnsi="Garamond"/>
          <w:sz w:val="24"/>
        </w:rPr>
        <w:t xml:space="preserve">validated </w:t>
      </w:r>
      <w:r w:rsidRPr="00C327E3">
        <w:rPr>
          <w:rFonts w:ascii="Garamond" w:hAnsi="Garamond"/>
          <w:sz w:val="24"/>
        </w:rPr>
        <w:t>symptom survey</w:t>
      </w:r>
      <w:r>
        <w:rPr>
          <w:rFonts w:ascii="Garamond" w:hAnsi="Garamond"/>
          <w:sz w:val="24"/>
        </w:rPr>
        <w:t>.  The RCT compared two types of medications reviews (basic and advanced) versus usual care.  A major limitation of this study is the relatively l</w:t>
      </w:r>
      <w:r w:rsidRPr="002524D9">
        <w:rPr>
          <w:rFonts w:ascii="Garamond" w:hAnsi="Garamond"/>
          <w:sz w:val="24"/>
        </w:rPr>
        <w:t>ow physician respon</w:t>
      </w:r>
      <w:r>
        <w:rPr>
          <w:rFonts w:ascii="Garamond" w:hAnsi="Garamond"/>
          <w:sz w:val="24"/>
        </w:rPr>
        <w:t xml:space="preserve">se (53% overall) and acceptance </w:t>
      </w:r>
      <w:r w:rsidRPr="002524D9">
        <w:rPr>
          <w:rFonts w:ascii="Garamond" w:hAnsi="Garamond"/>
          <w:sz w:val="24"/>
        </w:rPr>
        <w:t xml:space="preserve">(30%) of </w:t>
      </w:r>
      <w:r>
        <w:rPr>
          <w:rFonts w:ascii="Garamond" w:hAnsi="Garamond"/>
          <w:sz w:val="24"/>
        </w:rPr>
        <w:t>pharmacists’</w:t>
      </w:r>
      <w:r w:rsidRPr="002524D9">
        <w:rPr>
          <w:rFonts w:ascii="Garamond" w:hAnsi="Garamond"/>
          <w:sz w:val="24"/>
        </w:rPr>
        <w:t xml:space="preserve"> re</w:t>
      </w:r>
      <w:r>
        <w:rPr>
          <w:rFonts w:ascii="Garamond" w:hAnsi="Garamond"/>
          <w:sz w:val="24"/>
        </w:rPr>
        <w:t xml:space="preserve">commendations thus potentially reducing </w:t>
      </w:r>
      <w:r w:rsidRPr="002524D9">
        <w:rPr>
          <w:rFonts w:ascii="Garamond" w:hAnsi="Garamond"/>
          <w:sz w:val="24"/>
        </w:rPr>
        <w:t>the intervention's effectiveness</w:t>
      </w:r>
      <w:r>
        <w:rPr>
          <w:rFonts w:ascii="Garamond" w:hAnsi="Garamond"/>
          <w:sz w:val="24"/>
        </w:rPr>
        <w:t>.</w:t>
      </w:r>
    </w:p>
    <w:p w14:paraId="4FEC0BCA" w14:textId="2CE99E4A" w:rsidR="006B010E" w:rsidRDefault="006B010E" w:rsidP="006B010E">
      <w:pPr>
        <w:spacing w:before="240" w:after="0"/>
        <w:jc w:val="both"/>
        <w:rPr>
          <w:rFonts w:ascii="Garamond" w:hAnsi="Garamond"/>
          <w:sz w:val="24"/>
        </w:rPr>
      </w:pPr>
      <w:r>
        <w:rPr>
          <w:rFonts w:ascii="Garamond" w:hAnsi="Garamond"/>
          <w:sz w:val="24"/>
        </w:rPr>
        <w:t>The RCT by Blalock et a</w:t>
      </w:r>
      <w:r w:rsidR="00F72DF1">
        <w:rPr>
          <w:rFonts w:ascii="Garamond" w:hAnsi="Garamond"/>
          <w:sz w:val="24"/>
        </w:rPr>
        <w:t>l</w:t>
      </w:r>
      <w:r>
        <w:rPr>
          <w:rFonts w:ascii="Garamond" w:hAnsi="Garamond"/>
          <w:sz w:val="24"/>
        </w:rPr>
        <w:t xml:space="preserve"> (2010) evaluated the effect of a community pharmacy based medication review</w:t>
      </w:r>
      <w:r w:rsidRPr="000E7621">
        <w:t xml:space="preserve"> </w:t>
      </w:r>
      <w:r w:rsidRPr="000E7621">
        <w:rPr>
          <w:rFonts w:ascii="Garamond" w:hAnsi="Garamond"/>
          <w:sz w:val="24"/>
        </w:rPr>
        <w:t>targeting high-risk older adults on the rates of recurrent falls</w:t>
      </w:r>
      <w:r>
        <w:rPr>
          <w:rFonts w:ascii="Garamond" w:hAnsi="Garamond"/>
          <w:sz w:val="24"/>
        </w:rPr>
        <w:t xml:space="preserve">.  Selection criteria included patients who </w:t>
      </w:r>
      <w:r w:rsidRPr="008A6626">
        <w:rPr>
          <w:rFonts w:ascii="Garamond" w:hAnsi="Garamond"/>
          <w:sz w:val="24"/>
        </w:rPr>
        <w:t>had fallen at least once in</w:t>
      </w:r>
      <w:r>
        <w:rPr>
          <w:rFonts w:ascii="Garamond" w:hAnsi="Garamond"/>
          <w:sz w:val="24"/>
        </w:rPr>
        <w:t xml:space="preserve"> the</w:t>
      </w:r>
      <w:r w:rsidRPr="008A6626">
        <w:rPr>
          <w:rFonts w:ascii="Garamond" w:hAnsi="Garamond"/>
          <w:sz w:val="24"/>
        </w:rPr>
        <w:t xml:space="preserve"> year preceding randomisation and were taking medications associated with an increased risk of falling</w:t>
      </w:r>
      <w:r>
        <w:rPr>
          <w:rStyle w:val="FootnoteReference"/>
          <w:rFonts w:ascii="Garamond" w:hAnsi="Garamond"/>
          <w:sz w:val="24"/>
        </w:rPr>
        <w:footnoteReference w:id="10"/>
      </w:r>
      <w:r>
        <w:rPr>
          <w:rFonts w:ascii="Garamond" w:hAnsi="Garamond"/>
          <w:sz w:val="24"/>
        </w:rPr>
        <w:t xml:space="preserve">. </w:t>
      </w:r>
      <w:r w:rsidRPr="008A6626">
        <w:rPr>
          <w:rFonts w:ascii="Garamond" w:hAnsi="Garamond"/>
          <w:sz w:val="24"/>
        </w:rPr>
        <w:t xml:space="preserve"> </w:t>
      </w:r>
      <w:r w:rsidRPr="000E7621">
        <w:rPr>
          <w:rFonts w:ascii="Garamond" w:hAnsi="Garamond"/>
          <w:sz w:val="24"/>
        </w:rPr>
        <w:t>Participan</w:t>
      </w:r>
      <w:r>
        <w:rPr>
          <w:rFonts w:ascii="Garamond" w:hAnsi="Garamond"/>
          <w:sz w:val="24"/>
        </w:rPr>
        <w:t xml:space="preserve">ts assigned to the intervention </w:t>
      </w:r>
      <w:r w:rsidRPr="000E7621">
        <w:rPr>
          <w:rFonts w:ascii="Garamond" w:hAnsi="Garamond"/>
          <w:sz w:val="24"/>
        </w:rPr>
        <w:t>group</w:t>
      </w:r>
      <w:r>
        <w:rPr>
          <w:rFonts w:ascii="Garamond" w:hAnsi="Garamond"/>
          <w:sz w:val="24"/>
        </w:rPr>
        <w:t xml:space="preserve"> (n=93)</w:t>
      </w:r>
      <w:r w:rsidRPr="000E7621">
        <w:rPr>
          <w:rFonts w:ascii="Garamond" w:hAnsi="Garamond"/>
          <w:sz w:val="24"/>
        </w:rPr>
        <w:t xml:space="preserve"> received a</w:t>
      </w:r>
      <w:r>
        <w:rPr>
          <w:rFonts w:ascii="Garamond" w:hAnsi="Garamond"/>
          <w:sz w:val="24"/>
        </w:rPr>
        <w:t xml:space="preserve"> </w:t>
      </w:r>
      <w:r w:rsidRPr="000E7621">
        <w:rPr>
          <w:rFonts w:ascii="Garamond" w:hAnsi="Garamond"/>
          <w:sz w:val="24"/>
        </w:rPr>
        <w:t>face-</w:t>
      </w:r>
      <w:r>
        <w:rPr>
          <w:rFonts w:ascii="Garamond" w:hAnsi="Garamond"/>
          <w:sz w:val="24"/>
        </w:rPr>
        <w:t>to-</w:t>
      </w:r>
      <w:r>
        <w:rPr>
          <w:rFonts w:ascii="Garamond" w:hAnsi="Garamond"/>
          <w:sz w:val="24"/>
        </w:rPr>
        <w:lastRenderedPageBreak/>
        <w:t>face medication consultation conducted by a pharmacist at Drug Kerr community pharmacy</w:t>
      </w:r>
      <w:r w:rsidRPr="000E7621">
        <w:rPr>
          <w:rFonts w:ascii="Garamond" w:hAnsi="Garamond"/>
          <w:sz w:val="24"/>
        </w:rPr>
        <w:t xml:space="preserve"> nearest their home; parti</w:t>
      </w:r>
      <w:r>
        <w:rPr>
          <w:rFonts w:ascii="Garamond" w:hAnsi="Garamond"/>
          <w:sz w:val="24"/>
        </w:rPr>
        <w:t xml:space="preserve">cipants </w:t>
      </w:r>
      <w:r w:rsidRPr="000E7621">
        <w:rPr>
          <w:rFonts w:ascii="Garamond" w:hAnsi="Garamond"/>
          <w:sz w:val="24"/>
        </w:rPr>
        <w:t>assigned to the control group</w:t>
      </w:r>
      <w:r>
        <w:rPr>
          <w:rFonts w:ascii="Garamond" w:hAnsi="Garamond"/>
          <w:sz w:val="24"/>
        </w:rPr>
        <w:t xml:space="preserve"> (n=93) received no medication review.  During the medication consultation, </w:t>
      </w:r>
      <w:r w:rsidRPr="000E7621">
        <w:rPr>
          <w:rFonts w:ascii="Garamond" w:hAnsi="Garamond"/>
          <w:sz w:val="24"/>
        </w:rPr>
        <w:t>the pharmacist reviewe</w:t>
      </w:r>
      <w:r>
        <w:rPr>
          <w:rFonts w:ascii="Garamond" w:hAnsi="Garamond"/>
          <w:sz w:val="24"/>
        </w:rPr>
        <w:t xml:space="preserve">d the patient’s medications and </w:t>
      </w:r>
      <w:r w:rsidRPr="000E7621">
        <w:rPr>
          <w:rFonts w:ascii="Garamond" w:hAnsi="Garamond"/>
          <w:sz w:val="24"/>
        </w:rPr>
        <w:t>identified potential problems in their drug therapy</w:t>
      </w:r>
      <w:r>
        <w:rPr>
          <w:rFonts w:ascii="Garamond" w:hAnsi="Garamond"/>
          <w:sz w:val="24"/>
        </w:rPr>
        <w:t xml:space="preserve">, with attention </w:t>
      </w:r>
      <w:r w:rsidRPr="000E7621">
        <w:rPr>
          <w:rFonts w:ascii="Garamond" w:hAnsi="Garamond"/>
          <w:sz w:val="24"/>
        </w:rPr>
        <w:t>given to medications that have</w:t>
      </w:r>
      <w:r>
        <w:rPr>
          <w:rFonts w:ascii="Garamond" w:hAnsi="Garamond"/>
          <w:sz w:val="24"/>
        </w:rPr>
        <w:t xml:space="preserve"> </w:t>
      </w:r>
      <w:r w:rsidRPr="000E7621">
        <w:rPr>
          <w:rFonts w:ascii="Garamond" w:hAnsi="Garamond"/>
          <w:sz w:val="24"/>
        </w:rPr>
        <w:t>been found to increase the risk of falling, with an emphasis</w:t>
      </w:r>
      <w:r>
        <w:rPr>
          <w:rFonts w:ascii="Garamond" w:hAnsi="Garamond"/>
          <w:sz w:val="24"/>
        </w:rPr>
        <w:t xml:space="preserve"> on central nervous system</w:t>
      </w:r>
      <w:r w:rsidRPr="000E7621">
        <w:rPr>
          <w:rFonts w:ascii="Garamond" w:hAnsi="Garamond"/>
          <w:sz w:val="24"/>
        </w:rPr>
        <w:t>-active medications</w:t>
      </w:r>
      <w:r>
        <w:rPr>
          <w:rFonts w:ascii="Garamond" w:hAnsi="Garamond"/>
          <w:sz w:val="24"/>
        </w:rPr>
        <w:t xml:space="preserve">.  </w:t>
      </w:r>
      <w:r w:rsidRPr="00063D2A">
        <w:rPr>
          <w:rFonts w:ascii="Garamond" w:hAnsi="Garamond"/>
          <w:sz w:val="24"/>
        </w:rPr>
        <w:t xml:space="preserve">The primary </w:t>
      </w:r>
      <w:r>
        <w:rPr>
          <w:rFonts w:ascii="Garamond" w:hAnsi="Garamond"/>
          <w:sz w:val="24"/>
        </w:rPr>
        <w:t>outcome</w:t>
      </w:r>
      <w:r w:rsidRPr="00063D2A">
        <w:rPr>
          <w:rFonts w:ascii="Garamond" w:hAnsi="Garamond"/>
          <w:sz w:val="24"/>
        </w:rPr>
        <w:t xml:space="preserve"> was the rate</w:t>
      </w:r>
      <w:r>
        <w:rPr>
          <w:rFonts w:ascii="Garamond" w:hAnsi="Garamond"/>
          <w:sz w:val="24"/>
        </w:rPr>
        <w:t xml:space="preserve"> of recurrent falls.  T</w:t>
      </w:r>
      <w:r w:rsidRPr="00063D2A">
        <w:rPr>
          <w:rFonts w:ascii="Garamond" w:hAnsi="Garamond"/>
          <w:sz w:val="24"/>
        </w:rPr>
        <w:t xml:space="preserve">he total number of prescriptions </w:t>
      </w:r>
      <w:r>
        <w:rPr>
          <w:rFonts w:ascii="Garamond" w:hAnsi="Garamond"/>
          <w:sz w:val="24"/>
        </w:rPr>
        <w:t>for high-risk medications and the reduction in dose of high-risk medications were as</w:t>
      </w:r>
      <w:r w:rsidR="00F72DF1">
        <w:rPr>
          <w:rFonts w:ascii="Garamond" w:hAnsi="Garamond"/>
          <w:sz w:val="24"/>
        </w:rPr>
        <w:t>sessed as secondary end points.</w:t>
      </w:r>
    </w:p>
    <w:p w14:paraId="2D8D2711" w14:textId="509CD394" w:rsidR="006B010E" w:rsidRDefault="006B010E" w:rsidP="006B010E">
      <w:pPr>
        <w:spacing w:before="240" w:after="0"/>
        <w:jc w:val="both"/>
        <w:rPr>
          <w:rFonts w:ascii="Garamond" w:hAnsi="Garamond"/>
          <w:sz w:val="24"/>
        </w:rPr>
      </w:pPr>
      <w:r>
        <w:rPr>
          <w:rFonts w:ascii="Garamond" w:hAnsi="Garamond"/>
          <w:sz w:val="24"/>
        </w:rPr>
        <w:t>The SMOG RCT by Vinks et al (2009)</w:t>
      </w:r>
      <w:r w:rsidRPr="00C7705D">
        <w:t xml:space="preserve"> </w:t>
      </w:r>
      <w:r>
        <w:rPr>
          <w:rFonts w:ascii="Garamond" w:hAnsi="Garamond"/>
          <w:sz w:val="24"/>
        </w:rPr>
        <w:t xml:space="preserve">evaluated the </w:t>
      </w:r>
      <w:r w:rsidRPr="00C7705D">
        <w:rPr>
          <w:rFonts w:ascii="Garamond" w:hAnsi="Garamond"/>
          <w:sz w:val="24"/>
        </w:rPr>
        <w:t xml:space="preserve">benefit of medication review by a </w:t>
      </w:r>
      <w:r>
        <w:rPr>
          <w:rFonts w:ascii="Garamond" w:hAnsi="Garamond"/>
          <w:sz w:val="24"/>
        </w:rPr>
        <w:t xml:space="preserve">community pharmacist on reducing DRPs in elderly patients.  It included </w:t>
      </w:r>
      <w:r w:rsidRPr="00C7705D">
        <w:rPr>
          <w:rFonts w:ascii="Garamond" w:hAnsi="Garamond"/>
          <w:sz w:val="24"/>
        </w:rPr>
        <w:t>174</w:t>
      </w:r>
      <w:r>
        <w:rPr>
          <w:rFonts w:ascii="Garamond" w:hAnsi="Garamond"/>
          <w:sz w:val="24"/>
        </w:rPr>
        <w:t xml:space="preserve"> patients prescribed six or more drugs (polypharmacy), randomised with a 1:1 allocation ratio to either receiving a medication review or usual care</w:t>
      </w:r>
      <w:r w:rsidRPr="00C7705D">
        <w:rPr>
          <w:rFonts w:ascii="Garamond" w:hAnsi="Garamond"/>
          <w:sz w:val="24"/>
        </w:rPr>
        <w:t xml:space="preserve">. </w:t>
      </w:r>
      <w:r>
        <w:rPr>
          <w:rFonts w:ascii="Garamond" w:hAnsi="Garamond"/>
          <w:sz w:val="24"/>
        </w:rPr>
        <w:t xml:space="preserve"> The medication review was performed by a pharmacist and focused on </w:t>
      </w:r>
      <w:r w:rsidRPr="00CA1E51">
        <w:rPr>
          <w:rFonts w:ascii="Garamond" w:hAnsi="Garamond"/>
          <w:sz w:val="24"/>
        </w:rPr>
        <w:t xml:space="preserve">identifying DRPs and providing recommendations for medication change that were discussed with </w:t>
      </w:r>
      <w:r>
        <w:rPr>
          <w:rFonts w:ascii="Garamond" w:hAnsi="Garamond"/>
          <w:sz w:val="24"/>
        </w:rPr>
        <w:t xml:space="preserve">the </w:t>
      </w:r>
      <w:r w:rsidRPr="00CA1E51">
        <w:rPr>
          <w:rFonts w:ascii="Garamond" w:hAnsi="Garamond"/>
          <w:sz w:val="24"/>
        </w:rPr>
        <w:t>GP.  The pharm</w:t>
      </w:r>
      <w:r>
        <w:rPr>
          <w:rFonts w:ascii="Garamond" w:hAnsi="Garamond"/>
          <w:sz w:val="24"/>
        </w:rPr>
        <w:t>acist performed another review four</w:t>
      </w:r>
      <w:r w:rsidRPr="00CA1E51">
        <w:rPr>
          <w:rFonts w:ascii="Garamond" w:hAnsi="Garamond"/>
          <w:sz w:val="24"/>
        </w:rPr>
        <w:t xml:space="preserve"> months later and screened for potential DRPs</w:t>
      </w:r>
      <w:r w:rsidR="00F72DF1">
        <w:rPr>
          <w:rFonts w:ascii="Garamond" w:hAnsi="Garamond"/>
          <w:sz w:val="24"/>
        </w:rPr>
        <w:t>.  Th</w:t>
      </w:r>
      <w:r>
        <w:rPr>
          <w:rFonts w:ascii="Garamond" w:hAnsi="Garamond"/>
          <w:sz w:val="24"/>
        </w:rPr>
        <w:t xml:space="preserve">e main outcome of interest was the change in the number of potential DRPs between the groups from baseline to 4 months after the date of inclusion.  </w:t>
      </w:r>
      <w:r w:rsidRPr="00C7705D">
        <w:rPr>
          <w:rFonts w:ascii="Garamond" w:hAnsi="Garamond"/>
          <w:sz w:val="24"/>
        </w:rPr>
        <w:t>On average</w:t>
      </w:r>
      <w:r>
        <w:rPr>
          <w:rFonts w:ascii="Garamond" w:hAnsi="Garamond"/>
          <w:sz w:val="24"/>
        </w:rPr>
        <w:t>,</w:t>
      </w:r>
      <w:r w:rsidRPr="00C7705D">
        <w:rPr>
          <w:rFonts w:ascii="Garamond" w:hAnsi="Garamond"/>
          <w:sz w:val="24"/>
        </w:rPr>
        <w:t xml:space="preserve"> 2.7 </w:t>
      </w:r>
      <w:r>
        <w:rPr>
          <w:rFonts w:ascii="Garamond" w:hAnsi="Garamond"/>
          <w:sz w:val="24"/>
        </w:rPr>
        <w:t xml:space="preserve">recommendations were </w:t>
      </w:r>
      <w:r w:rsidRPr="00C7705D">
        <w:rPr>
          <w:rFonts w:ascii="Garamond" w:hAnsi="Garamond"/>
          <w:sz w:val="24"/>
        </w:rPr>
        <w:t xml:space="preserve">made per assessment. </w:t>
      </w:r>
      <w:r>
        <w:rPr>
          <w:rFonts w:ascii="Garamond" w:hAnsi="Garamond"/>
          <w:sz w:val="24"/>
        </w:rPr>
        <w:t xml:space="preserve"> </w:t>
      </w:r>
      <w:r w:rsidRPr="00C7705D">
        <w:rPr>
          <w:rFonts w:ascii="Garamond" w:hAnsi="Garamond"/>
          <w:sz w:val="24"/>
        </w:rPr>
        <w:t xml:space="preserve">At four months </w:t>
      </w:r>
      <w:r>
        <w:rPr>
          <w:rFonts w:ascii="Garamond" w:hAnsi="Garamond"/>
          <w:sz w:val="24"/>
        </w:rPr>
        <w:t xml:space="preserve">around a quarter (28%) of the </w:t>
      </w:r>
      <w:r w:rsidRPr="00C7705D">
        <w:rPr>
          <w:rFonts w:ascii="Garamond" w:hAnsi="Garamond"/>
          <w:sz w:val="24"/>
        </w:rPr>
        <w:t>recommendations had been imp</w:t>
      </w:r>
      <w:r>
        <w:rPr>
          <w:rFonts w:ascii="Garamond" w:hAnsi="Garamond"/>
          <w:sz w:val="24"/>
        </w:rPr>
        <w:t xml:space="preserve">lemented. </w:t>
      </w:r>
    </w:p>
    <w:p w14:paraId="1B20731F" w14:textId="318890C9" w:rsidR="006B010E" w:rsidRDefault="006B010E" w:rsidP="006B010E">
      <w:pPr>
        <w:spacing w:before="240" w:after="0"/>
        <w:jc w:val="both"/>
        <w:rPr>
          <w:rFonts w:ascii="Garamond" w:hAnsi="Garamond"/>
          <w:sz w:val="24"/>
        </w:rPr>
      </w:pPr>
      <w:r w:rsidRPr="000B742A">
        <w:rPr>
          <w:rFonts w:ascii="Garamond" w:hAnsi="Garamond"/>
          <w:sz w:val="24"/>
        </w:rPr>
        <w:t>The M</w:t>
      </w:r>
      <w:r>
        <w:rPr>
          <w:rFonts w:ascii="Garamond" w:hAnsi="Garamond"/>
          <w:sz w:val="24"/>
        </w:rPr>
        <w:t>EDMAN</w:t>
      </w:r>
      <w:r w:rsidR="00BF0EBA">
        <w:rPr>
          <w:rFonts w:ascii="Garamond" w:hAnsi="Garamond"/>
          <w:sz w:val="24"/>
        </w:rPr>
        <w:t xml:space="preserve"> t</w:t>
      </w:r>
      <w:r w:rsidRPr="000B742A">
        <w:rPr>
          <w:rFonts w:ascii="Garamond" w:hAnsi="Garamond"/>
          <w:sz w:val="24"/>
        </w:rPr>
        <w:t xml:space="preserve">rial </w:t>
      </w:r>
      <w:r>
        <w:rPr>
          <w:rFonts w:ascii="Garamond" w:hAnsi="Garamond"/>
          <w:sz w:val="24"/>
        </w:rPr>
        <w:t xml:space="preserve">by Bond et al (2007) </w:t>
      </w:r>
      <w:r w:rsidRPr="000B742A">
        <w:rPr>
          <w:rFonts w:ascii="Garamond" w:hAnsi="Garamond"/>
          <w:sz w:val="24"/>
        </w:rPr>
        <w:t>was a multicentred RCT commissioned by the UK Department of Health to inform changes to the community pharm</w:t>
      </w:r>
      <w:r>
        <w:rPr>
          <w:rFonts w:ascii="Garamond" w:hAnsi="Garamond"/>
          <w:sz w:val="24"/>
        </w:rPr>
        <w:t>acist contractual framework</w:t>
      </w:r>
      <w:r w:rsidRPr="000B742A">
        <w:rPr>
          <w:rFonts w:ascii="Garamond" w:hAnsi="Garamond"/>
          <w:sz w:val="24"/>
        </w:rPr>
        <w:t>.</w:t>
      </w:r>
      <w:r>
        <w:rPr>
          <w:rFonts w:ascii="Garamond" w:hAnsi="Garamond"/>
          <w:sz w:val="24"/>
        </w:rPr>
        <w:t xml:space="preserve"> </w:t>
      </w:r>
      <w:r w:rsidRPr="000B742A">
        <w:rPr>
          <w:rFonts w:ascii="Garamond" w:hAnsi="Garamond"/>
          <w:sz w:val="24"/>
        </w:rPr>
        <w:t xml:space="preserve"> Subjects were male or female, aged 18 years and over, with recorded coronary heart disease (CHD), defined as previous myocardial infarction, angina, coronary artery by</w:t>
      </w:r>
      <w:r w:rsidR="005A297C">
        <w:rPr>
          <w:rFonts w:ascii="Garamond" w:hAnsi="Garamond"/>
          <w:sz w:val="24"/>
        </w:rPr>
        <w:t>pass</w:t>
      </w:r>
      <w:r w:rsidRPr="000B742A">
        <w:rPr>
          <w:rFonts w:ascii="Garamond" w:hAnsi="Garamond"/>
          <w:sz w:val="24"/>
        </w:rPr>
        <w:t xml:space="preserve"> graft, or angioplasty.</w:t>
      </w:r>
      <w:r>
        <w:rPr>
          <w:rFonts w:ascii="Garamond" w:hAnsi="Garamond"/>
          <w:sz w:val="24"/>
        </w:rPr>
        <w:t xml:space="preserve"> </w:t>
      </w:r>
      <w:r w:rsidRPr="000B742A">
        <w:rPr>
          <w:rFonts w:ascii="Garamond" w:hAnsi="Garamond"/>
          <w:sz w:val="24"/>
        </w:rPr>
        <w:t xml:space="preserve"> Patients were identified from general practice computer systems, recruited and randomised (2:1) to intervention (receiving the M</w:t>
      </w:r>
      <w:r w:rsidR="00BF0EBA">
        <w:rPr>
          <w:rFonts w:ascii="Garamond" w:hAnsi="Garamond"/>
          <w:sz w:val="24"/>
        </w:rPr>
        <w:t>EDMAN</w:t>
      </w:r>
      <w:r w:rsidRPr="000B742A">
        <w:rPr>
          <w:rFonts w:ascii="Garamond" w:hAnsi="Garamond"/>
          <w:sz w:val="24"/>
        </w:rPr>
        <w:t xml:space="preserve"> service) or control (receiving usual care). </w:t>
      </w:r>
      <w:r>
        <w:rPr>
          <w:rFonts w:ascii="Garamond" w:hAnsi="Garamond"/>
          <w:sz w:val="24"/>
        </w:rPr>
        <w:t xml:space="preserve"> </w:t>
      </w:r>
      <w:r w:rsidRPr="000B742A">
        <w:rPr>
          <w:rFonts w:ascii="Garamond" w:hAnsi="Garamond"/>
          <w:sz w:val="24"/>
        </w:rPr>
        <w:t>The M</w:t>
      </w:r>
      <w:r w:rsidR="00BF0EBA">
        <w:rPr>
          <w:rFonts w:ascii="Garamond" w:hAnsi="Garamond"/>
          <w:sz w:val="24"/>
        </w:rPr>
        <w:t>EDMAN</w:t>
      </w:r>
      <w:r w:rsidRPr="000B742A">
        <w:rPr>
          <w:rFonts w:ascii="Garamond" w:hAnsi="Garamond"/>
          <w:sz w:val="24"/>
        </w:rPr>
        <w:t xml:space="preserve"> service was a collaborative medicine review service between the community pharmacist and the </w:t>
      </w:r>
      <w:r w:rsidR="00DA01FB">
        <w:rPr>
          <w:rFonts w:ascii="Garamond" w:hAnsi="Garamond"/>
          <w:sz w:val="24"/>
        </w:rPr>
        <w:t>GP</w:t>
      </w:r>
      <w:r w:rsidRPr="000B742A">
        <w:rPr>
          <w:rFonts w:ascii="Garamond" w:hAnsi="Garamond"/>
          <w:sz w:val="24"/>
        </w:rPr>
        <w:t xml:space="preserve">. </w:t>
      </w:r>
      <w:r>
        <w:rPr>
          <w:rFonts w:ascii="Garamond" w:hAnsi="Garamond"/>
          <w:sz w:val="24"/>
        </w:rPr>
        <w:t xml:space="preserve"> </w:t>
      </w:r>
      <w:r w:rsidRPr="000B742A">
        <w:rPr>
          <w:rFonts w:ascii="Garamond" w:hAnsi="Garamond"/>
          <w:sz w:val="24"/>
        </w:rPr>
        <w:t>It included an initial consultation with a community pharmacist to review: appropriateness of therapy (e.g. additional medicine required, medicine that should be discontinued, change of medicine, use of over-the-counter (OTC) medicines, formulation issues); compliance and concordance (e.g. daily consumption of medicine, any concerns/beliefs about medicines, information requirements); lifestyle (e.g. smoking cessation, increased exercise and dietary change); and social and support issues (either managing their medicines or their condition generally).</w:t>
      </w:r>
      <w:r>
        <w:rPr>
          <w:rFonts w:ascii="Garamond" w:hAnsi="Garamond"/>
          <w:sz w:val="24"/>
        </w:rPr>
        <w:t xml:space="preserve"> </w:t>
      </w:r>
      <w:r w:rsidRPr="000B742A">
        <w:rPr>
          <w:rFonts w:ascii="Garamond" w:hAnsi="Garamond"/>
          <w:sz w:val="24"/>
        </w:rPr>
        <w:t xml:space="preserve"> The number of subsequent consultations was determined by the community pharmacist on the basis of each patient’s need, with a maximum of four anticipated during the 12-month follow-up. </w:t>
      </w:r>
      <w:r>
        <w:rPr>
          <w:rFonts w:ascii="Garamond" w:hAnsi="Garamond"/>
          <w:sz w:val="24"/>
        </w:rPr>
        <w:t xml:space="preserve"> </w:t>
      </w:r>
      <w:r w:rsidRPr="000B742A">
        <w:rPr>
          <w:rFonts w:ascii="Garamond" w:hAnsi="Garamond"/>
          <w:sz w:val="24"/>
        </w:rPr>
        <w:t xml:space="preserve">The community pharmacist communicated any suggested changes to prescription medicines to the GP using a standard referral form. </w:t>
      </w:r>
      <w:r>
        <w:rPr>
          <w:rFonts w:ascii="Garamond" w:hAnsi="Garamond"/>
          <w:sz w:val="24"/>
        </w:rPr>
        <w:t xml:space="preserve"> </w:t>
      </w:r>
      <w:r w:rsidRPr="000B742A">
        <w:rPr>
          <w:rFonts w:ascii="Garamond" w:hAnsi="Garamond"/>
          <w:sz w:val="24"/>
        </w:rPr>
        <w:t>The control patients received usual care from their community pharmacists (opportunistic advice on OTC medicines and lifestyle, and ad hoc communication with the GP) and GP (authorisation of repeat medicines, review of medicines).</w:t>
      </w:r>
      <w:r>
        <w:rPr>
          <w:rFonts w:ascii="Garamond" w:hAnsi="Garamond"/>
          <w:sz w:val="24"/>
        </w:rPr>
        <w:t xml:space="preserve">  Primary outcomes included a</w:t>
      </w:r>
      <w:r w:rsidRPr="000B742A">
        <w:rPr>
          <w:rFonts w:ascii="Garamond" w:hAnsi="Garamond"/>
          <w:sz w:val="24"/>
        </w:rPr>
        <w:t xml:space="preserve"> costing exercise </w:t>
      </w:r>
      <w:r>
        <w:rPr>
          <w:rFonts w:ascii="Garamond" w:hAnsi="Garamond"/>
          <w:sz w:val="24"/>
        </w:rPr>
        <w:t xml:space="preserve">that </w:t>
      </w:r>
      <w:r w:rsidRPr="000B742A">
        <w:rPr>
          <w:rFonts w:ascii="Garamond" w:hAnsi="Garamond"/>
          <w:sz w:val="24"/>
        </w:rPr>
        <w:t xml:space="preserve">collected information on </w:t>
      </w:r>
      <w:r>
        <w:rPr>
          <w:rFonts w:ascii="Garamond" w:hAnsi="Garamond"/>
          <w:sz w:val="24"/>
        </w:rPr>
        <w:t>National Health Service (</w:t>
      </w:r>
      <w:r w:rsidRPr="000B742A">
        <w:rPr>
          <w:rFonts w:ascii="Garamond" w:hAnsi="Garamond"/>
          <w:sz w:val="24"/>
        </w:rPr>
        <w:t>NHS</w:t>
      </w:r>
      <w:r>
        <w:rPr>
          <w:rFonts w:ascii="Garamond" w:hAnsi="Garamond"/>
          <w:sz w:val="24"/>
        </w:rPr>
        <w:t>) and patient costs (based on 2015 prices); a</w:t>
      </w:r>
      <w:r w:rsidRPr="000B742A">
        <w:rPr>
          <w:rFonts w:ascii="Garamond" w:hAnsi="Garamond"/>
          <w:sz w:val="24"/>
        </w:rPr>
        <w:t xml:space="preserve"> composite mea</w:t>
      </w:r>
      <w:r>
        <w:rPr>
          <w:rFonts w:ascii="Garamond" w:hAnsi="Garamond"/>
          <w:sz w:val="24"/>
        </w:rPr>
        <w:t xml:space="preserve">sure of ‘appropriate treatment’, quality of life using utility measures </w:t>
      </w:r>
      <w:r w:rsidRPr="000B742A">
        <w:rPr>
          <w:rFonts w:ascii="Garamond" w:hAnsi="Garamond"/>
          <w:sz w:val="24"/>
        </w:rPr>
        <w:t xml:space="preserve">EuroQol </w:t>
      </w:r>
      <w:r>
        <w:rPr>
          <w:rFonts w:ascii="Garamond" w:hAnsi="Garamond"/>
          <w:sz w:val="24"/>
        </w:rPr>
        <w:t>(EQ-5D) and SF-6D</w:t>
      </w:r>
      <w:r w:rsidRPr="000B742A">
        <w:rPr>
          <w:rFonts w:ascii="Garamond" w:hAnsi="Garamond"/>
          <w:sz w:val="24"/>
        </w:rPr>
        <w:t xml:space="preserve"> scores.</w:t>
      </w:r>
      <w:r>
        <w:rPr>
          <w:rFonts w:ascii="Garamond" w:hAnsi="Garamond"/>
          <w:sz w:val="24"/>
        </w:rPr>
        <w:t xml:space="preserve"> </w:t>
      </w:r>
      <w:r w:rsidRPr="000B742A">
        <w:rPr>
          <w:rFonts w:ascii="Garamond" w:hAnsi="Garamond"/>
          <w:sz w:val="24"/>
        </w:rPr>
        <w:t xml:space="preserve"> </w:t>
      </w:r>
      <w:r>
        <w:rPr>
          <w:rFonts w:ascii="Garamond" w:hAnsi="Garamond"/>
          <w:sz w:val="24"/>
        </w:rPr>
        <w:t>Secondary outcomes included p</w:t>
      </w:r>
      <w:r w:rsidRPr="000B742A">
        <w:rPr>
          <w:rFonts w:ascii="Garamond" w:hAnsi="Garamond"/>
          <w:sz w:val="24"/>
        </w:rPr>
        <w:t>atient self-reported s</w:t>
      </w:r>
      <w:r>
        <w:rPr>
          <w:rFonts w:ascii="Garamond" w:hAnsi="Garamond"/>
          <w:sz w:val="24"/>
        </w:rPr>
        <w:t>atisfaction was collected at 12-month follow-up, adherence, and five-year risk of cardiovascular death.</w:t>
      </w:r>
    </w:p>
    <w:p w14:paraId="46ED2BBA" w14:textId="34E5CB1B" w:rsidR="006B010E" w:rsidRDefault="006B010E" w:rsidP="006B010E">
      <w:pPr>
        <w:spacing w:before="240" w:after="0"/>
        <w:jc w:val="both"/>
        <w:rPr>
          <w:rFonts w:ascii="Garamond" w:hAnsi="Garamond"/>
          <w:sz w:val="24"/>
        </w:rPr>
      </w:pPr>
      <w:r>
        <w:rPr>
          <w:rFonts w:ascii="Garamond" w:hAnsi="Garamond"/>
          <w:sz w:val="24"/>
        </w:rPr>
        <w:t>The RCT by Bouvy et al (2003) evaluated the effect of a community pharmacy based medication review provided to</w:t>
      </w:r>
      <w:r w:rsidRPr="002B674C">
        <w:rPr>
          <w:rFonts w:ascii="Garamond" w:hAnsi="Garamond"/>
          <w:sz w:val="24"/>
        </w:rPr>
        <w:t xml:space="preserve"> patients with heart failure (predominantly Ne</w:t>
      </w:r>
      <w:r>
        <w:rPr>
          <w:rFonts w:ascii="Garamond" w:hAnsi="Garamond"/>
          <w:sz w:val="24"/>
        </w:rPr>
        <w:t xml:space="preserve">w York Heart Association [NYHA] </w:t>
      </w:r>
      <w:r w:rsidRPr="002B674C">
        <w:rPr>
          <w:rFonts w:ascii="Garamond" w:hAnsi="Garamond"/>
          <w:sz w:val="24"/>
        </w:rPr>
        <w:t>II and III) treated with loop diuretics</w:t>
      </w:r>
      <w:r>
        <w:rPr>
          <w:rFonts w:ascii="Garamond" w:hAnsi="Garamond"/>
          <w:sz w:val="24"/>
        </w:rPr>
        <w:t xml:space="preserve">.  </w:t>
      </w:r>
      <w:r w:rsidRPr="002B674C">
        <w:rPr>
          <w:rFonts w:ascii="Garamond" w:hAnsi="Garamond"/>
          <w:sz w:val="24"/>
        </w:rPr>
        <w:t>Patients in the intervention group</w:t>
      </w:r>
      <w:r>
        <w:rPr>
          <w:rFonts w:ascii="Garamond" w:hAnsi="Garamond"/>
          <w:sz w:val="24"/>
        </w:rPr>
        <w:t xml:space="preserve"> (n=74)</w:t>
      </w:r>
      <w:r w:rsidRPr="002B674C">
        <w:rPr>
          <w:rFonts w:ascii="Garamond" w:hAnsi="Garamond"/>
          <w:sz w:val="24"/>
        </w:rPr>
        <w:t xml:space="preserve"> received </w:t>
      </w:r>
      <w:r>
        <w:rPr>
          <w:rFonts w:ascii="Garamond" w:hAnsi="Garamond"/>
          <w:sz w:val="24"/>
        </w:rPr>
        <w:t xml:space="preserve">an interview with the pharmacist aiming </w:t>
      </w:r>
      <w:r w:rsidRPr="000C52F6">
        <w:rPr>
          <w:rFonts w:ascii="Garamond" w:hAnsi="Garamond"/>
          <w:sz w:val="24"/>
        </w:rPr>
        <w:t>on discussing medicine use and reasons for noncompli</w:t>
      </w:r>
      <w:r>
        <w:rPr>
          <w:rFonts w:ascii="Garamond" w:hAnsi="Garamond"/>
          <w:sz w:val="24"/>
        </w:rPr>
        <w:t>ance (such as potential DRPs). The pharmacist then forwards a</w:t>
      </w:r>
      <w:r w:rsidRPr="000C52F6">
        <w:rPr>
          <w:rFonts w:ascii="Garamond" w:hAnsi="Garamond"/>
          <w:sz w:val="24"/>
        </w:rPr>
        <w:t xml:space="preserve"> short report of the interview </w:t>
      </w:r>
      <w:r>
        <w:rPr>
          <w:rFonts w:ascii="Garamond" w:hAnsi="Garamond"/>
          <w:sz w:val="24"/>
        </w:rPr>
        <w:t xml:space="preserve">to the GP, and follows up on the patient for six months.  </w:t>
      </w:r>
      <w:r w:rsidRPr="002B674C">
        <w:rPr>
          <w:rFonts w:ascii="Garamond" w:hAnsi="Garamond"/>
          <w:sz w:val="24"/>
        </w:rPr>
        <w:t>Patients in the control group</w:t>
      </w:r>
      <w:r>
        <w:rPr>
          <w:rFonts w:ascii="Garamond" w:hAnsi="Garamond"/>
          <w:sz w:val="24"/>
        </w:rPr>
        <w:t xml:space="preserve"> (n=78)</w:t>
      </w:r>
      <w:r w:rsidRPr="002B674C">
        <w:rPr>
          <w:rFonts w:ascii="Garamond" w:hAnsi="Garamond"/>
          <w:sz w:val="24"/>
        </w:rPr>
        <w:t xml:space="preserve"> received usual care</w:t>
      </w:r>
      <w:r>
        <w:rPr>
          <w:rFonts w:ascii="Garamond" w:hAnsi="Garamond"/>
          <w:sz w:val="24"/>
        </w:rPr>
        <w:t>.  The primary outcome measure was patients’ compliance, whil</w:t>
      </w:r>
      <w:r w:rsidR="00BF0EBA">
        <w:rPr>
          <w:rFonts w:ascii="Garamond" w:hAnsi="Garamond"/>
          <w:sz w:val="24"/>
        </w:rPr>
        <w:t>e</w:t>
      </w:r>
      <w:r>
        <w:rPr>
          <w:rFonts w:ascii="Garamond" w:hAnsi="Garamond"/>
          <w:sz w:val="24"/>
        </w:rPr>
        <w:t xml:space="preserve"> secondary outcomes included number of re</w:t>
      </w:r>
      <w:r w:rsidR="0001573E">
        <w:rPr>
          <w:rFonts w:ascii="Garamond" w:hAnsi="Garamond"/>
          <w:sz w:val="24"/>
        </w:rPr>
        <w:t>-</w:t>
      </w:r>
      <w:r>
        <w:rPr>
          <w:rFonts w:ascii="Garamond" w:hAnsi="Garamond"/>
          <w:sz w:val="24"/>
        </w:rPr>
        <w:t>hospitalisations, mortality, and quality of life.</w:t>
      </w:r>
    </w:p>
    <w:p w14:paraId="13B352A5" w14:textId="77777777" w:rsidR="006B010E" w:rsidRPr="0071544E" w:rsidRDefault="006B010E" w:rsidP="006B010E">
      <w:pPr>
        <w:spacing w:before="240" w:after="0"/>
        <w:jc w:val="both"/>
        <w:rPr>
          <w:rFonts w:ascii="Garamond" w:hAnsi="Garamond"/>
          <w:sz w:val="24"/>
        </w:rPr>
      </w:pPr>
      <w:r>
        <w:rPr>
          <w:rFonts w:ascii="Garamond" w:hAnsi="Garamond"/>
          <w:sz w:val="24"/>
        </w:rPr>
        <w:t>Bernsten et al (2001)</w:t>
      </w:r>
      <w:r w:rsidRPr="0071544E">
        <w:rPr>
          <w:rFonts w:ascii="Garamond" w:hAnsi="Garamond"/>
          <w:sz w:val="24"/>
        </w:rPr>
        <w:t xml:space="preserve"> conducted a </w:t>
      </w:r>
      <w:r>
        <w:rPr>
          <w:rFonts w:ascii="Garamond" w:hAnsi="Garamond"/>
          <w:sz w:val="24"/>
        </w:rPr>
        <w:t xml:space="preserve">large </w:t>
      </w:r>
      <w:r w:rsidRPr="0071544E">
        <w:rPr>
          <w:rFonts w:ascii="Garamond" w:hAnsi="Garamond"/>
          <w:sz w:val="24"/>
        </w:rPr>
        <w:t>multicentre RCT in seven European countries including the UK that evaluated a pharmaceutical care programme</w:t>
      </w:r>
      <w:r>
        <w:rPr>
          <w:rFonts w:ascii="Garamond" w:hAnsi="Garamond"/>
          <w:sz w:val="24"/>
        </w:rPr>
        <w:t xml:space="preserve"> (in the form of a medication review)</w:t>
      </w:r>
      <w:r w:rsidRPr="0071544E">
        <w:rPr>
          <w:rFonts w:ascii="Garamond" w:hAnsi="Garamond"/>
          <w:sz w:val="24"/>
        </w:rPr>
        <w:t xml:space="preserve"> provided to elderly pati</w:t>
      </w:r>
      <w:r>
        <w:rPr>
          <w:rFonts w:ascii="Garamond" w:hAnsi="Garamond"/>
          <w:sz w:val="24"/>
        </w:rPr>
        <w:t>ents (aged 65 or older) taking four</w:t>
      </w:r>
      <w:r w:rsidRPr="0071544E">
        <w:rPr>
          <w:rFonts w:ascii="Garamond" w:hAnsi="Garamond"/>
          <w:sz w:val="24"/>
        </w:rPr>
        <w:t xml:space="preserve"> or more medicines by community pharmacists. A total of 1290 </w:t>
      </w:r>
      <w:r w:rsidRPr="0071544E">
        <w:rPr>
          <w:rFonts w:ascii="Garamond" w:hAnsi="Garamond"/>
          <w:sz w:val="24"/>
        </w:rPr>
        <w:lastRenderedPageBreak/>
        <w:t xml:space="preserve">intervention patients and 1164 control patients were recruited. </w:t>
      </w:r>
      <w:r>
        <w:rPr>
          <w:rFonts w:ascii="Garamond" w:hAnsi="Garamond"/>
          <w:sz w:val="24"/>
        </w:rPr>
        <w:t xml:space="preserve"> </w:t>
      </w:r>
      <w:r w:rsidRPr="0071544E">
        <w:rPr>
          <w:rFonts w:ascii="Garamond" w:hAnsi="Garamond"/>
          <w:sz w:val="24"/>
        </w:rPr>
        <w:t xml:space="preserve">The </w:t>
      </w:r>
      <w:r>
        <w:rPr>
          <w:rFonts w:ascii="Garamond" w:hAnsi="Garamond"/>
          <w:sz w:val="24"/>
        </w:rPr>
        <w:t xml:space="preserve">intervention comprised a community pharmacy based medication review </w:t>
      </w:r>
      <w:r w:rsidRPr="0071544E">
        <w:rPr>
          <w:rFonts w:ascii="Garamond" w:hAnsi="Garamond"/>
          <w:sz w:val="24"/>
        </w:rPr>
        <w:t xml:space="preserve">aimed at identifying DRPs followed by </w:t>
      </w:r>
      <w:r>
        <w:rPr>
          <w:rFonts w:ascii="Garamond" w:hAnsi="Garamond"/>
          <w:sz w:val="24"/>
        </w:rPr>
        <w:t xml:space="preserve">the </w:t>
      </w:r>
      <w:r w:rsidRPr="0071544E">
        <w:rPr>
          <w:rFonts w:ascii="Garamond" w:hAnsi="Garamond"/>
          <w:sz w:val="24"/>
        </w:rPr>
        <w:t xml:space="preserve">development </w:t>
      </w:r>
      <w:r>
        <w:rPr>
          <w:rFonts w:ascii="Garamond" w:hAnsi="Garamond"/>
          <w:sz w:val="24"/>
        </w:rPr>
        <w:t xml:space="preserve">of a </w:t>
      </w:r>
      <w:r w:rsidRPr="0071544E">
        <w:rPr>
          <w:rFonts w:ascii="Garamond" w:hAnsi="Garamond"/>
          <w:sz w:val="24"/>
        </w:rPr>
        <w:t>pharmaceutical care and monitoring plan for the patients that include</w:t>
      </w:r>
      <w:r>
        <w:rPr>
          <w:rFonts w:ascii="Garamond" w:hAnsi="Garamond"/>
          <w:sz w:val="24"/>
        </w:rPr>
        <w:t>d</w:t>
      </w:r>
      <w:r w:rsidRPr="0071544E">
        <w:rPr>
          <w:rFonts w:ascii="Garamond" w:hAnsi="Garamond"/>
          <w:sz w:val="24"/>
        </w:rPr>
        <w:t xml:space="preserve">: educating the patient about their medicine </w:t>
      </w:r>
      <w:r>
        <w:rPr>
          <w:rFonts w:ascii="Garamond" w:hAnsi="Garamond"/>
          <w:sz w:val="24"/>
        </w:rPr>
        <w:t xml:space="preserve">regimen and their condition; </w:t>
      </w:r>
      <w:r w:rsidRPr="0071544E">
        <w:rPr>
          <w:rFonts w:ascii="Garamond" w:hAnsi="Garamond"/>
          <w:sz w:val="24"/>
        </w:rPr>
        <w:t>implementing compliance-improving interventions such as medicine re</w:t>
      </w:r>
      <w:r>
        <w:rPr>
          <w:rFonts w:ascii="Garamond" w:hAnsi="Garamond"/>
          <w:sz w:val="24"/>
        </w:rPr>
        <w:t>minder charts; and</w:t>
      </w:r>
      <w:r w:rsidRPr="0071544E">
        <w:rPr>
          <w:rFonts w:ascii="Garamond" w:hAnsi="Garamond"/>
          <w:sz w:val="24"/>
        </w:rPr>
        <w:t xml:space="preserve"> rationalising and simplifying medicine regimens in collaboration with the patients GP.</w:t>
      </w:r>
      <w:r>
        <w:rPr>
          <w:rFonts w:ascii="Garamond" w:hAnsi="Garamond"/>
          <w:sz w:val="24"/>
        </w:rPr>
        <w:t xml:space="preserve"> </w:t>
      </w:r>
      <w:r w:rsidRPr="0071544E">
        <w:rPr>
          <w:rFonts w:ascii="Garamond" w:hAnsi="Garamond"/>
          <w:sz w:val="24"/>
        </w:rPr>
        <w:t xml:space="preserve"> This was a continuous process throughout the 18 months of the study</w:t>
      </w:r>
      <w:r>
        <w:rPr>
          <w:rFonts w:ascii="Garamond" w:hAnsi="Garamond"/>
          <w:sz w:val="24"/>
        </w:rPr>
        <w:t xml:space="preserve">.  Study primary outcomes included quality of life, hospital admissions, costs, and patient satisfaction.  Adherence was assessed as secondary outcome using self-reported questionnaire. </w:t>
      </w:r>
    </w:p>
    <w:p w14:paraId="61762FC6" w14:textId="77777777" w:rsidR="006B010E" w:rsidRPr="00C327E3" w:rsidRDefault="006B010E" w:rsidP="006B010E">
      <w:pPr>
        <w:pStyle w:val="Heading3"/>
      </w:pPr>
      <w:r>
        <w:t>Clinical outcomes</w:t>
      </w:r>
    </w:p>
    <w:p w14:paraId="0E13A2BD" w14:textId="77777777" w:rsidR="006B010E" w:rsidRPr="00AF3998" w:rsidRDefault="006B010E" w:rsidP="006B010E">
      <w:pPr>
        <w:pStyle w:val="BodyText"/>
        <w:rPr>
          <w:b/>
          <w:i/>
        </w:rPr>
      </w:pPr>
      <w:r w:rsidRPr="00AF3998">
        <w:rPr>
          <w:b/>
          <w:i/>
        </w:rPr>
        <w:t>Blood pressure</w:t>
      </w:r>
    </w:p>
    <w:p w14:paraId="2256DE0A" w14:textId="77777777" w:rsidR="006B010E" w:rsidRDefault="006B010E" w:rsidP="006B010E">
      <w:pPr>
        <w:pStyle w:val="BodyText"/>
      </w:pPr>
      <w:r>
        <w:t>The RCT by Basheti et al (2016) showed that, after an average of 3.4-month follow-up, there was significant differences between the intervention group versus control group with regard to blood pressure readings (110.36/81.55 ± 9.45/3.91 vs 125.0/88.73 ± 10.34/4.12, p&lt;0.001).</w:t>
      </w:r>
    </w:p>
    <w:p w14:paraId="7990F401" w14:textId="77777777" w:rsidR="006B010E" w:rsidRPr="00AF3998" w:rsidRDefault="006B010E" w:rsidP="006B010E">
      <w:pPr>
        <w:pStyle w:val="BodyText"/>
        <w:rPr>
          <w:b/>
          <w:i/>
        </w:rPr>
      </w:pPr>
      <w:r>
        <w:rPr>
          <w:b/>
          <w:i/>
        </w:rPr>
        <w:t>B</w:t>
      </w:r>
      <w:r w:rsidRPr="00AF3998">
        <w:rPr>
          <w:b/>
          <w:i/>
        </w:rPr>
        <w:t>lood glucose</w:t>
      </w:r>
      <w:r>
        <w:rPr>
          <w:b/>
          <w:i/>
        </w:rPr>
        <w:t xml:space="preserve"> levels</w:t>
      </w:r>
    </w:p>
    <w:p w14:paraId="48EDCA6A" w14:textId="77777777" w:rsidR="006B010E" w:rsidRDefault="006B010E" w:rsidP="006B010E">
      <w:pPr>
        <w:pStyle w:val="BodyText"/>
      </w:pPr>
      <w:r w:rsidRPr="00AF3998">
        <w:t xml:space="preserve">The RCT by Basheti et al (2016) showed that, after an average of 3.4-month follow-up, there was significant differences between the intervention group versus control group with regard to </w:t>
      </w:r>
      <w:r>
        <w:t>blood glucose levels (99.08 ± 9.66 vs 115.48 ± 17.34, p&lt;0.001).</w:t>
      </w:r>
    </w:p>
    <w:p w14:paraId="657B2EAE" w14:textId="77777777" w:rsidR="006B010E" w:rsidRPr="00AF3998" w:rsidRDefault="006B010E" w:rsidP="006B010E">
      <w:pPr>
        <w:pStyle w:val="BodyText"/>
        <w:rPr>
          <w:b/>
          <w:i/>
        </w:rPr>
      </w:pPr>
      <w:r w:rsidRPr="00AF3998">
        <w:rPr>
          <w:b/>
          <w:i/>
        </w:rPr>
        <w:t>Triglyceride levels</w:t>
      </w:r>
    </w:p>
    <w:p w14:paraId="41BAB1D0" w14:textId="77777777" w:rsidR="006B010E" w:rsidRDefault="006B010E" w:rsidP="006B010E">
      <w:pPr>
        <w:pStyle w:val="BodyText"/>
      </w:pPr>
      <w:r w:rsidRPr="00AF3998">
        <w:t xml:space="preserve">The RCT by Basheti et al (2016) showed that, after an average of 3.4-month follow-up, there was significant differences between the intervention group versus control group with regard to </w:t>
      </w:r>
      <w:r>
        <w:t>triglyceride levels (148.5 vs 170.7; p=0.001).</w:t>
      </w:r>
    </w:p>
    <w:p w14:paraId="324441EB" w14:textId="77777777" w:rsidR="006B010E" w:rsidRPr="009134FB" w:rsidRDefault="006B010E" w:rsidP="006B010E">
      <w:pPr>
        <w:pStyle w:val="BodyText"/>
        <w:rPr>
          <w:i/>
        </w:rPr>
      </w:pPr>
      <w:r w:rsidRPr="00096DA3">
        <w:rPr>
          <w:b/>
        </w:rPr>
        <w:t>Findings:</w:t>
      </w:r>
      <w:r>
        <w:t xml:space="preserve"> </w:t>
      </w:r>
      <w:r w:rsidRPr="00C5661C">
        <w:rPr>
          <w:i/>
        </w:rPr>
        <w:t>Evidence from one RCT showed that a community pharmacy based medication review can lead to significant improvements in clinical outcomes, including blood pressure, glucose levels, and triglyceride levels.  However, this RCT was conducted in a different health care syst</w:t>
      </w:r>
      <w:r>
        <w:rPr>
          <w:i/>
        </w:rPr>
        <w:t xml:space="preserve">em than Australia.  The </w:t>
      </w:r>
      <w:r w:rsidRPr="00C5661C">
        <w:rPr>
          <w:i/>
        </w:rPr>
        <w:t>study was conducted in Jordan where most patients with a health ailment prefer to visit the community pharmacy first rather than a physician to save the time and cost of a doctor.  Further, most medications can be dispensed by a pharmacist without a medical prescription, thus leading to major implications for the safety and effectiveness of the pharmacotherapy used in this country.  Therefore, positive findings from this study may not necessarily translate to Australia’s health care system, and thus should be considered with caution</w:t>
      </w:r>
      <w:r>
        <w:t xml:space="preserve">. </w:t>
      </w:r>
    </w:p>
    <w:p w14:paraId="7FA1A78A" w14:textId="77777777" w:rsidR="006B010E" w:rsidRDefault="006B010E" w:rsidP="006B010E">
      <w:pPr>
        <w:pStyle w:val="Heading3"/>
      </w:pPr>
      <w:r>
        <w:t>Hospital and emergency department admissions</w:t>
      </w:r>
    </w:p>
    <w:p w14:paraId="77A54ACC" w14:textId="77777777" w:rsidR="006B010E" w:rsidRDefault="006B010E" w:rsidP="006B010E">
      <w:pPr>
        <w:spacing w:before="240" w:after="0"/>
        <w:jc w:val="both"/>
        <w:rPr>
          <w:rFonts w:ascii="Garamond" w:hAnsi="Garamond"/>
          <w:sz w:val="24"/>
        </w:rPr>
      </w:pPr>
      <w:r>
        <w:rPr>
          <w:rFonts w:ascii="Garamond" w:hAnsi="Garamond"/>
          <w:sz w:val="24"/>
        </w:rPr>
        <w:t>The conSIGUE cluster RCT by Martinez-Martinez et al (2015) reported</w:t>
      </w:r>
      <w:r w:rsidRPr="000665E2">
        <w:t xml:space="preserve"> </w:t>
      </w:r>
      <w:r>
        <w:t>a</w:t>
      </w:r>
      <w:r>
        <w:rPr>
          <w:rFonts w:ascii="Garamond" w:hAnsi="Garamond"/>
          <w:sz w:val="24"/>
        </w:rPr>
        <w:t xml:space="preserve"> total of 83 hospitalis</w:t>
      </w:r>
      <w:r w:rsidRPr="00220BA9">
        <w:rPr>
          <w:rFonts w:ascii="Garamond" w:hAnsi="Garamond"/>
          <w:sz w:val="24"/>
        </w:rPr>
        <w:t>ations</w:t>
      </w:r>
      <w:r>
        <w:rPr>
          <w:rFonts w:ascii="Garamond" w:hAnsi="Garamond"/>
          <w:sz w:val="24"/>
        </w:rPr>
        <w:t xml:space="preserve"> in both groups, with 42 hospitalisations (50.6%) classified being “</w:t>
      </w:r>
      <w:r w:rsidRPr="00220BA9">
        <w:rPr>
          <w:rFonts w:ascii="Garamond" w:hAnsi="Garamond"/>
          <w:sz w:val="24"/>
        </w:rPr>
        <w:t>medicine-related</w:t>
      </w:r>
      <w:r>
        <w:rPr>
          <w:rFonts w:ascii="Garamond" w:hAnsi="Garamond"/>
          <w:sz w:val="24"/>
        </w:rPr>
        <w:t>” by an expert panel.  Results from the sub-analysis by Malet-Larrea et al (2016) showed that t</w:t>
      </w:r>
      <w:r w:rsidRPr="00220BA9">
        <w:rPr>
          <w:rFonts w:ascii="Garamond" w:hAnsi="Garamond"/>
          <w:sz w:val="24"/>
        </w:rPr>
        <w:t xml:space="preserve">he number </w:t>
      </w:r>
      <w:r>
        <w:rPr>
          <w:rFonts w:ascii="Garamond" w:hAnsi="Garamond"/>
          <w:sz w:val="24"/>
        </w:rPr>
        <w:t>of medication-related hospitalis</w:t>
      </w:r>
      <w:r w:rsidRPr="00220BA9">
        <w:rPr>
          <w:rFonts w:ascii="Garamond" w:hAnsi="Garamond"/>
          <w:sz w:val="24"/>
        </w:rPr>
        <w:t xml:space="preserve">ations was significantly lower in patients receiving </w:t>
      </w:r>
      <w:r>
        <w:rPr>
          <w:rFonts w:ascii="Garamond" w:hAnsi="Garamond"/>
          <w:sz w:val="24"/>
        </w:rPr>
        <w:t>medication review compared to the control group (11 versus 31, respectively; p=</w:t>
      </w:r>
      <w:r w:rsidRPr="00220BA9">
        <w:rPr>
          <w:rFonts w:ascii="Garamond" w:hAnsi="Garamond"/>
          <w:sz w:val="24"/>
        </w:rPr>
        <w:t>0.042).</w:t>
      </w:r>
      <w:r>
        <w:rPr>
          <w:rFonts w:ascii="Garamond" w:hAnsi="Garamond"/>
          <w:sz w:val="24"/>
        </w:rPr>
        <w:t xml:space="preserve"> </w:t>
      </w:r>
      <w:r w:rsidRPr="00220BA9">
        <w:rPr>
          <w:rFonts w:ascii="Garamond" w:hAnsi="Garamond"/>
          <w:sz w:val="24"/>
        </w:rPr>
        <w:t xml:space="preserve"> </w:t>
      </w:r>
      <w:r w:rsidRPr="000665E2">
        <w:rPr>
          <w:rFonts w:ascii="Garamond" w:hAnsi="Garamond"/>
          <w:sz w:val="24"/>
        </w:rPr>
        <w:t>The</w:t>
      </w:r>
      <w:r>
        <w:rPr>
          <w:rFonts w:ascii="Garamond" w:hAnsi="Garamond"/>
          <w:sz w:val="24"/>
        </w:rPr>
        <w:t xml:space="preserve"> probability of being hospitalised was significantly higher in the control group</w:t>
      </w:r>
      <w:r w:rsidRPr="000665E2">
        <w:rPr>
          <w:rFonts w:ascii="Garamond" w:hAnsi="Garamond"/>
          <w:sz w:val="24"/>
        </w:rPr>
        <w:t xml:space="preserve"> compared with the </w:t>
      </w:r>
      <w:r>
        <w:rPr>
          <w:rFonts w:ascii="Garamond" w:hAnsi="Garamond"/>
          <w:sz w:val="24"/>
        </w:rPr>
        <w:t>medication review group (adjusted odds ratio 3.7, 95% CI 1.2–11.3, p</w:t>
      </w:r>
      <w:r w:rsidRPr="00220BA9">
        <w:rPr>
          <w:rFonts w:ascii="Garamond" w:hAnsi="Garamond"/>
          <w:sz w:val="24"/>
        </w:rPr>
        <w:t>= 0.021).</w:t>
      </w:r>
      <w:r>
        <w:rPr>
          <w:rFonts w:ascii="Garamond" w:hAnsi="Garamond"/>
          <w:sz w:val="24"/>
        </w:rPr>
        <w:t xml:space="preserve">  A major limitation of this study is t</w:t>
      </w:r>
      <w:r w:rsidRPr="00852D11">
        <w:rPr>
          <w:rFonts w:ascii="Garamond" w:hAnsi="Garamond"/>
          <w:sz w:val="24"/>
        </w:rPr>
        <w:t>he small number of</w:t>
      </w:r>
      <w:r>
        <w:rPr>
          <w:rFonts w:ascii="Garamond" w:hAnsi="Garamond"/>
          <w:sz w:val="24"/>
        </w:rPr>
        <w:t xml:space="preserve"> hospital admissions due to the low frequency </w:t>
      </w:r>
      <w:r w:rsidRPr="00852D11">
        <w:rPr>
          <w:rFonts w:ascii="Garamond" w:hAnsi="Garamond"/>
          <w:sz w:val="24"/>
        </w:rPr>
        <w:t xml:space="preserve">of </w:t>
      </w:r>
      <w:r>
        <w:rPr>
          <w:rFonts w:ascii="Garamond" w:hAnsi="Garamond"/>
          <w:sz w:val="24"/>
        </w:rPr>
        <w:t xml:space="preserve">this outcome in the main RCT (conSIGUE).  However, </w:t>
      </w:r>
      <w:r w:rsidRPr="00852D11">
        <w:rPr>
          <w:rFonts w:ascii="Garamond" w:hAnsi="Garamond"/>
          <w:sz w:val="24"/>
        </w:rPr>
        <w:t xml:space="preserve">this </w:t>
      </w:r>
      <w:r>
        <w:rPr>
          <w:rFonts w:ascii="Garamond" w:hAnsi="Garamond"/>
          <w:sz w:val="24"/>
        </w:rPr>
        <w:t xml:space="preserve">is generally a common limitation in studies analysing hospitalised patients after receiving a </w:t>
      </w:r>
      <w:r w:rsidRPr="00852D11">
        <w:rPr>
          <w:rFonts w:ascii="Garamond" w:hAnsi="Garamond"/>
          <w:sz w:val="24"/>
        </w:rPr>
        <w:t>pharmacist-led interventio</w:t>
      </w:r>
      <w:r>
        <w:rPr>
          <w:rFonts w:ascii="Garamond" w:hAnsi="Garamond"/>
          <w:sz w:val="24"/>
        </w:rPr>
        <w:t>n.</w:t>
      </w:r>
    </w:p>
    <w:p w14:paraId="1B336315" w14:textId="56D9E092" w:rsidR="006B010E" w:rsidRDefault="006B010E" w:rsidP="006B010E">
      <w:pPr>
        <w:spacing w:before="240" w:after="0"/>
        <w:jc w:val="both"/>
        <w:rPr>
          <w:rFonts w:ascii="Garamond" w:hAnsi="Garamond"/>
          <w:sz w:val="24"/>
        </w:rPr>
      </w:pPr>
      <w:r>
        <w:rPr>
          <w:rFonts w:ascii="Garamond" w:hAnsi="Garamond"/>
          <w:sz w:val="24"/>
        </w:rPr>
        <w:t>The study by Ocampo et al (2015) found a significant reduction in the number of hospital admissions 18-month post</w:t>
      </w:r>
      <w:r w:rsidR="005A297C">
        <w:rPr>
          <w:rFonts w:ascii="Garamond" w:hAnsi="Garamond"/>
          <w:sz w:val="24"/>
        </w:rPr>
        <w:t>-</w:t>
      </w:r>
      <w:r>
        <w:rPr>
          <w:rFonts w:ascii="Garamond" w:hAnsi="Garamond"/>
          <w:sz w:val="24"/>
        </w:rPr>
        <w:t xml:space="preserve">medication review compared to baseline (4 versus 12, </w:t>
      </w:r>
      <w:r w:rsidRPr="000B70ED">
        <w:rPr>
          <w:rFonts w:ascii="Garamond" w:hAnsi="Garamond"/>
          <w:sz w:val="24"/>
        </w:rPr>
        <w:t>OR 0.31, 95 % CI 0.10–0.99; p=0.039)</w:t>
      </w:r>
      <w:r>
        <w:rPr>
          <w:rFonts w:ascii="Garamond" w:hAnsi="Garamond"/>
          <w:sz w:val="24"/>
        </w:rPr>
        <w:t>.  Similarly, there was a significant reduction in the number of ED admissions post-intervention (3 versus 17, OR 0.16, 95</w:t>
      </w:r>
      <w:r w:rsidRPr="000B70ED">
        <w:rPr>
          <w:rFonts w:ascii="Garamond" w:hAnsi="Garamond"/>
          <w:sz w:val="24"/>
        </w:rPr>
        <w:t>%</w:t>
      </w:r>
      <w:r>
        <w:rPr>
          <w:rFonts w:ascii="Garamond" w:hAnsi="Garamond"/>
          <w:sz w:val="24"/>
        </w:rPr>
        <w:t xml:space="preserve"> CI 0.05–0.55</w:t>
      </w:r>
      <w:r w:rsidRPr="000B70ED">
        <w:rPr>
          <w:rFonts w:ascii="Garamond" w:hAnsi="Garamond"/>
          <w:sz w:val="24"/>
        </w:rPr>
        <w:t>; p = 0.001</w:t>
      </w:r>
      <w:r>
        <w:rPr>
          <w:rFonts w:ascii="Garamond" w:hAnsi="Garamond"/>
          <w:sz w:val="24"/>
        </w:rPr>
        <w:t>).</w:t>
      </w:r>
    </w:p>
    <w:p w14:paraId="1D6CD08F" w14:textId="77777777" w:rsidR="006B010E" w:rsidRDefault="006B010E" w:rsidP="006B010E">
      <w:pPr>
        <w:spacing w:before="240" w:after="0"/>
        <w:jc w:val="both"/>
        <w:rPr>
          <w:rFonts w:ascii="Garamond" w:hAnsi="Garamond"/>
          <w:sz w:val="24"/>
        </w:rPr>
      </w:pPr>
      <w:r>
        <w:rPr>
          <w:rFonts w:ascii="Garamond" w:hAnsi="Garamond"/>
          <w:sz w:val="24"/>
        </w:rPr>
        <w:lastRenderedPageBreak/>
        <w:t xml:space="preserve">The RCT by Touchette et al (2012) found no </w:t>
      </w:r>
      <w:r w:rsidRPr="00511AD7">
        <w:rPr>
          <w:rFonts w:ascii="Garamond" w:hAnsi="Garamond"/>
          <w:sz w:val="24"/>
        </w:rPr>
        <w:t>statistic</w:t>
      </w:r>
      <w:r>
        <w:rPr>
          <w:rFonts w:ascii="Garamond" w:hAnsi="Garamond"/>
          <w:sz w:val="24"/>
        </w:rPr>
        <w:t xml:space="preserve">ally significant changes in the </w:t>
      </w:r>
      <w:r w:rsidRPr="00511AD7">
        <w:rPr>
          <w:rFonts w:ascii="Garamond" w:hAnsi="Garamond"/>
          <w:sz w:val="24"/>
        </w:rPr>
        <w:t>p</w:t>
      </w:r>
      <w:r>
        <w:rPr>
          <w:rFonts w:ascii="Garamond" w:hAnsi="Garamond"/>
          <w:sz w:val="24"/>
        </w:rPr>
        <w:t>roportion of patients hospitalised over time (3-6 months follow-up) (Basic medication review: mean difference 0.04, 95% CI –0.05 to 0.13; p value not significant).  Similarly, there were no</w:t>
      </w:r>
      <w:r w:rsidRPr="00875027">
        <w:rPr>
          <w:rFonts w:ascii="Garamond" w:hAnsi="Garamond"/>
          <w:sz w:val="24"/>
        </w:rPr>
        <w:t xml:space="preserve"> statistically significant changes in the proportion of patients with ED visits over time</w:t>
      </w:r>
      <w:r>
        <w:rPr>
          <w:rFonts w:ascii="Garamond" w:hAnsi="Garamond"/>
          <w:sz w:val="24"/>
        </w:rPr>
        <w:t>.</w:t>
      </w:r>
    </w:p>
    <w:p w14:paraId="7289ACB4" w14:textId="77777777" w:rsidR="006B010E" w:rsidRDefault="006B010E" w:rsidP="006B010E">
      <w:pPr>
        <w:spacing w:before="240" w:after="0"/>
        <w:jc w:val="both"/>
        <w:rPr>
          <w:rFonts w:ascii="Garamond" w:hAnsi="Garamond"/>
          <w:sz w:val="24"/>
        </w:rPr>
      </w:pPr>
      <w:r>
        <w:rPr>
          <w:rFonts w:ascii="Garamond" w:hAnsi="Garamond"/>
          <w:sz w:val="24"/>
        </w:rPr>
        <w:t>The RCT by Bouvy et al (2003) found n</w:t>
      </w:r>
      <w:r w:rsidRPr="00005B36">
        <w:rPr>
          <w:rFonts w:ascii="Garamond" w:hAnsi="Garamond"/>
          <w:sz w:val="24"/>
        </w:rPr>
        <w:t>o statistically significant changes in the prop</w:t>
      </w:r>
      <w:r>
        <w:rPr>
          <w:rFonts w:ascii="Garamond" w:hAnsi="Garamond"/>
          <w:sz w:val="24"/>
        </w:rPr>
        <w:t xml:space="preserve">ortion of patients re-hospitalised, with 26% of the patients </w:t>
      </w:r>
      <w:r w:rsidRPr="00005B36">
        <w:rPr>
          <w:rFonts w:ascii="Garamond" w:hAnsi="Garamond"/>
          <w:sz w:val="24"/>
        </w:rPr>
        <w:t xml:space="preserve">in the intervention group </w:t>
      </w:r>
      <w:r>
        <w:rPr>
          <w:rFonts w:ascii="Garamond" w:hAnsi="Garamond"/>
          <w:sz w:val="24"/>
        </w:rPr>
        <w:t xml:space="preserve">versus 24% of patients in the </w:t>
      </w:r>
      <w:r w:rsidRPr="00005B36">
        <w:rPr>
          <w:rFonts w:ascii="Garamond" w:hAnsi="Garamond"/>
          <w:sz w:val="24"/>
        </w:rPr>
        <w:t xml:space="preserve">usual care group were </w:t>
      </w:r>
      <w:r>
        <w:rPr>
          <w:rFonts w:ascii="Garamond" w:hAnsi="Garamond"/>
          <w:sz w:val="24"/>
        </w:rPr>
        <w:t>either readmitted or dead (p&gt;0.05).</w:t>
      </w:r>
    </w:p>
    <w:p w14:paraId="26B35C6B" w14:textId="77777777" w:rsidR="006B010E" w:rsidRPr="000B70ED" w:rsidRDefault="006B010E" w:rsidP="006B010E">
      <w:pPr>
        <w:spacing w:before="240" w:after="0"/>
        <w:jc w:val="both"/>
        <w:rPr>
          <w:rFonts w:ascii="Garamond" w:hAnsi="Garamond"/>
          <w:sz w:val="24"/>
        </w:rPr>
      </w:pPr>
      <w:r>
        <w:rPr>
          <w:rFonts w:ascii="Garamond" w:hAnsi="Garamond"/>
          <w:sz w:val="24"/>
        </w:rPr>
        <w:t xml:space="preserve">The RCT by Bernsten et al (2001) found </w:t>
      </w:r>
      <w:r w:rsidRPr="00CE4B21">
        <w:rPr>
          <w:rFonts w:ascii="Garamond" w:hAnsi="Garamond"/>
          <w:sz w:val="24"/>
        </w:rPr>
        <w:t>no statistically significant changes in the proportion of pati</w:t>
      </w:r>
      <w:r>
        <w:rPr>
          <w:rFonts w:ascii="Garamond" w:hAnsi="Garamond"/>
          <w:sz w:val="24"/>
        </w:rPr>
        <w:t>ents hospitalised during the 18-month follow-up (35.6% vs 40.4%; p&gt;0.05).</w:t>
      </w:r>
    </w:p>
    <w:p w14:paraId="49ED456B" w14:textId="7CDC94E2" w:rsidR="006B010E" w:rsidRPr="00C5661C" w:rsidRDefault="006B010E" w:rsidP="006B010E">
      <w:pPr>
        <w:spacing w:before="240" w:after="0"/>
        <w:jc w:val="both"/>
        <w:rPr>
          <w:rFonts w:ascii="Garamond" w:hAnsi="Garamond"/>
          <w:i/>
          <w:sz w:val="24"/>
        </w:rPr>
      </w:pPr>
      <w:r w:rsidRPr="00F21D37">
        <w:rPr>
          <w:rFonts w:ascii="Garamond" w:hAnsi="Garamond"/>
          <w:b/>
          <w:sz w:val="24"/>
        </w:rPr>
        <w:t>Findings</w:t>
      </w:r>
      <w:r>
        <w:rPr>
          <w:rFonts w:ascii="Garamond" w:hAnsi="Garamond"/>
          <w:sz w:val="24"/>
        </w:rPr>
        <w:t xml:space="preserve">:  </w:t>
      </w:r>
      <w:r w:rsidRPr="00C5661C">
        <w:rPr>
          <w:rFonts w:ascii="Garamond" w:hAnsi="Garamond"/>
          <w:i/>
          <w:sz w:val="24"/>
        </w:rPr>
        <w:t xml:space="preserve">Evidence is conflicting to draw conclusions about the effect of community pharmacy based medication review on reducing the </w:t>
      </w:r>
      <w:r w:rsidR="00E07125">
        <w:rPr>
          <w:rFonts w:ascii="Garamond" w:hAnsi="Garamond"/>
          <w:i/>
          <w:sz w:val="24"/>
        </w:rPr>
        <w:t>number of hospitalisations.  Three</w:t>
      </w:r>
      <w:r w:rsidRPr="00C5661C">
        <w:rPr>
          <w:rFonts w:ascii="Garamond" w:hAnsi="Garamond"/>
          <w:i/>
          <w:sz w:val="24"/>
        </w:rPr>
        <w:t xml:space="preserve"> RCTs found no effect on number of hospital admissions (with one RCT reported no significant effect on reducing ED visits).  On the other hand, evidence from a sub-analysis of a cluster RCT and another with a pre- post-design suggest that community pharmacy based medication review results in a significant reduction in hospital admissions.  A major limitation of pharmacist-led interventions studies is their relatively small sample size and hence, they are not sufficiently powered to detect differences in health care use. </w:t>
      </w:r>
      <w:r w:rsidR="000C3CD9">
        <w:rPr>
          <w:rFonts w:ascii="Garamond" w:hAnsi="Garamond"/>
          <w:i/>
          <w:sz w:val="24"/>
        </w:rPr>
        <w:t xml:space="preserve"> </w:t>
      </w:r>
      <w:r w:rsidRPr="00C5661C">
        <w:rPr>
          <w:rFonts w:ascii="Garamond" w:hAnsi="Garamond"/>
          <w:i/>
          <w:sz w:val="24"/>
        </w:rPr>
        <w:t xml:space="preserve">Importantly, there is a lack of a cause and effect analysis in most of the included studies, and whether any observed reduction in hospitalisation was drug-related, thus restricting the generalisation of the results.  </w:t>
      </w:r>
      <w:r>
        <w:rPr>
          <w:rFonts w:ascii="Garamond" w:hAnsi="Garamond"/>
          <w:i/>
          <w:sz w:val="24"/>
        </w:rPr>
        <w:t>Another</w:t>
      </w:r>
      <w:r w:rsidRPr="00C95C54">
        <w:rPr>
          <w:rFonts w:ascii="Garamond" w:hAnsi="Garamond"/>
          <w:i/>
          <w:sz w:val="24"/>
        </w:rPr>
        <w:t xml:space="preserve"> limitation is the relatively short duration of </w:t>
      </w:r>
      <w:r>
        <w:rPr>
          <w:rFonts w:ascii="Garamond" w:hAnsi="Garamond"/>
          <w:i/>
          <w:sz w:val="24"/>
        </w:rPr>
        <w:t>follow-up in the included studies.  It is likely that a</w:t>
      </w:r>
      <w:r w:rsidRPr="00C95C54">
        <w:rPr>
          <w:rFonts w:ascii="Garamond" w:hAnsi="Garamond"/>
          <w:i/>
          <w:sz w:val="24"/>
        </w:rPr>
        <w:t xml:space="preserve"> study follow-up period</w:t>
      </w:r>
      <w:r>
        <w:rPr>
          <w:rFonts w:ascii="Garamond" w:hAnsi="Garamond"/>
          <w:i/>
          <w:sz w:val="24"/>
        </w:rPr>
        <w:t xml:space="preserve"> of less than one year</w:t>
      </w:r>
      <w:r w:rsidRPr="00C95C54">
        <w:rPr>
          <w:rFonts w:ascii="Garamond" w:hAnsi="Garamond"/>
          <w:i/>
          <w:sz w:val="24"/>
        </w:rPr>
        <w:t xml:space="preserve"> is too short to realise longer-term reductio</w:t>
      </w:r>
      <w:r>
        <w:rPr>
          <w:rFonts w:ascii="Garamond" w:hAnsi="Garamond"/>
          <w:i/>
          <w:sz w:val="24"/>
        </w:rPr>
        <w:t xml:space="preserve">n in health care use.  </w:t>
      </w:r>
      <w:r w:rsidRPr="00C5661C">
        <w:rPr>
          <w:rFonts w:ascii="Garamond" w:hAnsi="Garamond"/>
          <w:i/>
          <w:sz w:val="24"/>
        </w:rPr>
        <w:t>Therefore, the evidence of the impact of medication review performed at the pharmacy on hospital admissions remains uncertain.</w:t>
      </w:r>
    </w:p>
    <w:p w14:paraId="2E8CFDD4" w14:textId="6DEA0410" w:rsidR="006B010E" w:rsidRDefault="006B010E" w:rsidP="006B010E">
      <w:pPr>
        <w:pStyle w:val="Heading3"/>
      </w:pPr>
      <w:r>
        <w:t xml:space="preserve">Health care </w:t>
      </w:r>
      <w:r w:rsidR="000C3CD9">
        <w:t xml:space="preserve">resource </w:t>
      </w:r>
      <w:r>
        <w:t>costs</w:t>
      </w:r>
    </w:p>
    <w:p w14:paraId="71F26D54" w14:textId="77777777" w:rsidR="006B010E" w:rsidRDefault="006B010E" w:rsidP="006B010E">
      <w:pPr>
        <w:spacing w:before="240" w:after="0"/>
        <w:jc w:val="both"/>
        <w:rPr>
          <w:rFonts w:ascii="Garamond" w:hAnsi="Garamond"/>
          <w:sz w:val="24"/>
        </w:rPr>
      </w:pPr>
      <w:r>
        <w:rPr>
          <w:rFonts w:ascii="Garamond" w:hAnsi="Garamond"/>
          <w:sz w:val="24"/>
        </w:rPr>
        <w:t>The retrospective sub-analysis of the conSIGUE RCT by Malet-Larrea et al (2016) estimated total cost of m</w:t>
      </w:r>
      <w:r w:rsidRPr="00677F72">
        <w:rPr>
          <w:rFonts w:ascii="Garamond" w:hAnsi="Garamond"/>
          <w:sz w:val="24"/>
        </w:rPr>
        <w:t>edicat</w:t>
      </w:r>
      <w:r>
        <w:rPr>
          <w:rFonts w:ascii="Garamond" w:hAnsi="Garamond"/>
          <w:sz w:val="24"/>
        </w:rPr>
        <w:t xml:space="preserve">ion-related hospital admissions (n = 42) </w:t>
      </w:r>
      <w:r w:rsidRPr="00677F72">
        <w:rPr>
          <w:rFonts w:ascii="Garamond" w:hAnsi="Garamond"/>
          <w:sz w:val="24"/>
        </w:rPr>
        <w:t>to €280 229</w:t>
      </w:r>
      <w:r>
        <w:rPr>
          <w:rFonts w:ascii="Garamond" w:hAnsi="Garamond"/>
          <w:sz w:val="24"/>
        </w:rPr>
        <w:t xml:space="preserve">, </w:t>
      </w:r>
      <w:r w:rsidRPr="00677F72">
        <w:rPr>
          <w:rFonts w:ascii="Garamond" w:hAnsi="Garamond"/>
          <w:sz w:val="24"/>
        </w:rPr>
        <w:t>and the</w:t>
      </w:r>
      <w:r>
        <w:rPr>
          <w:rFonts w:ascii="Garamond" w:hAnsi="Garamond"/>
          <w:sz w:val="24"/>
        </w:rPr>
        <w:t xml:space="preserve"> </w:t>
      </w:r>
      <w:r w:rsidRPr="00677F72">
        <w:rPr>
          <w:rFonts w:ascii="Garamond" w:hAnsi="Garamond"/>
          <w:sz w:val="24"/>
        </w:rPr>
        <w:t xml:space="preserve">mean cost </w:t>
      </w:r>
      <w:r>
        <w:rPr>
          <w:rFonts w:ascii="Garamond" w:hAnsi="Garamond"/>
          <w:sz w:val="24"/>
        </w:rPr>
        <w:t xml:space="preserve">per medication-related hospital </w:t>
      </w:r>
      <w:r w:rsidRPr="00677F72">
        <w:rPr>
          <w:rFonts w:ascii="Garamond" w:hAnsi="Garamond"/>
          <w:sz w:val="24"/>
        </w:rPr>
        <w:t>admission wa</w:t>
      </w:r>
      <w:r>
        <w:rPr>
          <w:rFonts w:ascii="Garamond" w:hAnsi="Garamond"/>
          <w:sz w:val="24"/>
        </w:rPr>
        <w:t>s</w:t>
      </w:r>
      <w:r w:rsidRPr="00220BA9">
        <w:rPr>
          <w:rFonts w:ascii="Garamond" w:hAnsi="Garamond"/>
          <w:sz w:val="24"/>
        </w:rPr>
        <w:t xml:space="preserve"> €6672. </w:t>
      </w:r>
      <w:r>
        <w:rPr>
          <w:rFonts w:ascii="Garamond" w:hAnsi="Garamond"/>
          <w:sz w:val="24"/>
        </w:rPr>
        <w:t xml:space="preserve"> The sub-analysis also indicated that medication-related hospitalisation costs were significantly lower for patients receiving the medication review compared to the control group</w:t>
      </w:r>
      <w:r>
        <w:rPr>
          <w:rStyle w:val="FootnoteReference"/>
          <w:rFonts w:ascii="Garamond" w:hAnsi="Garamond"/>
          <w:sz w:val="24"/>
        </w:rPr>
        <w:footnoteReference w:id="11"/>
      </w:r>
      <w:r>
        <w:rPr>
          <w:rFonts w:ascii="Garamond" w:hAnsi="Garamond"/>
          <w:sz w:val="24"/>
        </w:rPr>
        <w:t xml:space="preserve"> (€94 versus €301; 95% CI 35.9–378.0, p= 0.018)</w:t>
      </w:r>
      <w:r w:rsidRPr="00220BA9">
        <w:rPr>
          <w:rFonts w:ascii="Garamond" w:hAnsi="Garamond"/>
          <w:sz w:val="24"/>
        </w:rPr>
        <w:t>.</w:t>
      </w:r>
    </w:p>
    <w:p w14:paraId="7C591C02" w14:textId="46932181" w:rsidR="006B010E" w:rsidRPr="00C5661C" w:rsidRDefault="006B010E" w:rsidP="006B010E">
      <w:pPr>
        <w:spacing w:before="240" w:after="0"/>
        <w:jc w:val="both"/>
        <w:rPr>
          <w:rFonts w:ascii="Garamond" w:hAnsi="Garamond"/>
          <w:i/>
          <w:sz w:val="24"/>
        </w:rPr>
      </w:pPr>
      <w:r w:rsidRPr="001A447A">
        <w:rPr>
          <w:rFonts w:ascii="Garamond" w:hAnsi="Garamond"/>
          <w:b/>
          <w:sz w:val="24"/>
        </w:rPr>
        <w:t>Findings</w:t>
      </w:r>
      <w:r>
        <w:rPr>
          <w:rFonts w:ascii="Garamond" w:hAnsi="Garamond"/>
          <w:sz w:val="24"/>
        </w:rPr>
        <w:t xml:space="preserve">:  </w:t>
      </w:r>
      <w:r w:rsidR="000C3CD9" w:rsidRPr="000C3CD9">
        <w:rPr>
          <w:rFonts w:ascii="Garamond" w:hAnsi="Garamond"/>
          <w:i/>
          <w:sz w:val="24"/>
        </w:rPr>
        <w:t xml:space="preserve">There is a paucity of evidence on the effect of a community pharmacy based medication review on reducing health care costs.  Evidence from </w:t>
      </w:r>
      <w:r w:rsidR="000C3CD9">
        <w:rPr>
          <w:rFonts w:ascii="Garamond" w:hAnsi="Garamond"/>
          <w:i/>
          <w:sz w:val="24"/>
        </w:rPr>
        <w:t xml:space="preserve">one </w:t>
      </w:r>
      <w:r w:rsidR="000C3CD9" w:rsidRPr="000C3CD9">
        <w:rPr>
          <w:rFonts w:ascii="Garamond" w:hAnsi="Garamond"/>
          <w:i/>
          <w:sz w:val="24"/>
        </w:rPr>
        <w:t>retrospective sub-analysis of one RCT showed that medication-related hospital costs were significantly lower for patients receiving a community pharmacy based medication</w:t>
      </w:r>
      <w:r w:rsidR="000C3CD9">
        <w:rPr>
          <w:rFonts w:ascii="Garamond" w:hAnsi="Garamond"/>
          <w:i/>
          <w:sz w:val="24"/>
        </w:rPr>
        <w:t>.</w:t>
      </w:r>
      <w:r w:rsidRPr="00C5661C">
        <w:rPr>
          <w:rFonts w:ascii="Garamond" w:hAnsi="Garamond"/>
          <w:i/>
          <w:sz w:val="24"/>
        </w:rPr>
        <w:t xml:space="preserve"> </w:t>
      </w:r>
      <w:r w:rsidR="000C3CD9">
        <w:rPr>
          <w:rFonts w:ascii="Garamond" w:hAnsi="Garamond"/>
          <w:i/>
          <w:sz w:val="24"/>
        </w:rPr>
        <w:t xml:space="preserve"> However, these results should be interpreted with caution due to the poor quality of retrospective studies.</w:t>
      </w:r>
    </w:p>
    <w:p w14:paraId="01947988" w14:textId="77777777" w:rsidR="006B010E" w:rsidRDefault="006B010E" w:rsidP="006B010E">
      <w:pPr>
        <w:pStyle w:val="Heading3"/>
      </w:pPr>
      <w:r>
        <w:t>Drug burden</w:t>
      </w:r>
    </w:p>
    <w:p w14:paraId="3807132D" w14:textId="62F19C0D" w:rsidR="006B010E" w:rsidRDefault="006B010E" w:rsidP="006B010E">
      <w:pPr>
        <w:spacing w:before="240" w:after="0"/>
        <w:jc w:val="both"/>
        <w:rPr>
          <w:rFonts w:ascii="Garamond" w:hAnsi="Garamond"/>
          <w:sz w:val="24"/>
        </w:rPr>
      </w:pPr>
      <w:r w:rsidRPr="00DA4A01">
        <w:rPr>
          <w:rFonts w:ascii="Garamond" w:hAnsi="Garamond"/>
          <w:sz w:val="24"/>
        </w:rPr>
        <w:t>The cluster RCT by Mott et al (2016) evaluated the effect of a community pharmacy</w:t>
      </w:r>
      <w:r>
        <w:rPr>
          <w:rFonts w:ascii="Garamond" w:hAnsi="Garamond"/>
          <w:sz w:val="24"/>
        </w:rPr>
        <w:t xml:space="preserve"> based medication review on the rate of discontinuing FRID use</w:t>
      </w:r>
      <w:r w:rsidRPr="00DA4A01">
        <w:rPr>
          <w:rFonts w:ascii="Garamond" w:hAnsi="Garamond"/>
          <w:sz w:val="24"/>
        </w:rPr>
        <w:t>.  Results from this pilot study found that a significantly larger proportion of subjects stopped using all FRIDs in the intervention group compared with the control group (77% and 28%, respectively; p&lt; 0.05</w:t>
      </w:r>
      <w:r>
        <w:rPr>
          <w:rFonts w:ascii="Garamond" w:hAnsi="Garamond"/>
          <w:sz w:val="24"/>
        </w:rPr>
        <w:t xml:space="preserve">).  However, this reduction did not translate to a clinically meaningful reduction in falls, as </w:t>
      </w:r>
      <w:r w:rsidRPr="00DA4A01">
        <w:rPr>
          <w:rFonts w:ascii="Garamond" w:hAnsi="Garamond"/>
          <w:sz w:val="24"/>
        </w:rPr>
        <w:t>the proportion of subjects falling and the number of falls during the follow-up time period were not different between study groups</w:t>
      </w:r>
      <w:r>
        <w:rPr>
          <w:rFonts w:ascii="Garamond" w:hAnsi="Garamond"/>
          <w:sz w:val="24"/>
        </w:rPr>
        <w:t xml:space="preserve"> (refer to Section </w:t>
      </w:r>
      <w:r>
        <w:rPr>
          <w:rFonts w:ascii="Garamond" w:hAnsi="Garamond"/>
          <w:sz w:val="24"/>
        </w:rPr>
        <w:fldChar w:fldCharType="begin"/>
      </w:r>
      <w:r>
        <w:rPr>
          <w:rFonts w:ascii="Garamond" w:hAnsi="Garamond"/>
          <w:sz w:val="24"/>
        </w:rPr>
        <w:instrText xml:space="preserve"> REF _Ref476823616 \r \h </w:instrText>
      </w:r>
      <w:r>
        <w:rPr>
          <w:rFonts w:ascii="Garamond" w:hAnsi="Garamond"/>
          <w:sz w:val="24"/>
        </w:rPr>
      </w:r>
      <w:r>
        <w:rPr>
          <w:rFonts w:ascii="Garamond" w:hAnsi="Garamond"/>
          <w:sz w:val="24"/>
        </w:rPr>
        <w:fldChar w:fldCharType="separate"/>
      </w:r>
      <w:r w:rsidR="009047A7">
        <w:rPr>
          <w:rFonts w:ascii="Garamond" w:hAnsi="Garamond"/>
          <w:sz w:val="24"/>
        </w:rPr>
        <w:t>5.1.5</w:t>
      </w:r>
      <w:r>
        <w:rPr>
          <w:rFonts w:ascii="Garamond" w:hAnsi="Garamond"/>
          <w:sz w:val="24"/>
        </w:rPr>
        <w:fldChar w:fldCharType="end"/>
      </w:r>
      <w:r>
        <w:rPr>
          <w:rFonts w:ascii="Garamond" w:hAnsi="Garamond"/>
          <w:sz w:val="24"/>
        </w:rPr>
        <w:t xml:space="preserve">).  </w:t>
      </w:r>
    </w:p>
    <w:p w14:paraId="027764BE" w14:textId="526FA81B" w:rsidR="006B010E" w:rsidRDefault="006B010E" w:rsidP="006B010E">
      <w:pPr>
        <w:spacing w:before="240" w:after="0"/>
        <w:jc w:val="both"/>
        <w:rPr>
          <w:rFonts w:ascii="Garamond" w:hAnsi="Garamond"/>
          <w:sz w:val="24"/>
        </w:rPr>
      </w:pPr>
      <w:r>
        <w:rPr>
          <w:rFonts w:ascii="Garamond" w:hAnsi="Garamond"/>
          <w:sz w:val="24"/>
        </w:rPr>
        <w:t>T</w:t>
      </w:r>
      <w:r w:rsidRPr="00945D2C">
        <w:rPr>
          <w:rFonts w:ascii="Garamond" w:hAnsi="Garamond"/>
          <w:sz w:val="24"/>
        </w:rPr>
        <w:t xml:space="preserve">he RCT by Blalock et al (2010) </w:t>
      </w:r>
      <w:r>
        <w:rPr>
          <w:rFonts w:ascii="Garamond" w:hAnsi="Garamond"/>
          <w:sz w:val="24"/>
        </w:rPr>
        <w:t xml:space="preserve">also </w:t>
      </w:r>
      <w:r w:rsidRPr="00945D2C">
        <w:rPr>
          <w:rFonts w:ascii="Garamond" w:hAnsi="Garamond"/>
          <w:sz w:val="24"/>
        </w:rPr>
        <w:t>evaluated the effect of a community pharmacy based medication review on reducing the number of high-risk medications (i.e. medications that affect the central nervous system)</w:t>
      </w:r>
      <w:r>
        <w:rPr>
          <w:rFonts w:ascii="Garamond" w:hAnsi="Garamond"/>
          <w:sz w:val="24"/>
        </w:rPr>
        <w:t xml:space="preserve"> associated with falling in the elderly</w:t>
      </w:r>
      <w:r w:rsidRPr="00945D2C">
        <w:rPr>
          <w:rFonts w:ascii="Garamond" w:hAnsi="Garamond"/>
          <w:sz w:val="24"/>
        </w:rPr>
        <w:t xml:space="preserve">.  As-treated analyses revealed numeric reductions in the filling prescriptions for high-risk medications (RR 0.85; 95% CI, 0.72–1.03) after receipt of the </w:t>
      </w:r>
      <w:r w:rsidRPr="00945D2C">
        <w:rPr>
          <w:rFonts w:ascii="Garamond" w:hAnsi="Garamond"/>
          <w:sz w:val="24"/>
        </w:rPr>
        <w:lastRenderedPageBreak/>
        <w:t>intervention, however the differences were not statistically significant.</w:t>
      </w:r>
      <w:r>
        <w:rPr>
          <w:rFonts w:ascii="Garamond" w:hAnsi="Garamond"/>
          <w:sz w:val="24"/>
        </w:rPr>
        <w:t xml:space="preserve">  No effect on the reduction of falls was observed.</w:t>
      </w:r>
    </w:p>
    <w:p w14:paraId="39607F3A" w14:textId="77777777" w:rsidR="006B010E" w:rsidRDefault="006B010E" w:rsidP="006B010E">
      <w:pPr>
        <w:spacing w:before="240" w:after="0"/>
        <w:jc w:val="both"/>
        <w:rPr>
          <w:rFonts w:ascii="Garamond" w:hAnsi="Garamond"/>
          <w:sz w:val="24"/>
        </w:rPr>
      </w:pPr>
      <w:r>
        <w:rPr>
          <w:rFonts w:ascii="Garamond" w:hAnsi="Garamond"/>
          <w:sz w:val="24"/>
        </w:rPr>
        <w:t xml:space="preserve">The observational study by Ocampo et al (2015) reported that the average number of medicines </w:t>
      </w:r>
      <w:r w:rsidRPr="00DC68D0">
        <w:rPr>
          <w:rFonts w:ascii="Garamond" w:hAnsi="Garamond"/>
          <w:sz w:val="24"/>
        </w:rPr>
        <w:t>decreased from 6.1 (SD: 2.9) to 3.3 (SD: 2.2) (p value not reported</w:t>
      </w:r>
      <w:r>
        <w:rPr>
          <w:rFonts w:ascii="Garamond" w:hAnsi="Garamond"/>
          <w:sz w:val="24"/>
        </w:rPr>
        <w:t>), while the percentage of polypharmacy patients (those using five or more medicines) decreased from 69% to 28% (OR 0.18, 95% CI 0.10-0.30; p&lt;0.001).  However, the study did not investigate the impact of decreased drug burden on patients’ health outcomes.</w:t>
      </w:r>
    </w:p>
    <w:p w14:paraId="45FDA25F" w14:textId="269DDCAB" w:rsidR="006B010E" w:rsidRPr="00C5661C" w:rsidRDefault="006B010E" w:rsidP="006B010E">
      <w:pPr>
        <w:spacing w:before="240" w:after="0"/>
        <w:jc w:val="both"/>
        <w:rPr>
          <w:rFonts w:ascii="Garamond" w:hAnsi="Garamond"/>
          <w:i/>
          <w:sz w:val="24"/>
        </w:rPr>
      </w:pPr>
      <w:r w:rsidRPr="00C5661C">
        <w:rPr>
          <w:rFonts w:ascii="Garamond" w:hAnsi="Garamond"/>
          <w:b/>
          <w:sz w:val="24"/>
        </w:rPr>
        <w:t>Findings</w:t>
      </w:r>
      <w:r>
        <w:rPr>
          <w:rFonts w:ascii="Garamond" w:hAnsi="Garamond"/>
          <w:sz w:val="24"/>
        </w:rPr>
        <w:t xml:space="preserve">: </w:t>
      </w:r>
      <w:r w:rsidR="000C3CD9">
        <w:rPr>
          <w:rFonts w:ascii="Garamond" w:hAnsi="Garamond"/>
          <w:sz w:val="24"/>
        </w:rPr>
        <w:t xml:space="preserve"> </w:t>
      </w:r>
      <w:r w:rsidRPr="00945D2C">
        <w:rPr>
          <w:rFonts w:ascii="Garamond" w:hAnsi="Garamond"/>
          <w:i/>
          <w:sz w:val="24"/>
        </w:rPr>
        <w:t>Evidence from two RCTs that evaluated the effect of community pharmacy based medication review on reducing the number of medications associated with falling were contradictory</w:t>
      </w:r>
      <w:r>
        <w:rPr>
          <w:rFonts w:ascii="Garamond" w:hAnsi="Garamond"/>
          <w:i/>
          <w:sz w:val="24"/>
        </w:rPr>
        <w:t xml:space="preserve">, with one showing a significant reduction in medications </w:t>
      </w:r>
      <w:r w:rsidRPr="008A2F5E">
        <w:rPr>
          <w:rFonts w:ascii="Garamond" w:hAnsi="Garamond"/>
          <w:i/>
          <w:sz w:val="24"/>
        </w:rPr>
        <w:t xml:space="preserve">associated with increased falling and the other showing no effect.  </w:t>
      </w:r>
      <w:r w:rsidR="008A2F5E" w:rsidRPr="008A2F5E">
        <w:rPr>
          <w:rFonts w:ascii="Garamond" w:hAnsi="Garamond"/>
          <w:i/>
          <w:sz w:val="24"/>
        </w:rPr>
        <w:t>Results from one</w:t>
      </w:r>
      <w:r w:rsidRPr="008A2F5E">
        <w:rPr>
          <w:rFonts w:ascii="Garamond" w:hAnsi="Garamond"/>
          <w:i/>
          <w:sz w:val="24"/>
        </w:rPr>
        <w:t xml:space="preserve"> observational study showed that</w:t>
      </w:r>
      <w:r w:rsidRPr="00C5661C">
        <w:rPr>
          <w:rFonts w:ascii="Garamond" w:hAnsi="Garamond"/>
          <w:i/>
          <w:sz w:val="24"/>
        </w:rPr>
        <w:t xml:space="preserve"> community pharmacy based medication review has a positive effect in reducing the number of medicines, thus</w:t>
      </w:r>
      <w:r w:rsidRPr="00C5661C">
        <w:rPr>
          <w:i/>
        </w:rPr>
        <w:t xml:space="preserve"> </w:t>
      </w:r>
      <w:r w:rsidRPr="00C5661C">
        <w:rPr>
          <w:rFonts w:ascii="Garamond" w:hAnsi="Garamond"/>
          <w:i/>
          <w:sz w:val="24"/>
        </w:rPr>
        <w:t>leading to a decrease in the percentage of polypharmacy patients.</w:t>
      </w:r>
      <w:r>
        <w:rPr>
          <w:rFonts w:ascii="Garamond" w:hAnsi="Garamond"/>
          <w:i/>
          <w:sz w:val="24"/>
        </w:rPr>
        <w:t xml:space="preserve"> </w:t>
      </w:r>
      <w:r w:rsidRPr="00C5661C">
        <w:rPr>
          <w:rFonts w:ascii="Garamond" w:hAnsi="Garamond"/>
          <w:i/>
          <w:sz w:val="24"/>
        </w:rPr>
        <w:t xml:space="preserve"> However, there is no evidence showing that a decreased drug burden improves any patients’ health outcomes, such as decrease in DRPs</w:t>
      </w:r>
      <w:r>
        <w:rPr>
          <w:rFonts w:ascii="Garamond" w:hAnsi="Garamond"/>
          <w:i/>
          <w:sz w:val="24"/>
        </w:rPr>
        <w:t xml:space="preserve"> or reduction in falls,</w:t>
      </w:r>
      <w:r w:rsidRPr="00C5661C">
        <w:rPr>
          <w:rFonts w:ascii="Garamond" w:hAnsi="Garamond"/>
          <w:i/>
          <w:sz w:val="24"/>
        </w:rPr>
        <w:t xml:space="preserve"> and consequently a reduction in health care costs</w:t>
      </w:r>
      <w:r>
        <w:rPr>
          <w:rFonts w:ascii="Garamond" w:hAnsi="Garamond"/>
          <w:i/>
          <w:sz w:val="24"/>
        </w:rPr>
        <w:t>.</w:t>
      </w:r>
    </w:p>
    <w:p w14:paraId="2E4B003D" w14:textId="77777777" w:rsidR="006B010E" w:rsidRDefault="006B010E" w:rsidP="006B010E">
      <w:pPr>
        <w:pStyle w:val="Heading3"/>
      </w:pPr>
      <w:bookmarkStart w:id="49" w:name="_Ref476823616"/>
      <w:r>
        <w:t>Falls</w:t>
      </w:r>
      <w:bookmarkEnd w:id="49"/>
    </w:p>
    <w:p w14:paraId="0E54E2F4" w14:textId="77777777" w:rsidR="006B010E" w:rsidRDefault="006B010E" w:rsidP="006B010E">
      <w:pPr>
        <w:pStyle w:val="BodyText"/>
      </w:pPr>
      <w:r>
        <w:t>The cluster RCT by Mott et al (2016) evaluated the effect of a community pharmacy based medication review on the reduction of falls in the elderly.  Results from this pilot study found that a significantly larger proportion of subjects stopped using all FRIDs in the intervention group compared with the control group (77% and 28%, respectively; p&lt;0.05).  However, there were no significant changes between the study groups in the risk and rate of falling, despite a significant reduction in the use of FRIDs.  The authors concluded that a targeted medication review provided by a community pharmacist that focused on FRID use among older adults was effective in modifying FRID use. However, a decrease in the use of FRID did not result in a decrease in falls, likely because the cause of falls in the elderly is multifaceted and not entirely caused by FRID use.</w:t>
      </w:r>
    </w:p>
    <w:p w14:paraId="6993665B" w14:textId="1CC77DFF" w:rsidR="006B010E" w:rsidRDefault="006B010E" w:rsidP="006B010E">
      <w:pPr>
        <w:pStyle w:val="BodyText"/>
      </w:pPr>
      <w:r>
        <w:t>Similarly, as-treated analysis from the RCT by Blalock et al (2010) revealed no statistically significant reduction in the rates of recurrent falls (RR 0.76; 95% CI, 0.53–1.09; p not significant) or</w:t>
      </w:r>
      <w:r w:rsidRPr="0020596C">
        <w:t xml:space="preserve"> injurious falls </w:t>
      </w:r>
      <w:r>
        <w:t xml:space="preserve">(RR </w:t>
      </w:r>
      <w:r w:rsidRPr="000569F6">
        <w:t>0.67; 95% CI, 0.43–1.05</w:t>
      </w:r>
      <w:r>
        <w:t>; p not significant) after one-year follow-up.</w:t>
      </w:r>
      <w:r w:rsidRPr="0020596C">
        <w:t xml:space="preserve"> </w:t>
      </w:r>
      <w:r>
        <w:t xml:space="preserve"> The study did not demonstrate a significant reduction in high-risk medications (central nervous system-medications) (refer to Section 5.1.4)</w:t>
      </w:r>
      <w:r w:rsidR="00626A83">
        <w:t>.</w:t>
      </w:r>
    </w:p>
    <w:p w14:paraId="56CAA858" w14:textId="77777777" w:rsidR="006B010E" w:rsidRPr="00053CEF" w:rsidRDefault="006B010E" w:rsidP="006B010E">
      <w:pPr>
        <w:pStyle w:val="BodyText"/>
        <w:rPr>
          <w:i/>
        </w:rPr>
      </w:pPr>
      <w:r w:rsidRPr="00053CEF">
        <w:rPr>
          <w:b/>
        </w:rPr>
        <w:t>Findings</w:t>
      </w:r>
      <w:r>
        <w:t xml:space="preserve">:  </w:t>
      </w:r>
      <w:r w:rsidRPr="00053CEF">
        <w:rPr>
          <w:i/>
        </w:rPr>
        <w:t>Evidence from two RCT</w:t>
      </w:r>
      <w:r>
        <w:rPr>
          <w:i/>
        </w:rPr>
        <w:t>s</w:t>
      </w:r>
      <w:r w:rsidRPr="00053CEF">
        <w:rPr>
          <w:i/>
        </w:rPr>
        <w:t xml:space="preserve"> suggests that community p</w:t>
      </w:r>
      <w:r>
        <w:rPr>
          <w:i/>
        </w:rPr>
        <w:t>harmacy based medication review</w:t>
      </w:r>
      <w:r w:rsidRPr="00053CEF">
        <w:rPr>
          <w:i/>
        </w:rPr>
        <w:t xml:space="preserve"> has no effect on reducing falls in high-risk older adults.</w:t>
      </w:r>
      <w:r w:rsidRPr="009820D3">
        <w:t xml:space="preserve"> </w:t>
      </w:r>
      <w:r>
        <w:t xml:space="preserve"> </w:t>
      </w:r>
      <w:r w:rsidRPr="009820D3">
        <w:rPr>
          <w:i/>
        </w:rPr>
        <w:t>However, both RCT</w:t>
      </w:r>
      <w:r>
        <w:rPr>
          <w:i/>
        </w:rPr>
        <w:t>s</w:t>
      </w:r>
      <w:r w:rsidRPr="009820D3">
        <w:rPr>
          <w:i/>
        </w:rPr>
        <w:t xml:space="preserve"> were of small sample size; hence more research is needed to ev</w:t>
      </w:r>
      <w:r>
        <w:rPr>
          <w:i/>
        </w:rPr>
        <w:t xml:space="preserve">aluate the community pharmacy based medication review using a </w:t>
      </w:r>
      <w:r w:rsidRPr="009820D3">
        <w:rPr>
          <w:i/>
        </w:rPr>
        <w:t>larger sample size that p</w:t>
      </w:r>
      <w:r>
        <w:rPr>
          <w:i/>
        </w:rPr>
        <w:t xml:space="preserve">rovides greater power to detect </w:t>
      </w:r>
      <w:r w:rsidRPr="009820D3">
        <w:rPr>
          <w:i/>
        </w:rPr>
        <w:t>clinically meaningful eff</w:t>
      </w:r>
      <w:r>
        <w:rPr>
          <w:i/>
        </w:rPr>
        <w:t xml:space="preserve">ects of reduction in the use of </w:t>
      </w:r>
      <w:r w:rsidRPr="009820D3">
        <w:rPr>
          <w:i/>
        </w:rPr>
        <w:t xml:space="preserve">high-risk medications on </w:t>
      </w:r>
      <w:r>
        <w:rPr>
          <w:i/>
        </w:rPr>
        <w:t xml:space="preserve">preventing or reducing falls in </w:t>
      </w:r>
      <w:r w:rsidRPr="009820D3">
        <w:rPr>
          <w:i/>
        </w:rPr>
        <w:t>the high-risk population.</w:t>
      </w:r>
    </w:p>
    <w:p w14:paraId="37A91867" w14:textId="77777777" w:rsidR="006B010E" w:rsidRDefault="006B010E" w:rsidP="006B010E">
      <w:pPr>
        <w:pStyle w:val="Heading3"/>
      </w:pPr>
      <w:r>
        <w:t>Mortality</w:t>
      </w:r>
    </w:p>
    <w:p w14:paraId="6D19F87D" w14:textId="77777777" w:rsidR="006B010E" w:rsidRDefault="006B010E" w:rsidP="006B010E">
      <w:pPr>
        <w:pStyle w:val="BodyText"/>
      </w:pPr>
      <w:r>
        <w:t xml:space="preserve">The MEDMAN trial by Bond et al (2007) did not demonstrate any significant change in the </w:t>
      </w:r>
      <w:r w:rsidRPr="00000730">
        <w:t>future</w:t>
      </w:r>
      <w:r>
        <w:t xml:space="preserve"> (5-year)</w:t>
      </w:r>
      <w:r w:rsidRPr="00000730">
        <w:t xml:space="preserve"> risk of cardiovascular death</w:t>
      </w:r>
      <w:r>
        <w:t>.  Similarly, the Bouvy et al (2003) RCT found no significant effect on reducing the number of deaths in heart failure patients.</w:t>
      </w:r>
    </w:p>
    <w:p w14:paraId="185EC1C8" w14:textId="11275F08" w:rsidR="006B010E" w:rsidRPr="005F506A" w:rsidRDefault="006B010E" w:rsidP="006B010E">
      <w:pPr>
        <w:pStyle w:val="BodyText"/>
        <w:rPr>
          <w:i/>
        </w:rPr>
      </w:pPr>
      <w:r w:rsidRPr="005F506A">
        <w:rPr>
          <w:b/>
        </w:rPr>
        <w:t>Findings</w:t>
      </w:r>
      <w:r>
        <w:t>:</w:t>
      </w:r>
      <w:r w:rsidR="008A2F5E">
        <w:t xml:space="preserve"> </w:t>
      </w:r>
      <w:r>
        <w:t xml:space="preserve"> </w:t>
      </w:r>
      <w:r w:rsidRPr="005F506A">
        <w:rPr>
          <w:i/>
        </w:rPr>
        <w:t>Evidence from two RCTs did not demonstrate a significant effect on mortality in patients with heart disease.</w:t>
      </w:r>
    </w:p>
    <w:p w14:paraId="063CDE91" w14:textId="77777777" w:rsidR="006B010E" w:rsidRDefault="006B010E" w:rsidP="006B010E">
      <w:pPr>
        <w:pStyle w:val="Heading3"/>
      </w:pPr>
      <w:r>
        <w:t>Adverse drug events</w:t>
      </w:r>
    </w:p>
    <w:p w14:paraId="68330A09" w14:textId="030D37DB" w:rsidR="006B010E" w:rsidRDefault="006B010E" w:rsidP="006B010E">
      <w:pPr>
        <w:pStyle w:val="BodyText"/>
      </w:pPr>
      <w:r>
        <w:t>The RCT by Basheti et al (2016) reported a total of 859 treatment</w:t>
      </w:r>
      <w:r w:rsidR="005A297C">
        <w:t>-</w:t>
      </w:r>
      <w:r>
        <w:t>related problems (TRPs) identified in the intervention and control groups during the study period, with a mean of 5.37 ± 3.01 TRPs for each patient.  The most commonly identified TRP categories were efficacy, inappropriate</w:t>
      </w:r>
      <w:r w:rsidRPr="0053262C">
        <w:t xml:space="preserve"> </w:t>
      </w:r>
      <w:r>
        <w:t xml:space="preserve">adherence, miscellaneous problems, and inappropriate knowledge.  For the intervention group, the physicians’ acceptance rate was very high (94%).  Importantly, there were significant differences between the </w:t>
      </w:r>
      <w:r>
        <w:lastRenderedPageBreak/>
        <w:t xml:space="preserve">intervention and control groups with regard to TRP outcomes at follow-up.  Patients in the intervention group had </w:t>
      </w:r>
      <w:r w:rsidRPr="00AF3998">
        <w:t>70% of the identified TRPs</w:t>
      </w:r>
      <w:r>
        <w:t xml:space="preserve"> resolved or improved </w:t>
      </w:r>
      <w:r w:rsidRPr="00AF3998">
        <w:t>compared with 2% in the control group (p&lt;0.001)</w:t>
      </w:r>
      <w:r>
        <w:t>.</w:t>
      </w:r>
    </w:p>
    <w:p w14:paraId="0914DF4D" w14:textId="196A3D66" w:rsidR="006B010E" w:rsidRDefault="006B010E" w:rsidP="006B010E">
      <w:pPr>
        <w:pStyle w:val="BodyText"/>
      </w:pPr>
      <w:r>
        <w:t>The observational study by Ocampo et a</w:t>
      </w:r>
      <w:r w:rsidR="00F72DF1">
        <w:t>l</w:t>
      </w:r>
      <w:r>
        <w:t xml:space="preserve"> (2015) reported that after 18 months of follow-up, approximately 66% (393/ 593) of negative outcomes related to medicines</w:t>
      </w:r>
      <w:r>
        <w:rPr>
          <w:rStyle w:val="FootnoteReference"/>
        </w:rPr>
        <w:footnoteReference w:id="12"/>
      </w:r>
      <w:r>
        <w:t xml:space="preserve"> were resolved and nearly 30% (180/593) were prevented.  </w:t>
      </w:r>
    </w:p>
    <w:p w14:paraId="00C75342" w14:textId="77777777" w:rsidR="006B010E" w:rsidRDefault="006B010E" w:rsidP="006B010E">
      <w:pPr>
        <w:pStyle w:val="BodyText"/>
      </w:pPr>
      <w:r>
        <w:t>The RCT by Touchette et al (2012)</w:t>
      </w:r>
      <w:r w:rsidRPr="002459C8">
        <w:t xml:space="preserve"> </w:t>
      </w:r>
      <w:r>
        <w:t>evaluated the effect of a community pharmacy based medication review (basic or advanced) on ADEs.  The study reported a significant decrease in DRPs, however this did not translate into measurable differences in ADEs, and</w:t>
      </w:r>
      <w:r w:rsidRPr="00C327E3">
        <w:t xml:space="preserve"> </w:t>
      </w:r>
      <w:r>
        <w:t xml:space="preserve">the proportion of participants with an identified potential ADE did not differ for either intervention group or the usual care group.  </w:t>
      </w:r>
    </w:p>
    <w:p w14:paraId="79D1CCFC" w14:textId="77777777" w:rsidR="006B010E" w:rsidRDefault="006B010E" w:rsidP="006B010E">
      <w:pPr>
        <w:pStyle w:val="BodyText"/>
      </w:pPr>
      <w:r w:rsidRPr="002975AB">
        <w:t xml:space="preserve">The SMOG RCT by Vinks et al (2009) evaluated the benefit of medication review by a community pharmacist on reducing </w:t>
      </w:r>
      <w:r>
        <w:t>DRPs in elderly patients.  Four months after the intervention by the community pharmacist, there was</w:t>
      </w:r>
      <w:r w:rsidRPr="002975AB">
        <w:t xml:space="preserve"> a significant reduction in the mean number of DRPs per patient (</w:t>
      </w:r>
      <w:r>
        <w:t xml:space="preserve">mean difference </w:t>
      </w:r>
      <w:r w:rsidRPr="002975AB">
        <w:t xml:space="preserve">-16.3%, 95% </w:t>
      </w:r>
      <w:r>
        <w:t xml:space="preserve">CI -24.3% to -8.3%).  </w:t>
      </w:r>
      <w:r w:rsidRPr="00512F11">
        <w:t>However, the impact of this improvement on reducing ADEs was not investigated.</w:t>
      </w:r>
      <w:r>
        <w:t xml:space="preserve">  The study found that there was a modest but nonsignificant reduction in t</w:t>
      </w:r>
      <w:r w:rsidRPr="002975AB">
        <w:t>he m</w:t>
      </w:r>
      <w:r>
        <w:t>ean number of drugs per patient.  Thus, a decrease in the number of DRPs does not automatically lead to a similar decrease in the number of drugs</w:t>
      </w:r>
    </w:p>
    <w:p w14:paraId="00B1E0BB" w14:textId="19705A29" w:rsidR="006B010E" w:rsidRPr="00512F11" w:rsidRDefault="006B010E" w:rsidP="006B010E">
      <w:pPr>
        <w:pStyle w:val="BodyText"/>
        <w:rPr>
          <w:i/>
        </w:rPr>
      </w:pPr>
      <w:r w:rsidRPr="009F4EDC">
        <w:rPr>
          <w:b/>
        </w:rPr>
        <w:t>Findings</w:t>
      </w:r>
      <w:r w:rsidRPr="008A2F5E">
        <w:rPr>
          <w:i/>
        </w:rPr>
        <w:t xml:space="preserve">: </w:t>
      </w:r>
      <w:r w:rsidR="008A2F5E" w:rsidRPr="008A2F5E">
        <w:rPr>
          <w:i/>
        </w:rPr>
        <w:t xml:space="preserve"> Evidence for an effect of a community pharmacy based medication review on </w:t>
      </w:r>
      <w:r w:rsidR="00DA01FB">
        <w:rPr>
          <w:i/>
        </w:rPr>
        <w:t>ADEs</w:t>
      </w:r>
      <w:r w:rsidR="008A2F5E" w:rsidRPr="008A2F5E">
        <w:rPr>
          <w:i/>
        </w:rPr>
        <w:t xml:space="preserve"> is inconclusive.  O</w:t>
      </w:r>
      <w:r w:rsidR="008A2F5E">
        <w:rPr>
          <w:i/>
        </w:rPr>
        <w:t>ne</w:t>
      </w:r>
      <w:r w:rsidRPr="00512F11">
        <w:rPr>
          <w:i/>
        </w:rPr>
        <w:t xml:space="preserve"> RCT that was statistically powered to detect a meaningful difference in ADEs found no effect of a community pharmacy based medication review on reducing ADEs.  </w:t>
      </w:r>
      <w:r w:rsidR="008A2F5E">
        <w:rPr>
          <w:i/>
        </w:rPr>
        <w:t>Another</w:t>
      </w:r>
      <w:r w:rsidRPr="00512F11">
        <w:rPr>
          <w:i/>
        </w:rPr>
        <w:t xml:space="preserve"> RCT reported a significant reduction in DRPs but without translating this effect into reductions in ADEs.  </w:t>
      </w:r>
      <w:r w:rsidR="008A2F5E">
        <w:rPr>
          <w:i/>
        </w:rPr>
        <w:t>A third</w:t>
      </w:r>
      <w:r w:rsidRPr="00512F11">
        <w:rPr>
          <w:i/>
        </w:rPr>
        <w:t xml:space="preserve"> RCT and one small observational study showed high acceptance of the pharmacist’s recommendations by physicians, leading to the resolution, improvement, or prevention of identified medication-related problems and DRPs.  Findings from these two studies may suggest that community pharmacy based medication review can assist patients achieve a safe and effective pharmacotherapy, however, there is no evidence to suggest that a reduction in DRPs or medication</w:t>
      </w:r>
      <w:r w:rsidR="005A297C">
        <w:rPr>
          <w:i/>
        </w:rPr>
        <w:t>-</w:t>
      </w:r>
      <w:r w:rsidRPr="00512F11">
        <w:rPr>
          <w:i/>
        </w:rPr>
        <w:t>related problems lead to reduction in ADEs or improvements in any other patient health outcome.  Therefore, further research is needed to identify the link between DRPs and ADEs, and aspects of medication review that are particularly effective at improving patients’ health outcomes, such as mortality, health-related QoL, hospital admissions and use of health services.</w:t>
      </w:r>
    </w:p>
    <w:p w14:paraId="43070448" w14:textId="77777777" w:rsidR="006B010E" w:rsidRDefault="006B010E" w:rsidP="006B010E">
      <w:pPr>
        <w:pStyle w:val="Heading3"/>
      </w:pPr>
      <w:r>
        <w:t>Prescribing appropriateness</w:t>
      </w:r>
    </w:p>
    <w:p w14:paraId="7F3C0749" w14:textId="77777777" w:rsidR="006B010E" w:rsidRDefault="006B010E" w:rsidP="006B010E">
      <w:pPr>
        <w:pStyle w:val="BodyText"/>
      </w:pPr>
      <w:r>
        <w:t xml:space="preserve">The MEDMAN trial by bond et al (2007) reported that the global score for appropriateness of medication was not significantly different between groups (total score, mean </w:t>
      </w:r>
      <w:r w:rsidRPr="00283F8D">
        <w:t>0.19</w:t>
      </w:r>
      <w:r>
        <w:t>, 95% CI</w:t>
      </w:r>
      <w:r w:rsidRPr="00283F8D">
        <w:t xml:space="preserve"> –0.07 to 0.46</w:t>
      </w:r>
      <w:r>
        <w:t>; p=</w:t>
      </w:r>
      <w:r w:rsidRPr="00283F8D">
        <w:t>0.15</w:t>
      </w:r>
      <w:r>
        <w:t>).</w:t>
      </w:r>
    </w:p>
    <w:p w14:paraId="3CF06B9D" w14:textId="77777777" w:rsidR="006B010E" w:rsidRPr="00A92784" w:rsidRDefault="006B010E" w:rsidP="006B010E">
      <w:pPr>
        <w:pStyle w:val="BodyText"/>
      </w:pPr>
      <w:r w:rsidRPr="00D24C5E">
        <w:rPr>
          <w:b/>
        </w:rPr>
        <w:t>Findings</w:t>
      </w:r>
      <w:r>
        <w:t xml:space="preserve">:  </w:t>
      </w:r>
      <w:r w:rsidRPr="00D24C5E">
        <w:rPr>
          <w:i/>
        </w:rPr>
        <w:t>Evidence from one large RCT suggests that a community pharmacy based medication review has no positive effect on improving appropriateness of medication prescribing.</w:t>
      </w:r>
    </w:p>
    <w:p w14:paraId="6E5D35AE" w14:textId="77777777" w:rsidR="006B010E" w:rsidRDefault="006B010E" w:rsidP="006B010E">
      <w:pPr>
        <w:pStyle w:val="Heading3"/>
      </w:pPr>
      <w:r>
        <w:t>Adherence</w:t>
      </w:r>
    </w:p>
    <w:p w14:paraId="08E157A4" w14:textId="77777777" w:rsidR="006B010E" w:rsidRDefault="006B010E" w:rsidP="006B010E">
      <w:pPr>
        <w:pStyle w:val="BodyText"/>
      </w:pPr>
      <w:r>
        <w:t>The RCT by Misserli et al (2016)</w:t>
      </w:r>
      <w:r w:rsidRPr="00A75B2D">
        <w:t xml:space="preserve"> </w:t>
      </w:r>
      <w:r>
        <w:t>evaluated</w:t>
      </w:r>
      <w:r w:rsidRPr="00A75B2D">
        <w:t xml:space="preserve"> the impact of </w:t>
      </w:r>
      <w:r>
        <w:t>Polymedication Check service on patients’ adherence.  The study showed that, for the primary outcome objective adherence, there was no significant improvement in the intervention group (mean MPR 88.3 % versus 87.5 % in the control group; p = 0.811).  Similarly, there was no significant improvement in the DPPR in the intervention group (</w:t>
      </w:r>
      <w:r w:rsidRPr="007D6472">
        <w:t>88.0±13.31 vs 87.5± 20.75</w:t>
      </w:r>
      <w:r>
        <w:t xml:space="preserve"> in the control group; </w:t>
      </w:r>
      <w:r w:rsidRPr="007D6472">
        <w:t>p = 0.906)</w:t>
      </w:r>
      <w:r>
        <w:t xml:space="preserve">.  The authors noted that the adherence in the control population was already at an unexpectedly high rate of 87.5 %, thus making it difficult to </w:t>
      </w:r>
      <w:r>
        <w:lastRenderedPageBreak/>
        <w:t xml:space="preserve">observe a 5% increase in objective adherence in the intervention group. for improvement in the intervention group.  </w:t>
      </w:r>
    </w:p>
    <w:p w14:paraId="47EBD2C5" w14:textId="77777777" w:rsidR="006B010E" w:rsidRDefault="006B010E" w:rsidP="006B010E">
      <w:pPr>
        <w:pStyle w:val="BodyText"/>
      </w:pPr>
      <w:r>
        <w:t>The study also evaluated subjective adherence as a secondary outcome using a self-report questionnaire and two telephone interviews carried out at two and 16 weeks post-intervention.  The mean absolute change of subjective adherence between baseline and two weeks post-intervention was +1.03 % in the intervention and −0.41 % in the control group (p = 0.058).  Sub-analysis showed that there was a higher percentage of patients in the intervention group with more than 5 % increase of subjective adherence compared to the controls (N</w:t>
      </w:r>
      <w:r w:rsidRPr="00AA6973">
        <w:rPr>
          <w:vertAlign w:val="subscript"/>
        </w:rPr>
        <w:t>Improvement</w:t>
      </w:r>
      <w:r>
        <w:t xml:space="preserve"> = 30; N</w:t>
      </w:r>
      <w:r w:rsidRPr="00AA6973">
        <w:rPr>
          <w:vertAlign w:val="subscript"/>
        </w:rPr>
        <w:t>Worsening</w:t>
      </w:r>
      <w:r>
        <w:t xml:space="preserve"> = 14 versus N</w:t>
      </w:r>
      <w:r w:rsidRPr="00AA6973">
        <w:rPr>
          <w:vertAlign w:val="subscript"/>
        </w:rPr>
        <w:t>Improvement</w:t>
      </w:r>
      <w:r>
        <w:t xml:space="preserve"> = 20; N</w:t>
      </w:r>
      <w:r w:rsidRPr="00AA6973">
        <w:rPr>
          <w:vertAlign w:val="subscript"/>
        </w:rPr>
        <w:t>Worsening</w:t>
      </w:r>
      <w:r>
        <w:t xml:space="preserve"> = 24; p = 0.028).  However, this effect only appeared shortly after the intervention (two weeks period) and could not be observed again in the further course of the study.</w:t>
      </w:r>
    </w:p>
    <w:p w14:paraId="3D019F24" w14:textId="77777777" w:rsidR="006B010E" w:rsidRDefault="006B010E" w:rsidP="006B010E">
      <w:pPr>
        <w:pStyle w:val="BodyText"/>
      </w:pPr>
      <w:r>
        <w:t xml:space="preserve">The MEDMAN RCT by Bond et al (2007) evaluated the effect of a community pharmacy based medication review on adherence.  The study found no significant improvement in adherence at follow-up.  This was possibly due to the high median score for compliance with medication taking at baseline for the intervention and control groups (59, </w:t>
      </w:r>
      <w:r w:rsidRPr="007D0293">
        <w:t>interquartile range</w:t>
      </w:r>
      <w:r>
        <w:t xml:space="preserve"> IQR 56–60) and thus reducing the potential for improvements post-intervention.</w:t>
      </w:r>
    </w:p>
    <w:p w14:paraId="0242FE2D" w14:textId="5D917493" w:rsidR="006B010E" w:rsidRDefault="006B010E" w:rsidP="006B010E">
      <w:pPr>
        <w:pStyle w:val="BodyText"/>
      </w:pPr>
      <w:r>
        <w:t xml:space="preserve">The RCT by Bouvy et al (2003) reported improvements in medication compliance in patients with moderate to </w:t>
      </w:r>
      <w:r w:rsidR="005A297C">
        <w:t>severe heart failure, six-month</w:t>
      </w:r>
      <w:r>
        <w:t xml:space="preserve"> post-intervention.  Results showed that patients in the intervention group had 140/7656 days without use of loop diuretics compared with 337/6196 days in the u</w:t>
      </w:r>
      <w:r w:rsidR="00BF0EBA">
        <w:t>sual care group (RR</w:t>
      </w:r>
      <w:r>
        <w:t xml:space="preserve"> 0.33, 95% CI 0.24–0.38).  Two consecutive days of non-dosing occurred on 18/7656 days in the intervention group compared with 46/6196 days in the usual care group (RR 0.32, 95% CI 0.19–0.55).</w:t>
      </w:r>
    </w:p>
    <w:p w14:paraId="5F1DAC82" w14:textId="77777777" w:rsidR="006B010E" w:rsidRDefault="006B010E" w:rsidP="006B010E">
      <w:pPr>
        <w:pStyle w:val="BodyText"/>
      </w:pPr>
      <w:r>
        <w:t xml:space="preserve">The RCT by Bernsten et al (2001) also </w:t>
      </w:r>
      <w:r w:rsidRPr="004F2506">
        <w:t>showed no statistically significant difference</w:t>
      </w:r>
      <w:r>
        <w:t xml:space="preserve"> between groups</w:t>
      </w:r>
      <w:r w:rsidRPr="004F2506">
        <w:t xml:space="preserve"> in </w:t>
      </w:r>
      <w:r w:rsidRPr="0061094A">
        <w:t xml:space="preserve">adherence. </w:t>
      </w:r>
      <w:r>
        <w:t xml:space="preserve"> </w:t>
      </w:r>
      <w:r w:rsidRPr="0061094A">
        <w:t>However, an analysis of changes in compliance during the study (change of compliance status compared with that reported at baseline) indicated that at 18 months a statistically significantly higher proportion of the intervention patients changed from being noncompliant to compliant compared with the control groups (15.2</w:t>
      </w:r>
      <w:r>
        <w:t>% and</w:t>
      </w:r>
      <w:r w:rsidRPr="0061094A">
        <w:t xml:space="preserve"> 12.2%; p=0.028).</w:t>
      </w:r>
    </w:p>
    <w:p w14:paraId="106FDEDC" w14:textId="06E66099" w:rsidR="006B010E" w:rsidRDefault="006B010E" w:rsidP="006B010E">
      <w:pPr>
        <w:pStyle w:val="BodyText"/>
      </w:pPr>
      <w:r w:rsidRPr="00C54D88">
        <w:rPr>
          <w:b/>
        </w:rPr>
        <w:t>Findings</w:t>
      </w:r>
      <w:r>
        <w:t xml:space="preserve">:  </w:t>
      </w:r>
      <w:r w:rsidRPr="00F708EC">
        <w:rPr>
          <w:i/>
        </w:rPr>
        <w:t xml:space="preserve">The evidence for an effect of community pharmacy based medication review on adherence was mixed.  </w:t>
      </w:r>
      <w:r w:rsidR="008A2F5E">
        <w:rPr>
          <w:i/>
        </w:rPr>
        <w:t xml:space="preserve">Results from </w:t>
      </w:r>
      <w:r w:rsidRPr="00F708EC">
        <w:rPr>
          <w:i/>
        </w:rPr>
        <w:t xml:space="preserve">three RCTs showed that a community pharmacy based medication review did not </w:t>
      </w:r>
      <w:r w:rsidR="008A2F5E">
        <w:rPr>
          <w:i/>
        </w:rPr>
        <w:t>have</w:t>
      </w:r>
      <w:r w:rsidRPr="00F708EC">
        <w:rPr>
          <w:i/>
        </w:rPr>
        <w:t xml:space="preserve"> a positive effect on improving patients’ adherence to medication.  However, one small RCT reported improvement in medication compliance in patients with moderate to severe heart failure</w:t>
      </w:r>
      <w:r>
        <w:t>.</w:t>
      </w:r>
    </w:p>
    <w:p w14:paraId="2EC54A0E" w14:textId="77777777" w:rsidR="006B010E" w:rsidRDefault="006B010E" w:rsidP="006B010E">
      <w:pPr>
        <w:pStyle w:val="Heading3"/>
      </w:pPr>
      <w:r>
        <w:t>Quality of life</w:t>
      </w:r>
    </w:p>
    <w:p w14:paraId="61B6D466" w14:textId="77777777" w:rsidR="006B010E" w:rsidRDefault="006B010E" w:rsidP="006B010E">
      <w:pPr>
        <w:pStyle w:val="BodyText"/>
      </w:pPr>
      <w:r>
        <w:t>The observational study by Ocampo et al (2015) reported an improvement in all QoL (SF-36) domains, with the highest increase observed in the construct health transition (mean increase: 30.7±25.4), followed by bodily pain (mean increase: 22.3±25.4), and general health (mean increase: 20.7±23.7).  Further, both physical and mental health summary scales improved, increasing from 65.8 and 66.2 (p&lt;0.001) to 82.7 and 81.1 (p&lt;0.001), respectively.</w:t>
      </w:r>
    </w:p>
    <w:p w14:paraId="3DFF3AAD" w14:textId="77777777" w:rsidR="006B010E" w:rsidRDefault="006B010E" w:rsidP="006B010E">
      <w:pPr>
        <w:pStyle w:val="BodyText"/>
      </w:pPr>
      <w:r>
        <w:t xml:space="preserve">The RCT by Geurts et al (2015) evaluated the effect of a community pharmacy based medication review on patients’ beliefs of medicines using the BMQ-General questionnaire and quality of life using EQ-5D. Analysis of both parts of the BMQ-General questionnaire (General Harm and General Overuse) showed that intervention patients became more positive about medicines use (increase in mean scores), while patients in the control group indicated no difference or even became more negative.  For the first part, General Harm, the mean score increased significantly from 3.297 at baseline to 3.423 at 12-month follow-up in the intervention group (mean 0.126; 95% CI −0.227 to −0.025; p= 0.014).  However, the EQ-5D questionnaire showed no significant results in QoL in patients suffering from cardiovascular diseases.  </w:t>
      </w:r>
    </w:p>
    <w:p w14:paraId="037ACEBA" w14:textId="77777777" w:rsidR="006B010E" w:rsidRDefault="006B010E" w:rsidP="006B010E">
      <w:pPr>
        <w:pStyle w:val="BodyText"/>
      </w:pPr>
      <w:r>
        <w:lastRenderedPageBreak/>
        <w:t>The MEDMAN RCT by Bond et al (2007) found no significant differences between groups in any of the individual SF-36 domains or in overall EQ-5D score (mean difference 0.04, 95% CI</w:t>
      </w:r>
      <w:r w:rsidRPr="00DA49B8">
        <w:t xml:space="preserve"> –0.05 to 0.13</w:t>
      </w:r>
      <w:r>
        <w:t>; p=</w:t>
      </w:r>
      <w:r w:rsidRPr="00DA49B8">
        <w:t>0.37</w:t>
      </w:r>
      <w:r>
        <w:t xml:space="preserve">). </w:t>
      </w:r>
    </w:p>
    <w:p w14:paraId="19595AD0" w14:textId="77777777" w:rsidR="006B010E" w:rsidRDefault="006B010E" w:rsidP="006B010E">
      <w:pPr>
        <w:pStyle w:val="BodyText"/>
      </w:pPr>
      <w:r>
        <w:t>The RCT by Bouvy et al (2003) found that (heart failure) disease-specific quality of life improved in both the intervention and usual care groups, however improvement in the usual care group tended to be higher, although this difference was not statistically significant.  Generic quality of life (COOP/WONCA) measures improved in the usual care group and worsened slightly in the intervention group.</w:t>
      </w:r>
    </w:p>
    <w:p w14:paraId="13FD9B9B" w14:textId="77777777" w:rsidR="006B010E" w:rsidRDefault="006B010E" w:rsidP="006B010E">
      <w:pPr>
        <w:pStyle w:val="BodyText"/>
      </w:pPr>
      <w:r w:rsidRPr="000B6422">
        <w:t xml:space="preserve">The RCT by Bernsten et al (2001) also showed no statistically significant difference between groups </w:t>
      </w:r>
      <w:r>
        <w:t>in any of the eight SF-36 dimensions over the 18-month follow-up period (p&gt;0.05).</w:t>
      </w:r>
    </w:p>
    <w:p w14:paraId="03474C13" w14:textId="3B94BEE0" w:rsidR="006B010E" w:rsidRDefault="006B010E" w:rsidP="006B010E">
      <w:pPr>
        <w:pStyle w:val="BodyText"/>
      </w:pPr>
      <w:r w:rsidRPr="00F84789">
        <w:rPr>
          <w:b/>
        </w:rPr>
        <w:t>Findings</w:t>
      </w:r>
      <w:r>
        <w:t xml:space="preserve">:  </w:t>
      </w:r>
      <w:r w:rsidRPr="00C5661C">
        <w:rPr>
          <w:i/>
        </w:rPr>
        <w:t xml:space="preserve">The evidence for an effect of community pharmacy based medication review on quality of life was conflicting, with </w:t>
      </w:r>
      <w:r w:rsidR="008A2F5E">
        <w:rPr>
          <w:i/>
        </w:rPr>
        <w:t>one observational study reporting</w:t>
      </w:r>
      <w:r w:rsidRPr="00C5661C">
        <w:rPr>
          <w:i/>
        </w:rPr>
        <w:t xml:space="preserve"> an improvement in QoL, and four RCTs showing no significant effect on QoL.  The inability of the pharmacy-led intervention to significantly affect health-related QoL in the elderly may partially be due to a greater disease burden experienced by the elderly and thus, the intervention may only have a nonsignificant effect on QoL.  More research is necessary in order to define the effect of a clinical medication review on patient QoL</w:t>
      </w:r>
      <w:r>
        <w:rPr>
          <w:i/>
        </w:rPr>
        <w:t>.</w:t>
      </w:r>
    </w:p>
    <w:p w14:paraId="613E224F" w14:textId="77777777" w:rsidR="006B010E" w:rsidRDefault="006B010E" w:rsidP="006B010E">
      <w:pPr>
        <w:pStyle w:val="Heading3"/>
      </w:pPr>
      <w:r>
        <w:t>Patient satisfaction</w:t>
      </w:r>
    </w:p>
    <w:p w14:paraId="27B70D64" w14:textId="77777777" w:rsidR="006B010E" w:rsidRDefault="006B010E" w:rsidP="006B010E">
      <w:pPr>
        <w:pStyle w:val="BodyText"/>
      </w:pPr>
      <w:r>
        <w:t xml:space="preserve">Two RCTs reported on patient satisfaction.  </w:t>
      </w:r>
      <w:r w:rsidRPr="00DA49B8">
        <w:t>The M</w:t>
      </w:r>
      <w:r>
        <w:t>EDMAN</w:t>
      </w:r>
      <w:r w:rsidRPr="00DA49B8">
        <w:t xml:space="preserve"> RCT by Bond et al (2007) found </w:t>
      </w:r>
      <w:r>
        <w:t>statistically significant improvements in the intervention group in the single computed satisfaction score for patients’ most recent pharmacy visit for prescription medicines compared with control patients</w:t>
      </w:r>
      <w:r w:rsidRPr="00DA49B8">
        <w:t xml:space="preserve"> </w:t>
      </w:r>
      <w:r>
        <w:t xml:space="preserve">(mean difference </w:t>
      </w:r>
      <w:r w:rsidRPr="00DA49B8">
        <w:t>4.</w:t>
      </w:r>
      <w:r>
        <w:t>0, 95% CI 1.7–</w:t>
      </w:r>
      <w:r w:rsidRPr="00DA49B8">
        <w:t>6.3</w:t>
      </w:r>
      <w:r>
        <w:t>; p&lt;0</w:t>
      </w:r>
      <w:r w:rsidRPr="00DA49B8">
        <w:t>.01</w:t>
      </w:r>
      <w:r>
        <w:t>).</w:t>
      </w:r>
    </w:p>
    <w:p w14:paraId="348973E5" w14:textId="77777777" w:rsidR="006B010E" w:rsidRDefault="006B010E" w:rsidP="006B010E">
      <w:pPr>
        <w:pStyle w:val="BodyText"/>
      </w:pPr>
      <w:r>
        <w:t xml:space="preserve">The RCT by Bernsten et al (2001) found that a pharmaceutical care plan (and a medication review) </w:t>
      </w:r>
      <w:r w:rsidRPr="00712C5D">
        <w:t>had some positive effects on humanistic health outcomes such as satisfaction with treatmen</w:t>
      </w:r>
      <w:r>
        <w:t>t and symptom control</w:t>
      </w:r>
      <w:r w:rsidRPr="00712C5D">
        <w:t>.</w:t>
      </w:r>
      <w:r>
        <w:t xml:space="preserve"> </w:t>
      </w:r>
      <w:r w:rsidRPr="00712C5D">
        <w:t xml:space="preserve"> Intervention patients rated the </w:t>
      </w:r>
      <w:r>
        <w:t xml:space="preserve">pharmacy </w:t>
      </w:r>
      <w:r w:rsidRPr="00712C5D">
        <w:t>services provided higher that the control at 6 and 18 months (p&lt;0.05).</w:t>
      </w:r>
      <w:r>
        <w:t xml:space="preserve"> </w:t>
      </w:r>
      <w:r w:rsidRPr="00712C5D">
        <w:t xml:space="preserve"> There was a small statistically significant increase in satisfaction in the interventi</w:t>
      </w:r>
      <w:r>
        <w:t>on group over time (baseline versus</w:t>
      </w:r>
      <w:r w:rsidRPr="00712C5D">
        <w:t xml:space="preserve"> 12 months p=0.039).</w:t>
      </w:r>
    </w:p>
    <w:p w14:paraId="182FE55F" w14:textId="77777777" w:rsidR="006B010E" w:rsidRDefault="006B010E" w:rsidP="006B010E">
      <w:pPr>
        <w:pStyle w:val="BodyText"/>
      </w:pPr>
      <w:r w:rsidRPr="00F03FCC">
        <w:rPr>
          <w:b/>
        </w:rPr>
        <w:t>Findings</w:t>
      </w:r>
      <w:r>
        <w:t xml:space="preserve">:  </w:t>
      </w:r>
      <w:r w:rsidRPr="00F03FCC">
        <w:rPr>
          <w:i/>
        </w:rPr>
        <w:t xml:space="preserve">Evidence from two RCTs suggests that community pharmacy based medication review has a positive </w:t>
      </w:r>
      <w:r>
        <w:rPr>
          <w:i/>
        </w:rPr>
        <w:t>effect on patient satisfaction</w:t>
      </w:r>
      <w:r w:rsidRPr="00F03FCC">
        <w:rPr>
          <w:i/>
        </w:rPr>
        <w:t>, especially in relation to treatment and symptom control as a result of the medication review.</w:t>
      </w:r>
    </w:p>
    <w:p w14:paraId="007F2470" w14:textId="77777777" w:rsidR="006B010E" w:rsidRDefault="006B010E" w:rsidP="006B010E">
      <w:pPr>
        <w:pStyle w:val="Heading2"/>
      </w:pPr>
      <w:r>
        <w:t>Evidence from primary studies-Diabetes MedsCheck</w:t>
      </w:r>
    </w:p>
    <w:p w14:paraId="28A595A2" w14:textId="5810A9CC" w:rsidR="006B010E" w:rsidRDefault="006B010E" w:rsidP="006B010E">
      <w:pPr>
        <w:pStyle w:val="BodyText"/>
      </w:pPr>
      <w:r w:rsidRPr="00D812D5">
        <w:t xml:space="preserve">The systematic literature review identified </w:t>
      </w:r>
      <w:r>
        <w:t>a single RCT that evaluated the effect of a community pharmacy based medication review targeting type 2 diabetes patients in Denmark on clinical and humanistic outcomes.</w:t>
      </w:r>
    </w:p>
    <w:p w14:paraId="736A437D" w14:textId="77777777" w:rsidR="006B010E" w:rsidRDefault="006B010E" w:rsidP="006B010E">
      <w:pPr>
        <w:pStyle w:val="BodyText"/>
      </w:pPr>
    </w:p>
    <w:p w14:paraId="4EABFD5F" w14:textId="77777777" w:rsidR="006B010E" w:rsidRDefault="006B010E" w:rsidP="006B010E">
      <w:pPr>
        <w:pStyle w:val="BodyText"/>
        <w:sectPr w:rsidR="006B010E" w:rsidSect="009C574E">
          <w:pgSz w:w="11906" w:h="16838" w:code="9"/>
          <w:pgMar w:top="1134" w:right="1134" w:bottom="1134" w:left="1134" w:header="680" w:footer="680" w:gutter="0"/>
          <w:cols w:space="708"/>
          <w:docGrid w:linePitch="360"/>
        </w:sectPr>
      </w:pPr>
    </w:p>
    <w:p w14:paraId="3723F769" w14:textId="75A9B504" w:rsidR="006B010E" w:rsidRPr="008046C0" w:rsidRDefault="006B010E" w:rsidP="006B010E">
      <w:pPr>
        <w:pStyle w:val="Caption"/>
      </w:pPr>
      <w:r w:rsidRPr="008D241F">
        <w:lastRenderedPageBreak/>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5</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3</w:t>
      </w:r>
      <w:r w:rsidR="009047A7">
        <w:rPr>
          <w:noProof/>
        </w:rPr>
        <w:fldChar w:fldCharType="end"/>
      </w:r>
      <w:r w:rsidRPr="008D241F">
        <w:t xml:space="preserve">: </w:t>
      </w:r>
      <w:r w:rsidRPr="001E228A">
        <w:t>Character</w:t>
      </w:r>
      <w:r>
        <w:t>istics of the included study-Diabetes MedsCheck</w:t>
      </w:r>
      <w:r w:rsidRPr="001E228A">
        <w:t xml:space="preserve"> performed by a pharmacist</w:t>
      </w:r>
    </w:p>
    <w:tbl>
      <w:tblPr>
        <w:tblStyle w:val="TableGrid"/>
        <w:tblW w:w="5000" w:type="pct"/>
        <w:tblLook w:val="04A0" w:firstRow="1" w:lastRow="0" w:firstColumn="1" w:lastColumn="0" w:noHBand="0" w:noVBand="1"/>
        <w:tblCaption w:val="Table 5.3"/>
        <w:tblDescription w:val="Characteristics of the included study-Diabetes MedsCheck performed by a pharmacist"/>
      </w:tblPr>
      <w:tblGrid>
        <w:gridCol w:w="1227"/>
        <w:gridCol w:w="1763"/>
        <w:gridCol w:w="703"/>
        <w:gridCol w:w="2682"/>
        <w:gridCol w:w="3826"/>
        <w:gridCol w:w="1523"/>
        <w:gridCol w:w="2836"/>
      </w:tblGrid>
      <w:tr w:rsidR="006B010E" w:rsidRPr="008046C0" w14:paraId="22BF8962" w14:textId="77777777" w:rsidTr="006B010E">
        <w:trPr>
          <w:cnfStyle w:val="100000000000" w:firstRow="1" w:lastRow="0" w:firstColumn="0" w:lastColumn="0" w:oddVBand="0" w:evenVBand="0" w:oddHBand="0" w:evenHBand="0" w:firstRowFirstColumn="0" w:firstRowLastColumn="0" w:lastRowFirstColumn="0" w:lastRowLastColumn="0"/>
        </w:trPr>
        <w:tc>
          <w:tcPr>
            <w:tcW w:w="421" w:type="pct"/>
            <w:vAlign w:val="center"/>
          </w:tcPr>
          <w:p w14:paraId="79D73F13" w14:textId="77777777" w:rsidR="006B010E" w:rsidRPr="008046C0" w:rsidRDefault="006B010E" w:rsidP="006B010E">
            <w:pPr>
              <w:spacing w:after="0"/>
              <w:rPr>
                <w:b/>
                <w:snapToGrid w:val="0"/>
                <w:color w:val="FFFFFF"/>
                <w:sz w:val="20"/>
              </w:rPr>
            </w:pPr>
            <w:r w:rsidRPr="008046C0">
              <w:rPr>
                <w:b/>
                <w:snapToGrid w:val="0"/>
                <w:color w:val="FFFFFF"/>
                <w:sz w:val="20"/>
              </w:rPr>
              <w:t>Study ID</w:t>
            </w:r>
          </w:p>
          <w:p w14:paraId="519BA420" w14:textId="77777777" w:rsidR="006B010E" w:rsidRPr="008046C0" w:rsidRDefault="006B010E" w:rsidP="006B010E">
            <w:pPr>
              <w:spacing w:after="0"/>
              <w:rPr>
                <w:b/>
                <w:color w:val="FFFFFF"/>
                <w:sz w:val="20"/>
              </w:rPr>
            </w:pPr>
            <w:r w:rsidRPr="008046C0">
              <w:rPr>
                <w:b/>
                <w:snapToGrid w:val="0"/>
                <w:color w:val="FFFFFF"/>
                <w:sz w:val="20"/>
              </w:rPr>
              <w:t>Country</w:t>
            </w:r>
          </w:p>
        </w:tc>
        <w:tc>
          <w:tcPr>
            <w:tcW w:w="605" w:type="pct"/>
            <w:vAlign w:val="center"/>
          </w:tcPr>
          <w:p w14:paraId="5AF452F0" w14:textId="77777777" w:rsidR="006B010E" w:rsidRPr="008046C0" w:rsidRDefault="006B010E" w:rsidP="006B010E">
            <w:pPr>
              <w:spacing w:after="0"/>
              <w:rPr>
                <w:b/>
                <w:color w:val="FFFFFF"/>
                <w:sz w:val="20"/>
              </w:rPr>
            </w:pPr>
            <w:r w:rsidRPr="008046C0">
              <w:rPr>
                <w:b/>
                <w:snapToGrid w:val="0"/>
                <w:color w:val="FFFFFF"/>
                <w:sz w:val="20"/>
              </w:rPr>
              <w:t>Study design/total study duration</w:t>
            </w:r>
          </w:p>
        </w:tc>
        <w:tc>
          <w:tcPr>
            <w:tcW w:w="241" w:type="pct"/>
            <w:vAlign w:val="center"/>
          </w:tcPr>
          <w:p w14:paraId="6A1EAFEE" w14:textId="77777777" w:rsidR="006B010E" w:rsidRPr="008046C0" w:rsidRDefault="006B010E" w:rsidP="006B010E">
            <w:pPr>
              <w:spacing w:after="0"/>
              <w:rPr>
                <w:b/>
                <w:color w:val="FFFFFF"/>
                <w:sz w:val="20"/>
              </w:rPr>
            </w:pPr>
            <w:r w:rsidRPr="008046C0">
              <w:rPr>
                <w:b/>
                <w:color w:val="FFFFFF"/>
                <w:sz w:val="20"/>
              </w:rPr>
              <w:t xml:space="preserve">Mean age </w:t>
            </w:r>
          </w:p>
        </w:tc>
        <w:tc>
          <w:tcPr>
            <w:tcW w:w="921" w:type="pct"/>
            <w:vAlign w:val="center"/>
          </w:tcPr>
          <w:p w14:paraId="36502922" w14:textId="77777777" w:rsidR="006B010E" w:rsidRPr="008046C0" w:rsidRDefault="006B010E" w:rsidP="006B010E">
            <w:pPr>
              <w:spacing w:after="0"/>
              <w:rPr>
                <w:b/>
                <w:color w:val="FFFFFF"/>
                <w:sz w:val="20"/>
              </w:rPr>
            </w:pPr>
            <w:r w:rsidRPr="008046C0">
              <w:rPr>
                <w:b/>
                <w:snapToGrid w:val="0"/>
                <w:color w:val="FFFFFF"/>
                <w:sz w:val="20"/>
              </w:rPr>
              <w:t>Population</w:t>
            </w:r>
          </w:p>
        </w:tc>
        <w:tc>
          <w:tcPr>
            <w:tcW w:w="1314" w:type="pct"/>
            <w:vAlign w:val="center"/>
          </w:tcPr>
          <w:p w14:paraId="3C46D7DE" w14:textId="77777777" w:rsidR="006B010E" w:rsidRPr="008046C0" w:rsidRDefault="006B010E" w:rsidP="006B010E">
            <w:pPr>
              <w:spacing w:after="0"/>
              <w:rPr>
                <w:b/>
                <w:color w:val="FFFFFF"/>
                <w:sz w:val="20"/>
              </w:rPr>
            </w:pPr>
            <w:r w:rsidRPr="008046C0">
              <w:rPr>
                <w:b/>
                <w:snapToGrid w:val="0"/>
                <w:color w:val="FFFFFF"/>
                <w:sz w:val="20"/>
              </w:rPr>
              <w:t>Intervention</w:t>
            </w:r>
          </w:p>
        </w:tc>
        <w:tc>
          <w:tcPr>
            <w:tcW w:w="523" w:type="pct"/>
            <w:vAlign w:val="center"/>
          </w:tcPr>
          <w:p w14:paraId="04D42350" w14:textId="77777777" w:rsidR="006B010E" w:rsidRPr="008046C0" w:rsidRDefault="006B010E" w:rsidP="006B010E">
            <w:pPr>
              <w:spacing w:after="0"/>
              <w:rPr>
                <w:b/>
                <w:color w:val="FFFFFF"/>
                <w:sz w:val="20"/>
              </w:rPr>
            </w:pPr>
            <w:r w:rsidRPr="008046C0">
              <w:rPr>
                <w:b/>
                <w:snapToGrid w:val="0"/>
                <w:color w:val="FFFFFF"/>
                <w:sz w:val="20"/>
              </w:rPr>
              <w:t>Control</w:t>
            </w:r>
          </w:p>
        </w:tc>
        <w:tc>
          <w:tcPr>
            <w:tcW w:w="974" w:type="pct"/>
            <w:vAlign w:val="center"/>
          </w:tcPr>
          <w:p w14:paraId="595B685C" w14:textId="77777777" w:rsidR="006B010E" w:rsidRPr="008046C0" w:rsidRDefault="006B010E" w:rsidP="006B010E">
            <w:pPr>
              <w:spacing w:after="0"/>
              <w:rPr>
                <w:b/>
                <w:color w:val="FFFFFF"/>
                <w:sz w:val="20"/>
              </w:rPr>
            </w:pPr>
            <w:r w:rsidRPr="008046C0">
              <w:rPr>
                <w:b/>
                <w:snapToGrid w:val="0"/>
                <w:color w:val="FFFFFF"/>
                <w:sz w:val="20"/>
              </w:rPr>
              <w:t>Outcomes</w:t>
            </w:r>
          </w:p>
        </w:tc>
      </w:tr>
      <w:tr w:rsidR="006B010E" w:rsidRPr="008046C0" w14:paraId="6B9C0EAF" w14:textId="77777777" w:rsidTr="006B010E">
        <w:tc>
          <w:tcPr>
            <w:tcW w:w="421" w:type="pct"/>
          </w:tcPr>
          <w:p w14:paraId="29064706" w14:textId="77777777" w:rsidR="006B010E" w:rsidRDefault="006B010E" w:rsidP="006B010E">
            <w:pPr>
              <w:pStyle w:val="Table10ptalignedleft"/>
            </w:pPr>
            <w:r>
              <w:t>Kjeldsen (2015)</w:t>
            </w:r>
          </w:p>
          <w:p w14:paraId="70DF8386" w14:textId="77777777" w:rsidR="006B010E" w:rsidRPr="002B7D42" w:rsidRDefault="006B010E" w:rsidP="006B010E">
            <w:pPr>
              <w:pStyle w:val="Table10ptalignedleft"/>
            </w:pPr>
            <w:r>
              <w:t>Denmark</w:t>
            </w:r>
          </w:p>
        </w:tc>
        <w:tc>
          <w:tcPr>
            <w:tcW w:w="605" w:type="pct"/>
          </w:tcPr>
          <w:p w14:paraId="49C59D6C" w14:textId="77777777" w:rsidR="006B010E" w:rsidRDefault="006B010E" w:rsidP="006B010E">
            <w:pPr>
              <w:pStyle w:val="Table10ptalignedleft"/>
              <w:rPr>
                <w:szCs w:val="20"/>
              </w:rPr>
            </w:pPr>
            <w:r w:rsidRPr="002F3067">
              <w:rPr>
                <w:szCs w:val="20"/>
              </w:rPr>
              <w:t>RCT</w:t>
            </w:r>
          </w:p>
          <w:p w14:paraId="3D3507E2" w14:textId="022A3270" w:rsidR="006B010E" w:rsidRDefault="008A2F5E" w:rsidP="006B010E">
            <w:pPr>
              <w:pStyle w:val="Table10ptalignedleft"/>
              <w:rPr>
                <w:szCs w:val="20"/>
              </w:rPr>
            </w:pPr>
            <w:r>
              <w:rPr>
                <w:szCs w:val="20"/>
              </w:rPr>
              <w:t>N= 205 (5 phar</w:t>
            </w:r>
            <w:r w:rsidR="006B010E">
              <w:rPr>
                <w:szCs w:val="20"/>
              </w:rPr>
              <w:t>m</w:t>
            </w:r>
            <w:r>
              <w:rPr>
                <w:szCs w:val="20"/>
              </w:rPr>
              <w:t>a</w:t>
            </w:r>
            <w:r w:rsidR="006B010E">
              <w:rPr>
                <w:szCs w:val="20"/>
              </w:rPr>
              <w:t>cies)</w:t>
            </w:r>
          </w:p>
          <w:p w14:paraId="367C462A" w14:textId="77777777" w:rsidR="006B010E" w:rsidRPr="00C93A12" w:rsidRDefault="006B010E" w:rsidP="006B010E">
            <w:pPr>
              <w:pStyle w:val="Table10ptalignedleft"/>
              <w:rPr>
                <w:szCs w:val="20"/>
              </w:rPr>
            </w:pPr>
            <w:r>
              <w:rPr>
                <w:szCs w:val="20"/>
              </w:rPr>
              <w:t>6 months</w:t>
            </w:r>
          </w:p>
        </w:tc>
        <w:tc>
          <w:tcPr>
            <w:tcW w:w="241" w:type="pct"/>
          </w:tcPr>
          <w:p w14:paraId="589C83A9" w14:textId="77777777" w:rsidR="006B010E" w:rsidRDefault="006B010E" w:rsidP="006B010E">
            <w:pPr>
              <w:pStyle w:val="Table10ptalignedleft"/>
            </w:pPr>
            <w:r>
              <w:rPr>
                <w:szCs w:val="20"/>
              </w:rPr>
              <w:t>63.1</w:t>
            </w:r>
          </w:p>
        </w:tc>
        <w:tc>
          <w:tcPr>
            <w:tcW w:w="921" w:type="pct"/>
          </w:tcPr>
          <w:p w14:paraId="0773D266" w14:textId="77777777" w:rsidR="006B010E" w:rsidRPr="00F734B9" w:rsidRDefault="006B010E" w:rsidP="006B010E">
            <w:pPr>
              <w:pStyle w:val="Table10ptalignedleft"/>
              <w:rPr>
                <w:szCs w:val="20"/>
              </w:rPr>
            </w:pPr>
            <w:r>
              <w:rPr>
                <w:szCs w:val="20"/>
              </w:rPr>
              <w:t>Patients with type 2 diabetes ≥</w:t>
            </w:r>
            <w:r w:rsidRPr="00F734B9">
              <w:rPr>
                <w:szCs w:val="20"/>
              </w:rPr>
              <w:t>18 years</w:t>
            </w:r>
            <w:r>
              <w:rPr>
                <w:szCs w:val="20"/>
              </w:rPr>
              <w:t>; using oral antidiabetics; a</w:t>
            </w:r>
            <w:r w:rsidRPr="00F734B9">
              <w:rPr>
                <w:szCs w:val="20"/>
              </w:rPr>
              <w:t xml:space="preserve">dministered their </w:t>
            </w:r>
            <w:r>
              <w:rPr>
                <w:szCs w:val="20"/>
              </w:rPr>
              <w:t xml:space="preserve">own </w:t>
            </w:r>
            <w:r w:rsidRPr="00F734B9">
              <w:rPr>
                <w:szCs w:val="20"/>
              </w:rPr>
              <w:t xml:space="preserve">medication </w:t>
            </w:r>
          </w:p>
          <w:p w14:paraId="015B4B08" w14:textId="771BA10D" w:rsidR="006B010E" w:rsidRDefault="006B010E" w:rsidP="006B010E">
            <w:pPr>
              <w:pStyle w:val="Table10ptalignedleft"/>
            </w:pPr>
            <w:r>
              <w:rPr>
                <w:szCs w:val="20"/>
              </w:rPr>
              <w:t>(n=80 intervention (</w:t>
            </w:r>
            <w:r w:rsidR="00660443">
              <w:rPr>
                <w:szCs w:val="20"/>
              </w:rPr>
              <w:t>E</w:t>
            </w:r>
            <w:r>
              <w:rPr>
                <w:szCs w:val="20"/>
              </w:rPr>
              <w:t xml:space="preserve">xtended </w:t>
            </w:r>
            <w:r w:rsidR="00660443">
              <w:rPr>
                <w:szCs w:val="20"/>
              </w:rPr>
              <w:t>I</w:t>
            </w:r>
            <w:r>
              <w:rPr>
                <w:szCs w:val="20"/>
              </w:rPr>
              <w:t>ntervention n=41; basic intervention=39) /control 125)</w:t>
            </w:r>
          </w:p>
        </w:tc>
        <w:tc>
          <w:tcPr>
            <w:tcW w:w="1314" w:type="pct"/>
          </w:tcPr>
          <w:p w14:paraId="265A1952" w14:textId="77777777" w:rsidR="006B010E" w:rsidRDefault="006B010E" w:rsidP="006B010E">
            <w:pPr>
              <w:pStyle w:val="Table10ptalignedleft"/>
            </w:pPr>
            <w:r>
              <w:t>Community pharmacy based medication review (referred to an Extended Intervention (EI); n=41) provided by a pharmacist.  It included a medication review, BP measurements, identifications of DRPs, comprehensive interview, coaching and patient education aimed at controlling the patient’s diabetes</w:t>
            </w:r>
          </w:p>
        </w:tc>
        <w:tc>
          <w:tcPr>
            <w:tcW w:w="523" w:type="pct"/>
          </w:tcPr>
          <w:p w14:paraId="698A2718" w14:textId="77777777" w:rsidR="006B010E" w:rsidRDefault="006B010E" w:rsidP="006B010E">
            <w:pPr>
              <w:pStyle w:val="Table10ptalignedleft"/>
              <w:rPr>
                <w:lang w:val="en-US"/>
              </w:rPr>
            </w:pPr>
            <w:r w:rsidRPr="00156244">
              <w:rPr>
                <w:szCs w:val="20"/>
              </w:rPr>
              <w:t>Standard care</w:t>
            </w:r>
          </w:p>
        </w:tc>
        <w:tc>
          <w:tcPr>
            <w:tcW w:w="974" w:type="pct"/>
          </w:tcPr>
          <w:p w14:paraId="740AB3EC" w14:textId="77777777" w:rsidR="006B010E"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b</w:t>
            </w:r>
            <w:r w:rsidRPr="00B30895">
              <w:rPr>
                <w:rFonts w:eastAsiaTheme="minorHAnsi" w:cstheme="minorBidi"/>
                <w:sz w:val="18"/>
              </w:rPr>
              <w:t>lood pressure</w:t>
            </w:r>
          </w:p>
          <w:p w14:paraId="59A551FB" w14:textId="77777777" w:rsidR="006B010E" w:rsidRPr="00B30895"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blood sugar</w:t>
            </w:r>
          </w:p>
          <w:p w14:paraId="3646DDBB" w14:textId="77777777" w:rsidR="006B010E" w:rsidRPr="00B30895" w:rsidRDefault="006B010E" w:rsidP="006B010E">
            <w:pPr>
              <w:pStyle w:val="Table10ptbullet"/>
              <w:numPr>
                <w:ilvl w:val="0"/>
                <w:numId w:val="2"/>
              </w:numPr>
              <w:ind w:left="227" w:hanging="227"/>
              <w:rPr>
                <w:rFonts w:eastAsiaTheme="minorHAnsi" w:cstheme="minorBidi"/>
                <w:sz w:val="18"/>
              </w:rPr>
            </w:pPr>
            <w:r w:rsidRPr="00B30895">
              <w:rPr>
                <w:rFonts w:eastAsiaTheme="minorHAnsi" w:cstheme="minorBidi"/>
                <w:sz w:val="18"/>
              </w:rPr>
              <w:t>disease related knowledge</w:t>
            </w:r>
          </w:p>
          <w:p w14:paraId="57B516B7" w14:textId="77777777" w:rsidR="006B010E" w:rsidRPr="00B30895" w:rsidRDefault="006B010E" w:rsidP="006B010E">
            <w:pPr>
              <w:pStyle w:val="Table10ptbullet"/>
              <w:numPr>
                <w:ilvl w:val="0"/>
                <w:numId w:val="2"/>
              </w:numPr>
              <w:ind w:left="227" w:hanging="227"/>
              <w:rPr>
                <w:rFonts w:eastAsiaTheme="minorHAnsi" w:cstheme="minorBidi"/>
                <w:sz w:val="18"/>
              </w:rPr>
            </w:pPr>
            <w:r w:rsidRPr="00B30895">
              <w:rPr>
                <w:rFonts w:eastAsiaTheme="minorHAnsi" w:cstheme="minorBidi"/>
                <w:sz w:val="18"/>
              </w:rPr>
              <w:t>quality of life</w:t>
            </w:r>
            <w:r>
              <w:rPr>
                <w:rFonts w:eastAsiaTheme="minorHAnsi" w:cstheme="minorBidi"/>
                <w:sz w:val="18"/>
              </w:rPr>
              <w:t xml:space="preserve"> (EQ-5D)</w:t>
            </w:r>
          </w:p>
          <w:p w14:paraId="593544C5" w14:textId="77777777" w:rsidR="006B010E" w:rsidRPr="00AA6973" w:rsidRDefault="006B010E" w:rsidP="006B010E">
            <w:pPr>
              <w:pStyle w:val="Table10ptbullet"/>
              <w:numPr>
                <w:ilvl w:val="0"/>
                <w:numId w:val="2"/>
              </w:numPr>
              <w:ind w:left="227" w:hanging="227"/>
              <w:rPr>
                <w:rFonts w:eastAsiaTheme="minorHAnsi" w:cstheme="minorBidi"/>
                <w:sz w:val="18"/>
              </w:rPr>
            </w:pPr>
            <w:r w:rsidRPr="00B30895">
              <w:rPr>
                <w:rFonts w:eastAsiaTheme="minorHAnsi" w:cstheme="minorBidi"/>
                <w:sz w:val="18"/>
              </w:rPr>
              <w:t>patient satisfaction</w:t>
            </w:r>
            <w:r>
              <w:rPr>
                <w:rFonts w:eastAsiaTheme="minorHAnsi" w:cstheme="minorBidi"/>
                <w:sz w:val="18"/>
              </w:rPr>
              <w:t xml:space="preserve"> (patients reported satisfaction with pharmacy staff and not the intervention)</w:t>
            </w:r>
          </w:p>
        </w:tc>
      </w:tr>
    </w:tbl>
    <w:p w14:paraId="6CF7827E" w14:textId="168FE23C" w:rsidR="006B010E" w:rsidRDefault="006B010E" w:rsidP="008A2F5E">
      <w:pPr>
        <w:pStyle w:val="TableorFigurefootnote"/>
      </w:pPr>
      <w:r>
        <w:t>Abbreviations: BP, blood pressure; DRP, drug</w:t>
      </w:r>
      <w:r w:rsidR="0088796C">
        <w:t>-</w:t>
      </w:r>
      <w:r>
        <w:t xml:space="preserve">related problem; EI, Extended Intervention; </w:t>
      </w:r>
      <w:r w:rsidR="008A2F5E">
        <w:t xml:space="preserve">EQ-5D, EuroQol-5 dimensions; </w:t>
      </w:r>
      <w:r>
        <w:t>RCT, randomis</w:t>
      </w:r>
      <w:r w:rsidR="008A2F5E">
        <w:t>ed controlled trial</w:t>
      </w:r>
    </w:p>
    <w:p w14:paraId="1ADDBDF4" w14:textId="77777777" w:rsidR="008A2F5E" w:rsidRPr="008A2F5E" w:rsidRDefault="008A2F5E" w:rsidP="008A2F5E">
      <w:pPr>
        <w:pStyle w:val="BodyText"/>
      </w:pPr>
    </w:p>
    <w:p w14:paraId="6E55FFBA" w14:textId="4CA50E47" w:rsidR="006B010E" w:rsidRPr="00623AA1" w:rsidRDefault="006B010E" w:rsidP="006B010E">
      <w:pPr>
        <w:keepNext/>
        <w:spacing w:before="240" w:after="120"/>
        <w:jc w:val="center"/>
        <w:rPr>
          <w:rFonts w:ascii="Garamond" w:hAnsi="Garamond"/>
          <w:b/>
          <w:iCs/>
          <w:sz w:val="20"/>
          <w:szCs w:val="18"/>
        </w:rPr>
      </w:pPr>
      <w:r w:rsidRPr="00623AA1">
        <w:rPr>
          <w:rFonts w:ascii="Garamond" w:hAnsi="Garamond"/>
          <w:b/>
          <w:iCs/>
          <w:sz w:val="20"/>
          <w:szCs w:val="18"/>
        </w:rPr>
        <w:t xml:space="preserve">Table </w:t>
      </w:r>
      <w:r w:rsidR="0009681A">
        <w:rPr>
          <w:rFonts w:ascii="Garamond" w:hAnsi="Garamond"/>
          <w:b/>
          <w:iCs/>
          <w:sz w:val="20"/>
          <w:szCs w:val="18"/>
        </w:rPr>
        <w:fldChar w:fldCharType="begin"/>
      </w:r>
      <w:r w:rsidR="0009681A">
        <w:rPr>
          <w:rFonts w:ascii="Garamond" w:hAnsi="Garamond"/>
          <w:b/>
          <w:iCs/>
          <w:sz w:val="20"/>
          <w:szCs w:val="18"/>
        </w:rPr>
        <w:instrText xml:space="preserve"> STYLEREF 1 \s </w:instrText>
      </w:r>
      <w:r w:rsidR="0009681A">
        <w:rPr>
          <w:rFonts w:ascii="Garamond" w:hAnsi="Garamond"/>
          <w:b/>
          <w:iCs/>
          <w:sz w:val="20"/>
          <w:szCs w:val="18"/>
        </w:rPr>
        <w:fldChar w:fldCharType="separate"/>
      </w:r>
      <w:r w:rsidR="009047A7">
        <w:rPr>
          <w:rFonts w:ascii="Garamond" w:hAnsi="Garamond"/>
          <w:b/>
          <w:iCs/>
          <w:noProof/>
          <w:sz w:val="20"/>
          <w:szCs w:val="18"/>
        </w:rPr>
        <w:t>5</w:t>
      </w:r>
      <w:r w:rsidR="0009681A">
        <w:rPr>
          <w:rFonts w:ascii="Garamond" w:hAnsi="Garamond"/>
          <w:b/>
          <w:iCs/>
          <w:sz w:val="20"/>
          <w:szCs w:val="18"/>
        </w:rPr>
        <w:fldChar w:fldCharType="end"/>
      </w:r>
      <w:r w:rsidR="0009681A">
        <w:rPr>
          <w:rFonts w:ascii="Garamond" w:hAnsi="Garamond"/>
          <w:b/>
          <w:iCs/>
          <w:sz w:val="20"/>
          <w:szCs w:val="18"/>
        </w:rPr>
        <w:t>.</w:t>
      </w:r>
      <w:r w:rsidR="0009681A">
        <w:rPr>
          <w:rFonts w:ascii="Garamond" w:hAnsi="Garamond"/>
          <w:b/>
          <w:iCs/>
          <w:sz w:val="20"/>
          <w:szCs w:val="18"/>
        </w:rPr>
        <w:fldChar w:fldCharType="begin"/>
      </w:r>
      <w:r w:rsidR="0009681A">
        <w:rPr>
          <w:rFonts w:ascii="Garamond" w:hAnsi="Garamond"/>
          <w:b/>
          <w:iCs/>
          <w:sz w:val="20"/>
          <w:szCs w:val="18"/>
        </w:rPr>
        <w:instrText xml:space="preserve"> SEQ Table \* ARABIC \s 1 </w:instrText>
      </w:r>
      <w:r w:rsidR="0009681A">
        <w:rPr>
          <w:rFonts w:ascii="Garamond" w:hAnsi="Garamond"/>
          <w:b/>
          <w:iCs/>
          <w:sz w:val="20"/>
          <w:szCs w:val="18"/>
        </w:rPr>
        <w:fldChar w:fldCharType="separate"/>
      </w:r>
      <w:r w:rsidR="009047A7">
        <w:rPr>
          <w:rFonts w:ascii="Garamond" w:hAnsi="Garamond"/>
          <w:b/>
          <w:iCs/>
          <w:noProof/>
          <w:sz w:val="20"/>
          <w:szCs w:val="18"/>
        </w:rPr>
        <w:t>4</w:t>
      </w:r>
      <w:r w:rsidR="0009681A">
        <w:rPr>
          <w:rFonts w:ascii="Garamond" w:hAnsi="Garamond"/>
          <w:b/>
          <w:iCs/>
          <w:sz w:val="20"/>
          <w:szCs w:val="18"/>
        </w:rPr>
        <w:fldChar w:fldCharType="end"/>
      </w:r>
      <w:r w:rsidRPr="00623AA1">
        <w:rPr>
          <w:rFonts w:ascii="Garamond" w:hAnsi="Garamond"/>
          <w:b/>
          <w:iCs/>
          <w:sz w:val="20"/>
          <w:szCs w:val="18"/>
        </w:rPr>
        <w:t>: Summary of results of the inclu</w:t>
      </w:r>
      <w:r>
        <w:rPr>
          <w:rFonts w:ascii="Garamond" w:hAnsi="Garamond"/>
          <w:b/>
          <w:iCs/>
          <w:sz w:val="20"/>
          <w:szCs w:val="18"/>
        </w:rPr>
        <w:t>ded study</w:t>
      </w:r>
    </w:p>
    <w:tbl>
      <w:tblPr>
        <w:tblStyle w:val="TableGrid"/>
        <w:tblW w:w="0" w:type="auto"/>
        <w:tblLook w:val="04A0" w:firstRow="1" w:lastRow="0" w:firstColumn="1" w:lastColumn="0" w:noHBand="0" w:noVBand="1"/>
        <w:tblCaption w:val="Table 5.4"/>
        <w:tblDescription w:val="Summary of results of the included study"/>
      </w:tblPr>
      <w:tblGrid>
        <w:gridCol w:w="1227"/>
        <w:gridCol w:w="1792"/>
        <w:gridCol w:w="1967"/>
        <w:gridCol w:w="1416"/>
        <w:gridCol w:w="4390"/>
        <w:gridCol w:w="3768"/>
      </w:tblGrid>
      <w:tr w:rsidR="006B010E" w:rsidRPr="00623AA1" w14:paraId="60C9A9AB" w14:textId="77777777" w:rsidTr="006B010E">
        <w:trPr>
          <w:cnfStyle w:val="100000000000" w:firstRow="1" w:lastRow="0" w:firstColumn="0" w:lastColumn="0" w:oddVBand="0" w:evenVBand="0" w:oddHBand="0" w:evenHBand="0" w:firstRowFirstColumn="0" w:firstRowLastColumn="0" w:lastRowFirstColumn="0" w:lastRowLastColumn="0"/>
        </w:trPr>
        <w:tc>
          <w:tcPr>
            <w:tcW w:w="1227" w:type="dxa"/>
          </w:tcPr>
          <w:p w14:paraId="74406865" w14:textId="77777777" w:rsidR="006B010E" w:rsidRPr="00623AA1" w:rsidRDefault="006B010E" w:rsidP="006B010E">
            <w:pPr>
              <w:spacing w:after="0"/>
              <w:rPr>
                <w:b/>
                <w:snapToGrid w:val="0"/>
                <w:color w:val="FFFFFF"/>
                <w:sz w:val="20"/>
              </w:rPr>
            </w:pPr>
            <w:r w:rsidRPr="00623AA1">
              <w:rPr>
                <w:b/>
                <w:snapToGrid w:val="0"/>
                <w:color w:val="FFFFFF"/>
                <w:sz w:val="20"/>
              </w:rPr>
              <w:t>Study ID</w:t>
            </w:r>
          </w:p>
          <w:p w14:paraId="65F1E532" w14:textId="77777777" w:rsidR="006B010E" w:rsidRPr="00623AA1" w:rsidRDefault="006B010E" w:rsidP="006B010E">
            <w:pPr>
              <w:spacing w:after="0"/>
              <w:rPr>
                <w:b/>
                <w:color w:val="FFFFFF"/>
                <w:sz w:val="20"/>
              </w:rPr>
            </w:pPr>
            <w:r w:rsidRPr="00623AA1">
              <w:rPr>
                <w:b/>
                <w:snapToGrid w:val="0"/>
                <w:color w:val="FFFFFF"/>
                <w:sz w:val="20"/>
              </w:rPr>
              <w:t>Country</w:t>
            </w:r>
          </w:p>
        </w:tc>
        <w:tc>
          <w:tcPr>
            <w:tcW w:w="1792" w:type="dxa"/>
          </w:tcPr>
          <w:p w14:paraId="0BF2AEC5" w14:textId="77777777" w:rsidR="006B010E" w:rsidRPr="00623AA1" w:rsidRDefault="006B010E" w:rsidP="006B010E">
            <w:pPr>
              <w:spacing w:after="0"/>
              <w:rPr>
                <w:b/>
                <w:color w:val="FFFFFF"/>
                <w:sz w:val="20"/>
              </w:rPr>
            </w:pPr>
            <w:r w:rsidRPr="00623AA1">
              <w:rPr>
                <w:b/>
                <w:snapToGrid w:val="0"/>
                <w:color w:val="FFFFFF"/>
                <w:sz w:val="20"/>
              </w:rPr>
              <w:t>Study design/ duration</w:t>
            </w:r>
          </w:p>
        </w:tc>
        <w:tc>
          <w:tcPr>
            <w:tcW w:w="1967" w:type="dxa"/>
          </w:tcPr>
          <w:p w14:paraId="78277BDA" w14:textId="77777777" w:rsidR="006B010E" w:rsidRPr="00623AA1" w:rsidRDefault="006B010E" w:rsidP="006B010E">
            <w:pPr>
              <w:spacing w:after="0"/>
              <w:rPr>
                <w:b/>
                <w:color w:val="FFFFFF"/>
                <w:sz w:val="20"/>
              </w:rPr>
            </w:pPr>
            <w:r w:rsidRPr="00623AA1">
              <w:rPr>
                <w:b/>
                <w:snapToGrid w:val="0"/>
                <w:color w:val="FFFFFF"/>
                <w:sz w:val="20"/>
              </w:rPr>
              <w:t>Population</w:t>
            </w:r>
          </w:p>
        </w:tc>
        <w:tc>
          <w:tcPr>
            <w:tcW w:w="1416" w:type="dxa"/>
          </w:tcPr>
          <w:p w14:paraId="1DC7548E" w14:textId="77777777" w:rsidR="006B010E" w:rsidRPr="00623AA1" w:rsidRDefault="006B010E" w:rsidP="006B010E">
            <w:pPr>
              <w:spacing w:after="0"/>
              <w:rPr>
                <w:b/>
                <w:color w:val="FFFFFF"/>
                <w:sz w:val="20"/>
              </w:rPr>
            </w:pPr>
            <w:r w:rsidRPr="00623AA1">
              <w:rPr>
                <w:b/>
                <w:snapToGrid w:val="0"/>
                <w:color w:val="FFFFFF"/>
                <w:sz w:val="20"/>
              </w:rPr>
              <w:t>Relevant comparison</w:t>
            </w:r>
          </w:p>
        </w:tc>
        <w:tc>
          <w:tcPr>
            <w:tcW w:w="4390" w:type="dxa"/>
          </w:tcPr>
          <w:p w14:paraId="030396E5" w14:textId="77777777" w:rsidR="006B010E" w:rsidRPr="00623AA1" w:rsidRDefault="006B010E" w:rsidP="006B010E">
            <w:pPr>
              <w:spacing w:after="0"/>
              <w:rPr>
                <w:b/>
                <w:color w:val="FFFFFF"/>
                <w:sz w:val="20"/>
              </w:rPr>
            </w:pPr>
            <w:r w:rsidRPr="00623AA1">
              <w:rPr>
                <w:b/>
                <w:snapToGrid w:val="0"/>
                <w:color w:val="FFFFFF"/>
                <w:sz w:val="20"/>
              </w:rPr>
              <w:t>Effect</w:t>
            </w:r>
          </w:p>
        </w:tc>
        <w:tc>
          <w:tcPr>
            <w:tcW w:w="3768" w:type="dxa"/>
          </w:tcPr>
          <w:p w14:paraId="3BC0715C" w14:textId="77777777" w:rsidR="006B010E" w:rsidRPr="00623AA1" w:rsidRDefault="006B010E" w:rsidP="006B010E">
            <w:pPr>
              <w:spacing w:after="0"/>
              <w:rPr>
                <w:b/>
                <w:color w:val="FFFFFF"/>
                <w:sz w:val="20"/>
              </w:rPr>
            </w:pPr>
            <w:r w:rsidRPr="00623AA1">
              <w:rPr>
                <w:b/>
                <w:snapToGrid w:val="0"/>
                <w:color w:val="FFFFFF"/>
                <w:sz w:val="20"/>
              </w:rPr>
              <w:t>Authors’ conclusions</w:t>
            </w:r>
          </w:p>
        </w:tc>
      </w:tr>
      <w:tr w:rsidR="006B010E" w:rsidRPr="00623AA1" w14:paraId="452B9ED5" w14:textId="77777777" w:rsidTr="006B010E">
        <w:tc>
          <w:tcPr>
            <w:tcW w:w="1227" w:type="dxa"/>
          </w:tcPr>
          <w:p w14:paraId="337EEE65" w14:textId="77777777" w:rsidR="006B010E" w:rsidRDefault="006B010E" w:rsidP="006B010E">
            <w:pPr>
              <w:pStyle w:val="Table10ptalignedleft"/>
            </w:pPr>
            <w:r>
              <w:t>Kjeldsen (2015)</w:t>
            </w:r>
          </w:p>
          <w:p w14:paraId="278C7A66" w14:textId="77777777" w:rsidR="006B010E" w:rsidRPr="0077558A" w:rsidRDefault="006B010E" w:rsidP="006B010E">
            <w:pPr>
              <w:pStyle w:val="Table10ptalignedleft"/>
              <w:rPr>
                <w:highlight w:val="yellow"/>
              </w:rPr>
            </w:pPr>
            <w:r>
              <w:t>Denmark</w:t>
            </w:r>
          </w:p>
        </w:tc>
        <w:tc>
          <w:tcPr>
            <w:tcW w:w="1792" w:type="dxa"/>
          </w:tcPr>
          <w:p w14:paraId="53406F7F" w14:textId="77777777" w:rsidR="006B010E" w:rsidRDefault="006B010E" w:rsidP="006B010E">
            <w:pPr>
              <w:pStyle w:val="Table10ptalignedleft"/>
              <w:rPr>
                <w:szCs w:val="20"/>
              </w:rPr>
            </w:pPr>
            <w:r w:rsidRPr="002F3067">
              <w:rPr>
                <w:szCs w:val="20"/>
              </w:rPr>
              <w:t>RCT</w:t>
            </w:r>
          </w:p>
          <w:p w14:paraId="6A02502C" w14:textId="77777777" w:rsidR="006B010E" w:rsidRDefault="006B010E" w:rsidP="006B010E">
            <w:pPr>
              <w:pStyle w:val="Table10ptalignedleft"/>
              <w:rPr>
                <w:szCs w:val="20"/>
              </w:rPr>
            </w:pPr>
            <w:r>
              <w:rPr>
                <w:szCs w:val="20"/>
              </w:rPr>
              <w:t>N= 205 (5 pharmacies)</w:t>
            </w:r>
          </w:p>
          <w:p w14:paraId="75CA9D8B" w14:textId="77777777" w:rsidR="006B010E" w:rsidRPr="0077558A" w:rsidRDefault="006B010E" w:rsidP="006B010E">
            <w:pPr>
              <w:pStyle w:val="Table10ptalignedleft"/>
              <w:rPr>
                <w:highlight w:val="yellow"/>
              </w:rPr>
            </w:pPr>
            <w:r>
              <w:rPr>
                <w:szCs w:val="20"/>
              </w:rPr>
              <w:t>6 months</w:t>
            </w:r>
          </w:p>
        </w:tc>
        <w:tc>
          <w:tcPr>
            <w:tcW w:w="1967" w:type="dxa"/>
          </w:tcPr>
          <w:p w14:paraId="790ADD78" w14:textId="77777777" w:rsidR="006B010E" w:rsidRDefault="006B010E" w:rsidP="006B010E">
            <w:pPr>
              <w:pStyle w:val="Table10ptalignedleft"/>
            </w:pPr>
            <w:r>
              <w:t xml:space="preserve">Patients with type 2 diabetes ≥18 years; using oral antidiabetics; administered their own medication </w:t>
            </w:r>
          </w:p>
          <w:p w14:paraId="30DF4E17" w14:textId="439ED6EC" w:rsidR="006B010E" w:rsidRPr="0077558A" w:rsidRDefault="006B010E" w:rsidP="00FD3850">
            <w:pPr>
              <w:pStyle w:val="Table10ptalignedleft"/>
              <w:rPr>
                <w:highlight w:val="yellow"/>
              </w:rPr>
            </w:pPr>
            <w:r>
              <w:t>(n=4</w:t>
            </w:r>
            <w:r w:rsidR="00FD3850">
              <w:t xml:space="preserve">1 Extended  intervention/control </w:t>
            </w:r>
            <w:r>
              <w:t>125</w:t>
            </w:r>
            <w:r w:rsidR="00FD3850">
              <w:t>)</w:t>
            </w:r>
          </w:p>
        </w:tc>
        <w:tc>
          <w:tcPr>
            <w:tcW w:w="1416" w:type="dxa"/>
          </w:tcPr>
          <w:p w14:paraId="01C387D3" w14:textId="77777777" w:rsidR="006B010E" w:rsidRPr="00A75B2D" w:rsidRDefault="006B010E" w:rsidP="006B010E">
            <w:pPr>
              <w:pStyle w:val="Table10ptalignedleft"/>
            </w:pPr>
            <w:r>
              <w:t>Community pharmacy based medication review vs standard care</w:t>
            </w:r>
          </w:p>
        </w:tc>
        <w:tc>
          <w:tcPr>
            <w:tcW w:w="4390" w:type="dxa"/>
          </w:tcPr>
          <w:p w14:paraId="453E575C" w14:textId="77777777" w:rsidR="006B010E" w:rsidRDefault="006B010E" w:rsidP="006B010E">
            <w:pPr>
              <w:pStyle w:val="Table10ptalignedleft"/>
            </w:pPr>
            <w:r>
              <w:t>Clinical outcomes</w:t>
            </w:r>
          </w:p>
          <w:p w14:paraId="03AA36A0" w14:textId="77777777" w:rsidR="006B010E" w:rsidRPr="00874737" w:rsidRDefault="006B010E" w:rsidP="006B010E">
            <w:pPr>
              <w:pStyle w:val="Table10ptbullet"/>
              <w:numPr>
                <w:ilvl w:val="0"/>
                <w:numId w:val="2"/>
              </w:numPr>
              <w:ind w:left="227" w:hanging="227"/>
              <w:rPr>
                <w:rFonts w:eastAsiaTheme="minorHAnsi" w:cstheme="minorBidi"/>
                <w:sz w:val="18"/>
              </w:rPr>
            </w:pPr>
            <w:r w:rsidRPr="00874737">
              <w:rPr>
                <w:rFonts w:eastAsiaTheme="minorHAnsi" w:cstheme="minorBidi"/>
                <w:sz w:val="18"/>
              </w:rPr>
              <w:t>BP: significant reduction in systolic blood pressure (mean difference between groups not reported; p=0.02)</w:t>
            </w:r>
          </w:p>
          <w:p w14:paraId="33FE4635" w14:textId="77777777" w:rsidR="006B010E" w:rsidRPr="00874737"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b</w:t>
            </w:r>
            <w:r w:rsidRPr="00874737">
              <w:rPr>
                <w:rFonts w:eastAsiaTheme="minorHAnsi" w:cstheme="minorBidi"/>
                <w:sz w:val="18"/>
              </w:rPr>
              <w:t>lood glucose levels: no significant changes between groups</w:t>
            </w:r>
          </w:p>
          <w:p w14:paraId="3CD82DEE" w14:textId="77777777" w:rsidR="006B010E" w:rsidRPr="00874737" w:rsidRDefault="006B010E" w:rsidP="006B010E">
            <w:pPr>
              <w:pStyle w:val="Table10ptalignedleft"/>
            </w:pPr>
            <w:r w:rsidRPr="00874737">
              <w:t>Health care resource use</w:t>
            </w:r>
          </w:p>
          <w:p w14:paraId="4C66D2A9" w14:textId="77777777" w:rsidR="006B010E" w:rsidRPr="00874737" w:rsidRDefault="006B010E" w:rsidP="006B010E">
            <w:pPr>
              <w:pStyle w:val="Table10ptbullet"/>
              <w:numPr>
                <w:ilvl w:val="0"/>
                <w:numId w:val="2"/>
              </w:numPr>
              <w:ind w:left="227" w:hanging="227"/>
              <w:rPr>
                <w:rFonts w:eastAsiaTheme="minorHAnsi" w:cstheme="minorBidi"/>
                <w:sz w:val="18"/>
              </w:rPr>
            </w:pPr>
            <w:r w:rsidRPr="00874737">
              <w:rPr>
                <w:rFonts w:eastAsiaTheme="minorHAnsi" w:cstheme="minorBidi"/>
                <w:sz w:val="18"/>
              </w:rPr>
              <w:t>no significant differences between groups in hospital admissions (p=0.905) or in doctor visits (p=0.834)</w:t>
            </w:r>
          </w:p>
          <w:p w14:paraId="1FAC7703" w14:textId="77777777" w:rsidR="006B010E" w:rsidRPr="00874737" w:rsidRDefault="006B010E" w:rsidP="006B010E">
            <w:pPr>
              <w:pStyle w:val="Table10ptalignedleft"/>
            </w:pPr>
            <w:r w:rsidRPr="00874737">
              <w:t>Drug burden</w:t>
            </w:r>
          </w:p>
          <w:p w14:paraId="365E6ADC" w14:textId="77777777" w:rsidR="006B010E" w:rsidRPr="00874737" w:rsidRDefault="006B010E" w:rsidP="006B010E">
            <w:pPr>
              <w:pStyle w:val="Table10ptbullet"/>
              <w:numPr>
                <w:ilvl w:val="0"/>
                <w:numId w:val="2"/>
              </w:numPr>
              <w:ind w:left="227" w:hanging="227"/>
              <w:rPr>
                <w:rFonts w:eastAsiaTheme="minorHAnsi" w:cstheme="minorBidi"/>
                <w:sz w:val="18"/>
              </w:rPr>
            </w:pPr>
            <w:r>
              <w:rPr>
                <w:rFonts w:eastAsiaTheme="minorHAnsi" w:cstheme="minorBidi"/>
                <w:sz w:val="18"/>
              </w:rPr>
              <w:t>n</w:t>
            </w:r>
            <w:r w:rsidRPr="00874737">
              <w:rPr>
                <w:rFonts w:eastAsiaTheme="minorHAnsi" w:cstheme="minorBidi"/>
                <w:sz w:val="18"/>
              </w:rPr>
              <w:t xml:space="preserve">o significant </w:t>
            </w:r>
            <w:r>
              <w:rPr>
                <w:rFonts w:eastAsiaTheme="minorHAnsi" w:cstheme="minorBidi"/>
                <w:sz w:val="18"/>
              </w:rPr>
              <w:t>differences</w:t>
            </w:r>
            <w:r w:rsidRPr="00874737">
              <w:rPr>
                <w:rFonts w:eastAsiaTheme="minorHAnsi" w:cstheme="minorBidi"/>
                <w:sz w:val="18"/>
              </w:rPr>
              <w:t xml:space="preserve"> in number of medications between groups (p=0.212)</w:t>
            </w:r>
          </w:p>
          <w:p w14:paraId="5F36394F" w14:textId="77777777" w:rsidR="006B010E" w:rsidRPr="00874737" w:rsidRDefault="006B010E" w:rsidP="006B010E">
            <w:pPr>
              <w:pStyle w:val="Table10ptalignedleft"/>
            </w:pPr>
            <w:r w:rsidRPr="00874737">
              <w:t>QoL</w:t>
            </w:r>
          </w:p>
          <w:p w14:paraId="3E417F2A" w14:textId="77777777" w:rsidR="006B010E" w:rsidRPr="00F94D9C" w:rsidRDefault="006B010E" w:rsidP="006B010E">
            <w:pPr>
              <w:pStyle w:val="Table10ptbullet"/>
              <w:numPr>
                <w:ilvl w:val="0"/>
                <w:numId w:val="2"/>
              </w:numPr>
              <w:ind w:left="227" w:hanging="227"/>
            </w:pPr>
            <w:r w:rsidRPr="00874737">
              <w:rPr>
                <w:rFonts w:eastAsiaTheme="minorHAnsi" w:cstheme="minorBidi"/>
                <w:sz w:val="18"/>
              </w:rPr>
              <w:t xml:space="preserve">No SS </w:t>
            </w:r>
            <w:r>
              <w:rPr>
                <w:rFonts w:eastAsiaTheme="minorHAnsi" w:cstheme="minorBidi"/>
                <w:sz w:val="18"/>
              </w:rPr>
              <w:t>differences</w:t>
            </w:r>
            <w:r w:rsidRPr="00874737">
              <w:rPr>
                <w:rFonts w:eastAsiaTheme="minorHAnsi" w:cstheme="minorBidi"/>
                <w:sz w:val="18"/>
              </w:rPr>
              <w:t xml:space="preserve"> between groups (p=0.084)</w:t>
            </w:r>
          </w:p>
        </w:tc>
        <w:tc>
          <w:tcPr>
            <w:tcW w:w="3768" w:type="dxa"/>
          </w:tcPr>
          <w:p w14:paraId="71B84493" w14:textId="380C1D84" w:rsidR="006B010E" w:rsidRPr="00A75B2D" w:rsidRDefault="006B010E" w:rsidP="00FD3850">
            <w:pPr>
              <w:spacing w:after="0"/>
              <w:rPr>
                <w:sz w:val="20"/>
              </w:rPr>
            </w:pPr>
            <w:r>
              <w:rPr>
                <w:sz w:val="20"/>
              </w:rPr>
              <w:t>A community pharmacy based medication review targeting patients with type 2 diabetes resulted in</w:t>
            </w:r>
            <w:r>
              <w:t xml:space="preserve"> a </w:t>
            </w:r>
            <w:r w:rsidRPr="009B2620">
              <w:rPr>
                <w:sz w:val="20"/>
              </w:rPr>
              <w:t>significant improvement in</w:t>
            </w:r>
            <w:r>
              <w:rPr>
                <w:sz w:val="20"/>
              </w:rPr>
              <w:t xml:space="preserve"> blood pressure.  However, there was </w:t>
            </w:r>
            <w:r w:rsidRPr="00874737">
              <w:rPr>
                <w:sz w:val="20"/>
              </w:rPr>
              <w:t xml:space="preserve">no significant effect on blood glucose levels, hospital admissions, GP visits, drug burden, or quality of life  </w:t>
            </w:r>
          </w:p>
        </w:tc>
      </w:tr>
    </w:tbl>
    <w:p w14:paraId="35792CB8" w14:textId="3A5764D2" w:rsidR="006B010E" w:rsidRDefault="006B010E" w:rsidP="006B010E">
      <w:pPr>
        <w:pStyle w:val="TableorFigurefootnote"/>
      </w:pPr>
      <w:r>
        <w:t xml:space="preserve">Abbreviations: </w:t>
      </w:r>
      <w:r w:rsidR="008A2F5E">
        <w:t xml:space="preserve">GP, general practitioner; QoL, quality of life; </w:t>
      </w:r>
      <w:r>
        <w:t xml:space="preserve">RCT, randomised controlled trial; </w:t>
      </w:r>
      <w:r w:rsidR="008A2F5E">
        <w:t xml:space="preserve">SS, statistically significant; </w:t>
      </w:r>
      <w:r>
        <w:t>vs, versus</w:t>
      </w:r>
    </w:p>
    <w:p w14:paraId="04B5526F" w14:textId="77777777" w:rsidR="006B010E" w:rsidRDefault="006B010E" w:rsidP="006B010E">
      <w:pPr>
        <w:pStyle w:val="BodyText"/>
      </w:pPr>
    </w:p>
    <w:p w14:paraId="3B2819A8" w14:textId="77777777" w:rsidR="006B010E" w:rsidRDefault="006B010E" w:rsidP="006B010E">
      <w:pPr>
        <w:pStyle w:val="BodyText"/>
        <w:sectPr w:rsidR="006B010E" w:rsidSect="006B010E">
          <w:pgSz w:w="16838" w:h="11906" w:orient="landscape" w:code="9"/>
          <w:pgMar w:top="1134" w:right="1134" w:bottom="1134" w:left="1134" w:header="680" w:footer="680" w:gutter="0"/>
          <w:cols w:space="708"/>
          <w:docGrid w:linePitch="360"/>
        </w:sectPr>
      </w:pPr>
    </w:p>
    <w:p w14:paraId="0C6D17C1" w14:textId="23CA50B8" w:rsidR="006B010E" w:rsidRDefault="006B010E" w:rsidP="006B010E">
      <w:pPr>
        <w:pStyle w:val="BodyText"/>
      </w:pPr>
      <w:r>
        <w:lastRenderedPageBreak/>
        <w:t xml:space="preserve">The RCT by </w:t>
      </w:r>
      <w:r w:rsidRPr="009C7A9A">
        <w:t>Kjeldsen (2015)</w:t>
      </w:r>
      <w:r>
        <w:t xml:space="preserve"> evaluated the effect of a community pharmacy based medication review </w:t>
      </w:r>
      <w:r w:rsidRPr="009C7A9A">
        <w:t>fo</w:t>
      </w:r>
      <w:r>
        <w:t xml:space="preserve">r patients with type 2 diabetes.  </w:t>
      </w:r>
      <w:r w:rsidRPr="009C7A9A">
        <w:t xml:space="preserve">A total of </w:t>
      </w:r>
      <w:r>
        <w:t>41</w:t>
      </w:r>
      <w:r w:rsidRPr="009C7A9A">
        <w:t xml:space="preserve"> intervention patients </w:t>
      </w:r>
      <w:r>
        <w:t>(referred to as an Extended Intervention) and 125</w:t>
      </w:r>
      <w:r w:rsidRPr="009C7A9A">
        <w:t xml:space="preserve"> control patients were recruited</w:t>
      </w:r>
      <w:r>
        <w:t xml:space="preserve"> (a third group of 39 patients received a </w:t>
      </w:r>
      <w:r w:rsidR="00660443">
        <w:t>b</w:t>
      </w:r>
      <w:r>
        <w:t xml:space="preserve">asic </w:t>
      </w:r>
      <w:r w:rsidR="00660443">
        <w:t>i</w:t>
      </w:r>
      <w:r>
        <w:t>ntervention performed by a pharmaconomist</w:t>
      </w:r>
      <w:r>
        <w:rPr>
          <w:rStyle w:val="FootnoteReference"/>
        </w:rPr>
        <w:footnoteReference w:id="13"/>
      </w:r>
      <w:r>
        <w:t xml:space="preserve"> and thus excluded from further discussion in this Report)</w:t>
      </w:r>
      <w:r w:rsidRPr="009C7A9A">
        <w:t xml:space="preserve">.  The intervention </w:t>
      </w:r>
      <w:r>
        <w:t xml:space="preserve">was done in collaboration with the patient, and </w:t>
      </w:r>
      <w:r w:rsidRPr="009C7A9A">
        <w:t xml:space="preserve">comprised a community pharmacy based medication review aimed at identifying DRPs </w:t>
      </w:r>
      <w:r>
        <w:t>as well as issues experienced by the patient in relation to medicines use, and consequently find individually tailored solutions to address the identified problems.  A check of the patient’s medication profile, a blood sugar measurement and blood pressure measurement was also performed as part of the intervention.</w:t>
      </w:r>
      <w:r w:rsidRPr="002B226A">
        <w:t xml:space="preserve"> </w:t>
      </w:r>
      <w:r>
        <w:t xml:space="preserve"> The patients’ GPs were informed about the program content and contacted whenever necessary.  </w:t>
      </w:r>
      <w:r w:rsidRPr="009C7A9A">
        <w:t xml:space="preserve">Study </w:t>
      </w:r>
      <w:r>
        <w:t xml:space="preserve">outcome measures </w:t>
      </w:r>
      <w:r w:rsidRPr="009C7A9A">
        <w:t xml:space="preserve">included </w:t>
      </w:r>
      <w:r>
        <w:t>blood pressure, blood sugar, quality of life</w:t>
      </w:r>
      <w:r w:rsidRPr="009C7A9A">
        <w:t xml:space="preserve">, </w:t>
      </w:r>
      <w:r>
        <w:t xml:space="preserve">patients’ knowledge about diabetes and treatment of the disease, perceived concordance, hospital admissions </w:t>
      </w:r>
      <w:r w:rsidRPr="009C7A9A">
        <w:t xml:space="preserve">and patient satisfaction.  </w:t>
      </w:r>
      <w:r>
        <w:t>DRPs were identified among 90% of the patients. Problems with lack of knowledge about medication and treatment were reported for 54% of the patients in the intervention group.</w:t>
      </w:r>
    </w:p>
    <w:p w14:paraId="5034F2CC" w14:textId="77777777" w:rsidR="006B010E" w:rsidRDefault="006B010E" w:rsidP="006B010E">
      <w:pPr>
        <w:pStyle w:val="Heading3"/>
      </w:pPr>
      <w:r>
        <w:t>Clinical outcomes</w:t>
      </w:r>
    </w:p>
    <w:p w14:paraId="1A5351FB" w14:textId="77777777" w:rsidR="006B010E" w:rsidRPr="002944E9" w:rsidRDefault="006B010E" w:rsidP="006B010E">
      <w:pPr>
        <w:pStyle w:val="BodyText"/>
        <w:rPr>
          <w:b/>
          <w:i/>
        </w:rPr>
      </w:pPr>
      <w:r w:rsidRPr="002944E9">
        <w:rPr>
          <w:b/>
          <w:i/>
        </w:rPr>
        <w:t>Blood pressure</w:t>
      </w:r>
    </w:p>
    <w:p w14:paraId="097CC3CF" w14:textId="77777777" w:rsidR="006B010E" w:rsidRDefault="006B010E" w:rsidP="006B010E">
      <w:pPr>
        <w:pStyle w:val="BodyText"/>
      </w:pPr>
      <w:r>
        <w:t>The RCT by Kjeldsen et al (2015) reported a significant reduction in systolic blood pressure for patients in the (Extended) intervention group compared with the control group (mean difference not reported; p=0.02).  The study reported that there was a significant decrease (-13.9 mm Hg; p&lt;</w:t>
      </w:r>
      <w:r w:rsidRPr="00695F7D">
        <w:t>0.001)</w:t>
      </w:r>
      <w:r>
        <w:t>) in systolic blood pressure measured in the (Extended) intervention group during the consultations (at the first and last consultations) in the pharmacy.</w:t>
      </w:r>
    </w:p>
    <w:p w14:paraId="12708377" w14:textId="77777777" w:rsidR="006B010E" w:rsidRPr="002944E9" w:rsidRDefault="006B010E" w:rsidP="006B010E">
      <w:pPr>
        <w:pStyle w:val="BodyText"/>
        <w:rPr>
          <w:b/>
          <w:i/>
        </w:rPr>
      </w:pPr>
      <w:r w:rsidRPr="002944E9">
        <w:rPr>
          <w:b/>
          <w:i/>
        </w:rPr>
        <w:t>Blood glucose levels</w:t>
      </w:r>
    </w:p>
    <w:p w14:paraId="0170269B" w14:textId="77777777" w:rsidR="006B010E" w:rsidRDefault="006B010E" w:rsidP="006B010E">
      <w:pPr>
        <w:pStyle w:val="BodyText"/>
      </w:pPr>
      <w:r>
        <w:t xml:space="preserve">The RCT by Kjeldsen et al (2015) measured blood glucose levels during the trial at the pharmacy and found a nonsignificant reduction in the intervention group. </w:t>
      </w:r>
    </w:p>
    <w:p w14:paraId="4685A887" w14:textId="77777777" w:rsidR="006B010E" w:rsidRDefault="006B010E" w:rsidP="006B010E">
      <w:pPr>
        <w:pStyle w:val="Heading3"/>
      </w:pPr>
      <w:r>
        <w:t xml:space="preserve">Health care resource use </w:t>
      </w:r>
    </w:p>
    <w:p w14:paraId="109F20EF" w14:textId="77777777" w:rsidR="006B010E" w:rsidRDefault="006B010E" w:rsidP="006B010E">
      <w:pPr>
        <w:pStyle w:val="BodyText"/>
      </w:pPr>
      <w:r>
        <w:t>The RCT by Kjeldsen et al (2015) found no significant differences between the intervention and control group in hospital admissions (p=0.905) or in doctor visits (p=0.834).  The authors noted that hospital admissions were rather infrequent in the study’s cohort of type 2 diabetes, hence detection of a significant difference would require a larger sample size.  Study participants also visited their GPs frequently for monitoring of their diabetes also making it difficult to detect a significant change in this outcome.</w:t>
      </w:r>
    </w:p>
    <w:p w14:paraId="43BF2041" w14:textId="77777777" w:rsidR="006B010E" w:rsidRDefault="006B010E" w:rsidP="006B010E">
      <w:pPr>
        <w:pStyle w:val="Heading3"/>
      </w:pPr>
      <w:r>
        <w:t>Drug burden</w:t>
      </w:r>
    </w:p>
    <w:p w14:paraId="164536A2" w14:textId="77777777" w:rsidR="006B010E" w:rsidRPr="00B95074" w:rsidRDefault="006B010E" w:rsidP="006B010E">
      <w:pPr>
        <w:pStyle w:val="BodyText"/>
      </w:pPr>
      <w:r w:rsidRPr="00B95074">
        <w:t xml:space="preserve">The RCT by Kjeldsen et al (2015) </w:t>
      </w:r>
      <w:r>
        <w:t>found no significant change in the number of medications between the intervention and control groups during the trial (p=0.212)</w:t>
      </w:r>
    </w:p>
    <w:p w14:paraId="784D903B" w14:textId="77777777" w:rsidR="006B010E" w:rsidRDefault="006B010E" w:rsidP="006B010E">
      <w:pPr>
        <w:pStyle w:val="Heading3"/>
      </w:pPr>
      <w:r>
        <w:t>Quality of life</w:t>
      </w:r>
    </w:p>
    <w:p w14:paraId="52A32E27" w14:textId="77777777" w:rsidR="006B010E" w:rsidRDefault="006B010E" w:rsidP="006B010E">
      <w:pPr>
        <w:pStyle w:val="BodyText"/>
      </w:pPr>
      <w:r w:rsidRPr="00695F7D">
        <w:t>The RCT by</w:t>
      </w:r>
      <w:r>
        <w:t xml:space="preserve"> Kjeldsen et al (2015) found no significant difference in quality of life in the intervention group when compared with the control group (p=0.084).</w:t>
      </w:r>
    </w:p>
    <w:p w14:paraId="592E7EC9" w14:textId="77777777" w:rsidR="006B010E" w:rsidRDefault="006B010E" w:rsidP="006B010E">
      <w:pPr>
        <w:pStyle w:val="Heading3"/>
      </w:pPr>
      <w:r>
        <w:lastRenderedPageBreak/>
        <w:t>Patient satisfaction</w:t>
      </w:r>
    </w:p>
    <w:p w14:paraId="67C2BF15" w14:textId="77777777" w:rsidR="006B010E" w:rsidRDefault="006B010E" w:rsidP="006B010E">
      <w:pPr>
        <w:pStyle w:val="BodyText"/>
      </w:pPr>
      <w:r w:rsidRPr="00A235E0">
        <w:t>The RCT by Kjeldsen et al (2015)</w:t>
      </w:r>
      <w:r>
        <w:t xml:space="preserve"> reported on patient satisfaction with the pharmacy staff, with no evaluation of patients’ satisfaction with the actual medication review service provided by the pharmacist.</w:t>
      </w:r>
    </w:p>
    <w:p w14:paraId="35296F35" w14:textId="77777777" w:rsidR="006B010E" w:rsidRPr="00B822B1" w:rsidRDefault="006B010E" w:rsidP="006B010E">
      <w:pPr>
        <w:pStyle w:val="BodyText"/>
        <w:rPr>
          <w:i/>
        </w:rPr>
      </w:pPr>
      <w:r w:rsidRPr="00B33354">
        <w:rPr>
          <w:b/>
        </w:rPr>
        <w:t>Findings</w:t>
      </w:r>
      <w:r>
        <w:t xml:space="preserve">:  </w:t>
      </w:r>
      <w:r w:rsidRPr="00B822B1">
        <w:rPr>
          <w:i/>
        </w:rPr>
        <w:t>There is insufficient evidence evaluating the effect of a community pharmacy based medication review targeting patients with type 2 diabetes on patients’ outcomes.  A single small RCT found no significant effect on blood glucose levels, hospital admissions, GP visits, drug burden, or quality of life.  However, a significant improvement in blood pressure</w:t>
      </w:r>
      <w:r>
        <w:rPr>
          <w:i/>
        </w:rPr>
        <w:t xml:space="preserve"> was demonstrated.  T</w:t>
      </w:r>
      <w:r w:rsidRPr="00B822B1">
        <w:rPr>
          <w:i/>
        </w:rPr>
        <w:t>his stud</w:t>
      </w:r>
      <w:r>
        <w:rPr>
          <w:i/>
        </w:rPr>
        <w:t>y is limited by its sample size, and thus a</w:t>
      </w:r>
      <w:r w:rsidRPr="00B822B1">
        <w:rPr>
          <w:i/>
        </w:rPr>
        <w:t xml:space="preserve"> </w:t>
      </w:r>
      <w:r>
        <w:rPr>
          <w:i/>
        </w:rPr>
        <w:t>larger cohort of patients is required to demonstrate a significant effect on</w:t>
      </w:r>
      <w:r w:rsidRPr="00B822B1">
        <w:rPr>
          <w:i/>
        </w:rPr>
        <w:t xml:space="preserve"> outcome measures</w:t>
      </w:r>
      <w:r>
        <w:rPr>
          <w:i/>
        </w:rPr>
        <w:t xml:space="preserve"> such as hospitalisations and quality of life.</w:t>
      </w:r>
      <w:r w:rsidRPr="00B822B1">
        <w:t xml:space="preserve"> </w:t>
      </w:r>
      <w:r w:rsidRPr="00B822B1">
        <w:rPr>
          <w:i/>
        </w:rPr>
        <w:t>Additionally, the follow</w:t>
      </w:r>
      <w:r>
        <w:rPr>
          <w:i/>
        </w:rPr>
        <w:t xml:space="preserve">-up </w:t>
      </w:r>
      <w:r w:rsidRPr="00B822B1">
        <w:rPr>
          <w:i/>
        </w:rPr>
        <w:t>period was only half a year</w:t>
      </w:r>
      <w:r>
        <w:rPr>
          <w:i/>
        </w:rPr>
        <w:t xml:space="preserve">, and a </w:t>
      </w:r>
      <w:r w:rsidRPr="00B822B1">
        <w:rPr>
          <w:i/>
        </w:rPr>
        <w:t>longer follow-u</w:t>
      </w:r>
      <w:r>
        <w:rPr>
          <w:i/>
        </w:rPr>
        <w:t xml:space="preserve">p period may be needed in order to detect larger </w:t>
      </w:r>
      <w:r w:rsidRPr="00B822B1">
        <w:rPr>
          <w:i/>
        </w:rPr>
        <w:t>differences between the groups</w:t>
      </w:r>
      <w:r>
        <w:rPr>
          <w:i/>
        </w:rPr>
        <w:t>.</w:t>
      </w:r>
    </w:p>
    <w:p w14:paraId="5ABEAF59" w14:textId="77777777" w:rsidR="00B046A8" w:rsidRDefault="00B046A8" w:rsidP="00CB393E">
      <w:pPr>
        <w:pStyle w:val="01BODYTEXT"/>
      </w:pPr>
    </w:p>
    <w:p w14:paraId="6059E184" w14:textId="77777777" w:rsidR="00B046A8" w:rsidRPr="00CB393E" w:rsidRDefault="00B046A8" w:rsidP="00CB393E">
      <w:pPr>
        <w:pStyle w:val="01BODYTEXT"/>
        <w:sectPr w:rsidR="00B046A8" w:rsidRPr="00CB393E" w:rsidSect="009C574E">
          <w:pgSz w:w="11906" w:h="16838" w:code="9"/>
          <w:pgMar w:top="1134" w:right="1134" w:bottom="1134" w:left="1134" w:header="680" w:footer="680" w:gutter="0"/>
          <w:cols w:space="708"/>
          <w:docGrid w:linePitch="360"/>
        </w:sectPr>
      </w:pPr>
    </w:p>
    <w:p w14:paraId="76F59F91" w14:textId="77777777" w:rsidR="00CB393E" w:rsidRDefault="005A51FC" w:rsidP="00005F76">
      <w:pPr>
        <w:pStyle w:val="Heading1"/>
      </w:pPr>
      <w:r w:rsidRPr="006B1A9D">
        <w:lastRenderedPageBreak/>
        <w:br/>
      </w:r>
      <w:bookmarkStart w:id="50" w:name="_Toc522873485"/>
      <w:r w:rsidR="00CB393E">
        <w:t>Evidence relating to cost and cost-effectiveness</w:t>
      </w:r>
      <w:bookmarkEnd w:id="50"/>
    </w:p>
    <w:p w14:paraId="071CA093" w14:textId="1F6DB546" w:rsidR="00FE4820" w:rsidRDefault="00FE4820" w:rsidP="00A60D96">
      <w:pPr>
        <w:pStyle w:val="01BODYTEXT"/>
      </w:pPr>
      <w:r w:rsidRPr="00E0260B">
        <w:t xml:space="preserve">This Chapter presents the evidence identified in the systematic literature review relating to the cost and cost-effectiveness of </w:t>
      </w:r>
      <w:r>
        <w:t xml:space="preserve">MedsCheck </w:t>
      </w:r>
      <w:r w:rsidRPr="00E0260B">
        <w:t>services with reference to the PICO criteria outlined in Section 3.1.1.  This Chapter does not include evidence relating to cost and cost</w:t>
      </w:r>
      <w:r w:rsidR="0088796C">
        <w:t>-</w:t>
      </w:r>
      <w:r w:rsidRPr="00E0260B">
        <w:t xml:space="preserve">effectiveness that has been reported in previous evaluations of the </w:t>
      </w:r>
      <w:r>
        <w:t xml:space="preserve">MedsCheck </w:t>
      </w:r>
      <w:r w:rsidRPr="00E0260B">
        <w:t>program</w:t>
      </w:r>
      <w:r>
        <w:t>s</w:t>
      </w:r>
      <w:r w:rsidRPr="00E0260B">
        <w:t>, which was summarised in Chapter 4.</w:t>
      </w:r>
    </w:p>
    <w:p w14:paraId="7048E55E" w14:textId="14DC7F7C" w:rsidR="00FE4820" w:rsidRDefault="00FE4820" w:rsidP="00FE4820">
      <w:pPr>
        <w:pStyle w:val="BodyText"/>
      </w:pPr>
      <w:r w:rsidRPr="009D2EA7">
        <w:t xml:space="preserve">A review of existing published economic evaluations of MedsCheck has been performed to provide a local and international economic context against which </w:t>
      </w:r>
      <w:r>
        <w:t xml:space="preserve">MedsCheck </w:t>
      </w:r>
      <w:r w:rsidRPr="009D2EA7">
        <w:t>should be considered for use in Australia.  Literature searches in Medline, Embase, Cochrane and Health Systems Evidence databases were conducted in Dec/Jan 2016/17 using the sea</w:t>
      </w:r>
      <w:r>
        <w:t>rch strategy shown in Appendix B</w:t>
      </w:r>
      <w:r w:rsidRPr="009D2EA7">
        <w:t xml:space="preserve">. </w:t>
      </w:r>
      <w:r>
        <w:t xml:space="preserve"> References were included if they assessed the cost-effectiveness of </w:t>
      </w:r>
      <w:r w:rsidRPr="009D2EA7">
        <w:t>MedsCheck</w:t>
      </w:r>
      <w:r>
        <w:t xml:space="preserve">, either in Australia or overseas.  If no cost-effectiveness studies were identified, cost studies were included for discussion.  </w:t>
      </w:r>
      <w:r>
        <w:rPr>
          <w:highlight w:val="yellow"/>
        </w:rPr>
        <w:fldChar w:fldCharType="begin"/>
      </w:r>
      <w:r>
        <w:instrText xml:space="preserve"> REF _Ref476147688 \h </w:instrText>
      </w:r>
      <w:r>
        <w:rPr>
          <w:highlight w:val="yellow"/>
        </w:rPr>
      </w:r>
      <w:r>
        <w:rPr>
          <w:highlight w:val="yellow"/>
        </w:rPr>
        <w:fldChar w:fldCharType="separate"/>
      </w:r>
      <w:r w:rsidR="009047A7">
        <w:t xml:space="preserve">Table </w:t>
      </w:r>
      <w:r w:rsidR="009047A7">
        <w:rPr>
          <w:noProof/>
        </w:rPr>
        <w:t>6</w:t>
      </w:r>
      <w:r w:rsidR="009047A7">
        <w:t>.</w:t>
      </w:r>
      <w:r w:rsidR="009047A7">
        <w:rPr>
          <w:noProof/>
        </w:rPr>
        <w:t>1</w:t>
      </w:r>
      <w:r>
        <w:rPr>
          <w:highlight w:val="yellow"/>
        </w:rPr>
        <w:fldChar w:fldCharType="end"/>
      </w:r>
      <w:r>
        <w:t xml:space="preserve"> shows the two cost-effectiveness studies identified for inclusion in this review.</w:t>
      </w:r>
    </w:p>
    <w:p w14:paraId="3794294E" w14:textId="27844693" w:rsidR="00FE4820" w:rsidRDefault="00FE4820" w:rsidP="00FE4820">
      <w:pPr>
        <w:pStyle w:val="Caption"/>
      </w:pPr>
      <w:bookmarkStart w:id="51" w:name="_Ref476147688"/>
      <w:r>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6</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1</w:t>
      </w:r>
      <w:r w:rsidR="009047A7">
        <w:rPr>
          <w:noProof/>
        </w:rPr>
        <w:fldChar w:fldCharType="end"/>
      </w:r>
      <w:bookmarkEnd w:id="51"/>
      <w:r>
        <w:t>: Publication of economic evaluation in MedsCheck identified in the literature search</w:t>
      </w:r>
    </w:p>
    <w:tbl>
      <w:tblPr>
        <w:tblStyle w:val="TableGrid"/>
        <w:tblW w:w="0" w:type="auto"/>
        <w:tblLook w:val="04A0" w:firstRow="1" w:lastRow="0" w:firstColumn="1" w:lastColumn="0" w:noHBand="0" w:noVBand="1"/>
        <w:tblCaption w:val="Table 6.1"/>
        <w:tblDescription w:val="Publication of economic evaluation in MedsCheck identified in the literature search"/>
      </w:tblPr>
      <w:tblGrid>
        <w:gridCol w:w="1271"/>
        <w:gridCol w:w="8357"/>
      </w:tblGrid>
      <w:tr w:rsidR="00FE4820" w:rsidRPr="00534BB9" w14:paraId="7D0222D4" w14:textId="77777777" w:rsidTr="001436BE">
        <w:trPr>
          <w:cnfStyle w:val="100000000000" w:firstRow="1" w:lastRow="0" w:firstColumn="0" w:lastColumn="0" w:oddVBand="0" w:evenVBand="0" w:oddHBand="0" w:evenHBand="0" w:firstRowFirstColumn="0" w:firstRowLastColumn="0" w:lastRowFirstColumn="0" w:lastRowLastColumn="0"/>
        </w:trPr>
        <w:tc>
          <w:tcPr>
            <w:tcW w:w="1271" w:type="dxa"/>
          </w:tcPr>
          <w:p w14:paraId="4A016D60" w14:textId="77777777" w:rsidR="00FE4820" w:rsidRPr="00534BB9" w:rsidRDefault="00FE4820" w:rsidP="001436BE">
            <w:pPr>
              <w:pStyle w:val="BodyText"/>
              <w:spacing w:before="60"/>
              <w:rPr>
                <w:b/>
                <w:sz w:val="18"/>
                <w:szCs w:val="18"/>
              </w:rPr>
            </w:pPr>
            <w:r w:rsidRPr="00534BB9">
              <w:rPr>
                <w:b/>
                <w:sz w:val="18"/>
                <w:szCs w:val="18"/>
              </w:rPr>
              <w:t>Ref ID</w:t>
            </w:r>
          </w:p>
        </w:tc>
        <w:tc>
          <w:tcPr>
            <w:tcW w:w="8357" w:type="dxa"/>
          </w:tcPr>
          <w:p w14:paraId="33CDE620" w14:textId="77777777" w:rsidR="00FE4820" w:rsidRPr="00534BB9" w:rsidRDefault="00FE4820" w:rsidP="001436BE">
            <w:pPr>
              <w:pStyle w:val="BodyText"/>
              <w:spacing w:before="60"/>
              <w:rPr>
                <w:b/>
                <w:sz w:val="18"/>
                <w:szCs w:val="18"/>
              </w:rPr>
            </w:pPr>
            <w:r w:rsidRPr="00534BB9">
              <w:rPr>
                <w:b/>
                <w:sz w:val="18"/>
                <w:szCs w:val="18"/>
              </w:rPr>
              <w:t>Citation</w:t>
            </w:r>
          </w:p>
        </w:tc>
      </w:tr>
      <w:tr w:rsidR="00FE4820" w:rsidRPr="00534BB9" w14:paraId="2254A7EA" w14:textId="77777777" w:rsidTr="001436BE">
        <w:tc>
          <w:tcPr>
            <w:tcW w:w="1271" w:type="dxa"/>
          </w:tcPr>
          <w:p w14:paraId="55FF0A9D" w14:textId="77777777" w:rsidR="00FE4820" w:rsidRPr="00534BB9" w:rsidRDefault="00FE4820" w:rsidP="001436BE">
            <w:pPr>
              <w:pStyle w:val="BodyText"/>
              <w:spacing w:before="60"/>
              <w:rPr>
                <w:sz w:val="18"/>
                <w:szCs w:val="18"/>
              </w:rPr>
            </w:pPr>
            <w:r w:rsidRPr="00534BB9">
              <w:rPr>
                <w:sz w:val="18"/>
                <w:szCs w:val="18"/>
              </w:rPr>
              <w:t xml:space="preserve">Jodar-Sanchez </w:t>
            </w:r>
            <w:r>
              <w:rPr>
                <w:sz w:val="18"/>
                <w:szCs w:val="18"/>
              </w:rPr>
              <w:t>(</w:t>
            </w:r>
            <w:r w:rsidRPr="00534BB9">
              <w:rPr>
                <w:sz w:val="18"/>
                <w:szCs w:val="18"/>
              </w:rPr>
              <w:t>2015</w:t>
            </w:r>
            <w:r>
              <w:rPr>
                <w:sz w:val="18"/>
                <w:szCs w:val="18"/>
              </w:rPr>
              <w:t>)</w:t>
            </w:r>
          </w:p>
        </w:tc>
        <w:tc>
          <w:tcPr>
            <w:tcW w:w="8357" w:type="dxa"/>
          </w:tcPr>
          <w:p w14:paraId="3446FC95" w14:textId="77777777" w:rsidR="00FE4820" w:rsidRPr="00534BB9" w:rsidRDefault="00FE4820" w:rsidP="001436BE">
            <w:pPr>
              <w:pStyle w:val="BodyText"/>
              <w:spacing w:before="60"/>
              <w:jc w:val="left"/>
              <w:rPr>
                <w:sz w:val="18"/>
                <w:szCs w:val="18"/>
              </w:rPr>
            </w:pPr>
            <w:r w:rsidRPr="00534BB9">
              <w:rPr>
                <w:sz w:val="18"/>
                <w:szCs w:val="18"/>
              </w:rPr>
              <w:t>Jodar-Sanch</w:t>
            </w:r>
            <w:r>
              <w:rPr>
                <w:sz w:val="18"/>
                <w:szCs w:val="18"/>
              </w:rPr>
              <w:t xml:space="preserve">ez F, Malet-Larrea A, Martin JJ </w:t>
            </w:r>
            <w:r w:rsidRPr="00534BB9">
              <w:rPr>
                <w:sz w:val="18"/>
                <w:szCs w:val="18"/>
              </w:rPr>
              <w:t>et al.</w:t>
            </w:r>
            <w:r>
              <w:rPr>
                <w:sz w:val="18"/>
                <w:szCs w:val="18"/>
              </w:rPr>
              <w:t xml:space="preserve"> (2015)</w:t>
            </w:r>
            <w:r w:rsidRPr="00534BB9">
              <w:rPr>
                <w:sz w:val="18"/>
                <w:szCs w:val="18"/>
              </w:rPr>
              <w:t xml:space="preserve"> Cost-u</w:t>
            </w:r>
            <w:r>
              <w:rPr>
                <w:sz w:val="18"/>
                <w:szCs w:val="18"/>
              </w:rPr>
              <w:t xml:space="preserve">tility analysis of a medication </w:t>
            </w:r>
            <w:r w:rsidRPr="00534BB9">
              <w:rPr>
                <w:sz w:val="18"/>
                <w:szCs w:val="18"/>
              </w:rPr>
              <w:t>review w</w:t>
            </w:r>
            <w:r>
              <w:rPr>
                <w:sz w:val="18"/>
                <w:szCs w:val="18"/>
              </w:rPr>
              <w:t xml:space="preserve">ith follow-up service for older </w:t>
            </w:r>
            <w:r w:rsidRPr="00534BB9">
              <w:rPr>
                <w:sz w:val="18"/>
                <w:szCs w:val="18"/>
              </w:rPr>
              <w:t>adults</w:t>
            </w:r>
            <w:r>
              <w:rPr>
                <w:sz w:val="18"/>
                <w:szCs w:val="18"/>
              </w:rPr>
              <w:t xml:space="preserve"> with polypharmacy in community </w:t>
            </w:r>
            <w:r w:rsidRPr="00534BB9">
              <w:rPr>
                <w:sz w:val="18"/>
                <w:szCs w:val="18"/>
              </w:rPr>
              <w:t xml:space="preserve">pharmacies </w:t>
            </w:r>
            <w:r>
              <w:rPr>
                <w:sz w:val="18"/>
                <w:szCs w:val="18"/>
              </w:rPr>
              <w:t xml:space="preserve">in Spain: the conSIGUE program. Pharmacoeconomics </w:t>
            </w:r>
            <w:r w:rsidRPr="00534BB9">
              <w:rPr>
                <w:sz w:val="18"/>
                <w:szCs w:val="18"/>
              </w:rPr>
              <w:t>33:</w:t>
            </w:r>
            <w:r>
              <w:rPr>
                <w:sz w:val="18"/>
                <w:szCs w:val="18"/>
              </w:rPr>
              <w:t xml:space="preserve"> </w:t>
            </w:r>
            <w:r w:rsidRPr="00534BB9">
              <w:rPr>
                <w:sz w:val="18"/>
                <w:szCs w:val="18"/>
              </w:rPr>
              <w:t>599–610.</w:t>
            </w:r>
          </w:p>
        </w:tc>
      </w:tr>
      <w:tr w:rsidR="00FE4820" w:rsidRPr="00534BB9" w14:paraId="7FAF1C93" w14:textId="77777777" w:rsidTr="001436BE">
        <w:trPr>
          <w:cnfStyle w:val="000000010000" w:firstRow="0" w:lastRow="0" w:firstColumn="0" w:lastColumn="0" w:oddVBand="0" w:evenVBand="0" w:oddHBand="0" w:evenHBand="1" w:firstRowFirstColumn="0" w:firstRowLastColumn="0" w:lastRowFirstColumn="0" w:lastRowLastColumn="0"/>
        </w:trPr>
        <w:tc>
          <w:tcPr>
            <w:tcW w:w="1271" w:type="dxa"/>
          </w:tcPr>
          <w:p w14:paraId="24BA6FEF" w14:textId="77777777" w:rsidR="00FE4820" w:rsidRPr="00534BB9" w:rsidRDefault="00FE4820" w:rsidP="001436BE">
            <w:pPr>
              <w:pStyle w:val="BodyText"/>
              <w:spacing w:before="60"/>
              <w:rPr>
                <w:sz w:val="18"/>
                <w:szCs w:val="18"/>
              </w:rPr>
            </w:pPr>
            <w:r w:rsidRPr="001B6701">
              <w:rPr>
                <w:sz w:val="18"/>
                <w:szCs w:val="18"/>
              </w:rPr>
              <w:t>Bond (MEDMAN, 2007)</w:t>
            </w:r>
          </w:p>
        </w:tc>
        <w:tc>
          <w:tcPr>
            <w:tcW w:w="8357" w:type="dxa"/>
          </w:tcPr>
          <w:p w14:paraId="1F64F8F2" w14:textId="77777777" w:rsidR="00FE4820" w:rsidRPr="00534BB9" w:rsidRDefault="00FE4820" w:rsidP="001436BE">
            <w:pPr>
              <w:pStyle w:val="BodyText"/>
              <w:spacing w:before="60"/>
              <w:jc w:val="left"/>
              <w:rPr>
                <w:sz w:val="18"/>
                <w:szCs w:val="18"/>
              </w:rPr>
            </w:pPr>
            <w:r w:rsidRPr="001B6701">
              <w:rPr>
                <w:sz w:val="18"/>
                <w:szCs w:val="18"/>
              </w:rPr>
              <w:t>Bond, C. (2007). The MEDMAN study: A randomized controlled trial of community pharmacy-led medicines management for patients with coronary heart disease. Family Practice 24(2): 189-200.</w:t>
            </w:r>
          </w:p>
        </w:tc>
      </w:tr>
    </w:tbl>
    <w:p w14:paraId="7BE82A3C" w14:textId="13513AF2" w:rsidR="00FE4820" w:rsidRDefault="00FE4820" w:rsidP="00FE4820">
      <w:pPr>
        <w:pStyle w:val="BodyText"/>
      </w:pPr>
      <w:r>
        <w:t xml:space="preserve">The characteristics of the cost-utility analysis conducted by Jodar-Sanchez et al (2015) are shown in </w:t>
      </w:r>
      <w:r>
        <w:rPr>
          <w:highlight w:val="yellow"/>
        </w:rPr>
        <w:fldChar w:fldCharType="begin"/>
      </w:r>
      <w:r>
        <w:instrText xml:space="preserve"> REF _Ref476147986 \h </w:instrText>
      </w:r>
      <w:r>
        <w:rPr>
          <w:highlight w:val="yellow"/>
        </w:rPr>
      </w:r>
      <w:r>
        <w:rPr>
          <w:highlight w:val="yellow"/>
        </w:rPr>
        <w:fldChar w:fldCharType="separate"/>
      </w:r>
      <w:r w:rsidR="009047A7">
        <w:t xml:space="preserve">Table </w:t>
      </w:r>
      <w:r w:rsidR="009047A7">
        <w:rPr>
          <w:noProof/>
        </w:rPr>
        <w:t>6</w:t>
      </w:r>
      <w:r w:rsidR="009047A7">
        <w:t>.</w:t>
      </w:r>
      <w:r w:rsidR="009047A7">
        <w:rPr>
          <w:noProof/>
        </w:rPr>
        <w:t>2</w:t>
      </w:r>
      <w:r>
        <w:rPr>
          <w:highlight w:val="yellow"/>
        </w:rPr>
        <w:fldChar w:fldCharType="end"/>
      </w:r>
      <w:r>
        <w:t>.  The cluster RCT upon which the economic evaluation was based (the conSIGUE Program) was conducted in Spain between November 2011 and January 2013, where pharmacies were allocated to either the intervention group (m</w:t>
      </w:r>
      <w:r w:rsidRPr="00493F95">
        <w:t>edication review with follow-up</w:t>
      </w:r>
      <w:r>
        <w:t xml:space="preserve">) or the control group (usual dispensing).  To participate in the study, patients must have been </w:t>
      </w:r>
      <w:r w:rsidRPr="00A70E00">
        <w:rPr>
          <w:szCs w:val="18"/>
        </w:rPr>
        <w:t>65 years</w:t>
      </w:r>
      <w:r>
        <w:rPr>
          <w:szCs w:val="18"/>
        </w:rPr>
        <w:t xml:space="preserve"> or older</w:t>
      </w:r>
      <w:r w:rsidRPr="00A70E00">
        <w:rPr>
          <w:szCs w:val="18"/>
        </w:rPr>
        <w:t xml:space="preserve">, </w:t>
      </w:r>
      <w:r>
        <w:rPr>
          <w:szCs w:val="18"/>
        </w:rPr>
        <w:t xml:space="preserve">with </w:t>
      </w:r>
      <w:r w:rsidRPr="00A70E00">
        <w:rPr>
          <w:szCs w:val="18"/>
        </w:rPr>
        <w:t>polypharmacy (</w:t>
      </w:r>
      <w:r>
        <w:rPr>
          <w:szCs w:val="18"/>
        </w:rPr>
        <w:t xml:space="preserve">defined as taking five or more </w:t>
      </w:r>
      <w:r w:rsidRPr="00A70E00">
        <w:rPr>
          <w:szCs w:val="18"/>
        </w:rPr>
        <w:t>medicines per day)</w:t>
      </w:r>
      <w:r>
        <w:rPr>
          <w:szCs w:val="18"/>
        </w:rPr>
        <w:t>.</w:t>
      </w:r>
    </w:p>
    <w:p w14:paraId="14A9434D" w14:textId="77777777" w:rsidR="00FE4820" w:rsidRDefault="00FE4820" w:rsidP="00FE4820">
      <w:pPr>
        <w:pStyle w:val="BodyText"/>
      </w:pPr>
      <w:r>
        <w:t xml:space="preserve">By the end of the follow-up period (6 months), patients in both groups had reduced the mean number of prescribed medications they took (the primary outcome for the study), and this reduction was greater in the intervention group (0.28 ± 1.25 drugs; </w:t>
      </w:r>
      <w:r w:rsidRPr="00666F40">
        <w:rPr>
          <w:i/>
        </w:rPr>
        <w:t>p</w:t>
      </w:r>
      <w:r>
        <w:t xml:space="preserve"> &lt;0.001) than in the control group (0.07 ± 0.95 drugs; </w:t>
      </w:r>
      <w:r w:rsidRPr="00666F40">
        <w:rPr>
          <w:i/>
        </w:rPr>
        <w:t>p</w:t>
      </w:r>
      <w:r>
        <w:t xml:space="preserve"> = 0.063).  Results were reported as </w:t>
      </w:r>
      <w:r w:rsidRPr="00F84E1A">
        <w:t>within-group</w:t>
      </w:r>
      <w:r>
        <w:t xml:space="preserve"> comparisons for both the intervention and control groups, between baseline and the end of the follow-up period.  It should be noted that the intervention and control groups were </w:t>
      </w:r>
      <w:r w:rsidRPr="00F0460F">
        <w:t>not balanced at baseline</w:t>
      </w:r>
      <w:r>
        <w:t xml:space="preserve"> with respect to mean number of prescribed medications (</w:t>
      </w:r>
      <w:r w:rsidRPr="00B20B43">
        <w:rPr>
          <w:i/>
        </w:rPr>
        <w:t>p</w:t>
      </w:r>
      <w:r>
        <w:t xml:space="preserve"> = 0.009).  At baseline, patients in the intervention group were taking a mean of 7.74 medications, while patients in the control group were taking 7.39 medications.  Since intervention group patients were taking a greater number of medications at baseline, there is greater scope for a decrease in number, possibly resulting in bias in favour of the intervention.  A </w:t>
      </w:r>
      <w:r w:rsidRPr="00F84E1A">
        <w:t>between-group</w:t>
      </w:r>
      <w:r>
        <w:t xml:space="preserve"> comparison for the mean number of prescribed medications was reported as </w:t>
      </w:r>
      <w:r w:rsidRPr="00F84E1A">
        <w:t>0.21</w:t>
      </w:r>
      <w:r>
        <w:t xml:space="preserve"> </w:t>
      </w:r>
      <w:r w:rsidRPr="00F84E1A">
        <w:t>± 0.06 drugs (95 % CI 0.092</w:t>
      </w:r>
      <w:r>
        <w:t xml:space="preserve"> </w:t>
      </w:r>
      <w:r w:rsidRPr="00F84E1A">
        <w:t>–</w:t>
      </w:r>
      <w:r>
        <w:t xml:space="preserve"> </w:t>
      </w:r>
      <w:r w:rsidRPr="00F84E1A">
        <w:t>0.335)</w:t>
      </w:r>
      <w:r>
        <w:t>.</w:t>
      </w:r>
    </w:p>
    <w:p w14:paraId="3C878C0F" w14:textId="77777777" w:rsidR="00FE4820" w:rsidRDefault="00FE4820" w:rsidP="00FE4820">
      <w:pPr>
        <w:pStyle w:val="BodyText"/>
      </w:pPr>
      <w:r>
        <w:t>Patients in the intervention group saw their QoL improved by 0.0528 ± 0.20 (</w:t>
      </w:r>
      <w:r w:rsidRPr="00B30577">
        <w:rPr>
          <w:i/>
        </w:rPr>
        <w:t>p</w:t>
      </w:r>
      <w:r>
        <w:t> &lt;0.001).  In contrast, the control group experienced a slight reduction in their quality of life: 0.0022 ± 0.24 (</w:t>
      </w:r>
      <w:r w:rsidRPr="00B30577">
        <w:rPr>
          <w:i/>
        </w:rPr>
        <w:t>p</w:t>
      </w:r>
      <w:r>
        <w:t xml:space="preserve"> = 0.815).  Again, it should be noted that the intervention and control groups were not balanced at baseline with respect to mobility problems as measured by EQ-5D (</w:t>
      </w:r>
      <w:r w:rsidRPr="00B20B43">
        <w:rPr>
          <w:i/>
        </w:rPr>
        <w:t>p</w:t>
      </w:r>
      <w:r>
        <w:t xml:space="preserve"> = 0.003). </w:t>
      </w:r>
      <w:r w:rsidRPr="00666F40">
        <w:t xml:space="preserve"> </w:t>
      </w:r>
      <w:r>
        <w:t xml:space="preserve">A </w:t>
      </w:r>
      <w:r w:rsidRPr="00F84E1A">
        <w:t>between-group</w:t>
      </w:r>
      <w:r>
        <w:t xml:space="preserve"> comparison for QoL was reported as 0.0550 ± 0.01 in the utility score (95 % CI 0.0306–0.0794).</w:t>
      </w:r>
    </w:p>
    <w:p w14:paraId="3714DFEF" w14:textId="77777777" w:rsidR="00FE4820" w:rsidRDefault="00FE4820" w:rsidP="00FE4820">
      <w:pPr>
        <w:pStyle w:val="BodyText"/>
      </w:pPr>
      <w:r w:rsidRPr="00F52904">
        <w:lastRenderedPageBreak/>
        <w:t>The cost of the intervention</w:t>
      </w:r>
      <w:r>
        <w:t>, based on pharmacists’ time for the intervention itself and training previous to the intervention,</w:t>
      </w:r>
      <w:r w:rsidRPr="00F52904">
        <w:t xml:space="preserve"> was reported as €98.35 ± 143.03</w:t>
      </w:r>
      <w:r>
        <w:t>.  The total mean total cost was €977.57 ± 1,455.88 for the intervention group and €1,173.44 ± 3,671.65 for the control group.  The intervention group showed a significant decrease in cost with respect to healthcare resources and hospital admissions related to ‘negative outcomes associated with medications’ (NOMs).</w:t>
      </w:r>
    </w:p>
    <w:p w14:paraId="36DFAE6A" w14:textId="433F3D64" w:rsidR="00FE4820" w:rsidRDefault="00FE4820" w:rsidP="00FE4820">
      <w:pPr>
        <w:pStyle w:val="BodyText"/>
      </w:pPr>
      <w:r>
        <w:t>To estimate the ICER, the costs (adjusted for baseline medications) and QALYs (adjusted for baseline utility score) were used, resulting in a mean incremental total cost of –€250.51 ± 156.82 (95 % CI -558.17 to 57.14) and a mean incremental QALY of 0.0156 ± 0.004 (95 % CI 0.008 – 0.023).  The CUA shows that the medication review service is the dominant strategy.  The acceptability curve shows that if the willingness-to-pay is between €30,000/QALY and €45,000/QALY, the probability of the medication review service being cost effective is 100%.  The authors concluded that ‘</w:t>
      </w:r>
      <w:r w:rsidR="00476D4D">
        <w:t>t</w:t>
      </w:r>
      <w:r>
        <w:t>he MRF [medication review with follow-up] service is an effective intervention for optimising prescribed medication and improving QoL in older adults with polypharmacy in community pharmacies.  The results from the CUA suggest that the MRF service is cost effective.’</w:t>
      </w:r>
    </w:p>
    <w:p w14:paraId="3E32E323" w14:textId="528556AF" w:rsidR="00FE4820" w:rsidRDefault="00FE4820" w:rsidP="00FE4820">
      <w:pPr>
        <w:pStyle w:val="BodyText"/>
      </w:pPr>
      <w:r>
        <w:t>In addition, with the intervention and control groups not being balanced at baseline, there are other concerns with this study in terms of the intervention and the study design.  The nature of the intervention is unclear from the publication – the actual medication review is not fully described.  The follow</w:t>
      </w:r>
      <w:r w:rsidR="0088796C">
        <w:t>-</w:t>
      </w:r>
      <w:r>
        <w:t xml:space="preserve">up visits, occurring every 1.2 months, possibly allow more scope for medication changes than would normally occur in an Australian medication review, making the results not generalisable to an Australian MedsCheck population.  The publication implies, but does not explicitly state, that the pharmacist is not present for the follow-up interviews, based on the description of how the cost of the intervention is calculated.  Furthermore, a facilitator who provided training to the pharmacists at the start of the project may (or may not) have been present during the medication review.  Finally, the cost of the intervention is not explicitly articulated – the cost is quoted as </w:t>
      </w:r>
      <w:r w:rsidRPr="00F52904">
        <w:t>€98.35</w:t>
      </w:r>
      <w:r>
        <w:t>, but the authors do not state if this is for training and conducting one medication review per patient.</w:t>
      </w:r>
    </w:p>
    <w:p w14:paraId="41408C42" w14:textId="77777777" w:rsidR="00FE4820" w:rsidRDefault="00FE4820" w:rsidP="00FE4820">
      <w:pPr>
        <w:pStyle w:val="BodyText"/>
      </w:pPr>
      <w:r>
        <w:t>The study design is also of concern.  The RCT upon which the economic evaluation was based had a cluster design, where pharmacies were allocated to either the intervention group (m</w:t>
      </w:r>
      <w:r w:rsidRPr="00493F95">
        <w:t>edication review with follow-up</w:t>
      </w:r>
      <w:r>
        <w:t>) or the control group (usual dispensing).  Adults who satisfied the inclusion criteria were recruited by the pharmacy.  Randomisation at the patient level did not occur, which may lead to biased results, as patients may self-select as being amenable to having a medication review and acting on the outcomes.</w:t>
      </w:r>
    </w:p>
    <w:p w14:paraId="645191F2" w14:textId="77777777" w:rsidR="00FE4820" w:rsidRDefault="00FE4820" w:rsidP="00FE4820">
      <w:pPr>
        <w:pStyle w:val="BodyText"/>
        <w:sectPr w:rsidR="00FE4820" w:rsidSect="00A37D50">
          <w:pgSz w:w="11906" w:h="16838" w:code="9"/>
          <w:pgMar w:top="1134" w:right="1134" w:bottom="1134" w:left="1134" w:header="680" w:footer="851" w:gutter="0"/>
          <w:cols w:space="708"/>
          <w:docGrid w:linePitch="360"/>
        </w:sectPr>
      </w:pPr>
    </w:p>
    <w:p w14:paraId="2858E62E" w14:textId="1B35ED22" w:rsidR="00FE4820" w:rsidRDefault="00FE4820" w:rsidP="00FE4820">
      <w:pPr>
        <w:pStyle w:val="Caption"/>
      </w:pPr>
      <w:bookmarkStart w:id="52" w:name="_Ref476147986"/>
      <w:r>
        <w:lastRenderedPageBreak/>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6</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2</w:t>
      </w:r>
      <w:r w:rsidR="009047A7">
        <w:rPr>
          <w:noProof/>
        </w:rPr>
        <w:fldChar w:fldCharType="end"/>
      </w:r>
      <w:bookmarkEnd w:id="52"/>
      <w:r>
        <w:t>: Summary of the included MedsCheck study that examined cost-effectiveness</w:t>
      </w:r>
    </w:p>
    <w:tbl>
      <w:tblPr>
        <w:tblStyle w:val="TableGrid"/>
        <w:tblW w:w="14855" w:type="dxa"/>
        <w:tblCellMar>
          <w:left w:w="57" w:type="dxa"/>
          <w:right w:w="57" w:type="dxa"/>
        </w:tblCellMar>
        <w:tblLook w:val="04A0" w:firstRow="1" w:lastRow="0" w:firstColumn="1" w:lastColumn="0" w:noHBand="0" w:noVBand="1"/>
        <w:tblCaption w:val="Table 6.2"/>
        <w:tblDescription w:val="Summary of the included MedsCheck study that examined cost-effectiveness"/>
      </w:tblPr>
      <w:tblGrid>
        <w:gridCol w:w="2000"/>
        <w:gridCol w:w="3732"/>
        <w:gridCol w:w="2109"/>
        <w:gridCol w:w="1699"/>
        <w:gridCol w:w="4023"/>
        <w:gridCol w:w="1292"/>
      </w:tblGrid>
      <w:tr w:rsidR="00FE4820" w:rsidRPr="00377F6F" w14:paraId="761B8462" w14:textId="77777777" w:rsidTr="001436BE">
        <w:trPr>
          <w:cnfStyle w:val="100000000000" w:firstRow="1" w:lastRow="0" w:firstColumn="0" w:lastColumn="0" w:oddVBand="0" w:evenVBand="0" w:oddHBand="0" w:evenHBand="0" w:firstRowFirstColumn="0" w:firstRowLastColumn="0" w:lastRowFirstColumn="0" w:lastRowLastColumn="0"/>
          <w:cantSplit w:val="0"/>
        </w:trPr>
        <w:tc>
          <w:tcPr>
            <w:tcW w:w="673" w:type="pct"/>
          </w:tcPr>
          <w:p w14:paraId="75833073"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Study ID</w:t>
            </w:r>
          </w:p>
          <w:p w14:paraId="44E69F64"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Country</w:t>
            </w:r>
          </w:p>
          <w:p w14:paraId="5E7DA3A8"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Evaluation type</w:t>
            </w:r>
          </w:p>
          <w:p w14:paraId="14FC4631" w14:textId="77777777" w:rsidR="00FE4820" w:rsidRPr="00377F6F" w:rsidRDefault="00FE4820" w:rsidP="001436BE">
            <w:pPr>
              <w:pStyle w:val="01Tableheaderrow"/>
              <w:rPr>
                <w:rFonts w:ascii="Garamond" w:hAnsi="Garamond"/>
                <w:i/>
              </w:rPr>
            </w:pPr>
            <w:r w:rsidRPr="00377F6F">
              <w:rPr>
                <w:rFonts w:ascii="Garamond" w:hAnsi="Garamond"/>
                <w:snapToGrid w:val="0"/>
              </w:rPr>
              <w:t>Setting</w:t>
            </w:r>
          </w:p>
        </w:tc>
        <w:tc>
          <w:tcPr>
            <w:tcW w:w="1256" w:type="pct"/>
          </w:tcPr>
          <w:p w14:paraId="2D1D7754"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Derivation of effectiveness</w:t>
            </w:r>
          </w:p>
          <w:p w14:paraId="5E77ADD3"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Intervention</w:t>
            </w:r>
          </w:p>
          <w:p w14:paraId="30546F77" w14:textId="77777777" w:rsidR="00FE4820" w:rsidRPr="00377F6F" w:rsidRDefault="00FE4820" w:rsidP="001436BE">
            <w:pPr>
              <w:pStyle w:val="01Tableheaderrow"/>
              <w:rPr>
                <w:rFonts w:ascii="Garamond" w:hAnsi="Garamond"/>
              </w:rPr>
            </w:pPr>
            <w:r w:rsidRPr="00377F6F">
              <w:rPr>
                <w:rFonts w:ascii="Garamond" w:hAnsi="Garamond"/>
              </w:rPr>
              <w:t>Population</w:t>
            </w:r>
          </w:p>
          <w:p w14:paraId="3244ECB7" w14:textId="77777777" w:rsidR="00FE4820" w:rsidRPr="00377F6F" w:rsidRDefault="00FE4820" w:rsidP="001436BE">
            <w:pPr>
              <w:pStyle w:val="01Tableheaderrow"/>
              <w:rPr>
                <w:rFonts w:ascii="Garamond" w:hAnsi="Garamond"/>
              </w:rPr>
            </w:pPr>
            <w:r w:rsidRPr="00377F6F">
              <w:rPr>
                <w:rFonts w:ascii="Garamond" w:hAnsi="Garamond"/>
              </w:rPr>
              <w:t>N</w:t>
            </w:r>
          </w:p>
          <w:p w14:paraId="193A0312" w14:textId="77777777" w:rsidR="00FE4820" w:rsidRPr="00377F6F" w:rsidRDefault="00FE4820" w:rsidP="001436BE">
            <w:pPr>
              <w:pStyle w:val="01Tableheaderrow"/>
              <w:rPr>
                <w:rFonts w:ascii="Garamond" w:hAnsi="Garamond"/>
              </w:rPr>
            </w:pPr>
            <w:r w:rsidRPr="00377F6F">
              <w:rPr>
                <w:rFonts w:ascii="Garamond" w:hAnsi="Garamond"/>
              </w:rPr>
              <w:t>Follow up</w:t>
            </w:r>
          </w:p>
          <w:p w14:paraId="6194942A" w14:textId="77777777" w:rsidR="00FE4820" w:rsidRPr="00377F6F" w:rsidRDefault="00FE4820" w:rsidP="001436BE">
            <w:pPr>
              <w:pStyle w:val="01Tableheaderrow"/>
              <w:rPr>
                <w:rFonts w:ascii="Garamond" w:hAnsi="Garamond"/>
              </w:rPr>
            </w:pPr>
            <w:r w:rsidRPr="00377F6F">
              <w:rPr>
                <w:rFonts w:ascii="Garamond" w:hAnsi="Garamond"/>
              </w:rPr>
              <w:t>Outcomes</w:t>
            </w:r>
          </w:p>
        </w:tc>
        <w:tc>
          <w:tcPr>
            <w:tcW w:w="710" w:type="pct"/>
          </w:tcPr>
          <w:p w14:paraId="1C050C2A"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Currency</w:t>
            </w:r>
          </w:p>
          <w:p w14:paraId="08B0793C"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Price year</w:t>
            </w:r>
          </w:p>
          <w:p w14:paraId="75279B55"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Perspective</w:t>
            </w:r>
          </w:p>
          <w:p w14:paraId="0B7EEFFD"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Model type</w:t>
            </w:r>
          </w:p>
          <w:p w14:paraId="1FC963CD"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Time horizon</w:t>
            </w:r>
          </w:p>
          <w:p w14:paraId="0C066D5E"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Cycle length</w:t>
            </w:r>
          </w:p>
        </w:tc>
        <w:tc>
          <w:tcPr>
            <w:tcW w:w="572" w:type="pct"/>
          </w:tcPr>
          <w:p w14:paraId="6D9E63F8"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Derivation of costs</w:t>
            </w:r>
          </w:p>
          <w:p w14:paraId="706E2377"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Discount rate</w:t>
            </w:r>
          </w:p>
          <w:p w14:paraId="4C538E88"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Outcome of interest</w:t>
            </w:r>
          </w:p>
          <w:p w14:paraId="3C8FCC73" w14:textId="77777777" w:rsidR="00FE4820" w:rsidRPr="00377F6F" w:rsidRDefault="00FE4820" w:rsidP="001436BE">
            <w:pPr>
              <w:pStyle w:val="01Tableheaderrow"/>
              <w:rPr>
                <w:rFonts w:ascii="Garamond" w:hAnsi="Garamond"/>
              </w:rPr>
            </w:pPr>
            <w:r w:rsidRPr="00377F6F">
              <w:rPr>
                <w:rFonts w:ascii="Garamond" w:hAnsi="Garamond"/>
                <w:snapToGrid w:val="0"/>
              </w:rPr>
              <w:t>Source of utilities</w:t>
            </w:r>
          </w:p>
        </w:tc>
        <w:tc>
          <w:tcPr>
            <w:tcW w:w="1354" w:type="pct"/>
          </w:tcPr>
          <w:p w14:paraId="73A337D5"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Findings</w:t>
            </w:r>
          </w:p>
          <w:p w14:paraId="57A1E156" w14:textId="77777777" w:rsidR="00FE4820" w:rsidRPr="00377F6F" w:rsidRDefault="00FE4820" w:rsidP="001436BE">
            <w:pPr>
              <w:pStyle w:val="01Tableheaderrow"/>
              <w:rPr>
                <w:rFonts w:ascii="Garamond" w:hAnsi="Garamond"/>
                <w:snapToGrid w:val="0"/>
              </w:rPr>
            </w:pPr>
            <w:r w:rsidRPr="00377F6F">
              <w:rPr>
                <w:rFonts w:ascii="Garamond" w:hAnsi="Garamond"/>
                <w:snapToGrid w:val="0"/>
              </w:rPr>
              <w:t>Conclusions</w:t>
            </w:r>
          </w:p>
        </w:tc>
        <w:tc>
          <w:tcPr>
            <w:tcW w:w="435" w:type="pct"/>
          </w:tcPr>
          <w:p w14:paraId="784E7CED" w14:textId="77777777" w:rsidR="00FE4820" w:rsidRPr="00377F6F" w:rsidRDefault="00FE4820" w:rsidP="001436BE">
            <w:pPr>
              <w:pStyle w:val="01Tableheaderrow"/>
              <w:rPr>
                <w:rFonts w:ascii="Garamond" w:hAnsi="Garamond"/>
              </w:rPr>
            </w:pPr>
            <w:r w:rsidRPr="00377F6F">
              <w:rPr>
                <w:rFonts w:ascii="Garamond" w:hAnsi="Garamond"/>
                <w:snapToGrid w:val="0"/>
              </w:rPr>
              <w:t>Assumptions</w:t>
            </w:r>
          </w:p>
        </w:tc>
      </w:tr>
      <w:tr w:rsidR="00FE4820" w:rsidRPr="00377F6F" w14:paraId="0CDB0080" w14:textId="77777777" w:rsidTr="001436BE">
        <w:trPr>
          <w:cantSplit w:val="0"/>
        </w:trPr>
        <w:tc>
          <w:tcPr>
            <w:tcW w:w="673" w:type="pct"/>
          </w:tcPr>
          <w:p w14:paraId="18B2A036" w14:textId="77777777" w:rsidR="00FE4820" w:rsidRPr="00377F6F" w:rsidRDefault="00FE4820" w:rsidP="001436BE">
            <w:pPr>
              <w:pStyle w:val="03Tabletextspacebefore"/>
              <w:rPr>
                <w:rFonts w:ascii="Garamond" w:hAnsi="Garamond"/>
              </w:rPr>
            </w:pPr>
            <w:r w:rsidRPr="00377F6F">
              <w:rPr>
                <w:rFonts w:ascii="Garamond" w:hAnsi="Garamond"/>
              </w:rPr>
              <w:t>Jodar-Sanchez (2015)</w:t>
            </w:r>
          </w:p>
          <w:p w14:paraId="17B8EDCB" w14:textId="77777777" w:rsidR="00FE4820" w:rsidRPr="00377F6F" w:rsidRDefault="00FE4820" w:rsidP="001436BE">
            <w:pPr>
              <w:pStyle w:val="03Tabletextspacebefore"/>
              <w:rPr>
                <w:rFonts w:ascii="Garamond" w:hAnsi="Garamond"/>
              </w:rPr>
            </w:pPr>
            <w:r w:rsidRPr="00377F6F">
              <w:rPr>
                <w:rFonts w:ascii="Garamond" w:hAnsi="Garamond"/>
              </w:rPr>
              <w:t>Spain</w:t>
            </w:r>
          </w:p>
          <w:p w14:paraId="2C8744BD" w14:textId="77777777" w:rsidR="00FE4820" w:rsidRPr="00377F6F" w:rsidRDefault="00FE4820" w:rsidP="001436BE">
            <w:pPr>
              <w:pStyle w:val="03Tabletextspacebefore"/>
              <w:rPr>
                <w:rFonts w:ascii="Garamond" w:hAnsi="Garamond"/>
              </w:rPr>
            </w:pPr>
            <w:r w:rsidRPr="00377F6F">
              <w:rPr>
                <w:rFonts w:ascii="Garamond" w:hAnsi="Garamond"/>
              </w:rPr>
              <w:t>CUA</w:t>
            </w:r>
          </w:p>
        </w:tc>
        <w:tc>
          <w:tcPr>
            <w:tcW w:w="1256" w:type="pct"/>
          </w:tcPr>
          <w:p w14:paraId="5C64BEC8" w14:textId="77777777" w:rsidR="00FE4820" w:rsidRPr="00377F6F" w:rsidRDefault="00FE4820" w:rsidP="001436BE">
            <w:pPr>
              <w:pStyle w:val="03Tabletextspacebefore"/>
              <w:numPr>
                <w:ilvl w:val="0"/>
                <w:numId w:val="36"/>
              </w:numPr>
              <w:spacing w:before="0"/>
              <w:ind w:left="227" w:hanging="227"/>
              <w:rPr>
                <w:rFonts w:ascii="Garamond" w:hAnsi="Garamond"/>
              </w:rPr>
            </w:pPr>
            <w:r w:rsidRPr="00377F6F">
              <w:rPr>
                <w:rFonts w:ascii="Garamond" w:hAnsi="Garamond"/>
              </w:rPr>
              <w:t>Study: Cluster RCT in Spanish pharmacies. Pharmacies were allocated to either the intervention group or the control group.</w:t>
            </w:r>
          </w:p>
          <w:p w14:paraId="1FF7DA5F" w14:textId="77777777" w:rsidR="00FE4820" w:rsidRPr="00377F6F" w:rsidRDefault="00FE4820" w:rsidP="001436BE">
            <w:pPr>
              <w:pStyle w:val="03Tabletextspacebefore"/>
              <w:numPr>
                <w:ilvl w:val="0"/>
                <w:numId w:val="36"/>
              </w:numPr>
              <w:spacing w:before="0"/>
              <w:ind w:left="227" w:hanging="227"/>
              <w:rPr>
                <w:rFonts w:ascii="Garamond" w:hAnsi="Garamond"/>
              </w:rPr>
            </w:pPr>
            <w:r w:rsidRPr="00377F6F">
              <w:rPr>
                <w:rFonts w:ascii="Garamond" w:hAnsi="Garamond"/>
              </w:rPr>
              <w:t>Intervention: Medication review with follow-up in community pharmacies vs usual dispensing in community pharmacies.</w:t>
            </w:r>
          </w:p>
          <w:p w14:paraId="02812E94" w14:textId="77777777" w:rsidR="00FE4820" w:rsidRPr="00377F6F" w:rsidRDefault="00FE4820" w:rsidP="001436BE">
            <w:pPr>
              <w:pStyle w:val="03Tabletextspacebefore"/>
              <w:numPr>
                <w:ilvl w:val="0"/>
                <w:numId w:val="36"/>
              </w:numPr>
              <w:spacing w:before="0"/>
              <w:ind w:left="227" w:hanging="227"/>
              <w:rPr>
                <w:rFonts w:ascii="Garamond" w:hAnsi="Garamond"/>
              </w:rPr>
            </w:pPr>
            <w:r w:rsidRPr="00377F6F">
              <w:rPr>
                <w:rFonts w:ascii="Garamond" w:hAnsi="Garamond"/>
                <w:szCs w:val="18"/>
              </w:rPr>
              <w:t xml:space="preserve">Population: </w:t>
            </w:r>
            <w:r w:rsidRPr="00377F6F">
              <w:rPr>
                <w:rFonts w:ascii="Garamond" w:hAnsi="Garamond" w:cs="Times New Roman"/>
                <w:szCs w:val="18"/>
              </w:rPr>
              <w:t>≥</w:t>
            </w:r>
            <w:r w:rsidRPr="00377F6F">
              <w:rPr>
                <w:rFonts w:ascii="Garamond" w:hAnsi="Garamond"/>
                <w:szCs w:val="18"/>
              </w:rPr>
              <w:t>65 years, polypharmacy (</w:t>
            </w:r>
            <w:r w:rsidRPr="00377F6F">
              <w:rPr>
                <w:rFonts w:ascii="Garamond" w:hAnsi="Garamond" w:cs="Times New Roman"/>
                <w:szCs w:val="18"/>
              </w:rPr>
              <w:t>≥</w:t>
            </w:r>
            <w:r w:rsidRPr="00377F6F">
              <w:rPr>
                <w:rFonts w:ascii="Garamond" w:hAnsi="Garamond"/>
                <w:szCs w:val="18"/>
              </w:rPr>
              <w:t>5 medicines per day).</w:t>
            </w:r>
          </w:p>
          <w:p w14:paraId="30E4A2DB" w14:textId="77777777" w:rsidR="00FE4820" w:rsidRPr="00377F6F" w:rsidRDefault="00FE4820" w:rsidP="001436BE">
            <w:pPr>
              <w:pStyle w:val="03Tabletextspacebefore"/>
              <w:numPr>
                <w:ilvl w:val="0"/>
                <w:numId w:val="36"/>
              </w:numPr>
              <w:spacing w:before="0"/>
              <w:ind w:left="227" w:hanging="227"/>
              <w:rPr>
                <w:rFonts w:ascii="Garamond" w:hAnsi="Garamond"/>
              </w:rPr>
            </w:pPr>
            <w:r w:rsidRPr="00377F6F">
              <w:rPr>
                <w:rFonts w:ascii="Garamond" w:hAnsi="Garamond"/>
              </w:rPr>
              <w:t>N = 1403; 688 in the intervention group and 715 in the control group.</w:t>
            </w:r>
          </w:p>
          <w:p w14:paraId="4E488327" w14:textId="77777777" w:rsidR="00FE4820" w:rsidRPr="00377F6F" w:rsidRDefault="00FE4820" w:rsidP="001436BE">
            <w:pPr>
              <w:pStyle w:val="03Tabletextspacebefore"/>
              <w:numPr>
                <w:ilvl w:val="0"/>
                <w:numId w:val="36"/>
              </w:numPr>
              <w:spacing w:before="0"/>
              <w:ind w:left="227" w:hanging="227"/>
              <w:rPr>
                <w:rFonts w:ascii="Garamond" w:hAnsi="Garamond"/>
              </w:rPr>
            </w:pPr>
            <w:r w:rsidRPr="00377F6F">
              <w:rPr>
                <w:rFonts w:ascii="Garamond" w:hAnsi="Garamond"/>
              </w:rPr>
              <w:t>Follow up: 6 months.</w:t>
            </w:r>
          </w:p>
          <w:p w14:paraId="738DA789" w14:textId="5701FEA3" w:rsidR="00FE4820" w:rsidRPr="00EE2529" w:rsidRDefault="00FE4820" w:rsidP="001436BE">
            <w:pPr>
              <w:pStyle w:val="03Tabletextspacebefore"/>
              <w:numPr>
                <w:ilvl w:val="0"/>
                <w:numId w:val="36"/>
              </w:numPr>
              <w:spacing w:before="0"/>
              <w:ind w:left="227" w:hanging="227"/>
              <w:rPr>
                <w:rFonts w:ascii="Garamond" w:hAnsi="Garamond"/>
              </w:rPr>
            </w:pPr>
            <w:r w:rsidRPr="00377F6F">
              <w:rPr>
                <w:rFonts w:ascii="Garamond" w:hAnsi="Garamond"/>
              </w:rPr>
              <w:t xml:space="preserve">Outcomes: number of medicines used, number of uncontrolled health problems, HR-QoL, number of visits to A&amp;E departments, and the </w:t>
            </w:r>
            <w:r w:rsidRPr="00EE2529">
              <w:rPr>
                <w:rFonts w:ascii="Garamond" w:hAnsi="Garamond"/>
              </w:rPr>
              <w:t>number of hospital admissions.</w:t>
            </w:r>
          </w:p>
        </w:tc>
        <w:tc>
          <w:tcPr>
            <w:tcW w:w="710" w:type="pct"/>
          </w:tcPr>
          <w:p w14:paraId="1C611CF2"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Currency: euros.</w:t>
            </w:r>
          </w:p>
          <w:p w14:paraId="54A0323A"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Price year: 2014.</w:t>
            </w:r>
          </w:p>
          <w:p w14:paraId="20B3AB65"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Perspective: Health service.</w:t>
            </w:r>
          </w:p>
          <w:p w14:paraId="27C310BE" w14:textId="77777777" w:rsidR="00FE4820" w:rsidRPr="00377F6F" w:rsidRDefault="00FE4820" w:rsidP="001436BE">
            <w:pPr>
              <w:pStyle w:val="06Tablebullet"/>
              <w:numPr>
                <w:ilvl w:val="0"/>
                <w:numId w:val="17"/>
              </w:numPr>
              <w:ind w:left="227" w:hanging="227"/>
              <w:rPr>
                <w:rFonts w:ascii="Garamond" w:hAnsi="Garamond"/>
                <w:szCs w:val="18"/>
              </w:rPr>
            </w:pPr>
            <w:r w:rsidRPr="00377F6F">
              <w:rPr>
                <w:rFonts w:ascii="Garamond" w:hAnsi="Garamond"/>
                <w:szCs w:val="18"/>
              </w:rPr>
              <w:t>Model type: NR.</w:t>
            </w:r>
          </w:p>
          <w:p w14:paraId="016614B5" w14:textId="77777777" w:rsidR="00FE4820" w:rsidRPr="00377F6F" w:rsidRDefault="00FE4820" w:rsidP="001436BE">
            <w:pPr>
              <w:pStyle w:val="06Tablebullet"/>
              <w:numPr>
                <w:ilvl w:val="0"/>
                <w:numId w:val="17"/>
              </w:numPr>
              <w:ind w:left="227" w:hanging="227"/>
              <w:rPr>
                <w:rFonts w:ascii="Garamond" w:hAnsi="Garamond"/>
                <w:szCs w:val="18"/>
              </w:rPr>
            </w:pPr>
            <w:r w:rsidRPr="00377F6F">
              <w:rPr>
                <w:rFonts w:ascii="Garamond" w:hAnsi="Garamond"/>
                <w:szCs w:val="18"/>
              </w:rPr>
              <w:t>Time horizon: 12 months.</w:t>
            </w:r>
          </w:p>
          <w:p w14:paraId="44350266" w14:textId="77777777" w:rsidR="00FE4820" w:rsidRPr="00377F6F" w:rsidRDefault="00FE4820" w:rsidP="001436BE">
            <w:pPr>
              <w:pStyle w:val="06Tablebullet"/>
              <w:numPr>
                <w:ilvl w:val="0"/>
                <w:numId w:val="17"/>
              </w:numPr>
              <w:ind w:left="227" w:hanging="227"/>
              <w:rPr>
                <w:rFonts w:ascii="Garamond" w:hAnsi="Garamond"/>
                <w:szCs w:val="18"/>
              </w:rPr>
            </w:pPr>
            <w:r w:rsidRPr="00377F6F">
              <w:rPr>
                <w:rFonts w:ascii="Garamond" w:hAnsi="Garamond"/>
                <w:szCs w:val="18"/>
              </w:rPr>
              <w:t>Cycle length: NR.</w:t>
            </w:r>
          </w:p>
        </w:tc>
        <w:tc>
          <w:tcPr>
            <w:tcW w:w="572" w:type="pct"/>
          </w:tcPr>
          <w:p w14:paraId="40A9E80F"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Medication prescribed, time employed by pharmacist, A&amp;E department visits, hospital admissions, investment in community pharmacy infrastructure and training.</w:t>
            </w:r>
          </w:p>
          <w:p w14:paraId="5138670F"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Discounting: none.</w:t>
            </w:r>
          </w:p>
          <w:p w14:paraId="7BD67B98"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Outcome: QALY.</w:t>
            </w:r>
          </w:p>
          <w:p w14:paraId="6E506B8E"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Utilities: EQ-5D-3L, Spanish version.</w:t>
            </w:r>
          </w:p>
        </w:tc>
        <w:tc>
          <w:tcPr>
            <w:tcW w:w="1354" w:type="pct"/>
          </w:tcPr>
          <w:p w14:paraId="1E3B11D0"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 xml:space="preserve">Authors’ findings: Both groups had reduced the mean number of prescribed medications they took, although this reduction was greater in the intervention group (0.28 ± 1.25 drugs; </w:t>
            </w:r>
            <w:r w:rsidRPr="00377F6F">
              <w:rPr>
                <w:rFonts w:ascii="Garamond" w:hAnsi="Garamond"/>
                <w:i/>
              </w:rPr>
              <w:t>p</w:t>
            </w:r>
            <w:r w:rsidRPr="00377F6F">
              <w:rPr>
                <w:rFonts w:ascii="Garamond" w:hAnsi="Garamond"/>
              </w:rPr>
              <w:t xml:space="preserve"> &lt;0.001) than in the control group (0.07 ± 0.95 drugs; </w:t>
            </w:r>
            <w:r w:rsidRPr="00377F6F">
              <w:rPr>
                <w:rFonts w:ascii="Garamond" w:hAnsi="Garamond"/>
                <w:i/>
              </w:rPr>
              <w:t>p</w:t>
            </w:r>
            <w:r w:rsidRPr="00377F6F">
              <w:rPr>
                <w:rFonts w:ascii="Garamond" w:hAnsi="Garamond"/>
              </w:rPr>
              <w:t xml:space="preserve"> = 0.063).  Patients in the intervention group saw their quality of life improved by 0.0528 ± 0.20 (</w:t>
            </w:r>
            <w:r w:rsidRPr="00377F6F">
              <w:rPr>
                <w:rFonts w:ascii="Garamond" w:hAnsi="Garamond"/>
                <w:i/>
              </w:rPr>
              <w:t>p</w:t>
            </w:r>
            <w:r w:rsidRPr="00377F6F">
              <w:rPr>
                <w:rFonts w:ascii="Garamond" w:hAnsi="Garamond"/>
              </w:rPr>
              <w:t> &lt;0.001).  In contrast, the control group experienced a slight reduction in their quality of life: 0.0022 ± 0.24 (</w:t>
            </w:r>
            <w:r w:rsidRPr="00377F6F">
              <w:rPr>
                <w:rFonts w:ascii="Garamond" w:hAnsi="Garamond"/>
                <w:i/>
              </w:rPr>
              <w:t>p</w:t>
            </w:r>
            <w:r w:rsidRPr="00377F6F">
              <w:rPr>
                <w:rFonts w:ascii="Garamond" w:hAnsi="Garamond"/>
              </w:rPr>
              <w:t xml:space="preserve"> = 0.815). </w:t>
            </w:r>
          </w:p>
          <w:p w14:paraId="5B270957" w14:textId="77777777" w:rsidR="00FE4820" w:rsidRPr="00377F6F" w:rsidRDefault="00FE4820" w:rsidP="001436BE">
            <w:pPr>
              <w:pStyle w:val="06Tablebullet"/>
              <w:numPr>
                <w:ilvl w:val="0"/>
                <w:numId w:val="17"/>
              </w:numPr>
              <w:ind w:left="227" w:hanging="227"/>
              <w:rPr>
                <w:rFonts w:ascii="Garamond" w:hAnsi="Garamond"/>
              </w:rPr>
            </w:pPr>
            <w:r w:rsidRPr="00377F6F">
              <w:rPr>
                <w:rFonts w:ascii="Garamond" w:hAnsi="Garamond"/>
              </w:rPr>
              <w:t xml:space="preserve">The mean total cost was €977.57 ± 1,455.88 for the intervention group and €1,173.44 ± 3,671.65 for the control group. In order to estimate the ICER, we used the costs adjusted for baseline medications and QALYs adjusted for baseline utility score, resulting in a mean incremental total cost of -€250.51 ± 148.61 (95 % CI -541.79 to 40.76) and a mean incremental QALY of 0.0156 ± 0.004 (95 % CI 0.008–0.023). Regarding the results from the CUA, the medication review service emerged as the dominant strategy. </w:t>
            </w:r>
          </w:p>
          <w:p w14:paraId="039E31F7" w14:textId="0C8EAD4B" w:rsidR="00FE4820" w:rsidRPr="00377F6F" w:rsidRDefault="00FE4820" w:rsidP="001436BE">
            <w:pPr>
              <w:pStyle w:val="06Tablebullet"/>
              <w:numPr>
                <w:ilvl w:val="0"/>
                <w:numId w:val="17"/>
              </w:numPr>
              <w:ind w:left="227" w:hanging="227"/>
              <w:rPr>
                <w:rFonts w:ascii="Garamond" w:hAnsi="Garamond"/>
                <w:b/>
              </w:rPr>
            </w:pPr>
            <w:r w:rsidRPr="00377F6F">
              <w:rPr>
                <w:rFonts w:ascii="Garamond" w:hAnsi="Garamond"/>
              </w:rPr>
              <w:t>Authors’ conclusion</w:t>
            </w:r>
            <w:r w:rsidRPr="00377F6F">
              <w:rPr>
                <w:rFonts w:ascii="Garamond" w:hAnsi="Garamond"/>
                <w:b/>
              </w:rPr>
              <w:t>:</w:t>
            </w:r>
            <w:r w:rsidRPr="00377F6F">
              <w:rPr>
                <w:rFonts w:ascii="Garamond" w:hAnsi="Garamond"/>
              </w:rPr>
              <w:t xml:space="preserve"> The medication review service is an effective intervention</w:t>
            </w:r>
            <w:r w:rsidRPr="00377F6F">
              <w:rPr>
                <w:rFonts w:ascii="Garamond" w:hAnsi="Garamond"/>
                <w:b/>
              </w:rPr>
              <w:t xml:space="preserve"> </w:t>
            </w:r>
            <w:r w:rsidRPr="00377F6F">
              <w:rPr>
                <w:rFonts w:ascii="Garamond" w:hAnsi="Garamond"/>
              </w:rPr>
              <w:t>for optimising prescribed medication and improving QoL in older adults with polypharmacy in community</w:t>
            </w:r>
            <w:r w:rsidRPr="00377F6F">
              <w:rPr>
                <w:rFonts w:ascii="Garamond" w:hAnsi="Garamond"/>
                <w:b/>
              </w:rPr>
              <w:t xml:space="preserve"> </w:t>
            </w:r>
            <w:r w:rsidRPr="00377F6F">
              <w:rPr>
                <w:rFonts w:ascii="Garamond" w:hAnsi="Garamond"/>
              </w:rPr>
              <w:t xml:space="preserve">pharmacies. The results from the </w:t>
            </w:r>
            <w:r w:rsidR="00660443">
              <w:rPr>
                <w:rFonts w:ascii="Garamond" w:hAnsi="Garamond"/>
              </w:rPr>
              <w:t>CUA</w:t>
            </w:r>
            <w:r w:rsidRPr="00377F6F">
              <w:rPr>
                <w:rFonts w:ascii="Garamond" w:hAnsi="Garamond"/>
              </w:rPr>
              <w:t xml:space="preserve"> suggest</w:t>
            </w:r>
            <w:r w:rsidRPr="00377F6F">
              <w:rPr>
                <w:rFonts w:ascii="Garamond" w:hAnsi="Garamond"/>
                <w:b/>
              </w:rPr>
              <w:t xml:space="preserve"> </w:t>
            </w:r>
            <w:r w:rsidRPr="00377F6F">
              <w:rPr>
                <w:rFonts w:ascii="Garamond" w:hAnsi="Garamond"/>
              </w:rPr>
              <w:t>that the MRF service is CE.</w:t>
            </w:r>
          </w:p>
        </w:tc>
        <w:tc>
          <w:tcPr>
            <w:tcW w:w="435" w:type="pct"/>
          </w:tcPr>
          <w:p w14:paraId="66EF7EA9" w14:textId="77777777" w:rsidR="00FE4820" w:rsidRPr="00377F6F" w:rsidRDefault="00FE4820" w:rsidP="001436BE">
            <w:pPr>
              <w:pStyle w:val="01Tableheaderrow"/>
              <w:rPr>
                <w:rFonts w:ascii="Garamond" w:hAnsi="Garamond"/>
                <w:b w:val="0"/>
                <w:snapToGrid w:val="0"/>
                <w:color w:val="auto"/>
              </w:rPr>
            </w:pPr>
            <w:r w:rsidRPr="00377F6F">
              <w:rPr>
                <w:rFonts w:ascii="Garamond" w:hAnsi="Garamond"/>
                <w:b w:val="0"/>
                <w:snapToGrid w:val="0"/>
                <w:color w:val="auto"/>
              </w:rPr>
              <w:t>NR</w:t>
            </w:r>
          </w:p>
        </w:tc>
      </w:tr>
    </w:tbl>
    <w:p w14:paraId="10C33B03" w14:textId="27A46255" w:rsidR="00955EFB" w:rsidRDefault="00FE4820" w:rsidP="00FE4820">
      <w:pPr>
        <w:pStyle w:val="08Tablefootnotes"/>
        <w:rPr>
          <w:rFonts w:ascii="Garamond" w:hAnsi="Garamond"/>
        </w:rPr>
      </w:pPr>
      <w:r w:rsidRPr="00790DB1">
        <w:rPr>
          <w:rFonts w:ascii="Garamond" w:hAnsi="Garamond"/>
        </w:rPr>
        <w:t>Abbreviations: A&amp;E, accident and emergency; CE, cost effective; CI, confidence interval; CUA, cost</w:t>
      </w:r>
      <w:r w:rsidR="0088796C">
        <w:rPr>
          <w:rFonts w:ascii="Garamond" w:hAnsi="Garamond"/>
        </w:rPr>
        <w:t>-</w:t>
      </w:r>
      <w:r w:rsidRPr="00790DB1">
        <w:rPr>
          <w:rFonts w:ascii="Garamond" w:hAnsi="Garamond"/>
        </w:rPr>
        <w:t>utility analysis; EQ-5D-3L, EuroQol five dimensions questionnaire with three levels of severity; HR-QoL, health-related quality of life; ICER, incremental cost-effectiveness ratio; NR, not reported; QALY, quality adjusted life year; QoL, quality of life; RC</w:t>
      </w:r>
      <w:r w:rsidR="00955EFB">
        <w:rPr>
          <w:rFonts w:ascii="Garamond" w:hAnsi="Garamond"/>
        </w:rPr>
        <w:t>T, randomised controlled trial</w:t>
      </w:r>
    </w:p>
    <w:p w14:paraId="685D18BD" w14:textId="77777777" w:rsidR="00955EFB" w:rsidRDefault="00955EFB" w:rsidP="00FE4820">
      <w:pPr>
        <w:pStyle w:val="08Tablefootnotes"/>
        <w:rPr>
          <w:rFonts w:ascii="Garamond" w:hAnsi="Garamond"/>
        </w:rPr>
      </w:pPr>
    </w:p>
    <w:p w14:paraId="568AFDE6" w14:textId="77777777" w:rsidR="00955EFB" w:rsidRDefault="00955EFB" w:rsidP="00FE4820">
      <w:pPr>
        <w:pStyle w:val="08Tablefootnotes"/>
        <w:rPr>
          <w:rFonts w:ascii="Garamond" w:hAnsi="Garamond"/>
        </w:rPr>
      </w:pPr>
    </w:p>
    <w:p w14:paraId="2D3B4855" w14:textId="77777777" w:rsidR="00955EFB" w:rsidRDefault="00955EFB" w:rsidP="00FE4820">
      <w:pPr>
        <w:pStyle w:val="08Tablefootnotes"/>
        <w:rPr>
          <w:rFonts w:ascii="Garamond" w:hAnsi="Garamond"/>
        </w:rPr>
        <w:sectPr w:rsidR="00955EFB" w:rsidSect="00A37D50">
          <w:pgSz w:w="16838" w:h="11906" w:orient="landscape" w:code="9"/>
          <w:pgMar w:top="1134" w:right="1134" w:bottom="1134" w:left="1134" w:header="680" w:footer="851" w:gutter="0"/>
          <w:cols w:space="708"/>
          <w:docGrid w:linePitch="360"/>
        </w:sectPr>
      </w:pPr>
    </w:p>
    <w:p w14:paraId="71A6EF11" w14:textId="78351BD3" w:rsidR="00FE4820" w:rsidRDefault="00FE4820" w:rsidP="00FE4820">
      <w:pPr>
        <w:pStyle w:val="BodyText"/>
      </w:pPr>
      <w:r>
        <w:lastRenderedPageBreak/>
        <w:t>The MEDMAN RCT</w:t>
      </w:r>
      <w:r w:rsidRPr="003F5152">
        <w:t xml:space="preserve"> by Bond et al (2007) </w:t>
      </w:r>
      <w:r>
        <w:t xml:space="preserve">performed an economic evaluation using cost-minimisation analysis.  The RCT included 1,493 patients with coronary heart disease.  Patients were </w:t>
      </w:r>
      <w:r w:rsidRPr="003F5152">
        <w:t>randomised (2:1) to intervention (receiving the M</w:t>
      </w:r>
      <w:r w:rsidR="00BF0EBA">
        <w:t>EDMAN</w:t>
      </w:r>
      <w:r w:rsidRPr="003F5152">
        <w:t xml:space="preserve"> service</w:t>
      </w:r>
      <w:r>
        <w:t>, n=980</w:t>
      </w:r>
      <w:r w:rsidRPr="003F5152">
        <w:t>) or control (receiving usual care</w:t>
      </w:r>
      <w:r>
        <w:t>, n=</w:t>
      </w:r>
      <w:r w:rsidRPr="003F5152">
        <w:t xml:space="preserve">513).  </w:t>
      </w:r>
      <w:r>
        <w:t>No statistically significant differences between intervention and control groups were shown at 12-month follow-up for any of the primary outcome measures such as prescription appropriateness</w:t>
      </w:r>
      <w:r w:rsidRPr="001B6701">
        <w:t xml:space="preserve">, future risk of cardiovascular death, adherence, or quality of life.  </w:t>
      </w:r>
    </w:p>
    <w:p w14:paraId="2C2E55DD" w14:textId="11077FB7" w:rsidR="00FE4820" w:rsidRDefault="00FE4820" w:rsidP="00FE4820">
      <w:pPr>
        <w:pStyle w:val="BodyText"/>
      </w:pPr>
      <w:r>
        <w:t>The study</w:t>
      </w:r>
      <w:r w:rsidRPr="003F5152">
        <w:t xml:space="preserve"> collected information on National Health Service (NHS) and patien</w:t>
      </w:r>
      <w:r>
        <w:t>t costs (based on 2015 UK prices).  All relevant P-values were from a multiple regression analysis to examine differences in costs at follow-up between the intervention and the control group, adjusted for differences in costs at baseline and clustering within pharmacy, GP practice and area (where necessary).  The analysis found that the difference at follow-up in total NHS-related cost (accounting for the cost of the pharmacy intervention) was statistically significant due to the cost of providing pharmacist training (</w:t>
      </w:r>
      <w:r>
        <w:fldChar w:fldCharType="begin"/>
      </w:r>
      <w:r>
        <w:instrText xml:space="preserve"> REF _Ref477263093 \h </w:instrText>
      </w:r>
      <w:r>
        <w:fldChar w:fldCharType="separate"/>
      </w:r>
      <w:r w:rsidR="009047A7">
        <w:t xml:space="preserve">Table </w:t>
      </w:r>
      <w:r w:rsidR="009047A7">
        <w:rPr>
          <w:noProof/>
        </w:rPr>
        <w:t>6</w:t>
      </w:r>
      <w:r w:rsidR="009047A7">
        <w:t>.</w:t>
      </w:r>
      <w:r w:rsidR="009047A7">
        <w:rPr>
          <w:noProof/>
        </w:rPr>
        <w:t>3</w:t>
      </w:r>
      <w:r>
        <w:fldChar w:fldCharType="end"/>
      </w:r>
      <w:r>
        <w:t>).  T</w:t>
      </w:r>
      <w:r w:rsidRPr="00294E4D">
        <w:t xml:space="preserve">he pharmacist-led service was </w:t>
      </w:r>
      <w:r>
        <w:t xml:space="preserve">found to be </w:t>
      </w:r>
      <w:r w:rsidRPr="00294E4D">
        <w:t>more expensive than standard care</w:t>
      </w:r>
      <w:r>
        <w:t>.</w:t>
      </w:r>
    </w:p>
    <w:p w14:paraId="08A0CE57" w14:textId="6B10285E" w:rsidR="00FE4820" w:rsidRDefault="00FE4820" w:rsidP="00FE4820">
      <w:pPr>
        <w:pStyle w:val="Caption"/>
      </w:pPr>
      <w:bookmarkStart w:id="53" w:name="_Ref477263093"/>
      <w:r>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6</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3</w:t>
      </w:r>
      <w:r w:rsidR="009047A7">
        <w:rPr>
          <w:noProof/>
        </w:rPr>
        <w:fldChar w:fldCharType="end"/>
      </w:r>
      <w:bookmarkEnd w:id="53"/>
      <w:r>
        <w:t>: Summary of costs per patient-cost</w:t>
      </w:r>
      <w:r w:rsidR="0088796C">
        <w:t>-</w:t>
      </w:r>
      <w:r>
        <w:t>minimisation analysis</w:t>
      </w:r>
    </w:p>
    <w:tbl>
      <w:tblPr>
        <w:tblStyle w:val="TableGrid"/>
        <w:tblW w:w="0" w:type="auto"/>
        <w:tblLook w:val="04A0" w:firstRow="1" w:lastRow="0" w:firstColumn="1" w:lastColumn="0" w:noHBand="0" w:noVBand="1"/>
        <w:tblCaption w:val="Table 6.3"/>
        <w:tblDescription w:val="Summary of costs per patient-cost-minimisation analysis"/>
      </w:tblPr>
      <w:tblGrid>
        <w:gridCol w:w="2547"/>
        <w:gridCol w:w="1554"/>
        <w:gridCol w:w="1555"/>
        <w:gridCol w:w="1555"/>
        <w:gridCol w:w="1555"/>
        <w:gridCol w:w="862"/>
      </w:tblGrid>
      <w:tr w:rsidR="00FE4820" w14:paraId="2951982E" w14:textId="77777777" w:rsidTr="001436BE">
        <w:trPr>
          <w:cnfStyle w:val="100000000000" w:firstRow="1" w:lastRow="0" w:firstColumn="0" w:lastColumn="0" w:oddVBand="0" w:evenVBand="0" w:oddHBand="0" w:evenHBand="0" w:firstRowFirstColumn="0" w:firstRowLastColumn="0" w:lastRowFirstColumn="0" w:lastRowLastColumn="0"/>
          <w:trHeight w:val="225"/>
        </w:trPr>
        <w:tc>
          <w:tcPr>
            <w:tcW w:w="2547" w:type="dxa"/>
            <w:tcBorders>
              <w:bottom w:val="nil"/>
            </w:tcBorders>
          </w:tcPr>
          <w:p w14:paraId="1C1884EC" w14:textId="77777777" w:rsidR="00FE4820" w:rsidRDefault="00FE4820" w:rsidP="001436BE">
            <w:pPr>
              <w:pStyle w:val="Table10ptheadingcentred"/>
            </w:pPr>
          </w:p>
        </w:tc>
        <w:tc>
          <w:tcPr>
            <w:tcW w:w="1554" w:type="dxa"/>
            <w:tcBorders>
              <w:bottom w:val="nil"/>
            </w:tcBorders>
          </w:tcPr>
          <w:p w14:paraId="73B016BE" w14:textId="77777777" w:rsidR="00FE4820" w:rsidRDefault="00FE4820" w:rsidP="001436BE">
            <w:pPr>
              <w:pStyle w:val="Table10ptheadingcentred"/>
              <w:jc w:val="right"/>
            </w:pPr>
            <w:r>
              <w:t xml:space="preserve">Intervention </w:t>
            </w:r>
          </w:p>
        </w:tc>
        <w:tc>
          <w:tcPr>
            <w:tcW w:w="1555" w:type="dxa"/>
            <w:tcBorders>
              <w:bottom w:val="nil"/>
            </w:tcBorders>
          </w:tcPr>
          <w:p w14:paraId="45655C07" w14:textId="77777777" w:rsidR="00FE4820" w:rsidRDefault="00FE4820" w:rsidP="001436BE">
            <w:pPr>
              <w:pStyle w:val="Table10ptheadingcentred"/>
              <w:jc w:val="left"/>
            </w:pPr>
            <w:r w:rsidRPr="0074061D">
              <w:t>(£)</w:t>
            </w:r>
          </w:p>
        </w:tc>
        <w:tc>
          <w:tcPr>
            <w:tcW w:w="1555" w:type="dxa"/>
            <w:tcBorders>
              <w:bottom w:val="nil"/>
            </w:tcBorders>
          </w:tcPr>
          <w:p w14:paraId="5C884CB0" w14:textId="77777777" w:rsidR="00FE4820" w:rsidRDefault="00FE4820" w:rsidP="001436BE">
            <w:pPr>
              <w:pStyle w:val="Table10ptheadingcentred"/>
              <w:jc w:val="right"/>
            </w:pPr>
            <w:r>
              <w:t xml:space="preserve">Control </w:t>
            </w:r>
          </w:p>
        </w:tc>
        <w:tc>
          <w:tcPr>
            <w:tcW w:w="1555" w:type="dxa"/>
            <w:tcBorders>
              <w:bottom w:val="nil"/>
            </w:tcBorders>
          </w:tcPr>
          <w:p w14:paraId="73F2D519" w14:textId="77777777" w:rsidR="00FE4820" w:rsidRDefault="00FE4820" w:rsidP="001436BE">
            <w:pPr>
              <w:pStyle w:val="Table10ptheadingcentred"/>
              <w:jc w:val="left"/>
            </w:pPr>
            <w:r>
              <w:t>(£)</w:t>
            </w:r>
          </w:p>
        </w:tc>
        <w:tc>
          <w:tcPr>
            <w:tcW w:w="862" w:type="dxa"/>
            <w:tcBorders>
              <w:bottom w:val="nil"/>
            </w:tcBorders>
          </w:tcPr>
          <w:p w14:paraId="45E62621" w14:textId="77777777" w:rsidR="00FE4820" w:rsidRDefault="00FE4820" w:rsidP="001436BE">
            <w:pPr>
              <w:pStyle w:val="Table10ptheadingcentred"/>
            </w:pPr>
          </w:p>
        </w:tc>
      </w:tr>
      <w:tr w:rsidR="00FE4820" w14:paraId="5D59FBE4" w14:textId="77777777" w:rsidTr="00626A83">
        <w:trPr>
          <w:trHeight w:val="225"/>
        </w:trPr>
        <w:tc>
          <w:tcPr>
            <w:tcW w:w="2547" w:type="dxa"/>
            <w:tcBorders>
              <w:top w:val="nil"/>
            </w:tcBorders>
            <w:shd w:val="clear" w:color="auto" w:fill="632423" w:themeFill="accent2" w:themeFillShade="80"/>
            <w:vAlign w:val="center"/>
          </w:tcPr>
          <w:p w14:paraId="3A47EE89" w14:textId="0542059F" w:rsidR="00FE4820" w:rsidRDefault="00626A83" w:rsidP="00626A83">
            <w:pPr>
              <w:pStyle w:val="Table10ptheadingcentred"/>
              <w:jc w:val="left"/>
            </w:pPr>
            <w:r>
              <w:t>Unit</w:t>
            </w:r>
          </w:p>
        </w:tc>
        <w:tc>
          <w:tcPr>
            <w:tcW w:w="1554" w:type="dxa"/>
            <w:tcBorders>
              <w:top w:val="nil"/>
            </w:tcBorders>
            <w:shd w:val="clear" w:color="auto" w:fill="632423" w:themeFill="accent2" w:themeFillShade="80"/>
          </w:tcPr>
          <w:p w14:paraId="7496BEBB" w14:textId="77777777" w:rsidR="00FE4820" w:rsidRDefault="00FE4820" w:rsidP="001436BE">
            <w:pPr>
              <w:pStyle w:val="Table10ptheadingcentred"/>
            </w:pPr>
            <w:r w:rsidRPr="00524A95">
              <w:t>Baseline median (IQR)</w:t>
            </w:r>
          </w:p>
        </w:tc>
        <w:tc>
          <w:tcPr>
            <w:tcW w:w="1555" w:type="dxa"/>
            <w:tcBorders>
              <w:top w:val="nil"/>
            </w:tcBorders>
            <w:shd w:val="clear" w:color="auto" w:fill="632423" w:themeFill="accent2" w:themeFillShade="80"/>
          </w:tcPr>
          <w:p w14:paraId="561FF847" w14:textId="77777777" w:rsidR="00FE4820" w:rsidRDefault="00FE4820" w:rsidP="001436BE">
            <w:pPr>
              <w:pStyle w:val="Table10ptheadingcentred"/>
            </w:pPr>
            <w:r w:rsidRPr="00524A95">
              <w:t>Follow-up median (IQR</w:t>
            </w:r>
            <w:r>
              <w:t>)</w:t>
            </w:r>
          </w:p>
        </w:tc>
        <w:tc>
          <w:tcPr>
            <w:tcW w:w="1555" w:type="dxa"/>
            <w:tcBorders>
              <w:top w:val="nil"/>
            </w:tcBorders>
            <w:shd w:val="clear" w:color="auto" w:fill="632423" w:themeFill="accent2" w:themeFillShade="80"/>
          </w:tcPr>
          <w:p w14:paraId="2384AECF" w14:textId="77777777" w:rsidR="00FE4820" w:rsidRDefault="00FE4820" w:rsidP="001436BE">
            <w:pPr>
              <w:pStyle w:val="Table10ptheadingcentred"/>
            </w:pPr>
            <w:r w:rsidRPr="00524A95">
              <w:t>Baseline median (IQR)</w:t>
            </w:r>
          </w:p>
        </w:tc>
        <w:tc>
          <w:tcPr>
            <w:tcW w:w="1555" w:type="dxa"/>
            <w:tcBorders>
              <w:top w:val="nil"/>
            </w:tcBorders>
            <w:shd w:val="clear" w:color="auto" w:fill="632423" w:themeFill="accent2" w:themeFillShade="80"/>
          </w:tcPr>
          <w:p w14:paraId="34330E12" w14:textId="77777777" w:rsidR="00FE4820" w:rsidRDefault="00FE4820" w:rsidP="001436BE">
            <w:pPr>
              <w:pStyle w:val="Table10ptheadingcentred"/>
            </w:pPr>
            <w:r w:rsidRPr="00524A95">
              <w:t>Follow-up median (IQR)</w:t>
            </w:r>
          </w:p>
        </w:tc>
        <w:tc>
          <w:tcPr>
            <w:tcW w:w="862" w:type="dxa"/>
            <w:tcBorders>
              <w:top w:val="nil"/>
            </w:tcBorders>
            <w:shd w:val="clear" w:color="auto" w:fill="632423" w:themeFill="accent2" w:themeFillShade="80"/>
          </w:tcPr>
          <w:p w14:paraId="25AF9E55" w14:textId="49ED1A81" w:rsidR="00FE4820" w:rsidRDefault="00FE4820" w:rsidP="001436BE">
            <w:pPr>
              <w:pStyle w:val="Table10ptheadingcentred"/>
            </w:pPr>
            <w:r w:rsidRPr="00524A95">
              <w:t>P</w:t>
            </w:r>
            <w:r w:rsidR="005A297C">
              <w:t xml:space="preserve"> </w:t>
            </w:r>
            <w:r w:rsidRPr="00524A95">
              <w:t>value</w:t>
            </w:r>
          </w:p>
        </w:tc>
      </w:tr>
      <w:tr w:rsidR="00FE4820" w14:paraId="678590C8" w14:textId="77777777" w:rsidTr="001436BE">
        <w:trPr>
          <w:cnfStyle w:val="000000010000" w:firstRow="0" w:lastRow="0" w:firstColumn="0" w:lastColumn="0" w:oddVBand="0" w:evenVBand="0" w:oddHBand="0" w:evenHBand="1" w:firstRowFirstColumn="0" w:firstRowLastColumn="0" w:lastRowFirstColumn="0" w:lastRowLastColumn="0"/>
        </w:trPr>
        <w:tc>
          <w:tcPr>
            <w:tcW w:w="2547" w:type="dxa"/>
          </w:tcPr>
          <w:p w14:paraId="602151F0" w14:textId="77777777" w:rsidR="00FE4820" w:rsidRDefault="00FE4820" w:rsidP="001436BE">
            <w:pPr>
              <w:pStyle w:val="Table10ptalignedleft"/>
            </w:pPr>
            <w:r w:rsidRPr="00500DC2">
              <w:t>Cost of CHD medicines</w:t>
            </w:r>
          </w:p>
        </w:tc>
        <w:tc>
          <w:tcPr>
            <w:tcW w:w="1554" w:type="dxa"/>
          </w:tcPr>
          <w:p w14:paraId="7951448B" w14:textId="77777777" w:rsidR="00FE4820" w:rsidRDefault="00FE4820" w:rsidP="001436BE">
            <w:pPr>
              <w:pStyle w:val="Table10ptalignedleft"/>
              <w:jc w:val="center"/>
            </w:pPr>
            <w:r w:rsidRPr="00500DC2">
              <w:t>347.7</w:t>
            </w:r>
          </w:p>
          <w:p w14:paraId="3DBF78F7" w14:textId="77777777" w:rsidR="00FE4820" w:rsidRDefault="00FE4820" w:rsidP="001436BE">
            <w:pPr>
              <w:pStyle w:val="Table10ptalignedleft"/>
              <w:jc w:val="center"/>
            </w:pPr>
            <w:r w:rsidRPr="00500DC2">
              <w:t>(207.8–526.1))</w:t>
            </w:r>
          </w:p>
        </w:tc>
        <w:tc>
          <w:tcPr>
            <w:tcW w:w="1555" w:type="dxa"/>
          </w:tcPr>
          <w:p w14:paraId="759067EE" w14:textId="77777777" w:rsidR="00FE4820" w:rsidRDefault="00FE4820" w:rsidP="001436BE">
            <w:pPr>
              <w:pStyle w:val="Table10ptalignedleft"/>
              <w:jc w:val="center"/>
            </w:pPr>
            <w:r w:rsidRPr="00500DC2">
              <w:t>422.6</w:t>
            </w:r>
          </w:p>
          <w:p w14:paraId="3FF00B40" w14:textId="77777777" w:rsidR="00FE4820" w:rsidRDefault="00FE4820" w:rsidP="001436BE">
            <w:pPr>
              <w:pStyle w:val="Table10ptalignedleft"/>
              <w:jc w:val="center"/>
            </w:pPr>
            <w:r w:rsidRPr="00500DC2">
              <w:t>(257.0–619.4)</w:t>
            </w:r>
          </w:p>
        </w:tc>
        <w:tc>
          <w:tcPr>
            <w:tcW w:w="1555" w:type="dxa"/>
          </w:tcPr>
          <w:p w14:paraId="76EC5E67" w14:textId="77777777" w:rsidR="00FE4820" w:rsidRDefault="00FE4820" w:rsidP="001436BE">
            <w:pPr>
              <w:pStyle w:val="Table10ptalignedleft"/>
              <w:jc w:val="center"/>
            </w:pPr>
            <w:r w:rsidRPr="00500DC2">
              <w:t>325.7</w:t>
            </w:r>
          </w:p>
          <w:p w14:paraId="64EE928C" w14:textId="77777777" w:rsidR="00FE4820" w:rsidRDefault="00FE4820" w:rsidP="001436BE">
            <w:pPr>
              <w:pStyle w:val="Table10ptalignedleft"/>
              <w:jc w:val="center"/>
            </w:pPr>
            <w:r w:rsidRPr="00500DC2">
              <w:t>(183.1–514.0)</w:t>
            </w:r>
          </w:p>
        </w:tc>
        <w:tc>
          <w:tcPr>
            <w:tcW w:w="1555" w:type="dxa"/>
          </w:tcPr>
          <w:p w14:paraId="2F78EBE3" w14:textId="77777777" w:rsidR="00FE4820" w:rsidRDefault="00FE4820" w:rsidP="001436BE">
            <w:pPr>
              <w:pStyle w:val="Table10ptalignedleft"/>
              <w:jc w:val="center"/>
            </w:pPr>
            <w:r>
              <w:t>411.6</w:t>
            </w:r>
          </w:p>
          <w:p w14:paraId="4CFE33F0" w14:textId="77777777" w:rsidR="00FE4820" w:rsidRDefault="00FE4820" w:rsidP="001436BE">
            <w:pPr>
              <w:pStyle w:val="Table10ptalignedleft"/>
              <w:jc w:val="center"/>
            </w:pPr>
            <w:r>
              <w:t>(249.4–600.8)</w:t>
            </w:r>
          </w:p>
        </w:tc>
        <w:tc>
          <w:tcPr>
            <w:tcW w:w="862" w:type="dxa"/>
          </w:tcPr>
          <w:p w14:paraId="4F1B5B2C" w14:textId="77777777" w:rsidR="00FE4820" w:rsidRDefault="00FE4820" w:rsidP="001436BE">
            <w:pPr>
              <w:pStyle w:val="Table10ptalignedleft"/>
              <w:jc w:val="center"/>
            </w:pPr>
            <w:r>
              <w:t>0.92</w:t>
            </w:r>
          </w:p>
        </w:tc>
      </w:tr>
      <w:tr w:rsidR="00FE4820" w14:paraId="6F58D392" w14:textId="77777777" w:rsidTr="001436BE">
        <w:trPr>
          <w:trHeight w:val="351"/>
        </w:trPr>
        <w:tc>
          <w:tcPr>
            <w:tcW w:w="2547" w:type="dxa"/>
          </w:tcPr>
          <w:p w14:paraId="0A1034C8" w14:textId="77777777" w:rsidR="00FE4820" w:rsidRDefault="00FE4820" w:rsidP="001436BE">
            <w:pPr>
              <w:pStyle w:val="Table10ptalignedleft"/>
            </w:pPr>
            <w:r w:rsidRPr="00500DC2">
              <w:t xml:space="preserve">Cost of </w:t>
            </w:r>
            <w:r>
              <w:t>non-</w:t>
            </w:r>
            <w:r w:rsidRPr="00500DC2">
              <w:t>CHD medicines</w:t>
            </w:r>
          </w:p>
        </w:tc>
        <w:tc>
          <w:tcPr>
            <w:tcW w:w="1554" w:type="dxa"/>
          </w:tcPr>
          <w:p w14:paraId="2AC59441" w14:textId="77777777" w:rsidR="00FE4820" w:rsidRDefault="00FE4820" w:rsidP="001436BE">
            <w:pPr>
              <w:pStyle w:val="Table10ptalignedleft"/>
              <w:jc w:val="center"/>
            </w:pPr>
            <w:r w:rsidRPr="00B76AF6">
              <w:t>244.2</w:t>
            </w:r>
          </w:p>
          <w:p w14:paraId="78D552E8" w14:textId="77777777" w:rsidR="00FE4820" w:rsidRDefault="00FE4820" w:rsidP="001436BE">
            <w:pPr>
              <w:pStyle w:val="Table10ptalignedleft"/>
              <w:jc w:val="center"/>
            </w:pPr>
            <w:r w:rsidRPr="00B76AF6">
              <w:t>(71.2–589.3)</w:t>
            </w:r>
          </w:p>
        </w:tc>
        <w:tc>
          <w:tcPr>
            <w:tcW w:w="1555" w:type="dxa"/>
          </w:tcPr>
          <w:p w14:paraId="2ADA918F" w14:textId="77777777" w:rsidR="00FE4820" w:rsidRDefault="00FE4820" w:rsidP="001436BE">
            <w:pPr>
              <w:pStyle w:val="Table10ptalignedleft"/>
              <w:jc w:val="center"/>
            </w:pPr>
            <w:r w:rsidRPr="00B76AF6">
              <w:t>200.6</w:t>
            </w:r>
          </w:p>
          <w:p w14:paraId="1E0ED76B" w14:textId="77777777" w:rsidR="00FE4820" w:rsidRDefault="00FE4820" w:rsidP="001436BE">
            <w:pPr>
              <w:pStyle w:val="Table10ptalignedleft"/>
              <w:jc w:val="center"/>
            </w:pPr>
            <w:r w:rsidRPr="00B76AF6">
              <w:t>(50.8–401.0</w:t>
            </w:r>
            <w:r>
              <w:t>)</w:t>
            </w:r>
          </w:p>
        </w:tc>
        <w:tc>
          <w:tcPr>
            <w:tcW w:w="1555" w:type="dxa"/>
          </w:tcPr>
          <w:p w14:paraId="3A6AEDC0" w14:textId="77777777" w:rsidR="00FE4820" w:rsidRDefault="00FE4820" w:rsidP="001436BE">
            <w:pPr>
              <w:pStyle w:val="Table10ptalignedleft"/>
              <w:jc w:val="center"/>
            </w:pPr>
            <w:r w:rsidRPr="00B76AF6">
              <w:t>222.7</w:t>
            </w:r>
          </w:p>
          <w:p w14:paraId="332FBC56" w14:textId="77777777" w:rsidR="00FE4820" w:rsidRDefault="00FE4820" w:rsidP="001436BE">
            <w:pPr>
              <w:pStyle w:val="Table10ptalignedleft"/>
              <w:jc w:val="center"/>
            </w:pPr>
            <w:r w:rsidRPr="00B76AF6">
              <w:t>(75.4–446.6)</w:t>
            </w:r>
          </w:p>
        </w:tc>
        <w:tc>
          <w:tcPr>
            <w:tcW w:w="1555" w:type="dxa"/>
          </w:tcPr>
          <w:p w14:paraId="49590410" w14:textId="77777777" w:rsidR="00FE4820" w:rsidRDefault="00FE4820" w:rsidP="001436BE">
            <w:pPr>
              <w:pStyle w:val="Table10ptalignedleft"/>
              <w:jc w:val="center"/>
            </w:pPr>
            <w:r w:rsidRPr="00B76AF6">
              <w:t>191.1</w:t>
            </w:r>
          </w:p>
          <w:p w14:paraId="76FDA4F6" w14:textId="77777777" w:rsidR="00FE4820" w:rsidRDefault="00FE4820" w:rsidP="001436BE">
            <w:pPr>
              <w:pStyle w:val="Table10ptalignedleft"/>
              <w:jc w:val="center"/>
            </w:pPr>
            <w:r>
              <w:t>(54.0–416.9)</w:t>
            </w:r>
          </w:p>
        </w:tc>
        <w:tc>
          <w:tcPr>
            <w:tcW w:w="862" w:type="dxa"/>
          </w:tcPr>
          <w:p w14:paraId="7BAE78AF" w14:textId="77777777" w:rsidR="00FE4820" w:rsidRDefault="00FE4820" w:rsidP="001436BE">
            <w:pPr>
              <w:pStyle w:val="Table10ptalignedleft"/>
              <w:jc w:val="center"/>
            </w:pPr>
            <w:r>
              <w:t>0.79</w:t>
            </w:r>
          </w:p>
        </w:tc>
      </w:tr>
      <w:tr w:rsidR="00FE4820" w14:paraId="364288F8" w14:textId="77777777" w:rsidTr="001436BE">
        <w:trPr>
          <w:cnfStyle w:val="000000010000" w:firstRow="0" w:lastRow="0" w:firstColumn="0" w:lastColumn="0" w:oddVBand="0" w:evenVBand="0" w:oddHBand="0" w:evenHBand="1" w:firstRowFirstColumn="0" w:firstRowLastColumn="0" w:lastRowFirstColumn="0" w:lastRowLastColumn="0"/>
        </w:trPr>
        <w:tc>
          <w:tcPr>
            <w:tcW w:w="2547" w:type="dxa"/>
          </w:tcPr>
          <w:p w14:paraId="3DB98DF0" w14:textId="77777777" w:rsidR="00FE4820" w:rsidRDefault="00FE4820" w:rsidP="001436BE">
            <w:pPr>
              <w:pStyle w:val="Table10ptalignedleft"/>
            </w:pPr>
            <w:r w:rsidRPr="00500DC2">
              <w:t>Cost of all medicines</w:t>
            </w:r>
          </w:p>
        </w:tc>
        <w:tc>
          <w:tcPr>
            <w:tcW w:w="1554" w:type="dxa"/>
          </w:tcPr>
          <w:p w14:paraId="1286FA72" w14:textId="77777777" w:rsidR="00FE4820" w:rsidRDefault="00FE4820" w:rsidP="001436BE">
            <w:pPr>
              <w:pStyle w:val="Table10ptalignedleft"/>
              <w:jc w:val="center"/>
            </w:pPr>
            <w:r>
              <w:t xml:space="preserve">597.5 </w:t>
            </w:r>
          </w:p>
          <w:p w14:paraId="5F429B1D" w14:textId="77777777" w:rsidR="00FE4820" w:rsidRDefault="00FE4820" w:rsidP="001436BE">
            <w:pPr>
              <w:pStyle w:val="Table10ptalignedleft"/>
              <w:jc w:val="center"/>
            </w:pPr>
            <w:r>
              <w:t>(344.1–963.7)</w:t>
            </w:r>
          </w:p>
        </w:tc>
        <w:tc>
          <w:tcPr>
            <w:tcW w:w="1555" w:type="dxa"/>
          </w:tcPr>
          <w:p w14:paraId="19458E1D" w14:textId="77777777" w:rsidR="00FE4820" w:rsidRDefault="00FE4820" w:rsidP="001436BE">
            <w:pPr>
              <w:pStyle w:val="Table10ptalignedleft"/>
              <w:jc w:val="center"/>
            </w:pPr>
            <w:r w:rsidRPr="00B76AF6">
              <w:t xml:space="preserve">605.2 </w:t>
            </w:r>
          </w:p>
          <w:p w14:paraId="1C69BB90" w14:textId="77777777" w:rsidR="00FE4820" w:rsidRDefault="00FE4820" w:rsidP="001436BE">
            <w:pPr>
              <w:pStyle w:val="Table10ptalignedleft"/>
              <w:jc w:val="center"/>
            </w:pPr>
            <w:r w:rsidRPr="00B76AF6">
              <w:t>(387.0–971.1)</w:t>
            </w:r>
          </w:p>
        </w:tc>
        <w:tc>
          <w:tcPr>
            <w:tcW w:w="1555" w:type="dxa"/>
          </w:tcPr>
          <w:p w14:paraId="1F4D52AA" w14:textId="77777777" w:rsidR="00FE4820" w:rsidRDefault="00FE4820" w:rsidP="001436BE">
            <w:pPr>
              <w:pStyle w:val="Table10ptalignedleft"/>
              <w:jc w:val="center"/>
            </w:pPr>
            <w:r w:rsidRPr="00B76AF6">
              <w:t xml:space="preserve">513.6 </w:t>
            </w:r>
          </w:p>
          <w:p w14:paraId="746904F1" w14:textId="77777777" w:rsidR="00FE4820" w:rsidRDefault="00FE4820" w:rsidP="001436BE">
            <w:pPr>
              <w:pStyle w:val="Table10ptalignedleft"/>
              <w:jc w:val="center"/>
            </w:pPr>
            <w:r w:rsidRPr="00B76AF6">
              <w:t>(312.1–848.5)</w:t>
            </w:r>
          </w:p>
        </w:tc>
        <w:tc>
          <w:tcPr>
            <w:tcW w:w="1555" w:type="dxa"/>
          </w:tcPr>
          <w:p w14:paraId="7BEF92CC" w14:textId="77777777" w:rsidR="00FE4820" w:rsidRDefault="00FE4820" w:rsidP="001436BE">
            <w:pPr>
              <w:pStyle w:val="Table10ptalignedleft"/>
              <w:jc w:val="center"/>
            </w:pPr>
            <w:r w:rsidRPr="00B76AF6">
              <w:t xml:space="preserve">584.9 </w:t>
            </w:r>
          </w:p>
          <w:p w14:paraId="30DFA90D" w14:textId="77777777" w:rsidR="00FE4820" w:rsidRDefault="00FE4820" w:rsidP="001436BE">
            <w:pPr>
              <w:pStyle w:val="Table10ptalignedleft"/>
              <w:jc w:val="center"/>
            </w:pPr>
            <w:r w:rsidRPr="00B76AF6">
              <w:t>(402.2–971.3)</w:t>
            </w:r>
          </w:p>
        </w:tc>
        <w:tc>
          <w:tcPr>
            <w:tcW w:w="862" w:type="dxa"/>
          </w:tcPr>
          <w:p w14:paraId="0F6524D4" w14:textId="77777777" w:rsidR="00FE4820" w:rsidRDefault="00FE4820" w:rsidP="001436BE">
            <w:pPr>
              <w:pStyle w:val="Table10ptalignedleft"/>
              <w:jc w:val="center"/>
            </w:pPr>
            <w:r>
              <w:t>0.04</w:t>
            </w:r>
          </w:p>
        </w:tc>
      </w:tr>
      <w:tr w:rsidR="00FE4820" w14:paraId="75ACEDA6" w14:textId="77777777" w:rsidTr="001436BE">
        <w:tc>
          <w:tcPr>
            <w:tcW w:w="2547" w:type="dxa"/>
          </w:tcPr>
          <w:p w14:paraId="318D7586" w14:textId="77777777" w:rsidR="00FE4820" w:rsidRDefault="00FE4820" w:rsidP="001436BE">
            <w:pPr>
              <w:pStyle w:val="Table10ptalignedleft"/>
            </w:pPr>
            <w:r w:rsidRPr="00500DC2">
              <w:t>NHS costs (GP and hospital visits)</w:t>
            </w:r>
          </w:p>
        </w:tc>
        <w:tc>
          <w:tcPr>
            <w:tcW w:w="1554" w:type="dxa"/>
          </w:tcPr>
          <w:p w14:paraId="1AE270F2" w14:textId="77777777" w:rsidR="00FE4820" w:rsidRDefault="00FE4820" w:rsidP="001436BE">
            <w:pPr>
              <w:pStyle w:val="Table10ptalignedleft"/>
              <w:jc w:val="center"/>
            </w:pPr>
            <w:r w:rsidRPr="00C43042">
              <w:t xml:space="preserve">139.7 </w:t>
            </w:r>
          </w:p>
          <w:p w14:paraId="7C13B087" w14:textId="77777777" w:rsidR="00FE4820" w:rsidRDefault="00FE4820" w:rsidP="001436BE">
            <w:pPr>
              <w:pStyle w:val="Table10ptalignedleft"/>
              <w:jc w:val="center"/>
            </w:pPr>
            <w:r w:rsidRPr="00C43042">
              <w:t xml:space="preserve">(70.1–321.5) </w:t>
            </w:r>
          </w:p>
        </w:tc>
        <w:tc>
          <w:tcPr>
            <w:tcW w:w="1555" w:type="dxa"/>
          </w:tcPr>
          <w:p w14:paraId="1A68293A" w14:textId="77777777" w:rsidR="00FE4820" w:rsidRDefault="00FE4820" w:rsidP="001436BE">
            <w:pPr>
              <w:pStyle w:val="Table10ptalignedleft"/>
              <w:jc w:val="center"/>
            </w:pPr>
            <w:r w:rsidRPr="00C43042">
              <w:t xml:space="preserve">127.4 </w:t>
            </w:r>
          </w:p>
          <w:p w14:paraId="2902450D" w14:textId="77777777" w:rsidR="00FE4820" w:rsidRDefault="00FE4820" w:rsidP="001436BE">
            <w:pPr>
              <w:pStyle w:val="Table10ptalignedleft"/>
              <w:jc w:val="center"/>
            </w:pPr>
            <w:r w:rsidRPr="00C43042">
              <w:t>(61.6–290.7)</w:t>
            </w:r>
          </w:p>
        </w:tc>
        <w:tc>
          <w:tcPr>
            <w:tcW w:w="1555" w:type="dxa"/>
          </w:tcPr>
          <w:p w14:paraId="571FD94A" w14:textId="77777777" w:rsidR="00FE4820" w:rsidRDefault="00FE4820" w:rsidP="001436BE">
            <w:pPr>
              <w:pStyle w:val="Table10ptalignedleft"/>
              <w:jc w:val="center"/>
            </w:pPr>
            <w:r w:rsidRPr="00C43042">
              <w:t xml:space="preserve">138.7 </w:t>
            </w:r>
          </w:p>
          <w:p w14:paraId="7BDFD65A" w14:textId="77777777" w:rsidR="00FE4820" w:rsidRDefault="00FE4820" w:rsidP="001436BE">
            <w:pPr>
              <w:pStyle w:val="Table10ptalignedleft"/>
              <w:jc w:val="center"/>
            </w:pPr>
            <w:r w:rsidRPr="00C43042">
              <w:t>(71.9–315.3)</w:t>
            </w:r>
          </w:p>
        </w:tc>
        <w:tc>
          <w:tcPr>
            <w:tcW w:w="1555" w:type="dxa"/>
          </w:tcPr>
          <w:p w14:paraId="552F3F2B" w14:textId="77777777" w:rsidR="00FE4820" w:rsidRDefault="00FE4820" w:rsidP="001436BE">
            <w:pPr>
              <w:pStyle w:val="Table10ptalignedleft"/>
              <w:jc w:val="center"/>
            </w:pPr>
            <w:r>
              <w:t xml:space="preserve">120.2 </w:t>
            </w:r>
          </w:p>
          <w:p w14:paraId="109733DC" w14:textId="77777777" w:rsidR="00FE4820" w:rsidRDefault="00FE4820" w:rsidP="001436BE">
            <w:pPr>
              <w:pStyle w:val="Table10ptalignedleft"/>
              <w:jc w:val="center"/>
            </w:pPr>
            <w:r>
              <w:t>(54.5–300.5)</w:t>
            </w:r>
          </w:p>
        </w:tc>
        <w:tc>
          <w:tcPr>
            <w:tcW w:w="862" w:type="dxa"/>
          </w:tcPr>
          <w:p w14:paraId="13AD2D3B" w14:textId="77777777" w:rsidR="00FE4820" w:rsidRDefault="00FE4820" w:rsidP="001436BE">
            <w:pPr>
              <w:pStyle w:val="Table10ptalignedleft"/>
              <w:jc w:val="center"/>
            </w:pPr>
            <w:r>
              <w:t>0.65</w:t>
            </w:r>
          </w:p>
        </w:tc>
      </w:tr>
      <w:tr w:rsidR="00FE4820" w14:paraId="458236EE" w14:textId="77777777" w:rsidTr="001436BE">
        <w:trPr>
          <w:cnfStyle w:val="000000010000" w:firstRow="0" w:lastRow="0" w:firstColumn="0" w:lastColumn="0" w:oddVBand="0" w:evenVBand="0" w:oddHBand="0" w:evenHBand="1" w:firstRowFirstColumn="0" w:firstRowLastColumn="0" w:lastRowFirstColumn="0" w:lastRowLastColumn="0"/>
        </w:trPr>
        <w:tc>
          <w:tcPr>
            <w:tcW w:w="2547" w:type="dxa"/>
          </w:tcPr>
          <w:p w14:paraId="0625E282" w14:textId="77777777" w:rsidR="00FE4820" w:rsidRPr="00500DC2" w:rsidRDefault="00FE4820" w:rsidP="001436BE">
            <w:pPr>
              <w:pStyle w:val="Table10ptalignedleft"/>
              <w:rPr>
                <w:vertAlign w:val="superscript"/>
              </w:rPr>
            </w:pPr>
            <w:r w:rsidRPr="00500DC2">
              <w:t>Total cost of usual treatment (medicines</w:t>
            </w:r>
            <w:r>
              <w:t xml:space="preserve"> plus NHS visits)</w:t>
            </w:r>
            <w:r>
              <w:rPr>
                <w:vertAlign w:val="superscript"/>
              </w:rPr>
              <w:t>a</w:t>
            </w:r>
          </w:p>
        </w:tc>
        <w:tc>
          <w:tcPr>
            <w:tcW w:w="1554" w:type="dxa"/>
          </w:tcPr>
          <w:p w14:paraId="766F4999" w14:textId="77777777" w:rsidR="00FE4820" w:rsidRDefault="00FE4820" w:rsidP="001436BE">
            <w:pPr>
              <w:pStyle w:val="Table10ptalignedleft"/>
              <w:jc w:val="center"/>
            </w:pPr>
            <w:r>
              <w:t>852.4 (480.6–1694.2)</w:t>
            </w:r>
          </w:p>
        </w:tc>
        <w:tc>
          <w:tcPr>
            <w:tcW w:w="1555" w:type="dxa"/>
          </w:tcPr>
          <w:p w14:paraId="26677183" w14:textId="77777777" w:rsidR="00FE4820" w:rsidRDefault="00FE4820" w:rsidP="001436BE">
            <w:pPr>
              <w:pStyle w:val="Table10ptalignedleft"/>
              <w:jc w:val="center"/>
            </w:pPr>
            <w:r w:rsidRPr="00C43042">
              <w:t>838.7 (544.1–1369.6)</w:t>
            </w:r>
          </w:p>
        </w:tc>
        <w:tc>
          <w:tcPr>
            <w:tcW w:w="1555" w:type="dxa"/>
          </w:tcPr>
          <w:p w14:paraId="697A7D0A" w14:textId="77777777" w:rsidR="00FE4820" w:rsidRDefault="00FE4820" w:rsidP="001436BE">
            <w:pPr>
              <w:pStyle w:val="Table10ptalignedleft"/>
              <w:jc w:val="center"/>
            </w:pPr>
            <w:r w:rsidRPr="00C43042">
              <w:t>737.8 (446.1–1239.7)</w:t>
            </w:r>
          </w:p>
        </w:tc>
        <w:tc>
          <w:tcPr>
            <w:tcW w:w="1555" w:type="dxa"/>
          </w:tcPr>
          <w:p w14:paraId="1B1BC94B" w14:textId="77777777" w:rsidR="00FE4820" w:rsidRDefault="00FE4820" w:rsidP="001436BE">
            <w:pPr>
              <w:pStyle w:val="Table10ptalignedleft"/>
              <w:jc w:val="center"/>
            </w:pPr>
            <w:r w:rsidRPr="00C43042">
              <w:t>835.2 (534.4–1396.3)</w:t>
            </w:r>
          </w:p>
        </w:tc>
        <w:tc>
          <w:tcPr>
            <w:tcW w:w="862" w:type="dxa"/>
          </w:tcPr>
          <w:p w14:paraId="140601DD" w14:textId="77777777" w:rsidR="00FE4820" w:rsidRDefault="00FE4820" w:rsidP="001436BE">
            <w:pPr>
              <w:pStyle w:val="Table10ptalignedleft"/>
              <w:jc w:val="center"/>
            </w:pPr>
            <w:r>
              <w:t>0.22</w:t>
            </w:r>
          </w:p>
        </w:tc>
      </w:tr>
      <w:tr w:rsidR="00FE4820" w14:paraId="4C38D12B" w14:textId="77777777" w:rsidTr="001436BE">
        <w:tc>
          <w:tcPr>
            <w:tcW w:w="2547" w:type="dxa"/>
          </w:tcPr>
          <w:p w14:paraId="2F82126B" w14:textId="77777777" w:rsidR="00FE4820" w:rsidRDefault="00FE4820" w:rsidP="001436BE">
            <w:pPr>
              <w:pStyle w:val="Table10ptalignedleft"/>
            </w:pPr>
            <w:r>
              <w:t>Cost of the intervention (pharmacist time and training)</w:t>
            </w:r>
          </w:p>
        </w:tc>
        <w:tc>
          <w:tcPr>
            <w:tcW w:w="1554" w:type="dxa"/>
          </w:tcPr>
          <w:p w14:paraId="2C095110" w14:textId="77777777" w:rsidR="00FE4820" w:rsidRDefault="00FE4820" w:rsidP="001436BE">
            <w:pPr>
              <w:pStyle w:val="Table10ptalignedleft"/>
              <w:jc w:val="center"/>
            </w:pPr>
            <w:r w:rsidRPr="00C43042">
              <w:t>0</w:t>
            </w:r>
          </w:p>
        </w:tc>
        <w:tc>
          <w:tcPr>
            <w:tcW w:w="1555" w:type="dxa"/>
          </w:tcPr>
          <w:p w14:paraId="7C77A382" w14:textId="77777777" w:rsidR="00FE4820" w:rsidRDefault="00FE4820" w:rsidP="001436BE">
            <w:pPr>
              <w:pStyle w:val="Table10ptalignedleft"/>
              <w:jc w:val="center"/>
            </w:pPr>
            <w:r w:rsidRPr="00524A95">
              <w:t>90 (60–118</w:t>
            </w:r>
            <w:r>
              <w:t>)</w:t>
            </w:r>
          </w:p>
        </w:tc>
        <w:tc>
          <w:tcPr>
            <w:tcW w:w="1555" w:type="dxa"/>
          </w:tcPr>
          <w:p w14:paraId="14C8A41F" w14:textId="77777777" w:rsidR="00FE4820" w:rsidRDefault="00FE4820" w:rsidP="001436BE">
            <w:pPr>
              <w:pStyle w:val="Table10ptalignedleft"/>
              <w:jc w:val="center"/>
            </w:pPr>
            <w:r>
              <w:t>0</w:t>
            </w:r>
          </w:p>
        </w:tc>
        <w:tc>
          <w:tcPr>
            <w:tcW w:w="1555" w:type="dxa"/>
          </w:tcPr>
          <w:p w14:paraId="704CF055" w14:textId="77777777" w:rsidR="00FE4820" w:rsidRDefault="00FE4820" w:rsidP="001436BE">
            <w:pPr>
              <w:pStyle w:val="Table10ptalignedleft"/>
              <w:jc w:val="center"/>
            </w:pPr>
            <w:r>
              <w:t>0</w:t>
            </w:r>
          </w:p>
        </w:tc>
        <w:tc>
          <w:tcPr>
            <w:tcW w:w="862" w:type="dxa"/>
          </w:tcPr>
          <w:p w14:paraId="52ACDA20" w14:textId="77777777" w:rsidR="00FE4820" w:rsidRDefault="00FE4820" w:rsidP="001436BE">
            <w:pPr>
              <w:pStyle w:val="Table10ptalignedleft"/>
              <w:jc w:val="center"/>
            </w:pPr>
            <w:r>
              <w:t>-</w:t>
            </w:r>
          </w:p>
        </w:tc>
      </w:tr>
      <w:tr w:rsidR="00FE4820" w14:paraId="7042ADE6" w14:textId="77777777" w:rsidTr="001436BE">
        <w:trPr>
          <w:cnfStyle w:val="000000010000" w:firstRow="0" w:lastRow="0" w:firstColumn="0" w:lastColumn="0" w:oddVBand="0" w:evenVBand="0" w:oddHBand="0" w:evenHBand="1" w:firstRowFirstColumn="0" w:firstRowLastColumn="0" w:lastRowFirstColumn="0" w:lastRowLastColumn="0"/>
        </w:trPr>
        <w:tc>
          <w:tcPr>
            <w:tcW w:w="2547" w:type="dxa"/>
          </w:tcPr>
          <w:p w14:paraId="3ABD4CC4" w14:textId="77777777" w:rsidR="00FE4820" w:rsidRPr="00524A95" w:rsidRDefault="00FE4820" w:rsidP="001436BE">
            <w:pPr>
              <w:pStyle w:val="Table10ptalignedleft"/>
              <w:rPr>
                <w:i/>
              </w:rPr>
            </w:pPr>
            <w:r w:rsidRPr="00524A95">
              <w:rPr>
                <w:i/>
              </w:rPr>
              <w:t>Total NHS-related study cost (medicines plus NHS visits plus intervention costs)</w:t>
            </w:r>
            <w:r w:rsidRPr="00524A95">
              <w:rPr>
                <w:i/>
                <w:vertAlign w:val="superscript"/>
              </w:rPr>
              <w:t>a</w:t>
            </w:r>
          </w:p>
        </w:tc>
        <w:tc>
          <w:tcPr>
            <w:tcW w:w="1554" w:type="dxa"/>
          </w:tcPr>
          <w:p w14:paraId="0B36D57F" w14:textId="77777777" w:rsidR="00FE4820" w:rsidRPr="00524A95" w:rsidRDefault="00FE4820" w:rsidP="001436BE">
            <w:pPr>
              <w:pStyle w:val="Table10ptalignedleft"/>
              <w:jc w:val="center"/>
              <w:rPr>
                <w:i/>
              </w:rPr>
            </w:pPr>
            <w:r w:rsidRPr="00524A95">
              <w:rPr>
                <w:i/>
              </w:rPr>
              <w:t xml:space="preserve">852.4 </w:t>
            </w:r>
          </w:p>
          <w:p w14:paraId="51A917E4" w14:textId="77777777" w:rsidR="00FE4820" w:rsidRPr="00524A95" w:rsidRDefault="00FE4820" w:rsidP="001436BE">
            <w:pPr>
              <w:pStyle w:val="Table10ptalignedleft"/>
              <w:jc w:val="center"/>
              <w:rPr>
                <w:i/>
              </w:rPr>
            </w:pPr>
            <w:r w:rsidRPr="00524A95">
              <w:rPr>
                <w:i/>
              </w:rPr>
              <w:t>(480.6–1694.2)</w:t>
            </w:r>
          </w:p>
        </w:tc>
        <w:tc>
          <w:tcPr>
            <w:tcW w:w="1555" w:type="dxa"/>
          </w:tcPr>
          <w:p w14:paraId="5F066CDA" w14:textId="77777777" w:rsidR="00FE4820" w:rsidRPr="00524A95" w:rsidRDefault="00FE4820" w:rsidP="001436BE">
            <w:pPr>
              <w:pStyle w:val="Table10ptalignedleft"/>
              <w:jc w:val="center"/>
              <w:rPr>
                <w:i/>
              </w:rPr>
            </w:pPr>
            <w:r w:rsidRPr="00524A95">
              <w:rPr>
                <w:i/>
              </w:rPr>
              <w:t xml:space="preserve">970.5 </w:t>
            </w:r>
          </w:p>
          <w:p w14:paraId="148ADE09" w14:textId="77777777" w:rsidR="00FE4820" w:rsidRPr="00524A95" w:rsidRDefault="00FE4820" w:rsidP="001436BE">
            <w:pPr>
              <w:pStyle w:val="Table10ptalignedleft"/>
              <w:jc w:val="center"/>
              <w:rPr>
                <w:i/>
              </w:rPr>
            </w:pPr>
            <w:r w:rsidRPr="00524A95">
              <w:rPr>
                <w:i/>
              </w:rPr>
              <w:t>(667.0–1489.0)</w:t>
            </w:r>
          </w:p>
        </w:tc>
        <w:tc>
          <w:tcPr>
            <w:tcW w:w="1555" w:type="dxa"/>
          </w:tcPr>
          <w:p w14:paraId="2E74B5E5" w14:textId="77777777" w:rsidR="00FE4820" w:rsidRPr="00524A95" w:rsidRDefault="00FE4820" w:rsidP="001436BE">
            <w:pPr>
              <w:pStyle w:val="Table10ptalignedleft"/>
              <w:jc w:val="center"/>
              <w:rPr>
                <w:i/>
              </w:rPr>
            </w:pPr>
            <w:r w:rsidRPr="00524A95">
              <w:rPr>
                <w:i/>
              </w:rPr>
              <w:t xml:space="preserve">737.8 </w:t>
            </w:r>
          </w:p>
          <w:p w14:paraId="4E72D5A0" w14:textId="77777777" w:rsidR="00FE4820" w:rsidRPr="00524A95" w:rsidRDefault="00FE4820" w:rsidP="001436BE">
            <w:pPr>
              <w:pStyle w:val="Table10ptalignedleft"/>
              <w:jc w:val="center"/>
              <w:rPr>
                <w:i/>
              </w:rPr>
            </w:pPr>
            <w:r w:rsidRPr="00524A95">
              <w:rPr>
                <w:i/>
              </w:rPr>
              <w:t>(446.1–1239.7)</w:t>
            </w:r>
          </w:p>
        </w:tc>
        <w:tc>
          <w:tcPr>
            <w:tcW w:w="1555" w:type="dxa"/>
          </w:tcPr>
          <w:p w14:paraId="267A4740" w14:textId="77777777" w:rsidR="00FE4820" w:rsidRPr="00524A95" w:rsidRDefault="00FE4820" w:rsidP="001436BE">
            <w:pPr>
              <w:pStyle w:val="Table10ptalignedleft"/>
              <w:jc w:val="center"/>
              <w:rPr>
                <w:i/>
              </w:rPr>
            </w:pPr>
            <w:r w:rsidRPr="00524A95">
              <w:rPr>
                <w:i/>
              </w:rPr>
              <w:t xml:space="preserve">835.2 </w:t>
            </w:r>
          </w:p>
          <w:p w14:paraId="3C0C19D9" w14:textId="77777777" w:rsidR="00FE4820" w:rsidRPr="00524A95" w:rsidRDefault="00FE4820" w:rsidP="001436BE">
            <w:pPr>
              <w:pStyle w:val="Table10ptalignedleft"/>
              <w:jc w:val="center"/>
              <w:rPr>
                <w:i/>
              </w:rPr>
            </w:pPr>
            <w:r w:rsidRPr="00524A95">
              <w:rPr>
                <w:i/>
              </w:rPr>
              <w:t>(534.4–1396.3)</w:t>
            </w:r>
          </w:p>
        </w:tc>
        <w:tc>
          <w:tcPr>
            <w:tcW w:w="862" w:type="dxa"/>
          </w:tcPr>
          <w:p w14:paraId="37486B21" w14:textId="77777777" w:rsidR="00FE4820" w:rsidRPr="00524A95" w:rsidRDefault="00FE4820" w:rsidP="001436BE">
            <w:pPr>
              <w:pStyle w:val="Table10ptalignedleft"/>
              <w:jc w:val="center"/>
              <w:rPr>
                <w:i/>
              </w:rPr>
            </w:pPr>
            <w:r w:rsidRPr="00524A95">
              <w:rPr>
                <w:i/>
              </w:rPr>
              <w:t>&lt;0.0001</w:t>
            </w:r>
          </w:p>
        </w:tc>
      </w:tr>
    </w:tbl>
    <w:p w14:paraId="49163363" w14:textId="77777777" w:rsidR="00FE4820" w:rsidRDefault="00FE4820" w:rsidP="00FE4820">
      <w:pPr>
        <w:pStyle w:val="TableorFigurefootnote"/>
      </w:pPr>
      <w:r>
        <w:t>Source: Bond et al (2007), Table 5, p. 196</w:t>
      </w:r>
    </w:p>
    <w:p w14:paraId="73BE26EB" w14:textId="77777777" w:rsidR="00FE4820" w:rsidRDefault="00FE4820" w:rsidP="00FE4820">
      <w:pPr>
        <w:pStyle w:val="TableorFigurefootnote"/>
      </w:pPr>
      <w:r>
        <w:t>Abbreviations: CHD, coronary heart disease; GP, general practitioner; NHS, National Health Service</w:t>
      </w:r>
    </w:p>
    <w:p w14:paraId="60E7E9EC" w14:textId="77777777" w:rsidR="00FE4820" w:rsidRDefault="00FE4820" w:rsidP="00FE4820">
      <w:pPr>
        <w:pStyle w:val="TableorFigurefootnote"/>
      </w:pPr>
      <w:r>
        <w:t xml:space="preserve">a </w:t>
      </w:r>
      <w:r w:rsidRPr="00500DC2">
        <w:t>Total costs will not be the sum of presented components as these are all median values</w:t>
      </w:r>
    </w:p>
    <w:p w14:paraId="6BDC62B4" w14:textId="77777777" w:rsidR="003077AE" w:rsidRDefault="003077AE" w:rsidP="003077AE">
      <w:pPr>
        <w:pStyle w:val="BodyText"/>
      </w:pPr>
    </w:p>
    <w:p w14:paraId="00C3880F" w14:textId="77777777" w:rsidR="003077AE" w:rsidRDefault="003077AE" w:rsidP="003077AE">
      <w:pPr>
        <w:pStyle w:val="BodyText"/>
        <w:sectPr w:rsidR="003077AE" w:rsidSect="00955EFB">
          <w:pgSz w:w="11906" w:h="16838" w:code="9"/>
          <w:pgMar w:top="1134" w:right="1134" w:bottom="1134" w:left="1134" w:header="680" w:footer="851" w:gutter="0"/>
          <w:cols w:space="708"/>
          <w:docGrid w:linePitch="360"/>
        </w:sectPr>
      </w:pPr>
    </w:p>
    <w:p w14:paraId="799435DD" w14:textId="77777777" w:rsidR="00CB393E" w:rsidRDefault="00CB393E" w:rsidP="00CB393E">
      <w:pPr>
        <w:pStyle w:val="Heading1"/>
      </w:pPr>
      <w:r>
        <w:lastRenderedPageBreak/>
        <w:br/>
      </w:r>
      <w:bookmarkStart w:id="54" w:name="_Toc522873486"/>
      <w:r>
        <w:t>Utilisation Analysis</w:t>
      </w:r>
      <w:bookmarkEnd w:id="54"/>
    </w:p>
    <w:p w14:paraId="53CADDF5" w14:textId="06808998" w:rsidR="00552EAE" w:rsidRDefault="00552EAE" w:rsidP="00552EAE">
      <w:pPr>
        <w:pStyle w:val="01BODYTEXT"/>
      </w:pPr>
      <w:bookmarkStart w:id="55" w:name="_Toc476584412"/>
      <w:r w:rsidRPr="00EF4180">
        <w:t>This Chapter examines the claims payment data held by the Department of H</w:t>
      </w:r>
      <w:r>
        <w:t>uman Services</w:t>
      </w:r>
      <w:r w:rsidRPr="00EF4180">
        <w:t xml:space="preserve"> and the Pharmacy Guild</w:t>
      </w:r>
      <w:r>
        <w:t xml:space="preserve"> relating to 2011 to 2016</w:t>
      </w:r>
      <w:r w:rsidRPr="00EF4180">
        <w:t>.  The data have been analysed primarily on inter-record and longitudinal relationships and also in the context of ‘remoteness’ inferred fr</w:t>
      </w:r>
      <w:r>
        <w:t>om the pharmacy</w:t>
      </w:r>
      <w:r w:rsidRPr="00EF4180">
        <w:t xml:space="preserve"> postcode.  </w:t>
      </w:r>
      <w:r>
        <w:t>The analysis seeks to assess whether the MedsChecks’</w:t>
      </w:r>
      <w:r w:rsidRPr="00B16E77">
        <w:t xml:space="preserve"> </w:t>
      </w:r>
      <w:r>
        <w:t>pharmacies</w:t>
      </w:r>
      <w:r w:rsidRPr="00EF4180">
        <w:t xml:space="preserve"> were implementing the</w:t>
      </w:r>
      <w:r>
        <w:t xml:space="preserve"> two</w:t>
      </w:r>
      <w:r w:rsidRPr="00EF4180">
        <w:t xml:space="preserve"> </w:t>
      </w:r>
      <w:r w:rsidR="009D71A7">
        <w:t xml:space="preserve">initiatives </w:t>
      </w:r>
      <w:r>
        <w:t>(i</w:t>
      </w:r>
      <w:r w:rsidR="009D71A7">
        <w:t>.</w:t>
      </w:r>
      <w:r>
        <w:t>e</w:t>
      </w:r>
      <w:r w:rsidR="009D71A7">
        <w:t>.</w:t>
      </w:r>
      <w:r>
        <w:t xml:space="preserve"> </w:t>
      </w:r>
      <w:r w:rsidR="009D71A7">
        <w:t xml:space="preserve">MedsCheck </w:t>
      </w:r>
      <w:r>
        <w:t>and Diabetes MedsCheck)</w:t>
      </w:r>
      <w:r w:rsidRPr="00EF4180">
        <w:t xml:space="preserve"> in line with </w:t>
      </w:r>
      <w:r>
        <w:t>g</w:t>
      </w:r>
      <w:r w:rsidRPr="00EF4180">
        <w:t>uidance</w:t>
      </w:r>
      <w:r>
        <w:t xml:space="preserve">. </w:t>
      </w:r>
      <w:r w:rsidRPr="00EF4180">
        <w:t xml:space="preserve"> </w:t>
      </w:r>
      <w:r w:rsidRPr="00F5001A">
        <w:t xml:space="preserve">Key metrics in the analysis are the amount of claims paid, the number of patient </w:t>
      </w:r>
      <w:r w:rsidR="009D71A7">
        <w:t>MedsCheck</w:t>
      </w:r>
      <w:r w:rsidR="009D71A7" w:rsidRPr="00F5001A">
        <w:t xml:space="preserve"> </w:t>
      </w:r>
      <w:r w:rsidRPr="00F5001A">
        <w:t xml:space="preserve">and Diabetes MedsCheck services provided, the interval time between dates of service for patients who received more than one service, the number of prescription medicines </w:t>
      </w:r>
      <w:r>
        <w:t xml:space="preserve">that </w:t>
      </w:r>
      <w:r w:rsidRPr="00F5001A">
        <w:t xml:space="preserve">the patient </w:t>
      </w:r>
      <w:r>
        <w:t>i</w:t>
      </w:r>
      <w:r w:rsidRPr="00F5001A">
        <w:t>s taking, the number of chronic conditions that the patent has and summary information at patient level about the recommendations from their MedsChecks.</w:t>
      </w:r>
      <w:r w:rsidR="009D71A7">
        <w:t xml:space="preserve">  MedsCheck </w:t>
      </w:r>
      <w:r w:rsidRPr="00F5001A">
        <w:t>and Diabetes MedsChecks are analysed separately.</w:t>
      </w:r>
    </w:p>
    <w:p w14:paraId="28B1D114" w14:textId="2909C9D4" w:rsidR="00552EAE" w:rsidRPr="00303980" w:rsidRDefault="00552EAE" w:rsidP="00552EAE">
      <w:pPr>
        <w:pStyle w:val="Heading2"/>
        <w:numPr>
          <w:ilvl w:val="1"/>
          <w:numId w:val="37"/>
        </w:numPr>
      </w:pPr>
      <w:r>
        <w:t xml:space="preserve">Claims made and amount per </w:t>
      </w:r>
      <w:bookmarkEnd w:id="55"/>
      <w:r w:rsidR="009D71A7">
        <w:t>Medscheck claim</w:t>
      </w:r>
    </w:p>
    <w:p w14:paraId="48AEB446" w14:textId="0CE03EF7" w:rsidR="00552EAE" w:rsidRDefault="008424AB" w:rsidP="00552EAE">
      <w:pPr>
        <w:pStyle w:val="BodyText"/>
      </w:pPr>
      <w:r>
        <w:fldChar w:fldCharType="begin"/>
      </w:r>
      <w:r>
        <w:instrText xml:space="preserve"> REF _Ref478566328 \h </w:instrText>
      </w:r>
      <w:r>
        <w:fldChar w:fldCharType="separate"/>
      </w:r>
      <w:r w:rsidR="009047A7">
        <w:t xml:space="preserve">Figure </w:t>
      </w:r>
      <w:r w:rsidR="009047A7">
        <w:rPr>
          <w:noProof/>
        </w:rPr>
        <w:t>7</w:t>
      </w:r>
      <w:r w:rsidR="009047A7">
        <w:t>.</w:t>
      </w:r>
      <w:r w:rsidR="009047A7">
        <w:rPr>
          <w:noProof/>
        </w:rPr>
        <w:t>1</w:t>
      </w:r>
      <w:r>
        <w:fldChar w:fldCharType="end"/>
      </w:r>
      <w:r>
        <w:t xml:space="preserve"> </w:t>
      </w:r>
      <w:r w:rsidR="00552EAE">
        <w:t>shows the average payment per claim (between July 2012 and June 2016 based upon the date of service) compared with the number of unique patients receiving MedsChecks over the same period. The average claim amount remained stable (between $55 and $63).</w:t>
      </w:r>
    </w:p>
    <w:p w14:paraId="7146AA42" w14:textId="2916CEA6" w:rsidR="00552EAE" w:rsidRDefault="008424AB" w:rsidP="008424AB">
      <w:pPr>
        <w:pStyle w:val="Caption"/>
      </w:pPr>
      <w:bookmarkStart w:id="56" w:name="_Ref478566328"/>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w:t>
      </w:r>
      <w:r w:rsidR="009047A7">
        <w:rPr>
          <w:noProof/>
        </w:rPr>
        <w:fldChar w:fldCharType="end"/>
      </w:r>
      <w:bookmarkEnd w:id="56"/>
      <w:r>
        <w:t xml:space="preserve">:  </w:t>
      </w:r>
      <w:r w:rsidR="00552EAE" w:rsidRPr="00C36BE0">
        <w:t xml:space="preserve">Movement in </w:t>
      </w:r>
      <w:r w:rsidR="00552EAE">
        <w:t>average payment per claim</w:t>
      </w:r>
      <w:r w:rsidR="00552EAE" w:rsidRPr="00C36BE0">
        <w:t xml:space="preserve"> and patient volume July 2012 to June 2016</w:t>
      </w:r>
    </w:p>
    <w:p w14:paraId="3EFE9518" w14:textId="77777777" w:rsidR="00552EAE" w:rsidRDefault="00552EAE" w:rsidP="00552EAE">
      <w:pPr>
        <w:pStyle w:val="BodyText"/>
        <w:jc w:val="center"/>
        <w:rPr>
          <w:rFonts w:eastAsiaTheme="minorHAnsi" w:cstheme="minorBidi"/>
          <w:sz w:val="16"/>
          <w:szCs w:val="16"/>
        </w:rPr>
      </w:pPr>
      <w:r>
        <w:rPr>
          <w:rFonts w:eastAsiaTheme="minorHAnsi" w:cstheme="minorBidi"/>
          <w:noProof/>
          <w:sz w:val="16"/>
          <w:szCs w:val="16"/>
          <w:lang w:eastAsia="en-AU"/>
        </w:rPr>
        <w:drawing>
          <wp:inline distT="0" distB="0" distL="0" distR="0" wp14:anchorId="17BF4EFD" wp14:editId="2587F064">
            <wp:extent cx="6120130" cy="2191385"/>
            <wp:effectExtent l="0" t="0" r="0" b="0"/>
            <wp:docPr id="6" name="Picture 6" descr="Figure 7.1 This figure shows the movement in average payment per claim and patient volume between July 2012 and June 2016." title="Fig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7.1 patient vol and claim amount REG update.png"/>
                    <pic:cNvPicPr/>
                  </pic:nvPicPr>
                  <pic:blipFill>
                    <a:blip r:embed="rId19">
                      <a:extLst>
                        <a:ext uri="{28A0092B-C50C-407E-A947-70E740481C1C}">
                          <a14:useLocalDpi xmlns:a14="http://schemas.microsoft.com/office/drawing/2010/main" val="0"/>
                        </a:ext>
                      </a:extLst>
                    </a:blip>
                    <a:stretch>
                      <a:fillRect/>
                    </a:stretch>
                  </pic:blipFill>
                  <pic:spPr>
                    <a:xfrm>
                      <a:off x="0" y="0"/>
                      <a:ext cx="6120130" cy="2191385"/>
                    </a:xfrm>
                    <a:prstGeom prst="rect">
                      <a:avLst/>
                    </a:prstGeom>
                  </pic:spPr>
                </pic:pic>
              </a:graphicData>
            </a:graphic>
          </wp:inline>
        </w:drawing>
      </w:r>
      <w:r w:rsidRPr="00CC5793">
        <w:rPr>
          <w:rFonts w:eastAsiaTheme="minorHAnsi" w:cstheme="minorBidi"/>
          <w:sz w:val="16"/>
          <w:szCs w:val="16"/>
        </w:rPr>
        <w:t xml:space="preserve">Source: DHS claims systems extracts for years 2011/12, 2012/13 and 2013/14, Pharmacy Guild claims systems extracts for years 2014/15 and 2015/16. </w:t>
      </w:r>
    </w:p>
    <w:p w14:paraId="47AAA1F2" w14:textId="31C881D3" w:rsidR="00552EAE" w:rsidRDefault="00552EAE" w:rsidP="00552EAE">
      <w:pPr>
        <w:pStyle w:val="BodyText"/>
      </w:pPr>
      <w:r>
        <w:t>There is a sharp but transient increase in the number of patients between Quarter 2, 2013 and Quarter 2, 2014, the number of unique patients increases from 26,135 in Quarter 1, 2013 to 85,598 unique patients (an increase of 228%) in the following quarter and are sustained at considerably higher levels until Quarter 2, 2014 when they return to near-pre-peak levels of 21,536 patient</w:t>
      </w:r>
      <w:r w:rsidRPr="00A1034A">
        <w:t>s</w:t>
      </w:r>
      <w:r>
        <w:t>.</w:t>
      </w:r>
      <w:r w:rsidRPr="00A1034A">
        <w:t xml:space="preserve"> </w:t>
      </w:r>
      <w:r>
        <w:t xml:space="preserve"> </w:t>
      </w:r>
      <w:r w:rsidRPr="00A1034A">
        <w:t>Th</w:t>
      </w:r>
      <w:r>
        <w:t>e</w:t>
      </w:r>
      <w:r w:rsidRPr="00A1034A">
        <w:t xml:space="preserve"> spike in activity reflect</w:t>
      </w:r>
      <w:r>
        <w:t>s</w:t>
      </w:r>
      <w:r w:rsidRPr="00A1034A">
        <w:t xml:space="preserve"> the scheme’s</w:t>
      </w:r>
      <w:r>
        <w:t xml:space="preserve"> rapid and</w:t>
      </w:r>
      <w:r w:rsidRPr="00A1034A">
        <w:t xml:space="preserve"> unexpectedly high uptake</w:t>
      </w:r>
      <w:r>
        <w:t xml:space="preserve"> and prompted</w:t>
      </w:r>
      <w:r w:rsidRPr="00A1034A">
        <w:t xml:space="preserve"> the introduction of a MedsCheck cap in early 2014</w:t>
      </w:r>
      <w:r w:rsidR="009D71A7">
        <w:t xml:space="preserve"> </w:t>
      </w:r>
      <w:r w:rsidR="009D71A7" w:rsidRPr="005624BD">
        <w:t>(</w:t>
      </w:r>
      <w:r w:rsidRPr="005624BD">
        <w:t>set at</w:t>
      </w:r>
      <w:r w:rsidR="005624BD" w:rsidRPr="005624BD">
        <w:t xml:space="preserve"> a combined total of 10 MedsCheck or Diabetes MedsCheck services </w:t>
      </w:r>
      <w:r w:rsidRPr="005624BD">
        <w:t>per month, per pharmacy</w:t>
      </w:r>
      <w:r w:rsidR="009D71A7" w:rsidRPr="005624BD">
        <w:t>)</w:t>
      </w:r>
      <w:r w:rsidRPr="005624BD">
        <w:t>.</w:t>
      </w:r>
      <w:r>
        <w:t xml:space="preserve">  If we ignore the unexpected uplift and the subsequent corrective action, MedsChecks have grown more modestly (but still significantly), from 17,480 patients in Quarter 4 2012 to 29,330 patients in Quarter 2 2016, an increase of 11,850 patients or 67.8%.</w:t>
      </w:r>
    </w:p>
    <w:p w14:paraId="78138DCA" w14:textId="61402A7D" w:rsidR="00552EAE" w:rsidRDefault="00552EAE" w:rsidP="00552EAE">
      <w:pPr>
        <w:pStyle w:val="Heading2"/>
        <w:numPr>
          <w:ilvl w:val="1"/>
          <w:numId w:val="37"/>
        </w:numPr>
      </w:pPr>
      <w:bookmarkStart w:id="57" w:name="_Toc476584413"/>
      <w:r>
        <w:lastRenderedPageBreak/>
        <w:t>Recommendations made</w:t>
      </w:r>
      <w:bookmarkEnd w:id="57"/>
      <w:r>
        <w:t xml:space="preserve"> from MedsChecks</w:t>
      </w:r>
    </w:p>
    <w:p w14:paraId="21336629" w14:textId="746262B3" w:rsidR="00552EAE" w:rsidRPr="00CC5793" w:rsidRDefault="00B64357" w:rsidP="00552EAE">
      <w:pPr>
        <w:pStyle w:val="BodyText"/>
        <w:rPr>
          <w:rFonts w:eastAsiaTheme="minorHAnsi" w:cstheme="minorBidi"/>
          <w:sz w:val="16"/>
          <w:szCs w:val="16"/>
        </w:rPr>
      </w:pPr>
      <w:r>
        <w:fldChar w:fldCharType="begin"/>
      </w:r>
      <w:r>
        <w:instrText xml:space="preserve"> REF _Ref522795412 \h </w:instrText>
      </w:r>
      <w:r>
        <w:fldChar w:fldCharType="separate"/>
      </w:r>
      <w:r w:rsidR="009047A7">
        <w:t xml:space="preserve">Figure </w:t>
      </w:r>
      <w:r w:rsidR="009047A7">
        <w:rPr>
          <w:noProof/>
        </w:rPr>
        <w:t>7</w:t>
      </w:r>
      <w:r w:rsidR="009047A7">
        <w:t>.</w:t>
      </w:r>
      <w:r w:rsidR="009047A7">
        <w:rPr>
          <w:noProof/>
        </w:rPr>
        <w:t>2</w:t>
      </w:r>
      <w:r>
        <w:fldChar w:fldCharType="end"/>
      </w:r>
      <w:r w:rsidR="006335D1">
        <w:t xml:space="preserve"> </w:t>
      </w:r>
      <w:r w:rsidR="00552EAE">
        <w:t>examines the recommendations from patient’s MedsChecks that are captured along with the claims data.  The relative use of the different types of recommendations is quite consistent across all years with the exception of growth in recommendation of ‘Information’.  Between Quarter 3, 2013 and Quarter 2, 2014, the percentage of recommendations citing ‘Information’ increased from 36% to 81%.  Note that more than one recommendation can be provided per MedsCheck.</w:t>
      </w:r>
    </w:p>
    <w:p w14:paraId="4BE2FC66" w14:textId="37B4C0BF" w:rsidR="00552EAE" w:rsidRDefault="00B64357" w:rsidP="00B64357">
      <w:pPr>
        <w:pStyle w:val="Caption"/>
      </w:pPr>
      <w:bookmarkStart w:id="58" w:name="_Ref522795412"/>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2</w:t>
      </w:r>
      <w:r w:rsidR="009047A7">
        <w:rPr>
          <w:noProof/>
        </w:rPr>
        <w:fldChar w:fldCharType="end"/>
      </w:r>
      <w:bookmarkEnd w:id="58"/>
      <w:r w:rsidR="00552EAE" w:rsidRPr="00C36BE0">
        <w:t>: Recommendations July 2012 to June 2016</w:t>
      </w:r>
    </w:p>
    <w:p w14:paraId="5DF9B629" w14:textId="77777777" w:rsidR="00552EAE" w:rsidRDefault="00552EAE" w:rsidP="00552EAE">
      <w:pPr>
        <w:pStyle w:val="BodyText"/>
        <w:jc w:val="center"/>
      </w:pPr>
      <w:r>
        <w:rPr>
          <w:noProof/>
          <w:lang w:eastAsia="en-AU"/>
        </w:rPr>
        <w:drawing>
          <wp:inline distT="0" distB="0" distL="0" distR="0" wp14:anchorId="13EA4AE4" wp14:editId="58830F53">
            <wp:extent cx="6120130" cy="2364105"/>
            <wp:effectExtent l="0" t="0" r="0" b="0"/>
            <wp:docPr id="20" name="Picture 20" descr="Figure 7.2 This figure shows the recommendations from a patient's MedsChecks between July 2012 and June 2016." title="Fig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commendation Summary REG.png"/>
                    <pic:cNvPicPr/>
                  </pic:nvPicPr>
                  <pic:blipFill>
                    <a:blip r:embed="rId20">
                      <a:extLst>
                        <a:ext uri="{28A0092B-C50C-407E-A947-70E740481C1C}">
                          <a14:useLocalDpi xmlns:a14="http://schemas.microsoft.com/office/drawing/2010/main" val="0"/>
                        </a:ext>
                      </a:extLst>
                    </a:blip>
                    <a:stretch>
                      <a:fillRect/>
                    </a:stretch>
                  </pic:blipFill>
                  <pic:spPr>
                    <a:xfrm>
                      <a:off x="0" y="0"/>
                      <a:ext cx="6120130" cy="2364105"/>
                    </a:xfrm>
                    <a:prstGeom prst="rect">
                      <a:avLst/>
                    </a:prstGeom>
                  </pic:spPr>
                </pic:pic>
              </a:graphicData>
            </a:graphic>
          </wp:inline>
        </w:drawing>
      </w:r>
    </w:p>
    <w:p w14:paraId="4FCE2C51" w14:textId="77777777" w:rsidR="00552EAE" w:rsidRPr="00373E09" w:rsidRDefault="00552EAE" w:rsidP="00552EAE">
      <w:pPr>
        <w:pStyle w:val="08Tablefootnotes"/>
        <w:rPr>
          <w:rFonts w:ascii="Garamond" w:hAnsi="Garamond"/>
        </w:rPr>
      </w:pPr>
      <w:r w:rsidRPr="00373E09">
        <w:rPr>
          <w:rFonts w:ascii="Garamond" w:hAnsi="Garamond"/>
        </w:rPr>
        <w:t xml:space="preserve">Source: DHS claims systems extracts for years 2011/12, 2012/13 and 2013/14, Pharmacy Guild claims systems extracts for years 2014/15 and 2015/16. </w:t>
      </w:r>
    </w:p>
    <w:p w14:paraId="33870F12" w14:textId="03B09285" w:rsidR="00552EAE" w:rsidRDefault="00552EAE" w:rsidP="00552EAE">
      <w:pPr>
        <w:pStyle w:val="Heading2"/>
        <w:numPr>
          <w:ilvl w:val="1"/>
          <w:numId w:val="37"/>
        </w:numPr>
      </w:pPr>
      <w:bookmarkStart w:id="59" w:name="_Toc476584414"/>
      <w:r>
        <w:t xml:space="preserve">Number of </w:t>
      </w:r>
      <w:r w:rsidR="00F542F5">
        <w:t>M</w:t>
      </w:r>
      <w:r w:rsidR="009D71A7">
        <w:t xml:space="preserve">edschecks </w:t>
      </w:r>
      <w:r>
        <w:t>claims by patient age</w:t>
      </w:r>
      <w:bookmarkEnd w:id="59"/>
    </w:p>
    <w:p w14:paraId="5F59F1BD" w14:textId="245B28FE" w:rsidR="00552EAE" w:rsidRPr="00254E6E" w:rsidRDefault="00B64357" w:rsidP="00552EAE">
      <w:pPr>
        <w:pStyle w:val="BodyText"/>
      </w:pPr>
      <w:r>
        <w:fldChar w:fldCharType="begin"/>
      </w:r>
      <w:r>
        <w:instrText xml:space="preserve"> REF _Ref522795513 \h </w:instrText>
      </w:r>
      <w:r>
        <w:fldChar w:fldCharType="separate"/>
      </w:r>
      <w:r w:rsidR="009047A7">
        <w:t xml:space="preserve">Figure </w:t>
      </w:r>
      <w:r w:rsidR="009047A7">
        <w:rPr>
          <w:noProof/>
        </w:rPr>
        <w:t>7</w:t>
      </w:r>
      <w:r w:rsidR="009047A7">
        <w:t>.</w:t>
      </w:r>
      <w:r w:rsidR="009047A7">
        <w:rPr>
          <w:noProof/>
        </w:rPr>
        <w:t>3</w:t>
      </w:r>
      <w:r>
        <w:fldChar w:fldCharType="end"/>
      </w:r>
      <w:r w:rsidR="006335D1">
        <w:t xml:space="preserve"> </w:t>
      </w:r>
      <w:r w:rsidR="00552EAE">
        <w:t xml:space="preserve">profiles patients according to how many MedsCheck services they have received over </w:t>
      </w:r>
      <w:r w:rsidR="009D71A7">
        <w:t>eight</w:t>
      </w:r>
      <w:r w:rsidR="00552EAE">
        <w:t xml:space="preserve"> continuous quarters before the claims cap (i.e. a date of service between July 2012 and June 2014)</w:t>
      </w:r>
      <w:r w:rsidR="00552EAE" w:rsidRPr="000F48FC">
        <w:t xml:space="preserve">. </w:t>
      </w:r>
      <w:r w:rsidR="009D71A7">
        <w:t xml:space="preserve"> N</w:t>
      </w:r>
      <w:r w:rsidR="00552EAE">
        <w:t>ote that patients who have had a MedsCheck service in both the pre- and post-cap periods are counted post-cap, and that patients have been classified according to their age at the time of receiving their most recent MedsCheck.</w:t>
      </w:r>
    </w:p>
    <w:p w14:paraId="189BD573" w14:textId="4878C2BD" w:rsidR="00552EAE" w:rsidRDefault="00B64357" w:rsidP="00B64357">
      <w:pPr>
        <w:pStyle w:val="Caption"/>
      </w:pPr>
      <w:bookmarkStart w:id="60" w:name="_Ref522795513"/>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3</w:t>
      </w:r>
      <w:r w:rsidR="009047A7">
        <w:rPr>
          <w:noProof/>
        </w:rPr>
        <w:fldChar w:fldCharType="end"/>
      </w:r>
      <w:bookmarkEnd w:id="60"/>
      <w:r w:rsidR="00552EAE" w:rsidRPr="00254E6E">
        <w:t>: Patient age by number of MedsChecks between July 2012 and June 2014</w:t>
      </w:r>
    </w:p>
    <w:p w14:paraId="2D5864EF" w14:textId="77777777" w:rsidR="00552EAE" w:rsidRDefault="00552EAE" w:rsidP="00552EAE">
      <w:pPr>
        <w:pStyle w:val="01BODYTEXT"/>
        <w:jc w:val="center"/>
      </w:pPr>
      <w:r>
        <w:rPr>
          <w:noProof/>
          <w:lang w:eastAsia="en-AU"/>
        </w:rPr>
        <w:drawing>
          <wp:inline distT="0" distB="0" distL="0" distR="0" wp14:anchorId="40EE6A6A" wp14:editId="503FBB3A">
            <wp:extent cx="5295900" cy="3743325"/>
            <wp:effectExtent l="0" t="0" r="0" b="9525"/>
            <wp:docPr id="2" name="Picture 2" descr="Figure 7.3 This figure shows the distribution of patient age by number of MedsChecks between July 2012 and June 2014." title="Fig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95900" cy="3743325"/>
                    </a:xfrm>
                    <a:prstGeom prst="rect">
                      <a:avLst/>
                    </a:prstGeom>
                  </pic:spPr>
                </pic:pic>
              </a:graphicData>
            </a:graphic>
          </wp:inline>
        </w:drawing>
      </w:r>
    </w:p>
    <w:p w14:paraId="3324FB98"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2CD4B6BC" w14:textId="0F6D52EB" w:rsidR="00552EAE" w:rsidRDefault="00552EAE" w:rsidP="00552EAE">
      <w:pPr>
        <w:pStyle w:val="BodyText"/>
      </w:pPr>
      <w:r>
        <w:t>The data show that an overwhelming majority (93%) of patients received just a single MedsCheck service in the two</w:t>
      </w:r>
      <w:r w:rsidR="005A297C">
        <w:t>-</w:t>
      </w:r>
      <w:r>
        <w:t xml:space="preserve">year period, only 1% of patients received three or more MedsCheck services. </w:t>
      </w:r>
      <w:r w:rsidR="004C4D53">
        <w:t xml:space="preserve"> </w:t>
      </w:r>
      <w:r>
        <w:t xml:space="preserve">Interestingly, two patients received ten or more services in the 24 month period (i.e. on average, at least one every two months).  However, only 7% of patients received repeat MedsChecks, where the between MedsCheck interval becomes relevant when considering adherence to guidelines (see </w:t>
      </w:r>
      <w:r w:rsidR="00FE45AD">
        <w:fldChar w:fldCharType="begin"/>
      </w:r>
      <w:r w:rsidR="00FE45AD">
        <w:instrText xml:space="preserve"> REF _Ref522795744 \h </w:instrText>
      </w:r>
      <w:r w:rsidR="00FE45AD">
        <w:fldChar w:fldCharType="separate"/>
      </w:r>
      <w:r w:rsidR="009047A7">
        <w:t xml:space="preserve">Figure </w:t>
      </w:r>
      <w:r w:rsidR="009047A7">
        <w:rPr>
          <w:noProof/>
        </w:rPr>
        <w:t>7</w:t>
      </w:r>
      <w:r w:rsidR="009047A7">
        <w:t>.</w:t>
      </w:r>
      <w:r w:rsidR="009047A7">
        <w:rPr>
          <w:noProof/>
        </w:rPr>
        <w:t>5</w:t>
      </w:r>
      <w:r w:rsidR="00FE45AD">
        <w:fldChar w:fldCharType="end"/>
      </w:r>
      <w:r>
        <w:t xml:space="preserve">).  </w:t>
      </w:r>
      <w:r w:rsidR="00FE45AD">
        <w:fldChar w:fldCharType="begin"/>
      </w:r>
      <w:r w:rsidR="00FE45AD">
        <w:instrText xml:space="preserve"> REF _Ref522795513 \h </w:instrText>
      </w:r>
      <w:r w:rsidR="00FE45AD">
        <w:fldChar w:fldCharType="separate"/>
      </w:r>
      <w:r w:rsidR="009047A7">
        <w:t xml:space="preserve">Figure </w:t>
      </w:r>
      <w:r w:rsidR="009047A7">
        <w:rPr>
          <w:noProof/>
        </w:rPr>
        <w:t>7</w:t>
      </w:r>
      <w:r w:rsidR="009047A7">
        <w:t>.</w:t>
      </w:r>
      <w:r w:rsidR="009047A7">
        <w:rPr>
          <w:noProof/>
        </w:rPr>
        <w:t>3</w:t>
      </w:r>
      <w:r w:rsidR="00FE45AD">
        <w:fldChar w:fldCharType="end"/>
      </w:r>
      <w:r>
        <w:t xml:space="preserve"> (far right column) also shows that 44% of the patients receiving a </w:t>
      </w:r>
      <w:r w:rsidR="004C4D53">
        <w:t>M</w:t>
      </w:r>
      <w:r>
        <w:t>edsCheck were aged 65 years or more, and that there was at least one patient in every age cohort from 0-4 years through to 100-114 years who received a</w:t>
      </w:r>
      <w:r w:rsidR="004C4D53">
        <w:t xml:space="preserve"> </w:t>
      </w:r>
      <w:r>
        <w:t xml:space="preserve">MedsCheck. </w:t>
      </w:r>
      <w:r w:rsidR="004C4D53">
        <w:t xml:space="preserve"> </w:t>
      </w:r>
      <w:r>
        <w:t>The total number of unique patients counted in the pre-cap period was 316,000.</w:t>
      </w:r>
    </w:p>
    <w:p w14:paraId="77730CD5" w14:textId="31F21DE9" w:rsidR="00552EAE" w:rsidRDefault="00B64357" w:rsidP="00552EAE">
      <w:pPr>
        <w:pStyle w:val="BodyText"/>
      </w:pPr>
      <w:r>
        <w:fldChar w:fldCharType="begin"/>
      </w:r>
      <w:r>
        <w:instrText xml:space="preserve"> REF _Ref522795591 \h </w:instrText>
      </w:r>
      <w:r>
        <w:fldChar w:fldCharType="separate"/>
      </w:r>
      <w:r w:rsidR="009047A7">
        <w:t xml:space="preserve">Figure </w:t>
      </w:r>
      <w:r w:rsidR="009047A7">
        <w:rPr>
          <w:noProof/>
        </w:rPr>
        <w:t>7</w:t>
      </w:r>
      <w:r w:rsidR="009047A7">
        <w:t>.</w:t>
      </w:r>
      <w:r w:rsidR="009047A7">
        <w:rPr>
          <w:noProof/>
        </w:rPr>
        <w:t>4</w:t>
      </w:r>
      <w:r>
        <w:fldChar w:fldCharType="end"/>
      </w:r>
      <w:r w:rsidR="006335D1">
        <w:t xml:space="preserve"> </w:t>
      </w:r>
      <w:r w:rsidR="00552EAE">
        <w:t xml:space="preserve">profiles patients according to how many MedsCheck services they have received over </w:t>
      </w:r>
      <w:r w:rsidR="004C4D53">
        <w:t>eight</w:t>
      </w:r>
      <w:r w:rsidR="00552EAE">
        <w:t xml:space="preserve"> continuous quarters including the period with the introduction of the claims cap (i.e. a date of service between July 2014 and June 2016)</w:t>
      </w:r>
      <w:r w:rsidR="00552EAE" w:rsidRPr="000F48FC">
        <w:t xml:space="preserve">. </w:t>
      </w:r>
      <w:r w:rsidR="004C4D53">
        <w:t xml:space="preserve"> N</w:t>
      </w:r>
      <w:r w:rsidR="00552EAE">
        <w:t xml:space="preserve">ote again that patients who have had a MedsCheck service in both the pre- and post-cap periods are counted post-cap, and that patients have been classified according to their age at the time of receiving their most recent MedsCheck.  </w:t>
      </w:r>
      <w:r w:rsidR="00FE45AD">
        <w:fldChar w:fldCharType="begin"/>
      </w:r>
      <w:r w:rsidR="00FE45AD">
        <w:instrText xml:space="preserve"> REF _Ref522795591 \h </w:instrText>
      </w:r>
      <w:r w:rsidR="00FE45AD">
        <w:fldChar w:fldCharType="separate"/>
      </w:r>
      <w:r w:rsidR="009047A7">
        <w:t xml:space="preserve">Figure </w:t>
      </w:r>
      <w:r w:rsidR="009047A7">
        <w:rPr>
          <w:noProof/>
        </w:rPr>
        <w:t>7</w:t>
      </w:r>
      <w:r w:rsidR="009047A7">
        <w:t>.</w:t>
      </w:r>
      <w:r w:rsidR="009047A7">
        <w:rPr>
          <w:noProof/>
        </w:rPr>
        <w:t>4</w:t>
      </w:r>
      <w:r w:rsidR="00FE45AD">
        <w:fldChar w:fldCharType="end"/>
      </w:r>
      <w:r w:rsidR="00552EAE">
        <w:t xml:space="preserve"> (far right column) shows that post-cap 54% of the patients receiving an MedsCheck were aged 65 years or more (a 10% increase on pre-cap) indicating a significant shift towards an older patient profile in the post-cap period.  There was at least one patient in every age cohort from 0-4 years through to 100-114 years who received a MedsCheck (same as pre-cap).  The total number of unique patients counted in the pre-cap period was 211,000</w:t>
      </w:r>
      <w:r w:rsidR="004C4D53">
        <w:t>.  T</w:t>
      </w:r>
      <w:r w:rsidR="00552EAE">
        <w:t>his equates to a 105,000 patient reduction or 33% (compared to pre-cap)</w:t>
      </w:r>
      <w:r w:rsidR="004C4D53">
        <w:t>.  T</w:t>
      </w:r>
      <w:r w:rsidR="00552EAE">
        <w:t>his overall reduction in patients underscores the significant effect on volumes that introduction of the cap has had.</w:t>
      </w:r>
    </w:p>
    <w:p w14:paraId="13C02C9C" w14:textId="78653EC9" w:rsidR="00552EAE" w:rsidRDefault="00B64357" w:rsidP="00B64357">
      <w:pPr>
        <w:pStyle w:val="Caption"/>
      </w:pPr>
      <w:bookmarkStart w:id="61" w:name="_Ref522795591"/>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4</w:t>
      </w:r>
      <w:r w:rsidR="009047A7">
        <w:rPr>
          <w:noProof/>
        </w:rPr>
        <w:fldChar w:fldCharType="end"/>
      </w:r>
      <w:bookmarkEnd w:id="61"/>
      <w:r w:rsidR="00552EAE" w:rsidRPr="00C36BE0">
        <w:t>: M</w:t>
      </w:r>
      <w:r w:rsidR="004C4D53">
        <w:t xml:space="preserve">edsCheck interval by number of </w:t>
      </w:r>
      <w:r w:rsidR="00552EAE" w:rsidRPr="00C36BE0">
        <w:t>MedsChecks between July 2014 and June 2016</w:t>
      </w:r>
    </w:p>
    <w:p w14:paraId="4E7C1F6F" w14:textId="77777777" w:rsidR="00552EAE" w:rsidRDefault="00552EAE" w:rsidP="00552EAE">
      <w:pPr>
        <w:pStyle w:val="BodyText"/>
        <w:jc w:val="center"/>
      </w:pPr>
      <w:r>
        <w:rPr>
          <w:noProof/>
          <w:lang w:eastAsia="en-AU"/>
        </w:rPr>
        <w:drawing>
          <wp:inline distT="0" distB="0" distL="0" distR="0" wp14:anchorId="4DBA8FF1" wp14:editId="6AE98C3E">
            <wp:extent cx="5305425" cy="3933825"/>
            <wp:effectExtent l="0" t="0" r="9525" b="9525"/>
            <wp:docPr id="4" name="Picture 4" descr="Figure 7.4 This figure shows the distribution of patients by number of MedsChecks performed between July 2014 and June 2016." title="Fig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05425" cy="3933825"/>
                    </a:xfrm>
                    <a:prstGeom prst="rect">
                      <a:avLst/>
                    </a:prstGeom>
                  </pic:spPr>
                </pic:pic>
              </a:graphicData>
            </a:graphic>
          </wp:inline>
        </w:drawing>
      </w:r>
    </w:p>
    <w:p w14:paraId="0ACEB919"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379FAA68" w14:textId="6122B378" w:rsidR="00552EAE" w:rsidRPr="00E02126" w:rsidRDefault="00B64357" w:rsidP="00552EAE">
      <w:pPr>
        <w:pStyle w:val="BodyText"/>
      </w:pPr>
      <w:r>
        <w:fldChar w:fldCharType="begin"/>
      </w:r>
      <w:r>
        <w:instrText xml:space="preserve"> REF _Ref522795591 \h </w:instrText>
      </w:r>
      <w:r>
        <w:fldChar w:fldCharType="separate"/>
      </w:r>
      <w:r w:rsidR="009047A7">
        <w:t xml:space="preserve">Figure </w:t>
      </w:r>
      <w:r w:rsidR="009047A7">
        <w:rPr>
          <w:noProof/>
        </w:rPr>
        <w:t>7</w:t>
      </w:r>
      <w:r w:rsidR="009047A7">
        <w:t>.</w:t>
      </w:r>
      <w:r w:rsidR="009047A7">
        <w:rPr>
          <w:noProof/>
        </w:rPr>
        <w:t>4</w:t>
      </w:r>
      <w:r>
        <w:fldChar w:fldCharType="end"/>
      </w:r>
      <w:r w:rsidR="00552EAE" w:rsidRPr="00E02126">
        <w:t xml:space="preserve"> shows that, after the payment policy change, the proportion of patients receiving a single MedsCheck service declined by 5% to 88%, with 2% of patients receiving three or more MedsCheck services (compare</w:t>
      </w:r>
      <w:r w:rsidR="00552EAE">
        <w:t>d</w:t>
      </w:r>
      <w:r w:rsidR="00552EAE" w:rsidRPr="00E02126">
        <w:t xml:space="preserve"> to less than 1% pre-cap).  Also, the maximum number of MedsChecks received was six, compared to </w:t>
      </w:r>
      <w:r w:rsidR="00552EAE">
        <w:t>ten</w:t>
      </w:r>
      <w:r w:rsidR="00552EAE" w:rsidRPr="00E02126">
        <w:t xml:space="preserve"> or more pre-cap</w:t>
      </w:r>
      <w:r w:rsidR="00552EAE">
        <w:t xml:space="preserve"> (despite a notably longer period of 48 months compared to 24 months pre-cap)</w:t>
      </w:r>
      <w:r w:rsidR="00552EAE" w:rsidRPr="00E02126">
        <w:t xml:space="preserve">.  Corresponding to the decrease on once only MedsChecks, the proportion of patients that received repeat MedsChecks increased from 7% to 12%.  </w:t>
      </w:r>
      <w:r w:rsidR="00552EAE">
        <w:t>These data suggest</w:t>
      </w:r>
      <w:r w:rsidR="00552EAE" w:rsidRPr="00E02126">
        <w:t xml:space="preserve"> that the introduction of the service cap policy</w:t>
      </w:r>
      <w:r w:rsidR="00552EAE">
        <w:t xml:space="preserve"> simultaneously placed considerable restrictions on patient volumes and ostensibly shifted pharmacy focus towards those patients deemed more likely to require follow up MedsChecks.</w:t>
      </w:r>
    </w:p>
    <w:p w14:paraId="035925B6" w14:textId="4EA13836" w:rsidR="00552EAE" w:rsidRDefault="00552EAE" w:rsidP="00552EAE">
      <w:pPr>
        <w:pStyle w:val="Heading2"/>
        <w:numPr>
          <w:ilvl w:val="1"/>
          <w:numId w:val="37"/>
        </w:numPr>
      </w:pPr>
      <w:bookmarkStart w:id="62" w:name="_Toc476584415"/>
      <w:r>
        <w:t>Adherence to</w:t>
      </w:r>
      <w:r w:rsidR="00580F79">
        <w:t xml:space="preserve"> M</w:t>
      </w:r>
      <w:r w:rsidR="004C4D53">
        <w:t>edscheck</w:t>
      </w:r>
      <w:r>
        <w:t xml:space="preserve"> program claiming guidelines</w:t>
      </w:r>
      <w:bookmarkEnd w:id="62"/>
      <w:r>
        <w:t xml:space="preserve"> </w:t>
      </w:r>
    </w:p>
    <w:p w14:paraId="0E086700" w14:textId="5FED4E93" w:rsidR="00552EAE" w:rsidRDefault="00B64357" w:rsidP="00552EAE">
      <w:pPr>
        <w:pStyle w:val="BodyText"/>
      </w:pPr>
      <w:r>
        <w:fldChar w:fldCharType="begin"/>
      </w:r>
      <w:r>
        <w:instrText xml:space="preserve"> REF _Ref522795744 \h </w:instrText>
      </w:r>
      <w:r>
        <w:fldChar w:fldCharType="separate"/>
      </w:r>
      <w:r w:rsidR="009047A7">
        <w:t xml:space="preserve">Figure </w:t>
      </w:r>
      <w:r w:rsidR="009047A7">
        <w:rPr>
          <w:noProof/>
        </w:rPr>
        <w:t>7</w:t>
      </w:r>
      <w:r w:rsidR="009047A7">
        <w:t>.</w:t>
      </w:r>
      <w:r w:rsidR="009047A7">
        <w:rPr>
          <w:noProof/>
        </w:rPr>
        <w:t>5</w:t>
      </w:r>
      <w:r>
        <w:fldChar w:fldCharType="end"/>
      </w:r>
      <w:r w:rsidR="006335D1">
        <w:t xml:space="preserve"> p</w:t>
      </w:r>
      <w:r w:rsidR="00552EAE">
        <w:t xml:space="preserve">rofiles patients that have received two or more MedsCheck services over </w:t>
      </w:r>
      <w:r w:rsidR="00B55CB1">
        <w:t>eight</w:t>
      </w:r>
      <w:r w:rsidR="00552EAE">
        <w:t xml:space="preserve"> continuous quarters in the pre-claim-cap period (i.e. with a date of service between July 2012 and June 2014)</w:t>
      </w:r>
      <w:r w:rsidR="00552EAE" w:rsidRPr="000F48FC">
        <w:t xml:space="preserve">. </w:t>
      </w:r>
      <w:r w:rsidR="00B55CB1">
        <w:t xml:space="preserve"> </w:t>
      </w:r>
      <w:r w:rsidR="00552EAE">
        <w:t>The patients have been classified according to their age at the time of receiving their most recent MedsCheck.  The data show that 54% of patients receiving more than a single service, are aged 65 years or more, compared to 44% of patients receiving one or more MedsChecks (i.e. patients receiving repeat MedsChecks are on average older than patients receiving any MedsCheck).</w:t>
      </w:r>
    </w:p>
    <w:p w14:paraId="73642118" w14:textId="4538981D" w:rsidR="00552EAE" w:rsidRPr="00776E31" w:rsidRDefault="00B64357" w:rsidP="00552EAE">
      <w:pPr>
        <w:pStyle w:val="BodyText"/>
        <w:rPr>
          <w:highlight w:val="yellow"/>
        </w:rPr>
      </w:pPr>
      <w:r>
        <w:fldChar w:fldCharType="begin"/>
      </w:r>
      <w:r>
        <w:instrText xml:space="preserve"> REF _Ref522795744 \h </w:instrText>
      </w:r>
      <w:r>
        <w:fldChar w:fldCharType="separate"/>
      </w:r>
      <w:r w:rsidR="009047A7">
        <w:t xml:space="preserve">Figure </w:t>
      </w:r>
      <w:r w:rsidR="009047A7">
        <w:rPr>
          <w:noProof/>
        </w:rPr>
        <w:t>7</w:t>
      </w:r>
      <w:r w:rsidR="009047A7">
        <w:t>.</w:t>
      </w:r>
      <w:r w:rsidR="009047A7">
        <w:rPr>
          <w:noProof/>
        </w:rPr>
        <w:t>5</w:t>
      </w:r>
      <w:r>
        <w:fldChar w:fldCharType="end"/>
      </w:r>
      <w:r w:rsidR="00552EAE">
        <w:t xml:space="preserve"> also clearly shows that 80% of patients received their follow-up MedsChecks within six months of their previous MedsCheck, </w:t>
      </w:r>
      <w:r w:rsidR="00552EAE" w:rsidRPr="005A6D21">
        <w:t xml:space="preserve">despite frequency of service guidelines mandating that MedsCheck services </w:t>
      </w:r>
      <w:r w:rsidR="00552EAE">
        <w:t>should</w:t>
      </w:r>
      <w:r w:rsidR="00552EAE" w:rsidRPr="005A6D21">
        <w:t xml:space="preserve"> be no more frequent than </w:t>
      </w:r>
      <w:r w:rsidR="00552EAE">
        <w:t xml:space="preserve">every 12 months (see </w:t>
      </w:r>
      <w:r w:rsidR="00476D4D">
        <w:t>S</w:t>
      </w:r>
      <w:r w:rsidR="00B55CB1">
        <w:t xml:space="preserve">ection </w:t>
      </w:r>
      <w:r w:rsidR="00552EAE">
        <w:t>2.4).  In the period, to June, 2014, only 14% of patients who had two or more MedsChecks had an interval of 12 months or greater.</w:t>
      </w:r>
    </w:p>
    <w:p w14:paraId="63569B77" w14:textId="796D9B77" w:rsidR="00552EAE" w:rsidRDefault="00B64357" w:rsidP="00B64357">
      <w:pPr>
        <w:pStyle w:val="Caption"/>
      </w:pPr>
      <w:bookmarkStart w:id="63" w:name="_Ref522795744"/>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5</w:t>
      </w:r>
      <w:r w:rsidR="009047A7">
        <w:rPr>
          <w:noProof/>
        </w:rPr>
        <w:fldChar w:fldCharType="end"/>
      </w:r>
      <w:bookmarkEnd w:id="63"/>
      <w:r w:rsidR="00552EAE" w:rsidRPr="005A6D21">
        <w:t>: Patient age by MedsCheck interval between July 2012 and June 2014</w:t>
      </w:r>
    </w:p>
    <w:p w14:paraId="0C9706EA" w14:textId="77777777" w:rsidR="00552EAE" w:rsidRDefault="00552EAE" w:rsidP="00552EAE">
      <w:pPr>
        <w:pStyle w:val="BodyText"/>
        <w:jc w:val="center"/>
      </w:pPr>
      <w:r>
        <w:rPr>
          <w:noProof/>
          <w:lang w:eastAsia="en-AU"/>
        </w:rPr>
        <w:drawing>
          <wp:inline distT="0" distB="0" distL="0" distR="0" wp14:anchorId="380F484C" wp14:editId="043EAF7B">
            <wp:extent cx="2971800" cy="3629025"/>
            <wp:effectExtent l="0" t="0" r="0" b="9525"/>
            <wp:docPr id="21" name="Picture 21" descr="Figure 7.5 This figure shows the distribution of patient age by MedsCheck interval between July 2012 and June 2014." title="Fig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71800" cy="3629025"/>
                    </a:xfrm>
                    <a:prstGeom prst="rect">
                      <a:avLst/>
                    </a:prstGeom>
                  </pic:spPr>
                </pic:pic>
              </a:graphicData>
            </a:graphic>
          </wp:inline>
        </w:drawing>
      </w:r>
    </w:p>
    <w:p w14:paraId="18F0FAF4" w14:textId="77777777" w:rsidR="00552EAE" w:rsidRPr="00B55CB1" w:rsidRDefault="00552EAE" w:rsidP="00552EAE">
      <w:pPr>
        <w:pStyle w:val="08Tablefootnotes"/>
        <w:rPr>
          <w:color w:val="000000" w:themeColor="text1"/>
        </w:rPr>
      </w:pPr>
      <w:r w:rsidRPr="00B55CB1">
        <w:rPr>
          <w:rFonts w:ascii="Garamond" w:hAnsi="Garamond"/>
        </w:rPr>
        <w:t xml:space="preserve">Source: DHS claims systems extracts for years 2011/12, 2012/13 and 2013/14, Pharmacy Guild claims systems extracts for years 2014/15 and 2015/16. </w:t>
      </w:r>
    </w:p>
    <w:p w14:paraId="6FD8221A" w14:textId="46950B50" w:rsidR="00552EAE" w:rsidRDefault="00B64357" w:rsidP="00552EAE">
      <w:pPr>
        <w:pStyle w:val="BodyText"/>
      </w:pPr>
      <w:r>
        <w:fldChar w:fldCharType="begin"/>
      </w:r>
      <w:r>
        <w:instrText xml:space="preserve"> REF _Ref522795812 \h </w:instrText>
      </w:r>
      <w:r>
        <w:fldChar w:fldCharType="separate"/>
      </w:r>
      <w:r w:rsidR="009047A7">
        <w:t xml:space="preserve">Figure </w:t>
      </w:r>
      <w:r w:rsidR="009047A7">
        <w:rPr>
          <w:noProof/>
        </w:rPr>
        <w:t>7</w:t>
      </w:r>
      <w:r w:rsidR="009047A7">
        <w:t>.</w:t>
      </w:r>
      <w:r w:rsidR="009047A7">
        <w:rPr>
          <w:noProof/>
        </w:rPr>
        <w:t>6</w:t>
      </w:r>
      <w:r>
        <w:fldChar w:fldCharType="end"/>
      </w:r>
      <w:r>
        <w:t xml:space="preserve"> </w:t>
      </w:r>
      <w:r w:rsidR="00552EAE">
        <w:t xml:space="preserve">profiles patients </w:t>
      </w:r>
      <w:r w:rsidR="00B55CB1">
        <w:t xml:space="preserve">that have received two or more </w:t>
      </w:r>
      <w:r w:rsidR="00552EAE">
        <w:t xml:space="preserve">MedsCheck services over </w:t>
      </w:r>
      <w:r w:rsidR="00B55CB1">
        <w:t xml:space="preserve">eight </w:t>
      </w:r>
      <w:r w:rsidR="00552EAE">
        <w:t>continuous quarters in the post-cap period (i.e. with a date of service between January 2014 and June 2016)</w:t>
      </w:r>
      <w:r w:rsidR="00552EAE" w:rsidRPr="000F48FC">
        <w:t xml:space="preserve">. </w:t>
      </w:r>
      <w:r w:rsidR="00B55CB1">
        <w:t xml:space="preserve"> </w:t>
      </w:r>
      <w:r w:rsidR="00552EAE">
        <w:t>As before, the patients have been classified according to their age at the time of receiving their most recent MedsCheck.  The data show that 75% of patients receiving more than a single service, are aged 65 years or more, compared to 54% of patients receiving one or more MedsChecks (i.e. patients receiving repeat MedsChecks are on average markedly older than patients receiving any MedsCheck).</w:t>
      </w:r>
    </w:p>
    <w:p w14:paraId="51A139E1" w14:textId="05E261FE" w:rsidR="00552EAE" w:rsidRDefault="00B64357" w:rsidP="00B64357">
      <w:pPr>
        <w:pStyle w:val="Caption"/>
      </w:pPr>
      <w:bookmarkStart w:id="64" w:name="_Ref522795812"/>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6</w:t>
      </w:r>
      <w:r w:rsidR="009047A7">
        <w:rPr>
          <w:noProof/>
        </w:rPr>
        <w:fldChar w:fldCharType="end"/>
      </w:r>
      <w:bookmarkEnd w:id="64"/>
      <w:r w:rsidR="00552EAE" w:rsidRPr="0077131A">
        <w:t>: Patient age by MedsCheck interval between July 2014 and June 2016</w:t>
      </w:r>
    </w:p>
    <w:p w14:paraId="31363F16" w14:textId="77777777" w:rsidR="00552EAE" w:rsidRDefault="00552EAE" w:rsidP="00552EAE">
      <w:pPr>
        <w:pStyle w:val="BodyText"/>
        <w:jc w:val="center"/>
      </w:pPr>
      <w:r>
        <w:rPr>
          <w:noProof/>
          <w:lang w:eastAsia="en-AU"/>
        </w:rPr>
        <w:drawing>
          <wp:inline distT="0" distB="0" distL="0" distR="0" wp14:anchorId="10301DCE" wp14:editId="3DA9ABB7">
            <wp:extent cx="2971800" cy="3629025"/>
            <wp:effectExtent l="0" t="0" r="0" b="9525"/>
            <wp:docPr id="22" name="Picture 22" descr="Figure 7.6 This figure shows the distribution of patient age by MedsCheck interval between July 2014 and June 2016." title="Fig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971800" cy="3629025"/>
                    </a:xfrm>
                    <a:prstGeom prst="rect">
                      <a:avLst/>
                    </a:prstGeom>
                  </pic:spPr>
                </pic:pic>
              </a:graphicData>
            </a:graphic>
          </wp:inline>
        </w:drawing>
      </w:r>
    </w:p>
    <w:p w14:paraId="091EFA60" w14:textId="77777777" w:rsidR="00552EAE" w:rsidRPr="00185DC4" w:rsidRDefault="00552EAE" w:rsidP="00552EAE">
      <w:pPr>
        <w:pStyle w:val="08Tablefootnotes"/>
        <w:rPr>
          <w:color w:val="000000" w:themeColor="text1"/>
        </w:rPr>
      </w:pPr>
      <w:r w:rsidRPr="00185DC4">
        <w:rPr>
          <w:rFonts w:ascii="Garamond" w:hAnsi="Garamond"/>
        </w:rPr>
        <w:t xml:space="preserve">Source: DHS claims systems extracts for years 2011/12, 2012/13 and 2013/14, Pharmacy Guild claims systems extracts for years 2014/15 and 2015/16. </w:t>
      </w:r>
    </w:p>
    <w:p w14:paraId="0477DE04" w14:textId="4B70A91F" w:rsidR="00552EAE" w:rsidRPr="000F48FC" w:rsidRDefault="00B64357" w:rsidP="00552EAE">
      <w:pPr>
        <w:pStyle w:val="BodyText"/>
      </w:pPr>
      <w:r>
        <w:fldChar w:fldCharType="begin"/>
      </w:r>
      <w:r>
        <w:instrText xml:space="preserve"> REF _Ref522795812 \h </w:instrText>
      </w:r>
      <w:r>
        <w:fldChar w:fldCharType="separate"/>
      </w:r>
      <w:r w:rsidR="009047A7">
        <w:t xml:space="preserve">Figure </w:t>
      </w:r>
      <w:r w:rsidR="009047A7">
        <w:rPr>
          <w:noProof/>
        </w:rPr>
        <w:t>7</w:t>
      </w:r>
      <w:r w:rsidR="009047A7">
        <w:t>.</w:t>
      </w:r>
      <w:r w:rsidR="009047A7">
        <w:rPr>
          <w:noProof/>
        </w:rPr>
        <w:t>6</w:t>
      </w:r>
      <w:r>
        <w:fldChar w:fldCharType="end"/>
      </w:r>
      <w:r w:rsidR="00552EAE">
        <w:t xml:space="preserve"> shows a dramatically different picture with regard to the MedsCheck service intervals in the post</w:t>
      </w:r>
      <w:r w:rsidR="005A297C">
        <w:t>-</w:t>
      </w:r>
      <w:r w:rsidR="00552EAE">
        <w:t xml:space="preserve">cap period.  Only 10% of patients received their follow-up MedsChecks within six months of their previous MedsCheck (a decrease of 70% by comparison to the pre-cap period).  And, again in stark contrast to the pre-cap period, </w:t>
      </w:r>
      <w:r w:rsidR="00552EAE" w:rsidRPr="003B4535">
        <w:t>patients who had two or more MedsChecks had an interval of 12 months or greater</w:t>
      </w:r>
      <w:r w:rsidR="00B55CB1">
        <w:t>.  T</w:t>
      </w:r>
      <w:r w:rsidR="00552EAE">
        <w:t>his equates to 67% more patients than pre-cap, indicating significantly better adherence to frequency guidelines.</w:t>
      </w:r>
    </w:p>
    <w:p w14:paraId="058CE838" w14:textId="5EBC3256" w:rsidR="00552EAE" w:rsidRDefault="00580F79" w:rsidP="00552EAE">
      <w:pPr>
        <w:pStyle w:val="Heading2"/>
        <w:numPr>
          <w:ilvl w:val="1"/>
          <w:numId w:val="37"/>
        </w:numPr>
      </w:pPr>
      <w:r>
        <w:t>M</w:t>
      </w:r>
      <w:r w:rsidR="00B55CB1">
        <w:t xml:space="preserve">edscheck </w:t>
      </w:r>
      <w:r w:rsidR="00552EAE">
        <w:t xml:space="preserve">claiming by </w:t>
      </w:r>
      <w:r w:rsidR="008903BE">
        <w:t>chronic conditions</w:t>
      </w:r>
    </w:p>
    <w:p w14:paraId="09B558A1" w14:textId="62E1C293" w:rsidR="00552EAE" w:rsidRPr="000F48FC" w:rsidRDefault="00EE7531" w:rsidP="00552EAE">
      <w:pPr>
        <w:pStyle w:val="BodyText"/>
      </w:pPr>
      <w:r>
        <w:fldChar w:fldCharType="begin"/>
      </w:r>
      <w:r>
        <w:instrText xml:space="preserve"> REF _Ref522795946 \h </w:instrText>
      </w:r>
      <w:r>
        <w:fldChar w:fldCharType="separate"/>
      </w:r>
      <w:r w:rsidR="009047A7">
        <w:t xml:space="preserve">Figure </w:t>
      </w:r>
      <w:r w:rsidR="009047A7">
        <w:rPr>
          <w:noProof/>
        </w:rPr>
        <w:t>7</w:t>
      </w:r>
      <w:r w:rsidR="009047A7">
        <w:t>.</w:t>
      </w:r>
      <w:r w:rsidR="009047A7">
        <w:rPr>
          <w:noProof/>
        </w:rPr>
        <w:t>7</w:t>
      </w:r>
      <w:r>
        <w:fldChar w:fldCharType="end"/>
      </w:r>
      <w:r w:rsidR="006335D1">
        <w:t xml:space="preserve"> </w:t>
      </w:r>
      <w:r w:rsidR="00552EAE" w:rsidRPr="00F04C98">
        <w:t>profiles patients according to how many</w:t>
      </w:r>
      <w:r w:rsidR="00552EAE">
        <w:t xml:space="preserve"> chronic conditions the patient has and the frequency of</w:t>
      </w:r>
      <w:r w:rsidR="00552EAE" w:rsidRPr="00F04C98">
        <w:t xml:space="preserve"> </w:t>
      </w:r>
      <w:r w:rsidR="00552EAE">
        <w:t xml:space="preserve">the </w:t>
      </w:r>
      <w:r w:rsidR="00B55CB1">
        <w:t>M</w:t>
      </w:r>
      <w:r w:rsidR="00552EAE" w:rsidRPr="00F04C98">
        <w:t xml:space="preserve">edsCheck services they have received over </w:t>
      </w:r>
      <w:r w:rsidR="00B55CB1">
        <w:t>eight</w:t>
      </w:r>
      <w:r w:rsidR="00552EAE" w:rsidRPr="00F04C98">
        <w:t xml:space="preserve"> continuous quarters </w:t>
      </w:r>
      <w:r w:rsidR="00552EAE">
        <w:t>pre-</w:t>
      </w:r>
      <w:r w:rsidR="00552EAE" w:rsidRPr="00F04C98">
        <w:t>cap (i.e. a date of service between July 201</w:t>
      </w:r>
      <w:r w:rsidR="00552EAE">
        <w:t>2</w:t>
      </w:r>
      <w:r w:rsidR="00552EAE" w:rsidRPr="00F04C98">
        <w:t xml:space="preserve"> and </w:t>
      </w:r>
      <w:r w:rsidR="00552EAE">
        <w:t>June 2014</w:t>
      </w:r>
      <w:r w:rsidR="00552EAE" w:rsidRPr="00F04C98">
        <w:t xml:space="preserve">). </w:t>
      </w:r>
      <w:r w:rsidR="00B55CB1">
        <w:t xml:space="preserve"> </w:t>
      </w:r>
      <w:r w:rsidR="00552EAE">
        <w:t xml:space="preserve">The </w:t>
      </w:r>
      <w:r w:rsidR="00552EAE" w:rsidRPr="00F04C98">
        <w:t>majority (8</w:t>
      </w:r>
      <w:r w:rsidR="00552EAE">
        <w:t>0</w:t>
      </w:r>
      <w:r w:rsidR="00552EAE" w:rsidRPr="00F04C98">
        <w:t>%) of patients received</w:t>
      </w:r>
      <w:r w:rsidR="00552EAE">
        <w:t xml:space="preserve"> their follow-up MedsChecks within six months of their previous MedsCheck (already discussed in </w:t>
      </w:r>
      <w:r w:rsidR="00476D4D">
        <w:t>S</w:t>
      </w:r>
      <w:r w:rsidR="00B55CB1">
        <w:t xml:space="preserve">ection </w:t>
      </w:r>
      <w:r w:rsidR="00552EAE">
        <w:t>7.4).  The data show that 51% of p</w:t>
      </w:r>
      <w:r w:rsidR="00552EAE" w:rsidRPr="007E7B08">
        <w:t>atients who had two or more MedsChecks</w:t>
      </w:r>
      <w:r w:rsidR="00552EAE">
        <w:t xml:space="preserve"> have three or more chronic conditions.</w:t>
      </w:r>
    </w:p>
    <w:p w14:paraId="0D15D961" w14:textId="4B24F38E" w:rsidR="00552EAE" w:rsidRDefault="00EE7531" w:rsidP="00EE7531">
      <w:pPr>
        <w:pStyle w:val="Caption"/>
      </w:pPr>
      <w:bookmarkStart w:id="65" w:name="_Ref522795946"/>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7</w:t>
      </w:r>
      <w:r w:rsidR="009047A7">
        <w:rPr>
          <w:noProof/>
        </w:rPr>
        <w:fldChar w:fldCharType="end"/>
      </w:r>
      <w:bookmarkEnd w:id="65"/>
      <w:r w:rsidR="00552EAE" w:rsidRPr="009948F2">
        <w:t>: Number of chronic conditions by MedsCheck intervals between July 2012 and June 2014</w:t>
      </w:r>
    </w:p>
    <w:p w14:paraId="1A411D41" w14:textId="77777777" w:rsidR="00552EAE" w:rsidRDefault="00552EAE" w:rsidP="00552EAE">
      <w:pPr>
        <w:pStyle w:val="01BODYTEXT"/>
        <w:jc w:val="center"/>
      </w:pPr>
      <w:r>
        <w:rPr>
          <w:noProof/>
          <w:lang w:eastAsia="en-AU"/>
        </w:rPr>
        <w:drawing>
          <wp:inline distT="0" distB="0" distL="0" distR="0" wp14:anchorId="52609FDC" wp14:editId="0C521675">
            <wp:extent cx="3400425" cy="2171700"/>
            <wp:effectExtent l="0" t="0" r="9525" b="0"/>
            <wp:docPr id="26" name="Picture 26" descr="Figure 7.7 This figure shows the number of chronic conditions by MedsCheck interval between July 2012 and June 2014." title="Fig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400425" cy="2171700"/>
                    </a:xfrm>
                    <a:prstGeom prst="rect">
                      <a:avLst/>
                    </a:prstGeom>
                  </pic:spPr>
                </pic:pic>
              </a:graphicData>
            </a:graphic>
          </wp:inline>
        </w:drawing>
      </w:r>
    </w:p>
    <w:p w14:paraId="4F0C173C"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1DE443B9" w14:textId="6F0C0C1C" w:rsidR="00552EAE" w:rsidRPr="000F48FC" w:rsidRDefault="00EE7531" w:rsidP="00552EAE">
      <w:pPr>
        <w:pStyle w:val="BodyText"/>
      </w:pPr>
      <w:r>
        <w:fldChar w:fldCharType="begin"/>
      </w:r>
      <w:r>
        <w:instrText xml:space="preserve"> REF _Ref522796039 \h </w:instrText>
      </w:r>
      <w:r>
        <w:fldChar w:fldCharType="separate"/>
      </w:r>
      <w:r w:rsidR="009047A7">
        <w:t xml:space="preserve">Figure </w:t>
      </w:r>
      <w:r w:rsidR="009047A7">
        <w:rPr>
          <w:noProof/>
        </w:rPr>
        <w:t>7</w:t>
      </w:r>
      <w:r w:rsidR="009047A7">
        <w:t>.</w:t>
      </w:r>
      <w:r w:rsidR="009047A7">
        <w:rPr>
          <w:noProof/>
        </w:rPr>
        <w:t>8</w:t>
      </w:r>
      <w:r>
        <w:fldChar w:fldCharType="end"/>
      </w:r>
      <w:r w:rsidR="006335D1">
        <w:t xml:space="preserve"> </w:t>
      </w:r>
      <w:r w:rsidR="00552EAE" w:rsidRPr="009948F2">
        <w:t xml:space="preserve">profiles patients according </w:t>
      </w:r>
      <w:r w:rsidR="00552EAE" w:rsidRPr="00F04C98">
        <w:t>to how many</w:t>
      </w:r>
      <w:r w:rsidR="00552EAE">
        <w:t xml:space="preserve"> chronic conditions the patient has and the frequency of</w:t>
      </w:r>
      <w:r w:rsidR="00552EAE" w:rsidRPr="00F04C98">
        <w:t xml:space="preserve"> </w:t>
      </w:r>
      <w:r w:rsidR="00552EAE">
        <w:t xml:space="preserve">the </w:t>
      </w:r>
      <w:r w:rsidR="00552EAE" w:rsidRPr="00F04C98">
        <w:t xml:space="preserve">MedsCheck services they have received over </w:t>
      </w:r>
      <w:r w:rsidR="00B55CB1">
        <w:t xml:space="preserve">eight </w:t>
      </w:r>
      <w:r w:rsidR="00552EAE" w:rsidRPr="00F04C98">
        <w:t>continuous quarters</w:t>
      </w:r>
      <w:r w:rsidR="00552EAE" w:rsidRPr="009948F2">
        <w:t xml:space="preserve"> </w:t>
      </w:r>
      <w:r w:rsidR="00552EAE">
        <w:t>post-</w:t>
      </w:r>
      <w:r w:rsidR="00552EAE" w:rsidRPr="009948F2">
        <w:t>cap (i.e. a date of service between July 201</w:t>
      </w:r>
      <w:r w:rsidR="00552EAE">
        <w:t>4</w:t>
      </w:r>
      <w:r w:rsidR="00552EAE" w:rsidRPr="009948F2">
        <w:t xml:space="preserve"> and </w:t>
      </w:r>
      <w:r w:rsidR="00552EAE">
        <w:t>June</w:t>
      </w:r>
      <w:r w:rsidR="00552EAE" w:rsidRPr="009948F2">
        <w:t xml:space="preserve"> 201</w:t>
      </w:r>
      <w:r w:rsidR="00552EAE">
        <w:t>6</w:t>
      </w:r>
      <w:r w:rsidR="00552EAE" w:rsidRPr="009948F2">
        <w:t>).</w:t>
      </w:r>
      <w:r w:rsidR="00552EAE">
        <w:t xml:space="preserve">  The </w:t>
      </w:r>
      <w:r w:rsidR="00552EAE" w:rsidRPr="00F04C98">
        <w:t>majority (8</w:t>
      </w:r>
      <w:r w:rsidR="00552EAE">
        <w:t>1</w:t>
      </w:r>
      <w:r w:rsidR="00552EAE" w:rsidRPr="00F04C98">
        <w:t>%) of patients received</w:t>
      </w:r>
      <w:r w:rsidR="00552EAE">
        <w:t xml:space="preserve"> their follow-up MedsChecks within 12-18 months of their previous MedsCheck (already discussed in </w:t>
      </w:r>
      <w:r w:rsidR="00476D4D">
        <w:t>S</w:t>
      </w:r>
      <w:r w:rsidR="00B55CB1">
        <w:t xml:space="preserve">ection </w:t>
      </w:r>
      <w:r w:rsidR="00552EAE">
        <w:t>7.4).  The data show that 76% of p</w:t>
      </w:r>
      <w:r w:rsidR="00552EAE" w:rsidRPr="007E7B08">
        <w:t>atients who had two or more MedsChecks</w:t>
      </w:r>
      <w:r w:rsidR="00552EAE">
        <w:t xml:space="preserve"> have three or more chronic conditions, an increase </w:t>
      </w:r>
      <w:r w:rsidR="00552EAE" w:rsidRPr="001B0C96">
        <w:t>of 25% on</w:t>
      </w:r>
      <w:r w:rsidR="00552EAE">
        <w:t xml:space="preserve"> the pre-cap period.  This aligns better with the intuitive notion that patients with higher complexity resulting from an increased number of chronic conditions are more likely to </w:t>
      </w:r>
      <w:r w:rsidR="003B6FF1">
        <w:t xml:space="preserve">be approached by the pharmacists for </w:t>
      </w:r>
      <w:r w:rsidR="00552EAE">
        <w:t>a MedsCheck review.</w:t>
      </w:r>
    </w:p>
    <w:p w14:paraId="5906CB66" w14:textId="7BE15856" w:rsidR="00552EAE" w:rsidRDefault="00EE7531" w:rsidP="00EE7531">
      <w:pPr>
        <w:pStyle w:val="Caption"/>
      </w:pPr>
      <w:bookmarkStart w:id="66" w:name="_Ref522796039"/>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8</w:t>
      </w:r>
      <w:r w:rsidR="009047A7">
        <w:rPr>
          <w:noProof/>
        </w:rPr>
        <w:fldChar w:fldCharType="end"/>
      </w:r>
      <w:bookmarkEnd w:id="66"/>
      <w:r w:rsidR="00552EAE" w:rsidRPr="009948F2">
        <w:t>: N</w:t>
      </w:r>
      <w:r w:rsidR="003B6FF1">
        <w:t xml:space="preserve">umber of chronic conditions by </w:t>
      </w:r>
      <w:r w:rsidR="00552EAE" w:rsidRPr="009948F2">
        <w:t>MedsCheck intervals between July 2014 and June 2016</w:t>
      </w:r>
    </w:p>
    <w:p w14:paraId="74B5F4EC" w14:textId="77777777" w:rsidR="00552EAE" w:rsidRDefault="00552EAE" w:rsidP="00552EAE">
      <w:pPr>
        <w:pStyle w:val="01BODYTEXT"/>
        <w:jc w:val="center"/>
      </w:pPr>
      <w:r>
        <w:rPr>
          <w:noProof/>
          <w:lang w:eastAsia="en-AU"/>
        </w:rPr>
        <w:drawing>
          <wp:inline distT="0" distB="0" distL="0" distR="0" wp14:anchorId="6D14A300" wp14:editId="44409052">
            <wp:extent cx="3400425" cy="2200275"/>
            <wp:effectExtent l="0" t="0" r="9525" b="9525"/>
            <wp:docPr id="28" name="Picture 28" descr="Figure 7.8 This figure shows the number of chronic  conditions by MedsCheck interval between July 2014 and June 2016." title="Fig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400425" cy="2200275"/>
                    </a:xfrm>
                    <a:prstGeom prst="rect">
                      <a:avLst/>
                    </a:prstGeom>
                  </pic:spPr>
                </pic:pic>
              </a:graphicData>
            </a:graphic>
          </wp:inline>
        </w:drawing>
      </w:r>
    </w:p>
    <w:p w14:paraId="0381FF05"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2D210AE8" w14:textId="5E92C497" w:rsidR="00552EAE" w:rsidRDefault="00552EAE" w:rsidP="00552EAE">
      <w:pPr>
        <w:pStyle w:val="Heading2"/>
        <w:numPr>
          <w:ilvl w:val="1"/>
          <w:numId w:val="37"/>
        </w:numPr>
      </w:pPr>
      <w:r>
        <w:t xml:space="preserve">Adherence to </w:t>
      </w:r>
      <w:r w:rsidR="00580F79">
        <w:t>M</w:t>
      </w:r>
      <w:r w:rsidR="003B6FF1">
        <w:t xml:space="preserve">edscheck </w:t>
      </w:r>
      <w:r>
        <w:t xml:space="preserve">program claiming guidelines by </w:t>
      </w:r>
      <w:r w:rsidR="003B6FF1">
        <w:tab/>
      </w:r>
      <w:r>
        <w:t xml:space="preserve">number of prescription medicines </w:t>
      </w:r>
    </w:p>
    <w:p w14:paraId="67AC2093" w14:textId="0FABDF15" w:rsidR="00552EAE" w:rsidRPr="000F48FC" w:rsidRDefault="006811D4" w:rsidP="00552EAE">
      <w:pPr>
        <w:pStyle w:val="BodyText"/>
      </w:pPr>
      <w:r>
        <w:t xml:space="preserve">One of the patient eligibility criteria for MedsCheck is that they must be taking five or more prescription medicines. </w:t>
      </w:r>
      <w:r w:rsidRPr="009948F2">
        <w:t xml:space="preserve"> </w:t>
      </w:r>
      <w:r w:rsidR="006B2D07">
        <w:fldChar w:fldCharType="begin"/>
      </w:r>
      <w:r w:rsidR="006B2D07">
        <w:instrText xml:space="preserve"> REF _Ref522798125 \h </w:instrText>
      </w:r>
      <w:r w:rsidR="006B2D07">
        <w:fldChar w:fldCharType="separate"/>
      </w:r>
      <w:r w:rsidR="009047A7">
        <w:t xml:space="preserve">Figure </w:t>
      </w:r>
      <w:r w:rsidR="009047A7">
        <w:rPr>
          <w:noProof/>
        </w:rPr>
        <w:t>7</w:t>
      </w:r>
      <w:r w:rsidR="009047A7">
        <w:t>.</w:t>
      </w:r>
      <w:r w:rsidR="009047A7">
        <w:rPr>
          <w:noProof/>
        </w:rPr>
        <w:t>9</w:t>
      </w:r>
      <w:r w:rsidR="006B2D07">
        <w:fldChar w:fldCharType="end"/>
      </w:r>
      <w:r w:rsidR="006335D1">
        <w:t xml:space="preserve"> </w:t>
      </w:r>
      <w:r w:rsidR="00552EAE" w:rsidRPr="00F04C98">
        <w:t>profiles patients according to how many</w:t>
      </w:r>
      <w:r w:rsidR="00552EAE">
        <w:t xml:space="preserve"> prescription medicines the patient is taking and the frequency of</w:t>
      </w:r>
      <w:r w:rsidR="00552EAE" w:rsidRPr="00F04C98">
        <w:t xml:space="preserve"> </w:t>
      </w:r>
      <w:r w:rsidR="00552EAE">
        <w:t xml:space="preserve">the </w:t>
      </w:r>
      <w:r w:rsidR="00552EAE" w:rsidRPr="00F04C98">
        <w:t xml:space="preserve">MedsCheck services they have received over </w:t>
      </w:r>
      <w:r w:rsidR="003B6FF1">
        <w:t>eight</w:t>
      </w:r>
      <w:r w:rsidR="00552EAE" w:rsidRPr="00F04C98">
        <w:t xml:space="preserve"> continuous q</w:t>
      </w:r>
      <w:r w:rsidR="00552EAE">
        <w:t>uarters pre-cap</w:t>
      </w:r>
      <w:r w:rsidR="00552EAE" w:rsidRPr="00F04C98">
        <w:t xml:space="preserve"> (i.e. a date of service between July 201</w:t>
      </w:r>
      <w:r w:rsidR="00552EAE">
        <w:t>2</w:t>
      </w:r>
      <w:r w:rsidR="00552EAE" w:rsidRPr="00F04C98">
        <w:t xml:space="preserve"> and </w:t>
      </w:r>
      <w:r w:rsidR="00552EAE">
        <w:t>June 2014</w:t>
      </w:r>
      <w:r w:rsidR="00552EAE" w:rsidRPr="00F04C98">
        <w:t>).</w:t>
      </w:r>
      <w:r w:rsidR="003B6FF1">
        <w:t xml:space="preserve"> </w:t>
      </w:r>
      <w:r w:rsidR="00552EAE" w:rsidRPr="00F04C98">
        <w:t xml:space="preserve"> </w:t>
      </w:r>
      <w:r w:rsidR="00552EAE">
        <w:t xml:space="preserve">The </w:t>
      </w:r>
      <w:r w:rsidR="00552EAE" w:rsidRPr="00F04C98">
        <w:t>majority (8</w:t>
      </w:r>
      <w:r w:rsidR="00552EAE">
        <w:t>0</w:t>
      </w:r>
      <w:r w:rsidR="00552EAE" w:rsidRPr="00F04C98">
        <w:t>%) of patients received</w:t>
      </w:r>
      <w:r w:rsidR="00552EAE">
        <w:t xml:space="preserve"> their follow-up MedsChecks within six months of their previous MedsCheck (already discussed in </w:t>
      </w:r>
      <w:r w:rsidR="00476D4D">
        <w:t>S</w:t>
      </w:r>
      <w:r w:rsidR="003B6FF1">
        <w:t xml:space="preserve">ection </w:t>
      </w:r>
      <w:r w:rsidR="00552EAE">
        <w:t xml:space="preserve">7.4). </w:t>
      </w:r>
      <w:r w:rsidR="003B6FF1">
        <w:t xml:space="preserve"> </w:t>
      </w:r>
      <w:r w:rsidR="00552EAE">
        <w:t>The data show that 75% of p</w:t>
      </w:r>
      <w:r w:rsidR="00552EAE" w:rsidRPr="007E7B08">
        <w:t>atients who had two or more MedsChecks</w:t>
      </w:r>
      <w:r w:rsidR="00552EAE">
        <w:t xml:space="preserve"> are also taking five or more prescription medicines.</w:t>
      </w:r>
    </w:p>
    <w:p w14:paraId="516A8D61" w14:textId="1052EBCB" w:rsidR="00552EAE" w:rsidRDefault="006B2D07" w:rsidP="006B2D07">
      <w:pPr>
        <w:pStyle w:val="Caption"/>
      </w:pPr>
      <w:bookmarkStart w:id="67" w:name="_Ref522798125"/>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9</w:t>
      </w:r>
      <w:r w:rsidR="009047A7">
        <w:rPr>
          <w:noProof/>
        </w:rPr>
        <w:fldChar w:fldCharType="end"/>
      </w:r>
      <w:bookmarkEnd w:id="67"/>
      <w:r w:rsidR="00552EAE" w:rsidRPr="009948F2">
        <w:t>: Number of prescription medicines by MedsCheck intervals between July 2012 and June 2014</w:t>
      </w:r>
    </w:p>
    <w:p w14:paraId="7FBEA43E" w14:textId="77777777" w:rsidR="00552EAE" w:rsidRDefault="00552EAE" w:rsidP="00552EAE">
      <w:pPr>
        <w:pStyle w:val="01BODYTEXT"/>
        <w:jc w:val="center"/>
      </w:pPr>
      <w:r>
        <w:rPr>
          <w:noProof/>
          <w:lang w:eastAsia="en-AU"/>
        </w:rPr>
        <w:drawing>
          <wp:inline distT="0" distB="0" distL="0" distR="0" wp14:anchorId="580E5D9B" wp14:editId="27DDB16C">
            <wp:extent cx="3448050" cy="2819400"/>
            <wp:effectExtent l="0" t="0" r="0" b="0"/>
            <wp:docPr id="31" name="Picture 31" descr="Figure 7.9 This figure shows the number of prescription medicines by MedsCheck interval between July 2012 and June 2014." title="Fig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48050" cy="2819400"/>
                    </a:xfrm>
                    <a:prstGeom prst="rect">
                      <a:avLst/>
                    </a:prstGeom>
                  </pic:spPr>
                </pic:pic>
              </a:graphicData>
            </a:graphic>
          </wp:inline>
        </w:drawing>
      </w:r>
    </w:p>
    <w:p w14:paraId="4FAFCED7"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269EF2BC" w14:textId="27DC12F8" w:rsidR="00552EAE" w:rsidRPr="000F48FC" w:rsidRDefault="006B2D07" w:rsidP="00552EAE">
      <w:pPr>
        <w:pStyle w:val="BodyText"/>
      </w:pPr>
      <w:r>
        <w:fldChar w:fldCharType="begin"/>
      </w:r>
      <w:r>
        <w:instrText xml:space="preserve"> REF _Ref522798177 \h </w:instrText>
      </w:r>
      <w:r>
        <w:fldChar w:fldCharType="separate"/>
      </w:r>
      <w:r w:rsidR="009047A7">
        <w:t xml:space="preserve">Figure </w:t>
      </w:r>
      <w:r w:rsidR="009047A7">
        <w:rPr>
          <w:noProof/>
        </w:rPr>
        <w:t>7</w:t>
      </w:r>
      <w:r w:rsidR="009047A7">
        <w:t>.</w:t>
      </w:r>
      <w:r w:rsidR="009047A7">
        <w:rPr>
          <w:noProof/>
        </w:rPr>
        <w:t>10</w:t>
      </w:r>
      <w:r>
        <w:fldChar w:fldCharType="end"/>
      </w:r>
      <w:r w:rsidR="006335D1">
        <w:t xml:space="preserve"> </w:t>
      </w:r>
      <w:r w:rsidR="00552EAE" w:rsidRPr="00484EFB">
        <w:t xml:space="preserve">profiles patients </w:t>
      </w:r>
      <w:r w:rsidR="00552EAE" w:rsidRPr="00F04C98">
        <w:t>according to how many</w:t>
      </w:r>
      <w:r w:rsidR="00552EAE">
        <w:t xml:space="preserve"> prescription medicines the patient is taking and the frequency of</w:t>
      </w:r>
      <w:r w:rsidR="00552EAE" w:rsidRPr="00F04C98">
        <w:t xml:space="preserve"> </w:t>
      </w:r>
      <w:r w:rsidR="00552EAE">
        <w:t xml:space="preserve">the </w:t>
      </w:r>
      <w:r w:rsidR="00552EAE" w:rsidRPr="00F04C98">
        <w:t xml:space="preserve">MedsCheck services they have received over </w:t>
      </w:r>
      <w:r w:rsidR="003B6FF1">
        <w:t xml:space="preserve">eight </w:t>
      </w:r>
      <w:r w:rsidR="00552EAE" w:rsidRPr="00F04C98">
        <w:t xml:space="preserve">continuous quarters </w:t>
      </w:r>
      <w:r w:rsidR="00552EAE">
        <w:t>post-</w:t>
      </w:r>
      <w:r w:rsidR="00552EAE" w:rsidRPr="00484EFB">
        <w:t xml:space="preserve">cap (i.e. a date of service between July 2011 and Dec 2013). </w:t>
      </w:r>
      <w:r w:rsidR="003B6FF1">
        <w:t xml:space="preserve"> </w:t>
      </w:r>
      <w:r w:rsidR="00552EAE">
        <w:t xml:space="preserve">The </w:t>
      </w:r>
      <w:r w:rsidR="00552EAE" w:rsidRPr="00F04C98">
        <w:t>majority (8</w:t>
      </w:r>
      <w:r w:rsidR="00552EAE">
        <w:t>1</w:t>
      </w:r>
      <w:r w:rsidR="00552EAE" w:rsidRPr="00F04C98">
        <w:t>%) of patients received</w:t>
      </w:r>
      <w:r w:rsidR="00552EAE">
        <w:t xml:space="preserve"> their follow-up MedsChecks within 12-18 months of their previous MedsCheck (already discussed in </w:t>
      </w:r>
      <w:r w:rsidR="00476D4D">
        <w:t>S</w:t>
      </w:r>
      <w:r w:rsidR="003B6FF1">
        <w:t xml:space="preserve">ection </w:t>
      </w:r>
      <w:r w:rsidR="00552EAE">
        <w:t>7.4).  The data show that 95% of p</w:t>
      </w:r>
      <w:r w:rsidR="00552EAE" w:rsidRPr="007E7B08">
        <w:t>atients who had two or more MedsChecks</w:t>
      </w:r>
      <w:r w:rsidR="00552EAE">
        <w:t xml:space="preserve"> are also taking five or more prescription medicines, an increase of 20% on the pre-cap period.  This </w:t>
      </w:r>
      <w:r w:rsidR="003B6FF1">
        <w:t>is consistent with the program claims guidelines</w:t>
      </w:r>
      <w:r w:rsidR="00552EAE">
        <w:t>.</w:t>
      </w:r>
    </w:p>
    <w:p w14:paraId="3AD2EDF7" w14:textId="2823A506" w:rsidR="00552EAE" w:rsidRDefault="006B2D07" w:rsidP="006B2D07">
      <w:pPr>
        <w:pStyle w:val="Caption"/>
      </w:pPr>
      <w:bookmarkStart w:id="68" w:name="_Ref522798177"/>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10</w:t>
      </w:r>
      <w:r w:rsidR="009047A7">
        <w:rPr>
          <w:noProof/>
        </w:rPr>
        <w:fldChar w:fldCharType="end"/>
      </w:r>
      <w:bookmarkEnd w:id="68"/>
      <w:r w:rsidR="00552EAE" w:rsidRPr="00484EFB">
        <w:t>: Number of prescription medicines by MedsCheck intervals between July 2014 and June 2016</w:t>
      </w:r>
    </w:p>
    <w:p w14:paraId="48FFE423" w14:textId="77777777" w:rsidR="00552EAE" w:rsidRDefault="00552EAE" w:rsidP="00552EAE">
      <w:pPr>
        <w:pStyle w:val="01BODYTEXT"/>
        <w:jc w:val="center"/>
      </w:pPr>
      <w:r>
        <w:rPr>
          <w:noProof/>
          <w:lang w:eastAsia="en-AU"/>
        </w:rPr>
        <w:drawing>
          <wp:inline distT="0" distB="0" distL="0" distR="0" wp14:anchorId="7215F7FC" wp14:editId="08E33E8C">
            <wp:extent cx="3467100" cy="2895600"/>
            <wp:effectExtent l="0" t="0" r="0" b="0"/>
            <wp:docPr id="32" name="Picture 32" descr="Figure 7.10 This figure shows the number of prescription medicines by MedsCheck interval between July 2014 and June 2016." title="Fig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467100" cy="2895600"/>
                    </a:xfrm>
                    <a:prstGeom prst="rect">
                      <a:avLst/>
                    </a:prstGeom>
                  </pic:spPr>
                </pic:pic>
              </a:graphicData>
            </a:graphic>
          </wp:inline>
        </w:drawing>
      </w:r>
    </w:p>
    <w:p w14:paraId="1BDFF087" w14:textId="77777777" w:rsidR="00552EAE" w:rsidRDefault="00552EAE" w:rsidP="00552EAE">
      <w:pPr>
        <w:pStyle w:val="08Tablefootnotes"/>
        <w:rPr>
          <w:rFonts w:ascii="Garamond" w:hAnsi="Garamond"/>
        </w:rPr>
        <w:sectPr w:rsidR="00552EAE" w:rsidSect="004F1584">
          <w:headerReference w:type="default" r:id="rId29"/>
          <w:pgSz w:w="11906" w:h="16838" w:code="9"/>
          <w:pgMar w:top="1134" w:right="1134" w:bottom="1134" w:left="1134" w:header="680" w:footer="851" w:gutter="0"/>
          <w:cols w:space="708"/>
          <w:docGrid w:linePitch="360"/>
        </w:sectPr>
      </w:pPr>
      <w:r w:rsidRPr="0046164A">
        <w:rPr>
          <w:rFonts w:ascii="Garamond" w:hAnsi="Garamond"/>
        </w:rPr>
        <w:t xml:space="preserve">Source: DHS claims systems extracts for years 2011/12, 2012/13 and 2013/14, Pharmacy Guild claims systems extracts for years 2014/15 and 2015/16. </w:t>
      </w:r>
    </w:p>
    <w:p w14:paraId="791B2E66" w14:textId="37609942" w:rsidR="00552EAE" w:rsidRDefault="00253B37" w:rsidP="00552EAE">
      <w:pPr>
        <w:pStyle w:val="Heading2"/>
      </w:pPr>
      <w:bookmarkStart w:id="69" w:name="_Toc476584417"/>
      <w:r>
        <w:lastRenderedPageBreak/>
        <w:t>M</w:t>
      </w:r>
      <w:r w:rsidR="003B6FF1">
        <w:t xml:space="preserve">edscheck </w:t>
      </w:r>
      <w:r w:rsidR="004440AF">
        <w:t>c</w:t>
      </w:r>
      <w:r w:rsidR="00552EAE">
        <w:t xml:space="preserve">laims </w:t>
      </w:r>
      <w:bookmarkEnd w:id="69"/>
      <w:r w:rsidR="004440AF">
        <w:t xml:space="preserve">by </w:t>
      </w:r>
      <w:r w:rsidR="00552EAE">
        <w:t>pharmacy participation</w:t>
      </w:r>
    </w:p>
    <w:p w14:paraId="22D00A93" w14:textId="4730F744" w:rsidR="00552EAE" w:rsidRDefault="006B2D07" w:rsidP="00552EAE">
      <w:pPr>
        <w:pStyle w:val="BodyText"/>
      </w:pPr>
      <w:r>
        <w:fldChar w:fldCharType="begin"/>
      </w:r>
      <w:r>
        <w:instrText xml:space="preserve"> REF _Ref522798452 \h </w:instrText>
      </w:r>
      <w:r>
        <w:fldChar w:fldCharType="separate"/>
      </w:r>
      <w:r w:rsidR="009047A7">
        <w:t xml:space="preserve">Table </w:t>
      </w:r>
      <w:r w:rsidR="009047A7">
        <w:rPr>
          <w:noProof/>
        </w:rPr>
        <w:t>7</w:t>
      </w:r>
      <w:r w:rsidR="009047A7">
        <w:t>.</w:t>
      </w:r>
      <w:r w:rsidR="009047A7">
        <w:rPr>
          <w:noProof/>
        </w:rPr>
        <w:t>1</w:t>
      </w:r>
      <w:r>
        <w:fldChar w:fldCharType="end"/>
      </w:r>
      <w:r w:rsidR="006335D1">
        <w:t xml:space="preserve"> </w:t>
      </w:r>
      <w:r w:rsidR="00552EAE" w:rsidRPr="000F48FC">
        <w:t xml:space="preserve">summarises the </w:t>
      </w:r>
      <w:r w:rsidR="00552EAE">
        <w:t>key utilisation metrics with regard to patient, provider and MedsCheck service volumes and payments per claim for each half financial year.</w:t>
      </w:r>
    </w:p>
    <w:p w14:paraId="22326546" w14:textId="6FD73158" w:rsidR="00552EAE" w:rsidRDefault="006B2D07" w:rsidP="006B2D07">
      <w:pPr>
        <w:pStyle w:val="Caption"/>
      </w:pPr>
      <w:bookmarkStart w:id="70" w:name="_Ref522798452"/>
      <w:r>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1</w:t>
      </w:r>
      <w:r w:rsidR="009047A7">
        <w:rPr>
          <w:noProof/>
        </w:rPr>
        <w:fldChar w:fldCharType="end"/>
      </w:r>
      <w:bookmarkEnd w:id="70"/>
      <w:r w:rsidR="00552EAE" w:rsidRPr="00694350">
        <w:t xml:space="preserve">: Key utilisation metrics </w:t>
      </w:r>
      <w:r w:rsidR="00552EAE">
        <w:t xml:space="preserve">July </w:t>
      </w:r>
      <w:r w:rsidR="00552EAE" w:rsidRPr="00694350">
        <w:t xml:space="preserve">2011 to </w:t>
      </w:r>
      <w:r w:rsidR="00552EAE">
        <w:t xml:space="preserve">June </w:t>
      </w:r>
      <w:r w:rsidR="00552EAE" w:rsidRPr="00694350">
        <w:t>2016</w:t>
      </w:r>
      <w:r w:rsidR="003B6FF1">
        <w:t xml:space="preserve"> - MedsCheck</w:t>
      </w:r>
    </w:p>
    <w:tbl>
      <w:tblPr>
        <w:tblW w:w="9752" w:type="dxa"/>
        <w:tblLook w:val="04A0" w:firstRow="1" w:lastRow="0" w:firstColumn="1" w:lastColumn="0" w:noHBand="0" w:noVBand="1"/>
        <w:tblCaption w:val="Table 7.1"/>
        <w:tblDescription w:val="Key utilisation metrics July 2011 to June 2016 - MedsCheck"/>
      </w:tblPr>
      <w:tblGrid>
        <w:gridCol w:w="1039"/>
        <w:gridCol w:w="1393"/>
        <w:gridCol w:w="1830"/>
        <w:gridCol w:w="1830"/>
        <w:gridCol w:w="1830"/>
        <w:gridCol w:w="1830"/>
      </w:tblGrid>
      <w:tr w:rsidR="00552EAE" w:rsidRPr="003B6FF1" w14:paraId="779B107F" w14:textId="77777777" w:rsidTr="003B6FF1">
        <w:trPr>
          <w:trHeight w:val="142"/>
        </w:trPr>
        <w:tc>
          <w:tcPr>
            <w:tcW w:w="1024" w:type="dxa"/>
            <w:tcBorders>
              <w:top w:val="single" w:sz="8" w:space="0" w:color="auto"/>
              <w:left w:val="single" w:sz="8" w:space="0" w:color="auto"/>
              <w:bottom w:val="single" w:sz="8" w:space="0" w:color="auto"/>
              <w:right w:val="single" w:sz="8" w:space="0" w:color="auto"/>
            </w:tcBorders>
            <w:shd w:val="clear" w:color="000000" w:fill="632423"/>
            <w:vAlign w:val="center"/>
            <w:hideMark/>
          </w:tcPr>
          <w:p w14:paraId="0263E6EE"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Year</w:t>
            </w:r>
          </w:p>
        </w:tc>
        <w:tc>
          <w:tcPr>
            <w:tcW w:w="1374" w:type="dxa"/>
            <w:tcBorders>
              <w:top w:val="single" w:sz="8" w:space="0" w:color="auto"/>
              <w:left w:val="nil"/>
              <w:bottom w:val="single" w:sz="8" w:space="0" w:color="auto"/>
              <w:right w:val="single" w:sz="8" w:space="0" w:color="auto"/>
            </w:tcBorders>
            <w:shd w:val="clear" w:color="000000" w:fill="632423"/>
            <w:vAlign w:val="center"/>
            <w:hideMark/>
          </w:tcPr>
          <w:p w14:paraId="4D9EEA4A"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Half</w:t>
            </w:r>
          </w:p>
        </w:tc>
        <w:tc>
          <w:tcPr>
            <w:tcW w:w="1805" w:type="dxa"/>
            <w:tcBorders>
              <w:top w:val="single" w:sz="8" w:space="0" w:color="auto"/>
              <w:left w:val="nil"/>
              <w:bottom w:val="single" w:sz="8" w:space="0" w:color="auto"/>
              <w:right w:val="single" w:sz="8" w:space="0" w:color="auto"/>
            </w:tcBorders>
            <w:shd w:val="clear" w:color="000000" w:fill="632423"/>
            <w:vAlign w:val="center"/>
            <w:hideMark/>
          </w:tcPr>
          <w:p w14:paraId="648EEAB4"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Average payment per claim</w:t>
            </w:r>
          </w:p>
        </w:tc>
        <w:tc>
          <w:tcPr>
            <w:tcW w:w="1805" w:type="dxa"/>
            <w:tcBorders>
              <w:top w:val="single" w:sz="8" w:space="0" w:color="auto"/>
              <w:left w:val="nil"/>
              <w:bottom w:val="single" w:sz="8" w:space="0" w:color="auto"/>
              <w:right w:val="single" w:sz="8" w:space="0" w:color="auto"/>
            </w:tcBorders>
            <w:shd w:val="clear" w:color="000000" w:fill="632423"/>
            <w:vAlign w:val="center"/>
            <w:hideMark/>
          </w:tcPr>
          <w:p w14:paraId="59CEF9B8"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Patient volumes</w:t>
            </w:r>
          </w:p>
        </w:tc>
        <w:tc>
          <w:tcPr>
            <w:tcW w:w="1805" w:type="dxa"/>
            <w:tcBorders>
              <w:top w:val="single" w:sz="8" w:space="0" w:color="auto"/>
              <w:left w:val="nil"/>
              <w:bottom w:val="single" w:sz="8" w:space="0" w:color="auto"/>
              <w:right w:val="single" w:sz="8" w:space="0" w:color="auto"/>
            </w:tcBorders>
            <w:shd w:val="clear" w:color="000000" w:fill="632423"/>
            <w:vAlign w:val="center"/>
            <w:hideMark/>
          </w:tcPr>
          <w:p w14:paraId="744EEB1F"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Claims volume</w:t>
            </w:r>
          </w:p>
        </w:tc>
        <w:tc>
          <w:tcPr>
            <w:tcW w:w="1805" w:type="dxa"/>
            <w:tcBorders>
              <w:top w:val="single" w:sz="8" w:space="0" w:color="auto"/>
              <w:left w:val="nil"/>
              <w:bottom w:val="single" w:sz="8" w:space="0" w:color="auto"/>
              <w:right w:val="single" w:sz="8" w:space="0" w:color="auto"/>
            </w:tcBorders>
            <w:shd w:val="clear" w:color="000000" w:fill="632423"/>
            <w:vAlign w:val="center"/>
            <w:hideMark/>
          </w:tcPr>
          <w:p w14:paraId="129EF7F4"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Provider volume</w:t>
            </w:r>
          </w:p>
        </w:tc>
      </w:tr>
      <w:tr w:rsidR="00552EAE" w:rsidRPr="003B6FF1" w14:paraId="60A902BB" w14:textId="77777777" w:rsidTr="003B6FF1">
        <w:trPr>
          <w:trHeight w:val="142"/>
        </w:trPr>
        <w:tc>
          <w:tcPr>
            <w:tcW w:w="102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D4D592"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2012-2013</w:t>
            </w:r>
          </w:p>
        </w:tc>
        <w:tc>
          <w:tcPr>
            <w:tcW w:w="1374" w:type="dxa"/>
            <w:tcBorders>
              <w:top w:val="nil"/>
              <w:left w:val="nil"/>
              <w:bottom w:val="single" w:sz="8" w:space="0" w:color="000000"/>
              <w:right w:val="single" w:sz="8" w:space="0" w:color="auto"/>
            </w:tcBorders>
            <w:shd w:val="clear" w:color="000000" w:fill="FFFFFF"/>
            <w:vAlign w:val="center"/>
            <w:hideMark/>
          </w:tcPr>
          <w:p w14:paraId="0A11F837"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H1</w:t>
            </w:r>
          </w:p>
        </w:tc>
        <w:tc>
          <w:tcPr>
            <w:tcW w:w="1805" w:type="dxa"/>
            <w:tcBorders>
              <w:top w:val="nil"/>
              <w:left w:val="nil"/>
              <w:bottom w:val="single" w:sz="8" w:space="0" w:color="000000"/>
              <w:right w:val="single" w:sz="8" w:space="0" w:color="000000"/>
            </w:tcBorders>
            <w:shd w:val="clear" w:color="000000" w:fill="FFFFFF"/>
            <w:vAlign w:val="center"/>
            <w:hideMark/>
          </w:tcPr>
          <w:p w14:paraId="6E6C15F7"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$55</w:t>
            </w:r>
          </w:p>
        </w:tc>
        <w:tc>
          <w:tcPr>
            <w:tcW w:w="1805" w:type="dxa"/>
            <w:tcBorders>
              <w:top w:val="nil"/>
              <w:left w:val="nil"/>
              <w:bottom w:val="single" w:sz="8" w:space="0" w:color="000000"/>
              <w:right w:val="single" w:sz="8" w:space="0" w:color="000000"/>
            </w:tcBorders>
            <w:shd w:val="clear" w:color="000000" w:fill="FFFFFF"/>
            <w:vAlign w:val="center"/>
            <w:hideMark/>
          </w:tcPr>
          <w:p w14:paraId="4393A994"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24,867</w:t>
            </w:r>
          </w:p>
        </w:tc>
        <w:tc>
          <w:tcPr>
            <w:tcW w:w="1805" w:type="dxa"/>
            <w:tcBorders>
              <w:top w:val="nil"/>
              <w:left w:val="nil"/>
              <w:bottom w:val="single" w:sz="8" w:space="0" w:color="000000"/>
              <w:right w:val="single" w:sz="8" w:space="0" w:color="000000"/>
            </w:tcBorders>
            <w:shd w:val="clear" w:color="000000" w:fill="FFFFFF"/>
            <w:vAlign w:val="center"/>
            <w:hideMark/>
          </w:tcPr>
          <w:p w14:paraId="12DD6E8E"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27,722</w:t>
            </w:r>
          </w:p>
        </w:tc>
        <w:tc>
          <w:tcPr>
            <w:tcW w:w="1805" w:type="dxa"/>
            <w:tcBorders>
              <w:top w:val="nil"/>
              <w:left w:val="nil"/>
              <w:bottom w:val="single" w:sz="8" w:space="0" w:color="000000"/>
              <w:right w:val="single" w:sz="8" w:space="0" w:color="000000"/>
            </w:tcBorders>
            <w:shd w:val="clear" w:color="000000" w:fill="FFFFFF"/>
            <w:vAlign w:val="center"/>
            <w:hideMark/>
          </w:tcPr>
          <w:p w14:paraId="53E7049E"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1,243</w:t>
            </w:r>
          </w:p>
        </w:tc>
      </w:tr>
      <w:tr w:rsidR="00552EAE" w:rsidRPr="003B6FF1" w14:paraId="113A92C4" w14:textId="77777777" w:rsidTr="003B6FF1">
        <w:trPr>
          <w:trHeight w:val="142"/>
        </w:trPr>
        <w:tc>
          <w:tcPr>
            <w:tcW w:w="1024" w:type="dxa"/>
            <w:vMerge/>
            <w:tcBorders>
              <w:top w:val="nil"/>
              <w:left w:val="single" w:sz="8" w:space="0" w:color="auto"/>
              <w:bottom w:val="single" w:sz="8" w:space="0" w:color="000000"/>
              <w:right w:val="single" w:sz="8" w:space="0" w:color="auto"/>
            </w:tcBorders>
            <w:vAlign w:val="center"/>
            <w:hideMark/>
          </w:tcPr>
          <w:p w14:paraId="4EDA97E6" w14:textId="77777777" w:rsidR="00552EAE" w:rsidRPr="003B6FF1" w:rsidRDefault="00552EAE" w:rsidP="00106499">
            <w:pPr>
              <w:spacing w:after="0"/>
              <w:rPr>
                <w:rFonts w:ascii="Garamond" w:eastAsia="Times New Roman" w:hAnsi="Garamond" w:cs="Tahoma"/>
                <w:color w:val="333333"/>
                <w:sz w:val="20"/>
                <w:szCs w:val="20"/>
                <w:lang w:eastAsia="en-AU"/>
              </w:rPr>
            </w:pPr>
          </w:p>
        </w:tc>
        <w:tc>
          <w:tcPr>
            <w:tcW w:w="1374" w:type="dxa"/>
            <w:tcBorders>
              <w:top w:val="nil"/>
              <w:left w:val="nil"/>
              <w:bottom w:val="single" w:sz="8" w:space="0" w:color="000000"/>
              <w:right w:val="single" w:sz="8" w:space="0" w:color="auto"/>
            </w:tcBorders>
            <w:shd w:val="clear" w:color="000000" w:fill="FFFFFF"/>
            <w:vAlign w:val="center"/>
            <w:hideMark/>
          </w:tcPr>
          <w:p w14:paraId="330235D6"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H2</w:t>
            </w:r>
          </w:p>
        </w:tc>
        <w:tc>
          <w:tcPr>
            <w:tcW w:w="1805" w:type="dxa"/>
            <w:tcBorders>
              <w:top w:val="nil"/>
              <w:left w:val="nil"/>
              <w:bottom w:val="single" w:sz="8" w:space="0" w:color="000000"/>
              <w:right w:val="single" w:sz="8" w:space="0" w:color="000000"/>
            </w:tcBorders>
            <w:shd w:val="clear" w:color="000000" w:fill="F2DBDB"/>
            <w:vAlign w:val="center"/>
            <w:hideMark/>
          </w:tcPr>
          <w:p w14:paraId="76D82011"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$57</w:t>
            </w:r>
          </w:p>
        </w:tc>
        <w:tc>
          <w:tcPr>
            <w:tcW w:w="1805" w:type="dxa"/>
            <w:tcBorders>
              <w:top w:val="nil"/>
              <w:left w:val="nil"/>
              <w:bottom w:val="single" w:sz="8" w:space="0" w:color="000000"/>
              <w:right w:val="single" w:sz="8" w:space="0" w:color="000000"/>
            </w:tcBorders>
            <w:shd w:val="clear" w:color="000000" w:fill="F2DBDB"/>
            <w:vAlign w:val="center"/>
            <w:hideMark/>
          </w:tcPr>
          <w:p w14:paraId="5C531766"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44,919</w:t>
            </w:r>
          </w:p>
        </w:tc>
        <w:tc>
          <w:tcPr>
            <w:tcW w:w="1805" w:type="dxa"/>
            <w:tcBorders>
              <w:top w:val="nil"/>
              <w:left w:val="nil"/>
              <w:bottom w:val="single" w:sz="8" w:space="0" w:color="000000"/>
              <w:right w:val="single" w:sz="8" w:space="0" w:color="000000"/>
            </w:tcBorders>
            <w:shd w:val="clear" w:color="000000" w:fill="F2DBDB"/>
            <w:vAlign w:val="center"/>
            <w:hideMark/>
          </w:tcPr>
          <w:p w14:paraId="7AB57B31"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47,890</w:t>
            </w:r>
          </w:p>
        </w:tc>
        <w:tc>
          <w:tcPr>
            <w:tcW w:w="1805" w:type="dxa"/>
            <w:tcBorders>
              <w:top w:val="nil"/>
              <w:left w:val="nil"/>
              <w:bottom w:val="single" w:sz="8" w:space="0" w:color="000000"/>
              <w:right w:val="single" w:sz="8" w:space="0" w:color="000000"/>
            </w:tcBorders>
            <w:shd w:val="clear" w:color="000000" w:fill="F2DBDB"/>
            <w:vAlign w:val="center"/>
            <w:hideMark/>
          </w:tcPr>
          <w:p w14:paraId="1F441085"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1,923</w:t>
            </w:r>
          </w:p>
        </w:tc>
      </w:tr>
      <w:tr w:rsidR="00552EAE" w:rsidRPr="003B6FF1" w14:paraId="384A5E39" w14:textId="77777777" w:rsidTr="003B6FF1">
        <w:trPr>
          <w:trHeight w:val="142"/>
        </w:trPr>
        <w:tc>
          <w:tcPr>
            <w:tcW w:w="1024" w:type="dxa"/>
            <w:vMerge/>
            <w:tcBorders>
              <w:top w:val="nil"/>
              <w:left w:val="single" w:sz="8" w:space="0" w:color="auto"/>
              <w:bottom w:val="single" w:sz="8" w:space="0" w:color="000000"/>
              <w:right w:val="single" w:sz="8" w:space="0" w:color="auto"/>
            </w:tcBorders>
            <w:vAlign w:val="center"/>
            <w:hideMark/>
          </w:tcPr>
          <w:p w14:paraId="0F1D1185" w14:textId="77777777" w:rsidR="00552EAE" w:rsidRPr="003B6FF1" w:rsidRDefault="00552EAE" w:rsidP="00106499">
            <w:pPr>
              <w:spacing w:after="0"/>
              <w:rPr>
                <w:rFonts w:ascii="Garamond" w:eastAsia="Times New Roman" w:hAnsi="Garamond" w:cs="Tahoma"/>
                <w:color w:val="333333"/>
                <w:sz w:val="20"/>
                <w:szCs w:val="20"/>
                <w:lang w:eastAsia="en-AU"/>
              </w:rPr>
            </w:pPr>
          </w:p>
        </w:tc>
        <w:tc>
          <w:tcPr>
            <w:tcW w:w="1374" w:type="dxa"/>
            <w:tcBorders>
              <w:top w:val="nil"/>
              <w:left w:val="nil"/>
              <w:bottom w:val="nil"/>
              <w:right w:val="single" w:sz="8" w:space="0" w:color="000000"/>
            </w:tcBorders>
            <w:shd w:val="clear" w:color="000000" w:fill="000000"/>
            <w:vAlign w:val="center"/>
            <w:hideMark/>
          </w:tcPr>
          <w:p w14:paraId="6935C426" w14:textId="77777777" w:rsidR="00552EAE" w:rsidRPr="003B6FF1" w:rsidRDefault="00552EAE" w:rsidP="00106499">
            <w:pPr>
              <w:spacing w:after="0"/>
              <w:rPr>
                <w:rFonts w:ascii="Garamond" w:eastAsia="Times New Roman" w:hAnsi="Garamond" w:cs="Arial"/>
                <w:b/>
                <w:color w:val="FFFFFF"/>
                <w:sz w:val="20"/>
                <w:szCs w:val="20"/>
                <w:lang w:eastAsia="en-AU"/>
              </w:rPr>
            </w:pPr>
            <w:r w:rsidRPr="003B6FF1">
              <w:rPr>
                <w:rFonts w:ascii="Garamond" w:eastAsia="Times New Roman" w:hAnsi="Garamond" w:cs="Arial"/>
                <w:b/>
                <w:color w:val="FFFFFF"/>
                <w:sz w:val="20"/>
                <w:szCs w:val="20"/>
                <w:lang w:eastAsia="en-AU"/>
              </w:rPr>
              <w:t>Total</w:t>
            </w:r>
          </w:p>
        </w:tc>
        <w:tc>
          <w:tcPr>
            <w:tcW w:w="1805" w:type="dxa"/>
            <w:tcBorders>
              <w:top w:val="nil"/>
              <w:left w:val="nil"/>
              <w:bottom w:val="single" w:sz="8" w:space="0" w:color="000000"/>
              <w:right w:val="single" w:sz="8" w:space="0" w:color="000000"/>
            </w:tcBorders>
            <w:shd w:val="clear" w:color="000000" w:fill="0D0D0D"/>
            <w:vAlign w:val="center"/>
            <w:hideMark/>
          </w:tcPr>
          <w:p w14:paraId="4EB2E5C8"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$56</w:t>
            </w:r>
          </w:p>
        </w:tc>
        <w:tc>
          <w:tcPr>
            <w:tcW w:w="1805" w:type="dxa"/>
            <w:tcBorders>
              <w:top w:val="nil"/>
              <w:left w:val="nil"/>
              <w:bottom w:val="single" w:sz="8" w:space="0" w:color="000000"/>
              <w:right w:val="single" w:sz="8" w:space="0" w:color="000000"/>
            </w:tcBorders>
            <w:shd w:val="clear" w:color="000000" w:fill="0D0D0D"/>
            <w:vAlign w:val="center"/>
            <w:hideMark/>
          </w:tcPr>
          <w:p w14:paraId="40260CC9"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69,594</w:t>
            </w:r>
          </w:p>
        </w:tc>
        <w:tc>
          <w:tcPr>
            <w:tcW w:w="1805" w:type="dxa"/>
            <w:tcBorders>
              <w:top w:val="nil"/>
              <w:left w:val="nil"/>
              <w:bottom w:val="single" w:sz="8" w:space="0" w:color="000000"/>
              <w:right w:val="single" w:sz="8" w:space="0" w:color="000000"/>
            </w:tcBorders>
            <w:shd w:val="clear" w:color="000000" w:fill="0D0D0D"/>
            <w:vAlign w:val="center"/>
            <w:hideMark/>
          </w:tcPr>
          <w:p w14:paraId="0EC560C7"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75,609</w:t>
            </w:r>
          </w:p>
        </w:tc>
        <w:tc>
          <w:tcPr>
            <w:tcW w:w="1805" w:type="dxa"/>
            <w:tcBorders>
              <w:top w:val="nil"/>
              <w:left w:val="nil"/>
              <w:bottom w:val="single" w:sz="8" w:space="0" w:color="000000"/>
              <w:right w:val="single" w:sz="8" w:space="0" w:color="000000"/>
            </w:tcBorders>
            <w:shd w:val="clear" w:color="000000" w:fill="0D0D0D"/>
            <w:vAlign w:val="center"/>
            <w:hideMark/>
          </w:tcPr>
          <w:p w14:paraId="451E5908"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2,186</w:t>
            </w:r>
          </w:p>
        </w:tc>
      </w:tr>
      <w:tr w:rsidR="00552EAE" w:rsidRPr="003B6FF1" w14:paraId="1AD363B1" w14:textId="77777777" w:rsidTr="003B6FF1">
        <w:trPr>
          <w:trHeight w:val="142"/>
        </w:trPr>
        <w:tc>
          <w:tcPr>
            <w:tcW w:w="102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80D9424"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2013-2014</w:t>
            </w:r>
          </w:p>
        </w:tc>
        <w:tc>
          <w:tcPr>
            <w:tcW w:w="1374" w:type="dxa"/>
            <w:tcBorders>
              <w:top w:val="single" w:sz="8" w:space="0" w:color="auto"/>
              <w:left w:val="nil"/>
              <w:bottom w:val="single" w:sz="8" w:space="0" w:color="000000"/>
              <w:right w:val="single" w:sz="8" w:space="0" w:color="auto"/>
            </w:tcBorders>
            <w:shd w:val="clear" w:color="000000" w:fill="FFFFFF"/>
            <w:vAlign w:val="center"/>
            <w:hideMark/>
          </w:tcPr>
          <w:p w14:paraId="5BF8DDFA"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H1</w:t>
            </w:r>
          </w:p>
        </w:tc>
        <w:tc>
          <w:tcPr>
            <w:tcW w:w="1805" w:type="dxa"/>
            <w:tcBorders>
              <w:top w:val="nil"/>
              <w:left w:val="nil"/>
              <w:bottom w:val="single" w:sz="8" w:space="0" w:color="000000"/>
              <w:right w:val="single" w:sz="8" w:space="0" w:color="000000"/>
            </w:tcBorders>
            <w:shd w:val="clear" w:color="000000" w:fill="FFFFFF"/>
            <w:vAlign w:val="center"/>
            <w:hideMark/>
          </w:tcPr>
          <w:p w14:paraId="7568A2CC"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$57</w:t>
            </w:r>
          </w:p>
        </w:tc>
        <w:tc>
          <w:tcPr>
            <w:tcW w:w="1805" w:type="dxa"/>
            <w:tcBorders>
              <w:top w:val="nil"/>
              <w:left w:val="nil"/>
              <w:bottom w:val="single" w:sz="8" w:space="0" w:color="000000"/>
              <w:right w:val="single" w:sz="8" w:space="0" w:color="000000"/>
            </w:tcBorders>
            <w:shd w:val="clear" w:color="000000" w:fill="FFFFFF"/>
            <w:vAlign w:val="center"/>
            <w:hideMark/>
          </w:tcPr>
          <w:p w14:paraId="4A3A6A4A"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175,667</w:t>
            </w:r>
          </w:p>
        </w:tc>
        <w:tc>
          <w:tcPr>
            <w:tcW w:w="1805" w:type="dxa"/>
            <w:tcBorders>
              <w:top w:val="nil"/>
              <w:left w:val="nil"/>
              <w:bottom w:val="single" w:sz="8" w:space="0" w:color="000000"/>
              <w:right w:val="single" w:sz="8" w:space="0" w:color="000000"/>
            </w:tcBorders>
            <w:shd w:val="clear" w:color="000000" w:fill="FFFFFF"/>
            <w:vAlign w:val="center"/>
            <w:hideMark/>
          </w:tcPr>
          <w:p w14:paraId="3E0C6E3A"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185,185</w:t>
            </w:r>
          </w:p>
        </w:tc>
        <w:tc>
          <w:tcPr>
            <w:tcW w:w="1805" w:type="dxa"/>
            <w:tcBorders>
              <w:top w:val="nil"/>
              <w:left w:val="nil"/>
              <w:bottom w:val="single" w:sz="8" w:space="0" w:color="000000"/>
              <w:right w:val="single" w:sz="8" w:space="0" w:color="000000"/>
            </w:tcBorders>
            <w:shd w:val="clear" w:color="000000" w:fill="FFFFFF"/>
            <w:vAlign w:val="center"/>
            <w:hideMark/>
          </w:tcPr>
          <w:p w14:paraId="7DED7CA3"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2,462</w:t>
            </w:r>
          </w:p>
        </w:tc>
      </w:tr>
      <w:tr w:rsidR="00552EAE" w:rsidRPr="003B6FF1" w14:paraId="1B9404A4" w14:textId="77777777" w:rsidTr="003B6FF1">
        <w:trPr>
          <w:trHeight w:val="142"/>
        </w:trPr>
        <w:tc>
          <w:tcPr>
            <w:tcW w:w="1024" w:type="dxa"/>
            <w:vMerge/>
            <w:tcBorders>
              <w:top w:val="nil"/>
              <w:left w:val="single" w:sz="8" w:space="0" w:color="auto"/>
              <w:bottom w:val="single" w:sz="8" w:space="0" w:color="000000"/>
              <w:right w:val="single" w:sz="8" w:space="0" w:color="auto"/>
            </w:tcBorders>
            <w:vAlign w:val="center"/>
            <w:hideMark/>
          </w:tcPr>
          <w:p w14:paraId="3AA4351F" w14:textId="77777777" w:rsidR="00552EAE" w:rsidRPr="003B6FF1" w:rsidRDefault="00552EAE" w:rsidP="00106499">
            <w:pPr>
              <w:spacing w:after="0"/>
              <w:rPr>
                <w:rFonts w:ascii="Garamond" w:eastAsia="Times New Roman" w:hAnsi="Garamond" w:cs="Tahoma"/>
                <w:color w:val="333333"/>
                <w:sz w:val="20"/>
                <w:szCs w:val="20"/>
                <w:lang w:eastAsia="en-AU"/>
              </w:rPr>
            </w:pPr>
          </w:p>
        </w:tc>
        <w:tc>
          <w:tcPr>
            <w:tcW w:w="1374" w:type="dxa"/>
            <w:tcBorders>
              <w:top w:val="single" w:sz="8" w:space="0" w:color="auto"/>
              <w:left w:val="nil"/>
              <w:bottom w:val="single" w:sz="8" w:space="0" w:color="000000"/>
              <w:right w:val="single" w:sz="8" w:space="0" w:color="auto"/>
            </w:tcBorders>
            <w:shd w:val="clear" w:color="000000" w:fill="FFFFFF"/>
            <w:vAlign w:val="center"/>
            <w:hideMark/>
          </w:tcPr>
          <w:p w14:paraId="4896CC77"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H2</w:t>
            </w:r>
          </w:p>
        </w:tc>
        <w:tc>
          <w:tcPr>
            <w:tcW w:w="1805" w:type="dxa"/>
            <w:tcBorders>
              <w:top w:val="nil"/>
              <w:left w:val="nil"/>
              <w:bottom w:val="single" w:sz="8" w:space="0" w:color="000000"/>
              <w:right w:val="single" w:sz="8" w:space="0" w:color="000000"/>
            </w:tcBorders>
            <w:shd w:val="clear" w:color="000000" w:fill="F2DBDB"/>
            <w:vAlign w:val="center"/>
            <w:hideMark/>
          </w:tcPr>
          <w:p w14:paraId="5C2EC1C7"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$60</w:t>
            </w:r>
          </w:p>
        </w:tc>
        <w:tc>
          <w:tcPr>
            <w:tcW w:w="1805" w:type="dxa"/>
            <w:tcBorders>
              <w:top w:val="nil"/>
              <w:left w:val="nil"/>
              <w:bottom w:val="single" w:sz="8" w:space="0" w:color="000000"/>
              <w:right w:val="single" w:sz="8" w:space="0" w:color="000000"/>
            </w:tcBorders>
            <w:shd w:val="clear" w:color="000000" w:fill="F2DBDB"/>
            <w:vAlign w:val="center"/>
            <w:hideMark/>
          </w:tcPr>
          <w:p w14:paraId="08CCD340"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93,336</w:t>
            </w:r>
          </w:p>
        </w:tc>
        <w:tc>
          <w:tcPr>
            <w:tcW w:w="1805" w:type="dxa"/>
            <w:tcBorders>
              <w:top w:val="nil"/>
              <w:left w:val="nil"/>
              <w:bottom w:val="single" w:sz="8" w:space="0" w:color="000000"/>
              <w:right w:val="single" w:sz="8" w:space="0" w:color="000000"/>
            </w:tcBorders>
            <w:shd w:val="clear" w:color="000000" w:fill="F2DBDB"/>
            <w:vAlign w:val="center"/>
            <w:hideMark/>
          </w:tcPr>
          <w:p w14:paraId="34D0FD91"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95,401</w:t>
            </w:r>
          </w:p>
        </w:tc>
        <w:tc>
          <w:tcPr>
            <w:tcW w:w="1805" w:type="dxa"/>
            <w:tcBorders>
              <w:top w:val="nil"/>
              <w:left w:val="nil"/>
              <w:bottom w:val="single" w:sz="8" w:space="0" w:color="000000"/>
              <w:right w:val="single" w:sz="8" w:space="0" w:color="000000"/>
            </w:tcBorders>
            <w:shd w:val="clear" w:color="000000" w:fill="F2DBDB"/>
            <w:vAlign w:val="center"/>
            <w:hideMark/>
          </w:tcPr>
          <w:p w14:paraId="509C69CF"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3,201</w:t>
            </w:r>
          </w:p>
        </w:tc>
      </w:tr>
      <w:tr w:rsidR="00552EAE" w:rsidRPr="003B6FF1" w14:paraId="41D0FF9C" w14:textId="77777777" w:rsidTr="003B6FF1">
        <w:trPr>
          <w:trHeight w:val="142"/>
        </w:trPr>
        <w:tc>
          <w:tcPr>
            <w:tcW w:w="1024" w:type="dxa"/>
            <w:vMerge/>
            <w:tcBorders>
              <w:top w:val="nil"/>
              <w:left w:val="single" w:sz="8" w:space="0" w:color="auto"/>
              <w:bottom w:val="single" w:sz="8" w:space="0" w:color="000000"/>
              <w:right w:val="single" w:sz="8" w:space="0" w:color="auto"/>
            </w:tcBorders>
            <w:vAlign w:val="center"/>
            <w:hideMark/>
          </w:tcPr>
          <w:p w14:paraId="1882C446" w14:textId="77777777" w:rsidR="00552EAE" w:rsidRPr="003B6FF1" w:rsidRDefault="00552EAE" w:rsidP="00106499">
            <w:pPr>
              <w:spacing w:after="0"/>
              <w:rPr>
                <w:rFonts w:ascii="Garamond" w:eastAsia="Times New Roman" w:hAnsi="Garamond" w:cs="Tahoma"/>
                <w:color w:val="333333"/>
                <w:sz w:val="20"/>
                <w:szCs w:val="20"/>
                <w:lang w:eastAsia="en-AU"/>
              </w:rPr>
            </w:pPr>
          </w:p>
        </w:tc>
        <w:tc>
          <w:tcPr>
            <w:tcW w:w="1374" w:type="dxa"/>
            <w:tcBorders>
              <w:top w:val="nil"/>
              <w:left w:val="nil"/>
              <w:bottom w:val="nil"/>
              <w:right w:val="single" w:sz="8" w:space="0" w:color="000000"/>
            </w:tcBorders>
            <w:shd w:val="clear" w:color="000000" w:fill="000000"/>
            <w:vAlign w:val="center"/>
            <w:hideMark/>
          </w:tcPr>
          <w:p w14:paraId="6BB069D9" w14:textId="77777777" w:rsidR="00552EAE" w:rsidRPr="003B6FF1" w:rsidRDefault="00552EAE" w:rsidP="00106499">
            <w:pPr>
              <w:spacing w:after="0"/>
              <w:rPr>
                <w:rFonts w:ascii="Garamond" w:eastAsia="Times New Roman" w:hAnsi="Garamond" w:cs="Arial"/>
                <w:b/>
                <w:color w:val="FFFFFF"/>
                <w:sz w:val="20"/>
                <w:szCs w:val="20"/>
                <w:lang w:eastAsia="en-AU"/>
              </w:rPr>
            </w:pPr>
            <w:r w:rsidRPr="003B6FF1">
              <w:rPr>
                <w:rFonts w:ascii="Garamond" w:eastAsia="Times New Roman" w:hAnsi="Garamond" w:cs="Arial"/>
                <w:b/>
                <w:color w:val="FFFFFF"/>
                <w:sz w:val="20"/>
                <w:szCs w:val="20"/>
                <w:lang w:eastAsia="en-AU"/>
              </w:rPr>
              <w:t>Total</w:t>
            </w:r>
          </w:p>
        </w:tc>
        <w:tc>
          <w:tcPr>
            <w:tcW w:w="1805" w:type="dxa"/>
            <w:tcBorders>
              <w:top w:val="nil"/>
              <w:left w:val="nil"/>
              <w:bottom w:val="single" w:sz="8" w:space="0" w:color="000000"/>
              <w:right w:val="single" w:sz="8" w:space="0" w:color="000000"/>
            </w:tcBorders>
            <w:shd w:val="clear" w:color="000000" w:fill="0D0D0D"/>
            <w:vAlign w:val="center"/>
            <w:hideMark/>
          </w:tcPr>
          <w:p w14:paraId="69D9A16A"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$58</w:t>
            </w:r>
          </w:p>
        </w:tc>
        <w:tc>
          <w:tcPr>
            <w:tcW w:w="1805" w:type="dxa"/>
            <w:tcBorders>
              <w:top w:val="nil"/>
              <w:left w:val="nil"/>
              <w:bottom w:val="single" w:sz="8" w:space="0" w:color="000000"/>
              <w:right w:val="single" w:sz="8" w:space="0" w:color="000000"/>
            </w:tcBorders>
            <w:shd w:val="clear" w:color="000000" w:fill="0D0D0D"/>
            <w:vAlign w:val="center"/>
            <w:hideMark/>
          </w:tcPr>
          <w:p w14:paraId="5D125BD0"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267,689</w:t>
            </w:r>
          </w:p>
        </w:tc>
        <w:tc>
          <w:tcPr>
            <w:tcW w:w="1805" w:type="dxa"/>
            <w:tcBorders>
              <w:top w:val="nil"/>
              <w:left w:val="nil"/>
              <w:bottom w:val="single" w:sz="8" w:space="0" w:color="000000"/>
              <w:right w:val="single" w:sz="8" w:space="0" w:color="000000"/>
            </w:tcBorders>
            <w:shd w:val="clear" w:color="000000" w:fill="0D0D0D"/>
            <w:vAlign w:val="center"/>
            <w:hideMark/>
          </w:tcPr>
          <w:p w14:paraId="24592184"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280,568</w:t>
            </w:r>
          </w:p>
        </w:tc>
        <w:tc>
          <w:tcPr>
            <w:tcW w:w="1805" w:type="dxa"/>
            <w:tcBorders>
              <w:top w:val="nil"/>
              <w:left w:val="nil"/>
              <w:bottom w:val="single" w:sz="8" w:space="0" w:color="000000"/>
              <w:right w:val="single" w:sz="8" w:space="0" w:color="000000"/>
            </w:tcBorders>
            <w:shd w:val="clear" w:color="000000" w:fill="0D0D0D"/>
            <w:vAlign w:val="center"/>
            <w:hideMark/>
          </w:tcPr>
          <w:p w14:paraId="0A678E76"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4,404</w:t>
            </w:r>
          </w:p>
        </w:tc>
      </w:tr>
      <w:tr w:rsidR="00552EAE" w:rsidRPr="003B6FF1" w14:paraId="71A83A2A" w14:textId="77777777" w:rsidTr="003B6FF1">
        <w:trPr>
          <w:trHeight w:val="142"/>
        </w:trPr>
        <w:tc>
          <w:tcPr>
            <w:tcW w:w="102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9EAED19"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2014-2015</w:t>
            </w:r>
          </w:p>
        </w:tc>
        <w:tc>
          <w:tcPr>
            <w:tcW w:w="1374" w:type="dxa"/>
            <w:tcBorders>
              <w:top w:val="single" w:sz="8" w:space="0" w:color="auto"/>
              <w:left w:val="nil"/>
              <w:bottom w:val="single" w:sz="8" w:space="0" w:color="000000"/>
              <w:right w:val="single" w:sz="8" w:space="0" w:color="auto"/>
            </w:tcBorders>
            <w:shd w:val="clear" w:color="000000" w:fill="FFFFFF"/>
            <w:vAlign w:val="center"/>
            <w:hideMark/>
          </w:tcPr>
          <w:p w14:paraId="1496A15D"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H1</w:t>
            </w:r>
          </w:p>
        </w:tc>
        <w:tc>
          <w:tcPr>
            <w:tcW w:w="1805" w:type="dxa"/>
            <w:tcBorders>
              <w:top w:val="nil"/>
              <w:left w:val="nil"/>
              <w:bottom w:val="single" w:sz="8" w:space="0" w:color="000000"/>
              <w:right w:val="single" w:sz="8" w:space="0" w:color="000000"/>
            </w:tcBorders>
            <w:shd w:val="clear" w:color="000000" w:fill="FFFFFF"/>
            <w:vAlign w:val="center"/>
            <w:hideMark/>
          </w:tcPr>
          <w:p w14:paraId="71B938FC"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$62</w:t>
            </w:r>
          </w:p>
        </w:tc>
        <w:tc>
          <w:tcPr>
            <w:tcW w:w="1805" w:type="dxa"/>
            <w:tcBorders>
              <w:top w:val="nil"/>
              <w:left w:val="nil"/>
              <w:bottom w:val="single" w:sz="8" w:space="0" w:color="000000"/>
              <w:right w:val="single" w:sz="8" w:space="0" w:color="000000"/>
            </w:tcBorders>
            <w:shd w:val="clear" w:color="000000" w:fill="FFFFFF"/>
            <w:vAlign w:val="center"/>
            <w:hideMark/>
          </w:tcPr>
          <w:p w14:paraId="69CC1155"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47,677</w:t>
            </w:r>
          </w:p>
        </w:tc>
        <w:tc>
          <w:tcPr>
            <w:tcW w:w="1805" w:type="dxa"/>
            <w:tcBorders>
              <w:top w:val="nil"/>
              <w:left w:val="nil"/>
              <w:bottom w:val="single" w:sz="8" w:space="0" w:color="000000"/>
              <w:right w:val="single" w:sz="8" w:space="0" w:color="000000"/>
            </w:tcBorders>
            <w:shd w:val="clear" w:color="000000" w:fill="FFFFFF"/>
            <w:vAlign w:val="center"/>
            <w:hideMark/>
          </w:tcPr>
          <w:p w14:paraId="54C1D866"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47,736</w:t>
            </w:r>
          </w:p>
        </w:tc>
        <w:tc>
          <w:tcPr>
            <w:tcW w:w="1805" w:type="dxa"/>
            <w:tcBorders>
              <w:top w:val="nil"/>
              <w:left w:val="nil"/>
              <w:bottom w:val="single" w:sz="8" w:space="0" w:color="000000"/>
              <w:right w:val="single" w:sz="8" w:space="0" w:color="000000"/>
            </w:tcBorders>
            <w:shd w:val="clear" w:color="000000" w:fill="FFFFFF"/>
            <w:vAlign w:val="center"/>
            <w:hideMark/>
          </w:tcPr>
          <w:p w14:paraId="2B9797D3"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2,162</w:t>
            </w:r>
          </w:p>
        </w:tc>
      </w:tr>
      <w:tr w:rsidR="00552EAE" w:rsidRPr="003B6FF1" w14:paraId="3572B5C9" w14:textId="77777777" w:rsidTr="003B6FF1">
        <w:trPr>
          <w:trHeight w:val="142"/>
        </w:trPr>
        <w:tc>
          <w:tcPr>
            <w:tcW w:w="1024" w:type="dxa"/>
            <w:vMerge/>
            <w:tcBorders>
              <w:top w:val="nil"/>
              <w:left w:val="single" w:sz="8" w:space="0" w:color="auto"/>
              <w:bottom w:val="single" w:sz="8" w:space="0" w:color="000000"/>
              <w:right w:val="single" w:sz="8" w:space="0" w:color="auto"/>
            </w:tcBorders>
            <w:vAlign w:val="center"/>
            <w:hideMark/>
          </w:tcPr>
          <w:p w14:paraId="5DCC4628" w14:textId="77777777" w:rsidR="00552EAE" w:rsidRPr="003B6FF1" w:rsidRDefault="00552EAE" w:rsidP="00106499">
            <w:pPr>
              <w:spacing w:after="0"/>
              <w:rPr>
                <w:rFonts w:ascii="Garamond" w:eastAsia="Times New Roman" w:hAnsi="Garamond" w:cs="Tahoma"/>
                <w:color w:val="333333"/>
                <w:sz w:val="20"/>
                <w:szCs w:val="20"/>
                <w:lang w:eastAsia="en-AU"/>
              </w:rPr>
            </w:pPr>
          </w:p>
        </w:tc>
        <w:tc>
          <w:tcPr>
            <w:tcW w:w="1374" w:type="dxa"/>
            <w:tcBorders>
              <w:top w:val="single" w:sz="8" w:space="0" w:color="auto"/>
              <w:left w:val="nil"/>
              <w:bottom w:val="single" w:sz="8" w:space="0" w:color="000000"/>
              <w:right w:val="single" w:sz="8" w:space="0" w:color="auto"/>
            </w:tcBorders>
            <w:shd w:val="clear" w:color="000000" w:fill="FFFFFF"/>
            <w:vAlign w:val="center"/>
            <w:hideMark/>
          </w:tcPr>
          <w:p w14:paraId="00AC51C3"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H2</w:t>
            </w:r>
          </w:p>
        </w:tc>
        <w:tc>
          <w:tcPr>
            <w:tcW w:w="1805" w:type="dxa"/>
            <w:tcBorders>
              <w:top w:val="nil"/>
              <w:left w:val="nil"/>
              <w:bottom w:val="single" w:sz="8" w:space="0" w:color="000000"/>
              <w:right w:val="single" w:sz="8" w:space="0" w:color="000000"/>
            </w:tcBorders>
            <w:shd w:val="clear" w:color="000000" w:fill="F2DBDB"/>
            <w:vAlign w:val="center"/>
            <w:hideMark/>
          </w:tcPr>
          <w:p w14:paraId="6DC96886"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$62</w:t>
            </w:r>
          </w:p>
        </w:tc>
        <w:tc>
          <w:tcPr>
            <w:tcW w:w="1805" w:type="dxa"/>
            <w:tcBorders>
              <w:top w:val="nil"/>
              <w:left w:val="nil"/>
              <w:bottom w:val="single" w:sz="8" w:space="0" w:color="000000"/>
              <w:right w:val="single" w:sz="8" w:space="0" w:color="000000"/>
            </w:tcBorders>
            <w:shd w:val="clear" w:color="000000" w:fill="F2DBDB"/>
            <w:vAlign w:val="center"/>
            <w:hideMark/>
          </w:tcPr>
          <w:p w14:paraId="62BBCFD8"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52,723</w:t>
            </w:r>
          </w:p>
        </w:tc>
        <w:tc>
          <w:tcPr>
            <w:tcW w:w="1805" w:type="dxa"/>
            <w:tcBorders>
              <w:top w:val="nil"/>
              <w:left w:val="nil"/>
              <w:bottom w:val="single" w:sz="8" w:space="0" w:color="000000"/>
              <w:right w:val="single" w:sz="8" w:space="0" w:color="000000"/>
            </w:tcBorders>
            <w:shd w:val="clear" w:color="000000" w:fill="F2DBDB"/>
            <w:vAlign w:val="center"/>
            <w:hideMark/>
          </w:tcPr>
          <w:p w14:paraId="5A217DE4"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52,745</w:t>
            </w:r>
          </w:p>
        </w:tc>
        <w:tc>
          <w:tcPr>
            <w:tcW w:w="1805" w:type="dxa"/>
            <w:tcBorders>
              <w:top w:val="nil"/>
              <w:left w:val="nil"/>
              <w:bottom w:val="single" w:sz="8" w:space="0" w:color="000000"/>
              <w:right w:val="single" w:sz="8" w:space="0" w:color="000000"/>
            </w:tcBorders>
            <w:shd w:val="clear" w:color="000000" w:fill="F2DBDB"/>
            <w:vAlign w:val="center"/>
            <w:hideMark/>
          </w:tcPr>
          <w:p w14:paraId="51E7674C"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2,319</w:t>
            </w:r>
          </w:p>
        </w:tc>
      </w:tr>
      <w:tr w:rsidR="00552EAE" w:rsidRPr="003B6FF1" w14:paraId="6200220A" w14:textId="77777777" w:rsidTr="003B6FF1">
        <w:trPr>
          <w:trHeight w:val="142"/>
        </w:trPr>
        <w:tc>
          <w:tcPr>
            <w:tcW w:w="1024" w:type="dxa"/>
            <w:vMerge/>
            <w:tcBorders>
              <w:top w:val="nil"/>
              <w:left w:val="single" w:sz="8" w:space="0" w:color="auto"/>
              <w:bottom w:val="single" w:sz="8" w:space="0" w:color="000000"/>
              <w:right w:val="single" w:sz="8" w:space="0" w:color="auto"/>
            </w:tcBorders>
            <w:vAlign w:val="center"/>
            <w:hideMark/>
          </w:tcPr>
          <w:p w14:paraId="0CB4BE6F" w14:textId="77777777" w:rsidR="00552EAE" w:rsidRPr="003B6FF1" w:rsidRDefault="00552EAE" w:rsidP="00106499">
            <w:pPr>
              <w:spacing w:after="0"/>
              <w:rPr>
                <w:rFonts w:ascii="Garamond" w:eastAsia="Times New Roman" w:hAnsi="Garamond" w:cs="Tahoma"/>
                <w:color w:val="333333"/>
                <w:sz w:val="20"/>
                <w:szCs w:val="20"/>
                <w:lang w:eastAsia="en-AU"/>
              </w:rPr>
            </w:pPr>
          </w:p>
        </w:tc>
        <w:tc>
          <w:tcPr>
            <w:tcW w:w="1374" w:type="dxa"/>
            <w:tcBorders>
              <w:top w:val="nil"/>
              <w:left w:val="nil"/>
              <w:bottom w:val="nil"/>
              <w:right w:val="single" w:sz="8" w:space="0" w:color="000000"/>
            </w:tcBorders>
            <w:shd w:val="clear" w:color="000000" w:fill="000000"/>
            <w:vAlign w:val="center"/>
            <w:hideMark/>
          </w:tcPr>
          <w:p w14:paraId="0CFA56B5" w14:textId="77777777" w:rsidR="00552EAE" w:rsidRPr="003B6FF1" w:rsidRDefault="00552EAE" w:rsidP="00106499">
            <w:pPr>
              <w:spacing w:after="0"/>
              <w:rPr>
                <w:rFonts w:ascii="Garamond" w:eastAsia="Times New Roman" w:hAnsi="Garamond" w:cs="Arial"/>
                <w:b/>
                <w:color w:val="FFFFFF"/>
                <w:sz w:val="20"/>
                <w:szCs w:val="20"/>
                <w:lang w:eastAsia="en-AU"/>
              </w:rPr>
            </w:pPr>
            <w:r w:rsidRPr="003B6FF1">
              <w:rPr>
                <w:rFonts w:ascii="Garamond" w:eastAsia="Times New Roman" w:hAnsi="Garamond" w:cs="Arial"/>
                <w:b/>
                <w:color w:val="FFFFFF"/>
                <w:sz w:val="20"/>
                <w:szCs w:val="20"/>
                <w:lang w:eastAsia="en-AU"/>
              </w:rPr>
              <w:t>Total</w:t>
            </w:r>
          </w:p>
        </w:tc>
        <w:tc>
          <w:tcPr>
            <w:tcW w:w="1805" w:type="dxa"/>
            <w:tcBorders>
              <w:top w:val="nil"/>
              <w:left w:val="nil"/>
              <w:bottom w:val="single" w:sz="8" w:space="0" w:color="000000"/>
              <w:right w:val="single" w:sz="8" w:space="0" w:color="000000"/>
            </w:tcBorders>
            <w:shd w:val="clear" w:color="000000" w:fill="0D0D0D"/>
            <w:vAlign w:val="center"/>
            <w:hideMark/>
          </w:tcPr>
          <w:p w14:paraId="7ADD21EF"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$62</w:t>
            </w:r>
          </w:p>
        </w:tc>
        <w:tc>
          <w:tcPr>
            <w:tcW w:w="1805" w:type="dxa"/>
            <w:tcBorders>
              <w:top w:val="nil"/>
              <w:left w:val="nil"/>
              <w:bottom w:val="single" w:sz="8" w:space="0" w:color="000000"/>
              <w:right w:val="single" w:sz="8" w:space="0" w:color="000000"/>
            </w:tcBorders>
            <w:shd w:val="clear" w:color="000000" w:fill="0D0D0D"/>
            <w:vAlign w:val="center"/>
            <w:hideMark/>
          </w:tcPr>
          <w:p w14:paraId="106BD945"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100,360</w:t>
            </w:r>
          </w:p>
        </w:tc>
        <w:tc>
          <w:tcPr>
            <w:tcW w:w="1805" w:type="dxa"/>
            <w:tcBorders>
              <w:top w:val="nil"/>
              <w:left w:val="nil"/>
              <w:bottom w:val="single" w:sz="8" w:space="0" w:color="000000"/>
              <w:right w:val="single" w:sz="8" w:space="0" w:color="000000"/>
            </w:tcBorders>
            <w:shd w:val="clear" w:color="000000" w:fill="0D0D0D"/>
            <w:vAlign w:val="center"/>
            <w:hideMark/>
          </w:tcPr>
          <w:p w14:paraId="147AE0E5"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100,481</w:t>
            </w:r>
          </w:p>
        </w:tc>
        <w:tc>
          <w:tcPr>
            <w:tcW w:w="1805" w:type="dxa"/>
            <w:tcBorders>
              <w:top w:val="nil"/>
              <w:left w:val="nil"/>
              <w:bottom w:val="single" w:sz="8" w:space="0" w:color="000000"/>
              <w:right w:val="single" w:sz="8" w:space="0" w:color="000000"/>
            </w:tcBorders>
            <w:shd w:val="clear" w:color="000000" w:fill="0D0D0D"/>
            <w:vAlign w:val="center"/>
            <w:hideMark/>
          </w:tcPr>
          <w:p w14:paraId="491266D7"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2,722</w:t>
            </w:r>
          </w:p>
        </w:tc>
      </w:tr>
      <w:tr w:rsidR="00552EAE" w:rsidRPr="003B6FF1" w14:paraId="5E85641A" w14:textId="77777777" w:rsidTr="003B6FF1">
        <w:trPr>
          <w:trHeight w:val="142"/>
        </w:trPr>
        <w:tc>
          <w:tcPr>
            <w:tcW w:w="102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26D4F7"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2015-2016</w:t>
            </w:r>
          </w:p>
        </w:tc>
        <w:tc>
          <w:tcPr>
            <w:tcW w:w="1374" w:type="dxa"/>
            <w:tcBorders>
              <w:top w:val="single" w:sz="8" w:space="0" w:color="auto"/>
              <w:left w:val="nil"/>
              <w:bottom w:val="single" w:sz="8" w:space="0" w:color="000000"/>
              <w:right w:val="single" w:sz="8" w:space="0" w:color="auto"/>
            </w:tcBorders>
            <w:shd w:val="clear" w:color="000000" w:fill="FFFFFF"/>
            <w:vAlign w:val="center"/>
            <w:hideMark/>
          </w:tcPr>
          <w:p w14:paraId="7EC4E0D1"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H1</w:t>
            </w:r>
          </w:p>
        </w:tc>
        <w:tc>
          <w:tcPr>
            <w:tcW w:w="1805" w:type="dxa"/>
            <w:tcBorders>
              <w:top w:val="nil"/>
              <w:left w:val="nil"/>
              <w:bottom w:val="single" w:sz="8" w:space="0" w:color="000000"/>
              <w:right w:val="single" w:sz="8" w:space="0" w:color="000000"/>
            </w:tcBorders>
            <w:shd w:val="clear" w:color="000000" w:fill="FFFFFF"/>
            <w:vAlign w:val="center"/>
            <w:hideMark/>
          </w:tcPr>
          <w:p w14:paraId="61F1B101"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$63</w:t>
            </w:r>
          </w:p>
        </w:tc>
        <w:tc>
          <w:tcPr>
            <w:tcW w:w="1805" w:type="dxa"/>
            <w:tcBorders>
              <w:top w:val="nil"/>
              <w:left w:val="nil"/>
              <w:bottom w:val="single" w:sz="8" w:space="0" w:color="000000"/>
              <w:right w:val="single" w:sz="8" w:space="0" w:color="000000"/>
            </w:tcBorders>
            <w:shd w:val="clear" w:color="000000" w:fill="FFFFFF"/>
            <w:vAlign w:val="center"/>
            <w:hideMark/>
          </w:tcPr>
          <w:p w14:paraId="10204F9A"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55,653</w:t>
            </w:r>
          </w:p>
        </w:tc>
        <w:tc>
          <w:tcPr>
            <w:tcW w:w="1805" w:type="dxa"/>
            <w:tcBorders>
              <w:top w:val="nil"/>
              <w:left w:val="nil"/>
              <w:bottom w:val="single" w:sz="8" w:space="0" w:color="000000"/>
              <w:right w:val="single" w:sz="8" w:space="0" w:color="000000"/>
            </w:tcBorders>
            <w:shd w:val="clear" w:color="000000" w:fill="FFFFFF"/>
            <w:vAlign w:val="center"/>
            <w:hideMark/>
          </w:tcPr>
          <w:p w14:paraId="429A916D"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55,765</w:t>
            </w:r>
          </w:p>
        </w:tc>
        <w:tc>
          <w:tcPr>
            <w:tcW w:w="1805" w:type="dxa"/>
            <w:tcBorders>
              <w:top w:val="nil"/>
              <w:left w:val="nil"/>
              <w:bottom w:val="single" w:sz="8" w:space="0" w:color="000000"/>
              <w:right w:val="single" w:sz="8" w:space="0" w:color="000000"/>
            </w:tcBorders>
            <w:shd w:val="clear" w:color="000000" w:fill="FFFFFF"/>
            <w:vAlign w:val="center"/>
            <w:hideMark/>
          </w:tcPr>
          <w:p w14:paraId="3EC9CB34"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2,411</w:t>
            </w:r>
          </w:p>
        </w:tc>
      </w:tr>
      <w:tr w:rsidR="00552EAE" w:rsidRPr="003B6FF1" w14:paraId="0C79513D" w14:textId="77777777" w:rsidTr="003B6FF1">
        <w:trPr>
          <w:trHeight w:val="142"/>
        </w:trPr>
        <w:tc>
          <w:tcPr>
            <w:tcW w:w="1024" w:type="dxa"/>
            <w:vMerge/>
            <w:tcBorders>
              <w:top w:val="nil"/>
              <w:left w:val="single" w:sz="8" w:space="0" w:color="auto"/>
              <w:bottom w:val="single" w:sz="8" w:space="0" w:color="000000"/>
              <w:right w:val="single" w:sz="8" w:space="0" w:color="auto"/>
            </w:tcBorders>
            <w:vAlign w:val="center"/>
            <w:hideMark/>
          </w:tcPr>
          <w:p w14:paraId="3E5E2DF6" w14:textId="77777777" w:rsidR="00552EAE" w:rsidRPr="003B6FF1" w:rsidRDefault="00552EAE" w:rsidP="00106499">
            <w:pPr>
              <w:spacing w:after="0"/>
              <w:rPr>
                <w:rFonts w:ascii="Garamond" w:eastAsia="Times New Roman" w:hAnsi="Garamond" w:cs="Tahoma"/>
                <w:color w:val="333333"/>
                <w:sz w:val="20"/>
                <w:szCs w:val="20"/>
                <w:lang w:eastAsia="en-AU"/>
              </w:rPr>
            </w:pPr>
          </w:p>
        </w:tc>
        <w:tc>
          <w:tcPr>
            <w:tcW w:w="1374" w:type="dxa"/>
            <w:tcBorders>
              <w:top w:val="single" w:sz="8" w:space="0" w:color="auto"/>
              <w:left w:val="nil"/>
              <w:bottom w:val="single" w:sz="8" w:space="0" w:color="000000"/>
              <w:right w:val="single" w:sz="8" w:space="0" w:color="auto"/>
            </w:tcBorders>
            <w:shd w:val="clear" w:color="000000" w:fill="FFFFFF"/>
            <w:vAlign w:val="center"/>
            <w:hideMark/>
          </w:tcPr>
          <w:p w14:paraId="3E15FB27" w14:textId="77777777" w:rsidR="00552EAE" w:rsidRPr="003B6FF1" w:rsidRDefault="00552EAE" w:rsidP="00106499">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H2</w:t>
            </w:r>
          </w:p>
        </w:tc>
        <w:tc>
          <w:tcPr>
            <w:tcW w:w="1805" w:type="dxa"/>
            <w:tcBorders>
              <w:top w:val="nil"/>
              <w:left w:val="nil"/>
              <w:bottom w:val="single" w:sz="8" w:space="0" w:color="000000"/>
              <w:right w:val="single" w:sz="8" w:space="0" w:color="000000"/>
            </w:tcBorders>
            <w:shd w:val="clear" w:color="000000" w:fill="F2DBDB"/>
            <w:vAlign w:val="center"/>
            <w:hideMark/>
          </w:tcPr>
          <w:p w14:paraId="6C50D744"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$63</w:t>
            </w:r>
          </w:p>
        </w:tc>
        <w:tc>
          <w:tcPr>
            <w:tcW w:w="1805" w:type="dxa"/>
            <w:tcBorders>
              <w:top w:val="nil"/>
              <w:left w:val="nil"/>
              <w:bottom w:val="single" w:sz="8" w:space="0" w:color="000000"/>
              <w:right w:val="single" w:sz="8" w:space="0" w:color="000000"/>
            </w:tcBorders>
            <w:shd w:val="clear" w:color="000000" w:fill="F2DBDB"/>
            <w:vAlign w:val="center"/>
            <w:hideMark/>
          </w:tcPr>
          <w:p w14:paraId="745F2C35"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59,090</w:t>
            </w:r>
          </w:p>
        </w:tc>
        <w:tc>
          <w:tcPr>
            <w:tcW w:w="1805" w:type="dxa"/>
            <w:tcBorders>
              <w:top w:val="nil"/>
              <w:left w:val="nil"/>
              <w:bottom w:val="single" w:sz="8" w:space="0" w:color="000000"/>
              <w:right w:val="single" w:sz="8" w:space="0" w:color="000000"/>
            </w:tcBorders>
            <w:shd w:val="clear" w:color="000000" w:fill="F2DBDB"/>
            <w:vAlign w:val="center"/>
            <w:hideMark/>
          </w:tcPr>
          <w:p w14:paraId="022FEBA9"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59,885</w:t>
            </w:r>
          </w:p>
        </w:tc>
        <w:tc>
          <w:tcPr>
            <w:tcW w:w="1805" w:type="dxa"/>
            <w:tcBorders>
              <w:top w:val="nil"/>
              <w:left w:val="nil"/>
              <w:bottom w:val="single" w:sz="8" w:space="0" w:color="000000"/>
              <w:right w:val="single" w:sz="8" w:space="0" w:color="000000"/>
            </w:tcBorders>
            <w:shd w:val="clear" w:color="000000" w:fill="F2DBDB"/>
            <w:vAlign w:val="center"/>
            <w:hideMark/>
          </w:tcPr>
          <w:p w14:paraId="0370765C" w14:textId="77777777" w:rsidR="00552EAE" w:rsidRPr="003B6FF1" w:rsidRDefault="00552EAE" w:rsidP="00106499">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2,551</w:t>
            </w:r>
          </w:p>
        </w:tc>
      </w:tr>
      <w:tr w:rsidR="00552EAE" w:rsidRPr="003B6FF1" w14:paraId="77ABBBB6" w14:textId="77777777" w:rsidTr="003B6FF1">
        <w:trPr>
          <w:trHeight w:val="142"/>
        </w:trPr>
        <w:tc>
          <w:tcPr>
            <w:tcW w:w="1024" w:type="dxa"/>
            <w:vMerge/>
            <w:tcBorders>
              <w:top w:val="nil"/>
              <w:left w:val="single" w:sz="8" w:space="0" w:color="auto"/>
              <w:bottom w:val="single" w:sz="8" w:space="0" w:color="000000"/>
              <w:right w:val="single" w:sz="8" w:space="0" w:color="auto"/>
            </w:tcBorders>
            <w:vAlign w:val="center"/>
            <w:hideMark/>
          </w:tcPr>
          <w:p w14:paraId="252E42E8" w14:textId="77777777" w:rsidR="00552EAE" w:rsidRPr="003B6FF1" w:rsidRDefault="00552EAE" w:rsidP="00106499">
            <w:pPr>
              <w:spacing w:after="0"/>
              <w:rPr>
                <w:rFonts w:ascii="Garamond" w:eastAsia="Times New Roman" w:hAnsi="Garamond" w:cs="Tahoma"/>
                <w:color w:val="333333"/>
                <w:sz w:val="20"/>
                <w:szCs w:val="20"/>
                <w:lang w:eastAsia="en-AU"/>
              </w:rPr>
            </w:pPr>
          </w:p>
        </w:tc>
        <w:tc>
          <w:tcPr>
            <w:tcW w:w="1374" w:type="dxa"/>
            <w:tcBorders>
              <w:top w:val="nil"/>
              <w:left w:val="nil"/>
              <w:bottom w:val="single" w:sz="8" w:space="0" w:color="000000"/>
              <w:right w:val="single" w:sz="8" w:space="0" w:color="000000"/>
            </w:tcBorders>
            <w:shd w:val="clear" w:color="000000" w:fill="000000"/>
            <w:vAlign w:val="center"/>
            <w:hideMark/>
          </w:tcPr>
          <w:p w14:paraId="7AC979E0" w14:textId="77777777" w:rsidR="00552EAE" w:rsidRPr="003B6FF1" w:rsidRDefault="00552EAE" w:rsidP="00106499">
            <w:pPr>
              <w:spacing w:after="0"/>
              <w:rPr>
                <w:rFonts w:ascii="Garamond" w:eastAsia="Times New Roman" w:hAnsi="Garamond" w:cs="Arial"/>
                <w:b/>
                <w:color w:val="FFFFFF"/>
                <w:sz w:val="20"/>
                <w:szCs w:val="20"/>
                <w:lang w:eastAsia="en-AU"/>
              </w:rPr>
            </w:pPr>
            <w:r w:rsidRPr="003B6FF1">
              <w:rPr>
                <w:rFonts w:ascii="Garamond" w:eastAsia="Times New Roman" w:hAnsi="Garamond" w:cs="Arial"/>
                <w:b/>
                <w:color w:val="FFFFFF"/>
                <w:sz w:val="20"/>
                <w:szCs w:val="20"/>
                <w:lang w:eastAsia="en-AU"/>
              </w:rPr>
              <w:t>Total</w:t>
            </w:r>
          </w:p>
        </w:tc>
        <w:tc>
          <w:tcPr>
            <w:tcW w:w="1805" w:type="dxa"/>
            <w:tcBorders>
              <w:top w:val="nil"/>
              <w:left w:val="nil"/>
              <w:bottom w:val="single" w:sz="8" w:space="0" w:color="000000"/>
              <w:right w:val="single" w:sz="8" w:space="0" w:color="000000"/>
            </w:tcBorders>
            <w:shd w:val="clear" w:color="000000" w:fill="0D0D0D"/>
            <w:vAlign w:val="center"/>
            <w:hideMark/>
          </w:tcPr>
          <w:p w14:paraId="1E557725"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$63</w:t>
            </w:r>
          </w:p>
        </w:tc>
        <w:tc>
          <w:tcPr>
            <w:tcW w:w="1805" w:type="dxa"/>
            <w:tcBorders>
              <w:top w:val="nil"/>
              <w:left w:val="nil"/>
              <w:bottom w:val="single" w:sz="8" w:space="0" w:color="000000"/>
              <w:right w:val="single" w:sz="8" w:space="0" w:color="000000"/>
            </w:tcBorders>
            <w:shd w:val="clear" w:color="000000" w:fill="0D0D0D"/>
            <w:vAlign w:val="center"/>
            <w:hideMark/>
          </w:tcPr>
          <w:p w14:paraId="4FC88827"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114,723</w:t>
            </w:r>
          </w:p>
        </w:tc>
        <w:tc>
          <w:tcPr>
            <w:tcW w:w="1805" w:type="dxa"/>
            <w:tcBorders>
              <w:top w:val="nil"/>
              <w:left w:val="nil"/>
              <w:bottom w:val="single" w:sz="8" w:space="0" w:color="000000"/>
              <w:right w:val="single" w:sz="8" w:space="0" w:color="000000"/>
            </w:tcBorders>
            <w:shd w:val="clear" w:color="000000" w:fill="0D0D0D"/>
            <w:vAlign w:val="center"/>
            <w:hideMark/>
          </w:tcPr>
          <w:p w14:paraId="5B1C2578"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115,649</w:t>
            </w:r>
          </w:p>
        </w:tc>
        <w:tc>
          <w:tcPr>
            <w:tcW w:w="1805" w:type="dxa"/>
            <w:tcBorders>
              <w:top w:val="nil"/>
              <w:left w:val="nil"/>
              <w:bottom w:val="single" w:sz="8" w:space="0" w:color="000000"/>
              <w:right w:val="single" w:sz="8" w:space="0" w:color="000000"/>
            </w:tcBorders>
            <w:shd w:val="clear" w:color="000000" w:fill="0D0D0D"/>
            <w:vAlign w:val="center"/>
            <w:hideMark/>
          </w:tcPr>
          <w:p w14:paraId="61D65C9C"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2,961</w:t>
            </w:r>
          </w:p>
        </w:tc>
      </w:tr>
    </w:tbl>
    <w:p w14:paraId="124D3CAA" w14:textId="77777777" w:rsidR="00552EAE" w:rsidRPr="00694350" w:rsidRDefault="00552EAE" w:rsidP="00552EAE">
      <w:pPr>
        <w:pStyle w:val="08Tablefootnotes"/>
        <w:rPr>
          <w:color w:val="000000" w:themeColor="text1"/>
        </w:rPr>
      </w:pPr>
      <w:r w:rsidRPr="00694350">
        <w:rPr>
          <w:rFonts w:ascii="Garamond" w:hAnsi="Garamond"/>
        </w:rPr>
        <w:t xml:space="preserve">Source: DHS claims systems extracts for years 2011/12, 2012/13 and 2013/14, Pharmacy Guild claims systems extracts for years 2014/15 and 2015/16. </w:t>
      </w:r>
    </w:p>
    <w:p w14:paraId="381D0FDD" w14:textId="77777777" w:rsidR="00552EAE" w:rsidRPr="00694350" w:rsidRDefault="00552EAE" w:rsidP="00552EAE">
      <w:pPr>
        <w:pStyle w:val="08Tablefootnotes"/>
        <w:rPr>
          <w:rFonts w:ascii="Garamond" w:hAnsi="Garamond"/>
        </w:rPr>
      </w:pPr>
      <w:r w:rsidRPr="00694350">
        <w:rPr>
          <w:rFonts w:ascii="Garamond" w:hAnsi="Garamond"/>
        </w:rPr>
        <w:t>Abbreviations: BE, Business Entity (includes sole traders)</w:t>
      </w:r>
    </w:p>
    <w:p w14:paraId="4DF65D69" w14:textId="77777777" w:rsidR="00552EAE" w:rsidRDefault="00552EAE" w:rsidP="00552EAE">
      <w:pPr>
        <w:pStyle w:val="08Tablefootnotes"/>
        <w:rPr>
          <w:rFonts w:ascii="Garamond" w:hAnsi="Garamond"/>
        </w:rPr>
      </w:pPr>
      <w:r w:rsidRPr="00694350">
        <w:rPr>
          <w:rFonts w:ascii="Garamond" w:hAnsi="Garamond"/>
        </w:rPr>
        <w:t xml:space="preserve">Note 1: Provider identifiers in years 2011/12, 2012/13 and 2013/14 were supplied in encrypted form. They have been categorised in cases where the encrypted identifier was also used in the 2014/15 or in 2015/16 datasets and in cases where the S90 Pharmacy identifier was </w:t>
      </w:r>
    </w:p>
    <w:p w14:paraId="7F6A73F6" w14:textId="78D94FD4" w:rsidR="00552EAE" w:rsidRDefault="006B2D07" w:rsidP="00552EAE">
      <w:pPr>
        <w:pStyle w:val="BodyText"/>
      </w:pPr>
      <w:r>
        <w:fldChar w:fldCharType="begin"/>
      </w:r>
      <w:r>
        <w:instrText xml:space="preserve"> REF _Ref522798452 \h </w:instrText>
      </w:r>
      <w:r>
        <w:fldChar w:fldCharType="separate"/>
      </w:r>
      <w:r w:rsidR="009047A7">
        <w:t xml:space="preserve">Table </w:t>
      </w:r>
      <w:r w:rsidR="009047A7">
        <w:rPr>
          <w:noProof/>
        </w:rPr>
        <w:t>7</w:t>
      </w:r>
      <w:r w:rsidR="009047A7">
        <w:t>.</w:t>
      </w:r>
      <w:r w:rsidR="009047A7">
        <w:rPr>
          <w:noProof/>
        </w:rPr>
        <w:t>1</w:t>
      </w:r>
      <w:r>
        <w:fldChar w:fldCharType="end"/>
      </w:r>
      <w:r w:rsidR="003B6FF1">
        <w:t xml:space="preserve"> shows that i</w:t>
      </w:r>
      <w:r w:rsidR="00552EAE">
        <w:t>n the first half of 2012-2013,</w:t>
      </w:r>
      <w:r w:rsidR="00552EAE" w:rsidRPr="00633561">
        <w:t xml:space="preserve"> </w:t>
      </w:r>
      <w:r w:rsidR="00552EAE">
        <w:t xml:space="preserve">there were 1,243 participating pharmacies, participation had more than doubled by the second half of 2013-2014, peaking at 3,201 unique pharmacies, an increase of 1,958 pharmacies or 158%. </w:t>
      </w:r>
      <w:r w:rsidR="003B6FF1">
        <w:t xml:space="preserve"> </w:t>
      </w:r>
      <w:r w:rsidR="00552EAE">
        <w:t>In the second half of 2015-2016 (post-cap), participating pharmacies reduced to 2,551 pharmacies, a reduction of 650 pharmacies (20%).  The claims cap is clearly a driver of patient volumes but it is also likely that the cl</w:t>
      </w:r>
      <w:bookmarkStart w:id="71" w:name="_GoBack"/>
      <w:bookmarkEnd w:id="71"/>
      <w:r w:rsidR="00552EAE">
        <w:t>aims cap was the primary driver for reduced pharmacies, affecting the economics of participation and signalling to pharmacies greater stringency in claims policies, claims processing rigour and guideline enforcement.</w:t>
      </w:r>
    </w:p>
    <w:p w14:paraId="31EF9702" w14:textId="1C7D03D3" w:rsidR="00552EAE" w:rsidRDefault="00E50013" w:rsidP="00552EAE">
      <w:pPr>
        <w:pStyle w:val="Heading2"/>
        <w:numPr>
          <w:ilvl w:val="1"/>
          <w:numId w:val="37"/>
        </w:numPr>
      </w:pPr>
      <w:r>
        <w:t xml:space="preserve">Medscheck </w:t>
      </w:r>
      <w:r w:rsidR="00552EAE">
        <w:t>Claims by geographic location</w:t>
      </w:r>
    </w:p>
    <w:p w14:paraId="4F80FE45" w14:textId="45DF2585" w:rsidR="00552EAE" w:rsidRDefault="006B2D07" w:rsidP="00552EAE">
      <w:pPr>
        <w:pStyle w:val="BodyText"/>
      </w:pPr>
      <w:r>
        <w:fldChar w:fldCharType="begin"/>
      </w:r>
      <w:r>
        <w:instrText xml:space="preserve"> REF _Ref522798498 \h </w:instrText>
      </w:r>
      <w:r>
        <w:fldChar w:fldCharType="separate"/>
      </w:r>
      <w:r w:rsidR="009047A7">
        <w:t xml:space="preserve">Table </w:t>
      </w:r>
      <w:r w:rsidR="009047A7">
        <w:rPr>
          <w:noProof/>
        </w:rPr>
        <w:t>7</w:t>
      </w:r>
      <w:r w:rsidR="009047A7">
        <w:t>.</w:t>
      </w:r>
      <w:r w:rsidR="009047A7">
        <w:rPr>
          <w:noProof/>
        </w:rPr>
        <w:t>2</w:t>
      </w:r>
      <w:r>
        <w:fldChar w:fldCharType="end"/>
      </w:r>
      <w:r w:rsidR="00552EAE">
        <w:t xml:space="preserve"> su</w:t>
      </w:r>
      <w:r w:rsidR="00552EAE" w:rsidRPr="000F48FC">
        <w:t xml:space="preserve">mmarises the </w:t>
      </w:r>
      <w:r w:rsidR="00552EAE">
        <w:t xml:space="preserve">patient, provider and MedsCheck service volumes, sub-divided by the ABS remoteness area of the pharmacy in which the MedsCheck services were provided.  </w:t>
      </w:r>
    </w:p>
    <w:p w14:paraId="22A76F0A" w14:textId="481EA0D9" w:rsidR="00552EAE" w:rsidRDefault="006B2D07" w:rsidP="006B2D07">
      <w:pPr>
        <w:pStyle w:val="Caption"/>
      </w:pPr>
      <w:bookmarkStart w:id="72" w:name="_Ref522798498"/>
      <w:r>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2</w:t>
      </w:r>
      <w:r w:rsidR="009047A7">
        <w:rPr>
          <w:noProof/>
        </w:rPr>
        <w:fldChar w:fldCharType="end"/>
      </w:r>
      <w:bookmarkEnd w:id="72"/>
      <w:r w:rsidR="00552EAE" w:rsidRPr="00694350">
        <w:t xml:space="preserve">: Key utilisation metrics </w:t>
      </w:r>
      <w:r w:rsidR="00552EAE">
        <w:t xml:space="preserve">July </w:t>
      </w:r>
      <w:r w:rsidR="00552EAE" w:rsidRPr="00694350">
        <w:t xml:space="preserve">2011 to </w:t>
      </w:r>
      <w:r w:rsidR="00552EAE">
        <w:t xml:space="preserve">June </w:t>
      </w:r>
      <w:r w:rsidR="00552EAE" w:rsidRPr="00694350">
        <w:t>2016</w:t>
      </w:r>
      <w:r w:rsidR="00E50013">
        <w:t xml:space="preserve"> - MedsCheck</w:t>
      </w:r>
    </w:p>
    <w:tbl>
      <w:tblPr>
        <w:tblW w:w="9752" w:type="dxa"/>
        <w:tblCellMar>
          <w:left w:w="57" w:type="dxa"/>
          <w:right w:w="57" w:type="dxa"/>
        </w:tblCellMar>
        <w:tblLook w:val="04A0" w:firstRow="1" w:lastRow="0" w:firstColumn="1" w:lastColumn="0" w:noHBand="0" w:noVBand="1"/>
        <w:tblCaption w:val="Table 7.2"/>
        <w:tblDescription w:val="Key utilisation metrics July 2011 to June 2016 - MedsCheck"/>
      </w:tblPr>
      <w:tblGrid>
        <w:gridCol w:w="983"/>
        <w:gridCol w:w="2409"/>
        <w:gridCol w:w="2120"/>
        <w:gridCol w:w="2120"/>
        <w:gridCol w:w="2120"/>
      </w:tblGrid>
      <w:tr w:rsidR="00552EAE" w:rsidRPr="003B6FF1" w14:paraId="49CF54AF" w14:textId="77777777" w:rsidTr="00584009">
        <w:trPr>
          <w:trHeight w:val="142"/>
          <w:tblHeader/>
        </w:trPr>
        <w:tc>
          <w:tcPr>
            <w:tcW w:w="983" w:type="dxa"/>
            <w:tcBorders>
              <w:top w:val="single" w:sz="8" w:space="0" w:color="auto"/>
              <w:left w:val="single" w:sz="8" w:space="0" w:color="auto"/>
              <w:bottom w:val="single" w:sz="8" w:space="0" w:color="auto"/>
              <w:right w:val="single" w:sz="8" w:space="0" w:color="auto"/>
            </w:tcBorders>
            <w:shd w:val="clear" w:color="000000" w:fill="632423"/>
            <w:vAlign w:val="center"/>
            <w:hideMark/>
          </w:tcPr>
          <w:p w14:paraId="0C5BA189"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Period</w:t>
            </w:r>
          </w:p>
        </w:tc>
        <w:tc>
          <w:tcPr>
            <w:tcW w:w="2409" w:type="dxa"/>
            <w:tcBorders>
              <w:top w:val="single" w:sz="8" w:space="0" w:color="auto"/>
              <w:left w:val="nil"/>
              <w:bottom w:val="single" w:sz="8" w:space="0" w:color="auto"/>
              <w:right w:val="single" w:sz="8" w:space="0" w:color="auto"/>
            </w:tcBorders>
            <w:shd w:val="clear" w:color="000000" w:fill="632423"/>
            <w:vAlign w:val="center"/>
            <w:hideMark/>
          </w:tcPr>
          <w:p w14:paraId="3250C283"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ABS remoteness</w:t>
            </w:r>
          </w:p>
        </w:tc>
        <w:tc>
          <w:tcPr>
            <w:tcW w:w="2120" w:type="dxa"/>
            <w:tcBorders>
              <w:top w:val="single" w:sz="8" w:space="0" w:color="auto"/>
              <w:left w:val="nil"/>
              <w:bottom w:val="single" w:sz="8" w:space="0" w:color="auto"/>
              <w:right w:val="single" w:sz="8" w:space="0" w:color="auto"/>
            </w:tcBorders>
            <w:shd w:val="clear" w:color="000000" w:fill="632423"/>
            <w:vAlign w:val="center"/>
            <w:hideMark/>
          </w:tcPr>
          <w:p w14:paraId="5F42E8D7" w14:textId="77777777"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Patient volume</w:t>
            </w:r>
          </w:p>
        </w:tc>
        <w:tc>
          <w:tcPr>
            <w:tcW w:w="2120" w:type="dxa"/>
            <w:tcBorders>
              <w:top w:val="single" w:sz="8" w:space="0" w:color="auto"/>
              <w:left w:val="nil"/>
              <w:bottom w:val="single" w:sz="8" w:space="0" w:color="auto"/>
              <w:right w:val="single" w:sz="8" w:space="0" w:color="auto"/>
            </w:tcBorders>
            <w:shd w:val="clear" w:color="000000" w:fill="632423"/>
            <w:vAlign w:val="center"/>
            <w:hideMark/>
          </w:tcPr>
          <w:p w14:paraId="24EB645D" w14:textId="3AB878A2" w:rsidR="00552EAE" w:rsidRPr="003B6FF1" w:rsidRDefault="00584009" w:rsidP="00584009">
            <w:pPr>
              <w:spacing w:after="0"/>
              <w:jc w:val="center"/>
              <w:rPr>
                <w:rFonts w:ascii="Garamond" w:eastAsia="Times New Roman" w:hAnsi="Garamond" w:cs="Arial"/>
                <w:b/>
                <w:bCs/>
                <w:color w:val="FFFFFF"/>
                <w:sz w:val="20"/>
                <w:szCs w:val="20"/>
                <w:lang w:eastAsia="en-AU"/>
              </w:rPr>
            </w:pPr>
            <w:r>
              <w:rPr>
                <w:rFonts w:ascii="Garamond" w:eastAsia="Times New Roman" w:hAnsi="Garamond" w:cs="Arial"/>
                <w:b/>
                <w:bCs/>
                <w:color w:val="FFFFFF"/>
                <w:sz w:val="20"/>
                <w:szCs w:val="20"/>
                <w:lang w:eastAsia="en-AU"/>
              </w:rPr>
              <w:t>S</w:t>
            </w:r>
            <w:r w:rsidR="00552EAE" w:rsidRPr="003B6FF1">
              <w:rPr>
                <w:rFonts w:ascii="Garamond" w:eastAsia="Times New Roman" w:hAnsi="Garamond" w:cs="Arial"/>
                <w:b/>
                <w:bCs/>
                <w:color w:val="FFFFFF"/>
                <w:sz w:val="20"/>
                <w:szCs w:val="20"/>
                <w:lang w:eastAsia="en-AU"/>
              </w:rPr>
              <w:t>ervice volume</w:t>
            </w:r>
          </w:p>
        </w:tc>
        <w:tc>
          <w:tcPr>
            <w:tcW w:w="2120" w:type="dxa"/>
            <w:tcBorders>
              <w:top w:val="single" w:sz="8" w:space="0" w:color="auto"/>
              <w:left w:val="nil"/>
              <w:bottom w:val="single" w:sz="8" w:space="0" w:color="auto"/>
              <w:right w:val="single" w:sz="8" w:space="0" w:color="auto"/>
            </w:tcBorders>
            <w:shd w:val="clear" w:color="000000" w:fill="632423"/>
            <w:vAlign w:val="center"/>
            <w:hideMark/>
          </w:tcPr>
          <w:p w14:paraId="7575F89B" w14:textId="57BFCA0C" w:rsidR="00552EAE" w:rsidRPr="003B6FF1" w:rsidRDefault="00552EAE" w:rsidP="00106499">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 xml:space="preserve">Provider </w:t>
            </w:r>
            <w:r w:rsidR="00FD3850">
              <w:rPr>
                <w:rFonts w:ascii="Garamond" w:eastAsia="Times New Roman" w:hAnsi="Garamond" w:cs="Arial"/>
                <w:b/>
                <w:bCs/>
                <w:color w:val="FFFFFF"/>
                <w:sz w:val="20"/>
                <w:szCs w:val="20"/>
                <w:lang w:eastAsia="en-AU"/>
              </w:rPr>
              <w:t>v</w:t>
            </w:r>
            <w:r w:rsidRPr="003B6FF1">
              <w:rPr>
                <w:rFonts w:ascii="Garamond" w:eastAsia="Times New Roman" w:hAnsi="Garamond" w:cs="Arial"/>
                <w:b/>
                <w:bCs/>
                <w:color w:val="FFFFFF"/>
                <w:sz w:val="20"/>
                <w:szCs w:val="20"/>
                <w:lang w:eastAsia="en-AU"/>
              </w:rPr>
              <w:t>olume</w:t>
            </w:r>
          </w:p>
        </w:tc>
      </w:tr>
      <w:tr w:rsidR="006B0C78" w:rsidRPr="003B6FF1" w14:paraId="75CBB568" w14:textId="77777777" w:rsidTr="006B0C78">
        <w:trPr>
          <w:trHeight w:val="142"/>
        </w:trPr>
        <w:tc>
          <w:tcPr>
            <w:tcW w:w="98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F09983" w14:textId="77777777" w:rsidR="006B0C78" w:rsidRPr="003B6FF1" w:rsidRDefault="006B0C78" w:rsidP="006B0C78">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2012-2013</w:t>
            </w:r>
          </w:p>
        </w:tc>
        <w:tc>
          <w:tcPr>
            <w:tcW w:w="2409" w:type="dxa"/>
            <w:tcBorders>
              <w:top w:val="nil"/>
              <w:left w:val="nil"/>
              <w:bottom w:val="single" w:sz="8" w:space="0" w:color="000000"/>
              <w:right w:val="single" w:sz="8" w:space="0" w:color="000000"/>
            </w:tcBorders>
            <w:shd w:val="clear" w:color="000000" w:fill="FFFFFF"/>
            <w:vAlign w:val="center"/>
          </w:tcPr>
          <w:p w14:paraId="763E0B8E" w14:textId="2A972229" w:rsidR="006B0C78" w:rsidRPr="003B6FF1" w:rsidRDefault="006B0C78" w:rsidP="006B0C78">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Major Cities of Australia</w:t>
            </w:r>
          </w:p>
        </w:tc>
        <w:tc>
          <w:tcPr>
            <w:tcW w:w="2120" w:type="dxa"/>
            <w:tcBorders>
              <w:top w:val="nil"/>
              <w:left w:val="nil"/>
              <w:bottom w:val="single" w:sz="8" w:space="0" w:color="000000"/>
              <w:right w:val="single" w:sz="8" w:space="0" w:color="000000"/>
            </w:tcBorders>
            <w:shd w:val="clear" w:color="000000" w:fill="FFFFFF"/>
            <w:vAlign w:val="center"/>
          </w:tcPr>
          <w:p w14:paraId="454E460A" w14:textId="03063D50"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52,258</w:t>
            </w:r>
          </w:p>
        </w:tc>
        <w:tc>
          <w:tcPr>
            <w:tcW w:w="2120" w:type="dxa"/>
            <w:tcBorders>
              <w:top w:val="nil"/>
              <w:left w:val="nil"/>
              <w:bottom w:val="single" w:sz="8" w:space="0" w:color="000000"/>
              <w:right w:val="single" w:sz="8" w:space="0" w:color="000000"/>
            </w:tcBorders>
            <w:shd w:val="clear" w:color="000000" w:fill="FFFFFF"/>
            <w:vAlign w:val="center"/>
          </w:tcPr>
          <w:p w14:paraId="66E1C66C" w14:textId="216AE54E"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56,517</w:t>
            </w:r>
          </w:p>
        </w:tc>
        <w:tc>
          <w:tcPr>
            <w:tcW w:w="2120" w:type="dxa"/>
            <w:tcBorders>
              <w:top w:val="nil"/>
              <w:left w:val="nil"/>
              <w:bottom w:val="single" w:sz="8" w:space="0" w:color="000000"/>
              <w:right w:val="single" w:sz="8" w:space="0" w:color="000000"/>
            </w:tcBorders>
            <w:shd w:val="clear" w:color="000000" w:fill="FFFFFF"/>
            <w:vAlign w:val="center"/>
          </w:tcPr>
          <w:p w14:paraId="7E860070" w14:textId="1CEBA081"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1,521</w:t>
            </w:r>
          </w:p>
        </w:tc>
      </w:tr>
      <w:tr w:rsidR="006B0C78" w:rsidRPr="003B6FF1" w14:paraId="1C5AD8A1" w14:textId="77777777" w:rsidTr="006B0C78">
        <w:trPr>
          <w:trHeight w:val="142"/>
        </w:trPr>
        <w:tc>
          <w:tcPr>
            <w:tcW w:w="983" w:type="dxa"/>
            <w:vMerge/>
            <w:tcBorders>
              <w:top w:val="nil"/>
              <w:left w:val="single" w:sz="8" w:space="0" w:color="auto"/>
              <w:bottom w:val="single" w:sz="8" w:space="0" w:color="000000"/>
              <w:right w:val="single" w:sz="8" w:space="0" w:color="auto"/>
            </w:tcBorders>
            <w:vAlign w:val="center"/>
            <w:hideMark/>
          </w:tcPr>
          <w:p w14:paraId="22FB4634" w14:textId="77777777" w:rsidR="006B0C78" w:rsidRPr="003B6FF1" w:rsidRDefault="006B0C78" w:rsidP="006B0C78">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1CC0F044" w14:textId="16794411" w:rsidR="006B0C78" w:rsidRPr="003B6FF1" w:rsidRDefault="006B0C78" w:rsidP="006B0C78">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Inner Regional Australia</w:t>
            </w:r>
          </w:p>
        </w:tc>
        <w:tc>
          <w:tcPr>
            <w:tcW w:w="2120" w:type="dxa"/>
            <w:tcBorders>
              <w:top w:val="nil"/>
              <w:left w:val="nil"/>
              <w:bottom w:val="single" w:sz="8" w:space="0" w:color="000000"/>
              <w:right w:val="single" w:sz="8" w:space="0" w:color="000000"/>
            </w:tcBorders>
            <w:shd w:val="clear" w:color="000000" w:fill="F2DBDB"/>
            <w:vAlign w:val="center"/>
          </w:tcPr>
          <w:p w14:paraId="30CE1D19" w14:textId="4534F36D"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12,623</w:t>
            </w:r>
          </w:p>
        </w:tc>
        <w:tc>
          <w:tcPr>
            <w:tcW w:w="2120" w:type="dxa"/>
            <w:tcBorders>
              <w:top w:val="nil"/>
              <w:left w:val="nil"/>
              <w:bottom w:val="single" w:sz="8" w:space="0" w:color="000000"/>
              <w:right w:val="single" w:sz="8" w:space="0" w:color="000000"/>
            </w:tcBorders>
            <w:shd w:val="clear" w:color="000000" w:fill="F2DBDB"/>
            <w:vAlign w:val="center"/>
          </w:tcPr>
          <w:p w14:paraId="6E3F0AFE" w14:textId="1B6B7FBB"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14,022</w:t>
            </w:r>
          </w:p>
        </w:tc>
        <w:tc>
          <w:tcPr>
            <w:tcW w:w="2120" w:type="dxa"/>
            <w:tcBorders>
              <w:top w:val="nil"/>
              <w:left w:val="nil"/>
              <w:bottom w:val="single" w:sz="8" w:space="0" w:color="000000"/>
              <w:right w:val="single" w:sz="8" w:space="0" w:color="000000"/>
            </w:tcBorders>
            <w:shd w:val="clear" w:color="000000" w:fill="F2DBDB"/>
            <w:vAlign w:val="center"/>
          </w:tcPr>
          <w:p w14:paraId="039593FC" w14:textId="060FE854"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438</w:t>
            </w:r>
          </w:p>
        </w:tc>
      </w:tr>
      <w:tr w:rsidR="006B0C78" w:rsidRPr="003B6FF1" w14:paraId="485F8BB6" w14:textId="77777777" w:rsidTr="006B0C78">
        <w:trPr>
          <w:trHeight w:val="142"/>
        </w:trPr>
        <w:tc>
          <w:tcPr>
            <w:tcW w:w="983" w:type="dxa"/>
            <w:vMerge/>
            <w:tcBorders>
              <w:top w:val="nil"/>
              <w:left w:val="single" w:sz="8" w:space="0" w:color="auto"/>
              <w:bottom w:val="single" w:sz="8" w:space="0" w:color="000000"/>
              <w:right w:val="single" w:sz="8" w:space="0" w:color="auto"/>
            </w:tcBorders>
            <w:vAlign w:val="center"/>
            <w:hideMark/>
          </w:tcPr>
          <w:p w14:paraId="64356729" w14:textId="77777777" w:rsidR="006B0C78" w:rsidRPr="003B6FF1" w:rsidRDefault="006B0C78" w:rsidP="006B0C78">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FFFFF"/>
            <w:vAlign w:val="center"/>
          </w:tcPr>
          <w:p w14:paraId="6FC38574" w14:textId="2B508541" w:rsidR="006B0C78" w:rsidRPr="003B6FF1" w:rsidRDefault="006B0C78" w:rsidP="006B0C78">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Outer Regional Australia</w:t>
            </w:r>
          </w:p>
        </w:tc>
        <w:tc>
          <w:tcPr>
            <w:tcW w:w="2120" w:type="dxa"/>
            <w:tcBorders>
              <w:top w:val="nil"/>
              <w:left w:val="nil"/>
              <w:bottom w:val="single" w:sz="8" w:space="0" w:color="000000"/>
              <w:right w:val="single" w:sz="8" w:space="0" w:color="000000"/>
            </w:tcBorders>
            <w:shd w:val="clear" w:color="000000" w:fill="FFFFFF"/>
            <w:vAlign w:val="center"/>
          </w:tcPr>
          <w:p w14:paraId="3AE3B31E" w14:textId="4B14E4EE"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3,977</w:t>
            </w:r>
          </w:p>
        </w:tc>
        <w:tc>
          <w:tcPr>
            <w:tcW w:w="2120" w:type="dxa"/>
            <w:tcBorders>
              <w:top w:val="nil"/>
              <w:left w:val="nil"/>
              <w:bottom w:val="single" w:sz="8" w:space="0" w:color="000000"/>
              <w:right w:val="single" w:sz="8" w:space="0" w:color="000000"/>
            </w:tcBorders>
            <w:shd w:val="clear" w:color="000000" w:fill="FFFFFF"/>
            <w:vAlign w:val="center"/>
          </w:tcPr>
          <w:p w14:paraId="4C5B6907" w14:textId="7B9F61E3"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4,253</w:t>
            </w:r>
          </w:p>
        </w:tc>
        <w:tc>
          <w:tcPr>
            <w:tcW w:w="2120" w:type="dxa"/>
            <w:tcBorders>
              <w:top w:val="nil"/>
              <w:left w:val="nil"/>
              <w:bottom w:val="single" w:sz="8" w:space="0" w:color="000000"/>
              <w:right w:val="single" w:sz="8" w:space="0" w:color="000000"/>
            </w:tcBorders>
            <w:shd w:val="clear" w:color="000000" w:fill="FFFFFF"/>
            <w:vAlign w:val="center"/>
          </w:tcPr>
          <w:p w14:paraId="69D9174B" w14:textId="2C7B4318"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187</w:t>
            </w:r>
          </w:p>
        </w:tc>
      </w:tr>
      <w:tr w:rsidR="006B0C78" w:rsidRPr="003B6FF1" w14:paraId="618A94FF" w14:textId="77777777" w:rsidTr="006B0C78">
        <w:trPr>
          <w:trHeight w:val="142"/>
        </w:trPr>
        <w:tc>
          <w:tcPr>
            <w:tcW w:w="983" w:type="dxa"/>
            <w:vMerge/>
            <w:tcBorders>
              <w:top w:val="nil"/>
              <w:left w:val="single" w:sz="8" w:space="0" w:color="auto"/>
              <w:bottom w:val="single" w:sz="8" w:space="0" w:color="000000"/>
              <w:right w:val="single" w:sz="8" w:space="0" w:color="auto"/>
            </w:tcBorders>
            <w:vAlign w:val="center"/>
            <w:hideMark/>
          </w:tcPr>
          <w:p w14:paraId="147F9B70" w14:textId="77777777" w:rsidR="006B0C78" w:rsidRPr="003B6FF1" w:rsidRDefault="006B0C78" w:rsidP="006B0C78">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7E7AD4C0" w14:textId="0FC9AC7D" w:rsidR="006B0C78" w:rsidRPr="003B6FF1" w:rsidRDefault="006B0C78" w:rsidP="006B0C78">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Remote Australia</w:t>
            </w:r>
          </w:p>
        </w:tc>
        <w:tc>
          <w:tcPr>
            <w:tcW w:w="2120" w:type="dxa"/>
            <w:tcBorders>
              <w:top w:val="nil"/>
              <w:left w:val="nil"/>
              <w:bottom w:val="single" w:sz="8" w:space="0" w:color="000000"/>
              <w:right w:val="single" w:sz="8" w:space="0" w:color="000000"/>
            </w:tcBorders>
            <w:shd w:val="clear" w:color="000000" w:fill="F2DBDB"/>
            <w:vAlign w:val="center"/>
          </w:tcPr>
          <w:p w14:paraId="4940CB60" w14:textId="46EAF6CD"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664</w:t>
            </w:r>
          </w:p>
        </w:tc>
        <w:tc>
          <w:tcPr>
            <w:tcW w:w="2120" w:type="dxa"/>
            <w:tcBorders>
              <w:top w:val="nil"/>
              <w:left w:val="nil"/>
              <w:bottom w:val="single" w:sz="8" w:space="0" w:color="000000"/>
              <w:right w:val="single" w:sz="8" w:space="0" w:color="000000"/>
            </w:tcBorders>
            <w:shd w:val="clear" w:color="000000" w:fill="F2DBDB"/>
            <w:vAlign w:val="center"/>
          </w:tcPr>
          <w:p w14:paraId="55C70501" w14:textId="3F0AE393"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701</w:t>
            </w:r>
          </w:p>
        </w:tc>
        <w:tc>
          <w:tcPr>
            <w:tcW w:w="2120" w:type="dxa"/>
            <w:tcBorders>
              <w:top w:val="nil"/>
              <w:left w:val="nil"/>
              <w:bottom w:val="single" w:sz="8" w:space="0" w:color="000000"/>
              <w:right w:val="single" w:sz="8" w:space="0" w:color="000000"/>
            </w:tcBorders>
            <w:shd w:val="clear" w:color="000000" w:fill="F2DBDB"/>
            <w:vAlign w:val="center"/>
          </w:tcPr>
          <w:p w14:paraId="4F17DD1E" w14:textId="1FC954B9"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24</w:t>
            </w:r>
          </w:p>
        </w:tc>
      </w:tr>
      <w:tr w:rsidR="006B0C78" w:rsidRPr="003B6FF1" w14:paraId="3D2FC972" w14:textId="77777777" w:rsidTr="006B0C78">
        <w:trPr>
          <w:trHeight w:val="142"/>
        </w:trPr>
        <w:tc>
          <w:tcPr>
            <w:tcW w:w="983" w:type="dxa"/>
            <w:vMerge/>
            <w:tcBorders>
              <w:top w:val="nil"/>
              <w:left w:val="single" w:sz="8" w:space="0" w:color="auto"/>
              <w:bottom w:val="single" w:sz="8" w:space="0" w:color="000000"/>
              <w:right w:val="single" w:sz="8" w:space="0" w:color="auto"/>
            </w:tcBorders>
            <w:vAlign w:val="center"/>
            <w:hideMark/>
          </w:tcPr>
          <w:p w14:paraId="1C82F752" w14:textId="77777777" w:rsidR="006B0C78" w:rsidRPr="003B6FF1" w:rsidRDefault="006B0C78" w:rsidP="006B0C78">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FFFFF"/>
            <w:vAlign w:val="center"/>
          </w:tcPr>
          <w:p w14:paraId="6756C1DB" w14:textId="09C3FA47" w:rsidR="006B0C78" w:rsidRPr="003B6FF1" w:rsidRDefault="006B0C78" w:rsidP="006B0C78">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Very Remote Australia</w:t>
            </w:r>
          </w:p>
        </w:tc>
        <w:tc>
          <w:tcPr>
            <w:tcW w:w="2120" w:type="dxa"/>
            <w:tcBorders>
              <w:top w:val="nil"/>
              <w:left w:val="nil"/>
              <w:bottom w:val="single" w:sz="8" w:space="0" w:color="000000"/>
              <w:right w:val="single" w:sz="8" w:space="0" w:color="000000"/>
            </w:tcBorders>
            <w:shd w:val="clear" w:color="000000" w:fill="FFFFFF"/>
            <w:vAlign w:val="center"/>
          </w:tcPr>
          <w:p w14:paraId="0657C9D3" w14:textId="3E652AB1"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93</w:t>
            </w:r>
          </w:p>
        </w:tc>
        <w:tc>
          <w:tcPr>
            <w:tcW w:w="2120" w:type="dxa"/>
            <w:tcBorders>
              <w:top w:val="nil"/>
              <w:left w:val="nil"/>
              <w:bottom w:val="single" w:sz="8" w:space="0" w:color="000000"/>
              <w:right w:val="single" w:sz="8" w:space="0" w:color="000000"/>
            </w:tcBorders>
            <w:shd w:val="clear" w:color="000000" w:fill="FFFFFF"/>
            <w:vAlign w:val="center"/>
          </w:tcPr>
          <w:p w14:paraId="70E66044" w14:textId="4A23AB48"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106</w:t>
            </w:r>
          </w:p>
        </w:tc>
        <w:tc>
          <w:tcPr>
            <w:tcW w:w="2120" w:type="dxa"/>
            <w:tcBorders>
              <w:top w:val="nil"/>
              <w:left w:val="nil"/>
              <w:bottom w:val="single" w:sz="8" w:space="0" w:color="000000"/>
              <w:right w:val="single" w:sz="8" w:space="0" w:color="000000"/>
            </w:tcBorders>
            <w:shd w:val="clear" w:color="000000" w:fill="FFFFFF"/>
            <w:vAlign w:val="center"/>
          </w:tcPr>
          <w:p w14:paraId="51080EE2" w14:textId="556EC0F9"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9</w:t>
            </w:r>
          </w:p>
        </w:tc>
      </w:tr>
      <w:tr w:rsidR="006B0C78" w:rsidRPr="003B6FF1" w14:paraId="31763BB8" w14:textId="77777777" w:rsidTr="006B0C78">
        <w:trPr>
          <w:trHeight w:val="142"/>
        </w:trPr>
        <w:tc>
          <w:tcPr>
            <w:tcW w:w="983" w:type="dxa"/>
            <w:vMerge/>
            <w:tcBorders>
              <w:top w:val="nil"/>
              <w:left w:val="single" w:sz="8" w:space="0" w:color="auto"/>
              <w:bottom w:val="single" w:sz="8" w:space="0" w:color="000000"/>
              <w:right w:val="single" w:sz="8" w:space="0" w:color="auto"/>
            </w:tcBorders>
            <w:vAlign w:val="center"/>
            <w:hideMark/>
          </w:tcPr>
          <w:p w14:paraId="6D4FEFFB" w14:textId="77777777" w:rsidR="006B0C78" w:rsidRPr="003B6FF1" w:rsidRDefault="006B0C78" w:rsidP="006B0C78">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2EB65AA8" w14:textId="14EDE5CE" w:rsidR="006B0C78" w:rsidRPr="003B6FF1" w:rsidRDefault="006B0C78" w:rsidP="006B0C78">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Location unknown</w:t>
            </w:r>
          </w:p>
        </w:tc>
        <w:tc>
          <w:tcPr>
            <w:tcW w:w="2120" w:type="dxa"/>
            <w:tcBorders>
              <w:top w:val="nil"/>
              <w:left w:val="nil"/>
              <w:bottom w:val="single" w:sz="8" w:space="0" w:color="000000"/>
              <w:right w:val="single" w:sz="8" w:space="0" w:color="000000"/>
            </w:tcBorders>
            <w:shd w:val="clear" w:color="000000" w:fill="F2DBDB"/>
            <w:vAlign w:val="center"/>
          </w:tcPr>
          <w:p w14:paraId="24C0BD38" w14:textId="0595BF0B"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10</w:t>
            </w:r>
          </w:p>
        </w:tc>
        <w:tc>
          <w:tcPr>
            <w:tcW w:w="2120" w:type="dxa"/>
            <w:tcBorders>
              <w:top w:val="nil"/>
              <w:left w:val="nil"/>
              <w:bottom w:val="single" w:sz="8" w:space="0" w:color="000000"/>
              <w:right w:val="single" w:sz="8" w:space="0" w:color="000000"/>
            </w:tcBorders>
            <w:shd w:val="clear" w:color="000000" w:fill="F2DBDB"/>
            <w:vAlign w:val="center"/>
          </w:tcPr>
          <w:p w14:paraId="1127CD30" w14:textId="5CCECD1B"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10</w:t>
            </w:r>
          </w:p>
        </w:tc>
        <w:tc>
          <w:tcPr>
            <w:tcW w:w="2120" w:type="dxa"/>
            <w:tcBorders>
              <w:top w:val="nil"/>
              <w:left w:val="nil"/>
              <w:bottom w:val="single" w:sz="8" w:space="0" w:color="000000"/>
              <w:right w:val="single" w:sz="8" w:space="0" w:color="000000"/>
            </w:tcBorders>
            <w:shd w:val="clear" w:color="000000" w:fill="F2DBDB"/>
            <w:vAlign w:val="center"/>
          </w:tcPr>
          <w:p w14:paraId="3EF7549F" w14:textId="049F62EC" w:rsidR="006B0C78" w:rsidRPr="003B6FF1" w:rsidRDefault="006B0C78" w:rsidP="006B0C78">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7</w:t>
            </w:r>
          </w:p>
        </w:tc>
      </w:tr>
      <w:tr w:rsidR="006B0C78" w:rsidRPr="003B6FF1" w14:paraId="6DA414F3" w14:textId="77777777" w:rsidTr="00584009">
        <w:trPr>
          <w:trHeight w:val="142"/>
        </w:trPr>
        <w:tc>
          <w:tcPr>
            <w:tcW w:w="983" w:type="dxa"/>
            <w:vMerge/>
            <w:tcBorders>
              <w:top w:val="nil"/>
              <w:left w:val="single" w:sz="8" w:space="0" w:color="auto"/>
              <w:bottom w:val="single" w:sz="8" w:space="0" w:color="000000"/>
              <w:right w:val="single" w:sz="8" w:space="0" w:color="auto"/>
            </w:tcBorders>
            <w:vAlign w:val="center"/>
            <w:hideMark/>
          </w:tcPr>
          <w:p w14:paraId="1FDDC129" w14:textId="77777777" w:rsidR="006B0C78" w:rsidRPr="003B6FF1" w:rsidRDefault="006B0C78" w:rsidP="006B0C78">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000000"/>
            <w:vAlign w:val="center"/>
            <w:hideMark/>
          </w:tcPr>
          <w:p w14:paraId="19480808" w14:textId="77777777" w:rsidR="006B0C78" w:rsidRPr="00584009" w:rsidRDefault="006B0C78" w:rsidP="006B0C78">
            <w:pPr>
              <w:spacing w:after="0"/>
              <w:rPr>
                <w:rFonts w:ascii="Garamond" w:eastAsia="Times New Roman" w:hAnsi="Garamond" w:cs="Arial"/>
                <w:b/>
                <w:color w:val="FFFFFF"/>
                <w:sz w:val="20"/>
                <w:szCs w:val="20"/>
                <w:lang w:eastAsia="en-AU"/>
              </w:rPr>
            </w:pPr>
            <w:r w:rsidRPr="00584009">
              <w:rPr>
                <w:rFonts w:ascii="Garamond" w:eastAsia="Times New Roman" w:hAnsi="Garamond" w:cs="Arial"/>
                <w:b/>
                <w:color w:val="FFFFFF"/>
                <w:sz w:val="20"/>
                <w:szCs w:val="20"/>
                <w:lang w:eastAsia="en-AU"/>
              </w:rPr>
              <w:t>Total</w:t>
            </w:r>
          </w:p>
        </w:tc>
        <w:tc>
          <w:tcPr>
            <w:tcW w:w="2120" w:type="dxa"/>
            <w:tcBorders>
              <w:top w:val="nil"/>
              <w:left w:val="nil"/>
              <w:bottom w:val="single" w:sz="8" w:space="0" w:color="000000"/>
              <w:right w:val="single" w:sz="8" w:space="0" w:color="000000"/>
            </w:tcBorders>
            <w:shd w:val="clear" w:color="000000" w:fill="0D0D0D"/>
            <w:vAlign w:val="center"/>
            <w:hideMark/>
          </w:tcPr>
          <w:p w14:paraId="7B68CEFA" w14:textId="77777777" w:rsidR="006B0C78" w:rsidRPr="003B6FF1" w:rsidRDefault="006B0C78" w:rsidP="006B0C78">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69,594</w:t>
            </w:r>
          </w:p>
        </w:tc>
        <w:tc>
          <w:tcPr>
            <w:tcW w:w="2120" w:type="dxa"/>
            <w:tcBorders>
              <w:top w:val="nil"/>
              <w:left w:val="nil"/>
              <w:bottom w:val="single" w:sz="8" w:space="0" w:color="000000"/>
              <w:right w:val="single" w:sz="8" w:space="0" w:color="000000"/>
            </w:tcBorders>
            <w:shd w:val="clear" w:color="000000" w:fill="0D0D0D"/>
            <w:vAlign w:val="center"/>
            <w:hideMark/>
          </w:tcPr>
          <w:p w14:paraId="7ED9563C" w14:textId="77777777" w:rsidR="006B0C78" w:rsidRPr="003B6FF1" w:rsidRDefault="006B0C78" w:rsidP="006B0C78">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75,609</w:t>
            </w:r>
          </w:p>
        </w:tc>
        <w:tc>
          <w:tcPr>
            <w:tcW w:w="2120" w:type="dxa"/>
            <w:tcBorders>
              <w:top w:val="nil"/>
              <w:left w:val="nil"/>
              <w:bottom w:val="single" w:sz="8" w:space="0" w:color="000000"/>
              <w:right w:val="single" w:sz="8" w:space="0" w:color="000000"/>
            </w:tcBorders>
            <w:shd w:val="clear" w:color="000000" w:fill="0D0D0D"/>
            <w:vAlign w:val="center"/>
            <w:hideMark/>
          </w:tcPr>
          <w:p w14:paraId="72CE4117" w14:textId="77777777" w:rsidR="006B0C78" w:rsidRPr="003B6FF1" w:rsidRDefault="006B0C78" w:rsidP="006B0C78">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2,186</w:t>
            </w:r>
          </w:p>
        </w:tc>
      </w:tr>
      <w:tr w:rsidR="003A1AB7" w:rsidRPr="003B6FF1" w14:paraId="0031B664" w14:textId="77777777" w:rsidTr="003A1AB7">
        <w:trPr>
          <w:trHeight w:val="142"/>
        </w:trPr>
        <w:tc>
          <w:tcPr>
            <w:tcW w:w="98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AC4A962" w14:textId="77777777" w:rsidR="003A1AB7" w:rsidRPr="003B6FF1" w:rsidRDefault="003A1AB7" w:rsidP="003A1AB7">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2013-2014</w:t>
            </w:r>
          </w:p>
        </w:tc>
        <w:tc>
          <w:tcPr>
            <w:tcW w:w="2409" w:type="dxa"/>
            <w:tcBorders>
              <w:top w:val="nil"/>
              <w:left w:val="nil"/>
              <w:bottom w:val="single" w:sz="8" w:space="0" w:color="000000"/>
              <w:right w:val="single" w:sz="8" w:space="0" w:color="000000"/>
            </w:tcBorders>
            <w:shd w:val="clear" w:color="000000" w:fill="FFFFFF"/>
            <w:vAlign w:val="center"/>
          </w:tcPr>
          <w:p w14:paraId="75A2FF39" w14:textId="63769347"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Major Cities of Australia</w:t>
            </w:r>
          </w:p>
        </w:tc>
        <w:tc>
          <w:tcPr>
            <w:tcW w:w="2120" w:type="dxa"/>
            <w:tcBorders>
              <w:top w:val="nil"/>
              <w:left w:val="nil"/>
              <w:bottom w:val="single" w:sz="8" w:space="0" w:color="000000"/>
              <w:right w:val="single" w:sz="8" w:space="0" w:color="000000"/>
            </w:tcBorders>
            <w:shd w:val="clear" w:color="000000" w:fill="FFFFFF"/>
            <w:vAlign w:val="center"/>
          </w:tcPr>
          <w:p w14:paraId="092619C2" w14:textId="56FCF796"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201,038</w:t>
            </w:r>
          </w:p>
        </w:tc>
        <w:tc>
          <w:tcPr>
            <w:tcW w:w="2120" w:type="dxa"/>
            <w:tcBorders>
              <w:top w:val="nil"/>
              <w:left w:val="nil"/>
              <w:bottom w:val="single" w:sz="8" w:space="0" w:color="000000"/>
              <w:right w:val="single" w:sz="8" w:space="0" w:color="000000"/>
            </w:tcBorders>
            <w:shd w:val="clear" w:color="000000" w:fill="FFFFFF"/>
            <w:vAlign w:val="center"/>
          </w:tcPr>
          <w:p w14:paraId="15B6D842" w14:textId="41B32BCE"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210,455</w:t>
            </w:r>
          </w:p>
        </w:tc>
        <w:tc>
          <w:tcPr>
            <w:tcW w:w="2120" w:type="dxa"/>
            <w:tcBorders>
              <w:top w:val="nil"/>
              <w:left w:val="nil"/>
              <w:bottom w:val="single" w:sz="8" w:space="0" w:color="000000"/>
              <w:right w:val="single" w:sz="8" w:space="0" w:color="000000"/>
            </w:tcBorders>
            <w:shd w:val="clear" w:color="000000" w:fill="FFFFFF"/>
            <w:vAlign w:val="center"/>
          </w:tcPr>
          <w:p w14:paraId="229318F8" w14:textId="11A45069"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2,956</w:t>
            </w:r>
          </w:p>
        </w:tc>
      </w:tr>
      <w:tr w:rsidR="003A1AB7" w:rsidRPr="003B6FF1" w14:paraId="1086B483"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0E2EDB12"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3696F29F" w14:textId="67AD8610"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Inner Regional Australia</w:t>
            </w:r>
          </w:p>
        </w:tc>
        <w:tc>
          <w:tcPr>
            <w:tcW w:w="2120" w:type="dxa"/>
            <w:tcBorders>
              <w:top w:val="nil"/>
              <w:left w:val="nil"/>
              <w:bottom w:val="single" w:sz="8" w:space="0" w:color="000000"/>
              <w:right w:val="single" w:sz="8" w:space="0" w:color="000000"/>
            </w:tcBorders>
            <w:shd w:val="clear" w:color="000000" w:fill="F2DBDB"/>
            <w:vAlign w:val="center"/>
          </w:tcPr>
          <w:p w14:paraId="57E67EA1" w14:textId="06FCFD51"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42,871</w:t>
            </w:r>
          </w:p>
        </w:tc>
        <w:tc>
          <w:tcPr>
            <w:tcW w:w="2120" w:type="dxa"/>
            <w:tcBorders>
              <w:top w:val="nil"/>
              <w:left w:val="nil"/>
              <w:bottom w:val="single" w:sz="8" w:space="0" w:color="000000"/>
              <w:right w:val="single" w:sz="8" w:space="0" w:color="000000"/>
            </w:tcBorders>
            <w:shd w:val="clear" w:color="000000" w:fill="F2DBDB"/>
            <w:vAlign w:val="center"/>
          </w:tcPr>
          <w:p w14:paraId="4094D3BC" w14:textId="328EB650"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45,211</w:t>
            </w:r>
          </w:p>
        </w:tc>
        <w:tc>
          <w:tcPr>
            <w:tcW w:w="2120" w:type="dxa"/>
            <w:tcBorders>
              <w:top w:val="nil"/>
              <w:left w:val="nil"/>
              <w:bottom w:val="single" w:sz="8" w:space="0" w:color="000000"/>
              <w:right w:val="single" w:sz="8" w:space="0" w:color="000000"/>
            </w:tcBorders>
            <w:shd w:val="clear" w:color="000000" w:fill="F2DBDB"/>
            <w:vAlign w:val="center"/>
          </w:tcPr>
          <w:p w14:paraId="288BA6B2" w14:textId="27F4E325"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802</w:t>
            </w:r>
          </w:p>
        </w:tc>
      </w:tr>
      <w:tr w:rsidR="003A1AB7" w:rsidRPr="003B6FF1" w14:paraId="2B5580C8"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1AC7C1C3"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FFFFF"/>
            <w:vAlign w:val="center"/>
          </w:tcPr>
          <w:p w14:paraId="7C6103D8" w14:textId="78BAD23D"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Outer Regional Australia</w:t>
            </w:r>
          </w:p>
        </w:tc>
        <w:tc>
          <w:tcPr>
            <w:tcW w:w="2120" w:type="dxa"/>
            <w:tcBorders>
              <w:top w:val="nil"/>
              <w:left w:val="nil"/>
              <w:bottom w:val="single" w:sz="8" w:space="0" w:color="000000"/>
              <w:right w:val="single" w:sz="8" w:space="0" w:color="000000"/>
            </w:tcBorders>
            <w:shd w:val="clear" w:color="000000" w:fill="FFFFFF"/>
            <w:vAlign w:val="center"/>
          </w:tcPr>
          <w:p w14:paraId="30DD638A" w14:textId="32205929"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16,525</w:t>
            </w:r>
          </w:p>
        </w:tc>
        <w:tc>
          <w:tcPr>
            <w:tcW w:w="2120" w:type="dxa"/>
            <w:tcBorders>
              <w:top w:val="nil"/>
              <w:left w:val="nil"/>
              <w:bottom w:val="single" w:sz="8" w:space="0" w:color="000000"/>
              <w:right w:val="single" w:sz="8" w:space="0" w:color="000000"/>
            </w:tcBorders>
            <w:shd w:val="clear" w:color="000000" w:fill="FFFFFF"/>
            <w:vAlign w:val="center"/>
          </w:tcPr>
          <w:p w14:paraId="38407887" w14:textId="1E093C0F"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17,238</w:t>
            </w:r>
          </w:p>
        </w:tc>
        <w:tc>
          <w:tcPr>
            <w:tcW w:w="2120" w:type="dxa"/>
            <w:tcBorders>
              <w:top w:val="nil"/>
              <w:left w:val="nil"/>
              <w:bottom w:val="single" w:sz="8" w:space="0" w:color="000000"/>
              <w:right w:val="single" w:sz="8" w:space="0" w:color="000000"/>
            </w:tcBorders>
            <w:shd w:val="clear" w:color="000000" w:fill="FFFFFF"/>
            <w:vAlign w:val="center"/>
          </w:tcPr>
          <w:p w14:paraId="1C5CB341" w14:textId="6351CDD5"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356</w:t>
            </w:r>
          </w:p>
        </w:tc>
      </w:tr>
      <w:tr w:rsidR="003A1AB7" w:rsidRPr="003B6FF1" w14:paraId="56189B69"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0A3A4D07"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79A9CD3F" w14:textId="54526208"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Remote Australia</w:t>
            </w:r>
          </w:p>
        </w:tc>
        <w:tc>
          <w:tcPr>
            <w:tcW w:w="2120" w:type="dxa"/>
            <w:tcBorders>
              <w:top w:val="nil"/>
              <w:left w:val="nil"/>
              <w:bottom w:val="single" w:sz="8" w:space="0" w:color="000000"/>
              <w:right w:val="single" w:sz="8" w:space="0" w:color="000000"/>
            </w:tcBorders>
            <w:shd w:val="clear" w:color="000000" w:fill="F2DBDB"/>
            <w:vAlign w:val="center"/>
          </w:tcPr>
          <w:p w14:paraId="0233E393" w14:textId="7787BE32"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3,363</w:t>
            </w:r>
          </w:p>
        </w:tc>
        <w:tc>
          <w:tcPr>
            <w:tcW w:w="2120" w:type="dxa"/>
            <w:tcBorders>
              <w:top w:val="nil"/>
              <w:left w:val="nil"/>
              <w:bottom w:val="single" w:sz="8" w:space="0" w:color="000000"/>
              <w:right w:val="single" w:sz="8" w:space="0" w:color="000000"/>
            </w:tcBorders>
            <w:shd w:val="clear" w:color="000000" w:fill="F2DBDB"/>
            <w:vAlign w:val="center"/>
          </w:tcPr>
          <w:p w14:paraId="1BAE3148" w14:textId="2D987695"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3,504</w:t>
            </w:r>
          </w:p>
        </w:tc>
        <w:tc>
          <w:tcPr>
            <w:tcW w:w="2120" w:type="dxa"/>
            <w:tcBorders>
              <w:top w:val="nil"/>
              <w:left w:val="nil"/>
              <w:bottom w:val="single" w:sz="8" w:space="0" w:color="000000"/>
              <w:right w:val="single" w:sz="8" w:space="0" w:color="000000"/>
            </w:tcBorders>
            <w:shd w:val="clear" w:color="000000" w:fill="F2DBDB"/>
            <w:vAlign w:val="center"/>
          </w:tcPr>
          <w:p w14:paraId="04A55773" w14:textId="4D09F3B1"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43</w:t>
            </w:r>
          </w:p>
        </w:tc>
      </w:tr>
      <w:tr w:rsidR="003A1AB7" w:rsidRPr="003B6FF1" w14:paraId="3DE23BF7"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090EF3AC"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FFFFF"/>
            <w:vAlign w:val="center"/>
          </w:tcPr>
          <w:p w14:paraId="1DA6CFE0" w14:textId="11D6A4AC"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Very Remote Australia</w:t>
            </w:r>
          </w:p>
        </w:tc>
        <w:tc>
          <w:tcPr>
            <w:tcW w:w="2120" w:type="dxa"/>
            <w:tcBorders>
              <w:top w:val="nil"/>
              <w:left w:val="nil"/>
              <w:bottom w:val="single" w:sz="8" w:space="0" w:color="000000"/>
              <w:right w:val="single" w:sz="8" w:space="0" w:color="000000"/>
            </w:tcBorders>
            <w:shd w:val="clear" w:color="000000" w:fill="FFFFFF"/>
            <w:vAlign w:val="center"/>
          </w:tcPr>
          <w:p w14:paraId="2381754E" w14:textId="72780604"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100</w:t>
            </w:r>
          </w:p>
        </w:tc>
        <w:tc>
          <w:tcPr>
            <w:tcW w:w="2120" w:type="dxa"/>
            <w:tcBorders>
              <w:top w:val="nil"/>
              <w:left w:val="nil"/>
              <w:bottom w:val="single" w:sz="8" w:space="0" w:color="000000"/>
              <w:right w:val="single" w:sz="8" w:space="0" w:color="000000"/>
            </w:tcBorders>
            <w:shd w:val="clear" w:color="000000" w:fill="FFFFFF"/>
            <w:vAlign w:val="center"/>
          </w:tcPr>
          <w:p w14:paraId="387DFC44" w14:textId="018BB5C0"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120</w:t>
            </w:r>
          </w:p>
        </w:tc>
        <w:tc>
          <w:tcPr>
            <w:tcW w:w="2120" w:type="dxa"/>
            <w:tcBorders>
              <w:top w:val="nil"/>
              <w:left w:val="nil"/>
              <w:bottom w:val="single" w:sz="8" w:space="0" w:color="000000"/>
              <w:right w:val="single" w:sz="8" w:space="0" w:color="000000"/>
            </w:tcBorders>
            <w:shd w:val="clear" w:color="000000" w:fill="FFFFFF"/>
            <w:vAlign w:val="center"/>
          </w:tcPr>
          <w:p w14:paraId="544388C1" w14:textId="67C8489C"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13</w:t>
            </w:r>
          </w:p>
        </w:tc>
      </w:tr>
      <w:tr w:rsidR="003A1AB7" w:rsidRPr="003B6FF1" w14:paraId="37A17A20"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2B234321"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02D31F03" w14:textId="09967BEB"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Location unknown</w:t>
            </w:r>
          </w:p>
        </w:tc>
        <w:tc>
          <w:tcPr>
            <w:tcW w:w="2120" w:type="dxa"/>
            <w:tcBorders>
              <w:top w:val="nil"/>
              <w:left w:val="nil"/>
              <w:bottom w:val="single" w:sz="8" w:space="0" w:color="000000"/>
              <w:right w:val="single" w:sz="8" w:space="0" w:color="000000"/>
            </w:tcBorders>
            <w:shd w:val="clear" w:color="000000" w:fill="F2DBDB"/>
            <w:vAlign w:val="center"/>
          </w:tcPr>
          <w:p w14:paraId="78595748" w14:textId="6D1C8CE2"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4,037</w:t>
            </w:r>
          </w:p>
        </w:tc>
        <w:tc>
          <w:tcPr>
            <w:tcW w:w="2120" w:type="dxa"/>
            <w:tcBorders>
              <w:top w:val="nil"/>
              <w:left w:val="nil"/>
              <w:bottom w:val="single" w:sz="8" w:space="0" w:color="000000"/>
              <w:right w:val="single" w:sz="8" w:space="0" w:color="000000"/>
            </w:tcBorders>
            <w:shd w:val="clear" w:color="000000" w:fill="F2DBDB"/>
            <w:vAlign w:val="center"/>
          </w:tcPr>
          <w:p w14:paraId="167650E9" w14:textId="7B55A1E0"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4,040</w:t>
            </w:r>
          </w:p>
        </w:tc>
        <w:tc>
          <w:tcPr>
            <w:tcW w:w="2120" w:type="dxa"/>
            <w:tcBorders>
              <w:top w:val="nil"/>
              <w:left w:val="nil"/>
              <w:bottom w:val="single" w:sz="8" w:space="0" w:color="000000"/>
              <w:right w:val="single" w:sz="8" w:space="0" w:color="000000"/>
            </w:tcBorders>
            <w:shd w:val="clear" w:color="000000" w:fill="F2DBDB"/>
            <w:vAlign w:val="center"/>
          </w:tcPr>
          <w:p w14:paraId="540AA67A" w14:textId="1F2FFE3F"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234</w:t>
            </w:r>
          </w:p>
        </w:tc>
      </w:tr>
      <w:tr w:rsidR="003A1AB7" w:rsidRPr="003B6FF1" w14:paraId="17138AB0" w14:textId="77777777" w:rsidTr="00584009">
        <w:trPr>
          <w:trHeight w:val="142"/>
        </w:trPr>
        <w:tc>
          <w:tcPr>
            <w:tcW w:w="983" w:type="dxa"/>
            <w:vMerge/>
            <w:tcBorders>
              <w:top w:val="nil"/>
              <w:left w:val="single" w:sz="8" w:space="0" w:color="auto"/>
              <w:bottom w:val="single" w:sz="8" w:space="0" w:color="000000"/>
              <w:right w:val="single" w:sz="8" w:space="0" w:color="auto"/>
            </w:tcBorders>
            <w:vAlign w:val="center"/>
            <w:hideMark/>
          </w:tcPr>
          <w:p w14:paraId="48D6F55E"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000000"/>
            <w:vAlign w:val="center"/>
            <w:hideMark/>
          </w:tcPr>
          <w:p w14:paraId="798FE585" w14:textId="77777777" w:rsidR="003A1AB7" w:rsidRPr="00584009" w:rsidRDefault="003A1AB7" w:rsidP="003A1AB7">
            <w:pPr>
              <w:spacing w:after="0"/>
              <w:rPr>
                <w:rFonts w:ascii="Garamond" w:eastAsia="Times New Roman" w:hAnsi="Garamond" w:cs="Arial"/>
                <w:b/>
                <w:color w:val="FFFFFF"/>
                <w:sz w:val="20"/>
                <w:szCs w:val="20"/>
                <w:lang w:eastAsia="en-AU"/>
              </w:rPr>
            </w:pPr>
            <w:r w:rsidRPr="00584009">
              <w:rPr>
                <w:rFonts w:ascii="Garamond" w:eastAsia="Times New Roman" w:hAnsi="Garamond" w:cs="Arial"/>
                <w:b/>
                <w:color w:val="FFFFFF"/>
                <w:sz w:val="20"/>
                <w:szCs w:val="20"/>
                <w:lang w:eastAsia="en-AU"/>
              </w:rPr>
              <w:t>Total</w:t>
            </w:r>
          </w:p>
        </w:tc>
        <w:tc>
          <w:tcPr>
            <w:tcW w:w="2120" w:type="dxa"/>
            <w:tcBorders>
              <w:top w:val="nil"/>
              <w:left w:val="nil"/>
              <w:bottom w:val="single" w:sz="8" w:space="0" w:color="000000"/>
              <w:right w:val="single" w:sz="8" w:space="0" w:color="000000"/>
            </w:tcBorders>
            <w:shd w:val="clear" w:color="000000" w:fill="0D0D0D"/>
            <w:vAlign w:val="center"/>
            <w:hideMark/>
          </w:tcPr>
          <w:p w14:paraId="20651F5F"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267,689</w:t>
            </w:r>
          </w:p>
        </w:tc>
        <w:tc>
          <w:tcPr>
            <w:tcW w:w="2120" w:type="dxa"/>
            <w:tcBorders>
              <w:top w:val="nil"/>
              <w:left w:val="nil"/>
              <w:bottom w:val="single" w:sz="8" w:space="0" w:color="000000"/>
              <w:right w:val="single" w:sz="8" w:space="0" w:color="000000"/>
            </w:tcBorders>
            <w:shd w:val="clear" w:color="000000" w:fill="0D0D0D"/>
            <w:vAlign w:val="center"/>
            <w:hideMark/>
          </w:tcPr>
          <w:p w14:paraId="62714352"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280,568</w:t>
            </w:r>
          </w:p>
        </w:tc>
        <w:tc>
          <w:tcPr>
            <w:tcW w:w="2120" w:type="dxa"/>
            <w:tcBorders>
              <w:top w:val="nil"/>
              <w:left w:val="nil"/>
              <w:bottom w:val="single" w:sz="8" w:space="0" w:color="000000"/>
              <w:right w:val="single" w:sz="8" w:space="0" w:color="000000"/>
            </w:tcBorders>
            <w:shd w:val="clear" w:color="000000" w:fill="0D0D0D"/>
            <w:vAlign w:val="center"/>
            <w:hideMark/>
          </w:tcPr>
          <w:p w14:paraId="2E308964"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4,404</w:t>
            </w:r>
          </w:p>
        </w:tc>
      </w:tr>
      <w:tr w:rsidR="003A1AB7" w:rsidRPr="003B6FF1" w14:paraId="7651FD76" w14:textId="77777777" w:rsidTr="003A1AB7">
        <w:trPr>
          <w:trHeight w:val="142"/>
        </w:trPr>
        <w:tc>
          <w:tcPr>
            <w:tcW w:w="98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3BC2EBE" w14:textId="77777777" w:rsidR="003A1AB7" w:rsidRPr="003B6FF1" w:rsidRDefault="003A1AB7" w:rsidP="003A1AB7">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lastRenderedPageBreak/>
              <w:t>2014-2015</w:t>
            </w:r>
          </w:p>
        </w:tc>
        <w:tc>
          <w:tcPr>
            <w:tcW w:w="2409" w:type="dxa"/>
            <w:tcBorders>
              <w:top w:val="nil"/>
              <w:left w:val="nil"/>
              <w:bottom w:val="single" w:sz="8" w:space="0" w:color="000000"/>
              <w:right w:val="single" w:sz="8" w:space="0" w:color="000000"/>
            </w:tcBorders>
            <w:shd w:val="clear" w:color="000000" w:fill="FFFFFF"/>
            <w:vAlign w:val="center"/>
          </w:tcPr>
          <w:p w14:paraId="455A20B1" w14:textId="75B13273"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Major Cities of Australia</w:t>
            </w:r>
          </w:p>
        </w:tc>
        <w:tc>
          <w:tcPr>
            <w:tcW w:w="2120" w:type="dxa"/>
            <w:tcBorders>
              <w:top w:val="nil"/>
              <w:left w:val="nil"/>
              <w:bottom w:val="single" w:sz="8" w:space="0" w:color="000000"/>
              <w:right w:val="single" w:sz="8" w:space="0" w:color="000000"/>
            </w:tcBorders>
            <w:shd w:val="clear" w:color="000000" w:fill="FFFFFF"/>
            <w:vAlign w:val="center"/>
          </w:tcPr>
          <w:p w14:paraId="2DA4EED5" w14:textId="29E94A1C"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71,163</w:t>
            </w:r>
          </w:p>
        </w:tc>
        <w:tc>
          <w:tcPr>
            <w:tcW w:w="2120" w:type="dxa"/>
            <w:tcBorders>
              <w:top w:val="nil"/>
              <w:left w:val="nil"/>
              <w:bottom w:val="single" w:sz="8" w:space="0" w:color="000000"/>
              <w:right w:val="single" w:sz="8" w:space="0" w:color="000000"/>
            </w:tcBorders>
            <w:shd w:val="clear" w:color="000000" w:fill="FFFFFF"/>
            <w:vAlign w:val="center"/>
          </w:tcPr>
          <w:p w14:paraId="2B6B34A0" w14:textId="75CCD009"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71,223</w:t>
            </w:r>
          </w:p>
        </w:tc>
        <w:tc>
          <w:tcPr>
            <w:tcW w:w="2120" w:type="dxa"/>
            <w:tcBorders>
              <w:top w:val="nil"/>
              <w:left w:val="nil"/>
              <w:bottom w:val="single" w:sz="8" w:space="0" w:color="000000"/>
              <w:right w:val="single" w:sz="8" w:space="0" w:color="000000"/>
            </w:tcBorders>
            <w:shd w:val="clear" w:color="000000" w:fill="FFFFFF"/>
            <w:vAlign w:val="center"/>
          </w:tcPr>
          <w:p w14:paraId="4ACEB065" w14:textId="4D55EE7E"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1,753</w:t>
            </w:r>
          </w:p>
        </w:tc>
      </w:tr>
      <w:tr w:rsidR="003A1AB7" w:rsidRPr="003B6FF1" w14:paraId="34FB446F"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427591DA"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336926F2" w14:textId="74AB301C"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Inner Regional Australia</w:t>
            </w:r>
          </w:p>
        </w:tc>
        <w:tc>
          <w:tcPr>
            <w:tcW w:w="2120" w:type="dxa"/>
            <w:tcBorders>
              <w:top w:val="nil"/>
              <w:left w:val="nil"/>
              <w:bottom w:val="single" w:sz="8" w:space="0" w:color="000000"/>
              <w:right w:val="single" w:sz="8" w:space="0" w:color="000000"/>
            </w:tcBorders>
            <w:shd w:val="clear" w:color="000000" w:fill="F2DBDB"/>
            <w:vAlign w:val="center"/>
          </w:tcPr>
          <w:p w14:paraId="6407E814" w14:textId="6661A84B"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16,102</w:t>
            </w:r>
          </w:p>
        </w:tc>
        <w:tc>
          <w:tcPr>
            <w:tcW w:w="2120" w:type="dxa"/>
            <w:tcBorders>
              <w:top w:val="nil"/>
              <w:left w:val="nil"/>
              <w:bottom w:val="single" w:sz="8" w:space="0" w:color="000000"/>
              <w:right w:val="single" w:sz="8" w:space="0" w:color="000000"/>
            </w:tcBorders>
            <w:shd w:val="clear" w:color="000000" w:fill="F2DBDB"/>
            <w:vAlign w:val="center"/>
          </w:tcPr>
          <w:p w14:paraId="1E5F4320" w14:textId="4B82247B"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16,132</w:t>
            </w:r>
          </w:p>
        </w:tc>
        <w:tc>
          <w:tcPr>
            <w:tcW w:w="2120" w:type="dxa"/>
            <w:tcBorders>
              <w:top w:val="nil"/>
              <w:left w:val="nil"/>
              <w:bottom w:val="single" w:sz="8" w:space="0" w:color="000000"/>
              <w:right w:val="single" w:sz="8" w:space="0" w:color="000000"/>
            </w:tcBorders>
            <w:shd w:val="clear" w:color="000000" w:fill="F2DBDB"/>
            <w:vAlign w:val="center"/>
          </w:tcPr>
          <w:p w14:paraId="479EDFC4" w14:textId="5ABE575A"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482</w:t>
            </w:r>
          </w:p>
        </w:tc>
      </w:tr>
      <w:tr w:rsidR="003A1AB7" w:rsidRPr="003B6FF1" w14:paraId="47EFE6C5"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267D352F"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FFFFF"/>
            <w:vAlign w:val="center"/>
          </w:tcPr>
          <w:p w14:paraId="2C6E2444" w14:textId="5329FB46"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Outer Regional Australia</w:t>
            </w:r>
          </w:p>
        </w:tc>
        <w:tc>
          <w:tcPr>
            <w:tcW w:w="2120" w:type="dxa"/>
            <w:tcBorders>
              <w:top w:val="nil"/>
              <w:left w:val="nil"/>
              <w:bottom w:val="single" w:sz="8" w:space="0" w:color="000000"/>
              <w:right w:val="single" w:sz="8" w:space="0" w:color="000000"/>
            </w:tcBorders>
            <w:shd w:val="clear" w:color="000000" w:fill="FFFFFF"/>
            <w:vAlign w:val="center"/>
          </w:tcPr>
          <w:p w14:paraId="18721687" w14:textId="0C9995A2"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6,351</w:t>
            </w:r>
          </w:p>
        </w:tc>
        <w:tc>
          <w:tcPr>
            <w:tcW w:w="2120" w:type="dxa"/>
            <w:tcBorders>
              <w:top w:val="nil"/>
              <w:left w:val="nil"/>
              <w:bottom w:val="single" w:sz="8" w:space="0" w:color="000000"/>
              <w:right w:val="single" w:sz="8" w:space="0" w:color="000000"/>
            </w:tcBorders>
            <w:shd w:val="clear" w:color="000000" w:fill="FFFFFF"/>
            <w:vAlign w:val="center"/>
          </w:tcPr>
          <w:p w14:paraId="6BD6FA01" w14:textId="7B0E1C39"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6,360</w:t>
            </w:r>
          </w:p>
        </w:tc>
        <w:tc>
          <w:tcPr>
            <w:tcW w:w="2120" w:type="dxa"/>
            <w:tcBorders>
              <w:top w:val="nil"/>
              <w:left w:val="nil"/>
              <w:bottom w:val="single" w:sz="8" w:space="0" w:color="000000"/>
              <w:right w:val="single" w:sz="8" w:space="0" w:color="000000"/>
            </w:tcBorders>
            <w:shd w:val="clear" w:color="000000" w:fill="FFFFFF"/>
            <w:vAlign w:val="center"/>
          </w:tcPr>
          <w:p w14:paraId="3141E4B6" w14:textId="675DB5A2"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227</w:t>
            </w:r>
          </w:p>
        </w:tc>
      </w:tr>
      <w:tr w:rsidR="003A1AB7" w:rsidRPr="003B6FF1" w14:paraId="0480AFDD"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5974E670"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74B92C7A" w14:textId="110DFCAB"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Remote Australia</w:t>
            </w:r>
          </w:p>
        </w:tc>
        <w:tc>
          <w:tcPr>
            <w:tcW w:w="2120" w:type="dxa"/>
            <w:tcBorders>
              <w:top w:val="nil"/>
              <w:left w:val="nil"/>
              <w:bottom w:val="single" w:sz="8" w:space="0" w:color="000000"/>
              <w:right w:val="single" w:sz="8" w:space="0" w:color="000000"/>
            </w:tcBorders>
            <w:shd w:val="clear" w:color="000000" w:fill="F2DBDB"/>
            <w:vAlign w:val="center"/>
          </w:tcPr>
          <w:p w14:paraId="7EEC43B2" w14:textId="60A2E66A"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852</w:t>
            </w:r>
          </w:p>
        </w:tc>
        <w:tc>
          <w:tcPr>
            <w:tcW w:w="2120" w:type="dxa"/>
            <w:tcBorders>
              <w:top w:val="nil"/>
              <w:left w:val="nil"/>
              <w:bottom w:val="single" w:sz="8" w:space="0" w:color="000000"/>
              <w:right w:val="single" w:sz="8" w:space="0" w:color="000000"/>
            </w:tcBorders>
            <w:shd w:val="clear" w:color="000000" w:fill="F2DBDB"/>
            <w:vAlign w:val="center"/>
          </w:tcPr>
          <w:p w14:paraId="48EDFBC6" w14:textId="646E567C"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852</w:t>
            </w:r>
          </w:p>
        </w:tc>
        <w:tc>
          <w:tcPr>
            <w:tcW w:w="2120" w:type="dxa"/>
            <w:tcBorders>
              <w:top w:val="nil"/>
              <w:left w:val="nil"/>
              <w:bottom w:val="single" w:sz="8" w:space="0" w:color="000000"/>
              <w:right w:val="single" w:sz="8" w:space="0" w:color="000000"/>
            </w:tcBorders>
            <w:shd w:val="clear" w:color="000000" w:fill="F2DBDB"/>
            <w:vAlign w:val="center"/>
          </w:tcPr>
          <w:p w14:paraId="6CE0BB5C" w14:textId="77F8B50D"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20</w:t>
            </w:r>
          </w:p>
        </w:tc>
      </w:tr>
      <w:tr w:rsidR="003A1AB7" w:rsidRPr="003B6FF1" w14:paraId="6DD7C3AF"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57E75314"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FFFFF"/>
            <w:vAlign w:val="center"/>
          </w:tcPr>
          <w:p w14:paraId="606AFD08" w14:textId="1B46A40B"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Very Remote Australia</w:t>
            </w:r>
          </w:p>
        </w:tc>
        <w:tc>
          <w:tcPr>
            <w:tcW w:w="2120" w:type="dxa"/>
            <w:tcBorders>
              <w:top w:val="nil"/>
              <w:left w:val="nil"/>
              <w:bottom w:val="single" w:sz="8" w:space="0" w:color="000000"/>
              <w:right w:val="single" w:sz="8" w:space="0" w:color="000000"/>
            </w:tcBorders>
            <w:shd w:val="clear" w:color="000000" w:fill="FFFFFF"/>
            <w:vAlign w:val="center"/>
          </w:tcPr>
          <w:p w14:paraId="037A02C9" w14:textId="000FF844"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79</w:t>
            </w:r>
          </w:p>
        </w:tc>
        <w:tc>
          <w:tcPr>
            <w:tcW w:w="2120" w:type="dxa"/>
            <w:tcBorders>
              <w:top w:val="nil"/>
              <w:left w:val="nil"/>
              <w:bottom w:val="single" w:sz="8" w:space="0" w:color="000000"/>
              <w:right w:val="single" w:sz="8" w:space="0" w:color="000000"/>
            </w:tcBorders>
            <w:shd w:val="clear" w:color="000000" w:fill="FFFFFF"/>
            <w:vAlign w:val="center"/>
          </w:tcPr>
          <w:p w14:paraId="7AC99B8D" w14:textId="7FB3FA01"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79</w:t>
            </w:r>
          </w:p>
        </w:tc>
        <w:tc>
          <w:tcPr>
            <w:tcW w:w="2120" w:type="dxa"/>
            <w:tcBorders>
              <w:top w:val="nil"/>
              <w:left w:val="nil"/>
              <w:bottom w:val="single" w:sz="8" w:space="0" w:color="000000"/>
              <w:right w:val="single" w:sz="8" w:space="0" w:color="000000"/>
            </w:tcBorders>
            <w:shd w:val="clear" w:color="000000" w:fill="FFFFFF"/>
            <w:vAlign w:val="center"/>
          </w:tcPr>
          <w:p w14:paraId="23617BD1" w14:textId="368AE623"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13</w:t>
            </w:r>
          </w:p>
        </w:tc>
      </w:tr>
      <w:tr w:rsidR="003A1AB7" w:rsidRPr="003B6FF1" w14:paraId="17C5248E"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097B0AB6"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50569E97" w14:textId="09AB91E1"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Location unknown</w:t>
            </w:r>
          </w:p>
        </w:tc>
        <w:tc>
          <w:tcPr>
            <w:tcW w:w="2120" w:type="dxa"/>
            <w:tcBorders>
              <w:top w:val="nil"/>
              <w:left w:val="nil"/>
              <w:bottom w:val="single" w:sz="8" w:space="0" w:color="000000"/>
              <w:right w:val="single" w:sz="8" w:space="0" w:color="000000"/>
            </w:tcBorders>
            <w:shd w:val="clear" w:color="000000" w:fill="F2DBDB"/>
            <w:vAlign w:val="center"/>
          </w:tcPr>
          <w:p w14:paraId="260EE2B8" w14:textId="16080AF4"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5,829</w:t>
            </w:r>
          </w:p>
        </w:tc>
        <w:tc>
          <w:tcPr>
            <w:tcW w:w="2120" w:type="dxa"/>
            <w:tcBorders>
              <w:top w:val="nil"/>
              <w:left w:val="nil"/>
              <w:bottom w:val="single" w:sz="8" w:space="0" w:color="000000"/>
              <w:right w:val="single" w:sz="8" w:space="0" w:color="000000"/>
            </w:tcBorders>
            <w:shd w:val="clear" w:color="000000" w:fill="F2DBDB"/>
            <w:vAlign w:val="center"/>
          </w:tcPr>
          <w:p w14:paraId="241C7AD9" w14:textId="4D98FE8B"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5,835</w:t>
            </w:r>
          </w:p>
        </w:tc>
        <w:tc>
          <w:tcPr>
            <w:tcW w:w="2120" w:type="dxa"/>
            <w:tcBorders>
              <w:top w:val="nil"/>
              <w:left w:val="nil"/>
              <w:bottom w:val="single" w:sz="8" w:space="0" w:color="000000"/>
              <w:right w:val="single" w:sz="8" w:space="0" w:color="000000"/>
            </w:tcBorders>
            <w:shd w:val="clear" w:color="000000" w:fill="F2DBDB"/>
            <w:vAlign w:val="center"/>
          </w:tcPr>
          <w:p w14:paraId="73A18DAD" w14:textId="0169F46A"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227</w:t>
            </w:r>
          </w:p>
        </w:tc>
      </w:tr>
      <w:tr w:rsidR="003A1AB7" w:rsidRPr="003B6FF1" w14:paraId="17C07D7D" w14:textId="77777777" w:rsidTr="00584009">
        <w:trPr>
          <w:trHeight w:val="142"/>
        </w:trPr>
        <w:tc>
          <w:tcPr>
            <w:tcW w:w="983" w:type="dxa"/>
            <w:vMerge/>
            <w:tcBorders>
              <w:top w:val="nil"/>
              <w:left w:val="single" w:sz="8" w:space="0" w:color="auto"/>
              <w:bottom w:val="single" w:sz="8" w:space="0" w:color="000000"/>
              <w:right w:val="single" w:sz="8" w:space="0" w:color="auto"/>
            </w:tcBorders>
            <w:vAlign w:val="center"/>
            <w:hideMark/>
          </w:tcPr>
          <w:p w14:paraId="0118150F"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000000"/>
            <w:vAlign w:val="center"/>
            <w:hideMark/>
          </w:tcPr>
          <w:p w14:paraId="13ECA024" w14:textId="77777777" w:rsidR="003A1AB7" w:rsidRPr="00584009" w:rsidRDefault="003A1AB7" w:rsidP="003A1AB7">
            <w:pPr>
              <w:spacing w:after="0"/>
              <w:rPr>
                <w:rFonts w:ascii="Garamond" w:eastAsia="Times New Roman" w:hAnsi="Garamond" w:cs="Arial"/>
                <w:b/>
                <w:color w:val="FFFFFF"/>
                <w:sz w:val="20"/>
                <w:szCs w:val="20"/>
                <w:lang w:eastAsia="en-AU"/>
              </w:rPr>
            </w:pPr>
            <w:r w:rsidRPr="00584009">
              <w:rPr>
                <w:rFonts w:ascii="Garamond" w:eastAsia="Times New Roman" w:hAnsi="Garamond" w:cs="Arial"/>
                <w:b/>
                <w:color w:val="FFFFFF"/>
                <w:sz w:val="20"/>
                <w:szCs w:val="20"/>
                <w:lang w:eastAsia="en-AU"/>
              </w:rPr>
              <w:t>Total</w:t>
            </w:r>
          </w:p>
        </w:tc>
        <w:tc>
          <w:tcPr>
            <w:tcW w:w="2120" w:type="dxa"/>
            <w:tcBorders>
              <w:top w:val="nil"/>
              <w:left w:val="nil"/>
              <w:bottom w:val="single" w:sz="8" w:space="0" w:color="000000"/>
              <w:right w:val="single" w:sz="8" w:space="0" w:color="000000"/>
            </w:tcBorders>
            <w:shd w:val="clear" w:color="000000" w:fill="0D0D0D"/>
            <w:vAlign w:val="center"/>
            <w:hideMark/>
          </w:tcPr>
          <w:p w14:paraId="77C847B0"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100,360</w:t>
            </w:r>
          </w:p>
        </w:tc>
        <w:tc>
          <w:tcPr>
            <w:tcW w:w="2120" w:type="dxa"/>
            <w:tcBorders>
              <w:top w:val="nil"/>
              <w:left w:val="nil"/>
              <w:bottom w:val="single" w:sz="8" w:space="0" w:color="000000"/>
              <w:right w:val="single" w:sz="8" w:space="0" w:color="000000"/>
            </w:tcBorders>
            <w:shd w:val="clear" w:color="000000" w:fill="0D0D0D"/>
            <w:vAlign w:val="center"/>
            <w:hideMark/>
          </w:tcPr>
          <w:p w14:paraId="597322A2"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100,481</w:t>
            </w:r>
          </w:p>
        </w:tc>
        <w:tc>
          <w:tcPr>
            <w:tcW w:w="2120" w:type="dxa"/>
            <w:tcBorders>
              <w:top w:val="nil"/>
              <w:left w:val="nil"/>
              <w:bottom w:val="single" w:sz="8" w:space="0" w:color="000000"/>
              <w:right w:val="single" w:sz="8" w:space="0" w:color="000000"/>
            </w:tcBorders>
            <w:shd w:val="clear" w:color="000000" w:fill="0D0D0D"/>
            <w:vAlign w:val="center"/>
            <w:hideMark/>
          </w:tcPr>
          <w:p w14:paraId="31049478"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2,722</w:t>
            </w:r>
          </w:p>
        </w:tc>
      </w:tr>
      <w:tr w:rsidR="003A1AB7" w:rsidRPr="003B6FF1" w14:paraId="4FBB3A79" w14:textId="77777777" w:rsidTr="003A1AB7">
        <w:trPr>
          <w:trHeight w:val="142"/>
        </w:trPr>
        <w:tc>
          <w:tcPr>
            <w:tcW w:w="98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E9AD93C" w14:textId="77777777" w:rsidR="003A1AB7" w:rsidRPr="003B6FF1" w:rsidRDefault="003A1AB7" w:rsidP="003A1AB7">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2015-2016</w:t>
            </w:r>
          </w:p>
        </w:tc>
        <w:tc>
          <w:tcPr>
            <w:tcW w:w="2409" w:type="dxa"/>
            <w:tcBorders>
              <w:top w:val="nil"/>
              <w:left w:val="nil"/>
              <w:bottom w:val="single" w:sz="8" w:space="0" w:color="000000"/>
              <w:right w:val="single" w:sz="8" w:space="0" w:color="000000"/>
            </w:tcBorders>
            <w:shd w:val="clear" w:color="000000" w:fill="FFFFFF"/>
            <w:vAlign w:val="center"/>
          </w:tcPr>
          <w:p w14:paraId="258CAED0" w14:textId="738956C6"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Major Cities of Australia</w:t>
            </w:r>
          </w:p>
        </w:tc>
        <w:tc>
          <w:tcPr>
            <w:tcW w:w="2120" w:type="dxa"/>
            <w:tcBorders>
              <w:top w:val="nil"/>
              <w:left w:val="nil"/>
              <w:bottom w:val="single" w:sz="8" w:space="0" w:color="000000"/>
              <w:right w:val="single" w:sz="8" w:space="0" w:color="000000"/>
            </w:tcBorders>
            <w:shd w:val="clear" w:color="000000" w:fill="FFFFFF"/>
            <w:vAlign w:val="center"/>
          </w:tcPr>
          <w:p w14:paraId="211B1723" w14:textId="76D2D393"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83,210</w:t>
            </w:r>
          </w:p>
        </w:tc>
        <w:tc>
          <w:tcPr>
            <w:tcW w:w="2120" w:type="dxa"/>
            <w:tcBorders>
              <w:top w:val="nil"/>
              <w:left w:val="nil"/>
              <w:bottom w:val="single" w:sz="8" w:space="0" w:color="000000"/>
              <w:right w:val="single" w:sz="8" w:space="0" w:color="000000"/>
            </w:tcBorders>
            <w:shd w:val="clear" w:color="000000" w:fill="FFFFFF"/>
            <w:vAlign w:val="center"/>
          </w:tcPr>
          <w:p w14:paraId="27536EAF" w14:textId="110BB31B"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83,824</w:t>
            </w:r>
          </w:p>
        </w:tc>
        <w:tc>
          <w:tcPr>
            <w:tcW w:w="2120" w:type="dxa"/>
            <w:tcBorders>
              <w:top w:val="nil"/>
              <w:left w:val="nil"/>
              <w:bottom w:val="single" w:sz="8" w:space="0" w:color="000000"/>
              <w:right w:val="single" w:sz="8" w:space="0" w:color="000000"/>
            </w:tcBorders>
            <w:shd w:val="clear" w:color="000000" w:fill="FFFFFF"/>
            <w:vAlign w:val="center"/>
          </w:tcPr>
          <w:p w14:paraId="46CA08AA" w14:textId="08E2BA4D"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1,963</w:t>
            </w:r>
          </w:p>
        </w:tc>
      </w:tr>
      <w:tr w:rsidR="003A1AB7" w:rsidRPr="003B6FF1" w14:paraId="41CDE7DF"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5CBF1031"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28DD18A5" w14:textId="7D11C4E1"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Inner Regional Australia</w:t>
            </w:r>
          </w:p>
        </w:tc>
        <w:tc>
          <w:tcPr>
            <w:tcW w:w="2120" w:type="dxa"/>
            <w:tcBorders>
              <w:top w:val="nil"/>
              <w:left w:val="nil"/>
              <w:bottom w:val="single" w:sz="8" w:space="0" w:color="000000"/>
              <w:right w:val="single" w:sz="8" w:space="0" w:color="000000"/>
            </w:tcBorders>
            <w:shd w:val="clear" w:color="000000" w:fill="F2DBDB"/>
            <w:vAlign w:val="center"/>
          </w:tcPr>
          <w:p w14:paraId="45073A8C" w14:textId="2DBAF2B0"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18,222</w:t>
            </w:r>
          </w:p>
        </w:tc>
        <w:tc>
          <w:tcPr>
            <w:tcW w:w="2120" w:type="dxa"/>
            <w:tcBorders>
              <w:top w:val="nil"/>
              <w:left w:val="nil"/>
              <w:bottom w:val="single" w:sz="8" w:space="0" w:color="000000"/>
              <w:right w:val="single" w:sz="8" w:space="0" w:color="000000"/>
            </w:tcBorders>
            <w:shd w:val="clear" w:color="000000" w:fill="F2DBDB"/>
            <w:vAlign w:val="center"/>
          </w:tcPr>
          <w:p w14:paraId="415DE713" w14:textId="77FD02A8"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18,405</w:t>
            </w:r>
          </w:p>
        </w:tc>
        <w:tc>
          <w:tcPr>
            <w:tcW w:w="2120" w:type="dxa"/>
            <w:tcBorders>
              <w:top w:val="nil"/>
              <w:left w:val="nil"/>
              <w:bottom w:val="single" w:sz="8" w:space="0" w:color="000000"/>
              <w:right w:val="single" w:sz="8" w:space="0" w:color="000000"/>
            </w:tcBorders>
            <w:shd w:val="clear" w:color="000000" w:fill="F2DBDB"/>
            <w:vAlign w:val="center"/>
          </w:tcPr>
          <w:p w14:paraId="4A76920D" w14:textId="405BD421"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540</w:t>
            </w:r>
          </w:p>
        </w:tc>
      </w:tr>
      <w:tr w:rsidR="003A1AB7" w:rsidRPr="003B6FF1" w14:paraId="1FCB6B74"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1345261D"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FFFFF"/>
            <w:vAlign w:val="center"/>
          </w:tcPr>
          <w:p w14:paraId="5ED3E0AE" w14:textId="1DE5BB73"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Outer Regional Australia</w:t>
            </w:r>
          </w:p>
        </w:tc>
        <w:tc>
          <w:tcPr>
            <w:tcW w:w="2120" w:type="dxa"/>
            <w:tcBorders>
              <w:top w:val="nil"/>
              <w:left w:val="nil"/>
              <w:bottom w:val="single" w:sz="8" w:space="0" w:color="000000"/>
              <w:right w:val="single" w:sz="8" w:space="0" w:color="000000"/>
            </w:tcBorders>
            <w:shd w:val="clear" w:color="000000" w:fill="FFFFFF"/>
            <w:vAlign w:val="center"/>
          </w:tcPr>
          <w:p w14:paraId="015F4B41" w14:textId="1154ECDE"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7,667</w:t>
            </w:r>
          </w:p>
        </w:tc>
        <w:tc>
          <w:tcPr>
            <w:tcW w:w="2120" w:type="dxa"/>
            <w:tcBorders>
              <w:top w:val="nil"/>
              <w:left w:val="nil"/>
              <w:bottom w:val="single" w:sz="8" w:space="0" w:color="000000"/>
              <w:right w:val="single" w:sz="8" w:space="0" w:color="000000"/>
            </w:tcBorders>
            <w:shd w:val="clear" w:color="000000" w:fill="FFFFFF"/>
            <w:vAlign w:val="center"/>
          </w:tcPr>
          <w:p w14:paraId="3FD6C080" w14:textId="020FBC12"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7,740</w:t>
            </w:r>
          </w:p>
        </w:tc>
        <w:tc>
          <w:tcPr>
            <w:tcW w:w="2120" w:type="dxa"/>
            <w:tcBorders>
              <w:top w:val="nil"/>
              <w:left w:val="nil"/>
              <w:bottom w:val="single" w:sz="8" w:space="0" w:color="000000"/>
              <w:right w:val="single" w:sz="8" w:space="0" w:color="000000"/>
            </w:tcBorders>
            <w:shd w:val="clear" w:color="000000" w:fill="FFFFFF"/>
            <w:vAlign w:val="center"/>
          </w:tcPr>
          <w:p w14:paraId="2CA3B7B5" w14:textId="30AEB397"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264</w:t>
            </w:r>
          </w:p>
        </w:tc>
      </w:tr>
      <w:tr w:rsidR="003A1AB7" w:rsidRPr="003B6FF1" w14:paraId="2081583F"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59E60CAB"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6980D98E" w14:textId="392C726A"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Remote Australia</w:t>
            </w:r>
          </w:p>
        </w:tc>
        <w:tc>
          <w:tcPr>
            <w:tcW w:w="2120" w:type="dxa"/>
            <w:tcBorders>
              <w:top w:val="nil"/>
              <w:left w:val="nil"/>
              <w:bottom w:val="single" w:sz="8" w:space="0" w:color="000000"/>
              <w:right w:val="single" w:sz="8" w:space="0" w:color="000000"/>
            </w:tcBorders>
            <w:shd w:val="clear" w:color="000000" w:fill="F2DBDB"/>
            <w:vAlign w:val="center"/>
          </w:tcPr>
          <w:p w14:paraId="0F2709D6" w14:textId="792E0CB8"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972</w:t>
            </w:r>
          </w:p>
        </w:tc>
        <w:tc>
          <w:tcPr>
            <w:tcW w:w="2120" w:type="dxa"/>
            <w:tcBorders>
              <w:top w:val="nil"/>
              <w:left w:val="nil"/>
              <w:bottom w:val="single" w:sz="8" w:space="0" w:color="000000"/>
              <w:right w:val="single" w:sz="8" w:space="0" w:color="000000"/>
            </w:tcBorders>
            <w:shd w:val="clear" w:color="000000" w:fill="F2DBDB"/>
            <w:vAlign w:val="center"/>
          </w:tcPr>
          <w:p w14:paraId="67B103C6" w14:textId="76AAE23B"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973</w:t>
            </w:r>
          </w:p>
        </w:tc>
        <w:tc>
          <w:tcPr>
            <w:tcW w:w="2120" w:type="dxa"/>
            <w:tcBorders>
              <w:top w:val="nil"/>
              <w:left w:val="nil"/>
              <w:bottom w:val="single" w:sz="8" w:space="0" w:color="000000"/>
              <w:right w:val="single" w:sz="8" w:space="0" w:color="000000"/>
            </w:tcBorders>
            <w:shd w:val="clear" w:color="000000" w:fill="F2DBDB"/>
            <w:vAlign w:val="center"/>
          </w:tcPr>
          <w:p w14:paraId="0CEAA324" w14:textId="14B5E726"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32</w:t>
            </w:r>
          </w:p>
        </w:tc>
      </w:tr>
      <w:tr w:rsidR="003A1AB7" w:rsidRPr="003B6FF1" w14:paraId="2B443F08"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1D233D42"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FFFFF"/>
            <w:vAlign w:val="center"/>
          </w:tcPr>
          <w:p w14:paraId="6BF1D4AE" w14:textId="21715E12"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Very Remote Australia</w:t>
            </w:r>
          </w:p>
        </w:tc>
        <w:tc>
          <w:tcPr>
            <w:tcW w:w="2120" w:type="dxa"/>
            <w:tcBorders>
              <w:top w:val="nil"/>
              <w:left w:val="nil"/>
              <w:bottom w:val="single" w:sz="8" w:space="0" w:color="000000"/>
              <w:right w:val="single" w:sz="8" w:space="0" w:color="000000"/>
            </w:tcBorders>
            <w:shd w:val="clear" w:color="000000" w:fill="FFFFFF"/>
            <w:vAlign w:val="center"/>
          </w:tcPr>
          <w:p w14:paraId="377910E5" w14:textId="15329409"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267</w:t>
            </w:r>
          </w:p>
        </w:tc>
        <w:tc>
          <w:tcPr>
            <w:tcW w:w="2120" w:type="dxa"/>
            <w:tcBorders>
              <w:top w:val="nil"/>
              <w:left w:val="nil"/>
              <w:bottom w:val="single" w:sz="8" w:space="0" w:color="000000"/>
              <w:right w:val="single" w:sz="8" w:space="0" w:color="000000"/>
            </w:tcBorders>
            <w:shd w:val="clear" w:color="000000" w:fill="FFFFFF"/>
            <w:vAlign w:val="center"/>
          </w:tcPr>
          <w:p w14:paraId="3A89FA6F" w14:textId="5065D949"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267</w:t>
            </w:r>
          </w:p>
        </w:tc>
        <w:tc>
          <w:tcPr>
            <w:tcW w:w="2120" w:type="dxa"/>
            <w:tcBorders>
              <w:top w:val="nil"/>
              <w:left w:val="nil"/>
              <w:bottom w:val="single" w:sz="8" w:space="0" w:color="000000"/>
              <w:right w:val="single" w:sz="8" w:space="0" w:color="000000"/>
            </w:tcBorders>
            <w:shd w:val="clear" w:color="000000" w:fill="FFFFFF"/>
            <w:vAlign w:val="center"/>
          </w:tcPr>
          <w:p w14:paraId="5A59349D" w14:textId="6E4DB250"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12</w:t>
            </w:r>
          </w:p>
        </w:tc>
      </w:tr>
      <w:tr w:rsidR="003A1AB7" w:rsidRPr="003B6FF1" w14:paraId="28CD865A" w14:textId="77777777" w:rsidTr="003A1AB7">
        <w:trPr>
          <w:trHeight w:val="142"/>
        </w:trPr>
        <w:tc>
          <w:tcPr>
            <w:tcW w:w="983" w:type="dxa"/>
            <w:vMerge/>
            <w:tcBorders>
              <w:top w:val="nil"/>
              <w:left w:val="single" w:sz="8" w:space="0" w:color="auto"/>
              <w:bottom w:val="single" w:sz="8" w:space="0" w:color="000000"/>
              <w:right w:val="single" w:sz="8" w:space="0" w:color="auto"/>
            </w:tcBorders>
            <w:vAlign w:val="center"/>
            <w:hideMark/>
          </w:tcPr>
          <w:p w14:paraId="7432E122"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F2DBDB"/>
            <w:vAlign w:val="center"/>
          </w:tcPr>
          <w:p w14:paraId="5EF3BD47" w14:textId="35BE9D60" w:rsidR="003A1AB7" w:rsidRPr="003B6FF1" w:rsidRDefault="003A1AB7" w:rsidP="003A1AB7">
            <w:pPr>
              <w:spacing w:after="0"/>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Location unknown</w:t>
            </w:r>
          </w:p>
        </w:tc>
        <w:tc>
          <w:tcPr>
            <w:tcW w:w="2120" w:type="dxa"/>
            <w:tcBorders>
              <w:top w:val="nil"/>
              <w:left w:val="nil"/>
              <w:bottom w:val="single" w:sz="8" w:space="0" w:color="000000"/>
              <w:right w:val="single" w:sz="8" w:space="0" w:color="000000"/>
            </w:tcBorders>
            <w:shd w:val="clear" w:color="000000" w:fill="F2DBDB"/>
            <w:vAlign w:val="center"/>
          </w:tcPr>
          <w:p w14:paraId="47B1243C" w14:textId="6CA83E85"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4,395</w:t>
            </w:r>
          </w:p>
        </w:tc>
        <w:tc>
          <w:tcPr>
            <w:tcW w:w="2120" w:type="dxa"/>
            <w:tcBorders>
              <w:top w:val="nil"/>
              <w:left w:val="nil"/>
              <w:bottom w:val="single" w:sz="8" w:space="0" w:color="000000"/>
              <w:right w:val="single" w:sz="8" w:space="0" w:color="000000"/>
            </w:tcBorders>
            <w:shd w:val="clear" w:color="000000" w:fill="F2DBDB"/>
            <w:vAlign w:val="center"/>
          </w:tcPr>
          <w:p w14:paraId="71C7EAA9" w14:textId="0D735B92"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4,440</w:t>
            </w:r>
          </w:p>
        </w:tc>
        <w:tc>
          <w:tcPr>
            <w:tcW w:w="2120" w:type="dxa"/>
            <w:tcBorders>
              <w:top w:val="nil"/>
              <w:left w:val="nil"/>
              <w:bottom w:val="single" w:sz="8" w:space="0" w:color="000000"/>
              <w:right w:val="single" w:sz="8" w:space="0" w:color="000000"/>
            </w:tcBorders>
            <w:shd w:val="clear" w:color="000000" w:fill="F2DBDB"/>
            <w:vAlign w:val="center"/>
          </w:tcPr>
          <w:p w14:paraId="1D823F92" w14:textId="1D8CAF35" w:rsidR="003A1AB7" w:rsidRPr="003B6FF1" w:rsidRDefault="003A1AB7" w:rsidP="003A1AB7">
            <w:pPr>
              <w:spacing w:after="0"/>
              <w:jc w:val="center"/>
              <w:rPr>
                <w:rFonts w:ascii="Garamond" w:eastAsia="Times New Roman" w:hAnsi="Garamond" w:cs="Arial"/>
                <w:color w:val="000000"/>
                <w:sz w:val="20"/>
                <w:szCs w:val="20"/>
                <w:lang w:eastAsia="en-AU"/>
              </w:rPr>
            </w:pPr>
            <w:r w:rsidRPr="003B6FF1">
              <w:rPr>
                <w:rFonts w:ascii="Garamond" w:eastAsia="Times New Roman" w:hAnsi="Garamond" w:cs="Arial"/>
                <w:color w:val="000000"/>
                <w:sz w:val="20"/>
                <w:szCs w:val="20"/>
                <w:lang w:eastAsia="en-AU"/>
              </w:rPr>
              <w:t>150</w:t>
            </w:r>
          </w:p>
        </w:tc>
      </w:tr>
      <w:tr w:rsidR="003A1AB7" w:rsidRPr="003B6FF1" w14:paraId="15EBE2ED" w14:textId="77777777" w:rsidTr="00584009">
        <w:trPr>
          <w:trHeight w:val="142"/>
        </w:trPr>
        <w:tc>
          <w:tcPr>
            <w:tcW w:w="983" w:type="dxa"/>
            <w:vMerge/>
            <w:tcBorders>
              <w:top w:val="nil"/>
              <w:left w:val="single" w:sz="8" w:space="0" w:color="auto"/>
              <w:bottom w:val="single" w:sz="8" w:space="0" w:color="000000"/>
              <w:right w:val="single" w:sz="8" w:space="0" w:color="auto"/>
            </w:tcBorders>
            <w:vAlign w:val="center"/>
            <w:hideMark/>
          </w:tcPr>
          <w:p w14:paraId="6FA7FB04" w14:textId="77777777" w:rsidR="003A1AB7" w:rsidRPr="003B6FF1" w:rsidRDefault="003A1AB7" w:rsidP="003A1AB7">
            <w:pPr>
              <w:spacing w:after="0"/>
              <w:rPr>
                <w:rFonts w:ascii="Garamond" w:eastAsia="Times New Roman" w:hAnsi="Garamond" w:cs="Tahoma"/>
                <w:color w:val="333333"/>
                <w:sz w:val="20"/>
                <w:szCs w:val="20"/>
                <w:lang w:eastAsia="en-AU"/>
              </w:rPr>
            </w:pPr>
          </w:p>
        </w:tc>
        <w:tc>
          <w:tcPr>
            <w:tcW w:w="2409" w:type="dxa"/>
            <w:tcBorders>
              <w:top w:val="nil"/>
              <w:left w:val="nil"/>
              <w:bottom w:val="single" w:sz="8" w:space="0" w:color="000000"/>
              <w:right w:val="single" w:sz="8" w:space="0" w:color="000000"/>
            </w:tcBorders>
            <w:shd w:val="clear" w:color="000000" w:fill="000000"/>
            <w:vAlign w:val="center"/>
            <w:hideMark/>
          </w:tcPr>
          <w:p w14:paraId="1A55BDDE" w14:textId="77777777" w:rsidR="003A1AB7" w:rsidRPr="00584009" w:rsidRDefault="003A1AB7" w:rsidP="003A1AB7">
            <w:pPr>
              <w:spacing w:after="0"/>
              <w:rPr>
                <w:rFonts w:ascii="Garamond" w:eastAsia="Times New Roman" w:hAnsi="Garamond" w:cs="Arial"/>
                <w:b/>
                <w:color w:val="FFFFFF"/>
                <w:sz w:val="20"/>
                <w:szCs w:val="20"/>
                <w:lang w:eastAsia="en-AU"/>
              </w:rPr>
            </w:pPr>
            <w:r w:rsidRPr="00584009">
              <w:rPr>
                <w:rFonts w:ascii="Garamond" w:eastAsia="Times New Roman" w:hAnsi="Garamond" w:cs="Arial"/>
                <w:b/>
                <w:color w:val="FFFFFF"/>
                <w:sz w:val="20"/>
                <w:szCs w:val="20"/>
                <w:lang w:eastAsia="en-AU"/>
              </w:rPr>
              <w:t>Total</w:t>
            </w:r>
          </w:p>
        </w:tc>
        <w:tc>
          <w:tcPr>
            <w:tcW w:w="2120" w:type="dxa"/>
            <w:tcBorders>
              <w:top w:val="nil"/>
              <w:left w:val="nil"/>
              <w:bottom w:val="single" w:sz="8" w:space="0" w:color="000000"/>
              <w:right w:val="single" w:sz="8" w:space="0" w:color="000000"/>
            </w:tcBorders>
            <w:shd w:val="clear" w:color="000000" w:fill="0D0D0D"/>
            <w:vAlign w:val="center"/>
            <w:hideMark/>
          </w:tcPr>
          <w:p w14:paraId="6661B966"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114,723</w:t>
            </w:r>
          </w:p>
        </w:tc>
        <w:tc>
          <w:tcPr>
            <w:tcW w:w="2120" w:type="dxa"/>
            <w:tcBorders>
              <w:top w:val="nil"/>
              <w:left w:val="nil"/>
              <w:bottom w:val="single" w:sz="8" w:space="0" w:color="000000"/>
              <w:right w:val="single" w:sz="8" w:space="0" w:color="000000"/>
            </w:tcBorders>
            <w:shd w:val="clear" w:color="000000" w:fill="0D0D0D"/>
            <w:vAlign w:val="center"/>
            <w:hideMark/>
          </w:tcPr>
          <w:p w14:paraId="4E127065"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115,649</w:t>
            </w:r>
          </w:p>
        </w:tc>
        <w:tc>
          <w:tcPr>
            <w:tcW w:w="2120" w:type="dxa"/>
            <w:tcBorders>
              <w:top w:val="nil"/>
              <w:left w:val="nil"/>
              <w:bottom w:val="single" w:sz="8" w:space="0" w:color="000000"/>
              <w:right w:val="single" w:sz="8" w:space="0" w:color="000000"/>
            </w:tcBorders>
            <w:shd w:val="clear" w:color="000000" w:fill="0D0D0D"/>
            <w:vAlign w:val="center"/>
            <w:hideMark/>
          </w:tcPr>
          <w:p w14:paraId="346EB393" w14:textId="77777777" w:rsidR="003A1AB7" w:rsidRPr="003B6FF1" w:rsidRDefault="003A1AB7" w:rsidP="003A1AB7">
            <w:pPr>
              <w:spacing w:after="0"/>
              <w:jc w:val="center"/>
              <w:rPr>
                <w:rFonts w:ascii="Garamond" w:eastAsia="Times New Roman" w:hAnsi="Garamond" w:cs="Arial"/>
                <w:b/>
                <w:bCs/>
                <w:color w:val="FFFFFF"/>
                <w:sz w:val="20"/>
                <w:szCs w:val="20"/>
                <w:lang w:eastAsia="en-AU"/>
              </w:rPr>
            </w:pPr>
            <w:r w:rsidRPr="003B6FF1">
              <w:rPr>
                <w:rFonts w:ascii="Garamond" w:eastAsia="Times New Roman" w:hAnsi="Garamond" w:cs="Arial"/>
                <w:b/>
                <w:bCs/>
                <w:color w:val="FFFFFF"/>
                <w:sz w:val="20"/>
                <w:szCs w:val="20"/>
                <w:lang w:eastAsia="en-AU"/>
              </w:rPr>
              <w:t>2,961</w:t>
            </w:r>
          </w:p>
        </w:tc>
      </w:tr>
    </w:tbl>
    <w:p w14:paraId="156D4D61" w14:textId="1CAF448C" w:rsidR="00552EAE" w:rsidRPr="00A74773" w:rsidRDefault="00552EAE" w:rsidP="00552EAE">
      <w:pPr>
        <w:pStyle w:val="08Tablefootnotes"/>
        <w:rPr>
          <w:rFonts w:ascii="Garamond" w:hAnsi="Garamond"/>
          <w:color w:val="000000" w:themeColor="text1"/>
        </w:rPr>
      </w:pPr>
      <w:r w:rsidRPr="00A74773">
        <w:rPr>
          <w:rFonts w:ascii="Garamond" w:hAnsi="Garamond"/>
        </w:rPr>
        <w:t xml:space="preserve">Source: DHS claims systems extracts for years 2011/12, 2012/13 and 2013/14, Pharmacy Guild claims systems extracts for years 2014/15 and 2015/16. In in conjunction with ABS postcode to remoteness.xls available from </w:t>
      </w:r>
      <w:hyperlink r:id="rId30" w:history="1">
        <w:r w:rsidRPr="00A74773">
          <w:rPr>
            <w:rStyle w:val="Hyperlink"/>
            <w:rFonts w:ascii="Garamond" w:hAnsi="Garamond"/>
          </w:rPr>
          <w:t>http://www.abs.gov.au/AUSSTATS/abs@.nsf/DetailsPage/1270.0.55.006July%202011?OpenDocument</w:t>
        </w:r>
      </w:hyperlink>
      <w:r w:rsidRPr="00A74773">
        <w:rPr>
          <w:rFonts w:ascii="Garamond" w:hAnsi="Garamond"/>
          <w:color w:val="000000" w:themeColor="text1"/>
        </w:rPr>
        <w:t xml:space="preserve">  (accessed 5</w:t>
      </w:r>
      <w:r w:rsidRPr="00A74773">
        <w:rPr>
          <w:rFonts w:ascii="Garamond" w:hAnsi="Garamond"/>
          <w:color w:val="000000" w:themeColor="text1"/>
          <w:vertAlign w:val="superscript"/>
        </w:rPr>
        <w:t>th</w:t>
      </w:r>
      <w:r w:rsidRPr="00A74773">
        <w:rPr>
          <w:rFonts w:ascii="Garamond" w:hAnsi="Garamond"/>
          <w:color w:val="000000" w:themeColor="text1"/>
        </w:rPr>
        <w:t xml:space="preserve"> October, 2016)</w:t>
      </w:r>
    </w:p>
    <w:p w14:paraId="1D3E4D52" w14:textId="77777777" w:rsidR="00552EAE" w:rsidRPr="00A74773" w:rsidRDefault="00552EAE" w:rsidP="00552EAE">
      <w:pPr>
        <w:pStyle w:val="08Tablefootnotes"/>
        <w:rPr>
          <w:rFonts w:ascii="Garamond" w:hAnsi="Garamond"/>
        </w:rPr>
      </w:pPr>
      <w:r w:rsidRPr="00A74773">
        <w:rPr>
          <w:rFonts w:ascii="Garamond" w:hAnsi="Garamond"/>
        </w:rPr>
        <w:t>Abbreviations: BE, Business Entity (includes sole traders). ABS, Australian Bureau of Statistics</w:t>
      </w:r>
    </w:p>
    <w:p w14:paraId="7A28F669" w14:textId="77777777" w:rsidR="00552EAE" w:rsidRPr="00A74773" w:rsidRDefault="00552EAE" w:rsidP="00552EAE">
      <w:pPr>
        <w:pStyle w:val="08Tablefootnotes"/>
        <w:rPr>
          <w:rFonts w:ascii="Garamond" w:hAnsi="Garamond"/>
        </w:rPr>
      </w:pPr>
      <w:r w:rsidRPr="00A74773">
        <w:rPr>
          <w:rFonts w:ascii="Garamond" w:hAnsi="Garamond"/>
        </w:rPr>
        <w:t>Note 1: Provider identifiers in years 2011/12, 2012/13 and 2013/14 were supplied in encrypted form. They have been categorised in cases where the encrypted identifier was also used in the 2014/15 or in 2015/16 datasets and in cases where the S90 Pharmacy identifier was supplied.</w:t>
      </w:r>
    </w:p>
    <w:p w14:paraId="1082201F" w14:textId="77777777" w:rsidR="00552EAE" w:rsidRPr="00A74773" w:rsidRDefault="00552EAE" w:rsidP="00552EAE">
      <w:pPr>
        <w:pStyle w:val="08Tablefootnotes"/>
        <w:rPr>
          <w:rFonts w:ascii="Garamond" w:hAnsi="Garamond"/>
        </w:rPr>
      </w:pPr>
      <w:r w:rsidRPr="00A74773">
        <w:rPr>
          <w:rFonts w:ascii="Garamond" w:hAnsi="Garamond"/>
          <w:i/>
        </w:rPr>
        <w:t>Please note that ‘Location Unknown’ arises due to missing or unrecognised patient postcodes in the DHS and Pharmacy Guild datasets.</w:t>
      </w:r>
    </w:p>
    <w:p w14:paraId="6B16F00B" w14:textId="6E3CEB58" w:rsidR="00A36F6F" w:rsidRDefault="006B2D07" w:rsidP="00552EAE">
      <w:pPr>
        <w:pStyle w:val="BodyText"/>
      </w:pPr>
      <w:r>
        <w:fldChar w:fldCharType="begin"/>
      </w:r>
      <w:r>
        <w:instrText xml:space="preserve"> REF _Ref522798498 \h </w:instrText>
      </w:r>
      <w:r>
        <w:fldChar w:fldCharType="separate"/>
      </w:r>
      <w:r w:rsidR="009047A7">
        <w:t xml:space="preserve">Table </w:t>
      </w:r>
      <w:r w:rsidR="009047A7">
        <w:rPr>
          <w:noProof/>
        </w:rPr>
        <w:t>7</w:t>
      </w:r>
      <w:r w:rsidR="009047A7">
        <w:t>.</w:t>
      </w:r>
      <w:r w:rsidR="009047A7">
        <w:rPr>
          <w:noProof/>
        </w:rPr>
        <w:t>2</w:t>
      </w:r>
      <w:r>
        <w:fldChar w:fldCharType="end"/>
      </w:r>
      <w:r w:rsidR="00552EAE" w:rsidRPr="00A36F6F">
        <w:t xml:space="preserve"> and </w:t>
      </w:r>
      <w:r>
        <w:fldChar w:fldCharType="begin"/>
      </w:r>
      <w:r>
        <w:instrText xml:space="preserve"> REF _Ref522798669 \h </w:instrText>
      </w:r>
      <w:r>
        <w:fldChar w:fldCharType="separate"/>
      </w:r>
      <w:r w:rsidR="009047A7">
        <w:t xml:space="preserve">Figure </w:t>
      </w:r>
      <w:r w:rsidR="009047A7">
        <w:rPr>
          <w:noProof/>
        </w:rPr>
        <w:t>7</w:t>
      </w:r>
      <w:r w:rsidR="009047A7">
        <w:t>.</w:t>
      </w:r>
      <w:r w:rsidR="009047A7">
        <w:rPr>
          <w:noProof/>
        </w:rPr>
        <w:t>11</w:t>
      </w:r>
      <w:r>
        <w:fldChar w:fldCharType="end"/>
      </w:r>
      <w:r w:rsidR="00552EAE" w:rsidRPr="00A36F6F">
        <w:t xml:space="preserve"> illustrate the relative growth in the MedsCheck scheme between July 2012 and June 2016. </w:t>
      </w:r>
      <w:r w:rsidR="00584009" w:rsidRPr="00A36F6F">
        <w:t xml:space="preserve"> </w:t>
      </w:r>
      <w:r w:rsidR="00552EAE" w:rsidRPr="00A36F6F">
        <w:t xml:space="preserve">All locations experienced higher than expected uptake during the period of uncapped operation, which was largely corrected for via the introduction of capped claim volumes. </w:t>
      </w:r>
      <w:r w:rsidR="00584009" w:rsidRPr="00A36F6F">
        <w:t xml:space="preserve"> </w:t>
      </w:r>
      <w:r w:rsidR="00A36F6F" w:rsidRPr="00A36F6F">
        <w:t>Again, the spike in activity reflects the scheme’s rapid and unexpectedly high uptake that prompted the introduction of a MedsCheck cap in early 2014.  I</w:t>
      </w:r>
      <w:r w:rsidR="00552EAE" w:rsidRPr="00A36F6F">
        <w:t>n absolute terms, ‘Major Cities’ and ‘Inner Regional’ locations (not surprisingly) delivered the strongest gains in numbers of patients and the volume of services provided between July 2012 and June 2016 (adding 30,952 patients and 5,599 patients respectively).  In relative terms ‘Outer Regional’, ‘Remote’ and ‘Very Remote’ locations have grown the most, delivering (respectively) 82%, 38% and 251% more  MedsCheck services over the period.</w:t>
      </w:r>
    </w:p>
    <w:p w14:paraId="5ADE2102" w14:textId="77777777" w:rsidR="00A36F6F" w:rsidRDefault="00A36F6F">
      <w:pPr>
        <w:spacing w:after="0"/>
        <w:rPr>
          <w:rFonts w:ascii="Garamond" w:hAnsi="Garamond"/>
          <w:sz w:val="24"/>
        </w:rPr>
      </w:pPr>
      <w:r>
        <w:br w:type="page"/>
      </w:r>
    </w:p>
    <w:p w14:paraId="6A03CB55" w14:textId="39D6BB6F" w:rsidR="00552EAE" w:rsidRDefault="006B2D07" w:rsidP="006B2D07">
      <w:pPr>
        <w:pStyle w:val="Caption"/>
      </w:pPr>
      <w:bookmarkStart w:id="73" w:name="_Ref522798669"/>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11</w:t>
      </w:r>
      <w:r w:rsidR="009047A7">
        <w:rPr>
          <w:noProof/>
        </w:rPr>
        <w:fldChar w:fldCharType="end"/>
      </w:r>
      <w:bookmarkEnd w:id="73"/>
      <w:r w:rsidR="00552EAE" w:rsidRPr="0046164A">
        <w:t xml:space="preserve">: </w:t>
      </w:r>
      <w:r w:rsidR="00552EAE">
        <w:t>MedsCheck</w:t>
      </w:r>
      <w:r w:rsidR="00552EAE" w:rsidRPr="0046164A">
        <w:t xml:space="preserve"> </w:t>
      </w:r>
      <w:r w:rsidR="00552EAE">
        <w:t>changes in patient volume in ABS remoteness categories</w:t>
      </w:r>
      <w:r w:rsidR="00552EAE" w:rsidRPr="0046164A">
        <w:t xml:space="preserve"> between July 201</w:t>
      </w:r>
      <w:r w:rsidR="00552EAE">
        <w:t>2</w:t>
      </w:r>
      <w:r w:rsidR="00552EAE" w:rsidRPr="0046164A">
        <w:t xml:space="preserve"> and June 201</w:t>
      </w:r>
      <w:r w:rsidR="00552EAE">
        <w:t>6</w:t>
      </w:r>
    </w:p>
    <w:p w14:paraId="2E9C671A" w14:textId="77777777" w:rsidR="00552EAE" w:rsidRDefault="00552EAE" w:rsidP="00552EAE">
      <w:pPr>
        <w:pStyle w:val="BodyText"/>
        <w:rPr>
          <w:highlight w:val="yellow"/>
        </w:rPr>
      </w:pPr>
      <w:r>
        <w:rPr>
          <w:noProof/>
          <w:lang w:eastAsia="en-AU"/>
        </w:rPr>
        <w:drawing>
          <wp:inline distT="0" distB="0" distL="0" distR="0" wp14:anchorId="168E5B4D" wp14:editId="6935A2F6">
            <wp:extent cx="6120130" cy="2012315"/>
            <wp:effectExtent l="0" t="0" r="0" b="6985"/>
            <wp:docPr id="37" name="Picture 37" descr="Figure 7.11 This figure shows the MedsCheck changes in patient volume for different remoteness categories between July 2012 and June 2016." title="Fig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 7.8 Remote REG all log scale.png"/>
                    <pic:cNvPicPr/>
                  </pic:nvPicPr>
                  <pic:blipFill>
                    <a:blip r:embed="rId31">
                      <a:extLst>
                        <a:ext uri="{28A0092B-C50C-407E-A947-70E740481C1C}">
                          <a14:useLocalDpi xmlns:a14="http://schemas.microsoft.com/office/drawing/2010/main" val="0"/>
                        </a:ext>
                      </a:extLst>
                    </a:blip>
                    <a:stretch>
                      <a:fillRect/>
                    </a:stretch>
                  </pic:blipFill>
                  <pic:spPr>
                    <a:xfrm>
                      <a:off x="0" y="0"/>
                      <a:ext cx="6120130" cy="2012315"/>
                    </a:xfrm>
                    <a:prstGeom prst="rect">
                      <a:avLst/>
                    </a:prstGeom>
                  </pic:spPr>
                </pic:pic>
              </a:graphicData>
            </a:graphic>
          </wp:inline>
        </w:drawing>
      </w:r>
    </w:p>
    <w:p w14:paraId="412C2783" w14:textId="321D7ACB" w:rsidR="00552EAE" w:rsidRPr="00A36F6F" w:rsidRDefault="00552EAE" w:rsidP="00552EAE">
      <w:pPr>
        <w:pStyle w:val="08Tablefootnotes"/>
        <w:rPr>
          <w:rFonts w:ascii="Garamond" w:hAnsi="Garamond"/>
          <w:color w:val="000000" w:themeColor="text1"/>
        </w:rPr>
      </w:pPr>
      <w:r w:rsidRPr="00A36F6F">
        <w:rPr>
          <w:rFonts w:ascii="Garamond" w:hAnsi="Garamond"/>
        </w:rPr>
        <w:t xml:space="preserve">Source: DHS claims systems extracts for years 2011/12, 2012/13 and 2013/14, Pharmacy Guild claims systems extracts for years 2014/15 and 2015/16. In in conjunction with ABS postcode to remoteness.xls available from </w:t>
      </w:r>
      <w:r w:rsidRPr="00A36F6F">
        <w:rPr>
          <w:rFonts w:ascii="Garamond" w:hAnsi="Garamond"/>
          <w:color w:val="FF0000"/>
        </w:rPr>
        <w:t xml:space="preserve"> </w:t>
      </w:r>
      <w:hyperlink r:id="rId32" w:history="1">
        <w:r w:rsidRPr="00A36F6F">
          <w:rPr>
            <w:rStyle w:val="Hyperlink"/>
            <w:rFonts w:ascii="Garamond" w:hAnsi="Garamond"/>
          </w:rPr>
          <w:t>http://www.abs.gov.au/AUSSTATS/abs@.nsf/DetailsPage/1270.0.55.006July%202011?OpenDocument</w:t>
        </w:r>
      </w:hyperlink>
      <w:r w:rsidRPr="00A36F6F">
        <w:rPr>
          <w:rFonts w:ascii="Garamond" w:hAnsi="Garamond"/>
          <w:color w:val="000000" w:themeColor="text1"/>
        </w:rPr>
        <w:t xml:space="preserve">  (accessed 5</w:t>
      </w:r>
      <w:r w:rsidRPr="00A36F6F">
        <w:rPr>
          <w:rFonts w:ascii="Garamond" w:hAnsi="Garamond"/>
          <w:color w:val="000000" w:themeColor="text1"/>
          <w:vertAlign w:val="superscript"/>
        </w:rPr>
        <w:t>th</w:t>
      </w:r>
      <w:r w:rsidRPr="00A36F6F">
        <w:rPr>
          <w:rFonts w:ascii="Garamond" w:hAnsi="Garamond"/>
          <w:color w:val="000000" w:themeColor="text1"/>
        </w:rPr>
        <w:t xml:space="preserve"> October, 2016)</w:t>
      </w:r>
    </w:p>
    <w:p w14:paraId="55F4A8FA" w14:textId="77777777" w:rsidR="00552EAE" w:rsidRPr="00A36F6F" w:rsidRDefault="00552EAE" w:rsidP="00552EAE">
      <w:pPr>
        <w:pStyle w:val="08Tablefootnotes"/>
        <w:rPr>
          <w:rFonts w:ascii="Garamond" w:hAnsi="Garamond"/>
        </w:rPr>
      </w:pPr>
      <w:r w:rsidRPr="00A36F6F">
        <w:rPr>
          <w:rFonts w:ascii="Garamond" w:hAnsi="Garamond"/>
        </w:rPr>
        <w:t>Abbreviations: BE, Business Entity (includes sole traders). ABS, Australian Bureau of Statistics</w:t>
      </w:r>
    </w:p>
    <w:p w14:paraId="2603573D" w14:textId="77777777" w:rsidR="00552EAE" w:rsidRPr="00A36F6F" w:rsidRDefault="00552EAE" w:rsidP="00552EAE">
      <w:pPr>
        <w:pStyle w:val="08Tablefootnotes"/>
        <w:rPr>
          <w:rFonts w:ascii="Garamond" w:hAnsi="Garamond"/>
        </w:rPr>
      </w:pPr>
      <w:r w:rsidRPr="00A36F6F">
        <w:rPr>
          <w:rFonts w:ascii="Garamond" w:hAnsi="Garamond"/>
        </w:rPr>
        <w:t>Note 1: Provider identifiers in years 2011/12, 2012/13 and 2013/14 were supplied in encrypted form. They have been categorised in cases where the encrypted identifier was also used in the 2014/15 or in 2015/16 datasets and in cases where the S90 Pharmacy identifier was supplied.</w:t>
      </w:r>
    </w:p>
    <w:p w14:paraId="69367F85" w14:textId="77777777" w:rsidR="00552EAE" w:rsidRPr="00A36F6F" w:rsidRDefault="00552EAE" w:rsidP="00552EAE">
      <w:pPr>
        <w:pStyle w:val="08Tablefootnotes"/>
        <w:rPr>
          <w:rFonts w:ascii="Garamond" w:hAnsi="Garamond"/>
        </w:rPr>
      </w:pPr>
      <w:r w:rsidRPr="00A36F6F">
        <w:rPr>
          <w:rFonts w:ascii="Garamond" w:hAnsi="Garamond"/>
        </w:rPr>
        <w:t>Note 2: logarithmic scale for comparison</w:t>
      </w:r>
    </w:p>
    <w:p w14:paraId="6AC712A4" w14:textId="42BB911C" w:rsidR="00552EAE" w:rsidRDefault="00552EAE" w:rsidP="00552EAE">
      <w:pPr>
        <w:pStyle w:val="Heading2"/>
        <w:numPr>
          <w:ilvl w:val="1"/>
          <w:numId w:val="37"/>
        </w:numPr>
      </w:pPr>
      <w:bookmarkStart w:id="74" w:name="_Toc476584418"/>
      <w:r>
        <w:t xml:space="preserve">Summary of </w:t>
      </w:r>
      <w:r w:rsidR="003D4E61">
        <w:t>M</w:t>
      </w:r>
      <w:r w:rsidR="00584009">
        <w:t xml:space="preserve">edscheck </w:t>
      </w:r>
      <w:r>
        <w:t>utilsation analysis findings</w:t>
      </w:r>
      <w:bookmarkEnd w:id="74"/>
      <w:r>
        <w:t xml:space="preserve"> </w:t>
      </w:r>
    </w:p>
    <w:p w14:paraId="72230B0C" w14:textId="58ADAE07" w:rsidR="00552EAE" w:rsidRDefault="00552EAE" w:rsidP="00552EAE">
      <w:pPr>
        <w:pStyle w:val="BodyText"/>
      </w:pPr>
      <w:r>
        <w:t xml:space="preserve">In summary, we found that claims payment policy changes (specifically the introduction of a claims cap of 10 MedsChecks per provider, per month) effectively checked burgeoning scheme uptake and promoted alignment with expectations for both frequency of service and patient profile in terms of age, the number of chronic conditions and the number of prescription medicines the patient is taking. </w:t>
      </w:r>
    </w:p>
    <w:p w14:paraId="456BB3BC" w14:textId="77777777" w:rsidR="00552EAE" w:rsidRPr="00776E31" w:rsidRDefault="00552EAE" w:rsidP="00552EAE">
      <w:pPr>
        <w:pStyle w:val="BodyText"/>
        <w:rPr>
          <w:highlight w:val="yellow"/>
        </w:rPr>
      </w:pPr>
      <w:r>
        <w:t>It is likely that the introduction of the claims cap was the primary driver for altering behaviour of the scheme participants, affecting the economics of participation and signalling to pharmacies greater stringency in claims policies, claims processing rigour and guideline enforcement.</w:t>
      </w:r>
    </w:p>
    <w:p w14:paraId="4FDB0E2F" w14:textId="1B9DED70" w:rsidR="00552EAE" w:rsidRPr="00303980" w:rsidRDefault="003D4E61" w:rsidP="00552EAE">
      <w:pPr>
        <w:pStyle w:val="Heading2"/>
        <w:numPr>
          <w:ilvl w:val="1"/>
          <w:numId w:val="37"/>
        </w:numPr>
      </w:pPr>
      <w:r>
        <w:t>Diabete</w:t>
      </w:r>
      <w:r w:rsidR="00584009">
        <w:t xml:space="preserve">s </w:t>
      </w:r>
      <w:r>
        <w:t>M</w:t>
      </w:r>
      <w:r w:rsidR="00584009">
        <w:t xml:space="preserve">edscheck </w:t>
      </w:r>
      <w:r w:rsidR="00702253">
        <w:t>c</w:t>
      </w:r>
      <w:r w:rsidR="00552EAE">
        <w:t xml:space="preserve">laims made and amount per claim </w:t>
      </w:r>
    </w:p>
    <w:p w14:paraId="21BC0794" w14:textId="244B0D78" w:rsidR="00552EAE" w:rsidRDefault="00E34EFE" w:rsidP="00552EAE">
      <w:pPr>
        <w:pStyle w:val="BodyText"/>
      </w:pPr>
      <w:r>
        <w:fldChar w:fldCharType="begin"/>
      </w:r>
      <w:r>
        <w:instrText xml:space="preserve"> REF _Ref522799822 \h </w:instrText>
      </w:r>
      <w:r>
        <w:fldChar w:fldCharType="separate"/>
      </w:r>
      <w:r w:rsidR="009047A7">
        <w:t xml:space="preserve">Figure </w:t>
      </w:r>
      <w:r w:rsidR="009047A7">
        <w:rPr>
          <w:noProof/>
        </w:rPr>
        <w:t>7</w:t>
      </w:r>
      <w:r w:rsidR="009047A7">
        <w:t>.</w:t>
      </w:r>
      <w:r w:rsidR="009047A7">
        <w:rPr>
          <w:noProof/>
        </w:rPr>
        <w:t>12</w:t>
      </w:r>
      <w:r>
        <w:fldChar w:fldCharType="end"/>
      </w:r>
      <w:r w:rsidR="006335D1">
        <w:t xml:space="preserve"> </w:t>
      </w:r>
      <w:r w:rsidR="00552EAE">
        <w:t>shows the average payment per claim (between July 2012 and June 2016 based upon the date of service) compared with the number of unique patients receiving Diabetes MedsChecks over the same period.</w:t>
      </w:r>
      <w:r w:rsidR="00584009">
        <w:t xml:space="preserve"> </w:t>
      </w:r>
      <w:r w:rsidR="00552EAE">
        <w:t xml:space="preserve"> The average claim amount increased from $62 to $95 between January 2014 and June 2014.</w:t>
      </w:r>
    </w:p>
    <w:p w14:paraId="457B7ED3" w14:textId="093FDC71" w:rsidR="00552EAE" w:rsidRDefault="009F1CA5" w:rsidP="009F1CA5">
      <w:pPr>
        <w:pStyle w:val="Caption"/>
      </w:pPr>
      <w:bookmarkStart w:id="75" w:name="_Ref522799822"/>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12</w:t>
      </w:r>
      <w:r w:rsidR="009047A7">
        <w:rPr>
          <w:noProof/>
        </w:rPr>
        <w:fldChar w:fldCharType="end"/>
      </w:r>
      <w:bookmarkEnd w:id="75"/>
      <w:r w:rsidR="00552EAE" w:rsidRPr="00E048B6">
        <w:t xml:space="preserve">: Movement in </w:t>
      </w:r>
      <w:r w:rsidR="00552EAE">
        <w:t>average payment per claim a</w:t>
      </w:r>
      <w:r w:rsidR="00552EAE" w:rsidRPr="00E048B6">
        <w:t>nd patient volume July 2012 to Jun 2016</w:t>
      </w:r>
      <w:r w:rsidR="00584009">
        <w:t xml:space="preserve"> – Diabetes MedsCheck</w:t>
      </w:r>
    </w:p>
    <w:p w14:paraId="2DBD3820" w14:textId="77777777" w:rsidR="00552EAE" w:rsidRDefault="00552EAE" w:rsidP="00552EAE">
      <w:pPr>
        <w:pStyle w:val="BodyText"/>
        <w:jc w:val="center"/>
        <w:rPr>
          <w:rFonts w:eastAsiaTheme="minorHAnsi" w:cstheme="minorBidi"/>
          <w:sz w:val="16"/>
          <w:szCs w:val="16"/>
        </w:rPr>
      </w:pPr>
      <w:r>
        <w:rPr>
          <w:rFonts w:eastAsiaTheme="minorHAnsi" w:cstheme="minorBidi"/>
          <w:noProof/>
          <w:sz w:val="16"/>
          <w:szCs w:val="16"/>
          <w:lang w:eastAsia="en-AU"/>
        </w:rPr>
        <w:drawing>
          <wp:inline distT="0" distB="0" distL="0" distR="0" wp14:anchorId="3ECC5683" wp14:editId="270D383A">
            <wp:extent cx="6120130" cy="2191385"/>
            <wp:effectExtent l="0" t="0" r="0" b="0"/>
            <wp:docPr id="7" name="Picture 7" descr="Figure 7.12 This figure shows the average payment per claim and patient volume between July 2012 and June 2016." title="Figure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 7.1 patient vol and claim amount DIA update.png"/>
                    <pic:cNvPicPr/>
                  </pic:nvPicPr>
                  <pic:blipFill>
                    <a:blip r:embed="rId33">
                      <a:extLst>
                        <a:ext uri="{28A0092B-C50C-407E-A947-70E740481C1C}">
                          <a14:useLocalDpi xmlns:a14="http://schemas.microsoft.com/office/drawing/2010/main" val="0"/>
                        </a:ext>
                      </a:extLst>
                    </a:blip>
                    <a:stretch>
                      <a:fillRect/>
                    </a:stretch>
                  </pic:blipFill>
                  <pic:spPr>
                    <a:xfrm>
                      <a:off x="0" y="0"/>
                      <a:ext cx="6120130" cy="2191385"/>
                    </a:xfrm>
                    <a:prstGeom prst="rect">
                      <a:avLst/>
                    </a:prstGeom>
                  </pic:spPr>
                </pic:pic>
              </a:graphicData>
            </a:graphic>
          </wp:inline>
        </w:drawing>
      </w:r>
      <w:r w:rsidRPr="00CC5793">
        <w:rPr>
          <w:rFonts w:eastAsiaTheme="minorHAnsi" w:cstheme="minorBidi"/>
          <w:sz w:val="16"/>
          <w:szCs w:val="16"/>
        </w:rPr>
        <w:t xml:space="preserve">Source: DHS claims systems extracts for years 2011/12, 2012/13 and 2013/14, Pharmacy Guild claims systems extracts for years 2014/15 and 2015/16. </w:t>
      </w:r>
    </w:p>
    <w:p w14:paraId="4F1EE470" w14:textId="0D416B75" w:rsidR="00552EAE" w:rsidRDefault="00552EAE" w:rsidP="00552EAE">
      <w:pPr>
        <w:pStyle w:val="BodyText"/>
      </w:pPr>
      <w:r>
        <w:t>There is a sharp but transient increase in the number of patients between Quarter 2, 2013 and Quarter 2, 2014, the number of patients increases from 5,024 in Quarter 1, 2013 to 8,104 (61%) in the following quarter and are sustained at considerably higher levels until Quarter 2, 2014 when they return to near-pre-peak levels of 3,526 patient</w:t>
      </w:r>
      <w:r w:rsidRPr="00A1034A">
        <w:t>s</w:t>
      </w:r>
      <w:r>
        <w:t xml:space="preserve">. </w:t>
      </w:r>
      <w:r w:rsidRPr="00A1034A">
        <w:t xml:space="preserve"> Th</w:t>
      </w:r>
      <w:r>
        <w:t>e</w:t>
      </w:r>
      <w:r w:rsidRPr="00A1034A">
        <w:t xml:space="preserve"> spike in activity reflect</w:t>
      </w:r>
      <w:r>
        <w:t>s</w:t>
      </w:r>
      <w:r w:rsidRPr="00A1034A">
        <w:t xml:space="preserve"> the scheme’s</w:t>
      </w:r>
      <w:r>
        <w:t xml:space="preserve"> rapid and</w:t>
      </w:r>
      <w:r w:rsidRPr="00A1034A">
        <w:t xml:space="preserve"> unexpectedly high uptake</w:t>
      </w:r>
      <w:r>
        <w:t xml:space="preserve"> and prompted</w:t>
      </w:r>
      <w:r w:rsidRPr="00A1034A">
        <w:t xml:space="preserve"> the introduction of a </w:t>
      </w:r>
      <w:r>
        <w:t>Diabetes</w:t>
      </w:r>
      <w:r w:rsidRPr="00A1034A">
        <w:t xml:space="preserve"> MedsChecks cap in in early 2014</w:t>
      </w:r>
      <w:r w:rsidR="00584009">
        <w:t xml:space="preserve"> </w:t>
      </w:r>
      <w:r w:rsidR="005624BD" w:rsidRPr="005624BD">
        <w:t>(set at a combined total of 10 MedsCheck or Diabetes MedsCheck services per month, per pharmacy).</w:t>
      </w:r>
      <w:r w:rsidR="005624BD">
        <w:t xml:space="preserve">  </w:t>
      </w:r>
      <w:r>
        <w:t>If we ignore the unexpected uplift and the subsequent corrective action, Diabetes MedsChecks have grown from 3,635 patients in Quarter 4 2012 to 6,452 patients in Quarter 2 2016, an increase of 2,817 patients or 77.5%.</w:t>
      </w:r>
    </w:p>
    <w:p w14:paraId="6F2E7B18" w14:textId="6B644FA3" w:rsidR="00552EAE" w:rsidRDefault="00552EAE" w:rsidP="00552EAE">
      <w:pPr>
        <w:pStyle w:val="Heading2"/>
        <w:numPr>
          <w:ilvl w:val="1"/>
          <w:numId w:val="37"/>
        </w:numPr>
      </w:pPr>
      <w:r>
        <w:t xml:space="preserve">Recommendations made from </w:t>
      </w:r>
      <w:r w:rsidR="00037A45">
        <w:t xml:space="preserve">Diabetes </w:t>
      </w:r>
      <w:r>
        <w:t xml:space="preserve">MedsChecks </w:t>
      </w:r>
    </w:p>
    <w:p w14:paraId="653542D3" w14:textId="103ADFE2" w:rsidR="00552EAE" w:rsidRPr="00CC5793" w:rsidRDefault="00A0465F" w:rsidP="00552EAE">
      <w:pPr>
        <w:pStyle w:val="BodyText"/>
        <w:rPr>
          <w:rFonts w:eastAsiaTheme="minorHAnsi" w:cstheme="minorBidi"/>
          <w:sz w:val="16"/>
          <w:szCs w:val="16"/>
        </w:rPr>
      </w:pPr>
      <w:r>
        <w:fldChar w:fldCharType="begin"/>
      </w:r>
      <w:r>
        <w:instrText xml:space="preserve"> REF _Ref522799956 \h </w:instrText>
      </w:r>
      <w:r>
        <w:fldChar w:fldCharType="separate"/>
      </w:r>
      <w:r w:rsidR="009047A7">
        <w:t xml:space="preserve">Figure </w:t>
      </w:r>
      <w:r w:rsidR="009047A7">
        <w:rPr>
          <w:noProof/>
        </w:rPr>
        <w:t>7</w:t>
      </w:r>
      <w:r w:rsidR="009047A7">
        <w:t>.</w:t>
      </w:r>
      <w:r w:rsidR="009047A7">
        <w:rPr>
          <w:noProof/>
        </w:rPr>
        <w:t>13</w:t>
      </w:r>
      <w:r>
        <w:fldChar w:fldCharType="end"/>
      </w:r>
      <w:r w:rsidR="006335D1">
        <w:t xml:space="preserve"> </w:t>
      </w:r>
      <w:r w:rsidR="00552EAE">
        <w:t>examines the recommendations from patient’s Diabetes MedsChecks that are captured along with the claims data.  The relative use of the different types of recommendations is quite consistent across all years with the exception of growth in recommendation of ‘Information’.  Between Quarter 3, 2013 and Quarter 2, 2014, the percentage of recommendations citing ‘Information’ increased from 29% to 74%.  Note that more than one referral reason can be provided per Diabetes MedsCheck.</w:t>
      </w:r>
    </w:p>
    <w:p w14:paraId="47518346" w14:textId="4ED124E8" w:rsidR="00552EAE" w:rsidRDefault="00A0465F" w:rsidP="00A0465F">
      <w:pPr>
        <w:pStyle w:val="Caption"/>
      </w:pPr>
      <w:bookmarkStart w:id="76" w:name="_Ref522799956"/>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13</w:t>
      </w:r>
      <w:r w:rsidR="009047A7">
        <w:rPr>
          <w:noProof/>
        </w:rPr>
        <w:fldChar w:fldCharType="end"/>
      </w:r>
      <w:bookmarkEnd w:id="76"/>
      <w:r w:rsidR="00552EAE" w:rsidRPr="00533F4A">
        <w:t xml:space="preserve">: </w:t>
      </w:r>
      <w:r w:rsidR="00037A45">
        <w:t>Diabetes MedsCheck r</w:t>
      </w:r>
      <w:r w:rsidR="00552EAE" w:rsidRPr="00533F4A">
        <w:t>ecommendations July 2012 to Jun 2016</w:t>
      </w:r>
    </w:p>
    <w:p w14:paraId="1D26007B" w14:textId="77777777" w:rsidR="00552EAE" w:rsidRDefault="00552EAE" w:rsidP="00552EAE">
      <w:pPr>
        <w:pStyle w:val="BodyText"/>
        <w:jc w:val="center"/>
      </w:pPr>
      <w:r>
        <w:rPr>
          <w:noProof/>
          <w:lang w:eastAsia="en-AU"/>
        </w:rPr>
        <w:drawing>
          <wp:inline distT="0" distB="0" distL="0" distR="0" wp14:anchorId="1B2DCD3D" wp14:editId="6DF9366E">
            <wp:extent cx="6084000" cy="1908000"/>
            <wp:effectExtent l="0" t="0" r="0" b="0"/>
            <wp:docPr id="8" name="Picture 8" descr="Figure 7.13 This figure shows the MedsCheck recommendations between July 2012 and June 2016." title="Figure 7.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Recommendation Summary DIA.png"/>
                    <pic:cNvPicPr/>
                  </pic:nvPicPr>
                  <pic:blipFill>
                    <a:blip r:embed="rId34">
                      <a:extLst>
                        <a:ext uri="{28A0092B-C50C-407E-A947-70E740481C1C}">
                          <a14:useLocalDpi xmlns:a14="http://schemas.microsoft.com/office/drawing/2010/main" val="0"/>
                        </a:ext>
                      </a:extLst>
                    </a:blip>
                    <a:stretch>
                      <a:fillRect/>
                    </a:stretch>
                  </pic:blipFill>
                  <pic:spPr>
                    <a:xfrm>
                      <a:off x="0" y="0"/>
                      <a:ext cx="6084000" cy="1908000"/>
                    </a:xfrm>
                    <a:prstGeom prst="rect">
                      <a:avLst/>
                    </a:prstGeom>
                  </pic:spPr>
                </pic:pic>
              </a:graphicData>
            </a:graphic>
          </wp:inline>
        </w:drawing>
      </w:r>
    </w:p>
    <w:p w14:paraId="55ED1F50" w14:textId="77777777" w:rsidR="00552EAE" w:rsidRPr="00443215" w:rsidRDefault="00552EAE" w:rsidP="00552EAE">
      <w:pPr>
        <w:pStyle w:val="08Tablefootnotes"/>
        <w:rPr>
          <w:rFonts w:ascii="Garamond" w:hAnsi="Garamond"/>
        </w:rPr>
      </w:pPr>
      <w:r w:rsidRPr="00373E09">
        <w:rPr>
          <w:rFonts w:ascii="Garamond" w:hAnsi="Garamond"/>
        </w:rPr>
        <w:t>Source: DHS claims systems extracts for years 2011/12, 2012/13 and 2013/14, Pharmacy Guild claims systems extracts for years 2014</w:t>
      </w:r>
      <w:r>
        <w:rPr>
          <w:rFonts w:ascii="Garamond" w:hAnsi="Garamond"/>
        </w:rPr>
        <w:t xml:space="preserve">/15 and 2015/16. </w:t>
      </w:r>
    </w:p>
    <w:p w14:paraId="04D7157C" w14:textId="7189C3CE" w:rsidR="00552EAE" w:rsidRDefault="00552EAE" w:rsidP="00A36F6F">
      <w:pPr>
        <w:pStyle w:val="Heading2"/>
        <w:numPr>
          <w:ilvl w:val="1"/>
          <w:numId w:val="37"/>
        </w:numPr>
        <w:spacing w:before="240"/>
      </w:pPr>
      <w:r>
        <w:t>Number of</w:t>
      </w:r>
      <w:r w:rsidR="00037A45" w:rsidRPr="00037A45">
        <w:t xml:space="preserve"> </w:t>
      </w:r>
      <w:r w:rsidR="00037A45">
        <w:t>Diabetes MedsChecks</w:t>
      </w:r>
      <w:r>
        <w:t xml:space="preserve"> claims by patient age</w:t>
      </w:r>
    </w:p>
    <w:p w14:paraId="4A5FEC38" w14:textId="6E07B7AA" w:rsidR="00552EAE" w:rsidRPr="000F48FC" w:rsidRDefault="00A0465F" w:rsidP="00552EAE">
      <w:pPr>
        <w:pStyle w:val="BodyText"/>
      </w:pPr>
      <w:r>
        <w:fldChar w:fldCharType="begin"/>
      </w:r>
      <w:r>
        <w:instrText xml:space="preserve"> REF _Ref522800185 \h </w:instrText>
      </w:r>
      <w:r>
        <w:fldChar w:fldCharType="separate"/>
      </w:r>
      <w:r w:rsidR="009047A7">
        <w:t xml:space="preserve">Figure </w:t>
      </w:r>
      <w:r w:rsidR="009047A7">
        <w:rPr>
          <w:noProof/>
        </w:rPr>
        <w:t>7</w:t>
      </w:r>
      <w:r w:rsidR="009047A7">
        <w:t>.</w:t>
      </w:r>
      <w:r w:rsidR="009047A7">
        <w:rPr>
          <w:noProof/>
        </w:rPr>
        <w:t>14</w:t>
      </w:r>
      <w:r>
        <w:fldChar w:fldCharType="end"/>
      </w:r>
      <w:r w:rsidR="006335D1">
        <w:t xml:space="preserve"> </w:t>
      </w:r>
      <w:r w:rsidR="00552EAE">
        <w:t>profiles patients according to how many Diabetes MedsCheck services they have received over 8 continuous quarters pre-cap (i.e. a date of service between July 2012 and June 2014)</w:t>
      </w:r>
      <w:r w:rsidR="00552EAE" w:rsidRPr="000F48FC">
        <w:t xml:space="preserve">. </w:t>
      </w:r>
      <w:r w:rsidR="006766EB">
        <w:t xml:space="preserve"> N</w:t>
      </w:r>
      <w:r w:rsidR="00552EAE">
        <w:t xml:space="preserve">ote that </w:t>
      </w:r>
      <w:r w:rsidR="00552EAE">
        <w:lastRenderedPageBreak/>
        <w:t>patients who have had a Diabetes MedsCheck service in both the pre- and post-cap periods are counted post-cap, and that patients have been classified according to their age at the time of receiving their most recent Diabetes MedsCheck.</w:t>
      </w:r>
    </w:p>
    <w:p w14:paraId="5CF606B2" w14:textId="5B9EE1E6" w:rsidR="00552EAE" w:rsidRDefault="00A0465F" w:rsidP="00A0465F">
      <w:pPr>
        <w:pStyle w:val="Caption"/>
      </w:pPr>
      <w:bookmarkStart w:id="77" w:name="_Ref522800185"/>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14</w:t>
      </w:r>
      <w:r w:rsidR="009047A7">
        <w:rPr>
          <w:noProof/>
        </w:rPr>
        <w:fldChar w:fldCharType="end"/>
      </w:r>
      <w:bookmarkEnd w:id="77"/>
      <w:r w:rsidR="00552EAE" w:rsidRPr="00CF173B">
        <w:t>: Patient age by number of Diabetes MedsChecks between July 2012 and June 2014</w:t>
      </w:r>
    </w:p>
    <w:p w14:paraId="656BB926" w14:textId="77777777" w:rsidR="00552EAE" w:rsidRDefault="00552EAE" w:rsidP="00552EAE">
      <w:pPr>
        <w:pStyle w:val="01BODYTEXT"/>
        <w:jc w:val="center"/>
      </w:pPr>
      <w:r>
        <w:rPr>
          <w:noProof/>
          <w:lang w:eastAsia="en-AU"/>
        </w:rPr>
        <w:drawing>
          <wp:inline distT="0" distB="0" distL="0" distR="0" wp14:anchorId="4EE21A1F" wp14:editId="006E1BB8">
            <wp:extent cx="5295900" cy="3609975"/>
            <wp:effectExtent l="0" t="0" r="0" b="9525"/>
            <wp:docPr id="10" name="Picture 10" descr="Figure 7.14 This figure shows the distribution of patient age by the number of Diabetes MedsChecks between July 2012 and June 2014." title="Figure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295900" cy="3609975"/>
                    </a:xfrm>
                    <a:prstGeom prst="rect">
                      <a:avLst/>
                    </a:prstGeom>
                  </pic:spPr>
                </pic:pic>
              </a:graphicData>
            </a:graphic>
          </wp:inline>
        </w:drawing>
      </w:r>
    </w:p>
    <w:p w14:paraId="70AAC284"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61F52861" w14:textId="6292E2D3" w:rsidR="00552EAE" w:rsidRDefault="00552EAE" w:rsidP="00552EAE">
      <w:pPr>
        <w:pStyle w:val="BodyText"/>
      </w:pPr>
      <w:r>
        <w:t>The data show that an overwhelming majority (90%) of patients received just a single Diabetes MedsCheck service in the two</w:t>
      </w:r>
      <w:r w:rsidR="005A297C">
        <w:t>-</w:t>
      </w:r>
      <w:r>
        <w:t xml:space="preserve">year period, only 1% of patients received three or more Diabetes MedsCheck services. </w:t>
      </w:r>
      <w:r w:rsidR="006766EB">
        <w:t xml:space="preserve"> </w:t>
      </w:r>
      <w:r>
        <w:t xml:space="preserve">However, only 10% of patients received repeat Diabetes MedsChecks, where the between Diabetes MedsCheck interval becomes relevant is when considering adherence to guidelines (see </w:t>
      </w:r>
      <w:r w:rsidR="00FE45AD">
        <w:fldChar w:fldCharType="begin"/>
      </w:r>
      <w:r w:rsidR="00FE45AD">
        <w:instrText xml:space="preserve"> REF _Ref522800562 \h </w:instrText>
      </w:r>
      <w:r w:rsidR="00FE45AD">
        <w:fldChar w:fldCharType="separate"/>
      </w:r>
      <w:r w:rsidR="009047A7">
        <w:t xml:space="preserve">Figure </w:t>
      </w:r>
      <w:r w:rsidR="009047A7">
        <w:rPr>
          <w:noProof/>
        </w:rPr>
        <w:t>7</w:t>
      </w:r>
      <w:r w:rsidR="009047A7">
        <w:t>.</w:t>
      </w:r>
      <w:r w:rsidR="009047A7">
        <w:rPr>
          <w:noProof/>
        </w:rPr>
        <w:t>16</w:t>
      </w:r>
      <w:r w:rsidR="00FE45AD">
        <w:fldChar w:fldCharType="end"/>
      </w:r>
      <w:r>
        <w:t>).</w:t>
      </w:r>
      <w:r w:rsidR="006766EB">
        <w:t xml:space="preserve"> </w:t>
      </w:r>
      <w:r>
        <w:t xml:space="preserve"> </w:t>
      </w:r>
      <w:r w:rsidR="00FE45AD">
        <w:fldChar w:fldCharType="begin"/>
      </w:r>
      <w:r w:rsidR="00FE45AD">
        <w:instrText xml:space="preserve"> REF _Ref522800185 \h </w:instrText>
      </w:r>
      <w:r w:rsidR="00FE45AD">
        <w:fldChar w:fldCharType="separate"/>
      </w:r>
      <w:r w:rsidR="009047A7">
        <w:t xml:space="preserve">Figure </w:t>
      </w:r>
      <w:r w:rsidR="009047A7">
        <w:rPr>
          <w:noProof/>
        </w:rPr>
        <w:t>7</w:t>
      </w:r>
      <w:r w:rsidR="009047A7">
        <w:t>.</w:t>
      </w:r>
      <w:r w:rsidR="009047A7">
        <w:rPr>
          <w:noProof/>
        </w:rPr>
        <w:t>14</w:t>
      </w:r>
      <w:r w:rsidR="00FE45AD">
        <w:fldChar w:fldCharType="end"/>
      </w:r>
      <w:r>
        <w:t xml:space="preserve"> (far right column) also shows that 55% of the patients receiving a Diabetes MedsCheck were aged 65 years or more, and that there was at least one patient in every age cohort from 0-4 years through to 105-109 years who received a Diabetes MedsCheck.</w:t>
      </w:r>
    </w:p>
    <w:p w14:paraId="151AF6C5" w14:textId="7AAD69DD" w:rsidR="00552EAE" w:rsidRPr="00655568" w:rsidRDefault="00A0465F" w:rsidP="00552EAE">
      <w:pPr>
        <w:pStyle w:val="BodyText"/>
      </w:pPr>
      <w:r>
        <w:fldChar w:fldCharType="begin"/>
      </w:r>
      <w:r>
        <w:instrText xml:space="preserve"> REF _Ref522800346 \h </w:instrText>
      </w:r>
      <w:r>
        <w:fldChar w:fldCharType="separate"/>
      </w:r>
      <w:r w:rsidR="009047A7">
        <w:t xml:space="preserve">Figure </w:t>
      </w:r>
      <w:r w:rsidR="009047A7">
        <w:rPr>
          <w:noProof/>
        </w:rPr>
        <w:t>7</w:t>
      </w:r>
      <w:r w:rsidR="009047A7">
        <w:t>.</w:t>
      </w:r>
      <w:r w:rsidR="009047A7">
        <w:rPr>
          <w:noProof/>
        </w:rPr>
        <w:t>15</w:t>
      </w:r>
      <w:r>
        <w:fldChar w:fldCharType="end"/>
      </w:r>
      <w:r w:rsidR="006335D1">
        <w:t xml:space="preserve"> </w:t>
      </w:r>
      <w:r w:rsidR="00552EAE">
        <w:t>profiles patients according to how many Diabetes MedsCheck se</w:t>
      </w:r>
      <w:r w:rsidR="006766EB">
        <w:t>rvices they have received over eight</w:t>
      </w:r>
      <w:r w:rsidR="00552EAE">
        <w:t xml:space="preserve"> continuous quarters after the introduction of the claims cap (i.e. a date of service between July 2014 and June 2016)</w:t>
      </w:r>
      <w:r w:rsidR="00552EAE" w:rsidRPr="000F48FC">
        <w:t xml:space="preserve">. </w:t>
      </w:r>
      <w:r w:rsidR="006766EB">
        <w:t xml:space="preserve"> N</w:t>
      </w:r>
      <w:r w:rsidR="00552EAE">
        <w:t xml:space="preserve">ote again that patients who have had a Diabetes MedsCheck service in both the pre- and post-cap periods are counted post-cap, and that patients have been classified according to their age at the time of receiving their most recent Diabetes MedsCheck.  </w:t>
      </w:r>
      <w:r>
        <w:fldChar w:fldCharType="begin"/>
      </w:r>
      <w:r>
        <w:instrText xml:space="preserve"> REF _Ref522800346 \h </w:instrText>
      </w:r>
      <w:r>
        <w:fldChar w:fldCharType="separate"/>
      </w:r>
      <w:r w:rsidR="009047A7">
        <w:t xml:space="preserve">Figure </w:t>
      </w:r>
      <w:r w:rsidR="009047A7">
        <w:rPr>
          <w:noProof/>
        </w:rPr>
        <w:t>7</w:t>
      </w:r>
      <w:r w:rsidR="009047A7">
        <w:t>.</w:t>
      </w:r>
      <w:r w:rsidR="009047A7">
        <w:rPr>
          <w:noProof/>
        </w:rPr>
        <w:t>15</w:t>
      </w:r>
      <w:r>
        <w:fldChar w:fldCharType="end"/>
      </w:r>
      <w:r w:rsidR="00552EAE">
        <w:t xml:space="preserve"> (far right column) shows that post-cap 72% of the patients </w:t>
      </w:r>
      <w:r w:rsidR="00552EAE" w:rsidRPr="00655568">
        <w:t>receiving a Diabetes MedsCheck were aged 65 years or more (a 1</w:t>
      </w:r>
      <w:r w:rsidR="00552EAE">
        <w:t>7</w:t>
      </w:r>
      <w:r w:rsidR="00552EAE" w:rsidRPr="00655568">
        <w:t>% increase on pre-cap) indicating a significant shift towards an older patient profile in the post-cap period.  There was at least one patient in every age cohort from 0-4 years through to 10</w:t>
      </w:r>
      <w:r w:rsidR="00552EAE">
        <w:t>5</w:t>
      </w:r>
      <w:r w:rsidR="00552EAE" w:rsidRPr="00655568">
        <w:t>-</w:t>
      </w:r>
      <w:r w:rsidR="00552EAE">
        <w:t>109</w:t>
      </w:r>
      <w:r w:rsidR="00552EAE" w:rsidRPr="00655568">
        <w:t xml:space="preserve"> y</w:t>
      </w:r>
      <w:r w:rsidR="00552EAE">
        <w:t>ears who received a</w:t>
      </w:r>
      <w:r w:rsidR="00552EAE" w:rsidRPr="00655568">
        <w:t xml:space="preserve"> Diabetes MedsCheck (same as pre-cap).</w:t>
      </w:r>
    </w:p>
    <w:p w14:paraId="46799BC3" w14:textId="59E303C7" w:rsidR="00552EAE" w:rsidRDefault="00A0465F" w:rsidP="00A0465F">
      <w:pPr>
        <w:pStyle w:val="Caption"/>
      </w:pPr>
      <w:bookmarkStart w:id="78" w:name="_Ref522800346"/>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rsidR="0009681A">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15</w:t>
      </w:r>
      <w:r w:rsidR="009047A7">
        <w:rPr>
          <w:noProof/>
        </w:rPr>
        <w:fldChar w:fldCharType="end"/>
      </w:r>
      <w:bookmarkEnd w:id="78"/>
      <w:r w:rsidR="00552EAE" w:rsidRPr="00CF173B">
        <w:t xml:space="preserve">: Patient age by number of Diabetes </w:t>
      </w:r>
      <w:r w:rsidR="006766EB" w:rsidRPr="00CF173B">
        <w:t>MedsCheck</w:t>
      </w:r>
      <w:r w:rsidR="00552EAE" w:rsidRPr="00CF173B">
        <w:t xml:space="preserve"> between July 2014 and June 2016</w:t>
      </w:r>
    </w:p>
    <w:p w14:paraId="42596A85" w14:textId="77777777" w:rsidR="00552EAE" w:rsidRDefault="00552EAE" w:rsidP="00552EAE">
      <w:pPr>
        <w:pStyle w:val="BodyText"/>
        <w:jc w:val="center"/>
      </w:pPr>
      <w:r>
        <w:rPr>
          <w:noProof/>
          <w:lang w:eastAsia="en-AU"/>
        </w:rPr>
        <w:drawing>
          <wp:inline distT="0" distB="0" distL="0" distR="0" wp14:anchorId="4CE9F983" wp14:editId="3081EF48">
            <wp:extent cx="5324475" cy="3533775"/>
            <wp:effectExtent l="0" t="0" r="9525" b="9525"/>
            <wp:docPr id="14" name="Picture 14" descr="Figure 7.15 This figure shows the distribution of patient age by the number of Diabetes MedsChecks between July 2014 and June 2016." title="Figure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324475" cy="3533775"/>
                    </a:xfrm>
                    <a:prstGeom prst="rect">
                      <a:avLst/>
                    </a:prstGeom>
                  </pic:spPr>
                </pic:pic>
              </a:graphicData>
            </a:graphic>
          </wp:inline>
        </w:drawing>
      </w:r>
    </w:p>
    <w:p w14:paraId="7B58529E" w14:textId="77777777" w:rsidR="00552EAE" w:rsidRDefault="00552EAE" w:rsidP="00552EAE">
      <w:pPr>
        <w:pStyle w:val="08Tablefootnotes"/>
        <w:rPr>
          <w:rFonts w:ascii="Garamond" w:hAnsi="Garamond"/>
        </w:rPr>
      </w:pPr>
      <w:r w:rsidRPr="0046164A">
        <w:rPr>
          <w:rFonts w:ascii="Garamond" w:hAnsi="Garamond"/>
        </w:rPr>
        <w:t xml:space="preserve">Source: DHS claims systems extracts for years 2011/12, 2012/13 and 2013/14, Pharmacy Guild claims systems extracts for years 2014/15 and 2015/16. </w:t>
      </w:r>
    </w:p>
    <w:p w14:paraId="06668398" w14:textId="2778CE40" w:rsidR="00552EAE" w:rsidRPr="00F86AD2" w:rsidRDefault="00A0465F" w:rsidP="00552EAE">
      <w:pPr>
        <w:pStyle w:val="BodyText"/>
      </w:pPr>
      <w:r>
        <w:fldChar w:fldCharType="begin"/>
      </w:r>
      <w:r>
        <w:instrText xml:space="preserve"> REF _Ref522800346 \h </w:instrText>
      </w:r>
      <w:r>
        <w:fldChar w:fldCharType="separate"/>
      </w:r>
      <w:r w:rsidR="009047A7">
        <w:t xml:space="preserve">Figure </w:t>
      </w:r>
      <w:r w:rsidR="009047A7">
        <w:rPr>
          <w:noProof/>
        </w:rPr>
        <w:t>7</w:t>
      </w:r>
      <w:r w:rsidR="009047A7">
        <w:t>.</w:t>
      </w:r>
      <w:r w:rsidR="009047A7">
        <w:rPr>
          <w:noProof/>
        </w:rPr>
        <w:t>15</w:t>
      </w:r>
      <w:r>
        <w:fldChar w:fldCharType="end"/>
      </w:r>
      <w:r w:rsidR="00552EAE" w:rsidRPr="00E02126">
        <w:t xml:space="preserve"> shows that, after the payment policy change, the proportion of patients receiving a single </w:t>
      </w:r>
      <w:r w:rsidR="00552EAE">
        <w:t xml:space="preserve">Diabetes </w:t>
      </w:r>
      <w:r w:rsidR="00552EAE" w:rsidRPr="00E02126">
        <w:t xml:space="preserve">MedsCheck service declined by </w:t>
      </w:r>
      <w:r w:rsidR="00552EAE">
        <w:t>9</w:t>
      </w:r>
      <w:r w:rsidR="00552EAE" w:rsidRPr="00E02126">
        <w:t>% to 8</w:t>
      </w:r>
      <w:r w:rsidR="00552EAE">
        <w:t>1</w:t>
      </w:r>
      <w:r w:rsidR="00552EAE" w:rsidRPr="00E02126">
        <w:t xml:space="preserve">%, with 2% of patients receiving three or more </w:t>
      </w:r>
      <w:r w:rsidR="00552EAE">
        <w:t xml:space="preserve">Diabetes </w:t>
      </w:r>
      <w:r w:rsidR="00552EAE" w:rsidRPr="00E02126">
        <w:t>MedsCheck services (compare</w:t>
      </w:r>
      <w:r w:rsidR="00552EAE">
        <w:t>d</w:t>
      </w:r>
      <w:r w:rsidR="00552EAE" w:rsidRPr="00E02126">
        <w:t xml:space="preserve"> to 1% pre-cap).  Also, the maximum number of </w:t>
      </w:r>
      <w:r w:rsidR="00552EAE">
        <w:t xml:space="preserve">Diabetes </w:t>
      </w:r>
      <w:r w:rsidR="00552EAE" w:rsidRPr="00E02126">
        <w:t xml:space="preserve">MedsChecks received was six, compared to </w:t>
      </w:r>
      <w:r w:rsidR="00552EAE">
        <w:t>ten</w:t>
      </w:r>
      <w:r w:rsidR="00552EAE" w:rsidRPr="00E02126">
        <w:t xml:space="preserve"> or more pre-cap</w:t>
      </w:r>
      <w:r w:rsidR="00552EAE">
        <w:t xml:space="preserve"> (despite a notably longer period of 48 months compared to 24 months pre-cap)</w:t>
      </w:r>
      <w:r w:rsidR="00552EAE" w:rsidRPr="00E02126">
        <w:t xml:space="preserve">.  Corresponding to the decrease on once only </w:t>
      </w:r>
      <w:r w:rsidR="00552EAE">
        <w:t xml:space="preserve">Diabetes </w:t>
      </w:r>
      <w:r w:rsidR="00552EAE" w:rsidRPr="00E02126">
        <w:t xml:space="preserve">MedsChecks, the proportion of patients that received repeat </w:t>
      </w:r>
      <w:r w:rsidR="00552EAE">
        <w:t xml:space="preserve">Diabetes </w:t>
      </w:r>
      <w:r w:rsidR="00552EAE" w:rsidRPr="00E02126">
        <w:t xml:space="preserve">MedsChecks increased from </w:t>
      </w:r>
      <w:r w:rsidR="00552EAE">
        <w:t>10</w:t>
      </w:r>
      <w:r w:rsidR="00552EAE" w:rsidRPr="00E02126">
        <w:t>% to 1</w:t>
      </w:r>
      <w:r w:rsidR="00552EAE">
        <w:t>9</w:t>
      </w:r>
      <w:r w:rsidR="00552EAE" w:rsidRPr="00E02126">
        <w:t xml:space="preserve">%.  </w:t>
      </w:r>
      <w:r w:rsidR="00552EAE">
        <w:t>These data suggest</w:t>
      </w:r>
      <w:r w:rsidR="00552EAE" w:rsidRPr="00E02126">
        <w:t xml:space="preserve"> that the introduction of the </w:t>
      </w:r>
      <w:r w:rsidR="00552EAE">
        <w:t>claims</w:t>
      </w:r>
      <w:r w:rsidR="00552EAE" w:rsidRPr="00E02126">
        <w:t xml:space="preserve"> cap </w:t>
      </w:r>
      <w:r w:rsidR="00552EAE">
        <w:t>simultaneously placed considerable restrictions on patient volumes and ostensibly shifted pharmacy focus towards those patients deemed more likely to require follow up Diabetes MedsChecks.</w:t>
      </w:r>
    </w:p>
    <w:p w14:paraId="25D30C00" w14:textId="6E4BE7E3" w:rsidR="00552EAE" w:rsidRDefault="00552EAE" w:rsidP="00552EAE">
      <w:pPr>
        <w:pStyle w:val="Heading2"/>
        <w:numPr>
          <w:ilvl w:val="1"/>
          <w:numId w:val="37"/>
        </w:numPr>
      </w:pPr>
      <w:r>
        <w:t xml:space="preserve">Adherence to </w:t>
      </w:r>
      <w:r w:rsidR="003D4E61">
        <w:t xml:space="preserve">Diabetes Medscheck </w:t>
      </w:r>
      <w:r>
        <w:t>program claiming guidelines</w:t>
      </w:r>
    </w:p>
    <w:p w14:paraId="2C80352B" w14:textId="6BF1D0D4" w:rsidR="00552EAE" w:rsidRDefault="0009681A" w:rsidP="00552EAE">
      <w:pPr>
        <w:pStyle w:val="BodyText"/>
      </w:pPr>
      <w:r>
        <w:fldChar w:fldCharType="begin"/>
      </w:r>
      <w:r>
        <w:instrText xml:space="preserve"> REF _Ref522800562 \h </w:instrText>
      </w:r>
      <w:r>
        <w:fldChar w:fldCharType="separate"/>
      </w:r>
      <w:r w:rsidR="009047A7">
        <w:t xml:space="preserve">Figure </w:t>
      </w:r>
      <w:r w:rsidR="009047A7">
        <w:rPr>
          <w:noProof/>
        </w:rPr>
        <w:t>7</w:t>
      </w:r>
      <w:r w:rsidR="009047A7">
        <w:t>.</w:t>
      </w:r>
      <w:r w:rsidR="009047A7">
        <w:rPr>
          <w:noProof/>
        </w:rPr>
        <w:t>16</w:t>
      </w:r>
      <w:r>
        <w:fldChar w:fldCharType="end"/>
      </w:r>
      <w:r w:rsidR="006335D1">
        <w:t xml:space="preserve"> </w:t>
      </w:r>
      <w:r w:rsidR="00552EAE">
        <w:t xml:space="preserve">profiles patients that have received two or more Diabetes MedsCheck services over </w:t>
      </w:r>
      <w:r w:rsidR="00702253">
        <w:t xml:space="preserve">eight </w:t>
      </w:r>
      <w:r w:rsidR="00552EAE">
        <w:t>continuous quarters in the pre-claim-cap period (i.e. with a date of service between July 2012 and June 2014)</w:t>
      </w:r>
      <w:r w:rsidR="00552EAE" w:rsidRPr="000F48FC">
        <w:t xml:space="preserve">. </w:t>
      </w:r>
      <w:r w:rsidR="00702253">
        <w:t xml:space="preserve"> </w:t>
      </w:r>
      <w:r w:rsidR="00552EAE">
        <w:t>The patients have been classified according to their age at the time of receiving their most recent Diabetes MedsCheck.  The data show that 61% of patients receiving more than a single service, are aged 65 years or more, compared to 55% of patients receiving one or more Diabetes MedsChecks (i.e. patients receiving repeat Diabetes MedsChecks are on average older than patients receiving any Diabetes MedsCheck).</w:t>
      </w:r>
    </w:p>
    <w:p w14:paraId="4D846BF1" w14:textId="27F6C175" w:rsidR="00552EAE" w:rsidRPr="00533F4A" w:rsidRDefault="0009681A" w:rsidP="00552EAE">
      <w:pPr>
        <w:pStyle w:val="BodyText"/>
        <w:rPr>
          <w:highlight w:val="yellow"/>
        </w:rPr>
      </w:pPr>
      <w:r>
        <w:fldChar w:fldCharType="begin"/>
      </w:r>
      <w:r>
        <w:instrText xml:space="preserve"> REF _Ref522800562 \h </w:instrText>
      </w:r>
      <w:r>
        <w:fldChar w:fldCharType="separate"/>
      </w:r>
      <w:r w:rsidR="009047A7">
        <w:t xml:space="preserve">Figure </w:t>
      </w:r>
      <w:r w:rsidR="009047A7">
        <w:rPr>
          <w:noProof/>
        </w:rPr>
        <w:t>7</w:t>
      </w:r>
      <w:r w:rsidR="009047A7">
        <w:t>.</w:t>
      </w:r>
      <w:r w:rsidR="009047A7">
        <w:rPr>
          <w:noProof/>
        </w:rPr>
        <w:t>16</w:t>
      </w:r>
      <w:r>
        <w:fldChar w:fldCharType="end"/>
      </w:r>
      <w:r w:rsidR="006335D1">
        <w:t xml:space="preserve"> </w:t>
      </w:r>
      <w:r w:rsidR="00552EAE">
        <w:t xml:space="preserve">also shows that 60% of patients received their follow-up Diabetes MedsChecks within six months of their previous Diabetes MedsCheck, </w:t>
      </w:r>
      <w:r w:rsidR="00552EAE" w:rsidRPr="005A6D21">
        <w:t xml:space="preserve">despite frequency of service guidelines mandating that </w:t>
      </w:r>
      <w:r w:rsidR="00552EAE">
        <w:t>Diabetes</w:t>
      </w:r>
      <w:r w:rsidR="00552EAE" w:rsidRPr="005A6D21">
        <w:t xml:space="preserve"> MedsCheck services </w:t>
      </w:r>
      <w:r w:rsidR="00552EAE">
        <w:t>should</w:t>
      </w:r>
      <w:r w:rsidR="00552EAE" w:rsidRPr="005A6D21">
        <w:t xml:space="preserve"> be </w:t>
      </w:r>
      <w:r w:rsidR="00552EAE" w:rsidRPr="00A35148">
        <w:t xml:space="preserve">no more frequent than every 12 months (see </w:t>
      </w:r>
      <w:r w:rsidR="00476D4D">
        <w:t>S</w:t>
      </w:r>
      <w:r w:rsidR="00702253">
        <w:t xml:space="preserve">ection </w:t>
      </w:r>
      <w:r w:rsidR="00552EAE" w:rsidRPr="00A35148">
        <w:t>2.4)</w:t>
      </w:r>
      <w:r w:rsidR="00552EAE">
        <w:t>.  In the period, to June, 2014, 40% of patients who had two or more Diabetes MedsChecks had an interval of 12 months or greater.</w:t>
      </w:r>
    </w:p>
    <w:p w14:paraId="6C2DD4AA" w14:textId="3B755F3A" w:rsidR="00552EAE" w:rsidRDefault="0009681A" w:rsidP="0009681A">
      <w:pPr>
        <w:pStyle w:val="Caption"/>
      </w:pPr>
      <w:bookmarkStart w:id="79" w:name="_Ref522800562"/>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16</w:t>
      </w:r>
      <w:r w:rsidR="009047A7">
        <w:rPr>
          <w:noProof/>
        </w:rPr>
        <w:fldChar w:fldCharType="end"/>
      </w:r>
      <w:bookmarkEnd w:id="79"/>
      <w:r w:rsidR="00552EAE" w:rsidRPr="00533F4A">
        <w:t>: Patient age by Diabetes MedsCheck interval between July 2012 and June 2014</w:t>
      </w:r>
    </w:p>
    <w:p w14:paraId="35446EFA" w14:textId="77777777" w:rsidR="00552EAE" w:rsidRDefault="00552EAE" w:rsidP="00552EAE">
      <w:pPr>
        <w:pStyle w:val="BodyText"/>
        <w:jc w:val="center"/>
      </w:pPr>
      <w:r>
        <w:rPr>
          <w:noProof/>
          <w:lang w:eastAsia="en-AU"/>
        </w:rPr>
        <w:drawing>
          <wp:inline distT="0" distB="0" distL="0" distR="0" wp14:anchorId="30BDF1BC" wp14:editId="3723C61E">
            <wp:extent cx="2943225" cy="3352800"/>
            <wp:effectExtent l="0" t="0" r="9525" b="0"/>
            <wp:docPr id="1" name="Picture 1" descr="Figure 7.16 This figure shows the distribution of patient age by Diabetes MedsCheck interval between July 2012 and June 2014." title="Figure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943225" cy="3352800"/>
                    </a:xfrm>
                    <a:prstGeom prst="rect">
                      <a:avLst/>
                    </a:prstGeom>
                  </pic:spPr>
                </pic:pic>
              </a:graphicData>
            </a:graphic>
          </wp:inline>
        </w:drawing>
      </w:r>
    </w:p>
    <w:p w14:paraId="1D6231FB" w14:textId="77777777" w:rsidR="00552EAE" w:rsidRPr="00776E31" w:rsidRDefault="00552EAE" w:rsidP="00552EAE">
      <w:pPr>
        <w:pStyle w:val="08Tablefootnotes"/>
        <w:rPr>
          <w:color w:val="000000" w:themeColor="text1"/>
          <w:highlight w:val="yellow"/>
        </w:rPr>
      </w:pPr>
      <w:r w:rsidRPr="00185DC4">
        <w:rPr>
          <w:rFonts w:ascii="Garamond" w:hAnsi="Garamond"/>
        </w:rPr>
        <w:t>Source: DHS claims systems extracts for years 2011/12, 2012/13 and 2013/14, Pharmacy Guild claims systems extracts for years 2014/15 and 2015/</w:t>
      </w:r>
      <w:r w:rsidRPr="00A35148">
        <w:rPr>
          <w:rFonts w:ascii="Garamond" w:hAnsi="Garamond"/>
        </w:rPr>
        <w:t xml:space="preserve">16. </w:t>
      </w:r>
    </w:p>
    <w:p w14:paraId="1755A2BF" w14:textId="1B1C3891" w:rsidR="00552EAE" w:rsidRDefault="0009681A" w:rsidP="00552EAE">
      <w:pPr>
        <w:pStyle w:val="BodyText"/>
      </w:pPr>
      <w:r>
        <w:fldChar w:fldCharType="begin"/>
      </w:r>
      <w:r>
        <w:instrText xml:space="preserve"> REF _Ref522800646 \h </w:instrText>
      </w:r>
      <w:r>
        <w:fldChar w:fldCharType="separate"/>
      </w:r>
      <w:r w:rsidR="009047A7">
        <w:t xml:space="preserve">Figure </w:t>
      </w:r>
      <w:r w:rsidR="009047A7">
        <w:rPr>
          <w:noProof/>
        </w:rPr>
        <w:t>7</w:t>
      </w:r>
      <w:r w:rsidR="009047A7">
        <w:t>.</w:t>
      </w:r>
      <w:r w:rsidR="009047A7">
        <w:rPr>
          <w:noProof/>
        </w:rPr>
        <w:t>17</w:t>
      </w:r>
      <w:r>
        <w:fldChar w:fldCharType="end"/>
      </w:r>
      <w:r w:rsidR="006335D1">
        <w:t xml:space="preserve"> </w:t>
      </w:r>
      <w:r w:rsidR="00552EAE">
        <w:t xml:space="preserve">profiles patients that have received two or more Diabetes MedsCheck services over </w:t>
      </w:r>
      <w:r w:rsidR="00F310A1">
        <w:t>eight</w:t>
      </w:r>
      <w:r w:rsidR="00552EAE">
        <w:t xml:space="preserve"> continuous quarters in the post-cap period (i.e. with a date of service between July 2014 and June 2016)</w:t>
      </w:r>
      <w:r w:rsidR="00552EAE" w:rsidRPr="000F48FC">
        <w:t>.</w:t>
      </w:r>
      <w:r w:rsidR="00F310A1">
        <w:t xml:space="preserve"> </w:t>
      </w:r>
      <w:r w:rsidR="00552EAE" w:rsidRPr="000F48FC">
        <w:t xml:space="preserve"> </w:t>
      </w:r>
      <w:r w:rsidR="00552EAE">
        <w:t>As before, the patients have been classified according to their age at the time of receiving their most recent Diabetes MedsCheck.  The data show that 72% of patients receiving more than a single service, are aged 65 years or more, compared to 60% of patients receiving one or more Diabetes MedsChecks (i.e. patients receiving repeat Diabetes MedsChecks are on average markedly older than patients receiving any Diabetes MedsCheck).</w:t>
      </w:r>
    </w:p>
    <w:p w14:paraId="4B512CF0" w14:textId="6A2B4C64" w:rsidR="00552EAE" w:rsidRDefault="0009681A" w:rsidP="0009681A">
      <w:pPr>
        <w:pStyle w:val="Caption"/>
      </w:pPr>
      <w:bookmarkStart w:id="80" w:name="_Ref522800646"/>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17</w:t>
      </w:r>
      <w:r w:rsidR="009047A7">
        <w:rPr>
          <w:noProof/>
        </w:rPr>
        <w:fldChar w:fldCharType="end"/>
      </w:r>
      <w:bookmarkEnd w:id="80"/>
      <w:r>
        <w:t xml:space="preserve">: </w:t>
      </w:r>
      <w:r w:rsidR="00552EAE" w:rsidRPr="00CF173B">
        <w:t>Patient age by Diabetes MedsCheck interval between July 2014 and June 2016</w:t>
      </w:r>
    </w:p>
    <w:p w14:paraId="0435CBD5" w14:textId="77777777" w:rsidR="00552EAE" w:rsidRDefault="00552EAE" w:rsidP="00A36F6F">
      <w:pPr>
        <w:pStyle w:val="BodyText"/>
        <w:spacing w:before="0"/>
        <w:jc w:val="center"/>
      </w:pPr>
      <w:r>
        <w:rPr>
          <w:noProof/>
          <w:lang w:eastAsia="en-AU"/>
        </w:rPr>
        <w:drawing>
          <wp:inline distT="0" distB="0" distL="0" distR="0" wp14:anchorId="5F87B067" wp14:editId="7616C125">
            <wp:extent cx="2865317" cy="3024000"/>
            <wp:effectExtent l="0" t="0" r="0" b="5080"/>
            <wp:docPr id="9" name="Picture 9" descr="Figure 7.17 This figure shows the distribution of patient age by Diabetes MedsCheck interval between July 2014 and June 2016." title="Fig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865317" cy="3024000"/>
                    </a:xfrm>
                    <a:prstGeom prst="rect">
                      <a:avLst/>
                    </a:prstGeom>
                  </pic:spPr>
                </pic:pic>
              </a:graphicData>
            </a:graphic>
          </wp:inline>
        </w:drawing>
      </w:r>
    </w:p>
    <w:p w14:paraId="1ED95949" w14:textId="77777777" w:rsidR="00552EAE" w:rsidRPr="00185DC4" w:rsidRDefault="00552EAE" w:rsidP="00552EAE">
      <w:pPr>
        <w:pStyle w:val="08Tablefootnotes"/>
        <w:rPr>
          <w:color w:val="000000" w:themeColor="text1"/>
        </w:rPr>
      </w:pPr>
      <w:r w:rsidRPr="00185DC4">
        <w:rPr>
          <w:rFonts w:ascii="Garamond" w:hAnsi="Garamond"/>
        </w:rPr>
        <w:lastRenderedPageBreak/>
        <w:t xml:space="preserve">Source: DHS claims systems extracts for years 2011/12, 2012/13 and 2013/14, Pharmacy Guild claims systems extracts for years 2014/15 and 2015/16. </w:t>
      </w:r>
    </w:p>
    <w:p w14:paraId="1343141F" w14:textId="58F6465C" w:rsidR="00552EAE" w:rsidRDefault="0009681A" w:rsidP="00552EAE">
      <w:pPr>
        <w:pStyle w:val="BodyText"/>
      </w:pPr>
      <w:r>
        <w:fldChar w:fldCharType="begin"/>
      </w:r>
      <w:r>
        <w:instrText xml:space="preserve"> REF _Ref522800646 \h </w:instrText>
      </w:r>
      <w:r>
        <w:fldChar w:fldCharType="separate"/>
      </w:r>
      <w:r w:rsidR="009047A7">
        <w:t xml:space="preserve">Figure </w:t>
      </w:r>
      <w:r w:rsidR="009047A7">
        <w:rPr>
          <w:noProof/>
        </w:rPr>
        <w:t>7</w:t>
      </w:r>
      <w:r w:rsidR="009047A7">
        <w:t>.</w:t>
      </w:r>
      <w:r w:rsidR="009047A7">
        <w:rPr>
          <w:noProof/>
        </w:rPr>
        <w:t>17</w:t>
      </w:r>
      <w:r>
        <w:fldChar w:fldCharType="end"/>
      </w:r>
      <w:r w:rsidR="00552EAE">
        <w:t xml:space="preserve"> shows a dramatically different picture with regard to the Diabetes MedsCheck service intervals in the post-cap period. Only 7% of patients received their follow-up Diabetes MedsChecks within six months of their previous Diabetes MedsCheck (a decrease of 53% by comparison to the pre-cap period).  And, again in stark contrast to the pre-cap period, 85% of </w:t>
      </w:r>
      <w:r w:rsidR="00552EAE" w:rsidRPr="003B4535">
        <w:t xml:space="preserve">patients who had two or more </w:t>
      </w:r>
      <w:r w:rsidR="00552EAE">
        <w:t xml:space="preserve">Diabetes </w:t>
      </w:r>
      <w:r w:rsidR="00552EAE" w:rsidRPr="003B4535">
        <w:t>MedsChecks had an interval of 12 months or greater</w:t>
      </w:r>
      <w:r w:rsidR="00552EAE">
        <w:t>, this equates to 54% more patients than pre-cap, indicating significantly better adherence to frequency guidelines (see 2.4).</w:t>
      </w:r>
    </w:p>
    <w:p w14:paraId="0F67B17F" w14:textId="5A805AD6" w:rsidR="00552EAE" w:rsidRDefault="00F310A1" w:rsidP="00552EAE">
      <w:pPr>
        <w:pStyle w:val="Heading2"/>
        <w:numPr>
          <w:ilvl w:val="1"/>
          <w:numId w:val="37"/>
        </w:numPr>
      </w:pPr>
      <w:r>
        <w:t xml:space="preserve">Diabetes MedsChecks </w:t>
      </w:r>
      <w:r w:rsidR="00552EAE">
        <w:t xml:space="preserve">claiming by </w:t>
      </w:r>
      <w:r w:rsidR="003D4E61">
        <w:t>chronic conditions</w:t>
      </w:r>
    </w:p>
    <w:p w14:paraId="18110C83" w14:textId="55C8B8AE" w:rsidR="00552EAE" w:rsidRPr="000F48FC" w:rsidRDefault="0009681A" w:rsidP="00552EAE">
      <w:pPr>
        <w:pStyle w:val="BodyText"/>
      </w:pPr>
      <w:r>
        <w:fldChar w:fldCharType="begin"/>
      </w:r>
      <w:r>
        <w:instrText xml:space="preserve"> REF _Ref522800766 \h </w:instrText>
      </w:r>
      <w:r>
        <w:fldChar w:fldCharType="separate"/>
      </w:r>
      <w:r w:rsidR="009047A7">
        <w:t xml:space="preserve">Figure </w:t>
      </w:r>
      <w:r w:rsidR="009047A7">
        <w:rPr>
          <w:noProof/>
        </w:rPr>
        <w:t>7</w:t>
      </w:r>
      <w:r w:rsidR="009047A7">
        <w:t>.</w:t>
      </w:r>
      <w:r w:rsidR="009047A7">
        <w:rPr>
          <w:noProof/>
        </w:rPr>
        <w:t>18</w:t>
      </w:r>
      <w:r>
        <w:fldChar w:fldCharType="end"/>
      </w:r>
      <w:r w:rsidR="006335D1">
        <w:t xml:space="preserve"> </w:t>
      </w:r>
      <w:r w:rsidR="00552EAE" w:rsidRPr="00F04C98">
        <w:t>profiles patients according to how many</w:t>
      </w:r>
      <w:r w:rsidR="00552EAE">
        <w:t xml:space="preserve"> chronic conditions the patient has and the frequency of</w:t>
      </w:r>
      <w:r w:rsidR="00552EAE" w:rsidRPr="00F04C98">
        <w:t xml:space="preserve"> </w:t>
      </w:r>
      <w:r w:rsidR="00552EAE">
        <w:t xml:space="preserve">the Diabetes </w:t>
      </w:r>
      <w:r w:rsidR="00552EAE" w:rsidRPr="00F04C98">
        <w:t xml:space="preserve">MedsCheck services they have received over </w:t>
      </w:r>
      <w:r w:rsidR="00F310A1">
        <w:t>eight</w:t>
      </w:r>
      <w:r w:rsidR="00552EAE" w:rsidRPr="00F04C98">
        <w:t xml:space="preserve"> continuous quarters </w:t>
      </w:r>
      <w:r w:rsidR="00552EAE">
        <w:t>pre-</w:t>
      </w:r>
      <w:r w:rsidR="00552EAE" w:rsidRPr="00F04C98">
        <w:t>cap (i.e. a date of service between July 201</w:t>
      </w:r>
      <w:r w:rsidR="00552EAE">
        <w:t>2</w:t>
      </w:r>
      <w:r w:rsidR="00552EAE" w:rsidRPr="00F04C98">
        <w:t xml:space="preserve"> and </w:t>
      </w:r>
      <w:r w:rsidR="00552EAE">
        <w:t>June 2014</w:t>
      </w:r>
      <w:r w:rsidR="00552EAE" w:rsidRPr="00F04C98">
        <w:t xml:space="preserve">). </w:t>
      </w:r>
      <w:r w:rsidR="00F310A1">
        <w:t xml:space="preserve"> </w:t>
      </w:r>
      <w:r w:rsidR="00552EAE">
        <w:t xml:space="preserve">The </w:t>
      </w:r>
      <w:r w:rsidR="00552EAE" w:rsidRPr="00F04C98">
        <w:t>majority (</w:t>
      </w:r>
      <w:r w:rsidR="00552EAE">
        <w:t>61</w:t>
      </w:r>
      <w:r w:rsidR="00552EAE" w:rsidRPr="00F04C98">
        <w:t>%) of patients received</w:t>
      </w:r>
      <w:r w:rsidR="00552EAE">
        <w:t xml:space="preserve"> their follow-up Diabetes MedsChecks within six months of their previous Diabetes MedsCheck (already discussed in 7.13).  The data </w:t>
      </w:r>
      <w:r w:rsidR="00F310A1">
        <w:t xml:space="preserve">also </w:t>
      </w:r>
      <w:r w:rsidR="00552EAE">
        <w:t>show that 72% of p</w:t>
      </w:r>
      <w:r w:rsidR="00552EAE" w:rsidRPr="007E7B08">
        <w:t xml:space="preserve">atients who had two or more </w:t>
      </w:r>
      <w:r w:rsidR="00552EAE">
        <w:t xml:space="preserve">Diabetes </w:t>
      </w:r>
      <w:r w:rsidR="00552EAE" w:rsidRPr="007E7B08">
        <w:t>MedsChecks</w:t>
      </w:r>
      <w:r w:rsidR="00552EAE">
        <w:t xml:space="preserve"> have three or more chronic conditions</w:t>
      </w:r>
      <w:r w:rsidR="00E44699">
        <w:t>.</w:t>
      </w:r>
    </w:p>
    <w:p w14:paraId="6119B9FB" w14:textId="2ADD7716" w:rsidR="00552EAE" w:rsidRDefault="0009681A" w:rsidP="0009681A">
      <w:pPr>
        <w:pStyle w:val="Caption"/>
      </w:pPr>
      <w:bookmarkStart w:id="81" w:name="_Ref522800766"/>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18</w:t>
      </w:r>
      <w:r w:rsidR="009047A7">
        <w:rPr>
          <w:noProof/>
        </w:rPr>
        <w:fldChar w:fldCharType="end"/>
      </w:r>
      <w:bookmarkEnd w:id="81"/>
      <w:r w:rsidR="00552EAE" w:rsidRPr="00B627C0">
        <w:t>: Number of chronic conditions by Diabetes MedsCheck intervals between July 2012 and June 2014</w:t>
      </w:r>
    </w:p>
    <w:p w14:paraId="3300BB75" w14:textId="77777777" w:rsidR="00552EAE" w:rsidRDefault="00552EAE" w:rsidP="00552EAE">
      <w:pPr>
        <w:pStyle w:val="01BODYTEXT"/>
        <w:jc w:val="center"/>
      </w:pPr>
      <w:r>
        <w:rPr>
          <w:noProof/>
          <w:lang w:eastAsia="en-AU"/>
        </w:rPr>
        <w:drawing>
          <wp:inline distT="0" distB="0" distL="0" distR="0" wp14:anchorId="26C0753D" wp14:editId="46AA26E3">
            <wp:extent cx="3492000" cy="2264813"/>
            <wp:effectExtent l="0" t="0" r="0" b="2540"/>
            <wp:docPr id="29" name="Picture 29" descr="Figure 7.18 This figure shows the number of chronic conditions by Diabetes MedsCheck interval between July 2012 and June 2014." title="Figure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492000" cy="2264813"/>
                    </a:xfrm>
                    <a:prstGeom prst="rect">
                      <a:avLst/>
                    </a:prstGeom>
                  </pic:spPr>
                </pic:pic>
              </a:graphicData>
            </a:graphic>
          </wp:inline>
        </w:drawing>
      </w:r>
    </w:p>
    <w:p w14:paraId="3E245936"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137F4110" w14:textId="6AFF710B" w:rsidR="00552EAE" w:rsidRPr="000F48FC" w:rsidRDefault="0009681A" w:rsidP="00552EAE">
      <w:pPr>
        <w:pStyle w:val="BodyText"/>
      </w:pPr>
      <w:r>
        <w:fldChar w:fldCharType="begin"/>
      </w:r>
      <w:r>
        <w:instrText xml:space="preserve"> REF _Ref522801091 \h </w:instrText>
      </w:r>
      <w:r>
        <w:fldChar w:fldCharType="separate"/>
      </w:r>
      <w:r w:rsidR="009047A7">
        <w:t xml:space="preserve">Figure </w:t>
      </w:r>
      <w:r w:rsidR="009047A7">
        <w:rPr>
          <w:noProof/>
        </w:rPr>
        <w:t>7</w:t>
      </w:r>
      <w:r w:rsidR="009047A7">
        <w:t>.</w:t>
      </w:r>
      <w:r w:rsidR="009047A7">
        <w:rPr>
          <w:noProof/>
        </w:rPr>
        <w:t>19</w:t>
      </w:r>
      <w:r>
        <w:fldChar w:fldCharType="end"/>
      </w:r>
      <w:r w:rsidR="006335D1">
        <w:t xml:space="preserve"> </w:t>
      </w:r>
      <w:r w:rsidR="00552EAE" w:rsidRPr="009948F2">
        <w:t xml:space="preserve">profiles patients according </w:t>
      </w:r>
      <w:r w:rsidR="00552EAE" w:rsidRPr="00F04C98">
        <w:t>to how many</w:t>
      </w:r>
      <w:r w:rsidR="00552EAE">
        <w:t xml:space="preserve"> chronic conditions the patient has and the frequency of</w:t>
      </w:r>
      <w:r w:rsidR="00552EAE" w:rsidRPr="00F04C98">
        <w:t xml:space="preserve"> </w:t>
      </w:r>
      <w:r w:rsidR="00552EAE">
        <w:t>the Diabetes</w:t>
      </w:r>
      <w:r w:rsidR="00552EAE" w:rsidRPr="00F04C98">
        <w:t xml:space="preserve"> MedsCheck services they have received over </w:t>
      </w:r>
      <w:r w:rsidR="00F310A1">
        <w:t>eight</w:t>
      </w:r>
      <w:r w:rsidR="00552EAE" w:rsidRPr="00F04C98">
        <w:t xml:space="preserve"> continuous quarters</w:t>
      </w:r>
      <w:r w:rsidR="00552EAE" w:rsidRPr="009948F2">
        <w:t xml:space="preserve"> </w:t>
      </w:r>
      <w:r w:rsidR="00552EAE">
        <w:t>post-</w:t>
      </w:r>
      <w:r w:rsidR="00552EAE" w:rsidRPr="009948F2">
        <w:t>cap (i.e. a date of service between July 201</w:t>
      </w:r>
      <w:r w:rsidR="00552EAE">
        <w:t>4</w:t>
      </w:r>
      <w:r w:rsidR="00552EAE" w:rsidRPr="009948F2">
        <w:t xml:space="preserve"> and </w:t>
      </w:r>
      <w:r w:rsidR="00552EAE">
        <w:t>June</w:t>
      </w:r>
      <w:r w:rsidR="00552EAE" w:rsidRPr="009948F2">
        <w:t xml:space="preserve"> 201</w:t>
      </w:r>
      <w:r w:rsidR="00552EAE">
        <w:t>6</w:t>
      </w:r>
      <w:r w:rsidR="00552EAE" w:rsidRPr="009948F2">
        <w:t>).</w:t>
      </w:r>
      <w:r w:rsidR="00552EAE">
        <w:t xml:space="preserve">  The </w:t>
      </w:r>
      <w:r w:rsidR="00552EAE" w:rsidRPr="00F04C98">
        <w:t>majority (8</w:t>
      </w:r>
      <w:r w:rsidR="00552EAE">
        <w:t>5</w:t>
      </w:r>
      <w:r w:rsidR="00552EAE" w:rsidRPr="00F04C98">
        <w:t>%) of patients received</w:t>
      </w:r>
      <w:r w:rsidR="00552EAE">
        <w:t xml:space="preserve"> their follow-up Diabetes</w:t>
      </w:r>
      <w:r w:rsidR="00552EAE" w:rsidRPr="00F04C98">
        <w:t xml:space="preserve"> </w:t>
      </w:r>
      <w:r w:rsidR="00552EAE">
        <w:t>MedsChecks within 12-18 months of their previous Diabetes</w:t>
      </w:r>
      <w:r w:rsidR="00552EAE" w:rsidRPr="00F04C98">
        <w:t xml:space="preserve"> </w:t>
      </w:r>
      <w:r w:rsidR="00552EAE">
        <w:t xml:space="preserve">MedsCheck (already discussed in </w:t>
      </w:r>
      <w:r w:rsidR="00476D4D">
        <w:t>S</w:t>
      </w:r>
      <w:r w:rsidR="00F310A1">
        <w:t xml:space="preserve">ection </w:t>
      </w:r>
      <w:r w:rsidR="00552EAE">
        <w:t xml:space="preserve">7.13).  The data </w:t>
      </w:r>
      <w:r w:rsidR="00F310A1">
        <w:t xml:space="preserve">also </w:t>
      </w:r>
      <w:r w:rsidR="00552EAE">
        <w:t>show that 85% of p</w:t>
      </w:r>
      <w:r w:rsidR="00552EAE" w:rsidRPr="007E7B08">
        <w:t xml:space="preserve">atients who had two or more </w:t>
      </w:r>
      <w:r w:rsidR="00552EAE">
        <w:t>Diabetes</w:t>
      </w:r>
      <w:r w:rsidR="00552EAE" w:rsidRPr="00F04C98">
        <w:t xml:space="preserve"> </w:t>
      </w:r>
      <w:r w:rsidR="00552EAE" w:rsidRPr="007E7B08">
        <w:t>MedsChecks</w:t>
      </w:r>
      <w:r w:rsidR="00552EAE">
        <w:t xml:space="preserve"> have three or more chronic conditions, an increase </w:t>
      </w:r>
      <w:r w:rsidR="00552EAE" w:rsidRPr="001B0C96">
        <w:t xml:space="preserve">of </w:t>
      </w:r>
      <w:r w:rsidR="00552EAE">
        <w:t>13</w:t>
      </w:r>
      <w:r w:rsidR="00552EAE" w:rsidRPr="001B0C96">
        <w:t>% on</w:t>
      </w:r>
      <w:r w:rsidR="00552EAE">
        <w:t xml:space="preserve"> the pre-cap period.  This aligns better with the intuitive notion that patients with higher complexity resulting from an increased number of chronic conditions are more likely to </w:t>
      </w:r>
      <w:r w:rsidR="003F79EB">
        <w:t xml:space="preserve">receive </w:t>
      </w:r>
      <w:r w:rsidR="00F310A1">
        <w:t xml:space="preserve">a </w:t>
      </w:r>
      <w:r w:rsidR="00552EAE">
        <w:t>Diabetes</w:t>
      </w:r>
      <w:r w:rsidR="00552EAE" w:rsidRPr="00F04C98">
        <w:t xml:space="preserve"> </w:t>
      </w:r>
      <w:r w:rsidR="00552EAE">
        <w:t>MedsCheck review</w:t>
      </w:r>
      <w:r w:rsidR="00F310A1">
        <w:t xml:space="preserve"> by the pharmacist</w:t>
      </w:r>
      <w:r w:rsidR="00552EAE">
        <w:t>.</w:t>
      </w:r>
    </w:p>
    <w:p w14:paraId="13EFD17D" w14:textId="0CAE878F" w:rsidR="00552EAE" w:rsidRDefault="0009681A" w:rsidP="0009681A">
      <w:pPr>
        <w:pStyle w:val="Caption"/>
      </w:pPr>
      <w:bookmarkStart w:id="82" w:name="_Ref522801091"/>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19</w:t>
      </w:r>
      <w:r w:rsidR="009047A7">
        <w:rPr>
          <w:noProof/>
        </w:rPr>
        <w:fldChar w:fldCharType="end"/>
      </w:r>
      <w:bookmarkEnd w:id="82"/>
      <w:r w:rsidR="00552EAE" w:rsidRPr="00B627C0">
        <w:t>: Number of chronic conditions by Diabetes MedsCheck intervals between July 2014 and June 2016</w:t>
      </w:r>
    </w:p>
    <w:p w14:paraId="7244779B" w14:textId="77777777" w:rsidR="00552EAE" w:rsidRDefault="00552EAE" w:rsidP="00552EAE">
      <w:pPr>
        <w:pStyle w:val="01BODYTEXT"/>
        <w:jc w:val="center"/>
      </w:pPr>
      <w:r>
        <w:rPr>
          <w:noProof/>
          <w:lang w:eastAsia="en-AU"/>
        </w:rPr>
        <w:drawing>
          <wp:inline distT="0" distB="0" distL="0" distR="0" wp14:anchorId="0104D9AA" wp14:editId="4CD062B4">
            <wp:extent cx="3352800" cy="2209800"/>
            <wp:effectExtent l="0" t="0" r="0" b="0"/>
            <wp:docPr id="30" name="Picture 30" descr="Figure 7.19 This figure shows the number of chronic conditions by Diabetes MedsCheck interval between July 2014 and June 2016." title="Figure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352800" cy="2209800"/>
                    </a:xfrm>
                    <a:prstGeom prst="rect">
                      <a:avLst/>
                    </a:prstGeom>
                  </pic:spPr>
                </pic:pic>
              </a:graphicData>
            </a:graphic>
          </wp:inline>
        </w:drawing>
      </w:r>
    </w:p>
    <w:p w14:paraId="47AD7549"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647954A6" w14:textId="53524ACC" w:rsidR="00552EAE" w:rsidRDefault="00552EAE" w:rsidP="00552EAE">
      <w:pPr>
        <w:pStyle w:val="Heading2"/>
        <w:numPr>
          <w:ilvl w:val="1"/>
          <w:numId w:val="37"/>
        </w:numPr>
      </w:pPr>
      <w:r>
        <w:t xml:space="preserve">Adherence to </w:t>
      </w:r>
      <w:r w:rsidR="00F310A1">
        <w:t xml:space="preserve">Diabetes MedsChecks </w:t>
      </w:r>
      <w:r>
        <w:t xml:space="preserve">program claiming </w:t>
      </w:r>
      <w:r w:rsidR="00F310A1">
        <w:tab/>
      </w:r>
      <w:r>
        <w:t>guidelines by number of prescription medicines</w:t>
      </w:r>
    </w:p>
    <w:p w14:paraId="1DB14A0F" w14:textId="08FCB7CB" w:rsidR="00552EAE" w:rsidRPr="009948F2" w:rsidRDefault="006811D4" w:rsidP="00552EAE">
      <w:pPr>
        <w:pStyle w:val="BodyText"/>
      </w:pPr>
      <w:r>
        <w:t xml:space="preserve">One of the patient eligibility criteria for Diabetes MedsCheck is that they must be taking five or more prescription medicines. </w:t>
      </w:r>
      <w:r w:rsidRPr="009948F2">
        <w:t xml:space="preserve"> </w:t>
      </w:r>
      <w:r w:rsidR="0009681A">
        <w:fldChar w:fldCharType="begin"/>
      </w:r>
      <w:r w:rsidR="0009681A">
        <w:instrText xml:space="preserve"> REF _Ref522801156 \h </w:instrText>
      </w:r>
      <w:r w:rsidR="0009681A">
        <w:fldChar w:fldCharType="separate"/>
      </w:r>
      <w:r w:rsidR="009047A7">
        <w:t xml:space="preserve">Figure </w:t>
      </w:r>
      <w:r w:rsidR="009047A7">
        <w:rPr>
          <w:noProof/>
        </w:rPr>
        <w:t>7</w:t>
      </w:r>
      <w:r w:rsidR="009047A7">
        <w:t>.</w:t>
      </w:r>
      <w:r w:rsidR="009047A7">
        <w:rPr>
          <w:noProof/>
        </w:rPr>
        <w:t>20</w:t>
      </w:r>
      <w:r w:rsidR="0009681A">
        <w:fldChar w:fldCharType="end"/>
      </w:r>
      <w:r w:rsidR="006335D1">
        <w:t xml:space="preserve"> </w:t>
      </w:r>
      <w:r w:rsidR="00552EAE" w:rsidRPr="00F04C98">
        <w:t>profiles patients according to how many</w:t>
      </w:r>
      <w:r w:rsidR="00552EAE">
        <w:t xml:space="preserve"> prescription medicines the patient is taking and the frequency of</w:t>
      </w:r>
      <w:r w:rsidR="00552EAE" w:rsidRPr="00F04C98">
        <w:t xml:space="preserve"> </w:t>
      </w:r>
      <w:r w:rsidR="00552EAE">
        <w:t>the Diabetes</w:t>
      </w:r>
      <w:r w:rsidR="00552EAE" w:rsidRPr="00F04C98">
        <w:t xml:space="preserve"> MedsCheck services they have received over </w:t>
      </w:r>
      <w:r w:rsidR="00F310A1">
        <w:t xml:space="preserve">eight </w:t>
      </w:r>
      <w:r w:rsidR="00552EAE" w:rsidRPr="00F04C98">
        <w:t>continuous q</w:t>
      </w:r>
      <w:r w:rsidR="00552EAE">
        <w:t>uarters pre-cap</w:t>
      </w:r>
      <w:r w:rsidR="00552EAE" w:rsidRPr="00F04C98">
        <w:t xml:space="preserve"> (i.e. a date of service between July 201</w:t>
      </w:r>
      <w:r w:rsidR="00552EAE">
        <w:t>2</w:t>
      </w:r>
      <w:r w:rsidR="00552EAE" w:rsidRPr="00F04C98">
        <w:t xml:space="preserve"> and </w:t>
      </w:r>
      <w:r w:rsidR="00552EAE">
        <w:t>June 2014</w:t>
      </w:r>
      <w:r w:rsidR="00552EAE" w:rsidRPr="00F04C98">
        <w:t xml:space="preserve">). </w:t>
      </w:r>
      <w:r w:rsidR="00F310A1">
        <w:t xml:space="preserve"> </w:t>
      </w:r>
      <w:r w:rsidR="00552EAE">
        <w:t xml:space="preserve">The </w:t>
      </w:r>
      <w:r w:rsidR="00552EAE" w:rsidRPr="00F04C98">
        <w:t>majority (</w:t>
      </w:r>
      <w:r w:rsidR="00552EAE">
        <w:t>61</w:t>
      </w:r>
      <w:r w:rsidR="00552EAE" w:rsidRPr="00F04C98">
        <w:t>%) of patients received</w:t>
      </w:r>
      <w:r w:rsidR="00552EAE">
        <w:t xml:space="preserve"> their follow-up Diabetes</w:t>
      </w:r>
      <w:r w:rsidR="00552EAE" w:rsidRPr="00F04C98">
        <w:t xml:space="preserve"> </w:t>
      </w:r>
      <w:r w:rsidR="00552EAE">
        <w:t>MedsChecks within six months of their previous Diabetes</w:t>
      </w:r>
      <w:r w:rsidR="00552EAE" w:rsidRPr="00F04C98">
        <w:t xml:space="preserve"> </w:t>
      </w:r>
      <w:r w:rsidR="00552EAE">
        <w:t xml:space="preserve">MedsCheck (already discussed in </w:t>
      </w:r>
      <w:r w:rsidR="00476D4D">
        <w:t>S</w:t>
      </w:r>
      <w:r w:rsidR="00F310A1">
        <w:t xml:space="preserve">ection </w:t>
      </w:r>
      <w:r w:rsidR="00552EAE">
        <w:t xml:space="preserve">7.13). </w:t>
      </w:r>
      <w:r w:rsidR="00F310A1">
        <w:t xml:space="preserve"> </w:t>
      </w:r>
      <w:r w:rsidR="00552EAE">
        <w:t xml:space="preserve">The data </w:t>
      </w:r>
      <w:r w:rsidR="00F310A1">
        <w:t xml:space="preserve">also </w:t>
      </w:r>
      <w:r w:rsidR="00552EAE">
        <w:t>show that 90% of p</w:t>
      </w:r>
      <w:r w:rsidR="00552EAE" w:rsidRPr="007E7B08">
        <w:t xml:space="preserve">atients who had two or more </w:t>
      </w:r>
      <w:r w:rsidR="00552EAE">
        <w:t>Diabetes</w:t>
      </w:r>
      <w:r w:rsidR="00552EAE" w:rsidRPr="00F04C98">
        <w:t xml:space="preserve"> </w:t>
      </w:r>
      <w:r w:rsidR="00552EAE" w:rsidRPr="007E7B08">
        <w:t>MedsChecks</w:t>
      </w:r>
      <w:r w:rsidR="00552EAE">
        <w:t xml:space="preserve"> are also taking five or more prescription medicines.</w:t>
      </w:r>
    </w:p>
    <w:p w14:paraId="3572EE8D" w14:textId="0BBDF3A4" w:rsidR="00552EAE" w:rsidRDefault="0009681A" w:rsidP="0009681A">
      <w:pPr>
        <w:pStyle w:val="Caption"/>
      </w:pPr>
      <w:bookmarkStart w:id="83" w:name="_Ref522801156"/>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20</w:t>
      </w:r>
      <w:r w:rsidR="009047A7">
        <w:rPr>
          <w:noProof/>
        </w:rPr>
        <w:fldChar w:fldCharType="end"/>
      </w:r>
      <w:bookmarkEnd w:id="83"/>
      <w:r w:rsidR="00552EAE" w:rsidRPr="00B627C0">
        <w:t>: Number of prescription medicines by Diabetes MedsCheck intervals between July 2012 and June 2014</w:t>
      </w:r>
    </w:p>
    <w:p w14:paraId="15366D8B" w14:textId="77777777" w:rsidR="00552EAE" w:rsidRDefault="00552EAE" w:rsidP="00552EAE">
      <w:pPr>
        <w:pStyle w:val="01BODYTEXT"/>
        <w:jc w:val="center"/>
      </w:pPr>
      <w:r>
        <w:rPr>
          <w:noProof/>
          <w:lang w:eastAsia="en-AU"/>
        </w:rPr>
        <w:drawing>
          <wp:inline distT="0" distB="0" distL="0" distR="0" wp14:anchorId="68FC1C9C" wp14:editId="238DDA53">
            <wp:extent cx="3362325" cy="2828925"/>
            <wp:effectExtent l="0" t="0" r="9525" b="9525"/>
            <wp:docPr id="33" name="Picture 33" descr="Figure 7.20 This figure shows the number of prescription medicines by Diabetes MedsCheck interval between July 2012 and June 2014." title="Fig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362325" cy="2828925"/>
                    </a:xfrm>
                    <a:prstGeom prst="rect">
                      <a:avLst/>
                    </a:prstGeom>
                  </pic:spPr>
                </pic:pic>
              </a:graphicData>
            </a:graphic>
          </wp:inline>
        </w:drawing>
      </w:r>
    </w:p>
    <w:p w14:paraId="64152A90" w14:textId="77777777" w:rsidR="00552EAE" w:rsidRPr="0046164A" w:rsidRDefault="00552EAE" w:rsidP="00552EAE">
      <w:pPr>
        <w:pStyle w:val="08Tablefootnotes"/>
        <w:rPr>
          <w:color w:val="000000" w:themeColor="text1"/>
        </w:rPr>
      </w:pPr>
      <w:r w:rsidRPr="0046164A">
        <w:rPr>
          <w:rFonts w:ascii="Garamond" w:hAnsi="Garamond"/>
        </w:rPr>
        <w:t xml:space="preserve">Source: DHS claims systems extracts for years 2011/12, 2012/13 and 2013/14, Pharmacy Guild claims systems extracts for years 2014/15 and 2015/16. </w:t>
      </w:r>
    </w:p>
    <w:p w14:paraId="1B0EB194" w14:textId="07CAF40E" w:rsidR="00552EAE" w:rsidRPr="00484EFB" w:rsidRDefault="0009681A" w:rsidP="00552EAE">
      <w:pPr>
        <w:pStyle w:val="BodyText"/>
      </w:pPr>
      <w:r>
        <w:fldChar w:fldCharType="begin"/>
      </w:r>
      <w:r>
        <w:instrText xml:space="preserve"> REF _Ref522801245 \h </w:instrText>
      </w:r>
      <w:r>
        <w:fldChar w:fldCharType="separate"/>
      </w:r>
      <w:r w:rsidR="009047A7">
        <w:t xml:space="preserve">Figure </w:t>
      </w:r>
      <w:r w:rsidR="009047A7">
        <w:rPr>
          <w:noProof/>
        </w:rPr>
        <w:t>7</w:t>
      </w:r>
      <w:r w:rsidR="009047A7">
        <w:t>.</w:t>
      </w:r>
      <w:r w:rsidR="009047A7">
        <w:rPr>
          <w:noProof/>
        </w:rPr>
        <w:t>21</w:t>
      </w:r>
      <w:r>
        <w:fldChar w:fldCharType="end"/>
      </w:r>
      <w:r w:rsidR="009758B9">
        <w:t xml:space="preserve"> </w:t>
      </w:r>
      <w:r w:rsidR="00552EAE" w:rsidRPr="00484EFB">
        <w:t xml:space="preserve">profiles patients </w:t>
      </w:r>
      <w:r w:rsidR="00552EAE" w:rsidRPr="00F04C98">
        <w:t>according to how many</w:t>
      </w:r>
      <w:r w:rsidR="00552EAE">
        <w:t xml:space="preserve"> prescription medicines the patient is taking and the frequency of</w:t>
      </w:r>
      <w:r w:rsidR="00552EAE" w:rsidRPr="00F04C98">
        <w:t xml:space="preserve"> </w:t>
      </w:r>
      <w:r w:rsidR="00552EAE">
        <w:t>the Diabetes</w:t>
      </w:r>
      <w:r w:rsidR="00552EAE" w:rsidRPr="00F04C98">
        <w:t xml:space="preserve"> MedsCheck services they have received over </w:t>
      </w:r>
      <w:r w:rsidR="004440AF">
        <w:t>eight</w:t>
      </w:r>
      <w:r w:rsidR="00552EAE" w:rsidRPr="00F04C98">
        <w:t xml:space="preserve"> continuous quarters </w:t>
      </w:r>
      <w:r w:rsidR="00552EAE">
        <w:t>post-</w:t>
      </w:r>
      <w:r w:rsidR="00552EAE" w:rsidRPr="00484EFB">
        <w:t xml:space="preserve">cap (i.e. a date of service between July 2011 and Dec 2013). </w:t>
      </w:r>
      <w:r w:rsidR="004440AF">
        <w:t xml:space="preserve"> </w:t>
      </w:r>
      <w:r w:rsidR="00552EAE">
        <w:t xml:space="preserve">The </w:t>
      </w:r>
      <w:r w:rsidR="00552EAE" w:rsidRPr="00F04C98">
        <w:t>majority (8</w:t>
      </w:r>
      <w:r w:rsidR="00552EAE">
        <w:t>5</w:t>
      </w:r>
      <w:r w:rsidR="00552EAE" w:rsidRPr="00F04C98">
        <w:t>%) of patients received</w:t>
      </w:r>
      <w:r w:rsidR="00552EAE">
        <w:t xml:space="preserve"> their follow-up Diabetes</w:t>
      </w:r>
      <w:r w:rsidR="00552EAE" w:rsidRPr="00F04C98">
        <w:t xml:space="preserve"> </w:t>
      </w:r>
      <w:r w:rsidR="00552EAE">
        <w:t>MedsChecks within 12-18 months of their previous Diabetes</w:t>
      </w:r>
      <w:r w:rsidR="00552EAE" w:rsidRPr="00F04C98">
        <w:t xml:space="preserve"> </w:t>
      </w:r>
      <w:r w:rsidR="00552EAE">
        <w:t xml:space="preserve">MedsCheck (already </w:t>
      </w:r>
      <w:r w:rsidR="00552EAE">
        <w:lastRenderedPageBreak/>
        <w:t xml:space="preserve">discussed in </w:t>
      </w:r>
      <w:r w:rsidR="00476D4D">
        <w:t>S</w:t>
      </w:r>
      <w:r w:rsidR="004440AF">
        <w:t xml:space="preserve">ection </w:t>
      </w:r>
      <w:r w:rsidR="00552EAE">
        <w:t xml:space="preserve">7.13).  The data </w:t>
      </w:r>
      <w:r w:rsidR="004440AF">
        <w:t xml:space="preserve">also </w:t>
      </w:r>
      <w:r w:rsidR="00552EAE">
        <w:t>show that 94% of p</w:t>
      </w:r>
      <w:r w:rsidR="00552EAE" w:rsidRPr="007E7B08">
        <w:t xml:space="preserve">atients who had two or more </w:t>
      </w:r>
      <w:r w:rsidR="00552EAE">
        <w:t>Diabetes</w:t>
      </w:r>
      <w:r w:rsidR="00552EAE" w:rsidRPr="00F04C98">
        <w:t xml:space="preserve"> </w:t>
      </w:r>
      <w:r w:rsidR="00552EAE" w:rsidRPr="007E7B08">
        <w:t>MedsChecks</w:t>
      </w:r>
      <w:r w:rsidR="00552EAE">
        <w:t xml:space="preserve"> are also taking five or more prescription medicines, an increase of 4% on the pre-cap period.  </w:t>
      </w:r>
    </w:p>
    <w:p w14:paraId="1DBF3763" w14:textId="37BE17E4" w:rsidR="00552EAE" w:rsidRDefault="0009681A" w:rsidP="0009681A">
      <w:pPr>
        <w:pStyle w:val="Caption"/>
      </w:pPr>
      <w:bookmarkStart w:id="84" w:name="_Ref522801245"/>
      <w:r>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21</w:t>
      </w:r>
      <w:r w:rsidR="009047A7">
        <w:rPr>
          <w:noProof/>
        </w:rPr>
        <w:fldChar w:fldCharType="end"/>
      </w:r>
      <w:bookmarkEnd w:id="84"/>
      <w:r w:rsidR="00552EAE" w:rsidRPr="00B627C0">
        <w:t>: Number of prescription medicines by Diabetes MedsCheck intervals between July 2014 and June 2016</w:t>
      </w:r>
    </w:p>
    <w:p w14:paraId="4BBC826B" w14:textId="77777777" w:rsidR="00552EAE" w:rsidRDefault="00552EAE" w:rsidP="00552EAE">
      <w:pPr>
        <w:pStyle w:val="01BODYTEXT"/>
        <w:jc w:val="center"/>
      </w:pPr>
      <w:r>
        <w:rPr>
          <w:noProof/>
          <w:lang w:eastAsia="en-AU"/>
        </w:rPr>
        <w:drawing>
          <wp:inline distT="0" distB="0" distL="0" distR="0" wp14:anchorId="4B9604F3" wp14:editId="0C70CD82">
            <wp:extent cx="3362325" cy="2867025"/>
            <wp:effectExtent l="0" t="0" r="9525" b="9525"/>
            <wp:docPr id="34" name="Picture 34" descr="Figure 7.21 This figure shows the number of prescription medicines by Diabetes MedsCheck interval between July 2014 and June 2016." title="Fig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362325" cy="2867025"/>
                    </a:xfrm>
                    <a:prstGeom prst="rect">
                      <a:avLst/>
                    </a:prstGeom>
                  </pic:spPr>
                </pic:pic>
              </a:graphicData>
            </a:graphic>
          </wp:inline>
        </w:drawing>
      </w:r>
    </w:p>
    <w:p w14:paraId="3FEA7527" w14:textId="77777777" w:rsidR="007715BC" w:rsidRDefault="00552EAE" w:rsidP="007715BC">
      <w:pPr>
        <w:pStyle w:val="08Tablefootnotes"/>
        <w:rPr>
          <w:rFonts w:ascii="Garamond" w:hAnsi="Garamond"/>
        </w:rPr>
      </w:pPr>
      <w:r w:rsidRPr="0046164A">
        <w:rPr>
          <w:rFonts w:ascii="Garamond" w:hAnsi="Garamond"/>
        </w:rPr>
        <w:t>Source: DHS claims systems extracts for years 2011/12, 2012/13 and 2013/14, Pharmacy Guild claims systems extracts</w:t>
      </w:r>
      <w:r>
        <w:rPr>
          <w:rFonts w:ascii="Garamond" w:hAnsi="Garamond"/>
        </w:rPr>
        <w:t xml:space="preserve"> for years 2014/15 and 2015/16</w:t>
      </w:r>
    </w:p>
    <w:p w14:paraId="346AA455" w14:textId="209D3974" w:rsidR="00552EAE" w:rsidRDefault="004440AF" w:rsidP="007715BC">
      <w:pPr>
        <w:pStyle w:val="Heading2"/>
      </w:pPr>
      <w:r>
        <w:t xml:space="preserve">Diabetes MedsCheck </w:t>
      </w:r>
      <w:r w:rsidR="00552EAE">
        <w:t xml:space="preserve">Claims </w:t>
      </w:r>
      <w:r>
        <w:t xml:space="preserve">by </w:t>
      </w:r>
      <w:r w:rsidR="00552EAE">
        <w:t>pharmacy participation</w:t>
      </w:r>
    </w:p>
    <w:p w14:paraId="7A2F2EFC" w14:textId="3BB39C5E" w:rsidR="00552EAE" w:rsidRDefault="0009681A" w:rsidP="00552EAE">
      <w:pPr>
        <w:pStyle w:val="BodyText"/>
      </w:pPr>
      <w:r>
        <w:fldChar w:fldCharType="begin"/>
      </w:r>
      <w:r>
        <w:instrText xml:space="preserve"> REF _Ref522801335 \h </w:instrText>
      </w:r>
      <w:r>
        <w:fldChar w:fldCharType="separate"/>
      </w:r>
      <w:r w:rsidR="009047A7">
        <w:t xml:space="preserve">Table </w:t>
      </w:r>
      <w:r w:rsidR="009047A7">
        <w:rPr>
          <w:noProof/>
        </w:rPr>
        <w:t>7</w:t>
      </w:r>
      <w:r w:rsidR="009047A7">
        <w:t>.</w:t>
      </w:r>
      <w:r w:rsidR="009047A7">
        <w:rPr>
          <w:noProof/>
        </w:rPr>
        <w:t>3</w:t>
      </w:r>
      <w:r>
        <w:fldChar w:fldCharType="end"/>
      </w:r>
      <w:r w:rsidR="009758B9">
        <w:t xml:space="preserve"> </w:t>
      </w:r>
      <w:r w:rsidR="00552EAE" w:rsidRPr="000F48FC">
        <w:t xml:space="preserve">summarises the </w:t>
      </w:r>
      <w:r w:rsidR="00552EAE">
        <w:t>key utilisation metrics with regard to patient, provider and Diabetes MedsCheck service volumes and average payments per claim for each half financial year.</w:t>
      </w:r>
    </w:p>
    <w:p w14:paraId="7F2A7F24" w14:textId="435ACDD6" w:rsidR="00552EAE" w:rsidRDefault="0009681A" w:rsidP="0009681A">
      <w:pPr>
        <w:pStyle w:val="Caption"/>
      </w:pPr>
      <w:bookmarkStart w:id="85" w:name="_Ref522801335"/>
      <w:r>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3</w:t>
      </w:r>
      <w:r w:rsidR="009047A7">
        <w:rPr>
          <w:noProof/>
        </w:rPr>
        <w:fldChar w:fldCharType="end"/>
      </w:r>
      <w:bookmarkEnd w:id="85"/>
      <w:r w:rsidR="00552EAE" w:rsidRPr="003F79EB">
        <w:t>: Key utilisation metrics July 2011 to June 2016</w:t>
      </w:r>
    </w:p>
    <w:tbl>
      <w:tblPr>
        <w:tblW w:w="9752" w:type="dxa"/>
        <w:tblCellMar>
          <w:left w:w="57" w:type="dxa"/>
          <w:right w:w="57" w:type="dxa"/>
        </w:tblCellMar>
        <w:tblLook w:val="04A0" w:firstRow="1" w:lastRow="0" w:firstColumn="1" w:lastColumn="0" w:noHBand="0" w:noVBand="1"/>
        <w:tblCaption w:val="Table 7.3"/>
        <w:tblDescription w:val="Key utilisation metrics July 2011 to June 2016"/>
      </w:tblPr>
      <w:tblGrid>
        <w:gridCol w:w="989"/>
        <w:gridCol w:w="1587"/>
        <w:gridCol w:w="1794"/>
        <w:gridCol w:w="1794"/>
        <w:gridCol w:w="1794"/>
        <w:gridCol w:w="1794"/>
      </w:tblGrid>
      <w:tr w:rsidR="00552EAE" w:rsidRPr="004440AF" w14:paraId="63E20FAE" w14:textId="77777777" w:rsidTr="004440AF">
        <w:trPr>
          <w:trHeight w:val="142"/>
        </w:trPr>
        <w:tc>
          <w:tcPr>
            <w:tcW w:w="989" w:type="dxa"/>
            <w:tcBorders>
              <w:top w:val="single" w:sz="8" w:space="0" w:color="auto"/>
              <w:left w:val="single" w:sz="8" w:space="0" w:color="auto"/>
              <w:bottom w:val="single" w:sz="8" w:space="0" w:color="auto"/>
              <w:right w:val="single" w:sz="8" w:space="0" w:color="auto"/>
            </w:tcBorders>
            <w:shd w:val="clear" w:color="000000" w:fill="632423"/>
            <w:vAlign w:val="center"/>
            <w:hideMark/>
          </w:tcPr>
          <w:p w14:paraId="1C5C8330"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Year</w:t>
            </w:r>
          </w:p>
        </w:tc>
        <w:tc>
          <w:tcPr>
            <w:tcW w:w="1587" w:type="dxa"/>
            <w:tcBorders>
              <w:top w:val="single" w:sz="8" w:space="0" w:color="auto"/>
              <w:left w:val="nil"/>
              <w:bottom w:val="single" w:sz="8" w:space="0" w:color="auto"/>
              <w:right w:val="single" w:sz="8" w:space="0" w:color="auto"/>
            </w:tcBorders>
            <w:shd w:val="clear" w:color="000000" w:fill="632423"/>
            <w:vAlign w:val="center"/>
            <w:hideMark/>
          </w:tcPr>
          <w:p w14:paraId="24218CB3"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Half</w:t>
            </w:r>
          </w:p>
        </w:tc>
        <w:tc>
          <w:tcPr>
            <w:tcW w:w="1794" w:type="dxa"/>
            <w:tcBorders>
              <w:top w:val="single" w:sz="8" w:space="0" w:color="auto"/>
              <w:left w:val="nil"/>
              <w:bottom w:val="single" w:sz="8" w:space="0" w:color="auto"/>
              <w:right w:val="single" w:sz="8" w:space="0" w:color="auto"/>
            </w:tcBorders>
            <w:shd w:val="clear" w:color="000000" w:fill="632423"/>
            <w:vAlign w:val="center"/>
            <w:hideMark/>
          </w:tcPr>
          <w:p w14:paraId="361F74B6"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Average payment per claim</w:t>
            </w:r>
          </w:p>
        </w:tc>
        <w:tc>
          <w:tcPr>
            <w:tcW w:w="1794" w:type="dxa"/>
            <w:tcBorders>
              <w:top w:val="single" w:sz="8" w:space="0" w:color="auto"/>
              <w:left w:val="nil"/>
              <w:bottom w:val="single" w:sz="8" w:space="0" w:color="auto"/>
              <w:right w:val="single" w:sz="8" w:space="0" w:color="auto"/>
            </w:tcBorders>
            <w:shd w:val="clear" w:color="000000" w:fill="632423"/>
            <w:vAlign w:val="center"/>
            <w:hideMark/>
          </w:tcPr>
          <w:p w14:paraId="6FCD411B"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Patient volumes</w:t>
            </w:r>
          </w:p>
        </w:tc>
        <w:tc>
          <w:tcPr>
            <w:tcW w:w="1794" w:type="dxa"/>
            <w:tcBorders>
              <w:top w:val="single" w:sz="8" w:space="0" w:color="auto"/>
              <w:left w:val="nil"/>
              <w:bottom w:val="single" w:sz="8" w:space="0" w:color="auto"/>
              <w:right w:val="single" w:sz="8" w:space="0" w:color="auto"/>
            </w:tcBorders>
            <w:shd w:val="clear" w:color="000000" w:fill="632423"/>
            <w:vAlign w:val="center"/>
            <w:hideMark/>
          </w:tcPr>
          <w:p w14:paraId="3047A497"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Claims volume</w:t>
            </w:r>
          </w:p>
        </w:tc>
        <w:tc>
          <w:tcPr>
            <w:tcW w:w="1794" w:type="dxa"/>
            <w:tcBorders>
              <w:top w:val="single" w:sz="8" w:space="0" w:color="auto"/>
              <w:left w:val="nil"/>
              <w:bottom w:val="single" w:sz="8" w:space="0" w:color="auto"/>
              <w:right w:val="single" w:sz="8" w:space="0" w:color="auto"/>
            </w:tcBorders>
            <w:shd w:val="clear" w:color="000000" w:fill="632423"/>
            <w:vAlign w:val="center"/>
            <w:hideMark/>
          </w:tcPr>
          <w:p w14:paraId="47821164"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Provider volume</w:t>
            </w:r>
          </w:p>
        </w:tc>
      </w:tr>
      <w:tr w:rsidR="004440AF" w:rsidRPr="004440AF" w14:paraId="3A3162F6" w14:textId="77777777" w:rsidTr="004440AF">
        <w:trPr>
          <w:trHeight w:val="142"/>
        </w:trPr>
        <w:tc>
          <w:tcPr>
            <w:tcW w:w="98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28064B1" w14:textId="77777777" w:rsidR="004440AF" w:rsidRPr="004440AF" w:rsidRDefault="004440AF" w:rsidP="004440AF">
            <w:pPr>
              <w:spacing w:after="0"/>
              <w:jc w:val="center"/>
              <w:rPr>
                <w:rFonts w:ascii="Garamond" w:eastAsia="Times New Roman" w:hAnsi="Garamond" w:cs="Tahoma"/>
                <w:color w:val="333333"/>
                <w:sz w:val="20"/>
                <w:szCs w:val="20"/>
                <w:lang w:eastAsia="en-AU"/>
              </w:rPr>
            </w:pPr>
            <w:r w:rsidRPr="004440AF">
              <w:rPr>
                <w:rFonts w:ascii="Garamond" w:eastAsia="Times New Roman" w:hAnsi="Garamond" w:cs="Tahoma"/>
                <w:color w:val="333333"/>
                <w:sz w:val="20"/>
                <w:szCs w:val="20"/>
                <w:lang w:eastAsia="en-AU"/>
              </w:rPr>
              <w:t>2012-2013</w:t>
            </w:r>
          </w:p>
        </w:tc>
        <w:tc>
          <w:tcPr>
            <w:tcW w:w="1587" w:type="dxa"/>
            <w:tcBorders>
              <w:top w:val="nil"/>
              <w:left w:val="nil"/>
              <w:bottom w:val="single" w:sz="8" w:space="0" w:color="000000"/>
              <w:right w:val="single" w:sz="8" w:space="0" w:color="auto"/>
            </w:tcBorders>
            <w:shd w:val="clear" w:color="000000" w:fill="FFFFFF"/>
            <w:vAlign w:val="center"/>
            <w:hideMark/>
          </w:tcPr>
          <w:p w14:paraId="42A3DC60" w14:textId="01928A85" w:rsidR="004440AF" w:rsidRPr="004440AF" w:rsidRDefault="004440AF" w:rsidP="004440AF">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H1</w:t>
            </w:r>
          </w:p>
        </w:tc>
        <w:tc>
          <w:tcPr>
            <w:tcW w:w="1794" w:type="dxa"/>
            <w:tcBorders>
              <w:top w:val="nil"/>
              <w:left w:val="nil"/>
              <w:bottom w:val="single" w:sz="8" w:space="0" w:color="000000"/>
              <w:right w:val="single" w:sz="8" w:space="0" w:color="000000"/>
            </w:tcBorders>
            <w:shd w:val="clear" w:color="000000" w:fill="FFFFFF"/>
            <w:vAlign w:val="center"/>
            <w:hideMark/>
          </w:tcPr>
          <w:p w14:paraId="234A354E"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$64</w:t>
            </w:r>
          </w:p>
        </w:tc>
        <w:tc>
          <w:tcPr>
            <w:tcW w:w="1794" w:type="dxa"/>
            <w:tcBorders>
              <w:top w:val="nil"/>
              <w:left w:val="nil"/>
              <w:bottom w:val="single" w:sz="8" w:space="0" w:color="000000"/>
              <w:right w:val="single" w:sz="8" w:space="0" w:color="000000"/>
            </w:tcBorders>
            <w:shd w:val="clear" w:color="000000" w:fill="FFFFFF"/>
            <w:vAlign w:val="center"/>
            <w:hideMark/>
          </w:tcPr>
          <w:p w14:paraId="70EBB06C"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5,559</w:t>
            </w:r>
          </w:p>
        </w:tc>
        <w:tc>
          <w:tcPr>
            <w:tcW w:w="1794" w:type="dxa"/>
            <w:tcBorders>
              <w:top w:val="nil"/>
              <w:left w:val="nil"/>
              <w:bottom w:val="single" w:sz="8" w:space="0" w:color="000000"/>
              <w:right w:val="single" w:sz="8" w:space="0" w:color="000000"/>
            </w:tcBorders>
            <w:shd w:val="clear" w:color="000000" w:fill="FFFFFF"/>
            <w:vAlign w:val="center"/>
            <w:hideMark/>
          </w:tcPr>
          <w:p w14:paraId="1CDC1D31"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5,995</w:t>
            </w:r>
          </w:p>
        </w:tc>
        <w:tc>
          <w:tcPr>
            <w:tcW w:w="1794" w:type="dxa"/>
            <w:tcBorders>
              <w:top w:val="nil"/>
              <w:left w:val="nil"/>
              <w:bottom w:val="single" w:sz="8" w:space="0" w:color="000000"/>
              <w:right w:val="single" w:sz="8" w:space="0" w:color="000000"/>
            </w:tcBorders>
            <w:shd w:val="clear" w:color="000000" w:fill="FFFFFF"/>
            <w:vAlign w:val="center"/>
            <w:hideMark/>
          </w:tcPr>
          <w:p w14:paraId="4358A150"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740</w:t>
            </w:r>
          </w:p>
        </w:tc>
      </w:tr>
      <w:tr w:rsidR="004440AF" w:rsidRPr="004440AF" w14:paraId="3AAF1E0D" w14:textId="77777777" w:rsidTr="004440AF">
        <w:trPr>
          <w:trHeight w:val="142"/>
        </w:trPr>
        <w:tc>
          <w:tcPr>
            <w:tcW w:w="989" w:type="dxa"/>
            <w:vMerge/>
            <w:tcBorders>
              <w:top w:val="nil"/>
              <w:left w:val="single" w:sz="8" w:space="0" w:color="auto"/>
              <w:bottom w:val="single" w:sz="8" w:space="0" w:color="000000"/>
              <w:right w:val="single" w:sz="8" w:space="0" w:color="auto"/>
            </w:tcBorders>
            <w:vAlign w:val="center"/>
            <w:hideMark/>
          </w:tcPr>
          <w:p w14:paraId="13AE5C99" w14:textId="77777777" w:rsidR="004440AF" w:rsidRPr="004440AF" w:rsidRDefault="004440AF" w:rsidP="004440AF">
            <w:pPr>
              <w:spacing w:after="0"/>
              <w:rPr>
                <w:rFonts w:ascii="Garamond" w:eastAsia="Times New Roman" w:hAnsi="Garamond" w:cs="Tahoma"/>
                <w:color w:val="333333"/>
                <w:sz w:val="20"/>
                <w:szCs w:val="20"/>
                <w:lang w:eastAsia="en-AU"/>
              </w:rPr>
            </w:pPr>
          </w:p>
        </w:tc>
        <w:tc>
          <w:tcPr>
            <w:tcW w:w="1587" w:type="dxa"/>
            <w:tcBorders>
              <w:top w:val="nil"/>
              <w:left w:val="nil"/>
              <w:bottom w:val="single" w:sz="8" w:space="0" w:color="000000"/>
              <w:right w:val="single" w:sz="8" w:space="0" w:color="auto"/>
            </w:tcBorders>
            <w:shd w:val="clear" w:color="auto" w:fill="F2DBDB" w:themeFill="accent2" w:themeFillTint="33"/>
            <w:vAlign w:val="center"/>
            <w:hideMark/>
          </w:tcPr>
          <w:p w14:paraId="23231C45" w14:textId="6DD8B6FA" w:rsidR="004440AF" w:rsidRPr="004440AF" w:rsidRDefault="004440AF" w:rsidP="004440AF">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H2</w:t>
            </w:r>
          </w:p>
        </w:tc>
        <w:tc>
          <w:tcPr>
            <w:tcW w:w="1794" w:type="dxa"/>
            <w:tcBorders>
              <w:top w:val="nil"/>
              <w:left w:val="nil"/>
              <w:bottom w:val="single" w:sz="8" w:space="0" w:color="000000"/>
              <w:right w:val="single" w:sz="8" w:space="0" w:color="000000"/>
            </w:tcBorders>
            <w:shd w:val="clear" w:color="000000" w:fill="F2DBDB"/>
            <w:vAlign w:val="center"/>
            <w:hideMark/>
          </w:tcPr>
          <w:p w14:paraId="15004FDF"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$66</w:t>
            </w:r>
          </w:p>
        </w:tc>
        <w:tc>
          <w:tcPr>
            <w:tcW w:w="1794" w:type="dxa"/>
            <w:tcBorders>
              <w:top w:val="nil"/>
              <w:left w:val="nil"/>
              <w:bottom w:val="single" w:sz="8" w:space="0" w:color="000000"/>
              <w:right w:val="single" w:sz="8" w:space="0" w:color="000000"/>
            </w:tcBorders>
            <w:shd w:val="clear" w:color="000000" w:fill="F2DBDB"/>
            <w:vAlign w:val="center"/>
            <w:hideMark/>
          </w:tcPr>
          <w:p w14:paraId="4804D875"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9,297</w:t>
            </w:r>
          </w:p>
        </w:tc>
        <w:tc>
          <w:tcPr>
            <w:tcW w:w="1794" w:type="dxa"/>
            <w:tcBorders>
              <w:top w:val="nil"/>
              <w:left w:val="nil"/>
              <w:bottom w:val="single" w:sz="8" w:space="0" w:color="000000"/>
              <w:right w:val="single" w:sz="8" w:space="0" w:color="000000"/>
            </w:tcBorders>
            <w:shd w:val="clear" w:color="000000" w:fill="F2DBDB"/>
            <w:vAlign w:val="center"/>
            <w:hideMark/>
          </w:tcPr>
          <w:p w14:paraId="7CF0CE0D"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9,715</w:t>
            </w:r>
          </w:p>
        </w:tc>
        <w:tc>
          <w:tcPr>
            <w:tcW w:w="1794" w:type="dxa"/>
            <w:tcBorders>
              <w:top w:val="nil"/>
              <w:left w:val="nil"/>
              <w:bottom w:val="single" w:sz="8" w:space="0" w:color="000000"/>
              <w:right w:val="single" w:sz="8" w:space="0" w:color="000000"/>
            </w:tcBorders>
            <w:shd w:val="clear" w:color="000000" w:fill="F2DBDB"/>
            <w:vAlign w:val="center"/>
            <w:hideMark/>
          </w:tcPr>
          <w:p w14:paraId="3D1DC8DA"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1,041</w:t>
            </w:r>
          </w:p>
        </w:tc>
      </w:tr>
      <w:tr w:rsidR="00552EAE" w:rsidRPr="004440AF" w14:paraId="111664E5" w14:textId="77777777" w:rsidTr="004440AF">
        <w:trPr>
          <w:trHeight w:val="142"/>
        </w:trPr>
        <w:tc>
          <w:tcPr>
            <w:tcW w:w="989" w:type="dxa"/>
            <w:vMerge/>
            <w:tcBorders>
              <w:top w:val="nil"/>
              <w:left w:val="single" w:sz="8" w:space="0" w:color="auto"/>
              <w:bottom w:val="single" w:sz="8" w:space="0" w:color="000000"/>
              <w:right w:val="single" w:sz="8" w:space="0" w:color="auto"/>
            </w:tcBorders>
            <w:vAlign w:val="center"/>
            <w:hideMark/>
          </w:tcPr>
          <w:p w14:paraId="6B209DCE" w14:textId="77777777" w:rsidR="00552EAE" w:rsidRPr="004440AF" w:rsidRDefault="00552EAE" w:rsidP="00106499">
            <w:pPr>
              <w:spacing w:after="0"/>
              <w:rPr>
                <w:rFonts w:ascii="Garamond" w:eastAsia="Times New Roman" w:hAnsi="Garamond" w:cs="Tahoma"/>
                <w:color w:val="333333"/>
                <w:sz w:val="20"/>
                <w:szCs w:val="20"/>
                <w:lang w:eastAsia="en-AU"/>
              </w:rPr>
            </w:pPr>
          </w:p>
        </w:tc>
        <w:tc>
          <w:tcPr>
            <w:tcW w:w="1587" w:type="dxa"/>
            <w:tcBorders>
              <w:top w:val="nil"/>
              <w:left w:val="nil"/>
              <w:bottom w:val="nil"/>
              <w:right w:val="single" w:sz="8" w:space="0" w:color="000000"/>
            </w:tcBorders>
            <w:shd w:val="clear" w:color="000000" w:fill="000000"/>
            <w:vAlign w:val="center"/>
            <w:hideMark/>
          </w:tcPr>
          <w:p w14:paraId="5D52D3CE" w14:textId="77777777" w:rsidR="00552EAE" w:rsidRPr="004440AF" w:rsidRDefault="00552EAE" w:rsidP="00106499">
            <w:pPr>
              <w:spacing w:after="0"/>
              <w:rPr>
                <w:rFonts w:ascii="Garamond" w:eastAsia="Times New Roman" w:hAnsi="Garamond" w:cs="Arial"/>
                <w:b/>
                <w:color w:val="FFFFFF"/>
                <w:sz w:val="20"/>
                <w:szCs w:val="20"/>
                <w:lang w:eastAsia="en-AU"/>
              </w:rPr>
            </w:pPr>
            <w:r w:rsidRPr="004440AF">
              <w:rPr>
                <w:rFonts w:ascii="Garamond" w:eastAsia="Times New Roman" w:hAnsi="Garamond" w:cs="Arial"/>
                <w:b/>
                <w:color w:val="FFFFFF"/>
                <w:sz w:val="20"/>
                <w:szCs w:val="20"/>
                <w:lang w:eastAsia="en-AU"/>
              </w:rPr>
              <w:t>Total</w:t>
            </w:r>
          </w:p>
        </w:tc>
        <w:tc>
          <w:tcPr>
            <w:tcW w:w="1794" w:type="dxa"/>
            <w:tcBorders>
              <w:top w:val="nil"/>
              <w:left w:val="nil"/>
              <w:bottom w:val="single" w:sz="8" w:space="0" w:color="000000"/>
              <w:right w:val="single" w:sz="8" w:space="0" w:color="000000"/>
            </w:tcBorders>
            <w:shd w:val="clear" w:color="000000" w:fill="0D0D0D"/>
            <w:vAlign w:val="center"/>
            <w:hideMark/>
          </w:tcPr>
          <w:p w14:paraId="4D947C4C"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$65</w:t>
            </w:r>
          </w:p>
        </w:tc>
        <w:tc>
          <w:tcPr>
            <w:tcW w:w="1794" w:type="dxa"/>
            <w:tcBorders>
              <w:top w:val="nil"/>
              <w:left w:val="nil"/>
              <w:bottom w:val="single" w:sz="8" w:space="0" w:color="000000"/>
              <w:right w:val="single" w:sz="8" w:space="0" w:color="000000"/>
            </w:tcBorders>
            <w:shd w:val="clear" w:color="000000" w:fill="0D0D0D"/>
            <w:vAlign w:val="center"/>
            <w:hideMark/>
          </w:tcPr>
          <w:p w14:paraId="5471501E"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14,816</w:t>
            </w:r>
          </w:p>
        </w:tc>
        <w:tc>
          <w:tcPr>
            <w:tcW w:w="1794" w:type="dxa"/>
            <w:tcBorders>
              <w:top w:val="nil"/>
              <w:left w:val="nil"/>
              <w:bottom w:val="single" w:sz="8" w:space="0" w:color="000000"/>
              <w:right w:val="single" w:sz="8" w:space="0" w:color="000000"/>
            </w:tcBorders>
            <w:shd w:val="clear" w:color="000000" w:fill="0D0D0D"/>
            <w:vAlign w:val="center"/>
            <w:hideMark/>
          </w:tcPr>
          <w:p w14:paraId="1A1B66F1"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15,710</w:t>
            </w:r>
          </w:p>
        </w:tc>
        <w:tc>
          <w:tcPr>
            <w:tcW w:w="1794" w:type="dxa"/>
            <w:tcBorders>
              <w:top w:val="nil"/>
              <w:left w:val="nil"/>
              <w:bottom w:val="single" w:sz="8" w:space="0" w:color="000000"/>
              <w:right w:val="single" w:sz="8" w:space="0" w:color="000000"/>
            </w:tcBorders>
            <w:shd w:val="clear" w:color="000000" w:fill="0D0D0D"/>
            <w:vAlign w:val="center"/>
            <w:hideMark/>
          </w:tcPr>
          <w:p w14:paraId="2848EF70"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1,314</w:t>
            </w:r>
          </w:p>
        </w:tc>
      </w:tr>
      <w:tr w:rsidR="004440AF" w:rsidRPr="004440AF" w14:paraId="79F4858C" w14:textId="77777777" w:rsidTr="004440AF">
        <w:trPr>
          <w:trHeight w:val="142"/>
        </w:trPr>
        <w:tc>
          <w:tcPr>
            <w:tcW w:w="98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3296A6D" w14:textId="77777777" w:rsidR="004440AF" w:rsidRPr="004440AF" w:rsidRDefault="004440AF" w:rsidP="004440AF">
            <w:pPr>
              <w:spacing w:after="0"/>
              <w:jc w:val="center"/>
              <w:rPr>
                <w:rFonts w:ascii="Garamond" w:eastAsia="Times New Roman" w:hAnsi="Garamond" w:cs="Tahoma"/>
                <w:color w:val="333333"/>
                <w:sz w:val="20"/>
                <w:szCs w:val="20"/>
                <w:lang w:eastAsia="en-AU"/>
              </w:rPr>
            </w:pPr>
            <w:r w:rsidRPr="004440AF">
              <w:rPr>
                <w:rFonts w:ascii="Garamond" w:eastAsia="Times New Roman" w:hAnsi="Garamond" w:cs="Tahoma"/>
                <w:color w:val="333333"/>
                <w:sz w:val="20"/>
                <w:szCs w:val="20"/>
                <w:lang w:eastAsia="en-AU"/>
              </w:rPr>
              <w:t>2013-2014</w:t>
            </w:r>
          </w:p>
        </w:tc>
        <w:tc>
          <w:tcPr>
            <w:tcW w:w="1587" w:type="dxa"/>
            <w:tcBorders>
              <w:top w:val="single" w:sz="8" w:space="0" w:color="auto"/>
              <w:left w:val="nil"/>
              <w:bottom w:val="single" w:sz="8" w:space="0" w:color="000000"/>
              <w:right w:val="single" w:sz="8" w:space="0" w:color="auto"/>
            </w:tcBorders>
            <w:shd w:val="clear" w:color="000000" w:fill="FFFFFF"/>
            <w:vAlign w:val="center"/>
            <w:hideMark/>
          </w:tcPr>
          <w:p w14:paraId="06E4AB26" w14:textId="00B22A5F" w:rsidR="004440AF" w:rsidRPr="004440AF" w:rsidRDefault="004440AF" w:rsidP="004440AF">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H1</w:t>
            </w:r>
          </w:p>
        </w:tc>
        <w:tc>
          <w:tcPr>
            <w:tcW w:w="1794" w:type="dxa"/>
            <w:tcBorders>
              <w:top w:val="nil"/>
              <w:left w:val="nil"/>
              <w:bottom w:val="single" w:sz="8" w:space="0" w:color="000000"/>
              <w:right w:val="single" w:sz="8" w:space="0" w:color="000000"/>
            </w:tcBorders>
            <w:shd w:val="clear" w:color="000000" w:fill="FFFFFF"/>
            <w:vAlign w:val="center"/>
            <w:hideMark/>
          </w:tcPr>
          <w:p w14:paraId="0D86723A"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$64</w:t>
            </w:r>
          </w:p>
        </w:tc>
        <w:tc>
          <w:tcPr>
            <w:tcW w:w="1794" w:type="dxa"/>
            <w:tcBorders>
              <w:top w:val="nil"/>
              <w:left w:val="nil"/>
              <w:bottom w:val="single" w:sz="8" w:space="0" w:color="000000"/>
              <w:right w:val="single" w:sz="8" w:space="0" w:color="000000"/>
            </w:tcBorders>
            <w:shd w:val="clear" w:color="000000" w:fill="FFFFFF"/>
            <w:vAlign w:val="center"/>
            <w:hideMark/>
          </w:tcPr>
          <w:p w14:paraId="79D8CEFE"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15,745</w:t>
            </w:r>
          </w:p>
        </w:tc>
        <w:tc>
          <w:tcPr>
            <w:tcW w:w="1794" w:type="dxa"/>
            <w:tcBorders>
              <w:top w:val="nil"/>
              <w:left w:val="nil"/>
              <w:bottom w:val="single" w:sz="8" w:space="0" w:color="000000"/>
              <w:right w:val="single" w:sz="8" w:space="0" w:color="000000"/>
            </w:tcBorders>
            <w:shd w:val="clear" w:color="000000" w:fill="FFFFFF"/>
            <w:vAlign w:val="center"/>
            <w:hideMark/>
          </w:tcPr>
          <w:p w14:paraId="0D89E1C2"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16,397</w:t>
            </w:r>
          </w:p>
        </w:tc>
        <w:tc>
          <w:tcPr>
            <w:tcW w:w="1794" w:type="dxa"/>
            <w:tcBorders>
              <w:top w:val="nil"/>
              <w:left w:val="nil"/>
              <w:bottom w:val="single" w:sz="8" w:space="0" w:color="000000"/>
              <w:right w:val="single" w:sz="8" w:space="0" w:color="000000"/>
            </w:tcBorders>
            <w:shd w:val="clear" w:color="000000" w:fill="FFFFFF"/>
            <w:vAlign w:val="center"/>
            <w:hideMark/>
          </w:tcPr>
          <w:p w14:paraId="7DA69023"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1,386</w:t>
            </w:r>
          </w:p>
        </w:tc>
      </w:tr>
      <w:tr w:rsidR="004440AF" w:rsidRPr="004440AF" w14:paraId="0382BF84" w14:textId="77777777" w:rsidTr="004440AF">
        <w:trPr>
          <w:trHeight w:val="142"/>
        </w:trPr>
        <w:tc>
          <w:tcPr>
            <w:tcW w:w="989" w:type="dxa"/>
            <w:vMerge/>
            <w:tcBorders>
              <w:top w:val="nil"/>
              <w:left w:val="single" w:sz="8" w:space="0" w:color="auto"/>
              <w:bottom w:val="single" w:sz="8" w:space="0" w:color="000000"/>
              <w:right w:val="single" w:sz="8" w:space="0" w:color="auto"/>
            </w:tcBorders>
            <w:vAlign w:val="center"/>
            <w:hideMark/>
          </w:tcPr>
          <w:p w14:paraId="34B44F5C" w14:textId="77777777" w:rsidR="004440AF" w:rsidRPr="004440AF" w:rsidRDefault="004440AF" w:rsidP="004440AF">
            <w:pPr>
              <w:spacing w:after="0"/>
              <w:rPr>
                <w:rFonts w:ascii="Garamond" w:eastAsia="Times New Roman" w:hAnsi="Garamond" w:cs="Tahoma"/>
                <w:color w:val="333333"/>
                <w:sz w:val="20"/>
                <w:szCs w:val="20"/>
                <w:lang w:eastAsia="en-AU"/>
              </w:rPr>
            </w:pPr>
          </w:p>
        </w:tc>
        <w:tc>
          <w:tcPr>
            <w:tcW w:w="1587" w:type="dxa"/>
            <w:tcBorders>
              <w:top w:val="single" w:sz="8" w:space="0" w:color="auto"/>
              <w:left w:val="nil"/>
              <w:bottom w:val="single" w:sz="8" w:space="0" w:color="000000"/>
              <w:right w:val="single" w:sz="8" w:space="0" w:color="auto"/>
            </w:tcBorders>
            <w:shd w:val="clear" w:color="auto" w:fill="F2DBDB" w:themeFill="accent2" w:themeFillTint="33"/>
            <w:vAlign w:val="center"/>
            <w:hideMark/>
          </w:tcPr>
          <w:p w14:paraId="04554DDF" w14:textId="4E1022DA" w:rsidR="004440AF" w:rsidRPr="004440AF" w:rsidRDefault="004440AF" w:rsidP="004440AF">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H2</w:t>
            </w:r>
          </w:p>
        </w:tc>
        <w:tc>
          <w:tcPr>
            <w:tcW w:w="1794" w:type="dxa"/>
            <w:tcBorders>
              <w:top w:val="nil"/>
              <w:left w:val="nil"/>
              <w:bottom w:val="single" w:sz="8" w:space="0" w:color="000000"/>
              <w:right w:val="single" w:sz="8" w:space="0" w:color="000000"/>
            </w:tcBorders>
            <w:shd w:val="clear" w:color="000000" w:fill="F2DBDB"/>
            <w:vAlign w:val="center"/>
            <w:hideMark/>
          </w:tcPr>
          <w:p w14:paraId="5799287F"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$84</w:t>
            </w:r>
          </w:p>
        </w:tc>
        <w:tc>
          <w:tcPr>
            <w:tcW w:w="1794" w:type="dxa"/>
            <w:tcBorders>
              <w:top w:val="nil"/>
              <w:left w:val="nil"/>
              <w:bottom w:val="single" w:sz="8" w:space="0" w:color="000000"/>
              <w:right w:val="single" w:sz="8" w:space="0" w:color="000000"/>
            </w:tcBorders>
            <w:shd w:val="clear" w:color="000000" w:fill="F2DBDB"/>
            <w:vAlign w:val="center"/>
            <w:hideMark/>
          </w:tcPr>
          <w:p w14:paraId="29B36ABA"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10,686</w:t>
            </w:r>
          </w:p>
        </w:tc>
        <w:tc>
          <w:tcPr>
            <w:tcW w:w="1794" w:type="dxa"/>
            <w:tcBorders>
              <w:top w:val="nil"/>
              <w:left w:val="nil"/>
              <w:bottom w:val="single" w:sz="8" w:space="0" w:color="000000"/>
              <w:right w:val="single" w:sz="8" w:space="0" w:color="000000"/>
            </w:tcBorders>
            <w:shd w:val="clear" w:color="000000" w:fill="F2DBDB"/>
            <w:vAlign w:val="center"/>
            <w:hideMark/>
          </w:tcPr>
          <w:p w14:paraId="63122C32"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10,796</w:t>
            </w:r>
          </w:p>
        </w:tc>
        <w:tc>
          <w:tcPr>
            <w:tcW w:w="1794" w:type="dxa"/>
            <w:tcBorders>
              <w:top w:val="nil"/>
              <w:left w:val="nil"/>
              <w:bottom w:val="single" w:sz="8" w:space="0" w:color="000000"/>
              <w:right w:val="single" w:sz="8" w:space="0" w:color="000000"/>
            </w:tcBorders>
            <w:shd w:val="clear" w:color="000000" w:fill="F2DBDB"/>
            <w:vAlign w:val="center"/>
            <w:hideMark/>
          </w:tcPr>
          <w:p w14:paraId="4B367712"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1,662</w:t>
            </w:r>
          </w:p>
        </w:tc>
      </w:tr>
      <w:tr w:rsidR="00552EAE" w:rsidRPr="004440AF" w14:paraId="6F438A6F" w14:textId="77777777" w:rsidTr="004440AF">
        <w:trPr>
          <w:trHeight w:val="142"/>
        </w:trPr>
        <w:tc>
          <w:tcPr>
            <w:tcW w:w="989" w:type="dxa"/>
            <w:vMerge/>
            <w:tcBorders>
              <w:top w:val="nil"/>
              <w:left w:val="single" w:sz="8" w:space="0" w:color="auto"/>
              <w:bottom w:val="single" w:sz="8" w:space="0" w:color="000000"/>
              <w:right w:val="single" w:sz="8" w:space="0" w:color="auto"/>
            </w:tcBorders>
            <w:vAlign w:val="center"/>
            <w:hideMark/>
          </w:tcPr>
          <w:p w14:paraId="49F9D37D" w14:textId="77777777" w:rsidR="00552EAE" w:rsidRPr="004440AF" w:rsidRDefault="00552EAE" w:rsidP="00106499">
            <w:pPr>
              <w:spacing w:after="0"/>
              <w:rPr>
                <w:rFonts w:ascii="Garamond" w:eastAsia="Times New Roman" w:hAnsi="Garamond" w:cs="Tahoma"/>
                <w:color w:val="333333"/>
                <w:sz w:val="20"/>
                <w:szCs w:val="20"/>
                <w:lang w:eastAsia="en-AU"/>
              </w:rPr>
            </w:pPr>
          </w:p>
        </w:tc>
        <w:tc>
          <w:tcPr>
            <w:tcW w:w="1587" w:type="dxa"/>
            <w:tcBorders>
              <w:top w:val="nil"/>
              <w:left w:val="nil"/>
              <w:bottom w:val="nil"/>
              <w:right w:val="single" w:sz="8" w:space="0" w:color="000000"/>
            </w:tcBorders>
            <w:shd w:val="clear" w:color="000000" w:fill="000000"/>
            <w:vAlign w:val="center"/>
            <w:hideMark/>
          </w:tcPr>
          <w:p w14:paraId="10334685" w14:textId="77777777" w:rsidR="00552EAE" w:rsidRPr="004440AF" w:rsidRDefault="00552EAE" w:rsidP="00106499">
            <w:pPr>
              <w:spacing w:after="0"/>
              <w:rPr>
                <w:rFonts w:ascii="Garamond" w:eastAsia="Times New Roman" w:hAnsi="Garamond" w:cs="Arial"/>
                <w:b/>
                <w:color w:val="FFFFFF"/>
                <w:sz w:val="20"/>
                <w:szCs w:val="20"/>
                <w:lang w:eastAsia="en-AU"/>
              </w:rPr>
            </w:pPr>
            <w:r w:rsidRPr="004440AF">
              <w:rPr>
                <w:rFonts w:ascii="Garamond" w:eastAsia="Times New Roman" w:hAnsi="Garamond" w:cs="Arial"/>
                <w:b/>
                <w:color w:val="FFFFFF"/>
                <w:sz w:val="20"/>
                <w:szCs w:val="20"/>
                <w:lang w:eastAsia="en-AU"/>
              </w:rPr>
              <w:t>Total</w:t>
            </w:r>
          </w:p>
        </w:tc>
        <w:tc>
          <w:tcPr>
            <w:tcW w:w="1794" w:type="dxa"/>
            <w:tcBorders>
              <w:top w:val="nil"/>
              <w:left w:val="nil"/>
              <w:bottom w:val="single" w:sz="8" w:space="0" w:color="000000"/>
              <w:right w:val="single" w:sz="8" w:space="0" w:color="000000"/>
            </w:tcBorders>
            <w:shd w:val="clear" w:color="000000" w:fill="0D0D0D"/>
            <w:vAlign w:val="center"/>
            <w:hideMark/>
          </w:tcPr>
          <w:p w14:paraId="1A250335"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$72</w:t>
            </w:r>
          </w:p>
        </w:tc>
        <w:tc>
          <w:tcPr>
            <w:tcW w:w="1794" w:type="dxa"/>
            <w:tcBorders>
              <w:top w:val="nil"/>
              <w:left w:val="nil"/>
              <w:bottom w:val="single" w:sz="8" w:space="0" w:color="000000"/>
              <w:right w:val="single" w:sz="8" w:space="0" w:color="000000"/>
            </w:tcBorders>
            <w:shd w:val="clear" w:color="000000" w:fill="0D0D0D"/>
            <w:vAlign w:val="center"/>
            <w:hideMark/>
          </w:tcPr>
          <w:p w14:paraId="18F8C626"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26,316</w:t>
            </w:r>
          </w:p>
        </w:tc>
        <w:tc>
          <w:tcPr>
            <w:tcW w:w="1794" w:type="dxa"/>
            <w:tcBorders>
              <w:top w:val="nil"/>
              <w:left w:val="nil"/>
              <w:bottom w:val="single" w:sz="8" w:space="0" w:color="000000"/>
              <w:right w:val="single" w:sz="8" w:space="0" w:color="000000"/>
            </w:tcBorders>
            <w:shd w:val="clear" w:color="000000" w:fill="0D0D0D"/>
            <w:vAlign w:val="center"/>
            <w:hideMark/>
          </w:tcPr>
          <w:p w14:paraId="1AD654A2"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27,189</w:t>
            </w:r>
          </w:p>
        </w:tc>
        <w:tc>
          <w:tcPr>
            <w:tcW w:w="1794" w:type="dxa"/>
            <w:tcBorders>
              <w:top w:val="nil"/>
              <w:left w:val="nil"/>
              <w:bottom w:val="single" w:sz="8" w:space="0" w:color="000000"/>
              <w:right w:val="single" w:sz="8" w:space="0" w:color="000000"/>
            </w:tcBorders>
            <w:shd w:val="clear" w:color="000000" w:fill="0D0D0D"/>
            <w:vAlign w:val="center"/>
            <w:hideMark/>
          </w:tcPr>
          <w:p w14:paraId="2B798080"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2,555</w:t>
            </w:r>
          </w:p>
        </w:tc>
      </w:tr>
      <w:tr w:rsidR="004440AF" w:rsidRPr="004440AF" w14:paraId="3290A534" w14:textId="77777777" w:rsidTr="004440AF">
        <w:trPr>
          <w:trHeight w:val="142"/>
        </w:trPr>
        <w:tc>
          <w:tcPr>
            <w:tcW w:w="98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D22BFA9" w14:textId="77777777" w:rsidR="004440AF" w:rsidRPr="004440AF" w:rsidRDefault="004440AF" w:rsidP="004440AF">
            <w:pPr>
              <w:spacing w:after="0"/>
              <w:jc w:val="center"/>
              <w:rPr>
                <w:rFonts w:ascii="Garamond" w:eastAsia="Times New Roman" w:hAnsi="Garamond" w:cs="Tahoma"/>
                <w:color w:val="333333"/>
                <w:sz w:val="20"/>
                <w:szCs w:val="20"/>
                <w:lang w:eastAsia="en-AU"/>
              </w:rPr>
            </w:pPr>
            <w:r w:rsidRPr="004440AF">
              <w:rPr>
                <w:rFonts w:ascii="Garamond" w:eastAsia="Times New Roman" w:hAnsi="Garamond" w:cs="Tahoma"/>
                <w:color w:val="333333"/>
                <w:sz w:val="20"/>
                <w:szCs w:val="20"/>
                <w:lang w:eastAsia="en-AU"/>
              </w:rPr>
              <w:t>2014-2015</w:t>
            </w:r>
          </w:p>
        </w:tc>
        <w:tc>
          <w:tcPr>
            <w:tcW w:w="1587" w:type="dxa"/>
            <w:tcBorders>
              <w:top w:val="single" w:sz="8" w:space="0" w:color="auto"/>
              <w:left w:val="nil"/>
              <w:bottom w:val="single" w:sz="8" w:space="0" w:color="000000"/>
              <w:right w:val="single" w:sz="8" w:space="0" w:color="auto"/>
            </w:tcBorders>
            <w:shd w:val="clear" w:color="000000" w:fill="FFFFFF"/>
            <w:vAlign w:val="center"/>
            <w:hideMark/>
          </w:tcPr>
          <w:p w14:paraId="091F6946" w14:textId="15F12C4D" w:rsidR="004440AF" w:rsidRPr="004440AF" w:rsidRDefault="004440AF" w:rsidP="004440AF">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H1</w:t>
            </w:r>
          </w:p>
        </w:tc>
        <w:tc>
          <w:tcPr>
            <w:tcW w:w="1794" w:type="dxa"/>
            <w:tcBorders>
              <w:top w:val="nil"/>
              <w:left w:val="nil"/>
              <w:bottom w:val="single" w:sz="8" w:space="0" w:color="000000"/>
              <w:right w:val="single" w:sz="8" w:space="0" w:color="000000"/>
            </w:tcBorders>
            <w:shd w:val="clear" w:color="000000" w:fill="FFFFFF"/>
            <w:vAlign w:val="center"/>
            <w:hideMark/>
          </w:tcPr>
          <w:p w14:paraId="151662B9"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$93</w:t>
            </w:r>
          </w:p>
        </w:tc>
        <w:tc>
          <w:tcPr>
            <w:tcW w:w="1794" w:type="dxa"/>
            <w:tcBorders>
              <w:top w:val="nil"/>
              <w:left w:val="nil"/>
              <w:bottom w:val="single" w:sz="8" w:space="0" w:color="000000"/>
              <w:right w:val="single" w:sz="8" w:space="0" w:color="000000"/>
            </w:tcBorders>
            <w:shd w:val="clear" w:color="000000" w:fill="FFFFFF"/>
            <w:vAlign w:val="center"/>
            <w:hideMark/>
          </w:tcPr>
          <w:p w14:paraId="16D600D7"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9,453</w:t>
            </w:r>
          </w:p>
        </w:tc>
        <w:tc>
          <w:tcPr>
            <w:tcW w:w="1794" w:type="dxa"/>
            <w:tcBorders>
              <w:top w:val="nil"/>
              <w:left w:val="nil"/>
              <w:bottom w:val="single" w:sz="8" w:space="0" w:color="000000"/>
              <w:right w:val="single" w:sz="8" w:space="0" w:color="000000"/>
            </w:tcBorders>
            <w:shd w:val="clear" w:color="000000" w:fill="FFFFFF"/>
            <w:vAlign w:val="center"/>
            <w:hideMark/>
          </w:tcPr>
          <w:p w14:paraId="2AEB0356"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9,465</w:t>
            </w:r>
          </w:p>
        </w:tc>
        <w:tc>
          <w:tcPr>
            <w:tcW w:w="1794" w:type="dxa"/>
            <w:tcBorders>
              <w:top w:val="nil"/>
              <w:left w:val="nil"/>
              <w:bottom w:val="single" w:sz="8" w:space="0" w:color="000000"/>
              <w:right w:val="single" w:sz="8" w:space="0" w:color="000000"/>
            </w:tcBorders>
            <w:shd w:val="clear" w:color="000000" w:fill="FFFFFF"/>
            <w:vAlign w:val="center"/>
            <w:hideMark/>
          </w:tcPr>
          <w:p w14:paraId="14EBBBCF"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1,262</w:t>
            </w:r>
          </w:p>
        </w:tc>
      </w:tr>
      <w:tr w:rsidR="004440AF" w:rsidRPr="004440AF" w14:paraId="02070724" w14:textId="77777777" w:rsidTr="004440AF">
        <w:trPr>
          <w:trHeight w:val="142"/>
        </w:trPr>
        <w:tc>
          <w:tcPr>
            <w:tcW w:w="989" w:type="dxa"/>
            <w:vMerge/>
            <w:tcBorders>
              <w:top w:val="nil"/>
              <w:left w:val="single" w:sz="8" w:space="0" w:color="auto"/>
              <w:bottom w:val="single" w:sz="8" w:space="0" w:color="000000"/>
              <w:right w:val="single" w:sz="8" w:space="0" w:color="auto"/>
            </w:tcBorders>
            <w:vAlign w:val="center"/>
            <w:hideMark/>
          </w:tcPr>
          <w:p w14:paraId="721E8DC9" w14:textId="77777777" w:rsidR="004440AF" w:rsidRPr="004440AF" w:rsidRDefault="004440AF" w:rsidP="004440AF">
            <w:pPr>
              <w:spacing w:after="0"/>
              <w:rPr>
                <w:rFonts w:ascii="Garamond" w:eastAsia="Times New Roman" w:hAnsi="Garamond" w:cs="Tahoma"/>
                <w:color w:val="333333"/>
                <w:sz w:val="20"/>
                <w:szCs w:val="20"/>
                <w:lang w:eastAsia="en-AU"/>
              </w:rPr>
            </w:pPr>
          </w:p>
        </w:tc>
        <w:tc>
          <w:tcPr>
            <w:tcW w:w="1587" w:type="dxa"/>
            <w:tcBorders>
              <w:top w:val="single" w:sz="8" w:space="0" w:color="auto"/>
              <w:left w:val="nil"/>
              <w:bottom w:val="single" w:sz="8" w:space="0" w:color="000000"/>
              <w:right w:val="single" w:sz="8" w:space="0" w:color="auto"/>
            </w:tcBorders>
            <w:shd w:val="clear" w:color="auto" w:fill="F2DBDB" w:themeFill="accent2" w:themeFillTint="33"/>
            <w:vAlign w:val="center"/>
            <w:hideMark/>
          </w:tcPr>
          <w:p w14:paraId="19324651" w14:textId="603D51F3" w:rsidR="004440AF" w:rsidRPr="004440AF" w:rsidRDefault="004440AF" w:rsidP="004440AF">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H2</w:t>
            </w:r>
          </w:p>
        </w:tc>
        <w:tc>
          <w:tcPr>
            <w:tcW w:w="1794" w:type="dxa"/>
            <w:tcBorders>
              <w:top w:val="nil"/>
              <w:left w:val="nil"/>
              <w:bottom w:val="single" w:sz="8" w:space="0" w:color="000000"/>
              <w:right w:val="single" w:sz="8" w:space="0" w:color="000000"/>
            </w:tcBorders>
            <w:shd w:val="clear" w:color="000000" w:fill="F2DBDB"/>
            <w:vAlign w:val="center"/>
            <w:hideMark/>
          </w:tcPr>
          <w:p w14:paraId="38C0534A"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$93</w:t>
            </w:r>
          </w:p>
        </w:tc>
        <w:tc>
          <w:tcPr>
            <w:tcW w:w="1794" w:type="dxa"/>
            <w:tcBorders>
              <w:top w:val="nil"/>
              <w:left w:val="nil"/>
              <w:bottom w:val="single" w:sz="8" w:space="0" w:color="000000"/>
              <w:right w:val="single" w:sz="8" w:space="0" w:color="000000"/>
            </w:tcBorders>
            <w:shd w:val="clear" w:color="000000" w:fill="F2DBDB"/>
            <w:vAlign w:val="center"/>
            <w:hideMark/>
          </w:tcPr>
          <w:p w14:paraId="45480AC2"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10,803</w:t>
            </w:r>
          </w:p>
        </w:tc>
        <w:tc>
          <w:tcPr>
            <w:tcW w:w="1794" w:type="dxa"/>
            <w:tcBorders>
              <w:top w:val="nil"/>
              <w:left w:val="nil"/>
              <w:bottom w:val="single" w:sz="8" w:space="0" w:color="000000"/>
              <w:right w:val="single" w:sz="8" w:space="0" w:color="000000"/>
            </w:tcBorders>
            <w:shd w:val="clear" w:color="000000" w:fill="F2DBDB"/>
            <w:vAlign w:val="center"/>
            <w:hideMark/>
          </w:tcPr>
          <w:p w14:paraId="77D19C40"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10,806</w:t>
            </w:r>
          </w:p>
        </w:tc>
        <w:tc>
          <w:tcPr>
            <w:tcW w:w="1794" w:type="dxa"/>
            <w:tcBorders>
              <w:top w:val="nil"/>
              <w:left w:val="nil"/>
              <w:bottom w:val="single" w:sz="8" w:space="0" w:color="000000"/>
              <w:right w:val="single" w:sz="8" w:space="0" w:color="000000"/>
            </w:tcBorders>
            <w:shd w:val="clear" w:color="000000" w:fill="F2DBDB"/>
            <w:vAlign w:val="center"/>
            <w:hideMark/>
          </w:tcPr>
          <w:p w14:paraId="3F64330B"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1,369</w:t>
            </w:r>
          </w:p>
        </w:tc>
      </w:tr>
      <w:tr w:rsidR="00552EAE" w:rsidRPr="004440AF" w14:paraId="7FC0C0EE" w14:textId="77777777" w:rsidTr="004440AF">
        <w:trPr>
          <w:trHeight w:val="142"/>
        </w:trPr>
        <w:tc>
          <w:tcPr>
            <w:tcW w:w="989" w:type="dxa"/>
            <w:vMerge/>
            <w:tcBorders>
              <w:top w:val="nil"/>
              <w:left w:val="single" w:sz="8" w:space="0" w:color="auto"/>
              <w:bottom w:val="single" w:sz="8" w:space="0" w:color="000000"/>
              <w:right w:val="single" w:sz="8" w:space="0" w:color="auto"/>
            </w:tcBorders>
            <w:vAlign w:val="center"/>
            <w:hideMark/>
          </w:tcPr>
          <w:p w14:paraId="62A990E5" w14:textId="77777777" w:rsidR="00552EAE" w:rsidRPr="004440AF" w:rsidRDefault="00552EAE" w:rsidP="00106499">
            <w:pPr>
              <w:spacing w:after="0"/>
              <w:rPr>
                <w:rFonts w:ascii="Garamond" w:eastAsia="Times New Roman" w:hAnsi="Garamond" w:cs="Tahoma"/>
                <w:color w:val="333333"/>
                <w:sz w:val="20"/>
                <w:szCs w:val="20"/>
                <w:lang w:eastAsia="en-AU"/>
              </w:rPr>
            </w:pPr>
          </w:p>
        </w:tc>
        <w:tc>
          <w:tcPr>
            <w:tcW w:w="1587" w:type="dxa"/>
            <w:tcBorders>
              <w:top w:val="nil"/>
              <w:left w:val="nil"/>
              <w:bottom w:val="nil"/>
              <w:right w:val="single" w:sz="8" w:space="0" w:color="000000"/>
            </w:tcBorders>
            <w:shd w:val="clear" w:color="000000" w:fill="000000"/>
            <w:vAlign w:val="center"/>
            <w:hideMark/>
          </w:tcPr>
          <w:p w14:paraId="1E289077" w14:textId="77777777" w:rsidR="00552EAE" w:rsidRPr="004440AF" w:rsidRDefault="00552EAE" w:rsidP="00106499">
            <w:pPr>
              <w:spacing w:after="0"/>
              <w:rPr>
                <w:rFonts w:ascii="Garamond" w:eastAsia="Times New Roman" w:hAnsi="Garamond" w:cs="Arial"/>
                <w:b/>
                <w:color w:val="FFFFFF"/>
                <w:sz w:val="20"/>
                <w:szCs w:val="20"/>
                <w:lang w:eastAsia="en-AU"/>
              </w:rPr>
            </w:pPr>
            <w:r w:rsidRPr="004440AF">
              <w:rPr>
                <w:rFonts w:ascii="Garamond" w:eastAsia="Times New Roman" w:hAnsi="Garamond" w:cs="Arial"/>
                <w:b/>
                <w:color w:val="FFFFFF"/>
                <w:sz w:val="20"/>
                <w:szCs w:val="20"/>
                <w:lang w:eastAsia="en-AU"/>
              </w:rPr>
              <w:t>Total</w:t>
            </w:r>
          </w:p>
        </w:tc>
        <w:tc>
          <w:tcPr>
            <w:tcW w:w="1794" w:type="dxa"/>
            <w:tcBorders>
              <w:top w:val="nil"/>
              <w:left w:val="nil"/>
              <w:bottom w:val="single" w:sz="8" w:space="0" w:color="000000"/>
              <w:right w:val="single" w:sz="8" w:space="0" w:color="000000"/>
            </w:tcBorders>
            <w:shd w:val="clear" w:color="000000" w:fill="0D0D0D"/>
            <w:vAlign w:val="center"/>
            <w:hideMark/>
          </w:tcPr>
          <w:p w14:paraId="153AE599"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$93</w:t>
            </w:r>
          </w:p>
        </w:tc>
        <w:tc>
          <w:tcPr>
            <w:tcW w:w="1794" w:type="dxa"/>
            <w:tcBorders>
              <w:top w:val="nil"/>
              <w:left w:val="nil"/>
              <w:bottom w:val="single" w:sz="8" w:space="0" w:color="000000"/>
              <w:right w:val="single" w:sz="8" w:space="0" w:color="000000"/>
            </w:tcBorders>
            <w:shd w:val="clear" w:color="000000" w:fill="0D0D0D"/>
            <w:vAlign w:val="center"/>
            <w:hideMark/>
          </w:tcPr>
          <w:p w14:paraId="0F86D32F"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20,250</w:t>
            </w:r>
          </w:p>
        </w:tc>
        <w:tc>
          <w:tcPr>
            <w:tcW w:w="1794" w:type="dxa"/>
            <w:tcBorders>
              <w:top w:val="nil"/>
              <w:left w:val="nil"/>
              <w:bottom w:val="single" w:sz="8" w:space="0" w:color="000000"/>
              <w:right w:val="single" w:sz="8" w:space="0" w:color="000000"/>
            </w:tcBorders>
            <w:shd w:val="clear" w:color="000000" w:fill="0D0D0D"/>
            <w:vAlign w:val="center"/>
            <w:hideMark/>
          </w:tcPr>
          <w:p w14:paraId="4260792E"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20,271</w:t>
            </w:r>
          </w:p>
        </w:tc>
        <w:tc>
          <w:tcPr>
            <w:tcW w:w="1794" w:type="dxa"/>
            <w:tcBorders>
              <w:top w:val="nil"/>
              <w:left w:val="nil"/>
              <w:bottom w:val="single" w:sz="8" w:space="0" w:color="000000"/>
              <w:right w:val="single" w:sz="8" w:space="0" w:color="000000"/>
            </w:tcBorders>
            <w:shd w:val="clear" w:color="000000" w:fill="0D0D0D"/>
            <w:vAlign w:val="center"/>
            <w:hideMark/>
          </w:tcPr>
          <w:p w14:paraId="0A15C204"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1,743</w:t>
            </w:r>
          </w:p>
        </w:tc>
      </w:tr>
      <w:tr w:rsidR="004440AF" w:rsidRPr="004440AF" w14:paraId="030A6CE6" w14:textId="77777777" w:rsidTr="004440AF">
        <w:trPr>
          <w:trHeight w:val="142"/>
        </w:trPr>
        <w:tc>
          <w:tcPr>
            <w:tcW w:w="989"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B6747B" w14:textId="77777777" w:rsidR="004440AF" w:rsidRPr="004440AF" w:rsidRDefault="004440AF" w:rsidP="004440AF">
            <w:pPr>
              <w:spacing w:after="0"/>
              <w:jc w:val="center"/>
              <w:rPr>
                <w:rFonts w:ascii="Garamond" w:eastAsia="Times New Roman" w:hAnsi="Garamond" w:cs="Tahoma"/>
                <w:color w:val="333333"/>
                <w:sz w:val="20"/>
                <w:szCs w:val="20"/>
                <w:lang w:eastAsia="en-AU"/>
              </w:rPr>
            </w:pPr>
            <w:r w:rsidRPr="004440AF">
              <w:rPr>
                <w:rFonts w:ascii="Garamond" w:eastAsia="Times New Roman" w:hAnsi="Garamond" w:cs="Tahoma"/>
                <w:color w:val="333333"/>
                <w:sz w:val="20"/>
                <w:szCs w:val="20"/>
                <w:lang w:eastAsia="en-AU"/>
              </w:rPr>
              <w:t>2015-2016</w:t>
            </w:r>
          </w:p>
        </w:tc>
        <w:tc>
          <w:tcPr>
            <w:tcW w:w="1587" w:type="dxa"/>
            <w:tcBorders>
              <w:top w:val="single" w:sz="8" w:space="0" w:color="auto"/>
              <w:left w:val="nil"/>
              <w:bottom w:val="single" w:sz="8" w:space="0" w:color="000000"/>
              <w:right w:val="single" w:sz="8" w:space="0" w:color="auto"/>
            </w:tcBorders>
            <w:shd w:val="clear" w:color="000000" w:fill="FFFFFF"/>
            <w:vAlign w:val="center"/>
            <w:hideMark/>
          </w:tcPr>
          <w:p w14:paraId="129F5CA4" w14:textId="18E65529" w:rsidR="004440AF" w:rsidRPr="004440AF" w:rsidRDefault="004440AF" w:rsidP="004440AF">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H1</w:t>
            </w:r>
          </w:p>
        </w:tc>
        <w:tc>
          <w:tcPr>
            <w:tcW w:w="1794" w:type="dxa"/>
            <w:tcBorders>
              <w:top w:val="nil"/>
              <w:left w:val="nil"/>
              <w:bottom w:val="single" w:sz="8" w:space="0" w:color="000000"/>
              <w:right w:val="single" w:sz="8" w:space="0" w:color="000000"/>
            </w:tcBorders>
            <w:shd w:val="clear" w:color="000000" w:fill="FFFFFF"/>
            <w:vAlign w:val="center"/>
            <w:hideMark/>
          </w:tcPr>
          <w:p w14:paraId="06B1BDC6"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$95</w:t>
            </w:r>
          </w:p>
        </w:tc>
        <w:tc>
          <w:tcPr>
            <w:tcW w:w="1794" w:type="dxa"/>
            <w:tcBorders>
              <w:top w:val="nil"/>
              <w:left w:val="nil"/>
              <w:bottom w:val="single" w:sz="8" w:space="0" w:color="000000"/>
              <w:right w:val="single" w:sz="8" w:space="0" w:color="000000"/>
            </w:tcBorders>
            <w:shd w:val="clear" w:color="000000" w:fill="FFFFFF"/>
            <w:vAlign w:val="center"/>
            <w:hideMark/>
          </w:tcPr>
          <w:p w14:paraId="6BC9FF43"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12,409</w:t>
            </w:r>
          </w:p>
        </w:tc>
        <w:tc>
          <w:tcPr>
            <w:tcW w:w="1794" w:type="dxa"/>
            <w:tcBorders>
              <w:top w:val="nil"/>
              <w:left w:val="nil"/>
              <w:bottom w:val="single" w:sz="8" w:space="0" w:color="000000"/>
              <w:right w:val="single" w:sz="8" w:space="0" w:color="000000"/>
            </w:tcBorders>
            <w:shd w:val="clear" w:color="000000" w:fill="FFFFFF"/>
            <w:vAlign w:val="center"/>
            <w:hideMark/>
          </w:tcPr>
          <w:p w14:paraId="3F529F3B"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12,422</w:t>
            </w:r>
          </w:p>
        </w:tc>
        <w:tc>
          <w:tcPr>
            <w:tcW w:w="1794" w:type="dxa"/>
            <w:tcBorders>
              <w:top w:val="nil"/>
              <w:left w:val="nil"/>
              <w:bottom w:val="single" w:sz="8" w:space="0" w:color="000000"/>
              <w:right w:val="single" w:sz="8" w:space="0" w:color="000000"/>
            </w:tcBorders>
            <w:shd w:val="clear" w:color="000000" w:fill="FFFFFF"/>
            <w:vAlign w:val="center"/>
            <w:hideMark/>
          </w:tcPr>
          <w:p w14:paraId="5FB377DE"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1,442</w:t>
            </w:r>
          </w:p>
        </w:tc>
      </w:tr>
      <w:tr w:rsidR="004440AF" w:rsidRPr="004440AF" w14:paraId="60EBBAEA" w14:textId="77777777" w:rsidTr="004440AF">
        <w:trPr>
          <w:trHeight w:val="142"/>
        </w:trPr>
        <w:tc>
          <w:tcPr>
            <w:tcW w:w="989" w:type="dxa"/>
            <w:vMerge/>
            <w:tcBorders>
              <w:top w:val="nil"/>
              <w:left w:val="single" w:sz="8" w:space="0" w:color="auto"/>
              <w:bottom w:val="single" w:sz="8" w:space="0" w:color="000000"/>
              <w:right w:val="single" w:sz="8" w:space="0" w:color="auto"/>
            </w:tcBorders>
            <w:vAlign w:val="center"/>
            <w:hideMark/>
          </w:tcPr>
          <w:p w14:paraId="42006096" w14:textId="77777777" w:rsidR="004440AF" w:rsidRPr="004440AF" w:rsidRDefault="004440AF" w:rsidP="004440AF">
            <w:pPr>
              <w:spacing w:after="0"/>
              <w:rPr>
                <w:rFonts w:ascii="Garamond" w:eastAsia="Times New Roman" w:hAnsi="Garamond" w:cs="Tahoma"/>
                <w:color w:val="333333"/>
                <w:sz w:val="20"/>
                <w:szCs w:val="20"/>
                <w:lang w:eastAsia="en-AU"/>
              </w:rPr>
            </w:pPr>
          </w:p>
        </w:tc>
        <w:tc>
          <w:tcPr>
            <w:tcW w:w="1587" w:type="dxa"/>
            <w:tcBorders>
              <w:top w:val="single" w:sz="8" w:space="0" w:color="auto"/>
              <w:left w:val="nil"/>
              <w:bottom w:val="single" w:sz="8" w:space="0" w:color="000000"/>
              <w:right w:val="single" w:sz="8" w:space="0" w:color="auto"/>
            </w:tcBorders>
            <w:shd w:val="clear" w:color="auto" w:fill="F2DBDB" w:themeFill="accent2" w:themeFillTint="33"/>
            <w:vAlign w:val="center"/>
            <w:hideMark/>
          </w:tcPr>
          <w:p w14:paraId="23863AB4" w14:textId="575DC342" w:rsidR="004440AF" w:rsidRPr="004440AF" w:rsidRDefault="004440AF" w:rsidP="004440AF">
            <w:pPr>
              <w:spacing w:after="0"/>
              <w:jc w:val="center"/>
              <w:rPr>
                <w:rFonts w:ascii="Garamond" w:eastAsia="Times New Roman" w:hAnsi="Garamond" w:cs="Tahoma"/>
                <w:color w:val="333333"/>
                <w:sz w:val="20"/>
                <w:szCs w:val="20"/>
                <w:lang w:eastAsia="en-AU"/>
              </w:rPr>
            </w:pPr>
            <w:r w:rsidRPr="003B6FF1">
              <w:rPr>
                <w:rFonts w:ascii="Garamond" w:eastAsia="Times New Roman" w:hAnsi="Garamond" w:cs="Tahoma"/>
                <w:color w:val="333333"/>
                <w:sz w:val="20"/>
                <w:szCs w:val="20"/>
                <w:lang w:eastAsia="en-AU"/>
              </w:rPr>
              <w:t>H2</w:t>
            </w:r>
          </w:p>
        </w:tc>
        <w:tc>
          <w:tcPr>
            <w:tcW w:w="1794" w:type="dxa"/>
            <w:tcBorders>
              <w:top w:val="nil"/>
              <w:left w:val="nil"/>
              <w:bottom w:val="single" w:sz="8" w:space="0" w:color="000000"/>
              <w:right w:val="single" w:sz="8" w:space="0" w:color="000000"/>
            </w:tcBorders>
            <w:shd w:val="clear" w:color="000000" w:fill="F2DBDB"/>
            <w:vAlign w:val="center"/>
            <w:hideMark/>
          </w:tcPr>
          <w:p w14:paraId="6F86DE8F"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$95</w:t>
            </w:r>
          </w:p>
        </w:tc>
        <w:tc>
          <w:tcPr>
            <w:tcW w:w="1794" w:type="dxa"/>
            <w:tcBorders>
              <w:top w:val="nil"/>
              <w:left w:val="nil"/>
              <w:bottom w:val="single" w:sz="8" w:space="0" w:color="000000"/>
              <w:right w:val="single" w:sz="8" w:space="0" w:color="000000"/>
            </w:tcBorders>
            <w:shd w:val="clear" w:color="000000" w:fill="F2DBDB"/>
            <w:vAlign w:val="center"/>
            <w:hideMark/>
          </w:tcPr>
          <w:p w14:paraId="2415059E"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13,318</w:t>
            </w:r>
          </w:p>
        </w:tc>
        <w:tc>
          <w:tcPr>
            <w:tcW w:w="1794" w:type="dxa"/>
            <w:tcBorders>
              <w:top w:val="nil"/>
              <w:left w:val="nil"/>
              <w:bottom w:val="single" w:sz="8" w:space="0" w:color="000000"/>
              <w:right w:val="single" w:sz="8" w:space="0" w:color="000000"/>
            </w:tcBorders>
            <w:shd w:val="clear" w:color="000000" w:fill="F2DBDB"/>
            <w:vAlign w:val="center"/>
            <w:hideMark/>
          </w:tcPr>
          <w:p w14:paraId="55854701"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13,462</w:t>
            </w:r>
          </w:p>
        </w:tc>
        <w:tc>
          <w:tcPr>
            <w:tcW w:w="1794" w:type="dxa"/>
            <w:tcBorders>
              <w:top w:val="nil"/>
              <w:left w:val="nil"/>
              <w:bottom w:val="single" w:sz="8" w:space="0" w:color="000000"/>
              <w:right w:val="single" w:sz="8" w:space="0" w:color="000000"/>
            </w:tcBorders>
            <w:shd w:val="clear" w:color="000000" w:fill="F2DBDB"/>
            <w:vAlign w:val="center"/>
            <w:hideMark/>
          </w:tcPr>
          <w:p w14:paraId="7501CB93" w14:textId="77777777" w:rsidR="004440AF" w:rsidRPr="004440AF" w:rsidRDefault="004440AF" w:rsidP="004440AF">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1,533</w:t>
            </w:r>
          </w:p>
        </w:tc>
      </w:tr>
      <w:tr w:rsidR="00552EAE" w:rsidRPr="004440AF" w14:paraId="2C09A9C8" w14:textId="77777777" w:rsidTr="004440AF">
        <w:trPr>
          <w:trHeight w:val="142"/>
        </w:trPr>
        <w:tc>
          <w:tcPr>
            <w:tcW w:w="989" w:type="dxa"/>
            <w:vMerge/>
            <w:tcBorders>
              <w:top w:val="nil"/>
              <w:left w:val="single" w:sz="8" w:space="0" w:color="auto"/>
              <w:bottom w:val="single" w:sz="8" w:space="0" w:color="000000"/>
              <w:right w:val="single" w:sz="8" w:space="0" w:color="auto"/>
            </w:tcBorders>
            <w:vAlign w:val="center"/>
            <w:hideMark/>
          </w:tcPr>
          <w:p w14:paraId="4E6E8E3B" w14:textId="77777777" w:rsidR="00552EAE" w:rsidRPr="004440AF" w:rsidRDefault="00552EAE" w:rsidP="00106499">
            <w:pPr>
              <w:spacing w:after="0"/>
              <w:rPr>
                <w:rFonts w:ascii="Garamond" w:eastAsia="Times New Roman" w:hAnsi="Garamond" w:cs="Tahoma"/>
                <w:color w:val="333333"/>
                <w:sz w:val="20"/>
                <w:szCs w:val="20"/>
                <w:lang w:eastAsia="en-AU"/>
              </w:rPr>
            </w:pPr>
          </w:p>
        </w:tc>
        <w:tc>
          <w:tcPr>
            <w:tcW w:w="1587" w:type="dxa"/>
            <w:tcBorders>
              <w:top w:val="nil"/>
              <w:left w:val="nil"/>
              <w:bottom w:val="single" w:sz="8" w:space="0" w:color="000000"/>
              <w:right w:val="single" w:sz="8" w:space="0" w:color="000000"/>
            </w:tcBorders>
            <w:shd w:val="clear" w:color="000000" w:fill="000000"/>
            <w:vAlign w:val="center"/>
            <w:hideMark/>
          </w:tcPr>
          <w:p w14:paraId="02534481" w14:textId="77777777" w:rsidR="00552EAE" w:rsidRPr="004440AF" w:rsidRDefault="00552EAE" w:rsidP="00106499">
            <w:pPr>
              <w:spacing w:after="0"/>
              <w:rPr>
                <w:rFonts w:ascii="Garamond" w:eastAsia="Times New Roman" w:hAnsi="Garamond" w:cs="Arial"/>
                <w:b/>
                <w:color w:val="FFFFFF"/>
                <w:sz w:val="20"/>
                <w:szCs w:val="20"/>
                <w:lang w:eastAsia="en-AU"/>
              </w:rPr>
            </w:pPr>
            <w:r w:rsidRPr="004440AF">
              <w:rPr>
                <w:rFonts w:ascii="Garamond" w:eastAsia="Times New Roman" w:hAnsi="Garamond" w:cs="Arial"/>
                <w:b/>
                <w:color w:val="FFFFFF"/>
                <w:sz w:val="20"/>
                <w:szCs w:val="20"/>
                <w:lang w:eastAsia="en-AU"/>
              </w:rPr>
              <w:t>Total</w:t>
            </w:r>
          </w:p>
        </w:tc>
        <w:tc>
          <w:tcPr>
            <w:tcW w:w="1794" w:type="dxa"/>
            <w:tcBorders>
              <w:top w:val="nil"/>
              <w:left w:val="nil"/>
              <w:bottom w:val="single" w:sz="8" w:space="0" w:color="000000"/>
              <w:right w:val="single" w:sz="8" w:space="0" w:color="000000"/>
            </w:tcBorders>
            <w:shd w:val="clear" w:color="000000" w:fill="0D0D0D"/>
            <w:vAlign w:val="center"/>
            <w:hideMark/>
          </w:tcPr>
          <w:p w14:paraId="4F77BEE3"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$95</w:t>
            </w:r>
          </w:p>
        </w:tc>
        <w:tc>
          <w:tcPr>
            <w:tcW w:w="1794" w:type="dxa"/>
            <w:tcBorders>
              <w:top w:val="nil"/>
              <w:left w:val="nil"/>
              <w:bottom w:val="single" w:sz="8" w:space="0" w:color="000000"/>
              <w:right w:val="single" w:sz="8" w:space="0" w:color="000000"/>
            </w:tcBorders>
            <w:shd w:val="clear" w:color="000000" w:fill="0D0D0D"/>
            <w:vAlign w:val="center"/>
            <w:hideMark/>
          </w:tcPr>
          <w:p w14:paraId="3FE2E2E2"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25,722</w:t>
            </w:r>
          </w:p>
        </w:tc>
        <w:tc>
          <w:tcPr>
            <w:tcW w:w="1794" w:type="dxa"/>
            <w:tcBorders>
              <w:top w:val="nil"/>
              <w:left w:val="nil"/>
              <w:bottom w:val="single" w:sz="8" w:space="0" w:color="000000"/>
              <w:right w:val="single" w:sz="8" w:space="0" w:color="000000"/>
            </w:tcBorders>
            <w:shd w:val="clear" w:color="000000" w:fill="0D0D0D"/>
            <w:vAlign w:val="center"/>
            <w:hideMark/>
          </w:tcPr>
          <w:p w14:paraId="7E26CF77"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25,884</w:t>
            </w:r>
          </w:p>
        </w:tc>
        <w:tc>
          <w:tcPr>
            <w:tcW w:w="1794" w:type="dxa"/>
            <w:tcBorders>
              <w:top w:val="nil"/>
              <w:left w:val="nil"/>
              <w:bottom w:val="single" w:sz="8" w:space="0" w:color="000000"/>
              <w:right w:val="single" w:sz="8" w:space="0" w:color="000000"/>
            </w:tcBorders>
            <w:shd w:val="clear" w:color="000000" w:fill="0D0D0D"/>
            <w:vAlign w:val="center"/>
            <w:hideMark/>
          </w:tcPr>
          <w:p w14:paraId="31F2007E"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1,946</w:t>
            </w:r>
          </w:p>
        </w:tc>
      </w:tr>
    </w:tbl>
    <w:p w14:paraId="09C3267D" w14:textId="77777777" w:rsidR="00552EAE" w:rsidRPr="00694350" w:rsidRDefault="00552EAE" w:rsidP="00552EAE">
      <w:pPr>
        <w:pStyle w:val="08Tablefootnotes"/>
        <w:rPr>
          <w:color w:val="000000" w:themeColor="text1"/>
        </w:rPr>
      </w:pPr>
      <w:r w:rsidRPr="00694350">
        <w:rPr>
          <w:rFonts w:ascii="Garamond" w:hAnsi="Garamond"/>
        </w:rPr>
        <w:t xml:space="preserve">Source: DHS claims systems extracts for years 2011/12, 2012/13 and 2013/14, Pharmacy Guild claims systems extracts for years 2014/15 and 2015/16. </w:t>
      </w:r>
    </w:p>
    <w:p w14:paraId="1EA8522B" w14:textId="77777777" w:rsidR="00552EAE" w:rsidRPr="00694350" w:rsidRDefault="00552EAE" w:rsidP="00552EAE">
      <w:pPr>
        <w:pStyle w:val="08Tablefootnotes"/>
        <w:rPr>
          <w:rFonts w:ascii="Garamond" w:hAnsi="Garamond"/>
        </w:rPr>
      </w:pPr>
      <w:r w:rsidRPr="00694350">
        <w:rPr>
          <w:rFonts w:ascii="Garamond" w:hAnsi="Garamond"/>
        </w:rPr>
        <w:t>Abbreviations: BE, Business Entity (includes sole traders)</w:t>
      </w:r>
    </w:p>
    <w:p w14:paraId="3A64FD69" w14:textId="77777777" w:rsidR="00552EAE" w:rsidRDefault="00552EAE" w:rsidP="00552EAE">
      <w:pPr>
        <w:pStyle w:val="08Tablefootnotes"/>
        <w:rPr>
          <w:rFonts w:ascii="Garamond" w:hAnsi="Garamond"/>
        </w:rPr>
      </w:pPr>
      <w:r w:rsidRPr="00694350">
        <w:rPr>
          <w:rFonts w:ascii="Garamond" w:hAnsi="Garamond"/>
        </w:rPr>
        <w:t xml:space="preserve">Note 1: Provider identifiers in years 2011/12, 2012/13 and 2013/14 were supplied in encrypted form. They have been categorised in cases where the encrypted identifier was also used in the 2014/15 or in 2015/16 datasets and in cases where the S90 </w:t>
      </w:r>
      <w:r>
        <w:rPr>
          <w:rFonts w:ascii="Garamond" w:hAnsi="Garamond"/>
        </w:rPr>
        <w:t xml:space="preserve">Pharmacy identifier was supplied </w:t>
      </w:r>
    </w:p>
    <w:p w14:paraId="4F5A6B0D" w14:textId="7751FE7B" w:rsidR="00552EAE" w:rsidRDefault="00552EAE" w:rsidP="004440AF">
      <w:pPr>
        <w:pStyle w:val="01BODYTEXT"/>
      </w:pPr>
      <w:r w:rsidRPr="0044056C">
        <w:t>In the first half of 2012-2013, there were 740 participating pharmacies</w:t>
      </w:r>
      <w:r w:rsidR="004440AF">
        <w:t>.  P</w:t>
      </w:r>
      <w:r w:rsidRPr="0044056C">
        <w:t xml:space="preserve">articipation increased rapidly </w:t>
      </w:r>
      <w:r>
        <w:t xml:space="preserve">and </w:t>
      </w:r>
      <w:r w:rsidRPr="0044056C">
        <w:t>peak</w:t>
      </w:r>
      <w:r>
        <w:t>ed</w:t>
      </w:r>
      <w:r w:rsidRPr="0044056C">
        <w:t xml:space="preserve"> in the second half of 2013-2014 </w:t>
      </w:r>
      <w:r>
        <w:t>at</w:t>
      </w:r>
      <w:r w:rsidRPr="0044056C">
        <w:t xml:space="preserve"> 1,662 unique pharmacies, an increase of 922 pharmacies or 125%. </w:t>
      </w:r>
      <w:r>
        <w:t xml:space="preserve"> </w:t>
      </w:r>
      <w:r w:rsidRPr="0044056C">
        <w:t>In the second half of 2015-2016 (</w:t>
      </w:r>
      <w:r>
        <w:t>post-cap</w:t>
      </w:r>
      <w:r w:rsidRPr="0044056C">
        <w:t xml:space="preserve">), participating pharmacies </w:t>
      </w:r>
      <w:r>
        <w:t>reduced</w:t>
      </w:r>
      <w:r w:rsidRPr="0044056C">
        <w:t xml:space="preserve"> to 1,533 pharmacies, a </w:t>
      </w:r>
      <w:r>
        <w:t>reduction</w:t>
      </w:r>
      <w:r w:rsidRPr="0044056C">
        <w:t xml:space="preserve"> of 129 pharmacies (8%). </w:t>
      </w:r>
      <w:r>
        <w:t xml:space="preserve"> </w:t>
      </w:r>
      <w:r w:rsidRPr="0044056C">
        <w:t xml:space="preserve">The claims cap is clearly a driver of patient volumes but it is also likely that the claims cap was the primary driver for reduced </w:t>
      </w:r>
      <w:r>
        <w:t>pharmacy participation</w:t>
      </w:r>
      <w:r w:rsidRPr="0044056C">
        <w:t xml:space="preserve">, </w:t>
      </w:r>
      <w:r>
        <w:t xml:space="preserve">with </w:t>
      </w:r>
      <w:r>
        <w:lastRenderedPageBreak/>
        <w:t xml:space="preserve">the policy change </w:t>
      </w:r>
      <w:r w:rsidRPr="0044056C">
        <w:t>affecting the economics of participation and signalling to pharmacies greater stringency in claims policies, claims processing rigour and guideline enforcement.</w:t>
      </w:r>
    </w:p>
    <w:p w14:paraId="5AC9BD9E" w14:textId="598568B3" w:rsidR="00552EAE" w:rsidRDefault="004440AF" w:rsidP="00552EAE">
      <w:pPr>
        <w:pStyle w:val="Heading2"/>
        <w:numPr>
          <w:ilvl w:val="1"/>
          <w:numId w:val="37"/>
        </w:numPr>
      </w:pPr>
      <w:r>
        <w:t xml:space="preserve">Diabetes MedsCheck </w:t>
      </w:r>
      <w:r w:rsidR="00552EAE">
        <w:t>Claims by geographic location</w:t>
      </w:r>
    </w:p>
    <w:p w14:paraId="087C45D2" w14:textId="17DF58FF" w:rsidR="00552EAE" w:rsidRDefault="0009681A" w:rsidP="00552EAE">
      <w:pPr>
        <w:pStyle w:val="BodyText"/>
      </w:pPr>
      <w:r>
        <w:fldChar w:fldCharType="begin"/>
      </w:r>
      <w:r>
        <w:instrText xml:space="preserve"> REF _Ref522801368 \h </w:instrText>
      </w:r>
      <w:r>
        <w:fldChar w:fldCharType="separate"/>
      </w:r>
      <w:r w:rsidR="009047A7">
        <w:t xml:space="preserve">Table </w:t>
      </w:r>
      <w:r w:rsidR="009047A7">
        <w:rPr>
          <w:noProof/>
        </w:rPr>
        <w:t>7</w:t>
      </w:r>
      <w:r w:rsidR="009047A7">
        <w:t>.</w:t>
      </w:r>
      <w:r w:rsidR="009047A7">
        <w:rPr>
          <w:noProof/>
        </w:rPr>
        <w:t>4</w:t>
      </w:r>
      <w:r>
        <w:fldChar w:fldCharType="end"/>
      </w:r>
      <w:r w:rsidR="009758B9">
        <w:t xml:space="preserve"> </w:t>
      </w:r>
      <w:r w:rsidR="00552EAE" w:rsidRPr="000F48FC">
        <w:t xml:space="preserve">summarises the </w:t>
      </w:r>
      <w:r w:rsidR="00552EAE">
        <w:t>key utilisation metrics with regard to patient, provider and Diabetes MedsCheck service volumes.</w:t>
      </w:r>
    </w:p>
    <w:p w14:paraId="228F4097" w14:textId="13F7EB1B" w:rsidR="00552EAE" w:rsidRDefault="0009681A" w:rsidP="0009681A">
      <w:pPr>
        <w:pStyle w:val="Caption"/>
      </w:pPr>
      <w:bookmarkStart w:id="86" w:name="_Ref522801368"/>
      <w:r>
        <w:t xml:space="preserve">Table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Table \* ARABIC \s 1 </w:instrText>
      </w:r>
      <w:r w:rsidR="009047A7">
        <w:rPr>
          <w:noProof/>
        </w:rPr>
        <w:fldChar w:fldCharType="separate"/>
      </w:r>
      <w:r w:rsidR="009047A7">
        <w:rPr>
          <w:noProof/>
        </w:rPr>
        <w:t>4</w:t>
      </w:r>
      <w:r w:rsidR="009047A7">
        <w:rPr>
          <w:noProof/>
        </w:rPr>
        <w:fldChar w:fldCharType="end"/>
      </w:r>
      <w:bookmarkEnd w:id="86"/>
      <w:r w:rsidR="00552EAE" w:rsidRPr="003F79EB">
        <w:t xml:space="preserve">: Key utilisation metrics </w:t>
      </w:r>
      <w:r w:rsidR="003F79EB">
        <w:t xml:space="preserve">by ABS remoteness - </w:t>
      </w:r>
      <w:r w:rsidR="00552EAE" w:rsidRPr="003F79EB">
        <w:t>July 2011 to June 2016</w:t>
      </w:r>
    </w:p>
    <w:tbl>
      <w:tblPr>
        <w:tblW w:w="5000" w:type="pct"/>
        <w:tblLook w:val="04A0" w:firstRow="1" w:lastRow="0" w:firstColumn="1" w:lastColumn="0" w:noHBand="0" w:noVBand="1"/>
        <w:tblCaption w:val="Table 7.4"/>
        <w:tblDescription w:val="Key utilisation metrics by ABS remoteness - July 2011 to June 2016"/>
      </w:tblPr>
      <w:tblGrid>
        <w:gridCol w:w="1706"/>
        <w:gridCol w:w="2791"/>
        <w:gridCol w:w="1707"/>
        <w:gridCol w:w="1707"/>
        <w:gridCol w:w="1707"/>
      </w:tblGrid>
      <w:tr w:rsidR="00552EAE" w:rsidRPr="004440AF" w14:paraId="34257F44" w14:textId="77777777" w:rsidTr="003A1AB7">
        <w:trPr>
          <w:trHeight w:val="142"/>
          <w:tblHeader/>
        </w:trPr>
        <w:tc>
          <w:tcPr>
            <w:tcW w:w="1706" w:type="dxa"/>
            <w:tcBorders>
              <w:top w:val="single" w:sz="8" w:space="0" w:color="auto"/>
              <w:left w:val="single" w:sz="8" w:space="0" w:color="auto"/>
              <w:bottom w:val="single" w:sz="8" w:space="0" w:color="auto"/>
              <w:right w:val="single" w:sz="8" w:space="0" w:color="auto"/>
            </w:tcBorders>
            <w:shd w:val="clear" w:color="000000" w:fill="632423"/>
            <w:vAlign w:val="center"/>
            <w:hideMark/>
          </w:tcPr>
          <w:p w14:paraId="6CAD9647"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Period</w:t>
            </w:r>
          </w:p>
        </w:tc>
        <w:tc>
          <w:tcPr>
            <w:tcW w:w="2791" w:type="dxa"/>
            <w:tcBorders>
              <w:top w:val="single" w:sz="8" w:space="0" w:color="auto"/>
              <w:left w:val="nil"/>
              <w:bottom w:val="single" w:sz="8" w:space="0" w:color="auto"/>
              <w:right w:val="single" w:sz="8" w:space="0" w:color="auto"/>
            </w:tcBorders>
            <w:shd w:val="clear" w:color="000000" w:fill="632423"/>
            <w:vAlign w:val="center"/>
            <w:hideMark/>
          </w:tcPr>
          <w:p w14:paraId="5A6B0F30"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ABS remoteness</w:t>
            </w:r>
          </w:p>
        </w:tc>
        <w:tc>
          <w:tcPr>
            <w:tcW w:w="1707" w:type="dxa"/>
            <w:tcBorders>
              <w:top w:val="single" w:sz="8" w:space="0" w:color="auto"/>
              <w:left w:val="nil"/>
              <w:bottom w:val="single" w:sz="8" w:space="0" w:color="auto"/>
              <w:right w:val="single" w:sz="8" w:space="0" w:color="auto"/>
            </w:tcBorders>
            <w:shd w:val="clear" w:color="000000" w:fill="632423"/>
            <w:vAlign w:val="center"/>
            <w:hideMark/>
          </w:tcPr>
          <w:p w14:paraId="583285C5" w14:textId="77777777"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Patient volume</w:t>
            </w:r>
          </w:p>
        </w:tc>
        <w:tc>
          <w:tcPr>
            <w:tcW w:w="1707" w:type="dxa"/>
            <w:tcBorders>
              <w:top w:val="single" w:sz="8" w:space="0" w:color="auto"/>
              <w:left w:val="nil"/>
              <w:bottom w:val="single" w:sz="8" w:space="0" w:color="auto"/>
              <w:right w:val="single" w:sz="8" w:space="0" w:color="auto"/>
            </w:tcBorders>
            <w:shd w:val="clear" w:color="000000" w:fill="632423"/>
            <w:vAlign w:val="center"/>
            <w:hideMark/>
          </w:tcPr>
          <w:p w14:paraId="2542AE89" w14:textId="04820A7D" w:rsidR="00552EAE" w:rsidRPr="004440AF" w:rsidRDefault="004440AF" w:rsidP="00106499">
            <w:pPr>
              <w:spacing w:after="0"/>
              <w:jc w:val="center"/>
              <w:rPr>
                <w:rFonts w:ascii="Garamond" w:eastAsia="Times New Roman" w:hAnsi="Garamond" w:cs="Arial"/>
                <w:b/>
                <w:bCs/>
                <w:color w:val="FFFFFF"/>
                <w:sz w:val="20"/>
                <w:szCs w:val="20"/>
                <w:lang w:eastAsia="en-AU"/>
              </w:rPr>
            </w:pPr>
            <w:r>
              <w:rPr>
                <w:rFonts w:ascii="Garamond" w:eastAsia="Times New Roman" w:hAnsi="Garamond" w:cs="Arial"/>
                <w:b/>
                <w:bCs/>
                <w:color w:val="FFFFFF"/>
                <w:sz w:val="20"/>
                <w:szCs w:val="20"/>
                <w:lang w:eastAsia="en-AU"/>
              </w:rPr>
              <w:t>S</w:t>
            </w:r>
            <w:r w:rsidR="00552EAE" w:rsidRPr="004440AF">
              <w:rPr>
                <w:rFonts w:ascii="Garamond" w:eastAsia="Times New Roman" w:hAnsi="Garamond" w:cs="Arial"/>
                <w:b/>
                <w:bCs/>
                <w:color w:val="FFFFFF"/>
                <w:sz w:val="20"/>
                <w:szCs w:val="20"/>
                <w:lang w:eastAsia="en-AU"/>
              </w:rPr>
              <w:t>ervice volume</w:t>
            </w:r>
          </w:p>
        </w:tc>
        <w:tc>
          <w:tcPr>
            <w:tcW w:w="1707" w:type="dxa"/>
            <w:tcBorders>
              <w:top w:val="single" w:sz="8" w:space="0" w:color="auto"/>
              <w:left w:val="nil"/>
              <w:bottom w:val="single" w:sz="8" w:space="0" w:color="auto"/>
              <w:right w:val="single" w:sz="8" w:space="0" w:color="auto"/>
            </w:tcBorders>
            <w:shd w:val="clear" w:color="000000" w:fill="632423"/>
            <w:vAlign w:val="center"/>
            <w:hideMark/>
          </w:tcPr>
          <w:p w14:paraId="0A2E7AB1" w14:textId="54333B16" w:rsidR="00552EAE" w:rsidRPr="004440AF" w:rsidRDefault="00552EAE" w:rsidP="00106499">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 xml:space="preserve">Provider </w:t>
            </w:r>
            <w:r w:rsidR="00FD3850">
              <w:rPr>
                <w:rFonts w:ascii="Garamond" w:eastAsia="Times New Roman" w:hAnsi="Garamond" w:cs="Arial"/>
                <w:b/>
                <w:bCs/>
                <w:color w:val="FFFFFF"/>
                <w:sz w:val="20"/>
                <w:szCs w:val="20"/>
                <w:lang w:eastAsia="en-AU"/>
              </w:rPr>
              <w:t>v</w:t>
            </w:r>
            <w:r w:rsidRPr="004440AF">
              <w:rPr>
                <w:rFonts w:ascii="Garamond" w:eastAsia="Times New Roman" w:hAnsi="Garamond" w:cs="Arial"/>
                <w:b/>
                <w:bCs/>
                <w:color w:val="FFFFFF"/>
                <w:sz w:val="20"/>
                <w:szCs w:val="20"/>
                <w:lang w:eastAsia="en-AU"/>
              </w:rPr>
              <w:t>olume</w:t>
            </w:r>
          </w:p>
        </w:tc>
      </w:tr>
      <w:tr w:rsidR="003A1AB7" w:rsidRPr="004440AF" w14:paraId="2CE904F6" w14:textId="77777777" w:rsidTr="003A1AB7">
        <w:trPr>
          <w:trHeight w:val="142"/>
        </w:trPr>
        <w:tc>
          <w:tcPr>
            <w:tcW w:w="170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D901891" w14:textId="77777777" w:rsidR="003A1AB7" w:rsidRPr="004440AF" w:rsidRDefault="003A1AB7" w:rsidP="003A1AB7">
            <w:pPr>
              <w:spacing w:after="0"/>
              <w:jc w:val="center"/>
              <w:rPr>
                <w:rFonts w:ascii="Garamond" w:eastAsia="Times New Roman" w:hAnsi="Garamond" w:cs="Tahoma"/>
                <w:color w:val="333333"/>
                <w:sz w:val="20"/>
                <w:szCs w:val="20"/>
                <w:lang w:eastAsia="en-AU"/>
              </w:rPr>
            </w:pPr>
            <w:r w:rsidRPr="004440AF">
              <w:rPr>
                <w:rFonts w:ascii="Garamond" w:eastAsia="Times New Roman" w:hAnsi="Garamond" w:cs="Tahoma"/>
                <w:color w:val="333333"/>
                <w:sz w:val="20"/>
                <w:szCs w:val="20"/>
                <w:lang w:eastAsia="en-AU"/>
              </w:rPr>
              <w:t>2012-2013</w:t>
            </w:r>
          </w:p>
        </w:tc>
        <w:tc>
          <w:tcPr>
            <w:tcW w:w="2791" w:type="dxa"/>
            <w:tcBorders>
              <w:top w:val="nil"/>
              <w:left w:val="nil"/>
              <w:bottom w:val="single" w:sz="8" w:space="0" w:color="000000"/>
              <w:right w:val="single" w:sz="8" w:space="0" w:color="000000"/>
            </w:tcBorders>
            <w:shd w:val="clear" w:color="000000" w:fill="FFFFFF"/>
            <w:vAlign w:val="center"/>
          </w:tcPr>
          <w:p w14:paraId="3C0B2361" w14:textId="2511C4ED"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Major Cities of Australia</w:t>
            </w:r>
          </w:p>
        </w:tc>
        <w:tc>
          <w:tcPr>
            <w:tcW w:w="1707" w:type="dxa"/>
            <w:tcBorders>
              <w:top w:val="nil"/>
              <w:left w:val="nil"/>
              <w:bottom w:val="single" w:sz="8" w:space="0" w:color="000000"/>
              <w:right w:val="single" w:sz="8" w:space="0" w:color="000000"/>
            </w:tcBorders>
            <w:shd w:val="clear" w:color="000000" w:fill="FFFFFF"/>
            <w:vAlign w:val="center"/>
          </w:tcPr>
          <w:p w14:paraId="12591CA1" w14:textId="35BC6FD8"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12,017</w:t>
            </w:r>
          </w:p>
        </w:tc>
        <w:tc>
          <w:tcPr>
            <w:tcW w:w="1707" w:type="dxa"/>
            <w:tcBorders>
              <w:top w:val="nil"/>
              <w:left w:val="nil"/>
              <w:bottom w:val="single" w:sz="8" w:space="0" w:color="000000"/>
              <w:right w:val="single" w:sz="8" w:space="0" w:color="000000"/>
            </w:tcBorders>
            <w:shd w:val="clear" w:color="000000" w:fill="FFFFFF"/>
            <w:vAlign w:val="center"/>
          </w:tcPr>
          <w:p w14:paraId="7FABFE89" w14:textId="191B90B5"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12,734</w:t>
            </w:r>
          </w:p>
        </w:tc>
        <w:tc>
          <w:tcPr>
            <w:tcW w:w="1707" w:type="dxa"/>
            <w:tcBorders>
              <w:top w:val="nil"/>
              <w:left w:val="nil"/>
              <w:bottom w:val="single" w:sz="8" w:space="0" w:color="000000"/>
              <w:right w:val="single" w:sz="8" w:space="0" w:color="000000"/>
            </w:tcBorders>
            <w:shd w:val="clear" w:color="000000" w:fill="FFFFFF"/>
            <w:vAlign w:val="center"/>
          </w:tcPr>
          <w:p w14:paraId="0450DADD" w14:textId="518B1E0F"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922</w:t>
            </w:r>
          </w:p>
        </w:tc>
      </w:tr>
      <w:tr w:rsidR="003A1AB7" w:rsidRPr="004440AF" w14:paraId="29AED532"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02701F72"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tcPr>
          <w:p w14:paraId="2273163B" w14:textId="610D090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Inner Regional Australia</w:t>
            </w:r>
          </w:p>
        </w:tc>
        <w:tc>
          <w:tcPr>
            <w:tcW w:w="1707" w:type="dxa"/>
            <w:tcBorders>
              <w:top w:val="nil"/>
              <w:left w:val="nil"/>
              <w:bottom w:val="single" w:sz="8" w:space="0" w:color="000000"/>
              <w:right w:val="single" w:sz="8" w:space="0" w:color="000000"/>
            </w:tcBorders>
            <w:shd w:val="clear" w:color="000000" w:fill="F2DBDB"/>
            <w:vAlign w:val="center"/>
          </w:tcPr>
          <w:p w14:paraId="3428A9A8" w14:textId="4C203ABE"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2,055</w:t>
            </w:r>
          </w:p>
        </w:tc>
        <w:tc>
          <w:tcPr>
            <w:tcW w:w="1707" w:type="dxa"/>
            <w:tcBorders>
              <w:top w:val="nil"/>
              <w:left w:val="nil"/>
              <w:bottom w:val="single" w:sz="8" w:space="0" w:color="000000"/>
              <w:right w:val="single" w:sz="8" w:space="0" w:color="000000"/>
            </w:tcBorders>
            <w:shd w:val="clear" w:color="000000" w:fill="F2DBDB"/>
            <w:vAlign w:val="center"/>
          </w:tcPr>
          <w:p w14:paraId="170162CF" w14:textId="0B7A65C4"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2,197</w:t>
            </w:r>
          </w:p>
        </w:tc>
        <w:tc>
          <w:tcPr>
            <w:tcW w:w="1707" w:type="dxa"/>
            <w:tcBorders>
              <w:top w:val="nil"/>
              <w:left w:val="nil"/>
              <w:bottom w:val="single" w:sz="8" w:space="0" w:color="000000"/>
              <w:right w:val="single" w:sz="8" w:space="0" w:color="000000"/>
            </w:tcBorders>
            <w:shd w:val="clear" w:color="000000" w:fill="F2DBDB"/>
            <w:vAlign w:val="center"/>
          </w:tcPr>
          <w:p w14:paraId="2B384B55" w14:textId="719EC26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259</w:t>
            </w:r>
          </w:p>
        </w:tc>
      </w:tr>
      <w:tr w:rsidR="003A1AB7" w:rsidRPr="004440AF" w14:paraId="16922623"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3335A66C"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FFFFF"/>
            <w:vAlign w:val="center"/>
            <w:hideMark/>
          </w:tcPr>
          <w:p w14:paraId="2C3E4D1C"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Outer Regional Australia</w:t>
            </w:r>
          </w:p>
        </w:tc>
        <w:tc>
          <w:tcPr>
            <w:tcW w:w="1707" w:type="dxa"/>
            <w:tcBorders>
              <w:top w:val="nil"/>
              <w:left w:val="nil"/>
              <w:bottom w:val="single" w:sz="8" w:space="0" w:color="000000"/>
              <w:right w:val="single" w:sz="8" w:space="0" w:color="000000"/>
            </w:tcBorders>
            <w:shd w:val="clear" w:color="000000" w:fill="FFFFFF"/>
            <w:vAlign w:val="center"/>
            <w:hideMark/>
          </w:tcPr>
          <w:p w14:paraId="6D20F6C6"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584</w:t>
            </w:r>
          </w:p>
        </w:tc>
        <w:tc>
          <w:tcPr>
            <w:tcW w:w="1707" w:type="dxa"/>
            <w:tcBorders>
              <w:top w:val="nil"/>
              <w:left w:val="nil"/>
              <w:bottom w:val="single" w:sz="8" w:space="0" w:color="000000"/>
              <w:right w:val="single" w:sz="8" w:space="0" w:color="000000"/>
            </w:tcBorders>
            <w:shd w:val="clear" w:color="000000" w:fill="FFFFFF"/>
            <w:vAlign w:val="center"/>
            <w:hideMark/>
          </w:tcPr>
          <w:p w14:paraId="24A7EE56"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609</w:t>
            </w:r>
          </w:p>
        </w:tc>
        <w:tc>
          <w:tcPr>
            <w:tcW w:w="1707" w:type="dxa"/>
            <w:tcBorders>
              <w:top w:val="nil"/>
              <w:left w:val="nil"/>
              <w:bottom w:val="single" w:sz="8" w:space="0" w:color="000000"/>
              <w:right w:val="single" w:sz="8" w:space="0" w:color="000000"/>
            </w:tcBorders>
            <w:shd w:val="clear" w:color="000000" w:fill="FFFFFF"/>
            <w:vAlign w:val="center"/>
            <w:hideMark/>
          </w:tcPr>
          <w:p w14:paraId="596F1C01"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110</w:t>
            </w:r>
          </w:p>
        </w:tc>
      </w:tr>
      <w:tr w:rsidR="003A1AB7" w:rsidRPr="004440AF" w14:paraId="1976CCD1"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7FCDC309"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hideMark/>
          </w:tcPr>
          <w:p w14:paraId="13C02490"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Remote Australia</w:t>
            </w:r>
          </w:p>
        </w:tc>
        <w:tc>
          <w:tcPr>
            <w:tcW w:w="1707" w:type="dxa"/>
            <w:tcBorders>
              <w:top w:val="nil"/>
              <w:left w:val="nil"/>
              <w:bottom w:val="single" w:sz="8" w:space="0" w:color="000000"/>
              <w:right w:val="single" w:sz="8" w:space="0" w:color="000000"/>
            </w:tcBorders>
            <w:shd w:val="clear" w:color="000000" w:fill="F2DBDB"/>
            <w:vAlign w:val="center"/>
            <w:hideMark/>
          </w:tcPr>
          <w:p w14:paraId="4D475831"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146</w:t>
            </w:r>
          </w:p>
        </w:tc>
        <w:tc>
          <w:tcPr>
            <w:tcW w:w="1707" w:type="dxa"/>
            <w:tcBorders>
              <w:top w:val="nil"/>
              <w:left w:val="nil"/>
              <w:bottom w:val="single" w:sz="8" w:space="0" w:color="000000"/>
              <w:right w:val="single" w:sz="8" w:space="0" w:color="000000"/>
            </w:tcBorders>
            <w:shd w:val="clear" w:color="000000" w:fill="F2DBDB"/>
            <w:vAlign w:val="center"/>
            <w:hideMark/>
          </w:tcPr>
          <w:p w14:paraId="450F2C43"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155</w:t>
            </w:r>
          </w:p>
        </w:tc>
        <w:tc>
          <w:tcPr>
            <w:tcW w:w="1707" w:type="dxa"/>
            <w:tcBorders>
              <w:top w:val="nil"/>
              <w:left w:val="nil"/>
              <w:bottom w:val="single" w:sz="8" w:space="0" w:color="000000"/>
              <w:right w:val="single" w:sz="8" w:space="0" w:color="000000"/>
            </w:tcBorders>
            <w:shd w:val="clear" w:color="000000" w:fill="F2DBDB"/>
            <w:vAlign w:val="center"/>
            <w:hideMark/>
          </w:tcPr>
          <w:p w14:paraId="7221E5B9"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18</w:t>
            </w:r>
          </w:p>
        </w:tc>
      </w:tr>
      <w:tr w:rsidR="003A1AB7" w:rsidRPr="004440AF" w14:paraId="59065FE5"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7D9C22E6"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FFFFF"/>
            <w:vAlign w:val="center"/>
            <w:hideMark/>
          </w:tcPr>
          <w:p w14:paraId="69F3BB80"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Very Remote Australia</w:t>
            </w:r>
          </w:p>
        </w:tc>
        <w:tc>
          <w:tcPr>
            <w:tcW w:w="1707" w:type="dxa"/>
            <w:tcBorders>
              <w:top w:val="nil"/>
              <w:left w:val="nil"/>
              <w:bottom w:val="single" w:sz="8" w:space="0" w:color="000000"/>
              <w:right w:val="single" w:sz="8" w:space="0" w:color="000000"/>
            </w:tcBorders>
            <w:shd w:val="clear" w:color="000000" w:fill="FFFFFF"/>
            <w:vAlign w:val="center"/>
            <w:hideMark/>
          </w:tcPr>
          <w:p w14:paraId="466D17B5"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14</w:t>
            </w:r>
          </w:p>
        </w:tc>
        <w:tc>
          <w:tcPr>
            <w:tcW w:w="1707" w:type="dxa"/>
            <w:tcBorders>
              <w:top w:val="nil"/>
              <w:left w:val="nil"/>
              <w:bottom w:val="single" w:sz="8" w:space="0" w:color="000000"/>
              <w:right w:val="single" w:sz="8" w:space="0" w:color="000000"/>
            </w:tcBorders>
            <w:shd w:val="clear" w:color="000000" w:fill="FFFFFF"/>
            <w:vAlign w:val="center"/>
            <w:hideMark/>
          </w:tcPr>
          <w:p w14:paraId="62335E68"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14</w:t>
            </w:r>
          </w:p>
        </w:tc>
        <w:tc>
          <w:tcPr>
            <w:tcW w:w="1707" w:type="dxa"/>
            <w:tcBorders>
              <w:top w:val="nil"/>
              <w:left w:val="nil"/>
              <w:bottom w:val="single" w:sz="8" w:space="0" w:color="000000"/>
              <w:right w:val="single" w:sz="8" w:space="0" w:color="000000"/>
            </w:tcBorders>
            <w:shd w:val="clear" w:color="000000" w:fill="FFFFFF"/>
            <w:vAlign w:val="center"/>
            <w:hideMark/>
          </w:tcPr>
          <w:p w14:paraId="67B9ABF2"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4</w:t>
            </w:r>
          </w:p>
        </w:tc>
      </w:tr>
      <w:tr w:rsidR="003A1AB7" w:rsidRPr="004440AF" w14:paraId="365B396D"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6499AD21"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hideMark/>
          </w:tcPr>
          <w:p w14:paraId="7693BC21"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Location unknown</w:t>
            </w:r>
          </w:p>
        </w:tc>
        <w:tc>
          <w:tcPr>
            <w:tcW w:w="1707" w:type="dxa"/>
            <w:tcBorders>
              <w:top w:val="nil"/>
              <w:left w:val="nil"/>
              <w:bottom w:val="single" w:sz="8" w:space="0" w:color="000000"/>
              <w:right w:val="single" w:sz="8" w:space="0" w:color="000000"/>
            </w:tcBorders>
            <w:shd w:val="clear" w:color="000000" w:fill="F2DBDB"/>
            <w:vAlign w:val="center"/>
            <w:hideMark/>
          </w:tcPr>
          <w:p w14:paraId="1CA52278"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w:t>
            </w:r>
          </w:p>
        </w:tc>
        <w:tc>
          <w:tcPr>
            <w:tcW w:w="1707" w:type="dxa"/>
            <w:tcBorders>
              <w:top w:val="nil"/>
              <w:left w:val="nil"/>
              <w:bottom w:val="single" w:sz="8" w:space="0" w:color="000000"/>
              <w:right w:val="single" w:sz="8" w:space="0" w:color="000000"/>
            </w:tcBorders>
            <w:shd w:val="clear" w:color="000000" w:fill="F2DBDB"/>
            <w:vAlign w:val="center"/>
            <w:hideMark/>
          </w:tcPr>
          <w:p w14:paraId="06281F67"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w:t>
            </w:r>
          </w:p>
        </w:tc>
        <w:tc>
          <w:tcPr>
            <w:tcW w:w="1707" w:type="dxa"/>
            <w:tcBorders>
              <w:top w:val="nil"/>
              <w:left w:val="nil"/>
              <w:bottom w:val="single" w:sz="8" w:space="0" w:color="000000"/>
              <w:right w:val="single" w:sz="8" w:space="0" w:color="000000"/>
            </w:tcBorders>
            <w:shd w:val="clear" w:color="000000" w:fill="F2DBDB"/>
            <w:vAlign w:val="center"/>
            <w:hideMark/>
          </w:tcPr>
          <w:p w14:paraId="4C4962AC"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w:t>
            </w:r>
          </w:p>
        </w:tc>
      </w:tr>
      <w:tr w:rsidR="003A1AB7" w:rsidRPr="004440AF" w14:paraId="4648085E"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64B6D560"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000000"/>
            <w:vAlign w:val="center"/>
            <w:hideMark/>
          </w:tcPr>
          <w:p w14:paraId="5524A85A" w14:textId="77777777" w:rsidR="003A1AB7" w:rsidRPr="004440AF" w:rsidRDefault="003A1AB7" w:rsidP="003A1AB7">
            <w:pPr>
              <w:spacing w:after="0"/>
              <w:rPr>
                <w:rFonts w:ascii="Garamond" w:eastAsia="Times New Roman" w:hAnsi="Garamond" w:cs="Arial"/>
                <w:b/>
                <w:color w:val="FFFFFF"/>
                <w:sz w:val="20"/>
                <w:szCs w:val="20"/>
                <w:lang w:eastAsia="en-AU"/>
              </w:rPr>
            </w:pPr>
            <w:r w:rsidRPr="004440AF">
              <w:rPr>
                <w:rFonts w:ascii="Garamond" w:eastAsia="Times New Roman" w:hAnsi="Garamond" w:cs="Arial"/>
                <w:b/>
                <w:color w:val="FFFFFF"/>
                <w:sz w:val="20"/>
                <w:szCs w:val="20"/>
                <w:lang w:eastAsia="en-AU"/>
              </w:rPr>
              <w:t>Total</w:t>
            </w:r>
          </w:p>
        </w:tc>
        <w:tc>
          <w:tcPr>
            <w:tcW w:w="1707" w:type="dxa"/>
            <w:tcBorders>
              <w:top w:val="nil"/>
              <w:left w:val="nil"/>
              <w:bottom w:val="single" w:sz="8" w:space="0" w:color="000000"/>
              <w:right w:val="single" w:sz="8" w:space="0" w:color="000000"/>
            </w:tcBorders>
            <w:shd w:val="clear" w:color="000000" w:fill="0D0D0D"/>
            <w:vAlign w:val="center"/>
            <w:hideMark/>
          </w:tcPr>
          <w:p w14:paraId="7A5B74C9"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14,816</w:t>
            </w:r>
          </w:p>
        </w:tc>
        <w:tc>
          <w:tcPr>
            <w:tcW w:w="1707" w:type="dxa"/>
            <w:tcBorders>
              <w:top w:val="nil"/>
              <w:left w:val="nil"/>
              <w:bottom w:val="single" w:sz="8" w:space="0" w:color="000000"/>
              <w:right w:val="single" w:sz="8" w:space="0" w:color="000000"/>
            </w:tcBorders>
            <w:shd w:val="clear" w:color="000000" w:fill="0D0D0D"/>
            <w:vAlign w:val="center"/>
            <w:hideMark/>
          </w:tcPr>
          <w:p w14:paraId="219C3909"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15,710</w:t>
            </w:r>
          </w:p>
        </w:tc>
        <w:tc>
          <w:tcPr>
            <w:tcW w:w="1707" w:type="dxa"/>
            <w:tcBorders>
              <w:top w:val="nil"/>
              <w:left w:val="nil"/>
              <w:bottom w:val="single" w:sz="8" w:space="0" w:color="000000"/>
              <w:right w:val="single" w:sz="8" w:space="0" w:color="000000"/>
            </w:tcBorders>
            <w:shd w:val="clear" w:color="000000" w:fill="0D0D0D"/>
            <w:vAlign w:val="center"/>
            <w:hideMark/>
          </w:tcPr>
          <w:p w14:paraId="0144C50C"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1,314</w:t>
            </w:r>
          </w:p>
        </w:tc>
      </w:tr>
      <w:tr w:rsidR="003A1AB7" w:rsidRPr="004440AF" w14:paraId="7FB35304" w14:textId="77777777" w:rsidTr="003A1AB7">
        <w:trPr>
          <w:trHeight w:val="142"/>
        </w:trPr>
        <w:tc>
          <w:tcPr>
            <w:tcW w:w="170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75E207" w14:textId="77777777" w:rsidR="003A1AB7" w:rsidRPr="004440AF" w:rsidRDefault="003A1AB7" w:rsidP="003A1AB7">
            <w:pPr>
              <w:spacing w:after="0"/>
              <w:jc w:val="center"/>
              <w:rPr>
                <w:rFonts w:ascii="Garamond" w:eastAsia="Times New Roman" w:hAnsi="Garamond" w:cs="Tahoma"/>
                <w:color w:val="333333"/>
                <w:sz w:val="20"/>
                <w:szCs w:val="20"/>
                <w:lang w:eastAsia="en-AU"/>
              </w:rPr>
            </w:pPr>
            <w:r w:rsidRPr="004440AF">
              <w:rPr>
                <w:rFonts w:ascii="Garamond" w:eastAsia="Times New Roman" w:hAnsi="Garamond" w:cs="Tahoma"/>
                <w:color w:val="333333"/>
                <w:sz w:val="20"/>
                <w:szCs w:val="20"/>
                <w:lang w:eastAsia="en-AU"/>
              </w:rPr>
              <w:t>2013-2014</w:t>
            </w:r>
          </w:p>
        </w:tc>
        <w:tc>
          <w:tcPr>
            <w:tcW w:w="2791" w:type="dxa"/>
            <w:tcBorders>
              <w:top w:val="nil"/>
              <w:left w:val="nil"/>
              <w:bottom w:val="single" w:sz="8" w:space="0" w:color="000000"/>
              <w:right w:val="single" w:sz="8" w:space="0" w:color="000000"/>
            </w:tcBorders>
            <w:shd w:val="clear" w:color="000000" w:fill="FFFFFF"/>
            <w:vAlign w:val="center"/>
          </w:tcPr>
          <w:p w14:paraId="496D10B7" w14:textId="5194191C"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Major Cities of Australia</w:t>
            </w:r>
          </w:p>
        </w:tc>
        <w:tc>
          <w:tcPr>
            <w:tcW w:w="1707" w:type="dxa"/>
            <w:tcBorders>
              <w:top w:val="nil"/>
              <w:left w:val="nil"/>
              <w:bottom w:val="single" w:sz="8" w:space="0" w:color="000000"/>
              <w:right w:val="single" w:sz="8" w:space="0" w:color="000000"/>
            </w:tcBorders>
            <w:shd w:val="clear" w:color="000000" w:fill="FFFFFF"/>
            <w:vAlign w:val="center"/>
          </w:tcPr>
          <w:p w14:paraId="78272514" w14:textId="399416D2"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20,541</w:t>
            </w:r>
          </w:p>
        </w:tc>
        <w:tc>
          <w:tcPr>
            <w:tcW w:w="1707" w:type="dxa"/>
            <w:tcBorders>
              <w:top w:val="nil"/>
              <w:left w:val="nil"/>
              <w:bottom w:val="single" w:sz="8" w:space="0" w:color="000000"/>
              <w:right w:val="single" w:sz="8" w:space="0" w:color="000000"/>
            </w:tcBorders>
            <w:shd w:val="clear" w:color="000000" w:fill="FFFFFF"/>
            <w:vAlign w:val="center"/>
          </w:tcPr>
          <w:p w14:paraId="10C65FFD" w14:textId="013C535B"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21,215</w:t>
            </w:r>
          </w:p>
        </w:tc>
        <w:tc>
          <w:tcPr>
            <w:tcW w:w="1707" w:type="dxa"/>
            <w:tcBorders>
              <w:top w:val="nil"/>
              <w:left w:val="nil"/>
              <w:bottom w:val="single" w:sz="8" w:space="0" w:color="000000"/>
              <w:right w:val="single" w:sz="8" w:space="0" w:color="000000"/>
            </w:tcBorders>
            <w:shd w:val="clear" w:color="000000" w:fill="FFFFFF"/>
            <w:vAlign w:val="center"/>
          </w:tcPr>
          <w:p w14:paraId="255D19CB" w14:textId="02566E1A"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1,745</w:t>
            </w:r>
          </w:p>
        </w:tc>
      </w:tr>
      <w:tr w:rsidR="003A1AB7" w:rsidRPr="004440AF" w14:paraId="6D4FC8A9"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1D84AB3A"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tcPr>
          <w:p w14:paraId="05A9A3C5" w14:textId="48CA9D15"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Inner Regional Australia</w:t>
            </w:r>
          </w:p>
        </w:tc>
        <w:tc>
          <w:tcPr>
            <w:tcW w:w="1707" w:type="dxa"/>
            <w:tcBorders>
              <w:top w:val="nil"/>
              <w:left w:val="nil"/>
              <w:bottom w:val="single" w:sz="8" w:space="0" w:color="000000"/>
              <w:right w:val="single" w:sz="8" w:space="0" w:color="000000"/>
            </w:tcBorders>
            <w:shd w:val="clear" w:color="000000" w:fill="F2DBDB"/>
            <w:vAlign w:val="center"/>
          </w:tcPr>
          <w:p w14:paraId="57FC6BEC" w14:textId="1FF918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3,754</w:t>
            </w:r>
          </w:p>
        </w:tc>
        <w:tc>
          <w:tcPr>
            <w:tcW w:w="1707" w:type="dxa"/>
            <w:tcBorders>
              <w:top w:val="nil"/>
              <w:left w:val="nil"/>
              <w:bottom w:val="single" w:sz="8" w:space="0" w:color="000000"/>
              <w:right w:val="single" w:sz="8" w:space="0" w:color="000000"/>
            </w:tcBorders>
            <w:shd w:val="clear" w:color="000000" w:fill="F2DBDB"/>
            <w:vAlign w:val="center"/>
          </w:tcPr>
          <w:p w14:paraId="09C50EC9" w14:textId="322C52B1"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3,899</w:t>
            </w:r>
          </w:p>
        </w:tc>
        <w:tc>
          <w:tcPr>
            <w:tcW w:w="1707" w:type="dxa"/>
            <w:tcBorders>
              <w:top w:val="nil"/>
              <w:left w:val="nil"/>
              <w:bottom w:val="single" w:sz="8" w:space="0" w:color="000000"/>
              <w:right w:val="single" w:sz="8" w:space="0" w:color="000000"/>
            </w:tcBorders>
            <w:shd w:val="clear" w:color="000000" w:fill="F2DBDB"/>
            <w:vAlign w:val="center"/>
          </w:tcPr>
          <w:p w14:paraId="67D4E486" w14:textId="696D1263"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446</w:t>
            </w:r>
          </w:p>
        </w:tc>
      </w:tr>
      <w:tr w:rsidR="003A1AB7" w:rsidRPr="004440AF" w14:paraId="1E67A3E7"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28D1EF63"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FFFFF"/>
            <w:vAlign w:val="center"/>
            <w:hideMark/>
          </w:tcPr>
          <w:p w14:paraId="18D96356"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Outer Regional Australia</w:t>
            </w:r>
          </w:p>
        </w:tc>
        <w:tc>
          <w:tcPr>
            <w:tcW w:w="1707" w:type="dxa"/>
            <w:tcBorders>
              <w:top w:val="nil"/>
              <w:left w:val="nil"/>
              <w:bottom w:val="single" w:sz="8" w:space="0" w:color="000000"/>
              <w:right w:val="single" w:sz="8" w:space="0" w:color="000000"/>
            </w:tcBorders>
            <w:shd w:val="clear" w:color="000000" w:fill="FFFFFF"/>
            <w:vAlign w:val="center"/>
            <w:hideMark/>
          </w:tcPr>
          <w:p w14:paraId="66C4A0D3"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1,145</w:t>
            </w:r>
          </w:p>
        </w:tc>
        <w:tc>
          <w:tcPr>
            <w:tcW w:w="1707" w:type="dxa"/>
            <w:tcBorders>
              <w:top w:val="nil"/>
              <w:left w:val="nil"/>
              <w:bottom w:val="single" w:sz="8" w:space="0" w:color="000000"/>
              <w:right w:val="single" w:sz="8" w:space="0" w:color="000000"/>
            </w:tcBorders>
            <w:shd w:val="clear" w:color="000000" w:fill="FFFFFF"/>
            <w:vAlign w:val="center"/>
            <w:hideMark/>
          </w:tcPr>
          <w:p w14:paraId="205A9C8A"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1,175</w:t>
            </w:r>
          </w:p>
        </w:tc>
        <w:tc>
          <w:tcPr>
            <w:tcW w:w="1707" w:type="dxa"/>
            <w:tcBorders>
              <w:top w:val="nil"/>
              <w:left w:val="nil"/>
              <w:bottom w:val="single" w:sz="8" w:space="0" w:color="000000"/>
              <w:right w:val="single" w:sz="8" w:space="0" w:color="000000"/>
            </w:tcBorders>
            <w:shd w:val="clear" w:color="000000" w:fill="FFFFFF"/>
            <w:vAlign w:val="center"/>
            <w:hideMark/>
          </w:tcPr>
          <w:p w14:paraId="4F342476"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212</w:t>
            </w:r>
          </w:p>
        </w:tc>
      </w:tr>
      <w:tr w:rsidR="003A1AB7" w:rsidRPr="004440AF" w14:paraId="2487ED0C"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09079104"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hideMark/>
          </w:tcPr>
          <w:p w14:paraId="0252ED7F"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Remote Australia</w:t>
            </w:r>
          </w:p>
        </w:tc>
        <w:tc>
          <w:tcPr>
            <w:tcW w:w="1707" w:type="dxa"/>
            <w:tcBorders>
              <w:top w:val="nil"/>
              <w:left w:val="nil"/>
              <w:bottom w:val="single" w:sz="8" w:space="0" w:color="000000"/>
              <w:right w:val="single" w:sz="8" w:space="0" w:color="000000"/>
            </w:tcBorders>
            <w:shd w:val="clear" w:color="000000" w:fill="F2DBDB"/>
            <w:vAlign w:val="center"/>
            <w:hideMark/>
          </w:tcPr>
          <w:p w14:paraId="426DC69A"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262</w:t>
            </w:r>
          </w:p>
        </w:tc>
        <w:tc>
          <w:tcPr>
            <w:tcW w:w="1707" w:type="dxa"/>
            <w:tcBorders>
              <w:top w:val="nil"/>
              <w:left w:val="nil"/>
              <w:bottom w:val="single" w:sz="8" w:space="0" w:color="000000"/>
              <w:right w:val="single" w:sz="8" w:space="0" w:color="000000"/>
            </w:tcBorders>
            <w:shd w:val="clear" w:color="000000" w:fill="F2DBDB"/>
            <w:vAlign w:val="center"/>
            <w:hideMark/>
          </w:tcPr>
          <w:p w14:paraId="0868D4E6"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266</w:t>
            </w:r>
          </w:p>
        </w:tc>
        <w:tc>
          <w:tcPr>
            <w:tcW w:w="1707" w:type="dxa"/>
            <w:tcBorders>
              <w:top w:val="nil"/>
              <w:left w:val="nil"/>
              <w:bottom w:val="single" w:sz="8" w:space="0" w:color="000000"/>
              <w:right w:val="single" w:sz="8" w:space="0" w:color="000000"/>
            </w:tcBorders>
            <w:shd w:val="clear" w:color="000000" w:fill="F2DBDB"/>
            <w:vAlign w:val="center"/>
            <w:hideMark/>
          </w:tcPr>
          <w:p w14:paraId="38BC2298"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23</w:t>
            </w:r>
          </w:p>
        </w:tc>
      </w:tr>
      <w:tr w:rsidR="003A1AB7" w:rsidRPr="004440AF" w14:paraId="21FFD539"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0D9DB84F"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FFFFF"/>
            <w:vAlign w:val="center"/>
            <w:hideMark/>
          </w:tcPr>
          <w:p w14:paraId="76B46518"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Very Remote Australia</w:t>
            </w:r>
          </w:p>
        </w:tc>
        <w:tc>
          <w:tcPr>
            <w:tcW w:w="1707" w:type="dxa"/>
            <w:tcBorders>
              <w:top w:val="nil"/>
              <w:left w:val="nil"/>
              <w:bottom w:val="single" w:sz="8" w:space="0" w:color="000000"/>
              <w:right w:val="single" w:sz="8" w:space="0" w:color="000000"/>
            </w:tcBorders>
            <w:shd w:val="clear" w:color="000000" w:fill="FFFFFF"/>
            <w:vAlign w:val="center"/>
            <w:hideMark/>
          </w:tcPr>
          <w:p w14:paraId="019744FB"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33</w:t>
            </w:r>
          </w:p>
        </w:tc>
        <w:tc>
          <w:tcPr>
            <w:tcW w:w="1707" w:type="dxa"/>
            <w:tcBorders>
              <w:top w:val="nil"/>
              <w:left w:val="nil"/>
              <w:bottom w:val="single" w:sz="8" w:space="0" w:color="000000"/>
              <w:right w:val="single" w:sz="8" w:space="0" w:color="000000"/>
            </w:tcBorders>
            <w:shd w:val="clear" w:color="000000" w:fill="FFFFFF"/>
            <w:vAlign w:val="center"/>
            <w:hideMark/>
          </w:tcPr>
          <w:p w14:paraId="233DFD05"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39</w:t>
            </w:r>
          </w:p>
        </w:tc>
        <w:tc>
          <w:tcPr>
            <w:tcW w:w="1707" w:type="dxa"/>
            <w:tcBorders>
              <w:top w:val="nil"/>
              <w:left w:val="nil"/>
              <w:bottom w:val="single" w:sz="8" w:space="0" w:color="000000"/>
              <w:right w:val="single" w:sz="8" w:space="0" w:color="000000"/>
            </w:tcBorders>
            <w:shd w:val="clear" w:color="000000" w:fill="FFFFFF"/>
            <w:vAlign w:val="center"/>
            <w:hideMark/>
          </w:tcPr>
          <w:p w14:paraId="1C206643"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8</w:t>
            </w:r>
          </w:p>
        </w:tc>
      </w:tr>
      <w:tr w:rsidR="003A1AB7" w:rsidRPr="004440AF" w14:paraId="5E9B6B58"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6EA3A25D"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hideMark/>
          </w:tcPr>
          <w:p w14:paraId="1698CA41"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Location unknown</w:t>
            </w:r>
          </w:p>
        </w:tc>
        <w:tc>
          <w:tcPr>
            <w:tcW w:w="1707" w:type="dxa"/>
            <w:tcBorders>
              <w:top w:val="nil"/>
              <w:left w:val="nil"/>
              <w:bottom w:val="single" w:sz="8" w:space="0" w:color="000000"/>
              <w:right w:val="single" w:sz="8" w:space="0" w:color="000000"/>
            </w:tcBorders>
            <w:shd w:val="clear" w:color="000000" w:fill="F2DBDB"/>
            <w:vAlign w:val="center"/>
            <w:hideMark/>
          </w:tcPr>
          <w:p w14:paraId="7E93D03D"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595</w:t>
            </w:r>
          </w:p>
        </w:tc>
        <w:tc>
          <w:tcPr>
            <w:tcW w:w="1707" w:type="dxa"/>
            <w:tcBorders>
              <w:top w:val="nil"/>
              <w:left w:val="nil"/>
              <w:bottom w:val="single" w:sz="8" w:space="0" w:color="000000"/>
              <w:right w:val="single" w:sz="8" w:space="0" w:color="000000"/>
            </w:tcBorders>
            <w:shd w:val="clear" w:color="000000" w:fill="F2DBDB"/>
            <w:vAlign w:val="center"/>
            <w:hideMark/>
          </w:tcPr>
          <w:p w14:paraId="07A8AFF2"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595</w:t>
            </w:r>
          </w:p>
        </w:tc>
        <w:tc>
          <w:tcPr>
            <w:tcW w:w="1707" w:type="dxa"/>
            <w:tcBorders>
              <w:top w:val="nil"/>
              <w:left w:val="nil"/>
              <w:bottom w:val="single" w:sz="8" w:space="0" w:color="000000"/>
              <w:right w:val="single" w:sz="8" w:space="0" w:color="000000"/>
            </w:tcBorders>
            <w:shd w:val="clear" w:color="000000" w:fill="F2DBDB"/>
            <w:vAlign w:val="center"/>
            <w:hideMark/>
          </w:tcPr>
          <w:p w14:paraId="6D728D16"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121</w:t>
            </w:r>
          </w:p>
        </w:tc>
      </w:tr>
      <w:tr w:rsidR="003A1AB7" w:rsidRPr="004440AF" w14:paraId="020B3ABC"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0B71ED9B"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000000"/>
            <w:vAlign w:val="center"/>
            <w:hideMark/>
          </w:tcPr>
          <w:p w14:paraId="2CB51699" w14:textId="77777777" w:rsidR="003A1AB7" w:rsidRPr="004440AF" w:rsidRDefault="003A1AB7" w:rsidP="003A1AB7">
            <w:pPr>
              <w:spacing w:after="0"/>
              <w:rPr>
                <w:rFonts w:ascii="Garamond" w:eastAsia="Times New Roman" w:hAnsi="Garamond" w:cs="Arial"/>
                <w:b/>
                <w:color w:val="FFFFFF"/>
                <w:sz w:val="20"/>
                <w:szCs w:val="20"/>
                <w:lang w:eastAsia="en-AU"/>
              </w:rPr>
            </w:pPr>
            <w:r w:rsidRPr="004440AF">
              <w:rPr>
                <w:rFonts w:ascii="Garamond" w:eastAsia="Times New Roman" w:hAnsi="Garamond" w:cs="Arial"/>
                <w:b/>
                <w:color w:val="FFFFFF"/>
                <w:sz w:val="20"/>
                <w:szCs w:val="20"/>
                <w:lang w:eastAsia="en-AU"/>
              </w:rPr>
              <w:t>Total</w:t>
            </w:r>
          </w:p>
        </w:tc>
        <w:tc>
          <w:tcPr>
            <w:tcW w:w="1707" w:type="dxa"/>
            <w:tcBorders>
              <w:top w:val="nil"/>
              <w:left w:val="nil"/>
              <w:bottom w:val="single" w:sz="8" w:space="0" w:color="000000"/>
              <w:right w:val="single" w:sz="8" w:space="0" w:color="000000"/>
            </w:tcBorders>
            <w:shd w:val="clear" w:color="000000" w:fill="0D0D0D"/>
            <w:vAlign w:val="center"/>
            <w:hideMark/>
          </w:tcPr>
          <w:p w14:paraId="3A30A367"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26,316</w:t>
            </w:r>
          </w:p>
        </w:tc>
        <w:tc>
          <w:tcPr>
            <w:tcW w:w="1707" w:type="dxa"/>
            <w:tcBorders>
              <w:top w:val="nil"/>
              <w:left w:val="nil"/>
              <w:bottom w:val="single" w:sz="8" w:space="0" w:color="000000"/>
              <w:right w:val="single" w:sz="8" w:space="0" w:color="000000"/>
            </w:tcBorders>
            <w:shd w:val="clear" w:color="000000" w:fill="0D0D0D"/>
            <w:vAlign w:val="center"/>
            <w:hideMark/>
          </w:tcPr>
          <w:p w14:paraId="76F98C9E"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27,189</w:t>
            </w:r>
          </w:p>
        </w:tc>
        <w:tc>
          <w:tcPr>
            <w:tcW w:w="1707" w:type="dxa"/>
            <w:tcBorders>
              <w:top w:val="nil"/>
              <w:left w:val="nil"/>
              <w:bottom w:val="single" w:sz="8" w:space="0" w:color="000000"/>
              <w:right w:val="single" w:sz="8" w:space="0" w:color="000000"/>
            </w:tcBorders>
            <w:shd w:val="clear" w:color="000000" w:fill="0D0D0D"/>
            <w:vAlign w:val="center"/>
            <w:hideMark/>
          </w:tcPr>
          <w:p w14:paraId="5E94804F"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2,555</w:t>
            </w:r>
          </w:p>
        </w:tc>
      </w:tr>
      <w:tr w:rsidR="003A1AB7" w:rsidRPr="004440AF" w14:paraId="3AF7DC20" w14:textId="77777777" w:rsidTr="003A1AB7">
        <w:trPr>
          <w:trHeight w:val="142"/>
        </w:trPr>
        <w:tc>
          <w:tcPr>
            <w:tcW w:w="170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3D8DE38" w14:textId="77777777" w:rsidR="003A1AB7" w:rsidRPr="004440AF" w:rsidRDefault="003A1AB7" w:rsidP="003A1AB7">
            <w:pPr>
              <w:spacing w:after="0"/>
              <w:jc w:val="center"/>
              <w:rPr>
                <w:rFonts w:ascii="Garamond" w:eastAsia="Times New Roman" w:hAnsi="Garamond" w:cs="Tahoma"/>
                <w:color w:val="333333"/>
                <w:sz w:val="20"/>
                <w:szCs w:val="20"/>
                <w:lang w:eastAsia="en-AU"/>
              </w:rPr>
            </w:pPr>
            <w:r w:rsidRPr="004440AF">
              <w:rPr>
                <w:rFonts w:ascii="Garamond" w:eastAsia="Times New Roman" w:hAnsi="Garamond" w:cs="Tahoma"/>
                <w:color w:val="333333"/>
                <w:sz w:val="20"/>
                <w:szCs w:val="20"/>
                <w:lang w:eastAsia="en-AU"/>
              </w:rPr>
              <w:t>2014-2015</w:t>
            </w:r>
          </w:p>
        </w:tc>
        <w:tc>
          <w:tcPr>
            <w:tcW w:w="2791" w:type="dxa"/>
            <w:tcBorders>
              <w:top w:val="nil"/>
              <w:left w:val="nil"/>
              <w:bottom w:val="single" w:sz="8" w:space="0" w:color="000000"/>
              <w:right w:val="single" w:sz="8" w:space="0" w:color="000000"/>
            </w:tcBorders>
            <w:shd w:val="clear" w:color="000000" w:fill="FFFFFF"/>
            <w:vAlign w:val="center"/>
          </w:tcPr>
          <w:p w14:paraId="31D1CC5C" w14:textId="13BC6A71"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Major Cities of Australia</w:t>
            </w:r>
          </w:p>
        </w:tc>
        <w:tc>
          <w:tcPr>
            <w:tcW w:w="1707" w:type="dxa"/>
            <w:tcBorders>
              <w:top w:val="nil"/>
              <w:left w:val="nil"/>
              <w:bottom w:val="single" w:sz="8" w:space="0" w:color="000000"/>
              <w:right w:val="single" w:sz="8" w:space="0" w:color="000000"/>
            </w:tcBorders>
            <w:shd w:val="clear" w:color="000000" w:fill="FFFFFF"/>
            <w:vAlign w:val="center"/>
          </w:tcPr>
          <w:p w14:paraId="5899B0DD" w14:textId="3E4C201B"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14,508</w:t>
            </w:r>
          </w:p>
        </w:tc>
        <w:tc>
          <w:tcPr>
            <w:tcW w:w="1707" w:type="dxa"/>
            <w:tcBorders>
              <w:top w:val="nil"/>
              <w:left w:val="nil"/>
              <w:bottom w:val="single" w:sz="8" w:space="0" w:color="000000"/>
              <w:right w:val="single" w:sz="8" w:space="0" w:color="000000"/>
            </w:tcBorders>
            <w:shd w:val="clear" w:color="000000" w:fill="FFFFFF"/>
            <w:vAlign w:val="center"/>
          </w:tcPr>
          <w:p w14:paraId="1B22FBDF" w14:textId="09788859"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14,519</w:t>
            </w:r>
          </w:p>
        </w:tc>
        <w:tc>
          <w:tcPr>
            <w:tcW w:w="1707" w:type="dxa"/>
            <w:tcBorders>
              <w:top w:val="nil"/>
              <w:left w:val="nil"/>
              <w:bottom w:val="single" w:sz="8" w:space="0" w:color="000000"/>
              <w:right w:val="single" w:sz="8" w:space="0" w:color="000000"/>
            </w:tcBorders>
            <w:shd w:val="clear" w:color="000000" w:fill="FFFFFF"/>
            <w:vAlign w:val="center"/>
          </w:tcPr>
          <w:p w14:paraId="28255342" w14:textId="70137E51"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1,112</w:t>
            </w:r>
          </w:p>
        </w:tc>
      </w:tr>
      <w:tr w:rsidR="003A1AB7" w:rsidRPr="004440AF" w14:paraId="7F201EBC"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51C48699"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tcPr>
          <w:p w14:paraId="7B6C86A7" w14:textId="36E1EE46"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Inner Regional Australia</w:t>
            </w:r>
          </w:p>
        </w:tc>
        <w:tc>
          <w:tcPr>
            <w:tcW w:w="1707" w:type="dxa"/>
            <w:tcBorders>
              <w:top w:val="nil"/>
              <w:left w:val="nil"/>
              <w:bottom w:val="single" w:sz="8" w:space="0" w:color="000000"/>
              <w:right w:val="single" w:sz="8" w:space="0" w:color="000000"/>
            </w:tcBorders>
            <w:shd w:val="clear" w:color="000000" w:fill="F2DBDB"/>
            <w:vAlign w:val="center"/>
          </w:tcPr>
          <w:p w14:paraId="0D76A42A" w14:textId="147ECF38"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2,841</w:t>
            </w:r>
          </w:p>
        </w:tc>
        <w:tc>
          <w:tcPr>
            <w:tcW w:w="1707" w:type="dxa"/>
            <w:tcBorders>
              <w:top w:val="nil"/>
              <w:left w:val="nil"/>
              <w:bottom w:val="single" w:sz="8" w:space="0" w:color="000000"/>
              <w:right w:val="single" w:sz="8" w:space="0" w:color="000000"/>
            </w:tcBorders>
            <w:shd w:val="clear" w:color="000000" w:fill="F2DBDB"/>
            <w:vAlign w:val="center"/>
          </w:tcPr>
          <w:p w14:paraId="1B849D87" w14:textId="5FE05E60"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2,843</w:t>
            </w:r>
          </w:p>
        </w:tc>
        <w:tc>
          <w:tcPr>
            <w:tcW w:w="1707" w:type="dxa"/>
            <w:tcBorders>
              <w:top w:val="nil"/>
              <w:left w:val="nil"/>
              <w:bottom w:val="single" w:sz="8" w:space="0" w:color="000000"/>
              <w:right w:val="single" w:sz="8" w:space="0" w:color="000000"/>
            </w:tcBorders>
            <w:shd w:val="clear" w:color="000000" w:fill="F2DBDB"/>
            <w:vAlign w:val="center"/>
          </w:tcPr>
          <w:p w14:paraId="499BF558" w14:textId="3D916A35"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300</w:t>
            </w:r>
          </w:p>
        </w:tc>
      </w:tr>
      <w:tr w:rsidR="003A1AB7" w:rsidRPr="004440AF" w14:paraId="7063C353"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0E481679"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FFFFF"/>
            <w:vAlign w:val="center"/>
            <w:hideMark/>
          </w:tcPr>
          <w:p w14:paraId="7E92E350"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Outer Regional Australia</w:t>
            </w:r>
          </w:p>
        </w:tc>
        <w:tc>
          <w:tcPr>
            <w:tcW w:w="1707" w:type="dxa"/>
            <w:tcBorders>
              <w:top w:val="nil"/>
              <w:left w:val="nil"/>
              <w:bottom w:val="single" w:sz="8" w:space="0" w:color="000000"/>
              <w:right w:val="single" w:sz="8" w:space="0" w:color="000000"/>
            </w:tcBorders>
            <w:shd w:val="clear" w:color="000000" w:fill="FFFFFF"/>
            <w:vAlign w:val="center"/>
            <w:hideMark/>
          </w:tcPr>
          <w:p w14:paraId="64277F94"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1,289</w:t>
            </w:r>
          </w:p>
        </w:tc>
        <w:tc>
          <w:tcPr>
            <w:tcW w:w="1707" w:type="dxa"/>
            <w:tcBorders>
              <w:top w:val="nil"/>
              <w:left w:val="nil"/>
              <w:bottom w:val="single" w:sz="8" w:space="0" w:color="000000"/>
              <w:right w:val="single" w:sz="8" w:space="0" w:color="000000"/>
            </w:tcBorders>
            <w:shd w:val="clear" w:color="000000" w:fill="FFFFFF"/>
            <w:vAlign w:val="center"/>
            <w:hideMark/>
          </w:tcPr>
          <w:p w14:paraId="5A5632FF"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1,291</w:t>
            </w:r>
          </w:p>
        </w:tc>
        <w:tc>
          <w:tcPr>
            <w:tcW w:w="1707" w:type="dxa"/>
            <w:tcBorders>
              <w:top w:val="nil"/>
              <w:left w:val="nil"/>
              <w:bottom w:val="single" w:sz="8" w:space="0" w:color="000000"/>
              <w:right w:val="single" w:sz="8" w:space="0" w:color="000000"/>
            </w:tcBorders>
            <w:shd w:val="clear" w:color="000000" w:fill="FFFFFF"/>
            <w:vAlign w:val="center"/>
            <w:hideMark/>
          </w:tcPr>
          <w:p w14:paraId="37EF3F7F"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162</w:t>
            </w:r>
          </w:p>
        </w:tc>
      </w:tr>
      <w:tr w:rsidR="003A1AB7" w:rsidRPr="004440AF" w14:paraId="2FB5E144"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3E493F56"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hideMark/>
          </w:tcPr>
          <w:p w14:paraId="1B0FAD92"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Remote Australia</w:t>
            </w:r>
          </w:p>
        </w:tc>
        <w:tc>
          <w:tcPr>
            <w:tcW w:w="1707" w:type="dxa"/>
            <w:tcBorders>
              <w:top w:val="nil"/>
              <w:left w:val="nil"/>
              <w:bottom w:val="single" w:sz="8" w:space="0" w:color="000000"/>
              <w:right w:val="single" w:sz="8" w:space="0" w:color="000000"/>
            </w:tcBorders>
            <w:shd w:val="clear" w:color="000000" w:fill="F2DBDB"/>
            <w:vAlign w:val="center"/>
            <w:hideMark/>
          </w:tcPr>
          <w:p w14:paraId="43828006"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230</w:t>
            </w:r>
          </w:p>
        </w:tc>
        <w:tc>
          <w:tcPr>
            <w:tcW w:w="1707" w:type="dxa"/>
            <w:tcBorders>
              <w:top w:val="nil"/>
              <w:left w:val="nil"/>
              <w:bottom w:val="single" w:sz="8" w:space="0" w:color="000000"/>
              <w:right w:val="single" w:sz="8" w:space="0" w:color="000000"/>
            </w:tcBorders>
            <w:shd w:val="clear" w:color="000000" w:fill="F2DBDB"/>
            <w:vAlign w:val="center"/>
            <w:hideMark/>
          </w:tcPr>
          <w:p w14:paraId="007632B0"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230</w:t>
            </w:r>
          </w:p>
        </w:tc>
        <w:tc>
          <w:tcPr>
            <w:tcW w:w="1707" w:type="dxa"/>
            <w:tcBorders>
              <w:top w:val="nil"/>
              <w:left w:val="nil"/>
              <w:bottom w:val="single" w:sz="8" w:space="0" w:color="000000"/>
              <w:right w:val="single" w:sz="8" w:space="0" w:color="000000"/>
            </w:tcBorders>
            <w:shd w:val="clear" w:color="000000" w:fill="F2DBDB"/>
            <w:vAlign w:val="center"/>
            <w:hideMark/>
          </w:tcPr>
          <w:p w14:paraId="51832882"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14</w:t>
            </w:r>
          </w:p>
        </w:tc>
      </w:tr>
      <w:tr w:rsidR="003A1AB7" w:rsidRPr="004440AF" w14:paraId="24925E7C"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6F8FAB11"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FFFFF"/>
            <w:vAlign w:val="center"/>
            <w:hideMark/>
          </w:tcPr>
          <w:p w14:paraId="75A2A24F"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Very Remote Australia</w:t>
            </w:r>
          </w:p>
        </w:tc>
        <w:tc>
          <w:tcPr>
            <w:tcW w:w="1707" w:type="dxa"/>
            <w:tcBorders>
              <w:top w:val="nil"/>
              <w:left w:val="nil"/>
              <w:bottom w:val="single" w:sz="8" w:space="0" w:color="000000"/>
              <w:right w:val="single" w:sz="8" w:space="0" w:color="000000"/>
            </w:tcBorders>
            <w:shd w:val="clear" w:color="000000" w:fill="FFFFFF"/>
            <w:vAlign w:val="center"/>
            <w:hideMark/>
          </w:tcPr>
          <w:p w14:paraId="7B39A9B5"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69</w:t>
            </w:r>
          </w:p>
        </w:tc>
        <w:tc>
          <w:tcPr>
            <w:tcW w:w="1707" w:type="dxa"/>
            <w:tcBorders>
              <w:top w:val="nil"/>
              <w:left w:val="nil"/>
              <w:bottom w:val="single" w:sz="8" w:space="0" w:color="000000"/>
              <w:right w:val="single" w:sz="8" w:space="0" w:color="000000"/>
            </w:tcBorders>
            <w:shd w:val="clear" w:color="000000" w:fill="FFFFFF"/>
            <w:vAlign w:val="center"/>
            <w:hideMark/>
          </w:tcPr>
          <w:p w14:paraId="6E306C14"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69</w:t>
            </w:r>
          </w:p>
        </w:tc>
        <w:tc>
          <w:tcPr>
            <w:tcW w:w="1707" w:type="dxa"/>
            <w:tcBorders>
              <w:top w:val="nil"/>
              <w:left w:val="nil"/>
              <w:bottom w:val="single" w:sz="8" w:space="0" w:color="000000"/>
              <w:right w:val="single" w:sz="8" w:space="0" w:color="000000"/>
            </w:tcBorders>
            <w:shd w:val="clear" w:color="000000" w:fill="FFFFFF"/>
            <w:vAlign w:val="center"/>
            <w:hideMark/>
          </w:tcPr>
          <w:p w14:paraId="52AF27B0"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10</w:t>
            </w:r>
          </w:p>
        </w:tc>
      </w:tr>
      <w:tr w:rsidR="003A1AB7" w:rsidRPr="004440AF" w14:paraId="3C9482B5"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1E3F82D5"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hideMark/>
          </w:tcPr>
          <w:p w14:paraId="058AD94F"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Location unknown</w:t>
            </w:r>
          </w:p>
        </w:tc>
        <w:tc>
          <w:tcPr>
            <w:tcW w:w="1707" w:type="dxa"/>
            <w:tcBorders>
              <w:top w:val="nil"/>
              <w:left w:val="nil"/>
              <w:bottom w:val="single" w:sz="8" w:space="0" w:color="000000"/>
              <w:right w:val="single" w:sz="8" w:space="0" w:color="000000"/>
            </w:tcBorders>
            <w:shd w:val="clear" w:color="000000" w:fill="F2DBDB"/>
            <w:vAlign w:val="center"/>
            <w:hideMark/>
          </w:tcPr>
          <w:p w14:paraId="3ABF5A75"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1,319</w:t>
            </w:r>
          </w:p>
        </w:tc>
        <w:tc>
          <w:tcPr>
            <w:tcW w:w="1707" w:type="dxa"/>
            <w:tcBorders>
              <w:top w:val="nil"/>
              <w:left w:val="nil"/>
              <w:bottom w:val="single" w:sz="8" w:space="0" w:color="000000"/>
              <w:right w:val="single" w:sz="8" w:space="0" w:color="000000"/>
            </w:tcBorders>
            <w:shd w:val="clear" w:color="000000" w:fill="F2DBDB"/>
            <w:vAlign w:val="center"/>
            <w:hideMark/>
          </w:tcPr>
          <w:p w14:paraId="59FDFB2A"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1,319</w:t>
            </w:r>
          </w:p>
        </w:tc>
        <w:tc>
          <w:tcPr>
            <w:tcW w:w="1707" w:type="dxa"/>
            <w:tcBorders>
              <w:top w:val="nil"/>
              <w:left w:val="nil"/>
              <w:bottom w:val="single" w:sz="8" w:space="0" w:color="000000"/>
              <w:right w:val="single" w:sz="8" w:space="0" w:color="000000"/>
            </w:tcBorders>
            <w:shd w:val="clear" w:color="000000" w:fill="F2DBDB"/>
            <w:vAlign w:val="center"/>
            <w:hideMark/>
          </w:tcPr>
          <w:p w14:paraId="7F997117"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145</w:t>
            </w:r>
          </w:p>
        </w:tc>
      </w:tr>
      <w:tr w:rsidR="003A1AB7" w:rsidRPr="004440AF" w14:paraId="7110769A"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28671D44"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000000"/>
            <w:vAlign w:val="center"/>
            <w:hideMark/>
          </w:tcPr>
          <w:p w14:paraId="16DA866F" w14:textId="77777777" w:rsidR="003A1AB7" w:rsidRPr="00671652" w:rsidRDefault="003A1AB7" w:rsidP="003A1AB7">
            <w:pPr>
              <w:spacing w:after="0"/>
              <w:rPr>
                <w:rFonts w:ascii="Garamond" w:eastAsia="Times New Roman" w:hAnsi="Garamond" w:cs="Arial"/>
                <w:b/>
                <w:color w:val="FFFFFF"/>
                <w:sz w:val="20"/>
                <w:szCs w:val="20"/>
                <w:lang w:eastAsia="en-AU"/>
              </w:rPr>
            </w:pPr>
            <w:r w:rsidRPr="00671652">
              <w:rPr>
                <w:rFonts w:ascii="Garamond" w:eastAsia="Times New Roman" w:hAnsi="Garamond" w:cs="Arial"/>
                <w:b/>
                <w:color w:val="FFFFFF"/>
                <w:sz w:val="20"/>
                <w:szCs w:val="20"/>
                <w:lang w:eastAsia="en-AU"/>
              </w:rPr>
              <w:t>Total</w:t>
            </w:r>
          </w:p>
        </w:tc>
        <w:tc>
          <w:tcPr>
            <w:tcW w:w="1707" w:type="dxa"/>
            <w:tcBorders>
              <w:top w:val="nil"/>
              <w:left w:val="nil"/>
              <w:bottom w:val="single" w:sz="8" w:space="0" w:color="000000"/>
              <w:right w:val="single" w:sz="8" w:space="0" w:color="000000"/>
            </w:tcBorders>
            <w:shd w:val="clear" w:color="000000" w:fill="0D0D0D"/>
            <w:vAlign w:val="center"/>
            <w:hideMark/>
          </w:tcPr>
          <w:p w14:paraId="586403CC"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20,250</w:t>
            </w:r>
          </w:p>
        </w:tc>
        <w:tc>
          <w:tcPr>
            <w:tcW w:w="1707" w:type="dxa"/>
            <w:tcBorders>
              <w:top w:val="nil"/>
              <w:left w:val="nil"/>
              <w:bottom w:val="single" w:sz="8" w:space="0" w:color="000000"/>
              <w:right w:val="single" w:sz="8" w:space="0" w:color="000000"/>
            </w:tcBorders>
            <w:shd w:val="clear" w:color="000000" w:fill="0D0D0D"/>
            <w:vAlign w:val="center"/>
            <w:hideMark/>
          </w:tcPr>
          <w:p w14:paraId="0FF2A126"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20,271</w:t>
            </w:r>
          </w:p>
        </w:tc>
        <w:tc>
          <w:tcPr>
            <w:tcW w:w="1707" w:type="dxa"/>
            <w:tcBorders>
              <w:top w:val="nil"/>
              <w:left w:val="nil"/>
              <w:bottom w:val="single" w:sz="8" w:space="0" w:color="000000"/>
              <w:right w:val="single" w:sz="8" w:space="0" w:color="000000"/>
            </w:tcBorders>
            <w:shd w:val="clear" w:color="000000" w:fill="0D0D0D"/>
            <w:vAlign w:val="center"/>
            <w:hideMark/>
          </w:tcPr>
          <w:p w14:paraId="6A1CE1D4"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1,743</w:t>
            </w:r>
          </w:p>
        </w:tc>
      </w:tr>
      <w:tr w:rsidR="003A1AB7" w:rsidRPr="004440AF" w14:paraId="6865BF24" w14:textId="77777777" w:rsidTr="003A1AB7">
        <w:trPr>
          <w:trHeight w:val="142"/>
        </w:trPr>
        <w:tc>
          <w:tcPr>
            <w:tcW w:w="1706"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A2E410" w14:textId="77777777" w:rsidR="003A1AB7" w:rsidRPr="004440AF" w:rsidRDefault="003A1AB7" w:rsidP="003A1AB7">
            <w:pPr>
              <w:spacing w:after="0"/>
              <w:jc w:val="center"/>
              <w:rPr>
                <w:rFonts w:ascii="Garamond" w:eastAsia="Times New Roman" w:hAnsi="Garamond" w:cs="Tahoma"/>
                <w:color w:val="333333"/>
                <w:sz w:val="20"/>
                <w:szCs w:val="20"/>
                <w:lang w:eastAsia="en-AU"/>
              </w:rPr>
            </w:pPr>
            <w:r w:rsidRPr="004440AF">
              <w:rPr>
                <w:rFonts w:ascii="Garamond" w:eastAsia="Times New Roman" w:hAnsi="Garamond" w:cs="Tahoma"/>
                <w:color w:val="333333"/>
                <w:sz w:val="20"/>
                <w:szCs w:val="20"/>
                <w:lang w:eastAsia="en-AU"/>
              </w:rPr>
              <w:t>2015-2016</w:t>
            </w:r>
          </w:p>
        </w:tc>
        <w:tc>
          <w:tcPr>
            <w:tcW w:w="2791" w:type="dxa"/>
            <w:tcBorders>
              <w:top w:val="nil"/>
              <w:left w:val="nil"/>
              <w:bottom w:val="single" w:sz="8" w:space="0" w:color="000000"/>
              <w:right w:val="single" w:sz="8" w:space="0" w:color="000000"/>
            </w:tcBorders>
            <w:shd w:val="clear" w:color="000000" w:fill="FFFFFF"/>
            <w:vAlign w:val="center"/>
          </w:tcPr>
          <w:p w14:paraId="471405DD" w14:textId="64E00019"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Major Cities of Australia</w:t>
            </w:r>
          </w:p>
        </w:tc>
        <w:tc>
          <w:tcPr>
            <w:tcW w:w="1707" w:type="dxa"/>
            <w:tcBorders>
              <w:top w:val="nil"/>
              <w:left w:val="nil"/>
              <w:bottom w:val="single" w:sz="8" w:space="0" w:color="000000"/>
              <w:right w:val="single" w:sz="8" w:space="0" w:color="000000"/>
            </w:tcBorders>
            <w:shd w:val="clear" w:color="000000" w:fill="FFFFFF"/>
            <w:vAlign w:val="center"/>
          </w:tcPr>
          <w:p w14:paraId="6631D722" w14:textId="00709BFF"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18,754</w:t>
            </w:r>
          </w:p>
        </w:tc>
        <w:tc>
          <w:tcPr>
            <w:tcW w:w="1707" w:type="dxa"/>
            <w:tcBorders>
              <w:top w:val="nil"/>
              <w:left w:val="nil"/>
              <w:bottom w:val="single" w:sz="8" w:space="0" w:color="000000"/>
              <w:right w:val="single" w:sz="8" w:space="0" w:color="000000"/>
            </w:tcBorders>
            <w:shd w:val="clear" w:color="000000" w:fill="FFFFFF"/>
            <w:vAlign w:val="center"/>
          </w:tcPr>
          <w:p w14:paraId="21172A1D" w14:textId="7B1D421A"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18,840</w:t>
            </w:r>
          </w:p>
        </w:tc>
        <w:tc>
          <w:tcPr>
            <w:tcW w:w="1707" w:type="dxa"/>
            <w:tcBorders>
              <w:top w:val="nil"/>
              <w:left w:val="nil"/>
              <w:bottom w:val="single" w:sz="8" w:space="0" w:color="000000"/>
              <w:right w:val="single" w:sz="8" w:space="0" w:color="000000"/>
            </w:tcBorders>
            <w:shd w:val="clear" w:color="000000" w:fill="FFFFFF"/>
            <w:vAlign w:val="center"/>
          </w:tcPr>
          <w:p w14:paraId="10B7708E" w14:textId="2C7DCFB1"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1,301</w:t>
            </w:r>
          </w:p>
        </w:tc>
      </w:tr>
      <w:tr w:rsidR="003A1AB7" w:rsidRPr="004440AF" w14:paraId="71C9C612"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2262B3D4"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tcPr>
          <w:p w14:paraId="3F998722" w14:textId="71957C0F"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Inner Regional Australia</w:t>
            </w:r>
          </w:p>
        </w:tc>
        <w:tc>
          <w:tcPr>
            <w:tcW w:w="1707" w:type="dxa"/>
            <w:tcBorders>
              <w:top w:val="nil"/>
              <w:left w:val="nil"/>
              <w:bottom w:val="single" w:sz="8" w:space="0" w:color="000000"/>
              <w:right w:val="single" w:sz="8" w:space="0" w:color="000000"/>
            </w:tcBorders>
            <w:shd w:val="clear" w:color="000000" w:fill="F2DBDB"/>
            <w:vAlign w:val="center"/>
          </w:tcPr>
          <w:p w14:paraId="7FE20940" w14:textId="0EC54596"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3,665</w:t>
            </w:r>
          </w:p>
        </w:tc>
        <w:tc>
          <w:tcPr>
            <w:tcW w:w="1707" w:type="dxa"/>
            <w:tcBorders>
              <w:top w:val="nil"/>
              <w:left w:val="nil"/>
              <w:bottom w:val="single" w:sz="8" w:space="0" w:color="000000"/>
              <w:right w:val="single" w:sz="8" w:space="0" w:color="000000"/>
            </w:tcBorders>
            <w:shd w:val="clear" w:color="000000" w:fill="F2DBDB"/>
            <w:vAlign w:val="center"/>
          </w:tcPr>
          <w:p w14:paraId="1D89DDA7" w14:textId="410B41F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3,703</w:t>
            </w:r>
          </w:p>
        </w:tc>
        <w:tc>
          <w:tcPr>
            <w:tcW w:w="1707" w:type="dxa"/>
            <w:tcBorders>
              <w:top w:val="nil"/>
              <w:left w:val="nil"/>
              <w:bottom w:val="single" w:sz="8" w:space="0" w:color="000000"/>
              <w:right w:val="single" w:sz="8" w:space="0" w:color="000000"/>
            </w:tcBorders>
            <w:shd w:val="clear" w:color="000000" w:fill="F2DBDB"/>
            <w:vAlign w:val="center"/>
          </w:tcPr>
          <w:p w14:paraId="4D091DD1" w14:textId="67EE7C9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332</w:t>
            </w:r>
          </w:p>
        </w:tc>
      </w:tr>
      <w:tr w:rsidR="003A1AB7" w:rsidRPr="004440AF" w14:paraId="5B932A95"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64C09700"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FFFFF"/>
            <w:vAlign w:val="center"/>
            <w:hideMark/>
          </w:tcPr>
          <w:p w14:paraId="4B6DBB95"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Outer Regional Australia</w:t>
            </w:r>
          </w:p>
        </w:tc>
        <w:tc>
          <w:tcPr>
            <w:tcW w:w="1707" w:type="dxa"/>
            <w:tcBorders>
              <w:top w:val="nil"/>
              <w:left w:val="nil"/>
              <w:bottom w:val="single" w:sz="8" w:space="0" w:color="000000"/>
              <w:right w:val="single" w:sz="8" w:space="0" w:color="000000"/>
            </w:tcBorders>
            <w:shd w:val="clear" w:color="000000" w:fill="FFFFFF"/>
            <w:vAlign w:val="center"/>
            <w:hideMark/>
          </w:tcPr>
          <w:p w14:paraId="4BC22223"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1,881</w:t>
            </w:r>
          </w:p>
        </w:tc>
        <w:tc>
          <w:tcPr>
            <w:tcW w:w="1707" w:type="dxa"/>
            <w:tcBorders>
              <w:top w:val="nil"/>
              <w:left w:val="nil"/>
              <w:bottom w:val="single" w:sz="8" w:space="0" w:color="000000"/>
              <w:right w:val="single" w:sz="8" w:space="0" w:color="000000"/>
            </w:tcBorders>
            <w:shd w:val="clear" w:color="000000" w:fill="FFFFFF"/>
            <w:vAlign w:val="center"/>
            <w:hideMark/>
          </w:tcPr>
          <w:p w14:paraId="71A47ED7"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1,900</w:t>
            </w:r>
          </w:p>
        </w:tc>
        <w:tc>
          <w:tcPr>
            <w:tcW w:w="1707" w:type="dxa"/>
            <w:tcBorders>
              <w:top w:val="nil"/>
              <w:left w:val="nil"/>
              <w:bottom w:val="single" w:sz="8" w:space="0" w:color="000000"/>
              <w:right w:val="single" w:sz="8" w:space="0" w:color="000000"/>
            </w:tcBorders>
            <w:shd w:val="clear" w:color="000000" w:fill="FFFFFF"/>
            <w:vAlign w:val="center"/>
            <w:hideMark/>
          </w:tcPr>
          <w:p w14:paraId="4EA2EE0C"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186</w:t>
            </w:r>
          </w:p>
        </w:tc>
      </w:tr>
      <w:tr w:rsidR="003A1AB7" w:rsidRPr="004440AF" w14:paraId="3E295708"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37D5895F"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hideMark/>
          </w:tcPr>
          <w:p w14:paraId="1603C2ED"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Remote Australia</w:t>
            </w:r>
          </w:p>
        </w:tc>
        <w:tc>
          <w:tcPr>
            <w:tcW w:w="1707" w:type="dxa"/>
            <w:tcBorders>
              <w:top w:val="nil"/>
              <w:left w:val="nil"/>
              <w:bottom w:val="single" w:sz="8" w:space="0" w:color="000000"/>
              <w:right w:val="single" w:sz="8" w:space="0" w:color="000000"/>
            </w:tcBorders>
            <w:shd w:val="clear" w:color="000000" w:fill="F2DBDB"/>
            <w:vAlign w:val="center"/>
            <w:hideMark/>
          </w:tcPr>
          <w:p w14:paraId="2959C787"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312</w:t>
            </w:r>
          </w:p>
        </w:tc>
        <w:tc>
          <w:tcPr>
            <w:tcW w:w="1707" w:type="dxa"/>
            <w:tcBorders>
              <w:top w:val="nil"/>
              <w:left w:val="nil"/>
              <w:bottom w:val="single" w:sz="8" w:space="0" w:color="000000"/>
              <w:right w:val="single" w:sz="8" w:space="0" w:color="000000"/>
            </w:tcBorders>
            <w:shd w:val="clear" w:color="000000" w:fill="F2DBDB"/>
            <w:vAlign w:val="center"/>
            <w:hideMark/>
          </w:tcPr>
          <w:p w14:paraId="7448602E"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313</w:t>
            </w:r>
          </w:p>
        </w:tc>
        <w:tc>
          <w:tcPr>
            <w:tcW w:w="1707" w:type="dxa"/>
            <w:tcBorders>
              <w:top w:val="nil"/>
              <w:left w:val="nil"/>
              <w:bottom w:val="single" w:sz="8" w:space="0" w:color="000000"/>
              <w:right w:val="single" w:sz="8" w:space="0" w:color="000000"/>
            </w:tcBorders>
            <w:shd w:val="clear" w:color="000000" w:fill="F2DBDB"/>
            <w:vAlign w:val="center"/>
            <w:hideMark/>
          </w:tcPr>
          <w:p w14:paraId="179EB242"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23</w:t>
            </w:r>
          </w:p>
        </w:tc>
      </w:tr>
      <w:tr w:rsidR="003A1AB7" w:rsidRPr="004440AF" w14:paraId="2BA4D90F"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52FCAB91"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FFFFF"/>
            <w:vAlign w:val="center"/>
            <w:hideMark/>
          </w:tcPr>
          <w:p w14:paraId="424EB577"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Very Remote Australia</w:t>
            </w:r>
          </w:p>
        </w:tc>
        <w:tc>
          <w:tcPr>
            <w:tcW w:w="1707" w:type="dxa"/>
            <w:tcBorders>
              <w:top w:val="nil"/>
              <w:left w:val="nil"/>
              <w:bottom w:val="single" w:sz="8" w:space="0" w:color="000000"/>
              <w:right w:val="single" w:sz="8" w:space="0" w:color="000000"/>
            </w:tcBorders>
            <w:shd w:val="clear" w:color="000000" w:fill="FFFFFF"/>
            <w:vAlign w:val="center"/>
            <w:hideMark/>
          </w:tcPr>
          <w:p w14:paraId="60945D43"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80</w:t>
            </w:r>
          </w:p>
        </w:tc>
        <w:tc>
          <w:tcPr>
            <w:tcW w:w="1707" w:type="dxa"/>
            <w:tcBorders>
              <w:top w:val="nil"/>
              <w:left w:val="nil"/>
              <w:bottom w:val="single" w:sz="8" w:space="0" w:color="000000"/>
              <w:right w:val="single" w:sz="8" w:space="0" w:color="000000"/>
            </w:tcBorders>
            <w:shd w:val="clear" w:color="000000" w:fill="FFFFFF"/>
            <w:vAlign w:val="center"/>
            <w:hideMark/>
          </w:tcPr>
          <w:p w14:paraId="36CAB4AC"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80</w:t>
            </w:r>
          </w:p>
        </w:tc>
        <w:tc>
          <w:tcPr>
            <w:tcW w:w="1707" w:type="dxa"/>
            <w:tcBorders>
              <w:top w:val="nil"/>
              <w:left w:val="nil"/>
              <w:bottom w:val="single" w:sz="8" w:space="0" w:color="000000"/>
              <w:right w:val="single" w:sz="8" w:space="0" w:color="000000"/>
            </w:tcBorders>
            <w:shd w:val="clear" w:color="000000" w:fill="FFFFFF"/>
            <w:vAlign w:val="center"/>
            <w:hideMark/>
          </w:tcPr>
          <w:p w14:paraId="19820274"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w:t>
            </w:r>
          </w:p>
        </w:tc>
      </w:tr>
      <w:tr w:rsidR="003A1AB7" w:rsidRPr="004440AF" w14:paraId="34349257"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6E27E1C6"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F2DBDB"/>
            <w:vAlign w:val="center"/>
            <w:hideMark/>
          </w:tcPr>
          <w:p w14:paraId="0B0D5428" w14:textId="77777777" w:rsidR="003A1AB7" w:rsidRPr="004440AF" w:rsidRDefault="003A1AB7" w:rsidP="003A1AB7">
            <w:pPr>
              <w:spacing w:after="0"/>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Location unknown</w:t>
            </w:r>
          </w:p>
        </w:tc>
        <w:tc>
          <w:tcPr>
            <w:tcW w:w="1707" w:type="dxa"/>
            <w:tcBorders>
              <w:top w:val="nil"/>
              <w:left w:val="nil"/>
              <w:bottom w:val="single" w:sz="8" w:space="0" w:color="000000"/>
              <w:right w:val="single" w:sz="8" w:space="0" w:color="000000"/>
            </w:tcBorders>
            <w:shd w:val="clear" w:color="000000" w:fill="F2DBDB"/>
            <w:vAlign w:val="center"/>
            <w:hideMark/>
          </w:tcPr>
          <w:p w14:paraId="19623350"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1,035</w:t>
            </w:r>
          </w:p>
        </w:tc>
        <w:tc>
          <w:tcPr>
            <w:tcW w:w="1707" w:type="dxa"/>
            <w:tcBorders>
              <w:top w:val="nil"/>
              <w:left w:val="nil"/>
              <w:bottom w:val="single" w:sz="8" w:space="0" w:color="000000"/>
              <w:right w:val="single" w:sz="8" w:space="0" w:color="000000"/>
            </w:tcBorders>
            <w:shd w:val="clear" w:color="000000" w:fill="F2DBDB"/>
            <w:vAlign w:val="center"/>
            <w:hideMark/>
          </w:tcPr>
          <w:p w14:paraId="6757410D"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1,048</w:t>
            </w:r>
          </w:p>
        </w:tc>
        <w:tc>
          <w:tcPr>
            <w:tcW w:w="1707" w:type="dxa"/>
            <w:tcBorders>
              <w:top w:val="nil"/>
              <w:left w:val="nil"/>
              <w:bottom w:val="single" w:sz="8" w:space="0" w:color="000000"/>
              <w:right w:val="single" w:sz="8" w:space="0" w:color="000000"/>
            </w:tcBorders>
            <w:shd w:val="clear" w:color="000000" w:fill="F2DBDB"/>
            <w:vAlign w:val="center"/>
            <w:hideMark/>
          </w:tcPr>
          <w:p w14:paraId="19678A62" w14:textId="77777777" w:rsidR="003A1AB7" w:rsidRPr="004440AF" w:rsidRDefault="003A1AB7" w:rsidP="003A1AB7">
            <w:pPr>
              <w:spacing w:after="0"/>
              <w:jc w:val="center"/>
              <w:rPr>
                <w:rFonts w:ascii="Garamond" w:eastAsia="Times New Roman" w:hAnsi="Garamond" w:cs="Arial"/>
                <w:color w:val="000000"/>
                <w:sz w:val="20"/>
                <w:szCs w:val="20"/>
                <w:lang w:eastAsia="en-AU"/>
              </w:rPr>
            </w:pPr>
            <w:r w:rsidRPr="004440AF">
              <w:rPr>
                <w:rFonts w:ascii="Garamond" w:eastAsia="Times New Roman" w:hAnsi="Garamond" w:cs="Arial"/>
                <w:color w:val="000000"/>
                <w:sz w:val="20"/>
                <w:szCs w:val="20"/>
                <w:lang w:eastAsia="en-AU"/>
              </w:rPr>
              <w:t>95</w:t>
            </w:r>
          </w:p>
        </w:tc>
      </w:tr>
      <w:tr w:rsidR="003A1AB7" w:rsidRPr="004440AF" w14:paraId="1DD1228B" w14:textId="77777777" w:rsidTr="003A1AB7">
        <w:trPr>
          <w:trHeight w:val="142"/>
        </w:trPr>
        <w:tc>
          <w:tcPr>
            <w:tcW w:w="1706" w:type="dxa"/>
            <w:vMerge/>
            <w:tcBorders>
              <w:top w:val="nil"/>
              <w:left w:val="single" w:sz="8" w:space="0" w:color="auto"/>
              <w:bottom w:val="single" w:sz="8" w:space="0" w:color="000000"/>
              <w:right w:val="single" w:sz="8" w:space="0" w:color="auto"/>
            </w:tcBorders>
            <w:vAlign w:val="center"/>
            <w:hideMark/>
          </w:tcPr>
          <w:p w14:paraId="5FDEEB0C" w14:textId="77777777" w:rsidR="003A1AB7" w:rsidRPr="004440AF" w:rsidRDefault="003A1AB7" w:rsidP="003A1AB7">
            <w:pPr>
              <w:spacing w:after="0"/>
              <w:rPr>
                <w:rFonts w:ascii="Garamond" w:eastAsia="Times New Roman" w:hAnsi="Garamond" w:cs="Tahoma"/>
                <w:color w:val="333333"/>
                <w:sz w:val="20"/>
                <w:szCs w:val="20"/>
                <w:lang w:eastAsia="en-AU"/>
              </w:rPr>
            </w:pPr>
          </w:p>
        </w:tc>
        <w:tc>
          <w:tcPr>
            <w:tcW w:w="2791" w:type="dxa"/>
            <w:tcBorders>
              <w:top w:val="nil"/>
              <w:left w:val="nil"/>
              <w:bottom w:val="single" w:sz="8" w:space="0" w:color="000000"/>
              <w:right w:val="single" w:sz="8" w:space="0" w:color="000000"/>
            </w:tcBorders>
            <w:shd w:val="clear" w:color="000000" w:fill="000000"/>
            <w:vAlign w:val="center"/>
            <w:hideMark/>
          </w:tcPr>
          <w:p w14:paraId="05EC043A" w14:textId="77777777" w:rsidR="003A1AB7" w:rsidRPr="00671652" w:rsidRDefault="003A1AB7" w:rsidP="003A1AB7">
            <w:pPr>
              <w:spacing w:after="0"/>
              <w:rPr>
                <w:rFonts w:ascii="Garamond" w:eastAsia="Times New Roman" w:hAnsi="Garamond" w:cs="Arial"/>
                <w:b/>
                <w:color w:val="FFFFFF"/>
                <w:sz w:val="20"/>
                <w:szCs w:val="20"/>
                <w:lang w:eastAsia="en-AU"/>
              </w:rPr>
            </w:pPr>
            <w:r w:rsidRPr="00671652">
              <w:rPr>
                <w:rFonts w:ascii="Garamond" w:eastAsia="Times New Roman" w:hAnsi="Garamond" w:cs="Arial"/>
                <w:b/>
                <w:color w:val="FFFFFF"/>
                <w:sz w:val="20"/>
                <w:szCs w:val="20"/>
                <w:lang w:eastAsia="en-AU"/>
              </w:rPr>
              <w:t>Total</w:t>
            </w:r>
          </w:p>
        </w:tc>
        <w:tc>
          <w:tcPr>
            <w:tcW w:w="1707" w:type="dxa"/>
            <w:tcBorders>
              <w:top w:val="nil"/>
              <w:left w:val="nil"/>
              <w:bottom w:val="single" w:sz="8" w:space="0" w:color="000000"/>
              <w:right w:val="single" w:sz="8" w:space="0" w:color="000000"/>
            </w:tcBorders>
            <w:shd w:val="clear" w:color="000000" w:fill="0D0D0D"/>
            <w:vAlign w:val="center"/>
            <w:hideMark/>
          </w:tcPr>
          <w:p w14:paraId="4A6AE8E1"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25,722</w:t>
            </w:r>
          </w:p>
        </w:tc>
        <w:tc>
          <w:tcPr>
            <w:tcW w:w="1707" w:type="dxa"/>
            <w:tcBorders>
              <w:top w:val="nil"/>
              <w:left w:val="nil"/>
              <w:bottom w:val="single" w:sz="8" w:space="0" w:color="000000"/>
              <w:right w:val="single" w:sz="8" w:space="0" w:color="000000"/>
            </w:tcBorders>
            <w:shd w:val="clear" w:color="000000" w:fill="0D0D0D"/>
            <w:vAlign w:val="center"/>
            <w:hideMark/>
          </w:tcPr>
          <w:p w14:paraId="0274E858"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25,884</w:t>
            </w:r>
          </w:p>
        </w:tc>
        <w:tc>
          <w:tcPr>
            <w:tcW w:w="1707" w:type="dxa"/>
            <w:tcBorders>
              <w:top w:val="nil"/>
              <w:left w:val="nil"/>
              <w:bottom w:val="single" w:sz="8" w:space="0" w:color="000000"/>
              <w:right w:val="single" w:sz="8" w:space="0" w:color="000000"/>
            </w:tcBorders>
            <w:shd w:val="clear" w:color="000000" w:fill="0D0D0D"/>
            <w:vAlign w:val="center"/>
            <w:hideMark/>
          </w:tcPr>
          <w:p w14:paraId="5A021AF6" w14:textId="77777777" w:rsidR="003A1AB7" w:rsidRPr="004440AF" w:rsidRDefault="003A1AB7" w:rsidP="003A1AB7">
            <w:pPr>
              <w:spacing w:after="0"/>
              <w:jc w:val="center"/>
              <w:rPr>
                <w:rFonts w:ascii="Garamond" w:eastAsia="Times New Roman" w:hAnsi="Garamond" w:cs="Arial"/>
                <w:b/>
                <w:bCs/>
                <w:color w:val="FFFFFF"/>
                <w:sz w:val="20"/>
                <w:szCs w:val="20"/>
                <w:lang w:eastAsia="en-AU"/>
              </w:rPr>
            </w:pPr>
            <w:r w:rsidRPr="004440AF">
              <w:rPr>
                <w:rFonts w:ascii="Garamond" w:eastAsia="Times New Roman" w:hAnsi="Garamond" w:cs="Arial"/>
                <w:b/>
                <w:bCs/>
                <w:color w:val="FFFFFF"/>
                <w:sz w:val="20"/>
                <w:szCs w:val="20"/>
                <w:lang w:eastAsia="en-AU"/>
              </w:rPr>
              <w:t>1,946</w:t>
            </w:r>
          </w:p>
        </w:tc>
      </w:tr>
    </w:tbl>
    <w:p w14:paraId="7B26EA6F" w14:textId="6E65FC09" w:rsidR="00552EAE" w:rsidRPr="00F5001A" w:rsidRDefault="00552EAE" w:rsidP="00552EAE">
      <w:pPr>
        <w:pStyle w:val="08Tablefootnotes"/>
        <w:rPr>
          <w:rFonts w:ascii="Garamond" w:hAnsi="Garamond"/>
          <w:color w:val="000000" w:themeColor="text1"/>
        </w:rPr>
      </w:pPr>
      <w:r w:rsidRPr="00F5001A">
        <w:rPr>
          <w:rFonts w:ascii="Garamond" w:hAnsi="Garamond"/>
        </w:rPr>
        <w:t xml:space="preserve">Source: DHS claims systems extracts for years 2011/12, 2012/13 and 2013/14, Pharmacy Guild claims systems extracts for years 2014/15 and 2015/16. In in conjunction with ABS postcode to remoteness.xls available from </w:t>
      </w:r>
      <w:r w:rsidRPr="00F5001A">
        <w:rPr>
          <w:rFonts w:ascii="Garamond" w:hAnsi="Garamond"/>
          <w:color w:val="FF0000"/>
        </w:rPr>
        <w:t xml:space="preserve"> </w:t>
      </w:r>
      <w:hyperlink r:id="rId43" w:history="1">
        <w:r w:rsidRPr="00F5001A">
          <w:rPr>
            <w:rStyle w:val="Hyperlink"/>
            <w:rFonts w:ascii="Garamond" w:hAnsi="Garamond"/>
          </w:rPr>
          <w:t>http://www.abs.gov.au/AUSSTATS/abs@.nsf/DetailsPage/1270.0.55.006July%202011?OpenDocument</w:t>
        </w:r>
      </w:hyperlink>
      <w:r w:rsidRPr="00F5001A">
        <w:rPr>
          <w:rFonts w:ascii="Garamond" w:hAnsi="Garamond"/>
          <w:color w:val="000000" w:themeColor="text1"/>
        </w:rPr>
        <w:t xml:space="preserve">  (accessed 5</w:t>
      </w:r>
      <w:r w:rsidRPr="00F5001A">
        <w:rPr>
          <w:rFonts w:ascii="Garamond" w:hAnsi="Garamond"/>
          <w:color w:val="000000" w:themeColor="text1"/>
          <w:vertAlign w:val="superscript"/>
        </w:rPr>
        <w:t>th</w:t>
      </w:r>
      <w:r w:rsidRPr="00F5001A">
        <w:rPr>
          <w:rFonts w:ascii="Garamond" w:hAnsi="Garamond"/>
          <w:color w:val="000000" w:themeColor="text1"/>
        </w:rPr>
        <w:t xml:space="preserve"> October, 2016)</w:t>
      </w:r>
    </w:p>
    <w:p w14:paraId="1EFCB084" w14:textId="77777777" w:rsidR="00552EAE" w:rsidRPr="00F5001A" w:rsidRDefault="00552EAE" w:rsidP="00552EAE">
      <w:pPr>
        <w:pStyle w:val="08Tablefootnotes"/>
        <w:rPr>
          <w:rFonts w:ascii="Garamond" w:hAnsi="Garamond"/>
        </w:rPr>
      </w:pPr>
      <w:r w:rsidRPr="00F5001A">
        <w:rPr>
          <w:rFonts w:ascii="Garamond" w:hAnsi="Garamond"/>
        </w:rPr>
        <w:t>Abbreviations: BE, Business Entity (includes sole traders). ABS, Australian Bureau of Statistics</w:t>
      </w:r>
    </w:p>
    <w:p w14:paraId="5F0C8C19" w14:textId="77777777" w:rsidR="00552EAE" w:rsidRPr="00F5001A" w:rsidRDefault="00552EAE" w:rsidP="00552EAE">
      <w:pPr>
        <w:pStyle w:val="08Tablefootnotes"/>
        <w:rPr>
          <w:rFonts w:ascii="Garamond" w:hAnsi="Garamond"/>
        </w:rPr>
      </w:pPr>
      <w:r w:rsidRPr="00F5001A">
        <w:rPr>
          <w:rFonts w:ascii="Garamond" w:hAnsi="Garamond"/>
        </w:rPr>
        <w:t>Note 1: Provider identifiers in years 2011/12, 2012/13 and 2013/14 were supplied in encrypted form. They have been categorised in cases where the encrypted identifier was also used in the 2014/15 or in 2015/16 datasets and in cases where the S90 Pharmacy identifier was supplied.</w:t>
      </w:r>
    </w:p>
    <w:p w14:paraId="7F67743E" w14:textId="77777777" w:rsidR="00552EAE" w:rsidRPr="00F5001A" w:rsidRDefault="00552EAE" w:rsidP="00552EAE">
      <w:pPr>
        <w:pStyle w:val="08Tablefootnotes"/>
        <w:rPr>
          <w:rFonts w:ascii="Garamond" w:hAnsi="Garamond"/>
        </w:rPr>
      </w:pPr>
      <w:r w:rsidRPr="00F5001A">
        <w:rPr>
          <w:rFonts w:ascii="Garamond" w:hAnsi="Garamond"/>
          <w:i/>
        </w:rPr>
        <w:t>Please note that ‘Location Unknown’ arises due to missing or unrecognised patient postcodes in the DHS and Pharmacy Guild datasets.</w:t>
      </w:r>
    </w:p>
    <w:p w14:paraId="3EE37492" w14:textId="41EB332E" w:rsidR="00552EAE" w:rsidRPr="00776E31" w:rsidRDefault="0009681A" w:rsidP="00552EAE">
      <w:pPr>
        <w:pStyle w:val="BodyText"/>
        <w:rPr>
          <w:highlight w:val="yellow"/>
        </w:rPr>
      </w:pPr>
      <w:r>
        <w:fldChar w:fldCharType="begin"/>
      </w:r>
      <w:r>
        <w:instrText xml:space="preserve"> REF _Ref522801368 \h </w:instrText>
      </w:r>
      <w:r>
        <w:fldChar w:fldCharType="separate"/>
      </w:r>
      <w:r w:rsidR="009047A7">
        <w:t xml:space="preserve">Table </w:t>
      </w:r>
      <w:r w:rsidR="009047A7">
        <w:rPr>
          <w:noProof/>
        </w:rPr>
        <w:t>7</w:t>
      </w:r>
      <w:r w:rsidR="009047A7">
        <w:t>.</w:t>
      </w:r>
      <w:r w:rsidR="009047A7">
        <w:rPr>
          <w:noProof/>
        </w:rPr>
        <w:t>4</w:t>
      </w:r>
      <w:r>
        <w:fldChar w:fldCharType="end"/>
      </w:r>
      <w:r w:rsidR="00552EAE">
        <w:t xml:space="preserve"> and </w:t>
      </w:r>
      <w:r>
        <w:fldChar w:fldCharType="begin"/>
      </w:r>
      <w:r>
        <w:instrText xml:space="preserve"> REF _Ref522801415 \h </w:instrText>
      </w:r>
      <w:r>
        <w:fldChar w:fldCharType="separate"/>
      </w:r>
      <w:r w:rsidR="009047A7">
        <w:t xml:space="preserve">Figure </w:t>
      </w:r>
      <w:r w:rsidR="009047A7">
        <w:rPr>
          <w:noProof/>
        </w:rPr>
        <w:t>7</w:t>
      </w:r>
      <w:r w:rsidR="009047A7">
        <w:t>.</w:t>
      </w:r>
      <w:r w:rsidR="009047A7">
        <w:rPr>
          <w:noProof/>
        </w:rPr>
        <w:t>22</w:t>
      </w:r>
      <w:r>
        <w:fldChar w:fldCharType="end"/>
      </w:r>
      <w:r w:rsidR="00552EAE">
        <w:t xml:space="preserve"> illustrate the relative growth in the Diabetes MedsCheck scheme between July 2012 and June 2016. </w:t>
      </w:r>
      <w:r w:rsidR="004440AF">
        <w:t xml:space="preserve"> </w:t>
      </w:r>
      <w:r w:rsidR="00552EAE">
        <w:t xml:space="preserve">All locations experienced higher than expected uptake during the period of uncapped operation, which was largely corrected for via the introduction of capped claim volumes. </w:t>
      </w:r>
      <w:r w:rsidR="004440AF">
        <w:t xml:space="preserve"> </w:t>
      </w:r>
      <w:r w:rsidR="00552EAE">
        <w:t xml:space="preserve">In absolute terms, ‘Major Cities’ and ‘Inner Regional’ locations (not surprisingly) delivered the strongest gains in numbers of patients and volume of services provided between July 2012 and June 2016 (adding 6,737 patients and 1,610 patients respectively). </w:t>
      </w:r>
      <w:r w:rsidR="004440AF">
        <w:t xml:space="preserve"> </w:t>
      </w:r>
      <w:r w:rsidR="00552EAE">
        <w:t>In relative terms ‘Outer Regional’, ‘Remote’ and ‘Very Remote’ locations have grown the most, delivering (respectively) 311%, 201% and 571% more Diabetes MedsCheck services over the period.</w:t>
      </w:r>
    </w:p>
    <w:p w14:paraId="36FBDD3B" w14:textId="003A1286" w:rsidR="00552EAE" w:rsidRDefault="0009681A" w:rsidP="0009681A">
      <w:pPr>
        <w:pStyle w:val="Caption"/>
      </w:pPr>
      <w:bookmarkStart w:id="87" w:name="_Ref522801415"/>
      <w:r>
        <w:lastRenderedPageBreak/>
        <w:t xml:space="preserve">Figure </w:t>
      </w:r>
      <w:r w:rsidR="009047A7">
        <w:rPr>
          <w:noProof/>
        </w:rPr>
        <w:fldChar w:fldCharType="begin"/>
      </w:r>
      <w:r w:rsidR="009047A7">
        <w:rPr>
          <w:noProof/>
        </w:rPr>
        <w:instrText xml:space="preserve"> STYLEREF 1 \s </w:instrText>
      </w:r>
      <w:r w:rsidR="009047A7">
        <w:rPr>
          <w:noProof/>
        </w:rPr>
        <w:fldChar w:fldCharType="separate"/>
      </w:r>
      <w:r w:rsidR="009047A7">
        <w:rPr>
          <w:noProof/>
        </w:rPr>
        <w:t>7</w:t>
      </w:r>
      <w:r w:rsidR="009047A7">
        <w:rPr>
          <w:noProof/>
        </w:rPr>
        <w:fldChar w:fldCharType="end"/>
      </w:r>
      <w:r>
        <w:t>.</w:t>
      </w:r>
      <w:r w:rsidR="009047A7">
        <w:rPr>
          <w:noProof/>
        </w:rPr>
        <w:fldChar w:fldCharType="begin"/>
      </w:r>
      <w:r w:rsidR="009047A7">
        <w:rPr>
          <w:noProof/>
        </w:rPr>
        <w:instrText xml:space="preserve"> SEQ Figure \* ARABIC \s 1 </w:instrText>
      </w:r>
      <w:r w:rsidR="009047A7">
        <w:rPr>
          <w:noProof/>
        </w:rPr>
        <w:fldChar w:fldCharType="separate"/>
      </w:r>
      <w:r w:rsidR="009047A7">
        <w:rPr>
          <w:noProof/>
        </w:rPr>
        <w:t>22</w:t>
      </w:r>
      <w:r w:rsidR="009047A7">
        <w:rPr>
          <w:noProof/>
        </w:rPr>
        <w:fldChar w:fldCharType="end"/>
      </w:r>
      <w:bookmarkEnd w:id="87"/>
      <w:r w:rsidR="00552EAE" w:rsidRPr="0046164A">
        <w:t xml:space="preserve">: </w:t>
      </w:r>
      <w:r w:rsidR="00552EAE">
        <w:t>Diabetes MedsCheck</w:t>
      </w:r>
      <w:r w:rsidR="00552EAE" w:rsidRPr="0046164A">
        <w:t xml:space="preserve"> </w:t>
      </w:r>
      <w:r w:rsidR="00552EAE">
        <w:t>changes in patient volume in Australian ABS remoteness categories</w:t>
      </w:r>
      <w:r w:rsidR="00552EAE" w:rsidRPr="0046164A">
        <w:t xml:space="preserve"> between July 2011 and June 201</w:t>
      </w:r>
      <w:r w:rsidR="00552EAE">
        <w:t>6</w:t>
      </w:r>
    </w:p>
    <w:p w14:paraId="7762F241" w14:textId="77777777" w:rsidR="00552EAE" w:rsidRDefault="00552EAE" w:rsidP="00552EAE">
      <w:pPr>
        <w:pStyle w:val="BodyText"/>
        <w:rPr>
          <w:highlight w:val="yellow"/>
        </w:rPr>
      </w:pPr>
      <w:r>
        <w:rPr>
          <w:noProof/>
          <w:lang w:eastAsia="en-AU"/>
        </w:rPr>
        <w:drawing>
          <wp:inline distT="0" distB="0" distL="0" distR="0" wp14:anchorId="60C3B477" wp14:editId="6152FF7E">
            <wp:extent cx="6120130" cy="2012315"/>
            <wp:effectExtent l="0" t="0" r="0" b="6985"/>
            <wp:docPr id="38" name="Picture 38" descr="Figure 7.22 This figure shows the changes in patient volume in the Diabetes MedsCheck program in several remoteness categories between July 2011 and June 2016." title="Fig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Fig 7.8 Remote DIA all log scale.png"/>
                    <pic:cNvPicPr/>
                  </pic:nvPicPr>
                  <pic:blipFill>
                    <a:blip r:embed="rId44">
                      <a:extLst>
                        <a:ext uri="{28A0092B-C50C-407E-A947-70E740481C1C}">
                          <a14:useLocalDpi xmlns:a14="http://schemas.microsoft.com/office/drawing/2010/main" val="0"/>
                        </a:ext>
                      </a:extLst>
                    </a:blip>
                    <a:stretch>
                      <a:fillRect/>
                    </a:stretch>
                  </pic:blipFill>
                  <pic:spPr>
                    <a:xfrm>
                      <a:off x="0" y="0"/>
                      <a:ext cx="6120130" cy="2012315"/>
                    </a:xfrm>
                    <a:prstGeom prst="rect">
                      <a:avLst/>
                    </a:prstGeom>
                  </pic:spPr>
                </pic:pic>
              </a:graphicData>
            </a:graphic>
          </wp:inline>
        </w:drawing>
      </w:r>
    </w:p>
    <w:p w14:paraId="29F48EF1" w14:textId="77173044" w:rsidR="00552EAE" w:rsidRPr="00694350" w:rsidRDefault="00552EAE" w:rsidP="00552EAE">
      <w:pPr>
        <w:pStyle w:val="08Tablefootnotes"/>
        <w:rPr>
          <w:color w:val="000000" w:themeColor="text1"/>
        </w:rPr>
      </w:pPr>
      <w:r w:rsidRPr="00694350">
        <w:rPr>
          <w:rFonts w:ascii="Garamond" w:hAnsi="Garamond"/>
        </w:rPr>
        <w:t xml:space="preserve">Source: DHS claims systems extracts for years 2011/12, 2012/13 and 2013/14, Pharmacy Guild claims systems extracts for years 2014/15 and 2015/16. In </w:t>
      </w:r>
      <w:r w:rsidRPr="00694350">
        <w:t xml:space="preserve">in conjunction with ABS postcode to remoteness.xls available from </w:t>
      </w:r>
      <w:r w:rsidRPr="00694350">
        <w:rPr>
          <w:color w:val="FF0000"/>
        </w:rPr>
        <w:t xml:space="preserve"> </w:t>
      </w:r>
      <w:hyperlink r:id="rId45" w:history="1">
        <w:r w:rsidRPr="00694350">
          <w:rPr>
            <w:rStyle w:val="Hyperlink"/>
          </w:rPr>
          <w:t>http://www.abs.gov.au/AUSSTATS/abs@.nsf/DetailsPage/1270.0.55.006July%202011?OpenDocument</w:t>
        </w:r>
      </w:hyperlink>
      <w:r w:rsidRPr="00694350">
        <w:rPr>
          <w:color w:val="000000" w:themeColor="text1"/>
        </w:rPr>
        <w:t xml:space="preserve">  (accessed 5</w:t>
      </w:r>
      <w:r w:rsidRPr="00694350">
        <w:rPr>
          <w:color w:val="000000" w:themeColor="text1"/>
          <w:vertAlign w:val="superscript"/>
        </w:rPr>
        <w:t>th</w:t>
      </w:r>
      <w:r w:rsidRPr="00694350">
        <w:rPr>
          <w:color w:val="000000" w:themeColor="text1"/>
        </w:rPr>
        <w:t xml:space="preserve"> October, 2016)</w:t>
      </w:r>
    </w:p>
    <w:p w14:paraId="261C799C" w14:textId="77777777" w:rsidR="00552EAE" w:rsidRPr="00694350" w:rsidRDefault="00552EAE" w:rsidP="00552EAE">
      <w:pPr>
        <w:pStyle w:val="08Tablefootnotes"/>
        <w:rPr>
          <w:rFonts w:ascii="Garamond" w:hAnsi="Garamond"/>
        </w:rPr>
      </w:pPr>
      <w:r w:rsidRPr="00694350">
        <w:rPr>
          <w:rFonts w:ascii="Garamond" w:hAnsi="Garamond"/>
        </w:rPr>
        <w:t>Abbreviations: BE, Business Entity (includes sole traders). ABS, Australian Bureau of Statistics</w:t>
      </w:r>
    </w:p>
    <w:p w14:paraId="2D722925" w14:textId="77777777" w:rsidR="00552EAE" w:rsidRDefault="00552EAE" w:rsidP="00552EAE">
      <w:pPr>
        <w:pStyle w:val="08Tablefootnotes"/>
        <w:rPr>
          <w:rFonts w:ascii="Garamond" w:hAnsi="Garamond"/>
        </w:rPr>
      </w:pPr>
      <w:r w:rsidRPr="00694350">
        <w:rPr>
          <w:rFonts w:ascii="Garamond" w:hAnsi="Garamond"/>
        </w:rPr>
        <w:t>Note 1: Provider identifiers in years 2011/12, 2012/13 and 2013/14 were supplied in encrypted form. They have been categorised in cases where the encrypted identifier was also used in the 2014/15 or in 2015/16 datasets and in cases where the S90 Pharmacy identifier was supplied.</w:t>
      </w:r>
    </w:p>
    <w:p w14:paraId="0FA13142" w14:textId="77777777" w:rsidR="00552EAE" w:rsidRDefault="00552EAE" w:rsidP="00552EAE">
      <w:pPr>
        <w:pStyle w:val="08Tablefootnotes"/>
        <w:rPr>
          <w:rFonts w:ascii="Garamond" w:hAnsi="Garamond"/>
        </w:rPr>
      </w:pPr>
      <w:r>
        <w:rPr>
          <w:rFonts w:ascii="Garamond" w:hAnsi="Garamond"/>
        </w:rPr>
        <w:t>Note 2: logarithmic scale for comparison</w:t>
      </w:r>
    </w:p>
    <w:p w14:paraId="35EB6906" w14:textId="2AC01671" w:rsidR="00552EAE" w:rsidRDefault="00552EAE" w:rsidP="00552EAE">
      <w:pPr>
        <w:pStyle w:val="Heading2"/>
        <w:numPr>
          <w:ilvl w:val="1"/>
          <w:numId w:val="37"/>
        </w:numPr>
      </w:pPr>
      <w:r>
        <w:t xml:space="preserve">Summary of </w:t>
      </w:r>
      <w:r w:rsidR="00671652">
        <w:t xml:space="preserve">Diabetes MedsCheck </w:t>
      </w:r>
      <w:r>
        <w:t xml:space="preserve">utilsation analysis findings </w:t>
      </w:r>
    </w:p>
    <w:p w14:paraId="2328DFED" w14:textId="77777777" w:rsidR="00552EAE" w:rsidRDefault="00552EAE" w:rsidP="00671652">
      <w:pPr>
        <w:pStyle w:val="01BODYTEXT"/>
      </w:pPr>
      <w:r>
        <w:t xml:space="preserve">In summary, we found that claims payment policy changes (specifically the introduction of a claims cap of 10 Diabetes MedsChecks per provider, per month) effectively checked burgeoning scheme uptake and promoted alignment with expectations for both frequency of service and patient profile in terms of age, the number of chronic conditions and the number of prescription medicines the patient is taking. </w:t>
      </w:r>
    </w:p>
    <w:p w14:paraId="4A14AE7A" w14:textId="27507D96" w:rsidR="00552EAE" w:rsidRPr="00552EAE" w:rsidRDefault="00552EAE" w:rsidP="00671652">
      <w:pPr>
        <w:pStyle w:val="01BODYTEXT"/>
      </w:pPr>
      <w:r>
        <w:t>It is likely that the introduction of the claims cap was the primary driver for altering behaviour of the scheme participants, affecting the economics of participation and signalling to pharmacies greater stringency in claims policies, claims processing rigour and guideline enforcement.</w:t>
      </w:r>
    </w:p>
    <w:p w14:paraId="45E35320" w14:textId="1C84CECB" w:rsidR="00CB393E" w:rsidRPr="00586104" w:rsidRDefault="00586104" w:rsidP="00586104">
      <w:pPr>
        <w:pStyle w:val="Heading1"/>
        <w:numPr>
          <w:ilvl w:val="0"/>
          <w:numId w:val="0"/>
        </w:numPr>
        <w:jc w:val="left"/>
        <w:rPr>
          <w:caps/>
        </w:rPr>
      </w:pPr>
      <w:bookmarkStart w:id="88" w:name="_Toc474252303"/>
      <w:bookmarkStart w:id="89" w:name="_Toc522873487"/>
      <w:r w:rsidRPr="00586104">
        <w:rPr>
          <w:caps/>
        </w:rPr>
        <w:lastRenderedPageBreak/>
        <w:t xml:space="preserve">Appendix A </w:t>
      </w:r>
      <w:r w:rsidR="00552EAE" w:rsidRPr="00586104">
        <w:rPr>
          <w:caps/>
        </w:rPr>
        <w:t>Reference</w:t>
      </w:r>
      <w:r w:rsidR="00CB393E" w:rsidRPr="00586104">
        <w:rPr>
          <w:caps/>
        </w:rPr>
        <w:t>s</w:t>
      </w:r>
      <w:bookmarkEnd w:id="88"/>
      <w:bookmarkEnd w:id="89"/>
    </w:p>
    <w:p w14:paraId="41CC827F" w14:textId="53AEF14F" w:rsidR="004833F3" w:rsidRDefault="004833F3" w:rsidP="00CB393E">
      <w:pPr>
        <w:pStyle w:val="BodyText"/>
      </w:pPr>
      <w:r w:rsidRPr="004833F3">
        <w:t xml:space="preserve">Australian Government Department of Health, The Pharmacy Guild of Australia. </w:t>
      </w:r>
      <w:r w:rsidR="00836513">
        <w:t xml:space="preserve">(2017). </w:t>
      </w:r>
      <w:r w:rsidRPr="004833F3">
        <w:t>6th community pharmacy agreement medscheck and diabetes medscheck pro</w:t>
      </w:r>
      <w:r w:rsidR="00836513">
        <w:t>gramme specific guidelines.</w:t>
      </w:r>
    </w:p>
    <w:p w14:paraId="3CF8C592" w14:textId="73027EEF" w:rsidR="00CB393E" w:rsidRDefault="004B399B" w:rsidP="00CB393E">
      <w:pPr>
        <w:pStyle w:val="BodyText"/>
      </w:pPr>
      <w:r w:rsidRPr="004B399B">
        <w:t>Basheti, I. A., Tadros, O. K. I. and Aburuz, S. (2016). Value of a Community-Based Medication Management Review Service in Jordan: A Prospective Randomized Controlled Study.Pharmacotherapy 36(10): 1075-1086.</w:t>
      </w:r>
    </w:p>
    <w:p w14:paraId="1679E650" w14:textId="318730EA" w:rsidR="004B399B" w:rsidRDefault="004B399B" w:rsidP="00CB393E">
      <w:pPr>
        <w:pStyle w:val="BodyText"/>
      </w:pPr>
      <w:r w:rsidRPr="004B399B">
        <w:t>Bernsten C, Björkman I, Caramona M, Crealey G, Frøkjaer B, Grundberger E, et al. Improving the well-being of elderly patients via community pharmacy-based provision of pharmaceutical care: a multicentre study in seven European countries. Drugs Aging 2001; 18: 63–77.</w:t>
      </w:r>
    </w:p>
    <w:p w14:paraId="3128C4B0" w14:textId="61216EA4" w:rsidR="004B399B" w:rsidRDefault="004B399B" w:rsidP="00CB393E">
      <w:pPr>
        <w:pStyle w:val="BodyText"/>
      </w:pPr>
      <w:r w:rsidRPr="004B399B">
        <w:t>Blalock SJ, Casteel C, Roth MT, Ferreri S; Karen B. Demby KB, and Shankar V. (2010). Impact of enhanced pharmacologic care on the prevention of falls: A randomized controlled trial. Am Journal of Geriatric Pharmacotherapy Am J Geriatr Pharmacother. 8(5):428-40.</w:t>
      </w:r>
    </w:p>
    <w:p w14:paraId="691C45C0" w14:textId="77777777" w:rsidR="004B399B" w:rsidRDefault="004B399B" w:rsidP="004B399B">
      <w:pPr>
        <w:pStyle w:val="BodyText"/>
      </w:pPr>
      <w:r>
        <w:t>Bond, C. (2007). The MEDMAN study: A randomized controlled trial of community pharmacy-led medicines management for patients with coronary heart disease. Family Practice 24(2): 189-200.</w:t>
      </w:r>
    </w:p>
    <w:p w14:paraId="5A9E78FF" w14:textId="5FF3AD6B" w:rsidR="004B399B" w:rsidRDefault="004B399B" w:rsidP="004B399B">
      <w:pPr>
        <w:pStyle w:val="BodyText"/>
      </w:pPr>
      <w:r>
        <w:t>Bouvy ML, Heerdink ER, Urquhart J, et al. Effect of a pharmacist-led intervention on diuretic compliance in heart failure patients: A randomized controlled study. Journal of Cardiac Failure. 2003; 9:404–411.</w:t>
      </w:r>
    </w:p>
    <w:p w14:paraId="4102F0B5" w14:textId="4688C13D" w:rsidR="00E971F5" w:rsidRDefault="00E971F5" w:rsidP="00E971F5">
      <w:pPr>
        <w:pStyle w:val="BodyText"/>
      </w:pPr>
      <w:r>
        <w:t>Campbell Research and Consulting (2010). Evaluation of the Residential Medication Management Review Program: Main Findings Report.</w:t>
      </w:r>
    </w:p>
    <w:p w14:paraId="79917C98" w14:textId="7F3476F2" w:rsidR="004B399B" w:rsidRDefault="004B399B" w:rsidP="00CB393E">
      <w:pPr>
        <w:pStyle w:val="BodyText"/>
      </w:pPr>
      <w:r w:rsidRPr="004B399B">
        <w:t>Geurts MM, Stewart RE, Brouwers JR, Graeff PA, Gier JJ. Patient beliefs about medicines and quality of life after a clinical medication review and follow-up by a pharmaceutical care plan: a study in elderly polypharmacy patients with a cardiovascular disorder. J Pharm Health Serv Res, 2015; 6:171–176.</w:t>
      </w:r>
    </w:p>
    <w:p w14:paraId="43DA8E63" w14:textId="5924ABE0" w:rsidR="004B399B" w:rsidRDefault="004B399B" w:rsidP="00CB393E">
      <w:pPr>
        <w:pStyle w:val="BodyText"/>
      </w:pPr>
      <w:r w:rsidRPr="004B399B">
        <w:t>Jodar-Sanchez F, Malet-Larrea A, Martin JJ et al. Cost-utility analysis of a medication review with follow-up service for older adults with polypharmacy in community pharmacies in Spain: the conSIGUE program. Pharmacoeconomics, 2015;33:599–610.</w:t>
      </w:r>
    </w:p>
    <w:p w14:paraId="6EE29573" w14:textId="003E1720" w:rsidR="004B399B" w:rsidRDefault="004B399B" w:rsidP="00CB393E">
      <w:pPr>
        <w:pStyle w:val="BodyText"/>
      </w:pPr>
      <w:r w:rsidRPr="004B399B">
        <w:t>Kjeldsen, L. J., Bjerrum, L., Dam, P., Larsen, B. O., Rossing, C., Sondergaard, B. and Herborg, H. (2015). Safe and effective use of medicines for patients with type 2 diabetes - A randomized controlled trial of two interventions delivered by local pharmacies. Research in social &amp; administrative pharmacy: RSAP 11(1): 47-62.</w:t>
      </w:r>
    </w:p>
    <w:p w14:paraId="55D8FCC1" w14:textId="256B203B" w:rsidR="004B399B" w:rsidRDefault="004B399B" w:rsidP="00CB393E">
      <w:pPr>
        <w:pStyle w:val="BodyText"/>
      </w:pPr>
      <w:r w:rsidRPr="004B399B">
        <w:t>Malet-Larrea, A., E. Goyenechea, et al. (2016). The impact of a medication review with follow-up service on hospital admissions in aged polypharmacy patients. British Journal of Clinical Pharmacology: 831-838.</w:t>
      </w:r>
    </w:p>
    <w:p w14:paraId="19C04207" w14:textId="4FA3A89F" w:rsidR="007B17A7" w:rsidRDefault="007B17A7" w:rsidP="00CB393E">
      <w:pPr>
        <w:pStyle w:val="BodyText"/>
      </w:pPr>
      <w:r w:rsidRPr="007B17A7">
        <w:t xml:space="preserve">Martinez-Martinez F, Farragher T, Faus M, Garcia-Cardenas V, Gastelurrutia M, Jodar F. Clinical, economic and humanistic outcomes of medication review with follow-up in aged polypharmacy patients in the Spanish community pharmacy. Madrid: General Council of Spanish Pharmacists; 2014 (cited 2015 Feb 18) (ISBN: 9788487276835). </w:t>
      </w:r>
      <w:hyperlink r:id="rId46" w:history="1">
        <w:r w:rsidRPr="00446359">
          <w:rPr>
            <w:rStyle w:val="Hyperlink"/>
          </w:rPr>
          <w:t>http://www.pharmaceutical-care.org/archivos/992/V2-Resultados-Definitivos-Programa- Consigue-Impacto-2011 2014.pdf</w:t>
        </w:r>
      </w:hyperlink>
    </w:p>
    <w:p w14:paraId="494BD088" w14:textId="77777777" w:rsidR="004B399B" w:rsidRDefault="004B399B" w:rsidP="004B399B">
      <w:pPr>
        <w:pStyle w:val="BodyText"/>
      </w:pPr>
      <w:r>
        <w:t>Messerli, M., E. Blozik, et al. (2016). Impact of a community pharmacist-led medication review on medicines use in patients on polypharmacy--a prospective randomised controlled trial. BMC health services research 16: 145.</w:t>
      </w:r>
    </w:p>
    <w:p w14:paraId="7C8BC339" w14:textId="77777777" w:rsidR="004B399B" w:rsidRDefault="004B399B" w:rsidP="004B399B">
      <w:pPr>
        <w:pStyle w:val="BodyText"/>
      </w:pPr>
      <w:r>
        <w:lastRenderedPageBreak/>
        <w:t>Mott, D. A., B. Martin, et al. (2016). Impact of a medication therapy management intervention targeting medications associated with falling: Results of a pilot study. Journal of the American Pharmacists Association 56(1): 22-28.</w:t>
      </w:r>
    </w:p>
    <w:p w14:paraId="13BBC602" w14:textId="02FDC365" w:rsidR="004B399B" w:rsidRDefault="004B399B" w:rsidP="004B399B">
      <w:pPr>
        <w:pStyle w:val="BodyText"/>
      </w:pPr>
      <w:r>
        <w:t>Ocampo, C. C., V. Garcia-Cardenas, et al. (2015). Implementation of medication review with follow-up in a Spanish community pharmacy and its achieved outcomes. International Journal of Clinical Pharmacy 37(5): 931-940.</w:t>
      </w:r>
    </w:p>
    <w:p w14:paraId="5C3DBC9A" w14:textId="4120FD5E" w:rsidR="00E971F5" w:rsidRDefault="00E971F5" w:rsidP="004B399B">
      <w:pPr>
        <w:pStyle w:val="BodyText"/>
      </w:pPr>
      <w:r>
        <w:t xml:space="preserve">Pricewaterhouse Coopers (2015). </w:t>
      </w:r>
      <w:r w:rsidRPr="00E971F5">
        <w:t>Combined Review of Fifth Community Pharmacy Agreement Medication Management Programmes: Final Report; 2015.</w:t>
      </w:r>
    </w:p>
    <w:p w14:paraId="29A4DE75" w14:textId="46D0F9CF" w:rsidR="00E971F5" w:rsidRDefault="00E971F5" w:rsidP="004B399B">
      <w:pPr>
        <w:pStyle w:val="BodyText"/>
      </w:pPr>
      <w:r w:rsidRPr="00E971F5">
        <w:t xml:space="preserve">Stafford C. </w:t>
      </w:r>
      <w:r>
        <w:t xml:space="preserve">(2012). </w:t>
      </w:r>
      <w:r w:rsidRPr="00E971F5">
        <w:t>A clinical and economic evaluation of medication reviews conducted by pharmacists for comm</w:t>
      </w:r>
      <w:r>
        <w:t>unity dwelling Australians.</w:t>
      </w:r>
    </w:p>
    <w:p w14:paraId="4D61ADEC" w14:textId="77777777" w:rsidR="00E971F5" w:rsidRDefault="004B399B" w:rsidP="004B399B">
      <w:pPr>
        <w:pStyle w:val="BodyText"/>
      </w:pPr>
      <w:r>
        <w:t>Touchette, D. R., Masica, A. L., Dolor, R. J., Schumock, G. T., Choi, Y. K., Kim, Y. and Smith, S. R. (2012). Safety-focused medication therapy management: A randomized controlled trial. Journal of the American Pharmacists Association 52(5): 603-612.</w:t>
      </w:r>
    </w:p>
    <w:p w14:paraId="516E5F45" w14:textId="63A1FDF7" w:rsidR="00CB393E" w:rsidRDefault="004B399B" w:rsidP="00CB393E">
      <w:pPr>
        <w:pStyle w:val="BodyText"/>
      </w:pPr>
      <w:r>
        <w:t>Vinks TH et al. Pharmacist based medication review reduces potential drug-related problems in the elderly. The SMOG controlled trial. Drug Aging 2009; 26: 123- 33.</w:t>
      </w:r>
    </w:p>
    <w:p w14:paraId="1249B6E8" w14:textId="5C8E5DF9" w:rsidR="00CB393E" w:rsidRDefault="00586104" w:rsidP="00586104">
      <w:pPr>
        <w:pStyle w:val="Heading1"/>
        <w:numPr>
          <w:ilvl w:val="0"/>
          <w:numId w:val="0"/>
        </w:numPr>
        <w:jc w:val="left"/>
        <w:rPr>
          <w:caps/>
        </w:rPr>
      </w:pPr>
      <w:bookmarkStart w:id="90" w:name="_Ref471221576"/>
      <w:bookmarkStart w:id="91" w:name="_Toc474252305"/>
      <w:bookmarkStart w:id="92" w:name="_Toc522873488"/>
      <w:r w:rsidRPr="00586104">
        <w:rPr>
          <w:caps/>
        </w:rPr>
        <w:lastRenderedPageBreak/>
        <w:t xml:space="preserve">Appendix B </w:t>
      </w:r>
      <w:r w:rsidR="00CB393E" w:rsidRPr="00586104">
        <w:rPr>
          <w:caps/>
        </w:rPr>
        <w:t>Search strategy</w:t>
      </w:r>
      <w:bookmarkEnd w:id="90"/>
      <w:bookmarkEnd w:id="91"/>
      <w:bookmarkEnd w:id="92"/>
    </w:p>
    <w:p w14:paraId="5CB813E3" w14:textId="3DA786C8" w:rsidR="00906106" w:rsidRPr="00906106" w:rsidRDefault="00906106" w:rsidP="00906106">
      <w:pPr>
        <w:pStyle w:val="BodyText"/>
      </w:pPr>
      <w:r>
        <w:t>The search strategies included in this evaluation report are presented in this appendix (</w:t>
      </w:r>
      <w:r>
        <w:fldChar w:fldCharType="begin"/>
      </w:r>
      <w:r>
        <w:instrText xml:space="preserve"> REF _Ref522874386 \h </w:instrText>
      </w:r>
      <w:r>
        <w:fldChar w:fldCharType="separate"/>
      </w:r>
      <w:r>
        <w:t>Table A-B.</w:t>
      </w:r>
      <w:r>
        <w:rPr>
          <w:noProof/>
        </w:rPr>
        <w:t>1</w:t>
      </w:r>
      <w:r>
        <w:fldChar w:fldCharType="end"/>
      </w:r>
      <w:r>
        <w:t xml:space="preserve">, </w:t>
      </w:r>
      <w:r>
        <w:fldChar w:fldCharType="begin"/>
      </w:r>
      <w:r>
        <w:instrText xml:space="preserve"> REF _Ref522874387 \h </w:instrText>
      </w:r>
      <w:r>
        <w:fldChar w:fldCharType="separate"/>
      </w:r>
      <w:r>
        <w:t>Table A-B.</w:t>
      </w:r>
      <w:r>
        <w:rPr>
          <w:noProof/>
        </w:rPr>
        <w:t>2</w:t>
      </w:r>
      <w:r>
        <w:fldChar w:fldCharType="end"/>
      </w:r>
      <w:r>
        <w:t xml:space="preserve">, </w:t>
      </w:r>
      <w:r>
        <w:fldChar w:fldCharType="begin"/>
      </w:r>
      <w:r>
        <w:instrText xml:space="preserve"> REF _Ref522874388 \h </w:instrText>
      </w:r>
      <w:r>
        <w:fldChar w:fldCharType="separate"/>
      </w:r>
      <w:r>
        <w:t>Table A-B.</w:t>
      </w:r>
      <w:r>
        <w:rPr>
          <w:noProof/>
        </w:rPr>
        <w:t>3</w:t>
      </w:r>
      <w:r>
        <w:fldChar w:fldCharType="end"/>
      </w:r>
      <w:r>
        <w:t xml:space="preserve">, and </w:t>
      </w:r>
      <w:r>
        <w:fldChar w:fldCharType="begin"/>
      </w:r>
      <w:r>
        <w:instrText xml:space="preserve"> REF _Ref522874389 \h </w:instrText>
      </w:r>
      <w:r>
        <w:fldChar w:fldCharType="separate"/>
      </w:r>
      <w:r>
        <w:t>Table A-B.</w:t>
      </w:r>
      <w:r>
        <w:rPr>
          <w:noProof/>
        </w:rPr>
        <w:t>4</w:t>
      </w:r>
      <w:r>
        <w:fldChar w:fldCharType="end"/>
      </w:r>
      <w:r>
        <w:t>).</w:t>
      </w:r>
    </w:p>
    <w:p w14:paraId="30FA97C8" w14:textId="5A4E59C0" w:rsidR="00CB393E" w:rsidRDefault="00B75B3A" w:rsidP="00B75B3A">
      <w:pPr>
        <w:pStyle w:val="Caption"/>
      </w:pPr>
      <w:bookmarkStart w:id="93" w:name="_Ref522874386"/>
      <w:r>
        <w:t>Table A-B.</w:t>
      </w:r>
      <w:r w:rsidR="00FD7087">
        <w:rPr>
          <w:noProof/>
        </w:rPr>
        <w:fldChar w:fldCharType="begin"/>
      </w:r>
      <w:r w:rsidR="00FD7087">
        <w:rPr>
          <w:noProof/>
        </w:rPr>
        <w:instrText xml:space="preserve"> SEQ Table_A-B. \* ARABIC </w:instrText>
      </w:r>
      <w:r w:rsidR="00FD7087">
        <w:rPr>
          <w:noProof/>
        </w:rPr>
        <w:fldChar w:fldCharType="separate"/>
      </w:r>
      <w:r w:rsidR="00906106">
        <w:rPr>
          <w:noProof/>
        </w:rPr>
        <w:t>1</w:t>
      </w:r>
      <w:r w:rsidR="00FD7087">
        <w:rPr>
          <w:noProof/>
        </w:rPr>
        <w:fldChar w:fldCharType="end"/>
      </w:r>
      <w:bookmarkEnd w:id="93"/>
      <w:r w:rsidR="00CB393E">
        <w:tab/>
      </w:r>
      <w:r w:rsidR="00CB393E" w:rsidRPr="00356741">
        <w:t>Embas</w:t>
      </w:r>
      <w:r w:rsidR="00CB393E">
        <w:t>e search strategy for studies relevant to Medication Management Review services</w:t>
      </w:r>
    </w:p>
    <w:tbl>
      <w:tblPr>
        <w:tblStyle w:val="TableGrid"/>
        <w:tblW w:w="0" w:type="auto"/>
        <w:tblLook w:val="04A0" w:firstRow="1" w:lastRow="0" w:firstColumn="1" w:lastColumn="0" w:noHBand="0" w:noVBand="1"/>
        <w:tblCaption w:val="Table A-B.1"/>
        <w:tblDescription w:val="Embase search strategy for studies relevant to Medication Management Review services"/>
      </w:tblPr>
      <w:tblGrid>
        <w:gridCol w:w="696"/>
        <w:gridCol w:w="7933"/>
        <w:gridCol w:w="999"/>
      </w:tblGrid>
      <w:tr w:rsidR="00CB393E" w:rsidRPr="00356741" w14:paraId="6B60571E" w14:textId="77777777" w:rsidTr="00005F76">
        <w:trPr>
          <w:cnfStyle w:val="100000000000" w:firstRow="1" w:lastRow="0" w:firstColumn="0" w:lastColumn="0" w:oddVBand="0" w:evenVBand="0" w:oddHBand="0" w:evenHBand="0" w:firstRowFirstColumn="0" w:firstRowLastColumn="0" w:lastRowFirstColumn="0" w:lastRowLastColumn="0"/>
        </w:trPr>
        <w:tc>
          <w:tcPr>
            <w:tcW w:w="701" w:type="dxa"/>
          </w:tcPr>
          <w:p w14:paraId="189DA1A9" w14:textId="77777777" w:rsidR="00CB393E" w:rsidRPr="00356741" w:rsidRDefault="00CB393E" w:rsidP="00005F76">
            <w:pPr>
              <w:pStyle w:val="01Tableheaderrowleftaligned"/>
            </w:pPr>
            <w:r>
              <w:t>#</w:t>
            </w:r>
          </w:p>
        </w:tc>
        <w:tc>
          <w:tcPr>
            <w:tcW w:w="8030" w:type="dxa"/>
          </w:tcPr>
          <w:p w14:paraId="724F873D" w14:textId="77777777" w:rsidR="00CB393E" w:rsidRPr="00356741" w:rsidRDefault="00CB393E" w:rsidP="00005F76">
            <w:pPr>
              <w:pStyle w:val="01Tableheaderrowleftaligned"/>
            </w:pPr>
            <w:r>
              <w:t xml:space="preserve">Search strategy for </w:t>
            </w:r>
            <w:r w:rsidRPr="00356741">
              <w:t xml:space="preserve">EMBASE OVID </w:t>
            </w:r>
            <w:r>
              <w:t>(</w:t>
            </w:r>
            <w:r w:rsidRPr="00356741">
              <w:t>19 Dec 2016</w:t>
            </w:r>
            <w:r>
              <w:t>)</w:t>
            </w:r>
          </w:p>
        </w:tc>
        <w:tc>
          <w:tcPr>
            <w:tcW w:w="897" w:type="dxa"/>
          </w:tcPr>
          <w:p w14:paraId="70042DDC" w14:textId="77777777" w:rsidR="00CB393E" w:rsidRPr="00356741" w:rsidRDefault="00CB393E" w:rsidP="00005F76">
            <w:pPr>
              <w:pStyle w:val="03Tableheaderrowrightaligned"/>
            </w:pPr>
            <w:r>
              <w:t>Records</w:t>
            </w:r>
          </w:p>
        </w:tc>
      </w:tr>
      <w:tr w:rsidR="00CB393E" w:rsidRPr="00356741" w14:paraId="42707170" w14:textId="77777777" w:rsidTr="00005F76">
        <w:tc>
          <w:tcPr>
            <w:tcW w:w="701" w:type="dxa"/>
          </w:tcPr>
          <w:p w14:paraId="69FB0006" w14:textId="77777777" w:rsidR="00CB393E" w:rsidRPr="00356741" w:rsidRDefault="00CB393E" w:rsidP="00005F76">
            <w:pPr>
              <w:pStyle w:val="05Tabletext"/>
              <w:rPr>
                <w:b/>
              </w:rPr>
            </w:pPr>
            <w:r w:rsidRPr="00356741">
              <w:rPr>
                <w:b/>
              </w:rPr>
              <w:t>1</w:t>
            </w:r>
          </w:p>
        </w:tc>
        <w:tc>
          <w:tcPr>
            <w:tcW w:w="8030" w:type="dxa"/>
          </w:tcPr>
          <w:p w14:paraId="5D3CD632" w14:textId="77777777" w:rsidR="00CB393E" w:rsidRPr="00356741" w:rsidRDefault="00CB393E" w:rsidP="00005F76">
            <w:pPr>
              <w:pStyle w:val="05Tabletext"/>
            </w:pPr>
            <w:r w:rsidRPr="00356741">
              <w:t>MedsCheck.mp.</w:t>
            </w:r>
          </w:p>
        </w:tc>
        <w:tc>
          <w:tcPr>
            <w:tcW w:w="897" w:type="dxa"/>
          </w:tcPr>
          <w:p w14:paraId="01F22B36" w14:textId="77777777" w:rsidR="00CB393E" w:rsidRPr="00356741" w:rsidRDefault="00CB393E" w:rsidP="00005F76">
            <w:pPr>
              <w:pStyle w:val="09Tableright-aligned"/>
            </w:pPr>
            <w:r w:rsidRPr="00356741">
              <w:t>20</w:t>
            </w:r>
          </w:p>
        </w:tc>
      </w:tr>
      <w:tr w:rsidR="00CB393E" w:rsidRPr="00356741" w14:paraId="6FD3C2A0"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6EBC9FB7" w14:textId="77777777" w:rsidR="00CB393E" w:rsidRPr="00356741" w:rsidRDefault="00CB393E" w:rsidP="00005F76">
            <w:pPr>
              <w:pStyle w:val="05Tabletext"/>
              <w:rPr>
                <w:b/>
              </w:rPr>
            </w:pPr>
            <w:r w:rsidRPr="00356741">
              <w:rPr>
                <w:b/>
              </w:rPr>
              <w:t>2</w:t>
            </w:r>
          </w:p>
        </w:tc>
        <w:tc>
          <w:tcPr>
            <w:tcW w:w="8030" w:type="dxa"/>
          </w:tcPr>
          <w:p w14:paraId="55483201" w14:textId="77777777" w:rsidR="00CB393E" w:rsidRPr="00356741" w:rsidRDefault="00CB393E" w:rsidP="00005F76">
            <w:pPr>
              <w:pStyle w:val="05Tabletext"/>
            </w:pPr>
            <w:r w:rsidRPr="00356741">
              <w:t>home medic$ review.mp.</w:t>
            </w:r>
          </w:p>
        </w:tc>
        <w:tc>
          <w:tcPr>
            <w:tcW w:w="897" w:type="dxa"/>
          </w:tcPr>
          <w:p w14:paraId="4DB33A63" w14:textId="77777777" w:rsidR="00CB393E" w:rsidRPr="00356741" w:rsidRDefault="00CB393E" w:rsidP="00005F76">
            <w:pPr>
              <w:pStyle w:val="09Tableright-aligned"/>
            </w:pPr>
            <w:r w:rsidRPr="00356741">
              <w:t>130</w:t>
            </w:r>
          </w:p>
        </w:tc>
      </w:tr>
      <w:tr w:rsidR="00CB393E" w:rsidRPr="00356741" w14:paraId="471F14D4" w14:textId="77777777" w:rsidTr="00005F76">
        <w:tc>
          <w:tcPr>
            <w:tcW w:w="701" w:type="dxa"/>
          </w:tcPr>
          <w:p w14:paraId="29DE6C16" w14:textId="77777777" w:rsidR="00CB393E" w:rsidRPr="00356741" w:rsidRDefault="00CB393E" w:rsidP="00005F76">
            <w:pPr>
              <w:pStyle w:val="05Tabletext"/>
              <w:rPr>
                <w:b/>
              </w:rPr>
            </w:pPr>
            <w:r w:rsidRPr="00356741">
              <w:rPr>
                <w:b/>
              </w:rPr>
              <w:t>3</w:t>
            </w:r>
          </w:p>
        </w:tc>
        <w:tc>
          <w:tcPr>
            <w:tcW w:w="8030" w:type="dxa"/>
          </w:tcPr>
          <w:p w14:paraId="54E55A7D" w14:textId="77777777" w:rsidR="00CB393E" w:rsidRPr="00356741" w:rsidRDefault="00CB393E" w:rsidP="00005F76">
            <w:pPr>
              <w:pStyle w:val="05Tabletext"/>
            </w:pPr>
            <w:r w:rsidRPr="00356741">
              <w:t>residential medic$ management.mp.</w:t>
            </w:r>
          </w:p>
        </w:tc>
        <w:tc>
          <w:tcPr>
            <w:tcW w:w="897" w:type="dxa"/>
          </w:tcPr>
          <w:p w14:paraId="7DCD46B9" w14:textId="77777777" w:rsidR="00CB393E" w:rsidRPr="00356741" w:rsidRDefault="00CB393E" w:rsidP="00005F76">
            <w:pPr>
              <w:pStyle w:val="09Tableright-aligned"/>
            </w:pPr>
            <w:r w:rsidRPr="00356741">
              <w:t>14</w:t>
            </w:r>
          </w:p>
        </w:tc>
      </w:tr>
      <w:tr w:rsidR="00CB393E" w:rsidRPr="00356741" w14:paraId="4ABA671D"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0E6ED8F8" w14:textId="77777777" w:rsidR="00CB393E" w:rsidRPr="00356741" w:rsidRDefault="00CB393E" w:rsidP="00005F76">
            <w:pPr>
              <w:pStyle w:val="05Tabletext"/>
              <w:rPr>
                <w:b/>
              </w:rPr>
            </w:pPr>
            <w:r w:rsidRPr="00356741">
              <w:rPr>
                <w:b/>
              </w:rPr>
              <w:t>4</w:t>
            </w:r>
          </w:p>
        </w:tc>
        <w:tc>
          <w:tcPr>
            <w:tcW w:w="8030" w:type="dxa"/>
          </w:tcPr>
          <w:p w14:paraId="4D864E4D" w14:textId="77777777" w:rsidR="00CB393E" w:rsidRPr="00356741" w:rsidRDefault="00CB393E" w:rsidP="00005F76">
            <w:pPr>
              <w:pStyle w:val="05Tabletext"/>
            </w:pPr>
            <w:r w:rsidRPr="00356741">
              <w:t>(residential adj2 medic$ adj2 (review or management)).ti,ab.</w:t>
            </w:r>
          </w:p>
        </w:tc>
        <w:tc>
          <w:tcPr>
            <w:tcW w:w="897" w:type="dxa"/>
          </w:tcPr>
          <w:p w14:paraId="3476C042" w14:textId="77777777" w:rsidR="00CB393E" w:rsidRPr="00356741" w:rsidRDefault="00CB393E" w:rsidP="00005F76">
            <w:pPr>
              <w:pStyle w:val="09Tableright-aligned"/>
            </w:pPr>
            <w:r w:rsidRPr="00356741">
              <w:t>14</w:t>
            </w:r>
          </w:p>
        </w:tc>
      </w:tr>
      <w:tr w:rsidR="00CB393E" w:rsidRPr="00356741" w14:paraId="0D7AF444" w14:textId="77777777" w:rsidTr="00005F76">
        <w:tc>
          <w:tcPr>
            <w:tcW w:w="701" w:type="dxa"/>
          </w:tcPr>
          <w:p w14:paraId="6C1293C8" w14:textId="77777777" w:rsidR="00CB393E" w:rsidRPr="00356741" w:rsidRDefault="00CB393E" w:rsidP="00005F76">
            <w:pPr>
              <w:pStyle w:val="05Tabletext"/>
              <w:rPr>
                <w:b/>
              </w:rPr>
            </w:pPr>
            <w:r w:rsidRPr="00356741">
              <w:rPr>
                <w:b/>
              </w:rPr>
              <w:t>5</w:t>
            </w:r>
          </w:p>
        </w:tc>
        <w:tc>
          <w:tcPr>
            <w:tcW w:w="8030" w:type="dxa"/>
          </w:tcPr>
          <w:p w14:paraId="1FBC4E1A" w14:textId="77777777" w:rsidR="00CB393E" w:rsidRPr="00356741" w:rsidRDefault="00CB393E" w:rsidP="00005F76">
            <w:pPr>
              <w:pStyle w:val="05Tabletext"/>
            </w:pPr>
            <w:r w:rsidRPr="00356741">
              <w:t>(home adj2 medic$ adj2 (review or management)).ti,ab.</w:t>
            </w:r>
          </w:p>
        </w:tc>
        <w:tc>
          <w:tcPr>
            <w:tcW w:w="897" w:type="dxa"/>
          </w:tcPr>
          <w:p w14:paraId="160D0B66" w14:textId="77777777" w:rsidR="00CB393E" w:rsidRPr="00356741" w:rsidRDefault="00CB393E" w:rsidP="00005F76">
            <w:pPr>
              <w:pStyle w:val="09Tableright-aligned"/>
            </w:pPr>
            <w:r w:rsidRPr="00356741">
              <w:t>183</w:t>
            </w:r>
          </w:p>
        </w:tc>
      </w:tr>
      <w:tr w:rsidR="00CB393E" w:rsidRPr="00356741" w14:paraId="0EFDC5F1"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40F98E9F" w14:textId="77777777" w:rsidR="00CB393E" w:rsidRPr="00356741" w:rsidRDefault="00CB393E" w:rsidP="00005F76">
            <w:pPr>
              <w:pStyle w:val="05Tabletext"/>
              <w:rPr>
                <w:b/>
              </w:rPr>
            </w:pPr>
            <w:r w:rsidRPr="00356741">
              <w:rPr>
                <w:b/>
              </w:rPr>
              <w:t>6</w:t>
            </w:r>
          </w:p>
        </w:tc>
        <w:tc>
          <w:tcPr>
            <w:tcW w:w="8030" w:type="dxa"/>
          </w:tcPr>
          <w:p w14:paraId="40E15343" w14:textId="77777777" w:rsidR="00CB393E" w:rsidRPr="00356741" w:rsidRDefault="00CB393E" w:rsidP="00005F76">
            <w:pPr>
              <w:pStyle w:val="05Tabletext"/>
            </w:pPr>
            <w:r w:rsidRPr="00356741">
              <w:t>or/1-5</w:t>
            </w:r>
          </w:p>
        </w:tc>
        <w:tc>
          <w:tcPr>
            <w:tcW w:w="897" w:type="dxa"/>
          </w:tcPr>
          <w:p w14:paraId="1F440197" w14:textId="77777777" w:rsidR="00CB393E" w:rsidRPr="00356741" w:rsidRDefault="00CB393E" w:rsidP="00005F76">
            <w:pPr>
              <w:pStyle w:val="09Tableright-aligned"/>
            </w:pPr>
            <w:r w:rsidRPr="00356741">
              <w:t>245</w:t>
            </w:r>
          </w:p>
        </w:tc>
      </w:tr>
      <w:tr w:rsidR="00CB393E" w:rsidRPr="00356741" w14:paraId="5BB2A291" w14:textId="77777777" w:rsidTr="00005F76">
        <w:tc>
          <w:tcPr>
            <w:tcW w:w="701" w:type="dxa"/>
          </w:tcPr>
          <w:p w14:paraId="389F57FD" w14:textId="77777777" w:rsidR="00CB393E" w:rsidRPr="00356741" w:rsidRDefault="00CB393E" w:rsidP="00005F76">
            <w:pPr>
              <w:pStyle w:val="05Tabletext"/>
              <w:rPr>
                <w:b/>
              </w:rPr>
            </w:pPr>
            <w:r w:rsidRPr="00356741">
              <w:rPr>
                <w:b/>
              </w:rPr>
              <w:t>7</w:t>
            </w:r>
          </w:p>
        </w:tc>
        <w:tc>
          <w:tcPr>
            <w:tcW w:w="8030" w:type="dxa"/>
          </w:tcPr>
          <w:p w14:paraId="53FF498B" w14:textId="77777777" w:rsidR="00CB393E" w:rsidRPr="00356741" w:rsidRDefault="00CB393E" w:rsidP="00005F76">
            <w:pPr>
              <w:pStyle w:val="05Tabletext"/>
            </w:pPr>
            <w:r w:rsidRPr="00356741">
              <w:t>(pharmacist-led or pharmacist-run).ti,ab.</w:t>
            </w:r>
          </w:p>
        </w:tc>
        <w:tc>
          <w:tcPr>
            <w:tcW w:w="897" w:type="dxa"/>
          </w:tcPr>
          <w:p w14:paraId="03B54206" w14:textId="77777777" w:rsidR="00CB393E" w:rsidRPr="00356741" w:rsidRDefault="00CB393E" w:rsidP="00005F76">
            <w:pPr>
              <w:pStyle w:val="09Tableright-aligned"/>
            </w:pPr>
            <w:r w:rsidRPr="00356741">
              <w:t>1,055</w:t>
            </w:r>
          </w:p>
        </w:tc>
      </w:tr>
      <w:tr w:rsidR="00CB393E" w:rsidRPr="00356741" w14:paraId="068EDD4A"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6F136BF7" w14:textId="77777777" w:rsidR="00CB393E" w:rsidRPr="00356741" w:rsidRDefault="00CB393E" w:rsidP="00005F76">
            <w:pPr>
              <w:pStyle w:val="05Tabletext"/>
              <w:rPr>
                <w:b/>
              </w:rPr>
            </w:pPr>
            <w:r w:rsidRPr="00356741">
              <w:rPr>
                <w:b/>
              </w:rPr>
              <w:t>8</w:t>
            </w:r>
          </w:p>
        </w:tc>
        <w:tc>
          <w:tcPr>
            <w:tcW w:w="8030" w:type="dxa"/>
          </w:tcPr>
          <w:p w14:paraId="5721D405" w14:textId="77777777" w:rsidR="00CB393E" w:rsidRPr="00356741" w:rsidRDefault="00CB393E" w:rsidP="00005F76">
            <w:pPr>
              <w:pStyle w:val="05Tabletext"/>
            </w:pPr>
            <w:r w:rsidRPr="00356741">
              <w:t>(review$ or assess$ or management).ti,ab.</w:t>
            </w:r>
          </w:p>
        </w:tc>
        <w:tc>
          <w:tcPr>
            <w:tcW w:w="897" w:type="dxa"/>
          </w:tcPr>
          <w:p w14:paraId="47CFB63B" w14:textId="77777777" w:rsidR="00CB393E" w:rsidRPr="00356741" w:rsidRDefault="00CB393E" w:rsidP="00005F76">
            <w:pPr>
              <w:pStyle w:val="09Tableright-aligned"/>
            </w:pPr>
            <w:r w:rsidRPr="00356741">
              <w:t>5,483,928</w:t>
            </w:r>
          </w:p>
        </w:tc>
      </w:tr>
      <w:tr w:rsidR="00CB393E" w:rsidRPr="00356741" w14:paraId="638E02EC" w14:textId="77777777" w:rsidTr="00005F76">
        <w:tc>
          <w:tcPr>
            <w:tcW w:w="701" w:type="dxa"/>
          </w:tcPr>
          <w:p w14:paraId="31CC09EB" w14:textId="77777777" w:rsidR="00CB393E" w:rsidRPr="00356741" w:rsidRDefault="00CB393E" w:rsidP="00005F76">
            <w:pPr>
              <w:pStyle w:val="05Tabletext"/>
              <w:rPr>
                <w:b/>
              </w:rPr>
            </w:pPr>
            <w:r w:rsidRPr="00356741">
              <w:rPr>
                <w:b/>
              </w:rPr>
              <w:t>9</w:t>
            </w:r>
          </w:p>
        </w:tc>
        <w:tc>
          <w:tcPr>
            <w:tcW w:w="8030" w:type="dxa"/>
          </w:tcPr>
          <w:p w14:paraId="7BA55263" w14:textId="77777777" w:rsidR="00CB393E" w:rsidRPr="00356741" w:rsidRDefault="00CB393E" w:rsidP="00005F76">
            <w:pPr>
              <w:pStyle w:val="05Tabletext"/>
            </w:pPr>
            <w:r w:rsidRPr="00356741">
              <w:t>7 and 8</w:t>
            </w:r>
          </w:p>
        </w:tc>
        <w:tc>
          <w:tcPr>
            <w:tcW w:w="897" w:type="dxa"/>
          </w:tcPr>
          <w:p w14:paraId="10568DE3" w14:textId="77777777" w:rsidR="00CB393E" w:rsidRPr="00356741" w:rsidRDefault="00CB393E" w:rsidP="00005F76">
            <w:pPr>
              <w:pStyle w:val="09Tableright-aligned"/>
            </w:pPr>
            <w:r w:rsidRPr="00356741">
              <w:t>840</w:t>
            </w:r>
          </w:p>
        </w:tc>
      </w:tr>
      <w:tr w:rsidR="00CB393E" w:rsidRPr="00356741" w14:paraId="6890E302"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5A13002F" w14:textId="77777777" w:rsidR="00CB393E" w:rsidRPr="00356741" w:rsidRDefault="00CB393E" w:rsidP="00005F76">
            <w:pPr>
              <w:pStyle w:val="05Tabletext"/>
              <w:rPr>
                <w:b/>
              </w:rPr>
            </w:pPr>
            <w:r w:rsidRPr="00356741">
              <w:rPr>
                <w:b/>
              </w:rPr>
              <w:t>10</w:t>
            </w:r>
          </w:p>
        </w:tc>
        <w:tc>
          <w:tcPr>
            <w:tcW w:w="8030" w:type="dxa"/>
          </w:tcPr>
          <w:p w14:paraId="25FAECDC" w14:textId="77777777" w:rsidR="00CB393E" w:rsidRPr="00356741" w:rsidRDefault="00CB393E" w:rsidP="00005F76">
            <w:pPr>
              <w:pStyle w:val="05Tabletext"/>
            </w:pPr>
            <w:r w:rsidRPr="00356741">
              <w:t>((medication$ or medicine$ or drug or pharmac$) adj2 (management or review)).ti,ab,kw.</w:t>
            </w:r>
          </w:p>
        </w:tc>
        <w:tc>
          <w:tcPr>
            <w:tcW w:w="897" w:type="dxa"/>
          </w:tcPr>
          <w:p w14:paraId="265D68F9" w14:textId="77777777" w:rsidR="00CB393E" w:rsidRPr="00356741" w:rsidRDefault="00CB393E" w:rsidP="00005F76">
            <w:pPr>
              <w:pStyle w:val="09Tableright-aligned"/>
            </w:pPr>
            <w:r w:rsidRPr="00356741">
              <w:t>27,309</w:t>
            </w:r>
          </w:p>
        </w:tc>
      </w:tr>
      <w:tr w:rsidR="00CB393E" w:rsidRPr="00356741" w14:paraId="177B1379" w14:textId="77777777" w:rsidTr="00005F76">
        <w:tc>
          <w:tcPr>
            <w:tcW w:w="701" w:type="dxa"/>
          </w:tcPr>
          <w:p w14:paraId="1961B9AB" w14:textId="77777777" w:rsidR="00CB393E" w:rsidRPr="00356741" w:rsidRDefault="00CB393E" w:rsidP="00005F76">
            <w:pPr>
              <w:pStyle w:val="05Tabletext"/>
              <w:rPr>
                <w:b/>
              </w:rPr>
            </w:pPr>
            <w:r w:rsidRPr="00356741">
              <w:rPr>
                <w:b/>
              </w:rPr>
              <w:t>11</w:t>
            </w:r>
          </w:p>
        </w:tc>
        <w:tc>
          <w:tcPr>
            <w:tcW w:w="8030" w:type="dxa"/>
          </w:tcPr>
          <w:p w14:paraId="551C84D9" w14:textId="77777777" w:rsidR="00CB393E" w:rsidRPr="00356741" w:rsidRDefault="00CB393E" w:rsidP="00005F76">
            <w:pPr>
              <w:pStyle w:val="05Tabletext"/>
            </w:pPr>
            <w:r w:rsidRPr="00356741">
              <w:t>(pharmacy or pharmacies or pharmacist$).ti,ab,kw.</w:t>
            </w:r>
          </w:p>
        </w:tc>
        <w:tc>
          <w:tcPr>
            <w:tcW w:w="897" w:type="dxa"/>
          </w:tcPr>
          <w:p w14:paraId="42216DB8" w14:textId="77777777" w:rsidR="00CB393E" w:rsidRPr="00356741" w:rsidRDefault="00CB393E" w:rsidP="00005F76">
            <w:pPr>
              <w:pStyle w:val="09Tableright-aligned"/>
            </w:pPr>
            <w:r w:rsidRPr="00356741">
              <w:t>104,037</w:t>
            </w:r>
          </w:p>
        </w:tc>
      </w:tr>
      <w:tr w:rsidR="00CB393E" w:rsidRPr="00356741" w14:paraId="04082778"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67A6C473" w14:textId="77777777" w:rsidR="00CB393E" w:rsidRPr="00356741" w:rsidRDefault="00CB393E" w:rsidP="00005F76">
            <w:pPr>
              <w:pStyle w:val="05Tabletext"/>
              <w:rPr>
                <w:b/>
              </w:rPr>
            </w:pPr>
            <w:r w:rsidRPr="00356741">
              <w:rPr>
                <w:b/>
              </w:rPr>
              <w:t>12</w:t>
            </w:r>
          </w:p>
        </w:tc>
        <w:tc>
          <w:tcPr>
            <w:tcW w:w="8030" w:type="dxa"/>
          </w:tcPr>
          <w:p w14:paraId="03CB522A" w14:textId="77777777" w:rsidR="00CB393E" w:rsidRPr="00356741" w:rsidRDefault="00CB393E" w:rsidP="00005F76">
            <w:pPr>
              <w:pStyle w:val="05Tabletext"/>
            </w:pPr>
            <w:r w:rsidRPr="00356741">
              <w:t>10 and 11</w:t>
            </w:r>
          </w:p>
        </w:tc>
        <w:tc>
          <w:tcPr>
            <w:tcW w:w="897" w:type="dxa"/>
          </w:tcPr>
          <w:p w14:paraId="2A1BB554" w14:textId="77777777" w:rsidR="00CB393E" w:rsidRPr="00356741" w:rsidRDefault="00CB393E" w:rsidP="00005F76">
            <w:pPr>
              <w:pStyle w:val="09Tableright-aligned"/>
            </w:pPr>
            <w:r w:rsidRPr="00356741">
              <w:t>6,738</w:t>
            </w:r>
          </w:p>
        </w:tc>
      </w:tr>
      <w:tr w:rsidR="00CB393E" w:rsidRPr="00356741" w14:paraId="2CD12A49" w14:textId="77777777" w:rsidTr="00005F76">
        <w:tc>
          <w:tcPr>
            <w:tcW w:w="701" w:type="dxa"/>
          </w:tcPr>
          <w:p w14:paraId="47DED2CD" w14:textId="77777777" w:rsidR="00CB393E" w:rsidRPr="00356741" w:rsidRDefault="00CB393E" w:rsidP="00005F76">
            <w:pPr>
              <w:pStyle w:val="05Tabletext"/>
              <w:rPr>
                <w:b/>
              </w:rPr>
            </w:pPr>
            <w:r w:rsidRPr="00356741">
              <w:rPr>
                <w:b/>
              </w:rPr>
              <w:t>13</w:t>
            </w:r>
          </w:p>
        </w:tc>
        <w:tc>
          <w:tcPr>
            <w:tcW w:w="8030" w:type="dxa"/>
          </w:tcPr>
          <w:p w14:paraId="4A49E2C1" w14:textId="77777777" w:rsidR="00CB393E" w:rsidRPr="00356741" w:rsidRDefault="00CB393E" w:rsidP="00005F76">
            <w:pPr>
              <w:pStyle w:val="05Tabletext"/>
            </w:pPr>
            <w:r w:rsidRPr="00356741">
              <w:t>(home or domiciliary or community).ti,ab.</w:t>
            </w:r>
          </w:p>
        </w:tc>
        <w:tc>
          <w:tcPr>
            <w:tcW w:w="897" w:type="dxa"/>
          </w:tcPr>
          <w:p w14:paraId="0F8CEF9E" w14:textId="77777777" w:rsidR="00CB393E" w:rsidRPr="00356741" w:rsidRDefault="00CB393E" w:rsidP="00005F76">
            <w:pPr>
              <w:pStyle w:val="09Tableright-aligned"/>
            </w:pPr>
            <w:r w:rsidRPr="00356741">
              <w:t>648,137</w:t>
            </w:r>
          </w:p>
        </w:tc>
      </w:tr>
      <w:tr w:rsidR="00CB393E" w:rsidRPr="00356741" w14:paraId="7E95F935"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6F4FFA99" w14:textId="77777777" w:rsidR="00CB393E" w:rsidRPr="00356741" w:rsidRDefault="00CB393E" w:rsidP="00005F76">
            <w:pPr>
              <w:pStyle w:val="05Tabletext"/>
              <w:rPr>
                <w:b/>
              </w:rPr>
            </w:pPr>
            <w:r w:rsidRPr="00356741">
              <w:rPr>
                <w:b/>
              </w:rPr>
              <w:t>14</w:t>
            </w:r>
          </w:p>
        </w:tc>
        <w:tc>
          <w:tcPr>
            <w:tcW w:w="8030" w:type="dxa"/>
          </w:tcPr>
          <w:p w14:paraId="6A4DB5BE" w14:textId="77777777" w:rsidR="00CB393E" w:rsidRPr="00356741" w:rsidRDefault="00CB393E" w:rsidP="00005F76">
            <w:pPr>
              <w:pStyle w:val="05Tabletext"/>
            </w:pPr>
            <w:r w:rsidRPr="00356741">
              <w:t>12 and 13</w:t>
            </w:r>
          </w:p>
        </w:tc>
        <w:tc>
          <w:tcPr>
            <w:tcW w:w="897" w:type="dxa"/>
          </w:tcPr>
          <w:p w14:paraId="42422519" w14:textId="77777777" w:rsidR="00CB393E" w:rsidRPr="00356741" w:rsidRDefault="00CB393E" w:rsidP="00005F76">
            <w:pPr>
              <w:pStyle w:val="09Tableright-aligned"/>
            </w:pPr>
            <w:r w:rsidRPr="00356741">
              <w:t>2,209</w:t>
            </w:r>
          </w:p>
        </w:tc>
      </w:tr>
      <w:tr w:rsidR="00CB393E" w:rsidRPr="00356741" w14:paraId="527B2B20" w14:textId="77777777" w:rsidTr="00005F76">
        <w:tc>
          <w:tcPr>
            <w:tcW w:w="701" w:type="dxa"/>
          </w:tcPr>
          <w:p w14:paraId="5A86713F" w14:textId="77777777" w:rsidR="00CB393E" w:rsidRPr="00356741" w:rsidRDefault="00CB393E" w:rsidP="00005F76">
            <w:pPr>
              <w:pStyle w:val="05Tabletext"/>
              <w:rPr>
                <w:b/>
              </w:rPr>
            </w:pPr>
            <w:r w:rsidRPr="00356741">
              <w:rPr>
                <w:b/>
              </w:rPr>
              <w:t>15</w:t>
            </w:r>
          </w:p>
        </w:tc>
        <w:tc>
          <w:tcPr>
            <w:tcW w:w="8030" w:type="dxa"/>
          </w:tcPr>
          <w:p w14:paraId="72B355A0" w14:textId="77777777" w:rsidR="00CB393E" w:rsidRPr="00356741" w:rsidRDefault="00CB393E" w:rsidP="00005F76">
            <w:pPr>
              <w:pStyle w:val="05Tabletext"/>
            </w:pPr>
            <w:r w:rsidRPr="00356741">
              <w:t>residential.ti,ab.</w:t>
            </w:r>
          </w:p>
        </w:tc>
        <w:tc>
          <w:tcPr>
            <w:tcW w:w="897" w:type="dxa"/>
          </w:tcPr>
          <w:p w14:paraId="64E8CFDD" w14:textId="77777777" w:rsidR="00CB393E" w:rsidRPr="00356741" w:rsidRDefault="00CB393E" w:rsidP="00005F76">
            <w:pPr>
              <w:pStyle w:val="09Tableright-aligned"/>
            </w:pPr>
            <w:r w:rsidRPr="00356741">
              <w:t>30,024</w:t>
            </w:r>
          </w:p>
        </w:tc>
      </w:tr>
      <w:tr w:rsidR="00CB393E" w:rsidRPr="00356741" w14:paraId="793C63D2"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5A323C4C" w14:textId="77777777" w:rsidR="00CB393E" w:rsidRPr="00356741" w:rsidRDefault="00CB393E" w:rsidP="00005F76">
            <w:pPr>
              <w:pStyle w:val="05Tabletext"/>
              <w:rPr>
                <w:b/>
              </w:rPr>
            </w:pPr>
            <w:r w:rsidRPr="00356741">
              <w:rPr>
                <w:b/>
              </w:rPr>
              <w:t>16</w:t>
            </w:r>
          </w:p>
        </w:tc>
        <w:tc>
          <w:tcPr>
            <w:tcW w:w="8030" w:type="dxa"/>
          </w:tcPr>
          <w:p w14:paraId="544008FF" w14:textId="77777777" w:rsidR="00CB393E" w:rsidRPr="00356741" w:rsidRDefault="00CB393E" w:rsidP="00005F76">
            <w:pPr>
              <w:pStyle w:val="05Tabletext"/>
            </w:pPr>
            <w:r w:rsidRPr="00356741">
              <w:t>((aged or geriatric or elderly) adj2 (care or home$ or facility or facilities or residential)).ti,ab.</w:t>
            </w:r>
          </w:p>
        </w:tc>
        <w:tc>
          <w:tcPr>
            <w:tcW w:w="897" w:type="dxa"/>
          </w:tcPr>
          <w:p w14:paraId="37A6133A" w14:textId="77777777" w:rsidR="00CB393E" w:rsidRPr="00356741" w:rsidRDefault="00CB393E" w:rsidP="00005F76">
            <w:pPr>
              <w:pStyle w:val="09Tableright-aligned"/>
            </w:pPr>
            <w:r w:rsidRPr="00356741">
              <w:t>13,701</w:t>
            </w:r>
          </w:p>
        </w:tc>
      </w:tr>
      <w:tr w:rsidR="00CB393E" w:rsidRPr="00356741" w14:paraId="7490B754" w14:textId="77777777" w:rsidTr="00005F76">
        <w:tc>
          <w:tcPr>
            <w:tcW w:w="701" w:type="dxa"/>
          </w:tcPr>
          <w:p w14:paraId="1CCE61A2" w14:textId="77777777" w:rsidR="00CB393E" w:rsidRPr="00356741" w:rsidRDefault="00CB393E" w:rsidP="00005F76">
            <w:pPr>
              <w:pStyle w:val="05Tabletext"/>
              <w:rPr>
                <w:b/>
              </w:rPr>
            </w:pPr>
            <w:r w:rsidRPr="00356741">
              <w:rPr>
                <w:b/>
              </w:rPr>
              <w:t>17</w:t>
            </w:r>
          </w:p>
        </w:tc>
        <w:tc>
          <w:tcPr>
            <w:tcW w:w="8030" w:type="dxa"/>
          </w:tcPr>
          <w:p w14:paraId="34843E85" w14:textId="77777777" w:rsidR="00CB393E" w:rsidRPr="00356741" w:rsidRDefault="00CB393E" w:rsidP="00005F76">
            <w:pPr>
              <w:pStyle w:val="05Tabletext"/>
            </w:pPr>
            <w:r w:rsidRPr="00356741">
              <w:t>((care or convalescent) adj (home$ or center$ or centre$ or facility or facilities)).ti,ab.</w:t>
            </w:r>
          </w:p>
        </w:tc>
        <w:tc>
          <w:tcPr>
            <w:tcW w:w="897" w:type="dxa"/>
          </w:tcPr>
          <w:p w14:paraId="505F56C6" w14:textId="77777777" w:rsidR="00CB393E" w:rsidRPr="00356741" w:rsidRDefault="00CB393E" w:rsidP="00005F76">
            <w:pPr>
              <w:pStyle w:val="09Tableright-aligned"/>
            </w:pPr>
            <w:r w:rsidRPr="00356741">
              <w:t>57,085</w:t>
            </w:r>
          </w:p>
        </w:tc>
      </w:tr>
      <w:tr w:rsidR="00CB393E" w:rsidRPr="00356741" w14:paraId="101F9E27"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6ED603B4" w14:textId="77777777" w:rsidR="00CB393E" w:rsidRPr="00356741" w:rsidRDefault="00CB393E" w:rsidP="00005F76">
            <w:pPr>
              <w:pStyle w:val="05Tabletext"/>
              <w:rPr>
                <w:b/>
              </w:rPr>
            </w:pPr>
            <w:r w:rsidRPr="00356741">
              <w:rPr>
                <w:b/>
              </w:rPr>
              <w:t>18</w:t>
            </w:r>
          </w:p>
        </w:tc>
        <w:tc>
          <w:tcPr>
            <w:tcW w:w="8030" w:type="dxa"/>
          </w:tcPr>
          <w:p w14:paraId="235909B4" w14:textId="77777777" w:rsidR="00CB393E" w:rsidRPr="00356741" w:rsidRDefault="00CB393E" w:rsidP="00005F76">
            <w:pPr>
              <w:pStyle w:val="05Tabletext"/>
            </w:pPr>
            <w:r w:rsidRPr="00356741">
              <w:t>home$ for the aged.ti,ab.</w:t>
            </w:r>
          </w:p>
        </w:tc>
        <w:tc>
          <w:tcPr>
            <w:tcW w:w="897" w:type="dxa"/>
          </w:tcPr>
          <w:p w14:paraId="29D5F4DD" w14:textId="77777777" w:rsidR="00CB393E" w:rsidRPr="00356741" w:rsidRDefault="00CB393E" w:rsidP="00005F76">
            <w:pPr>
              <w:pStyle w:val="09Tableright-aligned"/>
            </w:pPr>
            <w:r w:rsidRPr="00356741">
              <w:t>1,623</w:t>
            </w:r>
          </w:p>
        </w:tc>
      </w:tr>
      <w:tr w:rsidR="00CB393E" w:rsidRPr="00356741" w14:paraId="48EA5BC9" w14:textId="77777777" w:rsidTr="00005F76">
        <w:tc>
          <w:tcPr>
            <w:tcW w:w="701" w:type="dxa"/>
          </w:tcPr>
          <w:p w14:paraId="2802E5CF" w14:textId="77777777" w:rsidR="00CB393E" w:rsidRPr="00356741" w:rsidRDefault="00CB393E" w:rsidP="00005F76">
            <w:pPr>
              <w:pStyle w:val="05Tabletext"/>
              <w:rPr>
                <w:b/>
              </w:rPr>
            </w:pPr>
            <w:r w:rsidRPr="00356741">
              <w:rPr>
                <w:b/>
              </w:rPr>
              <w:t>19</w:t>
            </w:r>
          </w:p>
        </w:tc>
        <w:tc>
          <w:tcPr>
            <w:tcW w:w="8030" w:type="dxa"/>
          </w:tcPr>
          <w:p w14:paraId="1236ED0D" w14:textId="77777777" w:rsidR="00CB393E" w:rsidRPr="00356741" w:rsidRDefault="00CB393E" w:rsidP="00005F76">
            <w:pPr>
              <w:pStyle w:val="05Tabletext"/>
            </w:pPr>
            <w:r w:rsidRPr="00356741">
              <w:t>home for the aged/</w:t>
            </w:r>
          </w:p>
        </w:tc>
        <w:tc>
          <w:tcPr>
            <w:tcW w:w="897" w:type="dxa"/>
          </w:tcPr>
          <w:p w14:paraId="6030BDB3" w14:textId="77777777" w:rsidR="00CB393E" w:rsidRPr="00356741" w:rsidRDefault="00CB393E" w:rsidP="00005F76">
            <w:pPr>
              <w:pStyle w:val="09Tableright-aligned"/>
            </w:pPr>
            <w:r w:rsidRPr="00356741">
              <w:t>11,273</w:t>
            </w:r>
          </w:p>
        </w:tc>
      </w:tr>
      <w:tr w:rsidR="00CB393E" w:rsidRPr="00356741" w14:paraId="76933116"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61D00D1A" w14:textId="77777777" w:rsidR="00CB393E" w:rsidRPr="00356741" w:rsidRDefault="00CB393E" w:rsidP="00005F76">
            <w:pPr>
              <w:pStyle w:val="05Tabletext"/>
              <w:rPr>
                <w:b/>
              </w:rPr>
            </w:pPr>
            <w:r w:rsidRPr="00356741">
              <w:rPr>
                <w:b/>
              </w:rPr>
              <w:t>20</w:t>
            </w:r>
          </w:p>
        </w:tc>
        <w:tc>
          <w:tcPr>
            <w:tcW w:w="8030" w:type="dxa"/>
          </w:tcPr>
          <w:p w14:paraId="05938B8B" w14:textId="77777777" w:rsidR="00CB393E" w:rsidRPr="00356741" w:rsidRDefault="00CB393E" w:rsidP="00005F76">
            <w:pPr>
              <w:pStyle w:val="05Tabletext"/>
            </w:pPr>
            <w:r w:rsidRPr="00356741">
              <w:t>exp nursing homes/</w:t>
            </w:r>
          </w:p>
        </w:tc>
        <w:tc>
          <w:tcPr>
            <w:tcW w:w="897" w:type="dxa"/>
          </w:tcPr>
          <w:p w14:paraId="085D18F5" w14:textId="77777777" w:rsidR="00CB393E" w:rsidRPr="00356741" w:rsidRDefault="00CB393E" w:rsidP="00005F76">
            <w:pPr>
              <w:pStyle w:val="09Tableright-aligned"/>
            </w:pPr>
            <w:r w:rsidRPr="00356741">
              <w:t>49,989</w:t>
            </w:r>
          </w:p>
        </w:tc>
      </w:tr>
      <w:tr w:rsidR="00CB393E" w:rsidRPr="00356741" w14:paraId="30FD68F6" w14:textId="77777777" w:rsidTr="00005F76">
        <w:tc>
          <w:tcPr>
            <w:tcW w:w="701" w:type="dxa"/>
          </w:tcPr>
          <w:p w14:paraId="07CF2124" w14:textId="77777777" w:rsidR="00CB393E" w:rsidRPr="00356741" w:rsidRDefault="00CB393E" w:rsidP="00005F76">
            <w:pPr>
              <w:pStyle w:val="05Tabletext"/>
              <w:rPr>
                <w:b/>
              </w:rPr>
            </w:pPr>
            <w:r w:rsidRPr="00356741">
              <w:rPr>
                <w:b/>
              </w:rPr>
              <w:t>21</w:t>
            </w:r>
          </w:p>
        </w:tc>
        <w:tc>
          <w:tcPr>
            <w:tcW w:w="8030" w:type="dxa"/>
          </w:tcPr>
          <w:p w14:paraId="30371734" w14:textId="77777777" w:rsidR="00CB393E" w:rsidRPr="00356741" w:rsidRDefault="00CB393E" w:rsidP="00005F76">
            <w:pPr>
              <w:pStyle w:val="05Tabletext"/>
            </w:pPr>
            <w:r w:rsidRPr="00356741">
              <w:t>or/15-20</w:t>
            </w:r>
          </w:p>
        </w:tc>
        <w:tc>
          <w:tcPr>
            <w:tcW w:w="897" w:type="dxa"/>
          </w:tcPr>
          <w:p w14:paraId="4C81F76A" w14:textId="77777777" w:rsidR="00CB393E" w:rsidRPr="00356741" w:rsidRDefault="00CB393E" w:rsidP="00005F76">
            <w:pPr>
              <w:pStyle w:val="09Tableright-aligned"/>
            </w:pPr>
            <w:r w:rsidRPr="00356741">
              <w:t>142,931</w:t>
            </w:r>
          </w:p>
        </w:tc>
      </w:tr>
      <w:tr w:rsidR="00CB393E" w:rsidRPr="00356741" w14:paraId="11460684"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04B07BD7" w14:textId="77777777" w:rsidR="00CB393E" w:rsidRPr="00356741" w:rsidRDefault="00CB393E" w:rsidP="00005F76">
            <w:pPr>
              <w:pStyle w:val="05Tabletext"/>
              <w:rPr>
                <w:b/>
              </w:rPr>
            </w:pPr>
            <w:r w:rsidRPr="00356741">
              <w:rPr>
                <w:b/>
              </w:rPr>
              <w:t>22</w:t>
            </w:r>
          </w:p>
        </w:tc>
        <w:tc>
          <w:tcPr>
            <w:tcW w:w="8030" w:type="dxa"/>
          </w:tcPr>
          <w:p w14:paraId="018B8BC0" w14:textId="77777777" w:rsidR="00CB393E" w:rsidRPr="00356741" w:rsidRDefault="00CB393E" w:rsidP="00005F76">
            <w:pPr>
              <w:pStyle w:val="05Tabletext"/>
            </w:pPr>
            <w:r w:rsidRPr="00356741">
              <w:t>12 and 21</w:t>
            </w:r>
          </w:p>
        </w:tc>
        <w:tc>
          <w:tcPr>
            <w:tcW w:w="897" w:type="dxa"/>
          </w:tcPr>
          <w:p w14:paraId="617CF168" w14:textId="77777777" w:rsidR="00CB393E" w:rsidRPr="00356741" w:rsidRDefault="00CB393E" w:rsidP="00005F76">
            <w:pPr>
              <w:pStyle w:val="09Tableright-aligned"/>
            </w:pPr>
            <w:r w:rsidRPr="00356741">
              <w:t>440</w:t>
            </w:r>
          </w:p>
        </w:tc>
      </w:tr>
      <w:tr w:rsidR="00CB393E" w:rsidRPr="00356741" w14:paraId="1206813D" w14:textId="77777777" w:rsidTr="00005F76">
        <w:tc>
          <w:tcPr>
            <w:tcW w:w="701" w:type="dxa"/>
          </w:tcPr>
          <w:p w14:paraId="4674ABD4" w14:textId="77777777" w:rsidR="00CB393E" w:rsidRPr="00356741" w:rsidRDefault="00CB393E" w:rsidP="00005F76">
            <w:pPr>
              <w:pStyle w:val="05Tabletext"/>
              <w:rPr>
                <w:b/>
              </w:rPr>
            </w:pPr>
            <w:r w:rsidRPr="00356741">
              <w:rPr>
                <w:b/>
              </w:rPr>
              <w:t>23</w:t>
            </w:r>
          </w:p>
        </w:tc>
        <w:tc>
          <w:tcPr>
            <w:tcW w:w="8030" w:type="dxa"/>
          </w:tcPr>
          <w:p w14:paraId="04F0AE80" w14:textId="77777777" w:rsidR="00CB393E" w:rsidRPr="00356741" w:rsidRDefault="00CB393E" w:rsidP="00005F76">
            <w:pPr>
              <w:pStyle w:val="05Tabletext"/>
            </w:pPr>
            <w:r w:rsidRPr="00356741">
              <w:t>6 or 9 or 14 or 22</w:t>
            </w:r>
          </w:p>
        </w:tc>
        <w:tc>
          <w:tcPr>
            <w:tcW w:w="897" w:type="dxa"/>
          </w:tcPr>
          <w:p w14:paraId="206306BF" w14:textId="77777777" w:rsidR="00CB393E" w:rsidRPr="00356741" w:rsidRDefault="00CB393E" w:rsidP="00005F76">
            <w:pPr>
              <w:pStyle w:val="09Tableright-aligned"/>
            </w:pPr>
            <w:r w:rsidRPr="00356741">
              <w:t>3,214</w:t>
            </w:r>
          </w:p>
        </w:tc>
      </w:tr>
      <w:tr w:rsidR="00CB393E" w:rsidRPr="00356741" w14:paraId="58C0A2F8"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1E98CF50" w14:textId="77777777" w:rsidR="00CB393E" w:rsidRPr="00356741" w:rsidRDefault="00CB393E" w:rsidP="00005F76">
            <w:pPr>
              <w:pStyle w:val="05Tabletext"/>
              <w:rPr>
                <w:b/>
              </w:rPr>
            </w:pPr>
            <w:r w:rsidRPr="00356741">
              <w:rPr>
                <w:b/>
              </w:rPr>
              <w:t>24</w:t>
            </w:r>
          </w:p>
        </w:tc>
        <w:tc>
          <w:tcPr>
            <w:tcW w:w="8030" w:type="dxa"/>
          </w:tcPr>
          <w:p w14:paraId="6755F4D8" w14:textId="77777777" w:rsidR="00CB393E" w:rsidRPr="00356741" w:rsidRDefault="00CB393E" w:rsidP="00005F76">
            <w:pPr>
              <w:pStyle w:val="05Tabletext"/>
            </w:pPr>
            <w:r w:rsidRPr="00356741">
              <w:t>((medication or medicine$) adj review).ti.</w:t>
            </w:r>
          </w:p>
        </w:tc>
        <w:tc>
          <w:tcPr>
            <w:tcW w:w="897" w:type="dxa"/>
          </w:tcPr>
          <w:p w14:paraId="679EF8EE" w14:textId="77777777" w:rsidR="00CB393E" w:rsidRPr="00356741" w:rsidRDefault="00CB393E" w:rsidP="00005F76">
            <w:pPr>
              <w:pStyle w:val="09Tableright-aligned"/>
            </w:pPr>
            <w:r w:rsidRPr="00356741">
              <w:t>565</w:t>
            </w:r>
          </w:p>
        </w:tc>
      </w:tr>
      <w:tr w:rsidR="00CB393E" w:rsidRPr="00356741" w14:paraId="4A878425" w14:textId="77777777" w:rsidTr="00005F76">
        <w:tc>
          <w:tcPr>
            <w:tcW w:w="701" w:type="dxa"/>
          </w:tcPr>
          <w:p w14:paraId="7138DC22" w14:textId="77777777" w:rsidR="00CB393E" w:rsidRPr="00356741" w:rsidRDefault="00CB393E" w:rsidP="00005F76">
            <w:pPr>
              <w:pStyle w:val="05Tabletext"/>
              <w:rPr>
                <w:b/>
              </w:rPr>
            </w:pPr>
            <w:r w:rsidRPr="00356741">
              <w:rPr>
                <w:b/>
              </w:rPr>
              <w:t>25</w:t>
            </w:r>
          </w:p>
        </w:tc>
        <w:tc>
          <w:tcPr>
            <w:tcW w:w="8030" w:type="dxa"/>
          </w:tcPr>
          <w:p w14:paraId="2D61EE9A" w14:textId="77777777" w:rsidR="00CB393E" w:rsidRPr="00356741" w:rsidRDefault="00CB393E" w:rsidP="00005F76">
            <w:pPr>
              <w:pStyle w:val="05Tabletext"/>
            </w:pPr>
            <w:r w:rsidRPr="00356741">
              <w:t>((medication or medicine$) adj management review).ti.</w:t>
            </w:r>
          </w:p>
        </w:tc>
        <w:tc>
          <w:tcPr>
            <w:tcW w:w="897" w:type="dxa"/>
          </w:tcPr>
          <w:p w14:paraId="210B534D" w14:textId="77777777" w:rsidR="00CB393E" w:rsidRPr="00356741" w:rsidRDefault="00CB393E" w:rsidP="00005F76">
            <w:pPr>
              <w:pStyle w:val="09Tableright-aligned"/>
            </w:pPr>
            <w:r w:rsidRPr="00356741">
              <w:t>8</w:t>
            </w:r>
          </w:p>
        </w:tc>
      </w:tr>
      <w:tr w:rsidR="00CB393E" w:rsidRPr="00356741" w14:paraId="75EB72AB"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4BE54ABE" w14:textId="77777777" w:rsidR="00CB393E" w:rsidRPr="00356741" w:rsidRDefault="00CB393E" w:rsidP="00005F76">
            <w:pPr>
              <w:pStyle w:val="05Tabletext"/>
              <w:rPr>
                <w:b/>
              </w:rPr>
            </w:pPr>
            <w:r w:rsidRPr="00356741">
              <w:rPr>
                <w:b/>
              </w:rPr>
              <w:t>26</w:t>
            </w:r>
          </w:p>
        </w:tc>
        <w:tc>
          <w:tcPr>
            <w:tcW w:w="8030" w:type="dxa"/>
          </w:tcPr>
          <w:p w14:paraId="367149EB" w14:textId="77777777" w:rsidR="00CB393E" w:rsidRPr="00356741" w:rsidRDefault="00CB393E" w:rsidP="00005F76">
            <w:pPr>
              <w:pStyle w:val="05Tabletext"/>
            </w:pPr>
            <w:r w:rsidRPr="00356741">
              <w:t>or/23-25</w:t>
            </w:r>
          </w:p>
        </w:tc>
        <w:tc>
          <w:tcPr>
            <w:tcW w:w="897" w:type="dxa"/>
          </w:tcPr>
          <w:p w14:paraId="332D8F9E" w14:textId="77777777" w:rsidR="00CB393E" w:rsidRPr="00356741" w:rsidRDefault="00CB393E" w:rsidP="00005F76">
            <w:pPr>
              <w:pStyle w:val="09Tableright-aligned"/>
            </w:pPr>
            <w:r w:rsidRPr="00356741">
              <w:t>3,559</w:t>
            </w:r>
          </w:p>
        </w:tc>
      </w:tr>
      <w:tr w:rsidR="00CB393E" w:rsidRPr="00356741" w14:paraId="12B31720" w14:textId="77777777" w:rsidTr="00005F76">
        <w:tc>
          <w:tcPr>
            <w:tcW w:w="701" w:type="dxa"/>
          </w:tcPr>
          <w:p w14:paraId="649AF4E4" w14:textId="77777777" w:rsidR="00CB393E" w:rsidRPr="00356741" w:rsidRDefault="00CB393E" w:rsidP="00005F76">
            <w:pPr>
              <w:pStyle w:val="05Tabletext"/>
              <w:rPr>
                <w:b/>
              </w:rPr>
            </w:pPr>
            <w:r w:rsidRPr="00356741">
              <w:rPr>
                <w:b/>
              </w:rPr>
              <w:t>27</w:t>
            </w:r>
          </w:p>
        </w:tc>
        <w:tc>
          <w:tcPr>
            <w:tcW w:w="8030" w:type="dxa"/>
          </w:tcPr>
          <w:p w14:paraId="27B1C8E3" w14:textId="77777777" w:rsidR="00CB393E" w:rsidRPr="00356741" w:rsidRDefault="00CB393E" w:rsidP="00005F76">
            <w:pPr>
              <w:pStyle w:val="05Tabletext"/>
            </w:pPr>
            <w:r w:rsidRPr="00356741">
              <w:t>editorial/ or erratum/ or letter/ or note/ or short survey/ or abstract report/ or letter/ or case study/ or (editorial or erratum or letter or note or short survey or conference abstract or abstract report or case study or case report).tw.</w:t>
            </w:r>
          </w:p>
        </w:tc>
        <w:tc>
          <w:tcPr>
            <w:tcW w:w="897" w:type="dxa"/>
          </w:tcPr>
          <w:p w14:paraId="6A74822E" w14:textId="77777777" w:rsidR="00CB393E" w:rsidRPr="00356741" w:rsidRDefault="00CB393E" w:rsidP="00005F76">
            <w:pPr>
              <w:pStyle w:val="09Tableright-aligned"/>
            </w:pPr>
            <w:r w:rsidRPr="00356741">
              <w:t>3,474,064</w:t>
            </w:r>
          </w:p>
        </w:tc>
      </w:tr>
      <w:tr w:rsidR="00CB393E" w:rsidRPr="00356741" w14:paraId="06EC133C" w14:textId="77777777" w:rsidTr="00005F76">
        <w:trPr>
          <w:cnfStyle w:val="000000010000" w:firstRow="0" w:lastRow="0" w:firstColumn="0" w:lastColumn="0" w:oddVBand="0" w:evenVBand="0" w:oddHBand="0" w:evenHBand="1" w:firstRowFirstColumn="0" w:firstRowLastColumn="0" w:lastRowFirstColumn="0" w:lastRowLastColumn="0"/>
        </w:trPr>
        <w:tc>
          <w:tcPr>
            <w:tcW w:w="701" w:type="dxa"/>
          </w:tcPr>
          <w:p w14:paraId="7B8AD620" w14:textId="77777777" w:rsidR="00CB393E" w:rsidRPr="00356741" w:rsidRDefault="00CB393E" w:rsidP="00005F76">
            <w:pPr>
              <w:pStyle w:val="05Tabletext"/>
              <w:rPr>
                <w:b/>
              </w:rPr>
            </w:pPr>
            <w:r w:rsidRPr="00356741">
              <w:rPr>
                <w:b/>
              </w:rPr>
              <w:t>28</w:t>
            </w:r>
          </w:p>
        </w:tc>
        <w:tc>
          <w:tcPr>
            <w:tcW w:w="8030" w:type="dxa"/>
          </w:tcPr>
          <w:p w14:paraId="18458FF9" w14:textId="77777777" w:rsidR="00CB393E" w:rsidRPr="00356741" w:rsidRDefault="00CB393E" w:rsidP="00005F76">
            <w:pPr>
              <w:pStyle w:val="05Tabletext"/>
            </w:pPr>
            <w:r w:rsidRPr="00356741">
              <w:t>26 not 27</w:t>
            </w:r>
          </w:p>
        </w:tc>
        <w:tc>
          <w:tcPr>
            <w:tcW w:w="897" w:type="dxa"/>
          </w:tcPr>
          <w:p w14:paraId="3FB11128" w14:textId="77777777" w:rsidR="00CB393E" w:rsidRPr="00356741" w:rsidRDefault="00CB393E" w:rsidP="00005F76">
            <w:pPr>
              <w:pStyle w:val="09Tableright-aligned"/>
            </w:pPr>
            <w:r w:rsidRPr="00356741">
              <w:t>3,241</w:t>
            </w:r>
          </w:p>
        </w:tc>
      </w:tr>
      <w:tr w:rsidR="00CB393E" w:rsidRPr="001F2F84" w14:paraId="4AC98D85" w14:textId="77777777" w:rsidTr="00005F76">
        <w:tc>
          <w:tcPr>
            <w:tcW w:w="701" w:type="dxa"/>
          </w:tcPr>
          <w:p w14:paraId="29AAA743" w14:textId="77777777" w:rsidR="00CB393E" w:rsidRPr="00356741" w:rsidRDefault="00CB393E" w:rsidP="00005F76">
            <w:pPr>
              <w:pStyle w:val="05Tabletext"/>
              <w:rPr>
                <w:b/>
              </w:rPr>
            </w:pPr>
            <w:r w:rsidRPr="00356741">
              <w:rPr>
                <w:b/>
              </w:rPr>
              <w:t>29</w:t>
            </w:r>
          </w:p>
        </w:tc>
        <w:tc>
          <w:tcPr>
            <w:tcW w:w="8030" w:type="dxa"/>
          </w:tcPr>
          <w:p w14:paraId="12DF6D3D" w14:textId="77777777" w:rsidR="00CB393E" w:rsidRPr="00356741" w:rsidRDefault="00CB393E" w:rsidP="00005F76">
            <w:pPr>
              <w:pStyle w:val="05Tabletext"/>
            </w:pPr>
            <w:r w:rsidRPr="00356741">
              <w:t>remove duplicates from 28</w:t>
            </w:r>
          </w:p>
        </w:tc>
        <w:tc>
          <w:tcPr>
            <w:tcW w:w="897" w:type="dxa"/>
          </w:tcPr>
          <w:p w14:paraId="206E83F8" w14:textId="77777777" w:rsidR="00CB393E" w:rsidRPr="001F2F84" w:rsidRDefault="00CB393E" w:rsidP="00005F76">
            <w:pPr>
              <w:pStyle w:val="09Tableright-aligned"/>
            </w:pPr>
            <w:r w:rsidRPr="00356741">
              <w:t>3,131</w:t>
            </w:r>
          </w:p>
        </w:tc>
      </w:tr>
    </w:tbl>
    <w:p w14:paraId="31470BA6" w14:textId="77777777" w:rsidR="00CB393E" w:rsidRDefault="00CB393E" w:rsidP="00CB393E">
      <w:pPr>
        <w:pStyle w:val="11Tablefootnoteslast-nostick"/>
      </w:pPr>
    </w:p>
    <w:p w14:paraId="0D969B1A" w14:textId="633EBEF9" w:rsidR="00CB393E" w:rsidRDefault="00B75B3A" w:rsidP="00B75B3A">
      <w:pPr>
        <w:pStyle w:val="Caption"/>
      </w:pPr>
      <w:bookmarkStart w:id="94" w:name="_Ref522874387"/>
      <w:r>
        <w:t>Table A-B.</w:t>
      </w:r>
      <w:r w:rsidR="00FD7087">
        <w:rPr>
          <w:noProof/>
        </w:rPr>
        <w:fldChar w:fldCharType="begin"/>
      </w:r>
      <w:r w:rsidR="00FD7087">
        <w:rPr>
          <w:noProof/>
        </w:rPr>
        <w:instrText xml:space="preserve"> SEQ Table_A-B. \* ARABIC </w:instrText>
      </w:r>
      <w:r w:rsidR="00FD7087">
        <w:rPr>
          <w:noProof/>
        </w:rPr>
        <w:fldChar w:fldCharType="separate"/>
      </w:r>
      <w:r w:rsidR="00906106">
        <w:rPr>
          <w:noProof/>
        </w:rPr>
        <w:t>2</w:t>
      </w:r>
      <w:r w:rsidR="00FD7087">
        <w:rPr>
          <w:noProof/>
        </w:rPr>
        <w:fldChar w:fldCharType="end"/>
      </w:r>
      <w:bookmarkEnd w:id="94"/>
      <w:r w:rsidR="00CB393E">
        <w:tab/>
        <w:t>Medline search strategy for studies relevant to Medication Management Review services</w:t>
      </w:r>
    </w:p>
    <w:tbl>
      <w:tblPr>
        <w:tblStyle w:val="TableGrid"/>
        <w:tblW w:w="0" w:type="auto"/>
        <w:tblLook w:val="04A0" w:firstRow="1" w:lastRow="0" w:firstColumn="1" w:lastColumn="0" w:noHBand="0" w:noVBand="1"/>
        <w:tblCaption w:val="Table A-B.2"/>
        <w:tblDescription w:val="Medline search strategy for studies relevant to Medication Management Review services"/>
      </w:tblPr>
      <w:tblGrid>
        <w:gridCol w:w="697"/>
        <w:gridCol w:w="7932"/>
        <w:gridCol w:w="999"/>
      </w:tblGrid>
      <w:tr w:rsidR="00CB393E" w:rsidRPr="00356741" w14:paraId="2A0DFDF0" w14:textId="77777777" w:rsidTr="00005F76">
        <w:trPr>
          <w:cnfStyle w:val="100000000000" w:firstRow="1" w:lastRow="0" w:firstColumn="0" w:lastColumn="0" w:oddVBand="0" w:evenVBand="0" w:oddHBand="0" w:evenHBand="0" w:firstRowFirstColumn="0" w:firstRowLastColumn="0" w:lastRowFirstColumn="0" w:lastRowLastColumn="0"/>
        </w:trPr>
        <w:tc>
          <w:tcPr>
            <w:tcW w:w="704" w:type="dxa"/>
          </w:tcPr>
          <w:p w14:paraId="65C8E5F9" w14:textId="77777777" w:rsidR="00CB393E" w:rsidRPr="00356741" w:rsidRDefault="00CB393E" w:rsidP="00005F76">
            <w:pPr>
              <w:pStyle w:val="01Tableheaderrowleftaligned"/>
            </w:pPr>
            <w:r>
              <w:t>#</w:t>
            </w:r>
          </w:p>
        </w:tc>
        <w:tc>
          <w:tcPr>
            <w:tcW w:w="8072" w:type="dxa"/>
          </w:tcPr>
          <w:p w14:paraId="672B5DC4" w14:textId="73A40E6F" w:rsidR="00CB393E" w:rsidRPr="00356741" w:rsidRDefault="00CB393E" w:rsidP="00005F76">
            <w:pPr>
              <w:pStyle w:val="01Tableheaderrowleftaligned"/>
            </w:pPr>
            <w:r>
              <w:t xml:space="preserve">Search strategy for </w:t>
            </w:r>
            <w:r w:rsidRPr="00356741">
              <w:t xml:space="preserve">Medline OVID </w:t>
            </w:r>
            <w:r>
              <w:t>(</w:t>
            </w:r>
            <w:r w:rsidRPr="00356741">
              <w:t>19 Dec 2016</w:t>
            </w:r>
            <w:r>
              <w:t>)</w:t>
            </w:r>
            <w:r>
              <w:br/>
            </w:r>
            <w:r w:rsidRPr="00356741">
              <w:t>Epub Ahead of Print, In-Process &amp; Other Non-Indexed Citations, O</w:t>
            </w:r>
            <w:r w:rsidR="00BF0EBA">
              <w:t>VID</w:t>
            </w:r>
            <w:r w:rsidRPr="00356741">
              <w:t xml:space="preserve"> MEDLINE(R) Daily and O</w:t>
            </w:r>
            <w:r w:rsidR="00BF0EBA">
              <w:t>VID</w:t>
            </w:r>
            <w:r w:rsidRPr="00356741">
              <w:t xml:space="preserve"> MEDLINE(R) 1946 to Pres</w:t>
            </w:r>
            <w:r>
              <w:t>ent</w:t>
            </w:r>
          </w:p>
        </w:tc>
        <w:tc>
          <w:tcPr>
            <w:tcW w:w="852" w:type="dxa"/>
          </w:tcPr>
          <w:p w14:paraId="05B92004" w14:textId="77777777" w:rsidR="00CB393E" w:rsidRPr="00356741" w:rsidRDefault="00CB393E" w:rsidP="00005F76">
            <w:pPr>
              <w:pStyle w:val="03Tableheaderrowrightaligned"/>
            </w:pPr>
            <w:r>
              <w:t>Records</w:t>
            </w:r>
          </w:p>
        </w:tc>
      </w:tr>
      <w:tr w:rsidR="00CB393E" w:rsidRPr="00356741" w14:paraId="556577C3" w14:textId="77777777" w:rsidTr="00005F76">
        <w:tc>
          <w:tcPr>
            <w:tcW w:w="704" w:type="dxa"/>
          </w:tcPr>
          <w:p w14:paraId="75D3BAC6" w14:textId="77777777" w:rsidR="00CB393E" w:rsidRPr="00356741" w:rsidRDefault="00CB393E" w:rsidP="00005F76">
            <w:pPr>
              <w:pStyle w:val="05Tabletext"/>
              <w:rPr>
                <w:b/>
              </w:rPr>
            </w:pPr>
            <w:r w:rsidRPr="00356741">
              <w:rPr>
                <w:b/>
              </w:rPr>
              <w:t>1</w:t>
            </w:r>
          </w:p>
        </w:tc>
        <w:tc>
          <w:tcPr>
            <w:tcW w:w="8072" w:type="dxa"/>
          </w:tcPr>
          <w:p w14:paraId="56B12EEC" w14:textId="77777777" w:rsidR="00CB393E" w:rsidRPr="00356741" w:rsidRDefault="00CB393E" w:rsidP="00005F76">
            <w:pPr>
              <w:pStyle w:val="05Tabletext"/>
            </w:pPr>
            <w:r w:rsidRPr="00356741">
              <w:t>MedsCheck.mp.</w:t>
            </w:r>
          </w:p>
        </w:tc>
        <w:tc>
          <w:tcPr>
            <w:tcW w:w="852" w:type="dxa"/>
          </w:tcPr>
          <w:p w14:paraId="6661EA46" w14:textId="77777777" w:rsidR="00CB393E" w:rsidRPr="00356741" w:rsidRDefault="00CB393E" w:rsidP="00005F76">
            <w:pPr>
              <w:pStyle w:val="09Tableright-aligned"/>
            </w:pPr>
            <w:r w:rsidRPr="00356741">
              <w:t>9</w:t>
            </w:r>
          </w:p>
        </w:tc>
      </w:tr>
      <w:tr w:rsidR="00CB393E" w:rsidRPr="00356741" w14:paraId="6BD35A49"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30B0691B" w14:textId="77777777" w:rsidR="00CB393E" w:rsidRPr="00356741" w:rsidRDefault="00CB393E" w:rsidP="00005F76">
            <w:pPr>
              <w:pStyle w:val="05Tabletext"/>
              <w:rPr>
                <w:b/>
              </w:rPr>
            </w:pPr>
            <w:r w:rsidRPr="00356741">
              <w:rPr>
                <w:b/>
              </w:rPr>
              <w:t>2</w:t>
            </w:r>
          </w:p>
        </w:tc>
        <w:tc>
          <w:tcPr>
            <w:tcW w:w="8072" w:type="dxa"/>
          </w:tcPr>
          <w:p w14:paraId="7ABCEE8C" w14:textId="77777777" w:rsidR="00CB393E" w:rsidRPr="00356741" w:rsidRDefault="00CB393E" w:rsidP="00005F76">
            <w:pPr>
              <w:pStyle w:val="05Tabletext"/>
            </w:pPr>
            <w:r w:rsidRPr="00356741">
              <w:t>home medic$ review.mp.</w:t>
            </w:r>
          </w:p>
        </w:tc>
        <w:tc>
          <w:tcPr>
            <w:tcW w:w="852" w:type="dxa"/>
          </w:tcPr>
          <w:p w14:paraId="3D186479" w14:textId="77777777" w:rsidR="00CB393E" w:rsidRPr="00356741" w:rsidRDefault="00CB393E" w:rsidP="00005F76">
            <w:pPr>
              <w:pStyle w:val="09Tableright-aligned"/>
            </w:pPr>
            <w:r w:rsidRPr="00356741">
              <w:t>63</w:t>
            </w:r>
          </w:p>
        </w:tc>
      </w:tr>
      <w:tr w:rsidR="00CB393E" w:rsidRPr="00356741" w14:paraId="28F623B0" w14:textId="77777777" w:rsidTr="00005F76">
        <w:tc>
          <w:tcPr>
            <w:tcW w:w="704" w:type="dxa"/>
          </w:tcPr>
          <w:p w14:paraId="263B84AD" w14:textId="77777777" w:rsidR="00CB393E" w:rsidRPr="00356741" w:rsidRDefault="00CB393E" w:rsidP="00005F76">
            <w:pPr>
              <w:pStyle w:val="05Tabletext"/>
              <w:rPr>
                <w:b/>
              </w:rPr>
            </w:pPr>
            <w:r w:rsidRPr="00356741">
              <w:rPr>
                <w:b/>
              </w:rPr>
              <w:t>3</w:t>
            </w:r>
          </w:p>
        </w:tc>
        <w:tc>
          <w:tcPr>
            <w:tcW w:w="8072" w:type="dxa"/>
          </w:tcPr>
          <w:p w14:paraId="545DB8E3" w14:textId="77777777" w:rsidR="00CB393E" w:rsidRPr="00356741" w:rsidRDefault="00CB393E" w:rsidP="00005F76">
            <w:pPr>
              <w:pStyle w:val="05Tabletext"/>
            </w:pPr>
            <w:r w:rsidRPr="00356741">
              <w:t>residential medic$ management.mp.</w:t>
            </w:r>
          </w:p>
        </w:tc>
        <w:tc>
          <w:tcPr>
            <w:tcW w:w="852" w:type="dxa"/>
          </w:tcPr>
          <w:p w14:paraId="2A8AC6B7" w14:textId="77777777" w:rsidR="00CB393E" w:rsidRPr="00356741" w:rsidRDefault="00CB393E" w:rsidP="00005F76">
            <w:pPr>
              <w:pStyle w:val="09Tableright-aligned"/>
            </w:pPr>
            <w:r w:rsidRPr="00356741">
              <w:t>8</w:t>
            </w:r>
          </w:p>
        </w:tc>
      </w:tr>
      <w:tr w:rsidR="00CB393E" w:rsidRPr="00356741" w14:paraId="44273FBA"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05C3DC2D" w14:textId="77777777" w:rsidR="00CB393E" w:rsidRPr="00356741" w:rsidRDefault="00CB393E" w:rsidP="00005F76">
            <w:pPr>
              <w:pStyle w:val="05Tabletext"/>
              <w:rPr>
                <w:b/>
              </w:rPr>
            </w:pPr>
            <w:r w:rsidRPr="00356741">
              <w:rPr>
                <w:b/>
              </w:rPr>
              <w:t>4</w:t>
            </w:r>
          </w:p>
        </w:tc>
        <w:tc>
          <w:tcPr>
            <w:tcW w:w="8072" w:type="dxa"/>
          </w:tcPr>
          <w:p w14:paraId="45E25788" w14:textId="77777777" w:rsidR="00CB393E" w:rsidRPr="00356741" w:rsidRDefault="00CB393E" w:rsidP="00005F76">
            <w:pPr>
              <w:pStyle w:val="05Tabletext"/>
            </w:pPr>
            <w:r w:rsidRPr="00356741">
              <w:t>(residential adj2 medic$ adj2 (review or management)).ti,ab.</w:t>
            </w:r>
          </w:p>
        </w:tc>
        <w:tc>
          <w:tcPr>
            <w:tcW w:w="852" w:type="dxa"/>
          </w:tcPr>
          <w:p w14:paraId="1744C431" w14:textId="77777777" w:rsidR="00CB393E" w:rsidRPr="00356741" w:rsidRDefault="00CB393E" w:rsidP="00005F76">
            <w:pPr>
              <w:pStyle w:val="09Tableright-aligned"/>
            </w:pPr>
            <w:r w:rsidRPr="00356741">
              <w:t>10</w:t>
            </w:r>
          </w:p>
        </w:tc>
      </w:tr>
      <w:tr w:rsidR="00CB393E" w:rsidRPr="00356741" w14:paraId="6AF994E0" w14:textId="77777777" w:rsidTr="00005F76">
        <w:tc>
          <w:tcPr>
            <w:tcW w:w="704" w:type="dxa"/>
          </w:tcPr>
          <w:p w14:paraId="30C497B1" w14:textId="77777777" w:rsidR="00CB393E" w:rsidRPr="00356741" w:rsidRDefault="00CB393E" w:rsidP="00005F76">
            <w:pPr>
              <w:pStyle w:val="05Tabletext"/>
              <w:rPr>
                <w:b/>
              </w:rPr>
            </w:pPr>
            <w:r w:rsidRPr="00356741">
              <w:rPr>
                <w:b/>
              </w:rPr>
              <w:t>5</w:t>
            </w:r>
          </w:p>
        </w:tc>
        <w:tc>
          <w:tcPr>
            <w:tcW w:w="8072" w:type="dxa"/>
          </w:tcPr>
          <w:p w14:paraId="00FC21F8" w14:textId="77777777" w:rsidR="00CB393E" w:rsidRPr="00356741" w:rsidRDefault="00CB393E" w:rsidP="00005F76">
            <w:pPr>
              <w:pStyle w:val="05Tabletext"/>
            </w:pPr>
            <w:r w:rsidRPr="00356741">
              <w:t>(home adj2 medic$ adj2 (review or management)).ti,ab.</w:t>
            </w:r>
          </w:p>
        </w:tc>
        <w:tc>
          <w:tcPr>
            <w:tcW w:w="852" w:type="dxa"/>
          </w:tcPr>
          <w:p w14:paraId="63AFD134" w14:textId="77777777" w:rsidR="00CB393E" w:rsidRPr="00356741" w:rsidRDefault="00CB393E" w:rsidP="00005F76">
            <w:pPr>
              <w:pStyle w:val="09Tableright-aligned"/>
            </w:pPr>
            <w:r w:rsidRPr="00356741">
              <w:t>118</w:t>
            </w:r>
          </w:p>
        </w:tc>
      </w:tr>
      <w:tr w:rsidR="00CB393E" w:rsidRPr="00356741" w14:paraId="79DC33C6"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03D14AA4" w14:textId="77777777" w:rsidR="00CB393E" w:rsidRPr="00356741" w:rsidRDefault="00CB393E" w:rsidP="00005F76">
            <w:pPr>
              <w:pStyle w:val="05Tabletext"/>
              <w:rPr>
                <w:b/>
              </w:rPr>
            </w:pPr>
            <w:r w:rsidRPr="00356741">
              <w:rPr>
                <w:b/>
              </w:rPr>
              <w:t>6</w:t>
            </w:r>
          </w:p>
        </w:tc>
        <w:tc>
          <w:tcPr>
            <w:tcW w:w="8072" w:type="dxa"/>
          </w:tcPr>
          <w:p w14:paraId="0F293366" w14:textId="77777777" w:rsidR="00CB393E" w:rsidRPr="00356741" w:rsidRDefault="00CB393E" w:rsidP="00005F76">
            <w:pPr>
              <w:pStyle w:val="05Tabletext"/>
            </w:pPr>
            <w:r w:rsidRPr="00356741">
              <w:t>or/1-5</w:t>
            </w:r>
          </w:p>
        </w:tc>
        <w:tc>
          <w:tcPr>
            <w:tcW w:w="852" w:type="dxa"/>
          </w:tcPr>
          <w:p w14:paraId="3AA57DE9" w14:textId="77777777" w:rsidR="00CB393E" w:rsidRPr="00356741" w:rsidRDefault="00CB393E" w:rsidP="00005F76">
            <w:pPr>
              <w:pStyle w:val="09Tableright-aligned"/>
            </w:pPr>
            <w:r w:rsidRPr="00356741">
              <w:t>137</w:t>
            </w:r>
          </w:p>
        </w:tc>
      </w:tr>
      <w:tr w:rsidR="00CB393E" w:rsidRPr="00356741" w14:paraId="4A35D3B5" w14:textId="77777777" w:rsidTr="00005F76">
        <w:tc>
          <w:tcPr>
            <w:tcW w:w="704" w:type="dxa"/>
          </w:tcPr>
          <w:p w14:paraId="0FBB34DC" w14:textId="77777777" w:rsidR="00CB393E" w:rsidRPr="00356741" w:rsidRDefault="00CB393E" w:rsidP="00005F76">
            <w:pPr>
              <w:pStyle w:val="05Tabletext"/>
              <w:rPr>
                <w:b/>
              </w:rPr>
            </w:pPr>
            <w:r w:rsidRPr="00356741">
              <w:rPr>
                <w:b/>
              </w:rPr>
              <w:t>7</w:t>
            </w:r>
          </w:p>
        </w:tc>
        <w:tc>
          <w:tcPr>
            <w:tcW w:w="8072" w:type="dxa"/>
          </w:tcPr>
          <w:p w14:paraId="1BE78E34" w14:textId="77777777" w:rsidR="00CB393E" w:rsidRPr="00356741" w:rsidRDefault="00CB393E" w:rsidP="00005F76">
            <w:pPr>
              <w:pStyle w:val="05Tabletext"/>
            </w:pPr>
            <w:r w:rsidRPr="00356741">
              <w:t>(pharmacist-led or pharmacist-run).ti,ab.</w:t>
            </w:r>
          </w:p>
        </w:tc>
        <w:tc>
          <w:tcPr>
            <w:tcW w:w="852" w:type="dxa"/>
          </w:tcPr>
          <w:p w14:paraId="1D470FCC" w14:textId="77777777" w:rsidR="00CB393E" w:rsidRPr="00356741" w:rsidRDefault="00CB393E" w:rsidP="00005F76">
            <w:pPr>
              <w:pStyle w:val="09Tableright-aligned"/>
            </w:pPr>
            <w:r w:rsidRPr="00356741">
              <w:t>481</w:t>
            </w:r>
          </w:p>
        </w:tc>
      </w:tr>
      <w:tr w:rsidR="00CB393E" w:rsidRPr="00356741" w14:paraId="20A4E6BD"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0E07B55A" w14:textId="77777777" w:rsidR="00CB393E" w:rsidRPr="00356741" w:rsidRDefault="00CB393E" w:rsidP="00005F76">
            <w:pPr>
              <w:pStyle w:val="05Tabletext"/>
              <w:rPr>
                <w:b/>
              </w:rPr>
            </w:pPr>
            <w:r w:rsidRPr="00356741">
              <w:rPr>
                <w:b/>
              </w:rPr>
              <w:t>8</w:t>
            </w:r>
          </w:p>
        </w:tc>
        <w:tc>
          <w:tcPr>
            <w:tcW w:w="8072" w:type="dxa"/>
          </w:tcPr>
          <w:p w14:paraId="58C4F511" w14:textId="77777777" w:rsidR="00CB393E" w:rsidRPr="00356741" w:rsidRDefault="00CB393E" w:rsidP="00005F76">
            <w:pPr>
              <w:pStyle w:val="05Tabletext"/>
            </w:pPr>
            <w:r w:rsidRPr="00356741">
              <w:t>(review$ or assess$ or management).ti,ab.</w:t>
            </w:r>
          </w:p>
        </w:tc>
        <w:tc>
          <w:tcPr>
            <w:tcW w:w="852" w:type="dxa"/>
          </w:tcPr>
          <w:p w14:paraId="16FA6FEF" w14:textId="77777777" w:rsidR="00CB393E" w:rsidRPr="00356741" w:rsidRDefault="00CB393E" w:rsidP="00005F76">
            <w:pPr>
              <w:pStyle w:val="09Tableright-aligned"/>
            </w:pPr>
            <w:r w:rsidRPr="00356741">
              <w:t>4,491,449</w:t>
            </w:r>
          </w:p>
        </w:tc>
      </w:tr>
      <w:tr w:rsidR="00CB393E" w:rsidRPr="00356741" w14:paraId="37183D72" w14:textId="77777777" w:rsidTr="00005F76">
        <w:tc>
          <w:tcPr>
            <w:tcW w:w="704" w:type="dxa"/>
          </w:tcPr>
          <w:p w14:paraId="71349C00" w14:textId="77777777" w:rsidR="00CB393E" w:rsidRPr="00356741" w:rsidRDefault="00CB393E" w:rsidP="00005F76">
            <w:pPr>
              <w:pStyle w:val="05Tabletext"/>
              <w:rPr>
                <w:b/>
              </w:rPr>
            </w:pPr>
            <w:r w:rsidRPr="00356741">
              <w:rPr>
                <w:b/>
              </w:rPr>
              <w:t>9</w:t>
            </w:r>
          </w:p>
        </w:tc>
        <w:tc>
          <w:tcPr>
            <w:tcW w:w="8072" w:type="dxa"/>
          </w:tcPr>
          <w:p w14:paraId="0A51A6D0" w14:textId="77777777" w:rsidR="00CB393E" w:rsidRPr="00356741" w:rsidRDefault="00CB393E" w:rsidP="00005F76">
            <w:pPr>
              <w:pStyle w:val="05Tabletext"/>
            </w:pPr>
            <w:r w:rsidRPr="00356741">
              <w:t>7 and 8</w:t>
            </w:r>
          </w:p>
        </w:tc>
        <w:tc>
          <w:tcPr>
            <w:tcW w:w="852" w:type="dxa"/>
          </w:tcPr>
          <w:p w14:paraId="797921F2" w14:textId="77777777" w:rsidR="00CB393E" w:rsidRPr="00356741" w:rsidRDefault="00CB393E" w:rsidP="00005F76">
            <w:pPr>
              <w:pStyle w:val="09Tableright-aligned"/>
            </w:pPr>
            <w:r w:rsidRPr="00356741">
              <w:t>374</w:t>
            </w:r>
          </w:p>
        </w:tc>
      </w:tr>
      <w:tr w:rsidR="00CB393E" w:rsidRPr="00356741" w14:paraId="21E3F184"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37FA140F" w14:textId="77777777" w:rsidR="00CB393E" w:rsidRPr="00356741" w:rsidRDefault="00CB393E" w:rsidP="00005F76">
            <w:pPr>
              <w:pStyle w:val="05Tabletext"/>
              <w:rPr>
                <w:b/>
              </w:rPr>
            </w:pPr>
            <w:r w:rsidRPr="00356741">
              <w:rPr>
                <w:b/>
              </w:rPr>
              <w:t>10</w:t>
            </w:r>
          </w:p>
        </w:tc>
        <w:tc>
          <w:tcPr>
            <w:tcW w:w="8072" w:type="dxa"/>
          </w:tcPr>
          <w:p w14:paraId="0FE04E88" w14:textId="77777777" w:rsidR="00CB393E" w:rsidRPr="00356741" w:rsidRDefault="00CB393E" w:rsidP="00005F76">
            <w:pPr>
              <w:pStyle w:val="05Tabletext"/>
            </w:pPr>
            <w:r w:rsidRPr="00356741">
              <w:t>((medication$ or medicine$ or drug or pharmac$) adj2 (management or review)).ti,ab,kw.</w:t>
            </w:r>
          </w:p>
        </w:tc>
        <w:tc>
          <w:tcPr>
            <w:tcW w:w="852" w:type="dxa"/>
          </w:tcPr>
          <w:p w14:paraId="2B316B09" w14:textId="77777777" w:rsidR="00CB393E" w:rsidRPr="00356741" w:rsidRDefault="00CB393E" w:rsidP="00005F76">
            <w:pPr>
              <w:pStyle w:val="09Tableright-aligned"/>
            </w:pPr>
            <w:r w:rsidRPr="00356741">
              <w:t>19,306</w:t>
            </w:r>
          </w:p>
        </w:tc>
      </w:tr>
      <w:tr w:rsidR="00CB393E" w:rsidRPr="00356741" w14:paraId="3D02660C" w14:textId="77777777" w:rsidTr="00005F76">
        <w:tc>
          <w:tcPr>
            <w:tcW w:w="704" w:type="dxa"/>
          </w:tcPr>
          <w:p w14:paraId="40B5261A" w14:textId="77777777" w:rsidR="00CB393E" w:rsidRPr="00356741" w:rsidRDefault="00CB393E" w:rsidP="00005F76">
            <w:pPr>
              <w:pStyle w:val="05Tabletext"/>
              <w:rPr>
                <w:b/>
              </w:rPr>
            </w:pPr>
            <w:r w:rsidRPr="00356741">
              <w:rPr>
                <w:b/>
              </w:rPr>
              <w:t>11</w:t>
            </w:r>
          </w:p>
        </w:tc>
        <w:tc>
          <w:tcPr>
            <w:tcW w:w="8072" w:type="dxa"/>
          </w:tcPr>
          <w:p w14:paraId="0083826D" w14:textId="77777777" w:rsidR="00CB393E" w:rsidRPr="00356741" w:rsidRDefault="00CB393E" w:rsidP="00005F76">
            <w:pPr>
              <w:pStyle w:val="05Tabletext"/>
            </w:pPr>
            <w:r w:rsidRPr="00356741">
              <w:t>(pharmacy or pharmacies or pharmacist$).ti,ab,kw.</w:t>
            </w:r>
          </w:p>
        </w:tc>
        <w:tc>
          <w:tcPr>
            <w:tcW w:w="852" w:type="dxa"/>
          </w:tcPr>
          <w:p w14:paraId="502F2DF1" w14:textId="77777777" w:rsidR="00CB393E" w:rsidRPr="00356741" w:rsidRDefault="00CB393E" w:rsidP="00005F76">
            <w:pPr>
              <w:pStyle w:val="09Tableright-aligned"/>
            </w:pPr>
            <w:r w:rsidRPr="00356741">
              <w:t>55,772</w:t>
            </w:r>
          </w:p>
        </w:tc>
      </w:tr>
      <w:tr w:rsidR="00CB393E" w:rsidRPr="00356741" w14:paraId="703F3D00"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2011A417" w14:textId="77777777" w:rsidR="00CB393E" w:rsidRPr="00356741" w:rsidRDefault="00CB393E" w:rsidP="00005F76">
            <w:pPr>
              <w:pStyle w:val="05Tabletext"/>
              <w:rPr>
                <w:b/>
              </w:rPr>
            </w:pPr>
            <w:r w:rsidRPr="00356741">
              <w:rPr>
                <w:b/>
              </w:rPr>
              <w:t>12</w:t>
            </w:r>
          </w:p>
        </w:tc>
        <w:tc>
          <w:tcPr>
            <w:tcW w:w="8072" w:type="dxa"/>
          </w:tcPr>
          <w:p w14:paraId="5FD0D601" w14:textId="77777777" w:rsidR="00CB393E" w:rsidRPr="00356741" w:rsidRDefault="00CB393E" w:rsidP="00005F76">
            <w:pPr>
              <w:pStyle w:val="05Tabletext"/>
            </w:pPr>
            <w:r w:rsidRPr="00356741">
              <w:t>10 and 11</w:t>
            </w:r>
          </w:p>
        </w:tc>
        <w:tc>
          <w:tcPr>
            <w:tcW w:w="852" w:type="dxa"/>
          </w:tcPr>
          <w:p w14:paraId="69AEC16C" w14:textId="77777777" w:rsidR="00CB393E" w:rsidRPr="00356741" w:rsidRDefault="00CB393E" w:rsidP="00005F76">
            <w:pPr>
              <w:pStyle w:val="09Tableright-aligned"/>
            </w:pPr>
            <w:r w:rsidRPr="00356741">
              <w:t>3,402</w:t>
            </w:r>
          </w:p>
        </w:tc>
      </w:tr>
      <w:tr w:rsidR="00CB393E" w:rsidRPr="00356741" w14:paraId="2C557820" w14:textId="77777777" w:rsidTr="00005F76">
        <w:tc>
          <w:tcPr>
            <w:tcW w:w="704" w:type="dxa"/>
          </w:tcPr>
          <w:p w14:paraId="45141100" w14:textId="77777777" w:rsidR="00CB393E" w:rsidRPr="00356741" w:rsidRDefault="00CB393E" w:rsidP="00005F76">
            <w:pPr>
              <w:pStyle w:val="05Tabletext"/>
              <w:rPr>
                <w:b/>
              </w:rPr>
            </w:pPr>
            <w:r w:rsidRPr="00356741">
              <w:rPr>
                <w:b/>
              </w:rPr>
              <w:t>13</w:t>
            </w:r>
          </w:p>
        </w:tc>
        <w:tc>
          <w:tcPr>
            <w:tcW w:w="8072" w:type="dxa"/>
          </w:tcPr>
          <w:p w14:paraId="2DDD0B56" w14:textId="77777777" w:rsidR="00CB393E" w:rsidRPr="00356741" w:rsidRDefault="00CB393E" w:rsidP="00005F76">
            <w:pPr>
              <w:pStyle w:val="05Tabletext"/>
            </w:pPr>
            <w:r w:rsidRPr="00356741">
              <w:t>(home or domiciliary or community).ti,ab.</w:t>
            </w:r>
          </w:p>
        </w:tc>
        <w:tc>
          <w:tcPr>
            <w:tcW w:w="852" w:type="dxa"/>
          </w:tcPr>
          <w:p w14:paraId="1408B005" w14:textId="77777777" w:rsidR="00CB393E" w:rsidRPr="00356741" w:rsidRDefault="00CB393E" w:rsidP="00005F76">
            <w:pPr>
              <w:pStyle w:val="09Tableright-aligned"/>
            </w:pPr>
            <w:r w:rsidRPr="00356741">
              <w:t>571,338</w:t>
            </w:r>
          </w:p>
        </w:tc>
      </w:tr>
      <w:tr w:rsidR="00CB393E" w:rsidRPr="00356741" w14:paraId="76876CA8"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65EE21F7" w14:textId="77777777" w:rsidR="00CB393E" w:rsidRPr="00356741" w:rsidRDefault="00CB393E" w:rsidP="00005F76">
            <w:pPr>
              <w:pStyle w:val="05Tabletext"/>
              <w:rPr>
                <w:b/>
              </w:rPr>
            </w:pPr>
            <w:r w:rsidRPr="00356741">
              <w:rPr>
                <w:b/>
              </w:rPr>
              <w:lastRenderedPageBreak/>
              <w:t>14</w:t>
            </w:r>
          </w:p>
        </w:tc>
        <w:tc>
          <w:tcPr>
            <w:tcW w:w="8072" w:type="dxa"/>
          </w:tcPr>
          <w:p w14:paraId="7B99DF5D" w14:textId="77777777" w:rsidR="00CB393E" w:rsidRPr="00356741" w:rsidRDefault="00CB393E" w:rsidP="00005F76">
            <w:pPr>
              <w:pStyle w:val="05Tabletext"/>
            </w:pPr>
            <w:r w:rsidRPr="00356741">
              <w:t>12 and 13</w:t>
            </w:r>
          </w:p>
        </w:tc>
        <w:tc>
          <w:tcPr>
            <w:tcW w:w="852" w:type="dxa"/>
          </w:tcPr>
          <w:p w14:paraId="591ADC6F" w14:textId="77777777" w:rsidR="00CB393E" w:rsidRPr="00356741" w:rsidRDefault="00CB393E" w:rsidP="00005F76">
            <w:pPr>
              <w:pStyle w:val="09Tableright-aligned"/>
            </w:pPr>
            <w:r w:rsidRPr="00356741">
              <w:t>1,015</w:t>
            </w:r>
          </w:p>
        </w:tc>
      </w:tr>
      <w:tr w:rsidR="00CB393E" w:rsidRPr="00356741" w14:paraId="54488CE8" w14:textId="77777777" w:rsidTr="00005F76">
        <w:tc>
          <w:tcPr>
            <w:tcW w:w="704" w:type="dxa"/>
          </w:tcPr>
          <w:p w14:paraId="44605D2C" w14:textId="77777777" w:rsidR="00CB393E" w:rsidRPr="00356741" w:rsidRDefault="00CB393E" w:rsidP="00005F76">
            <w:pPr>
              <w:pStyle w:val="05Tabletext"/>
              <w:rPr>
                <w:b/>
              </w:rPr>
            </w:pPr>
            <w:r w:rsidRPr="00356741">
              <w:rPr>
                <w:b/>
              </w:rPr>
              <w:t>15</w:t>
            </w:r>
          </w:p>
        </w:tc>
        <w:tc>
          <w:tcPr>
            <w:tcW w:w="8072" w:type="dxa"/>
          </w:tcPr>
          <w:p w14:paraId="3FE32971" w14:textId="77777777" w:rsidR="00CB393E" w:rsidRPr="00356741" w:rsidRDefault="00CB393E" w:rsidP="00005F76">
            <w:pPr>
              <w:pStyle w:val="05Tabletext"/>
            </w:pPr>
            <w:r w:rsidRPr="00356741">
              <w:t>residential.ti,ab.</w:t>
            </w:r>
          </w:p>
        </w:tc>
        <w:tc>
          <w:tcPr>
            <w:tcW w:w="852" w:type="dxa"/>
          </w:tcPr>
          <w:p w14:paraId="08B9A055" w14:textId="77777777" w:rsidR="00CB393E" w:rsidRPr="00356741" w:rsidRDefault="00CB393E" w:rsidP="00005F76">
            <w:pPr>
              <w:pStyle w:val="09Tableright-aligned"/>
            </w:pPr>
            <w:r w:rsidRPr="00356741">
              <w:t>26,722</w:t>
            </w:r>
          </w:p>
        </w:tc>
      </w:tr>
      <w:tr w:rsidR="00CB393E" w:rsidRPr="00356741" w14:paraId="31A2F2E4"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7E528AAD" w14:textId="77777777" w:rsidR="00CB393E" w:rsidRPr="00356741" w:rsidRDefault="00CB393E" w:rsidP="00005F76">
            <w:pPr>
              <w:pStyle w:val="05Tabletext"/>
              <w:rPr>
                <w:b/>
              </w:rPr>
            </w:pPr>
            <w:r w:rsidRPr="00356741">
              <w:rPr>
                <w:b/>
              </w:rPr>
              <w:t>16</w:t>
            </w:r>
          </w:p>
        </w:tc>
        <w:tc>
          <w:tcPr>
            <w:tcW w:w="8072" w:type="dxa"/>
          </w:tcPr>
          <w:p w14:paraId="3F9F0C5A" w14:textId="77777777" w:rsidR="00CB393E" w:rsidRPr="00356741" w:rsidRDefault="00CB393E" w:rsidP="00005F76">
            <w:pPr>
              <w:pStyle w:val="05Tabletext"/>
            </w:pPr>
            <w:r w:rsidRPr="00356741">
              <w:t>((aged or geriatric or elderly) adj2 (care or home$ or facility or facilities or residential)).ti,ab.</w:t>
            </w:r>
          </w:p>
        </w:tc>
        <w:tc>
          <w:tcPr>
            <w:tcW w:w="852" w:type="dxa"/>
          </w:tcPr>
          <w:p w14:paraId="53A9BC20" w14:textId="77777777" w:rsidR="00CB393E" w:rsidRPr="00356741" w:rsidRDefault="00CB393E" w:rsidP="00005F76">
            <w:pPr>
              <w:pStyle w:val="09Tableright-aligned"/>
            </w:pPr>
            <w:r w:rsidRPr="00356741">
              <w:t>11,685</w:t>
            </w:r>
          </w:p>
        </w:tc>
      </w:tr>
      <w:tr w:rsidR="00CB393E" w:rsidRPr="00356741" w14:paraId="45D24DDC" w14:textId="77777777" w:rsidTr="00005F76">
        <w:tc>
          <w:tcPr>
            <w:tcW w:w="704" w:type="dxa"/>
          </w:tcPr>
          <w:p w14:paraId="534CD172" w14:textId="77777777" w:rsidR="00CB393E" w:rsidRPr="00356741" w:rsidRDefault="00CB393E" w:rsidP="00005F76">
            <w:pPr>
              <w:pStyle w:val="05Tabletext"/>
              <w:rPr>
                <w:b/>
              </w:rPr>
            </w:pPr>
            <w:r w:rsidRPr="00356741">
              <w:rPr>
                <w:b/>
              </w:rPr>
              <w:t>17</w:t>
            </w:r>
          </w:p>
        </w:tc>
        <w:tc>
          <w:tcPr>
            <w:tcW w:w="8072" w:type="dxa"/>
          </w:tcPr>
          <w:p w14:paraId="450BDA3B" w14:textId="77777777" w:rsidR="00CB393E" w:rsidRPr="00356741" w:rsidRDefault="00CB393E" w:rsidP="00005F76">
            <w:pPr>
              <w:pStyle w:val="05Tabletext"/>
            </w:pPr>
            <w:r w:rsidRPr="00356741">
              <w:t>((care or convalescent) adj (home$ or center$ or centre$ or facility or facilities)).ti,ab.</w:t>
            </w:r>
          </w:p>
        </w:tc>
        <w:tc>
          <w:tcPr>
            <w:tcW w:w="852" w:type="dxa"/>
          </w:tcPr>
          <w:p w14:paraId="72BFDEC6" w14:textId="77777777" w:rsidR="00CB393E" w:rsidRPr="00356741" w:rsidRDefault="00CB393E" w:rsidP="00005F76">
            <w:pPr>
              <w:pStyle w:val="09Tableright-aligned"/>
            </w:pPr>
            <w:r w:rsidRPr="00356741">
              <w:t>44,622</w:t>
            </w:r>
          </w:p>
        </w:tc>
      </w:tr>
      <w:tr w:rsidR="00CB393E" w:rsidRPr="00356741" w14:paraId="521DB6D4"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3001DB8C" w14:textId="77777777" w:rsidR="00CB393E" w:rsidRPr="00356741" w:rsidRDefault="00CB393E" w:rsidP="00005F76">
            <w:pPr>
              <w:pStyle w:val="05Tabletext"/>
              <w:rPr>
                <w:b/>
              </w:rPr>
            </w:pPr>
            <w:r w:rsidRPr="00356741">
              <w:rPr>
                <w:b/>
              </w:rPr>
              <w:t>18</w:t>
            </w:r>
          </w:p>
        </w:tc>
        <w:tc>
          <w:tcPr>
            <w:tcW w:w="8072" w:type="dxa"/>
          </w:tcPr>
          <w:p w14:paraId="52504F8B" w14:textId="77777777" w:rsidR="00CB393E" w:rsidRPr="00356741" w:rsidRDefault="00CB393E" w:rsidP="00005F76">
            <w:pPr>
              <w:pStyle w:val="05Tabletext"/>
            </w:pPr>
            <w:r w:rsidRPr="00356741">
              <w:t>home$ for the aged.ti,ab.</w:t>
            </w:r>
          </w:p>
        </w:tc>
        <w:tc>
          <w:tcPr>
            <w:tcW w:w="852" w:type="dxa"/>
          </w:tcPr>
          <w:p w14:paraId="6E085E7C" w14:textId="77777777" w:rsidR="00CB393E" w:rsidRPr="00356741" w:rsidRDefault="00CB393E" w:rsidP="00005F76">
            <w:pPr>
              <w:pStyle w:val="09Tableright-aligned"/>
            </w:pPr>
            <w:r w:rsidRPr="00356741">
              <w:t>1,469</w:t>
            </w:r>
          </w:p>
        </w:tc>
      </w:tr>
      <w:tr w:rsidR="00CB393E" w:rsidRPr="00356741" w14:paraId="21DF4B2E" w14:textId="77777777" w:rsidTr="00005F76">
        <w:tc>
          <w:tcPr>
            <w:tcW w:w="704" w:type="dxa"/>
          </w:tcPr>
          <w:p w14:paraId="58FBBF8D" w14:textId="77777777" w:rsidR="00CB393E" w:rsidRPr="00356741" w:rsidRDefault="00CB393E" w:rsidP="00005F76">
            <w:pPr>
              <w:pStyle w:val="05Tabletext"/>
              <w:rPr>
                <w:b/>
              </w:rPr>
            </w:pPr>
            <w:r w:rsidRPr="00356741">
              <w:rPr>
                <w:b/>
              </w:rPr>
              <w:t>19</w:t>
            </w:r>
          </w:p>
        </w:tc>
        <w:tc>
          <w:tcPr>
            <w:tcW w:w="8072" w:type="dxa"/>
          </w:tcPr>
          <w:p w14:paraId="4CF06A93" w14:textId="77777777" w:rsidR="00CB393E" w:rsidRPr="00356741" w:rsidRDefault="00CB393E" w:rsidP="00005F76">
            <w:pPr>
              <w:pStyle w:val="05Tabletext"/>
            </w:pPr>
            <w:r w:rsidRPr="00356741">
              <w:t>homes for the aged/</w:t>
            </w:r>
          </w:p>
        </w:tc>
        <w:tc>
          <w:tcPr>
            <w:tcW w:w="852" w:type="dxa"/>
          </w:tcPr>
          <w:p w14:paraId="3E3567E3" w14:textId="77777777" w:rsidR="00CB393E" w:rsidRPr="00356741" w:rsidRDefault="00CB393E" w:rsidP="00005F76">
            <w:pPr>
              <w:pStyle w:val="09Tableright-aligned"/>
            </w:pPr>
            <w:r w:rsidRPr="00356741">
              <w:t>12,927</w:t>
            </w:r>
          </w:p>
        </w:tc>
      </w:tr>
      <w:tr w:rsidR="00CB393E" w:rsidRPr="00356741" w14:paraId="6492919A"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0E53E3C7" w14:textId="77777777" w:rsidR="00CB393E" w:rsidRPr="00356741" w:rsidRDefault="00CB393E" w:rsidP="00005F76">
            <w:pPr>
              <w:pStyle w:val="05Tabletext"/>
              <w:rPr>
                <w:b/>
              </w:rPr>
            </w:pPr>
            <w:r w:rsidRPr="00356741">
              <w:rPr>
                <w:b/>
              </w:rPr>
              <w:t>20</w:t>
            </w:r>
          </w:p>
        </w:tc>
        <w:tc>
          <w:tcPr>
            <w:tcW w:w="8072" w:type="dxa"/>
          </w:tcPr>
          <w:p w14:paraId="43560862" w14:textId="77777777" w:rsidR="00CB393E" w:rsidRPr="00356741" w:rsidRDefault="00CB393E" w:rsidP="00005F76">
            <w:pPr>
              <w:pStyle w:val="05Tabletext"/>
            </w:pPr>
            <w:r w:rsidRPr="00356741">
              <w:t>exp nursing homes/</w:t>
            </w:r>
          </w:p>
        </w:tc>
        <w:tc>
          <w:tcPr>
            <w:tcW w:w="852" w:type="dxa"/>
          </w:tcPr>
          <w:p w14:paraId="568C6F31" w14:textId="77777777" w:rsidR="00CB393E" w:rsidRPr="00356741" w:rsidRDefault="00CB393E" w:rsidP="00005F76">
            <w:pPr>
              <w:pStyle w:val="09Tableright-aligned"/>
            </w:pPr>
            <w:r w:rsidRPr="00356741">
              <w:t>36,659</w:t>
            </w:r>
          </w:p>
        </w:tc>
      </w:tr>
      <w:tr w:rsidR="00CB393E" w:rsidRPr="00356741" w14:paraId="70821F6C" w14:textId="77777777" w:rsidTr="00005F76">
        <w:tc>
          <w:tcPr>
            <w:tcW w:w="704" w:type="dxa"/>
          </w:tcPr>
          <w:p w14:paraId="65E8A2E0" w14:textId="77777777" w:rsidR="00CB393E" w:rsidRPr="00356741" w:rsidRDefault="00CB393E" w:rsidP="00005F76">
            <w:pPr>
              <w:pStyle w:val="05Tabletext"/>
              <w:rPr>
                <w:b/>
              </w:rPr>
            </w:pPr>
            <w:r w:rsidRPr="00356741">
              <w:rPr>
                <w:b/>
              </w:rPr>
              <w:t>21</w:t>
            </w:r>
          </w:p>
        </w:tc>
        <w:tc>
          <w:tcPr>
            <w:tcW w:w="8072" w:type="dxa"/>
          </w:tcPr>
          <w:p w14:paraId="28BD54BA" w14:textId="77777777" w:rsidR="00CB393E" w:rsidRPr="00356741" w:rsidRDefault="00CB393E" w:rsidP="00005F76">
            <w:pPr>
              <w:pStyle w:val="05Tabletext"/>
            </w:pPr>
            <w:r w:rsidRPr="00356741">
              <w:t>or/15-20</w:t>
            </w:r>
          </w:p>
        </w:tc>
        <w:tc>
          <w:tcPr>
            <w:tcW w:w="852" w:type="dxa"/>
          </w:tcPr>
          <w:p w14:paraId="026825E3" w14:textId="77777777" w:rsidR="00CB393E" w:rsidRPr="00356741" w:rsidRDefault="00CB393E" w:rsidP="00005F76">
            <w:pPr>
              <w:pStyle w:val="09Tableright-aligned"/>
            </w:pPr>
            <w:r w:rsidRPr="00356741">
              <w:t>113,285</w:t>
            </w:r>
          </w:p>
        </w:tc>
      </w:tr>
      <w:tr w:rsidR="00CB393E" w:rsidRPr="00356741" w14:paraId="7C56D705"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4AFC67A6" w14:textId="77777777" w:rsidR="00CB393E" w:rsidRPr="00356741" w:rsidRDefault="00CB393E" w:rsidP="00005F76">
            <w:pPr>
              <w:pStyle w:val="05Tabletext"/>
              <w:rPr>
                <w:b/>
              </w:rPr>
            </w:pPr>
            <w:r w:rsidRPr="00356741">
              <w:rPr>
                <w:b/>
              </w:rPr>
              <w:t>22</w:t>
            </w:r>
          </w:p>
        </w:tc>
        <w:tc>
          <w:tcPr>
            <w:tcW w:w="8072" w:type="dxa"/>
          </w:tcPr>
          <w:p w14:paraId="50212DFC" w14:textId="77777777" w:rsidR="00CB393E" w:rsidRPr="00356741" w:rsidRDefault="00CB393E" w:rsidP="00005F76">
            <w:pPr>
              <w:pStyle w:val="05Tabletext"/>
            </w:pPr>
            <w:r w:rsidRPr="00356741">
              <w:t>12 and 21</w:t>
            </w:r>
          </w:p>
        </w:tc>
        <w:tc>
          <w:tcPr>
            <w:tcW w:w="852" w:type="dxa"/>
          </w:tcPr>
          <w:p w14:paraId="23EDFEDB" w14:textId="77777777" w:rsidR="00CB393E" w:rsidRPr="00356741" w:rsidRDefault="00CB393E" w:rsidP="00005F76">
            <w:pPr>
              <w:pStyle w:val="09Tableright-aligned"/>
            </w:pPr>
            <w:r w:rsidRPr="00356741">
              <w:t>231</w:t>
            </w:r>
          </w:p>
        </w:tc>
      </w:tr>
      <w:tr w:rsidR="00CB393E" w:rsidRPr="00356741" w14:paraId="4D941EDE" w14:textId="77777777" w:rsidTr="00005F76">
        <w:tc>
          <w:tcPr>
            <w:tcW w:w="704" w:type="dxa"/>
          </w:tcPr>
          <w:p w14:paraId="2A83D540" w14:textId="77777777" w:rsidR="00CB393E" w:rsidRPr="00356741" w:rsidRDefault="00CB393E" w:rsidP="00005F76">
            <w:pPr>
              <w:pStyle w:val="05Tabletext"/>
              <w:rPr>
                <w:b/>
              </w:rPr>
            </w:pPr>
            <w:r w:rsidRPr="00356741">
              <w:rPr>
                <w:b/>
              </w:rPr>
              <w:t>23</w:t>
            </w:r>
          </w:p>
        </w:tc>
        <w:tc>
          <w:tcPr>
            <w:tcW w:w="8072" w:type="dxa"/>
          </w:tcPr>
          <w:p w14:paraId="1E98CA99" w14:textId="77777777" w:rsidR="00CB393E" w:rsidRPr="00356741" w:rsidRDefault="00CB393E" w:rsidP="00005F76">
            <w:pPr>
              <w:pStyle w:val="05Tabletext"/>
            </w:pPr>
            <w:r w:rsidRPr="00356741">
              <w:t>6 or 9 or 14 or 22</w:t>
            </w:r>
          </w:p>
        </w:tc>
        <w:tc>
          <w:tcPr>
            <w:tcW w:w="852" w:type="dxa"/>
          </w:tcPr>
          <w:p w14:paraId="66A11AF5" w14:textId="77777777" w:rsidR="00CB393E" w:rsidRPr="00356741" w:rsidRDefault="00CB393E" w:rsidP="00005F76">
            <w:pPr>
              <w:pStyle w:val="09Tableright-aligned"/>
            </w:pPr>
            <w:r w:rsidRPr="00356741">
              <w:t>1,509</w:t>
            </w:r>
          </w:p>
        </w:tc>
      </w:tr>
      <w:tr w:rsidR="00CB393E" w:rsidRPr="00356741" w14:paraId="394A2D32"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4670F9C6" w14:textId="77777777" w:rsidR="00CB393E" w:rsidRPr="00356741" w:rsidRDefault="00CB393E" w:rsidP="00005F76">
            <w:pPr>
              <w:pStyle w:val="05Tabletext"/>
              <w:rPr>
                <w:b/>
              </w:rPr>
            </w:pPr>
            <w:r w:rsidRPr="00356741">
              <w:rPr>
                <w:b/>
              </w:rPr>
              <w:t>24</w:t>
            </w:r>
          </w:p>
        </w:tc>
        <w:tc>
          <w:tcPr>
            <w:tcW w:w="8072" w:type="dxa"/>
          </w:tcPr>
          <w:p w14:paraId="772AF393" w14:textId="77777777" w:rsidR="00CB393E" w:rsidRPr="00356741" w:rsidRDefault="00CB393E" w:rsidP="00005F76">
            <w:pPr>
              <w:pStyle w:val="05Tabletext"/>
            </w:pPr>
            <w:r w:rsidRPr="00356741">
              <w:t>((medication or medicine$) adj review).ti.</w:t>
            </w:r>
          </w:p>
        </w:tc>
        <w:tc>
          <w:tcPr>
            <w:tcW w:w="852" w:type="dxa"/>
          </w:tcPr>
          <w:p w14:paraId="45CF35A7" w14:textId="77777777" w:rsidR="00CB393E" w:rsidRPr="00356741" w:rsidRDefault="00CB393E" w:rsidP="00005F76">
            <w:pPr>
              <w:pStyle w:val="09Tableright-aligned"/>
            </w:pPr>
            <w:r w:rsidRPr="00356741">
              <w:t>300</w:t>
            </w:r>
          </w:p>
        </w:tc>
      </w:tr>
      <w:tr w:rsidR="00CB393E" w:rsidRPr="00356741" w14:paraId="649B1543" w14:textId="77777777" w:rsidTr="00005F76">
        <w:tc>
          <w:tcPr>
            <w:tcW w:w="704" w:type="dxa"/>
          </w:tcPr>
          <w:p w14:paraId="6DB4B5B9" w14:textId="77777777" w:rsidR="00CB393E" w:rsidRPr="00356741" w:rsidRDefault="00CB393E" w:rsidP="00005F76">
            <w:pPr>
              <w:pStyle w:val="05Tabletext"/>
              <w:rPr>
                <w:b/>
              </w:rPr>
            </w:pPr>
            <w:r w:rsidRPr="00356741">
              <w:rPr>
                <w:b/>
              </w:rPr>
              <w:t>25</w:t>
            </w:r>
          </w:p>
        </w:tc>
        <w:tc>
          <w:tcPr>
            <w:tcW w:w="8072" w:type="dxa"/>
          </w:tcPr>
          <w:p w14:paraId="48AC5CE3" w14:textId="77777777" w:rsidR="00CB393E" w:rsidRPr="00356741" w:rsidRDefault="00CB393E" w:rsidP="00005F76">
            <w:pPr>
              <w:pStyle w:val="05Tabletext"/>
            </w:pPr>
            <w:r w:rsidRPr="00356741">
              <w:t>((medication or medicine$) adj management review).ti.</w:t>
            </w:r>
          </w:p>
        </w:tc>
        <w:tc>
          <w:tcPr>
            <w:tcW w:w="852" w:type="dxa"/>
          </w:tcPr>
          <w:p w14:paraId="177452D9" w14:textId="77777777" w:rsidR="00CB393E" w:rsidRPr="00356741" w:rsidRDefault="00CB393E" w:rsidP="00005F76">
            <w:pPr>
              <w:pStyle w:val="09Tableright-aligned"/>
            </w:pPr>
            <w:r w:rsidRPr="00356741">
              <w:t>8</w:t>
            </w:r>
          </w:p>
        </w:tc>
      </w:tr>
      <w:tr w:rsidR="00CB393E" w:rsidRPr="00356741" w14:paraId="0723D28E"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2C8BA1A7" w14:textId="77777777" w:rsidR="00CB393E" w:rsidRPr="00356741" w:rsidRDefault="00CB393E" w:rsidP="00005F76">
            <w:pPr>
              <w:pStyle w:val="05Tabletext"/>
              <w:rPr>
                <w:b/>
              </w:rPr>
            </w:pPr>
            <w:r w:rsidRPr="00356741">
              <w:rPr>
                <w:b/>
              </w:rPr>
              <w:t>26</w:t>
            </w:r>
          </w:p>
        </w:tc>
        <w:tc>
          <w:tcPr>
            <w:tcW w:w="8072" w:type="dxa"/>
          </w:tcPr>
          <w:p w14:paraId="03C5563E" w14:textId="77777777" w:rsidR="00CB393E" w:rsidRPr="00356741" w:rsidRDefault="00CB393E" w:rsidP="00005F76">
            <w:pPr>
              <w:pStyle w:val="05Tabletext"/>
            </w:pPr>
            <w:r w:rsidRPr="00356741">
              <w:t>or/23-25</w:t>
            </w:r>
          </w:p>
        </w:tc>
        <w:tc>
          <w:tcPr>
            <w:tcW w:w="852" w:type="dxa"/>
          </w:tcPr>
          <w:p w14:paraId="448A4271" w14:textId="77777777" w:rsidR="00CB393E" w:rsidRPr="00356741" w:rsidRDefault="00CB393E" w:rsidP="00005F76">
            <w:pPr>
              <w:pStyle w:val="09Tableright-aligned"/>
            </w:pPr>
            <w:r w:rsidRPr="00356741">
              <w:t>1,709</w:t>
            </w:r>
          </w:p>
        </w:tc>
      </w:tr>
      <w:tr w:rsidR="00CB393E" w:rsidRPr="00356741" w14:paraId="6FBFFAF5" w14:textId="77777777" w:rsidTr="00005F76">
        <w:tc>
          <w:tcPr>
            <w:tcW w:w="704" w:type="dxa"/>
          </w:tcPr>
          <w:p w14:paraId="04513B7A" w14:textId="77777777" w:rsidR="00CB393E" w:rsidRPr="00356741" w:rsidRDefault="00CB393E" w:rsidP="00005F76">
            <w:pPr>
              <w:pStyle w:val="05Tabletext"/>
              <w:rPr>
                <w:b/>
              </w:rPr>
            </w:pPr>
            <w:r w:rsidRPr="00356741">
              <w:rPr>
                <w:b/>
              </w:rPr>
              <w:t>27</w:t>
            </w:r>
          </w:p>
        </w:tc>
        <w:tc>
          <w:tcPr>
            <w:tcW w:w="8072" w:type="dxa"/>
          </w:tcPr>
          <w:p w14:paraId="3B63590A" w14:textId="77777777" w:rsidR="00CB393E" w:rsidRPr="00356741" w:rsidRDefault="00CB393E" w:rsidP="00005F76">
            <w:pPr>
              <w:pStyle w:val="05Tabletext"/>
            </w:pPr>
            <w:r w:rsidRPr="00356741">
              <w:t>editorial/ or erratum/ or letter/ or note/ or case study/ or (editorial or erratum or letter or note or short survey or conference abstract or abstract report or case study or case report).tw.</w:t>
            </w:r>
          </w:p>
        </w:tc>
        <w:tc>
          <w:tcPr>
            <w:tcW w:w="852" w:type="dxa"/>
          </w:tcPr>
          <w:p w14:paraId="6D5BA46E" w14:textId="77777777" w:rsidR="00CB393E" w:rsidRPr="00356741" w:rsidRDefault="00CB393E" w:rsidP="00005F76">
            <w:pPr>
              <w:pStyle w:val="09Tableright-aligned"/>
            </w:pPr>
            <w:r w:rsidRPr="00356741">
              <w:t>3,362,429</w:t>
            </w:r>
          </w:p>
        </w:tc>
      </w:tr>
      <w:tr w:rsidR="00CB393E" w:rsidRPr="00356741" w14:paraId="475ABB74"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330B7188" w14:textId="77777777" w:rsidR="00CB393E" w:rsidRPr="00356741" w:rsidRDefault="00CB393E" w:rsidP="00005F76">
            <w:pPr>
              <w:pStyle w:val="05Tabletext"/>
              <w:rPr>
                <w:b/>
              </w:rPr>
            </w:pPr>
            <w:r w:rsidRPr="00356741">
              <w:rPr>
                <w:b/>
              </w:rPr>
              <w:t>28</w:t>
            </w:r>
          </w:p>
        </w:tc>
        <w:tc>
          <w:tcPr>
            <w:tcW w:w="8072" w:type="dxa"/>
          </w:tcPr>
          <w:p w14:paraId="590F30DE" w14:textId="77777777" w:rsidR="00CB393E" w:rsidRPr="00356741" w:rsidRDefault="00CB393E" w:rsidP="00005F76">
            <w:pPr>
              <w:pStyle w:val="05Tabletext"/>
            </w:pPr>
            <w:r w:rsidRPr="00356741">
              <w:t>26 not 27</w:t>
            </w:r>
          </w:p>
        </w:tc>
        <w:tc>
          <w:tcPr>
            <w:tcW w:w="852" w:type="dxa"/>
          </w:tcPr>
          <w:p w14:paraId="36D292E9" w14:textId="77777777" w:rsidR="00CB393E" w:rsidRPr="00356741" w:rsidRDefault="00CB393E" w:rsidP="00005F76">
            <w:pPr>
              <w:pStyle w:val="09Tableright-aligned"/>
            </w:pPr>
            <w:r w:rsidRPr="00356741">
              <w:t>1,632</w:t>
            </w:r>
          </w:p>
        </w:tc>
      </w:tr>
      <w:tr w:rsidR="00CB393E" w:rsidRPr="00356741" w14:paraId="0477F628" w14:textId="77777777" w:rsidTr="00005F76">
        <w:tc>
          <w:tcPr>
            <w:tcW w:w="704" w:type="dxa"/>
          </w:tcPr>
          <w:p w14:paraId="7ED61D90" w14:textId="77777777" w:rsidR="00CB393E" w:rsidRPr="00356741" w:rsidRDefault="00CB393E" w:rsidP="00005F76">
            <w:pPr>
              <w:pStyle w:val="05Tabletext"/>
              <w:rPr>
                <w:b/>
              </w:rPr>
            </w:pPr>
            <w:r w:rsidRPr="00356741">
              <w:rPr>
                <w:b/>
              </w:rPr>
              <w:t>29</w:t>
            </w:r>
          </w:p>
        </w:tc>
        <w:tc>
          <w:tcPr>
            <w:tcW w:w="8072" w:type="dxa"/>
          </w:tcPr>
          <w:p w14:paraId="77392800" w14:textId="77777777" w:rsidR="00CB393E" w:rsidRPr="00356741" w:rsidRDefault="00CB393E" w:rsidP="00005F76">
            <w:pPr>
              <w:pStyle w:val="05Tabletext"/>
            </w:pPr>
            <w:r w:rsidRPr="00356741">
              <w:t>remove duplicates from 28</w:t>
            </w:r>
          </w:p>
        </w:tc>
        <w:tc>
          <w:tcPr>
            <w:tcW w:w="852" w:type="dxa"/>
          </w:tcPr>
          <w:p w14:paraId="66C09098" w14:textId="77777777" w:rsidR="00CB393E" w:rsidRPr="00356741" w:rsidRDefault="00CB393E" w:rsidP="00005F76">
            <w:pPr>
              <w:pStyle w:val="09Tableright-aligned"/>
            </w:pPr>
            <w:r w:rsidRPr="00356741">
              <w:t>1,507</w:t>
            </w:r>
          </w:p>
        </w:tc>
      </w:tr>
    </w:tbl>
    <w:p w14:paraId="092B1555" w14:textId="77777777" w:rsidR="00CB393E" w:rsidRDefault="00CB393E" w:rsidP="00CB393E">
      <w:pPr>
        <w:pStyle w:val="11Tablefootnoteslast-nostick"/>
      </w:pPr>
    </w:p>
    <w:p w14:paraId="54DE0537" w14:textId="0E789B52" w:rsidR="00CB393E" w:rsidRDefault="00B75B3A" w:rsidP="00B75B3A">
      <w:pPr>
        <w:pStyle w:val="Caption"/>
      </w:pPr>
      <w:bookmarkStart w:id="95" w:name="_Ref522874388"/>
      <w:r>
        <w:t>Table A-B.</w:t>
      </w:r>
      <w:r w:rsidR="00FD7087">
        <w:rPr>
          <w:noProof/>
        </w:rPr>
        <w:fldChar w:fldCharType="begin"/>
      </w:r>
      <w:r w:rsidR="00FD7087">
        <w:rPr>
          <w:noProof/>
        </w:rPr>
        <w:instrText xml:space="preserve"> SEQ Table_A-B. \* ARABIC </w:instrText>
      </w:r>
      <w:r w:rsidR="00FD7087">
        <w:rPr>
          <w:noProof/>
        </w:rPr>
        <w:fldChar w:fldCharType="separate"/>
      </w:r>
      <w:r w:rsidR="00906106">
        <w:rPr>
          <w:noProof/>
        </w:rPr>
        <w:t>3</w:t>
      </w:r>
      <w:r w:rsidR="00FD7087">
        <w:rPr>
          <w:noProof/>
        </w:rPr>
        <w:fldChar w:fldCharType="end"/>
      </w:r>
      <w:bookmarkEnd w:id="95"/>
      <w:r w:rsidR="00CB393E">
        <w:tab/>
        <w:t>Cochrane Library search strategy for studies relevant to Medication Management Review services</w:t>
      </w:r>
    </w:p>
    <w:tbl>
      <w:tblPr>
        <w:tblStyle w:val="TableGrid"/>
        <w:tblW w:w="0" w:type="auto"/>
        <w:tblLook w:val="04A0" w:firstRow="1" w:lastRow="0" w:firstColumn="1" w:lastColumn="0" w:noHBand="0" w:noVBand="1"/>
        <w:tblCaption w:val="Table A-B.3"/>
        <w:tblDescription w:val="Cochrane Library search strategy for studies relevant to Medication Management Review services"/>
      </w:tblPr>
      <w:tblGrid>
        <w:gridCol w:w="701"/>
        <w:gridCol w:w="7973"/>
        <w:gridCol w:w="954"/>
      </w:tblGrid>
      <w:tr w:rsidR="00CB393E" w:rsidRPr="0039662C" w14:paraId="71B3CD36" w14:textId="77777777" w:rsidTr="00005F76">
        <w:trPr>
          <w:cnfStyle w:val="100000000000" w:firstRow="1" w:lastRow="0" w:firstColumn="0" w:lastColumn="0" w:oddVBand="0" w:evenVBand="0" w:oddHBand="0" w:evenHBand="0" w:firstRowFirstColumn="0" w:firstRowLastColumn="0" w:lastRowFirstColumn="0" w:lastRowLastColumn="0"/>
        </w:trPr>
        <w:tc>
          <w:tcPr>
            <w:tcW w:w="704" w:type="dxa"/>
          </w:tcPr>
          <w:p w14:paraId="647AF6AE" w14:textId="77777777" w:rsidR="00CB393E" w:rsidRPr="0039662C" w:rsidRDefault="00CB393E" w:rsidP="00005F76">
            <w:pPr>
              <w:pStyle w:val="01Tableheaderrowleftaligned"/>
            </w:pPr>
            <w:r>
              <w:t>#</w:t>
            </w:r>
          </w:p>
        </w:tc>
        <w:tc>
          <w:tcPr>
            <w:tcW w:w="8072" w:type="dxa"/>
          </w:tcPr>
          <w:p w14:paraId="5C565A09" w14:textId="77777777" w:rsidR="00CB393E" w:rsidRPr="0039662C" w:rsidRDefault="00CB393E" w:rsidP="00005F76">
            <w:pPr>
              <w:pStyle w:val="01Tableheaderrowleftaligned"/>
            </w:pPr>
            <w:r>
              <w:t xml:space="preserve">Search strategy for </w:t>
            </w:r>
            <w:r w:rsidRPr="0039662C">
              <w:t xml:space="preserve">Cochrane Library </w:t>
            </w:r>
            <w:r>
              <w:t>(</w:t>
            </w:r>
            <w:r w:rsidRPr="0039662C">
              <w:t>19 December 2016</w:t>
            </w:r>
            <w:r>
              <w:t>)</w:t>
            </w:r>
          </w:p>
        </w:tc>
        <w:tc>
          <w:tcPr>
            <w:tcW w:w="852" w:type="dxa"/>
          </w:tcPr>
          <w:p w14:paraId="77C8E987" w14:textId="77777777" w:rsidR="00CB393E" w:rsidRPr="0039662C" w:rsidRDefault="00CB393E" w:rsidP="00005F76">
            <w:pPr>
              <w:pStyle w:val="03Tableheaderrowrightaligned"/>
            </w:pPr>
            <w:r>
              <w:t>Records</w:t>
            </w:r>
          </w:p>
        </w:tc>
      </w:tr>
      <w:tr w:rsidR="00CB393E" w:rsidRPr="0039662C" w14:paraId="40C4C580" w14:textId="77777777" w:rsidTr="00005F76">
        <w:tc>
          <w:tcPr>
            <w:tcW w:w="704" w:type="dxa"/>
          </w:tcPr>
          <w:p w14:paraId="19D4837C" w14:textId="77777777" w:rsidR="00CB393E" w:rsidRPr="0039662C" w:rsidRDefault="00CB393E" w:rsidP="00005F76">
            <w:pPr>
              <w:pStyle w:val="05Tabletext"/>
              <w:rPr>
                <w:b/>
              </w:rPr>
            </w:pPr>
            <w:r w:rsidRPr="0039662C">
              <w:rPr>
                <w:b/>
              </w:rPr>
              <w:t>#1</w:t>
            </w:r>
          </w:p>
        </w:tc>
        <w:tc>
          <w:tcPr>
            <w:tcW w:w="8072" w:type="dxa"/>
          </w:tcPr>
          <w:p w14:paraId="08C4F10F" w14:textId="77777777" w:rsidR="00CB393E" w:rsidRPr="0039662C" w:rsidRDefault="00CB393E" w:rsidP="00005F76">
            <w:pPr>
              <w:pStyle w:val="05Tabletext"/>
            </w:pPr>
            <w:r w:rsidRPr="0039662C">
              <w:t>MedsCheck (Word variations have been searched)</w:t>
            </w:r>
          </w:p>
        </w:tc>
        <w:tc>
          <w:tcPr>
            <w:tcW w:w="852" w:type="dxa"/>
          </w:tcPr>
          <w:p w14:paraId="06608B18" w14:textId="77777777" w:rsidR="00CB393E" w:rsidRPr="0039662C" w:rsidRDefault="00CB393E" w:rsidP="00005F76">
            <w:pPr>
              <w:pStyle w:val="09Tableright-aligned"/>
            </w:pPr>
            <w:r w:rsidRPr="0039662C">
              <w:t>1</w:t>
            </w:r>
          </w:p>
        </w:tc>
      </w:tr>
      <w:tr w:rsidR="00CB393E" w:rsidRPr="0039662C" w14:paraId="663F6079"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57D998AA" w14:textId="77777777" w:rsidR="00CB393E" w:rsidRPr="0039662C" w:rsidRDefault="00CB393E" w:rsidP="00005F76">
            <w:pPr>
              <w:pStyle w:val="05Tabletext"/>
              <w:rPr>
                <w:b/>
              </w:rPr>
            </w:pPr>
            <w:r w:rsidRPr="0039662C">
              <w:rPr>
                <w:b/>
              </w:rPr>
              <w:t>#2</w:t>
            </w:r>
          </w:p>
        </w:tc>
        <w:tc>
          <w:tcPr>
            <w:tcW w:w="8072" w:type="dxa"/>
          </w:tcPr>
          <w:p w14:paraId="51C29171" w14:textId="77777777" w:rsidR="00CB393E" w:rsidRPr="0039662C" w:rsidRDefault="00CB393E" w:rsidP="00005F76">
            <w:pPr>
              <w:pStyle w:val="05Tabletext"/>
            </w:pPr>
            <w:r w:rsidRPr="0039662C">
              <w:t>"home medication review" or "home medicine* review"</w:t>
            </w:r>
          </w:p>
        </w:tc>
        <w:tc>
          <w:tcPr>
            <w:tcW w:w="852" w:type="dxa"/>
          </w:tcPr>
          <w:p w14:paraId="3052742B" w14:textId="77777777" w:rsidR="00CB393E" w:rsidRPr="0039662C" w:rsidRDefault="00CB393E" w:rsidP="00005F76">
            <w:pPr>
              <w:pStyle w:val="09Tableright-aligned"/>
            </w:pPr>
            <w:r w:rsidRPr="0039662C">
              <w:t>15</w:t>
            </w:r>
          </w:p>
        </w:tc>
      </w:tr>
      <w:tr w:rsidR="00CB393E" w:rsidRPr="0039662C" w14:paraId="2C0E863C" w14:textId="77777777" w:rsidTr="00005F76">
        <w:tc>
          <w:tcPr>
            <w:tcW w:w="704" w:type="dxa"/>
          </w:tcPr>
          <w:p w14:paraId="2864ED68" w14:textId="77777777" w:rsidR="00CB393E" w:rsidRPr="0039662C" w:rsidRDefault="00CB393E" w:rsidP="00005F76">
            <w:pPr>
              <w:pStyle w:val="05Tabletext"/>
              <w:rPr>
                <w:b/>
              </w:rPr>
            </w:pPr>
            <w:r w:rsidRPr="0039662C">
              <w:rPr>
                <w:b/>
              </w:rPr>
              <w:t>#3</w:t>
            </w:r>
          </w:p>
        </w:tc>
        <w:tc>
          <w:tcPr>
            <w:tcW w:w="8072" w:type="dxa"/>
          </w:tcPr>
          <w:p w14:paraId="42F47464" w14:textId="77777777" w:rsidR="00CB393E" w:rsidRPr="0039662C" w:rsidRDefault="00CB393E" w:rsidP="00005F76">
            <w:pPr>
              <w:pStyle w:val="05Tabletext"/>
            </w:pPr>
            <w:r w:rsidRPr="0039662C">
              <w:t>(home near/2 medic* near/2 (review or management))</w:t>
            </w:r>
          </w:p>
        </w:tc>
        <w:tc>
          <w:tcPr>
            <w:tcW w:w="852" w:type="dxa"/>
          </w:tcPr>
          <w:p w14:paraId="3721F05A" w14:textId="77777777" w:rsidR="00CB393E" w:rsidRPr="0039662C" w:rsidRDefault="00CB393E" w:rsidP="00005F76">
            <w:pPr>
              <w:pStyle w:val="09Tableright-aligned"/>
            </w:pPr>
            <w:r w:rsidRPr="0039662C">
              <w:t>36</w:t>
            </w:r>
          </w:p>
        </w:tc>
      </w:tr>
      <w:tr w:rsidR="00CB393E" w:rsidRPr="0039662C" w14:paraId="436DE612"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444087F5" w14:textId="77777777" w:rsidR="00CB393E" w:rsidRPr="0039662C" w:rsidRDefault="00CB393E" w:rsidP="00005F76">
            <w:pPr>
              <w:pStyle w:val="05Tabletext"/>
              <w:rPr>
                <w:b/>
              </w:rPr>
            </w:pPr>
            <w:r w:rsidRPr="0039662C">
              <w:rPr>
                <w:b/>
              </w:rPr>
              <w:t>#4</w:t>
            </w:r>
          </w:p>
        </w:tc>
        <w:tc>
          <w:tcPr>
            <w:tcW w:w="8072" w:type="dxa"/>
          </w:tcPr>
          <w:p w14:paraId="7AACABE0" w14:textId="77777777" w:rsidR="00CB393E" w:rsidRPr="0039662C" w:rsidRDefault="00CB393E" w:rsidP="00005F76">
            <w:pPr>
              <w:pStyle w:val="05Tabletext"/>
            </w:pPr>
            <w:r w:rsidRPr="0039662C">
              <w:t>"residential medication management" or "residential medicine* management"</w:t>
            </w:r>
          </w:p>
        </w:tc>
        <w:tc>
          <w:tcPr>
            <w:tcW w:w="852" w:type="dxa"/>
          </w:tcPr>
          <w:p w14:paraId="4D4AA377" w14:textId="77777777" w:rsidR="00CB393E" w:rsidRPr="0039662C" w:rsidRDefault="00CB393E" w:rsidP="00005F76">
            <w:pPr>
              <w:pStyle w:val="09Tableright-aligned"/>
            </w:pPr>
            <w:r w:rsidRPr="0039662C">
              <w:t>0</w:t>
            </w:r>
          </w:p>
        </w:tc>
      </w:tr>
      <w:tr w:rsidR="00CB393E" w:rsidRPr="0039662C" w14:paraId="5FDE6164" w14:textId="77777777" w:rsidTr="00005F76">
        <w:tc>
          <w:tcPr>
            <w:tcW w:w="704" w:type="dxa"/>
          </w:tcPr>
          <w:p w14:paraId="6A201235" w14:textId="77777777" w:rsidR="00CB393E" w:rsidRPr="0039662C" w:rsidRDefault="00CB393E" w:rsidP="00005F76">
            <w:pPr>
              <w:pStyle w:val="05Tabletext"/>
              <w:rPr>
                <w:b/>
              </w:rPr>
            </w:pPr>
            <w:r w:rsidRPr="0039662C">
              <w:rPr>
                <w:b/>
              </w:rPr>
              <w:t>#5</w:t>
            </w:r>
          </w:p>
        </w:tc>
        <w:tc>
          <w:tcPr>
            <w:tcW w:w="8072" w:type="dxa"/>
          </w:tcPr>
          <w:p w14:paraId="6B677B01" w14:textId="77777777" w:rsidR="00CB393E" w:rsidRPr="0039662C" w:rsidRDefault="00CB393E" w:rsidP="00005F76">
            <w:pPr>
              <w:pStyle w:val="05Tabletext"/>
            </w:pPr>
            <w:r w:rsidRPr="0039662C">
              <w:t>residential and ((medication or medicine*) near/2 (review or management))</w:t>
            </w:r>
          </w:p>
        </w:tc>
        <w:tc>
          <w:tcPr>
            <w:tcW w:w="852" w:type="dxa"/>
          </w:tcPr>
          <w:p w14:paraId="7BE6C9F3" w14:textId="77777777" w:rsidR="00CB393E" w:rsidRPr="0039662C" w:rsidRDefault="00CB393E" w:rsidP="00005F76">
            <w:pPr>
              <w:pStyle w:val="09Tableright-aligned"/>
            </w:pPr>
            <w:r w:rsidRPr="0039662C">
              <w:t>71</w:t>
            </w:r>
          </w:p>
        </w:tc>
      </w:tr>
      <w:tr w:rsidR="00CB393E" w:rsidRPr="0039662C" w14:paraId="3DDBB5C4"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714B2BBE" w14:textId="77777777" w:rsidR="00CB393E" w:rsidRPr="0039662C" w:rsidRDefault="00CB393E" w:rsidP="00005F76">
            <w:pPr>
              <w:pStyle w:val="05Tabletext"/>
              <w:rPr>
                <w:b/>
              </w:rPr>
            </w:pPr>
            <w:r w:rsidRPr="0039662C">
              <w:rPr>
                <w:b/>
              </w:rPr>
              <w:t>#6</w:t>
            </w:r>
          </w:p>
        </w:tc>
        <w:tc>
          <w:tcPr>
            <w:tcW w:w="8072" w:type="dxa"/>
          </w:tcPr>
          <w:p w14:paraId="6BD9FFDF" w14:textId="77777777" w:rsidR="00CB393E" w:rsidRPr="0039662C" w:rsidRDefault="00CB393E" w:rsidP="00005F76">
            <w:pPr>
              <w:pStyle w:val="05Tabletext"/>
            </w:pPr>
            <w:r w:rsidRPr="0039662C">
              <w:t>(pharmacist-led or pharmacist-run):ti,ab,kw</w:t>
            </w:r>
          </w:p>
        </w:tc>
        <w:tc>
          <w:tcPr>
            <w:tcW w:w="852" w:type="dxa"/>
          </w:tcPr>
          <w:p w14:paraId="253A04ED" w14:textId="77777777" w:rsidR="00CB393E" w:rsidRPr="0039662C" w:rsidRDefault="00CB393E" w:rsidP="00005F76">
            <w:pPr>
              <w:pStyle w:val="09Tableright-aligned"/>
            </w:pPr>
            <w:r w:rsidRPr="0039662C">
              <w:t>151</w:t>
            </w:r>
          </w:p>
        </w:tc>
      </w:tr>
      <w:tr w:rsidR="00CB393E" w:rsidRPr="0039662C" w14:paraId="0C05F0E5" w14:textId="77777777" w:rsidTr="00005F76">
        <w:tc>
          <w:tcPr>
            <w:tcW w:w="704" w:type="dxa"/>
          </w:tcPr>
          <w:p w14:paraId="30D8E67D" w14:textId="77777777" w:rsidR="00CB393E" w:rsidRPr="0039662C" w:rsidRDefault="00CB393E" w:rsidP="00005F76">
            <w:pPr>
              <w:pStyle w:val="05Tabletext"/>
              <w:rPr>
                <w:b/>
              </w:rPr>
            </w:pPr>
            <w:r w:rsidRPr="0039662C">
              <w:rPr>
                <w:b/>
              </w:rPr>
              <w:t>#7</w:t>
            </w:r>
          </w:p>
        </w:tc>
        <w:tc>
          <w:tcPr>
            <w:tcW w:w="8072" w:type="dxa"/>
          </w:tcPr>
          <w:p w14:paraId="0C0F0B6D" w14:textId="77777777" w:rsidR="00CB393E" w:rsidRPr="0039662C" w:rsidRDefault="00CB393E" w:rsidP="00005F76">
            <w:pPr>
              <w:pStyle w:val="05Tabletext"/>
            </w:pPr>
            <w:r w:rsidRPr="0039662C">
              <w:t>(review* or assess* or management):ti,ab,kw</w:t>
            </w:r>
          </w:p>
        </w:tc>
        <w:tc>
          <w:tcPr>
            <w:tcW w:w="852" w:type="dxa"/>
          </w:tcPr>
          <w:p w14:paraId="3836090C" w14:textId="77777777" w:rsidR="00CB393E" w:rsidRPr="0039662C" w:rsidRDefault="00CB393E" w:rsidP="00005F76">
            <w:pPr>
              <w:pStyle w:val="09Tableright-aligned"/>
            </w:pPr>
            <w:r w:rsidRPr="0039662C">
              <w:t>341,261</w:t>
            </w:r>
          </w:p>
        </w:tc>
      </w:tr>
      <w:tr w:rsidR="00CB393E" w:rsidRPr="0039662C" w14:paraId="126AC862"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5AF74B5E" w14:textId="77777777" w:rsidR="00CB393E" w:rsidRPr="0039662C" w:rsidRDefault="00CB393E" w:rsidP="00005F76">
            <w:pPr>
              <w:pStyle w:val="05Tabletext"/>
              <w:rPr>
                <w:b/>
              </w:rPr>
            </w:pPr>
            <w:r w:rsidRPr="0039662C">
              <w:rPr>
                <w:b/>
              </w:rPr>
              <w:t>#8</w:t>
            </w:r>
          </w:p>
        </w:tc>
        <w:tc>
          <w:tcPr>
            <w:tcW w:w="8072" w:type="dxa"/>
          </w:tcPr>
          <w:p w14:paraId="5C134E9B" w14:textId="77777777" w:rsidR="00CB393E" w:rsidRPr="0039662C" w:rsidRDefault="00CB393E" w:rsidP="00005F76">
            <w:pPr>
              <w:pStyle w:val="05Tabletext"/>
            </w:pPr>
            <w:r w:rsidRPr="0039662C">
              <w:t>#6 and #7</w:t>
            </w:r>
          </w:p>
        </w:tc>
        <w:tc>
          <w:tcPr>
            <w:tcW w:w="852" w:type="dxa"/>
          </w:tcPr>
          <w:p w14:paraId="6BBB7B01" w14:textId="77777777" w:rsidR="00CB393E" w:rsidRPr="0039662C" w:rsidRDefault="00CB393E" w:rsidP="00005F76">
            <w:pPr>
              <w:pStyle w:val="09Tableright-aligned"/>
            </w:pPr>
            <w:r w:rsidRPr="0039662C">
              <w:t>129</w:t>
            </w:r>
          </w:p>
        </w:tc>
      </w:tr>
      <w:tr w:rsidR="00CB393E" w:rsidRPr="0039662C" w14:paraId="2CD24056" w14:textId="77777777" w:rsidTr="00005F76">
        <w:tc>
          <w:tcPr>
            <w:tcW w:w="704" w:type="dxa"/>
          </w:tcPr>
          <w:p w14:paraId="25960430" w14:textId="77777777" w:rsidR="00CB393E" w:rsidRPr="0039662C" w:rsidRDefault="00CB393E" w:rsidP="00005F76">
            <w:pPr>
              <w:pStyle w:val="05Tabletext"/>
              <w:rPr>
                <w:b/>
              </w:rPr>
            </w:pPr>
            <w:r w:rsidRPr="0039662C">
              <w:rPr>
                <w:b/>
              </w:rPr>
              <w:t>#9</w:t>
            </w:r>
          </w:p>
        </w:tc>
        <w:tc>
          <w:tcPr>
            <w:tcW w:w="8072" w:type="dxa"/>
          </w:tcPr>
          <w:p w14:paraId="072B5BD7" w14:textId="77777777" w:rsidR="00CB393E" w:rsidRPr="0039662C" w:rsidRDefault="00CB393E" w:rsidP="00005F76">
            <w:pPr>
              <w:pStyle w:val="05Tabletext"/>
            </w:pPr>
            <w:r w:rsidRPr="0039662C">
              <w:t>((medication* or medicine* or drug or pharmac*) near/2 (management or review)):ti,ab,kw</w:t>
            </w:r>
          </w:p>
        </w:tc>
        <w:tc>
          <w:tcPr>
            <w:tcW w:w="852" w:type="dxa"/>
          </w:tcPr>
          <w:p w14:paraId="256EF5A3" w14:textId="77777777" w:rsidR="00CB393E" w:rsidRPr="0039662C" w:rsidRDefault="00CB393E" w:rsidP="00005F76">
            <w:pPr>
              <w:pStyle w:val="09Tableright-aligned"/>
            </w:pPr>
            <w:r w:rsidRPr="0039662C">
              <w:t>1,947</w:t>
            </w:r>
          </w:p>
        </w:tc>
      </w:tr>
      <w:tr w:rsidR="00CB393E" w:rsidRPr="0039662C" w14:paraId="01081D33"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18FB0015" w14:textId="77777777" w:rsidR="00CB393E" w:rsidRPr="0039662C" w:rsidRDefault="00CB393E" w:rsidP="00005F76">
            <w:pPr>
              <w:pStyle w:val="05Tabletext"/>
              <w:rPr>
                <w:b/>
              </w:rPr>
            </w:pPr>
            <w:r w:rsidRPr="0039662C">
              <w:rPr>
                <w:b/>
              </w:rPr>
              <w:t>#10</w:t>
            </w:r>
          </w:p>
        </w:tc>
        <w:tc>
          <w:tcPr>
            <w:tcW w:w="8072" w:type="dxa"/>
          </w:tcPr>
          <w:p w14:paraId="703EDB20" w14:textId="77777777" w:rsidR="00CB393E" w:rsidRPr="0039662C" w:rsidRDefault="00CB393E" w:rsidP="00005F76">
            <w:pPr>
              <w:pStyle w:val="05Tabletext"/>
            </w:pPr>
            <w:r w:rsidRPr="0039662C">
              <w:t>(pharmacy or pharmacies or pharmacist*):ti,ab,kw</w:t>
            </w:r>
          </w:p>
        </w:tc>
        <w:tc>
          <w:tcPr>
            <w:tcW w:w="852" w:type="dxa"/>
          </w:tcPr>
          <w:p w14:paraId="36694EFD" w14:textId="77777777" w:rsidR="00CB393E" w:rsidRPr="0039662C" w:rsidRDefault="00CB393E" w:rsidP="00005F76">
            <w:pPr>
              <w:pStyle w:val="09Tableright-aligned"/>
            </w:pPr>
            <w:r w:rsidRPr="0039662C">
              <w:t>3,434</w:t>
            </w:r>
          </w:p>
        </w:tc>
      </w:tr>
      <w:tr w:rsidR="00CB393E" w:rsidRPr="0039662C" w14:paraId="04ED8389" w14:textId="77777777" w:rsidTr="00005F76">
        <w:tc>
          <w:tcPr>
            <w:tcW w:w="704" w:type="dxa"/>
          </w:tcPr>
          <w:p w14:paraId="2F54E679" w14:textId="77777777" w:rsidR="00CB393E" w:rsidRPr="0039662C" w:rsidRDefault="00CB393E" w:rsidP="00005F76">
            <w:pPr>
              <w:pStyle w:val="05Tabletext"/>
              <w:rPr>
                <w:b/>
              </w:rPr>
            </w:pPr>
            <w:r w:rsidRPr="0039662C">
              <w:rPr>
                <w:b/>
              </w:rPr>
              <w:t>#11</w:t>
            </w:r>
          </w:p>
        </w:tc>
        <w:tc>
          <w:tcPr>
            <w:tcW w:w="8072" w:type="dxa"/>
          </w:tcPr>
          <w:p w14:paraId="671A8B98" w14:textId="77777777" w:rsidR="00CB393E" w:rsidRPr="0039662C" w:rsidRDefault="00CB393E" w:rsidP="00005F76">
            <w:pPr>
              <w:pStyle w:val="05Tabletext"/>
            </w:pPr>
            <w:r w:rsidRPr="0039662C">
              <w:t>#9 and #10</w:t>
            </w:r>
          </w:p>
        </w:tc>
        <w:tc>
          <w:tcPr>
            <w:tcW w:w="852" w:type="dxa"/>
          </w:tcPr>
          <w:p w14:paraId="006A312F" w14:textId="77777777" w:rsidR="00CB393E" w:rsidRPr="0039662C" w:rsidRDefault="00CB393E" w:rsidP="00005F76">
            <w:pPr>
              <w:pStyle w:val="09Tableright-aligned"/>
            </w:pPr>
            <w:r w:rsidRPr="0039662C">
              <w:t>472</w:t>
            </w:r>
          </w:p>
        </w:tc>
      </w:tr>
      <w:tr w:rsidR="00CB393E" w:rsidRPr="0039662C" w14:paraId="7CA280FC"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26DBDFBC" w14:textId="77777777" w:rsidR="00CB393E" w:rsidRPr="0039662C" w:rsidRDefault="00CB393E" w:rsidP="00005F76">
            <w:pPr>
              <w:pStyle w:val="05Tabletext"/>
              <w:rPr>
                <w:b/>
              </w:rPr>
            </w:pPr>
            <w:r w:rsidRPr="0039662C">
              <w:rPr>
                <w:b/>
              </w:rPr>
              <w:t>#12</w:t>
            </w:r>
          </w:p>
        </w:tc>
        <w:tc>
          <w:tcPr>
            <w:tcW w:w="8072" w:type="dxa"/>
          </w:tcPr>
          <w:p w14:paraId="5C2300C6" w14:textId="77777777" w:rsidR="00CB393E" w:rsidRPr="0039662C" w:rsidRDefault="00CB393E" w:rsidP="00005F76">
            <w:pPr>
              <w:pStyle w:val="05Tabletext"/>
            </w:pPr>
            <w:r w:rsidRPr="0039662C">
              <w:t>MeSH descriptor: [Medication Therapy Management] explode all trees</w:t>
            </w:r>
          </w:p>
        </w:tc>
        <w:tc>
          <w:tcPr>
            <w:tcW w:w="852" w:type="dxa"/>
          </w:tcPr>
          <w:p w14:paraId="45E1A5CD" w14:textId="77777777" w:rsidR="00CB393E" w:rsidRPr="0039662C" w:rsidRDefault="00CB393E" w:rsidP="00005F76">
            <w:pPr>
              <w:pStyle w:val="09Tableright-aligned"/>
            </w:pPr>
            <w:r w:rsidRPr="0039662C">
              <w:t>72</w:t>
            </w:r>
          </w:p>
        </w:tc>
      </w:tr>
      <w:tr w:rsidR="00CB393E" w:rsidRPr="0039662C" w14:paraId="76A313EC" w14:textId="77777777" w:rsidTr="00005F76">
        <w:tc>
          <w:tcPr>
            <w:tcW w:w="704" w:type="dxa"/>
          </w:tcPr>
          <w:p w14:paraId="013B49BF" w14:textId="77777777" w:rsidR="00CB393E" w:rsidRPr="0039662C" w:rsidRDefault="00CB393E" w:rsidP="00005F76">
            <w:pPr>
              <w:pStyle w:val="05Tabletext"/>
              <w:rPr>
                <w:b/>
              </w:rPr>
            </w:pPr>
            <w:r w:rsidRPr="0039662C">
              <w:rPr>
                <w:b/>
              </w:rPr>
              <w:t>#13</w:t>
            </w:r>
          </w:p>
        </w:tc>
        <w:tc>
          <w:tcPr>
            <w:tcW w:w="8072" w:type="dxa"/>
          </w:tcPr>
          <w:p w14:paraId="5A88E426" w14:textId="77777777" w:rsidR="00CB393E" w:rsidRPr="0039662C" w:rsidRDefault="00CB393E" w:rsidP="00005F76">
            <w:pPr>
              <w:pStyle w:val="05Tabletext"/>
            </w:pPr>
            <w:r w:rsidRPr="0039662C">
              <w:t>MeSH descriptor: [Medication Reconciliation] explode all trees</w:t>
            </w:r>
          </w:p>
        </w:tc>
        <w:tc>
          <w:tcPr>
            <w:tcW w:w="852" w:type="dxa"/>
          </w:tcPr>
          <w:p w14:paraId="50A575BF" w14:textId="77777777" w:rsidR="00CB393E" w:rsidRPr="0039662C" w:rsidRDefault="00CB393E" w:rsidP="00005F76">
            <w:pPr>
              <w:pStyle w:val="09Tableright-aligned"/>
            </w:pPr>
            <w:r w:rsidRPr="0039662C">
              <w:t>41</w:t>
            </w:r>
          </w:p>
        </w:tc>
      </w:tr>
      <w:tr w:rsidR="00CB393E" w:rsidRPr="0039662C" w14:paraId="3216E782"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69404862" w14:textId="77777777" w:rsidR="00CB393E" w:rsidRPr="0039662C" w:rsidRDefault="00CB393E" w:rsidP="00005F76">
            <w:pPr>
              <w:pStyle w:val="05Tabletext"/>
              <w:rPr>
                <w:b/>
              </w:rPr>
            </w:pPr>
            <w:r w:rsidRPr="0039662C">
              <w:rPr>
                <w:b/>
              </w:rPr>
              <w:t>#14</w:t>
            </w:r>
          </w:p>
        </w:tc>
        <w:tc>
          <w:tcPr>
            <w:tcW w:w="8072" w:type="dxa"/>
          </w:tcPr>
          <w:p w14:paraId="6225B6FC" w14:textId="77777777" w:rsidR="00CB393E" w:rsidRPr="0039662C" w:rsidRDefault="00CB393E" w:rsidP="00005F76">
            <w:pPr>
              <w:pStyle w:val="05Tabletext"/>
            </w:pPr>
            <w:r w:rsidRPr="0039662C">
              <w:t>(#12 or #13) and #10</w:t>
            </w:r>
          </w:p>
        </w:tc>
        <w:tc>
          <w:tcPr>
            <w:tcW w:w="852" w:type="dxa"/>
          </w:tcPr>
          <w:p w14:paraId="5BE9C427" w14:textId="77777777" w:rsidR="00CB393E" w:rsidRPr="0039662C" w:rsidRDefault="00CB393E" w:rsidP="00005F76">
            <w:pPr>
              <w:pStyle w:val="09Tableright-aligned"/>
            </w:pPr>
            <w:r w:rsidRPr="0039662C">
              <w:t>61</w:t>
            </w:r>
          </w:p>
        </w:tc>
      </w:tr>
      <w:tr w:rsidR="00CB393E" w:rsidRPr="0039662C" w14:paraId="3161B7B6" w14:textId="77777777" w:rsidTr="00005F76">
        <w:tc>
          <w:tcPr>
            <w:tcW w:w="704" w:type="dxa"/>
          </w:tcPr>
          <w:p w14:paraId="33BC29D0" w14:textId="77777777" w:rsidR="00CB393E" w:rsidRPr="0039662C" w:rsidRDefault="00CB393E" w:rsidP="00005F76">
            <w:pPr>
              <w:pStyle w:val="05Tabletext"/>
              <w:rPr>
                <w:b/>
              </w:rPr>
            </w:pPr>
            <w:r w:rsidRPr="0039662C">
              <w:rPr>
                <w:b/>
              </w:rPr>
              <w:t>#15</w:t>
            </w:r>
          </w:p>
        </w:tc>
        <w:tc>
          <w:tcPr>
            <w:tcW w:w="8072" w:type="dxa"/>
          </w:tcPr>
          <w:p w14:paraId="549CE442" w14:textId="77777777" w:rsidR="00CB393E" w:rsidRPr="0039662C" w:rsidRDefault="00CB393E" w:rsidP="00005F76">
            <w:pPr>
              <w:pStyle w:val="05Tabletext"/>
            </w:pPr>
            <w:r w:rsidRPr="0039662C">
              <w:t>(medication* next management or medication* next therapy next management or medication* next strategy or medication* next strategies or (medication* near/2 review*)):ti,ab,kw</w:t>
            </w:r>
          </w:p>
        </w:tc>
        <w:tc>
          <w:tcPr>
            <w:tcW w:w="852" w:type="dxa"/>
          </w:tcPr>
          <w:p w14:paraId="21ED8DB2" w14:textId="77777777" w:rsidR="00CB393E" w:rsidRPr="0039662C" w:rsidRDefault="00CB393E" w:rsidP="00005F76">
            <w:pPr>
              <w:pStyle w:val="09Tableright-aligned"/>
            </w:pPr>
            <w:r w:rsidRPr="0039662C">
              <w:t>844</w:t>
            </w:r>
          </w:p>
        </w:tc>
      </w:tr>
      <w:tr w:rsidR="00CB393E" w:rsidRPr="0039662C" w14:paraId="5C770FA3"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0CD196FD" w14:textId="77777777" w:rsidR="00CB393E" w:rsidRPr="0039662C" w:rsidRDefault="00CB393E" w:rsidP="00005F76">
            <w:pPr>
              <w:pStyle w:val="05Tabletext"/>
              <w:rPr>
                <w:b/>
              </w:rPr>
            </w:pPr>
            <w:r w:rsidRPr="0039662C">
              <w:rPr>
                <w:b/>
              </w:rPr>
              <w:t>#16</w:t>
            </w:r>
          </w:p>
        </w:tc>
        <w:tc>
          <w:tcPr>
            <w:tcW w:w="8072" w:type="dxa"/>
          </w:tcPr>
          <w:p w14:paraId="5F9A2187" w14:textId="77777777" w:rsidR="00CB393E" w:rsidRPr="0039662C" w:rsidRDefault="00CB393E" w:rsidP="00005F76">
            <w:pPr>
              <w:pStyle w:val="05Tabletext"/>
            </w:pPr>
            <w:r w:rsidRPr="0039662C">
              <w:t>#15 and #10</w:t>
            </w:r>
          </w:p>
        </w:tc>
        <w:tc>
          <w:tcPr>
            <w:tcW w:w="852" w:type="dxa"/>
          </w:tcPr>
          <w:p w14:paraId="37052C08" w14:textId="77777777" w:rsidR="00CB393E" w:rsidRPr="0039662C" w:rsidRDefault="00CB393E" w:rsidP="00005F76">
            <w:pPr>
              <w:pStyle w:val="09Tableright-aligned"/>
            </w:pPr>
            <w:r w:rsidRPr="0039662C">
              <w:t>312</w:t>
            </w:r>
          </w:p>
        </w:tc>
      </w:tr>
      <w:tr w:rsidR="00CB393E" w:rsidRPr="001F2F84" w14:paraId="4334B194" w14:textId="77777777" w:rsidTr="00005F76">
        <w:tc>
          <w:tcPr>
            <w:tcW w:w="704" w:type="dxa"/>
          </w:tcPr>
          <w:p w14:paraId="5E9FCD29" w14:textId="77777777" w:rsidR="00CB393E" w:rsidRPr="0039662C" w:rsidRDefault="00CB393E" w:rsidP="00005F76">
            <w:pPr>
              <w:pStyle w:val="05Tabletext"/>
              <w:rPr>
                <w:b/>
              </w:rPr>
            </w:pPr>
            <w:r w:rsidRPr="0039662C">
              <w:rPr>
                <w:b/>
              </w:rPr>
              <w:t>#17</w:t>
            </w:r>
          </w:p>
        </w:tc>
        <w:tc>
          <w:tcPr>
            <w:tcW w:w="8072" w:type="dxa"/>
          </w:tcPr>
          <w:p w14:paraId="338E7BC8" w14:textId="77777777" w:rsidR="00CB393E" w:rsidRPr="0039662C" w:rsidRDefault="00CB393E" w:rsidP="00005F76">
            <w:pPr>
              <w:pStyle w:val="05Tabletext"/>
            </w:pPr>
            <w:r w:rsidRPr="0039662C">
              <w:t>#1 or #2 or #3 or #4 or #5 or #8 or #11 or #14 or #16</w:t>
            </w:r>
          </w:p>
        </w:tc>
        <w:tc>
          <w:tcPr>
            <w:tcW w:w="852" w:type="dxa"/>
          </w:tcPr>
          <w:p w14:paraId="7C2F71FB" w14:textId="77777777" w:rsidR="00CB393E" w:rsidRPr="001F2F84" w:rsidRDefault="00CB393E" w:rsidP="00005F76">
            <w:pPr>
              <w:pStyle w:val="09Tableright-aligned"/>
            </w:pPr>
            <w:r w:rsidRPr="0039662C">
              <w:t>644</w:t>
            </w:r>
          </w:p>
        </w:tc>
      </w:tr>
      <w:tr w:rsidR="00CB393E" w:rsidRPr="001F2F84" w14:paraId="365E317F" w14:textId="77777777" w:rsidTr="00005F76">
        <w:trPr>
          <w:cnfStyle w:val="000000010000" w:firstRow="0" w:lastRow="0" w:firstColumn="0" w:lastColumn="0" w:oddVBand="0" w:evenVBand="0" w:oddHBand="0" w:evenHBand="1" w:firstRowFirstColumn="0" w:firstRowLastColumn="0" w:lastRowFirstColumn="0" w:lastRowLastColumn="0"/>
        </w:trPr>
        <w:tc>
          <w:tcPr>
            <w:tcW w:w="704" w:type="dxa"/>
          </w:tcPr>
          <w:p w14:paraId="578D5D4C" w14:textId="77777777" w:rsidR="00CB393E" w:rsidRPr="0039662C" w:rsidRDefault="00CB393E" w:rsidP="00005F76">
            <w:pPr>
              <w:pStyle w:val="05Tabletext"/>
              <w:rPr>
                <w:b/>
              </w:rPr>
            </w:pPr>
          </w:p>
        </w:tc>
        <w:tc>
          <w:tcPr>
            <w:tcW w:w="8072" w:type="dxa"/>
          </w:tcPr>
          <w:p w14:paraId="654100FA" w14:textId="77777777" w:rsidR="00CB393E" w:rsidRDefault="00CB393E" w:rsidP="00005F76">
            <w:pPr>
              <w:pStyle w:val="05Tabletext"/>
            </w:pPr>
            <w:r>
              <w:t>By database:</w:t>
            </w:r>
          </w:p>
          <w:p w14:paraId="09CF64E5" w14:textId="77777777" w:rsidR="00CB393E" w:rsidRDefault="00CB393E" w:rsidP="00005F76">
            <w:pPr>
              <w:pStyle w:val="05Tabletext"/>
              <w:ind w:left="720"/>
            </w:pPr>
            <w:r w:rsidRPr="0039662C">
              <w:t>Cochrane Database of Systematic Reviews</w:t>
            </w:r>
          </w:p>
          <w:p w14:paraId="745E5225" w14:textId="77777777" w:rsidR="00CB393E" w:rsidRDefault="00CB393E" w:rsidP="00005F76">
            <w:pPr>
              <w:pStyle w:val="06Tabletextspacebefore"/>
              <w:ind w:left="720"/>
            </w:pPr>
            <w:r w:rsidRPr="0039662C">
              <w:t>Database of Abstracts of Reviews of Effects</w:t>
            </w:r>
            <w:r>
              <w:t xml:space="preserve"> (Other reviews)</w:t>
            </w:r>
          </w:p>
          <w:p w14:paraId="6182550B" w14:textId="77777777" w:rsidR="00CB393E" w:rsidRDefault="00CB393E" w:rsidP="00005F76">
            <w:pPr>
              <w:pStyle w:val="06Tabletextspacebefore"/>
              <w:ind w:left="720"/>
            </w:pPr>
            <w:r w:rsidRPr="0039662C">
              <w:t>Cochrane Central Register of Controlled Trials</w:t>
            </w:r>
          </w:p>
          <w:p w14:paraId="60056DB9" w14:textId="77777777" w:rsidR="00CB393E" w:rsidRDefault="00CB393E" w:rsidP="00005F76">
            <w:pPr>
              <w:pStyle w:val="06Tabletextspacebefore"/>
              <w:ind w:left="720"/>
            </w:pPr>
            <w:r>
              <w:t>Methods studies</w:t>
            </w:r>
          </w:p>
          <w:p w14:paraId="4B4F2D2B" w14:textId="77777777" w:rsidR="00CB393E" w:rsidRDefault="00CB393E" w:rsidP="00005F76">
            <w:pPr>
              <w:pStyle w:val="06Tabletextspacebefore"/>
              <w:ind w:left="720"/>
            </w:pPr>
            <w:r w:rsidRPr="0039662C">
              <w:t>Health Technology Assessments Database</w:t>
            </w:r>
          </w:p>
          <w:p w14:paraId="3784B818" w14:textId="77777777" w:rsidR="00CB393E" w:rsidRPr="0039662C" w:rsidRDefault="00CB393E" w:rsidP="00005F76">
            <w:pPr>
              <w:pStyle w:val="06Tabletextspacebefore"/>
              <w:ind w:left="720"/>
            </w:pPr>
            <w:r w:rsidRPr="001D420F">
              <w:t xml:space="preserve">NHS </w:t>
            </w:r>
            <w:r>
              <w:t>Economic Evaluation Database</w:t>
            </w:r>
          </w:p>
        </w:tc>
        <w:tc>
          <w:tcPr>
            <w:tcW w:w="852" w:type="dxa"/>
          </w:tcPr>
          <w:p w14:paraId="799732A7" w14:textId="77777777" w:rsidR="00CB393E" w:rsidRDefault="00CB393E" w:rsidP="00005F76">
            <w:pPr>
              <w:pStyle w:val="09Tableright-aligned"/>
            </w:pPr>
          </w:p>
          <w:p w14:paraId="387F2AE0" w14:textId="77777777" w:rsidR="00CB393E" w:rsidRDefault="00CB393E" w:rsidP="00005F76">
            <w:pPr>
              <w:pStyle w:val="09Tableright-aligned"/>
            </w:pPr>
            <w:r>
              <w:t>67</w:t>
            </w:r>
          </w:p>
          <w:p w14:paraId="019CB71C" w14:textId="77777777" w:rsidR="00CB393E" w:rsidRDefault="00CB393E" w:rsidP="00005F76">
            <w:pPr>
              <w:pStyle w:val="09Tableright-aligned"/>
              <w:spacing w:before="60"/>
            </w:pPr>
            <w:r>
              <w:t>19</w:t>
            </w:r>
          </w:p>
          <w:p w14:paraId="74295794" w14:textId="77777777" w:rsidR="00CB393E" w:rsidRDefault="00CB393E" w:rsidP="00005F76">
            <w:pPr>
              <w:pStyle w:val="09Tableright-aligned"/>
              <w:spacing w:before="60"/>
            </w:pPr>
            <w:r>
              <w:t>525</w:t>
            </w:r>
          </w:p>
          <w:p w14:paraId="7111C1A0" w14:textId="77777777" w:rsidR="00CB393E" w:rsidRDefault="00CB393E" w:rsidP="00005F76">
            <w:pPr>
              <w:pStyle w:val="09Tableright-aligned"/>
              <w:spacing w:before="60"/>
            </w:pPr>
            <w:r>
              <w:t>5</w:t>
            </w:r>
          </w:p>
          <w:p w14:paraId="513DFC0D" w14:textId="77777777" w:rsidR="00CB393E" w:rsidRDefault="00CB393E" w:rsidP="00005F76">
            <w:pPr>
              <w:pStyle w:val="09Tableright-aligned"/>
              <w:spacing w:before="60"/>
            </w:pPr>
            <w:r>
              <w:t>3</w:t>
            </w:r>
          </w:p>
          <w:p w14:paraId="51FB7256" w14:textId="77777777" w:rsidR="00CB393E" w:rsidRPr="0039662C" w:rsidRDefault="00CB393E" w:rsidP="00005F76">
            <w:pPr>
              <w:pStyle w:val="09Tableright-aligned"/>
              <w:spacing w:before="60"/>
            </w:pPr>
            <w:r>
              <w:t>25</w:t>
            </w:r>
          </w:p>
        </w:tc>
      </w:tr>
    </w:tbl>
    <w:p w14:paraId="569DB053" w14:textId="77777777" w:rsidR="00CB393E" w:rsidRDefault="00CB393E" w:rsidP="00CB393E">
      <w:pPr>
        <w:pStyle w:val="11Tablefootnoteslast-nostick"/>
      </w:pPr>
    </w:p>
    <w:p w14:paraId="7A823C29" w14:textId="06F5B4A6" w:rsidR="00CB393E" w:rsidRDefault="00B75B3A" w:rsidP="00B75B3A">
      <w:pPr>
        <w:pStyle w:val="Caption"/>
      </w:pPr>
      <w:bookmarkStart w:id="96" w:name="_Ref522874389"/>
      <w:r>
        <w:t>Table A-B.</w:t>
      </w:r>
      <w:r w:rsidR="00FD7087">
        <w:rPr>
          <w:noProof/>
        </w:rPr>
        <w:fldChar w:fldCharType="begin"/>
      </w:r>
      <w:r w:rsidR="00FD7087">
        <w:rPr>
          <w:noProof/>
        </w:rPr>
        <w:instrText xml:space="preserve"> SEQ Table_A-B. \* ARABIC </w:instrText>
      </w:r>
      <w:r w:rsidR="00FD7087">
        <w:rPr>
          <w:noProof/>
        </w:rPr>
        <w:fldChar w:fldCharType="separate"/>
      </w:r>
      <w:r w:rsidR="00906106">
        <w:rPr>
          <w:noProof/>
        </w:rPr>
        <w:t>4</w:t>
      </w:r>
      <w:r w:rsidR="00FD7087">
        <w:rPr>
          <w:noProof/>
        </w:rPr>
        <w:fldChar w:fldCharType="end"/>
      </w:r>
      <w:bookmarkEnd w:id="96"/>
      <w:r w:rsidR="00CB393E">
        <w:tab/>
        <w:t>Health Systems Evidence search strategy for studies relevant to Medication Management Review services</w:t>
      </w:r>
    </w:p>
    <w:tbl>
      <w:tblPr>
        <w:tblStyle w:val="TableGrid"/>
        <w:tblW w:w="0" w:type="auto"/>
        <w:tblLook w:val="04A0" w:firstRow="1" w:lastRow="0" w:firstColumn="1" w:lastColumn="0" w:noHBand="0" w:noVBand="1"/>
        <w:tblCaption w:val="Table A-B.4"/>
        <w:tblDescription w:val="Health Systems Evidence search strategy for studies relevant to Medication Management Review services"/>
      </w:tblPr>
      <w:tblGrid>
        <w:gridCol w:w="1271"/>
        <w:gridCol w:w="6662"/>
        <w:gridCol w:w="1695"/>
      </w:tblGrid>
      <w:tr w:rsidR="00CB393E" w14:paraId="473C8887" w14:textId="77777777" w:rsidTr="00005F76">
        <w:trPr>
          <w:cnfStyle w:val="100000000000" w:firstRow="1" w:lastRow="0" w:firstColumn="0" w:lastColumn="0" w:oddVBand="0" w:evenVBand="0" w:oddHBand="0" w:evenHBand="0" w:firstRowFirstColumn="0" w:firstRowLastColumn="0" w:lastRowFirstColumn="0" w:lastRowLastColumn="0"/>
        </w:trPr>
        <w:tc>
          <w:tcPr>
            <w:tcW w:w="1271" w:type="dxa"/>
          </w:tcPr>
          <w:p w14:paraId="714AF331" w14:textId="77777777" w:rsidR="00CB393E" w:rsidRDefault="00CB393E" w:rsidP="00005F76">
            <w:pPr>
              <w:pStyle w:val="01Tableheaderrowleftaligned"/>
            </w:pPr>
            <w:r>
              <w:t>Item</w:t>
            </w:r>
          </w:p>
        </w:tc>
        <w:tc>
          <w:tcPr>
            <w:tcW w:w="6662" w:type="dxa"/>
          </w:tcPr>
          <w:p w14:paraId="63609A35" w14:textId="77777777" w:rsidR="00CB393E" w:rsidRDefault="00CB393E" w:rsidP="00005F76">
            <w:pPr>
              <w:pStyle w:val="01Tableheaderrowleftaligned"/>
            </w:pPr>
            <w:r>
              <w:t>Search strategy for Health Systems Evidence database (3 January 2017)</w:t>
            </w:r>
          </w:p>
        </w:tc>
        <w:tc>
          <w:tcPr>
            <w:tcW w:w="1695" w:type="dxa"/>
          </w:tcPr>
          <w:p w14:paraId="0C08C364" w14:textId="77777777" w:rsidR="00CB393E" w:rsidRDefault="00CB393E" w:rsidP="00005F76">
            <w:pPr>
              <w:pStyle w:val="01Tableheaderrowleftaligned"/>
            </w:pPr>
          </w:p>
        </w:tc>
      </w:tr>
      <w:tr w:rsidR="00CB393E" w14:paraId="4C2E9870" w14:textId="77777777" w:rsidTr="00005F76">
        <w:tc>
          <w:tcPr>
            <w:tcW w:w="1271" w:type="dxa"/>
          </w:tcPr>
          <w:p w14:paraId="784E7B88" w14:textId="77777777" w:rsidR="00CB393E" w:rsidRDefault="00CB393E" w:rsidP="00005F76">
            <w:pPr>
              <w:pStyle w:val="05Tabletext"/>
            </w:pPr>
            <w:r>
              <w:t>Search terms</w:t>
            </w:r>
          </w:p>
        </w:tc>
        <w:tc>
          <w:tcPr>
            <w:tcW w:w="6662" w:type="dxa"/>
          </w:tcPr>
          <w:p w14:paraId="75E5FE19" w14:textId="77777777" w:rsidR="00CB393E" w:rsidRDefault="00CB393E" w:rsidP="00005F76">
            <w:pPr>
              <w:pStyle w:val="05Tabletext"/>
            </w:pPr>
            <w:r w:rsidRPr="00742DD2">
              <w:t>'medicine review' OR 'medicines review' OR 'medication review' OR 'medication management'</w:t>
            </w:r>
          </w:p>
        </w:tc>
        <w:tc>
          <w:tcPr>
            <w:tcW w:w="1695" w:type="dxa"/>
          </w:tcPr>
          <w:p w14:paraId="1352024A" w14:textId="77777777" w:rsidR="00CB393E" w:rsidRDefault="00CB393E" w:rsidP="00005F76">
            <w:pPr>
              <w:pStyle w:val="09Tableright-aligned"/>
            </w:pPr>
            <w:r>
              <w:t>2116</w:t>
            </w:r>
          </w:p>
        </w:tc>
      </w:tr>
      <w:tr w:rsidR="00CB393E" w14:paraId="5370D8B2" w14:textId="77777777" w:rsidTr="00005F76">
        <w:trPr>
          <w:cnfStyle w:val="000000010000" w:firstRow="0" w:lastRow="0" w:firstColumn="0" w:lastColumn="0" w:oddVBand="0" w:evenVBand="0" w:oddHBand="0" w:evenHBand="1" w:firstRowFirstColumn="0" w:firstRowLastColumn="0" w:lastRowFirstColumn="0" w:lastRowLastColumn="0"/>
        </w:trPr>
        <w:tc>
          <w:tcPr>
            <w:tcW w:w="1271" w:type="dxa"/>
          </w:tcPr>
          <w:p w14:paraId="329AEC6F" w14:textId="77777777" w:rsidR="00CB393E" w:rsidRDefault="00CB393E" w:rsidP="00005F76">
            <w:pPr>
              <w:pStyle w:val="05Tabletext"/>
            </w:pPr>
            <w:r>
              <w:t>Filter</w:t>
            </w:r>
          </w:p>
        </w:tc>
        <w:tc>
          <w:tcPr>
            <w:tcW w:w="6662" w:type="dxa"/>
          </w:tcPr>
          <w:p w14:paraId="7C6D3FCD" w14:textId="77777777" w:rsidR="00CB393E" w:rsidRDefault="00CB393E" w:rsidP="00005F76">
            <w:pPr>
              <w:pStyle w:val="05Tabletext"/>
            </w:pPr>
            <w:r>
              <w:t>Provider = pharmacist</w:t>
            </w:r>
          </w:p>
        </w:tc>
        <w:tc>
          <w:tcPr>
            <w:tcW w:w="1695" w:type="dxa"/>
          </w:tcPr>
          <w:p w14:paraId="0635A7BE" w14:textId="77777777" w:rsidR="00CB393E" w:rsidRDefault="00CB393E" w:rsidP="00005F76">
            <w:pPr>
              <w:pStyle w:val="09Tableright-aligned"/>
            </w:pPr>
            <w:r>
              <w:t>373</w:t>
            </w:r>
          </w:p>
        </w:tc>
      </w:tr>
    </w:tbl>
    <w:p w14:paraId="556DDEA0" w14:textId="77777777" w:rsidR="00CB393E" w:rsidRPr="00CB393E" w:rsidRDefault="00CB393E" w:rsidP="00906106">
      <w:pPr>
        <w:pStyle w:val="BodyText"/>
      </w:pPr>
    </w:p>
    <w:sectPr w:rsidR="00CB393E" w:rsidRPr="00CB393E" w:rsidSect="004F1584">
      <w:headerReference w:type="default" r:id="rId47"/>
      <w:pgSz w:w="11906" w:h="16838" w:code="9"/>
      <w:pgMar w:top="1134" w:right="1134" w:bottom="1134" w:left="1134" w:header="68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E6000" w14:textId="77777777" w:rsidR="00012B8A" w:rsidRDefault="00012B8A" w:rsidP="00902F39">
      <w:pPr>
        <w:spacing w:after="0"/>
      </w:pPr>
      <w:r>
        <w:separator/>
      </w:r>
    </w:p>
    <w:p w14:paraId="339593DA" w14:textId="77777777" w:rsidR="00012B8A" w:rsidRDefault="00012B8A"/>
    <w:p w14:paraId="0C55E059" w14:textId="77777777" w:rsidR="00012B8A" w:rsidRDefault="00012B8A"/>
  </w:endnote>
  <w:endnote w:type="continuationSeparator" w:id="0">
    <w:p w14:paraId="095BFE00" w14:textId="77777777" w:rsidR="00012B8A" w:rsidRDefault="00012B8A" w:rsidP="00902F39">
      <w:pPr>
        <w:spacing w:after="0"/>
      </w:pPr>
      <w:r>
        <w:continuationSeparator/>
      </w:r>
    </w:p>
    <w:p w14:paraId="292C0025" w14:textId="77777777" w:rsidR="00012B8A" w:rsidRDefault="00012B8A"/>
    <w:p w14:paraId="180E637C" w14:textId="77777777" w:rsidR="00012B8A" w:rsidRDefault="00012B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D303" w14:textId="77777777" w:rsidR="00012B8A" w:rsidRDefault="0001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E344" w14:textId="77777777" w:rsidR="00012B8A" w:rsidRPr="004A17E7" w:rsidRDefault="00012B8A" w:rsidP="00BC7538">
    <w:pPr>
      <w:pStyle w:val="Footer"/>
      <w:rPr>
        <w:rFonts w:ascii="Century Schoolbook" w:hAnsi="Century Schoolbook"/>
        <w:sz w:val="16"/>
        <w:szCs w:val="16"/>
      </w:rPr>
    </w:pPr>
    <w:r w:rsidRPr="004A17E7">
      <w:rPr>
        <w:rFonts w:ascii="Century Schoolbook" w:hAnsi="Century Schoolbook"/>
        <w:sz w:val="16"/>
        <w:szCs w:val="16"/>
      </w:rPr>
      <w:t>[Insert client name]</w:t>
    </w:r>
    <w:r w:rsidRPr="004A17E7">
      <w:rPr>
        <w:rFonts w:ascii="Century Schoolbook" w:hAnsi="Century Schoolbook"/>
        <w:sz w:val="16"/>
        <w:szCs w:val="16"/>
      </w:rPr>
      <w:tab/>
      <w:t xml:space="preserve">Page </w:t>
    </w:r>
    <w:r w:rsidRPr="004A17E7">
      <w:rPr>
        <w:rFonts w:ascii="Century Schoolbook" w:hAnsi="Century Schoolbook"/>
        <w:sz w:val="16"/>
        <w:szCs w:val="16"/>
      </w:rPr>
      <w:fldChar w:fldCharType="begin"/>
    </w:r>
    <w:r w:rsidRPr="004A17E7">
      <w:rPr>
        <w:rFonts w:ascii="Century Schoolbook" w:hAnsi="Century Schoolbook"/>
        <w:sz w:val="16"/>
        <w:szCs w:val="16"/>
      </w:rPr>
      <w:instrText xml:space="preserve"> PAGE   \* MERGEFORMAT </w:instrText>
    </w:r>
    <w:r w:rsidRPr="004A17E7">
      <w:rPr>
        <w:rFonts w:ascii="Century Schoolbook" w:hAnsi="Century Schoolbook"/>
        <w:sz w:val="16"/>
        <w:szCs w:val="16"/>
      </w:rPr>
      <w:fldChar w:fldCharType="separate"/>
    </w:r>
    <w:r w:rsidRPr="00FB7E57">
      <w:rPr>
        <w:noProof/>
      </w:rPr>
      <w:t>2</w:t>
    </w:r>
    <w:r w:rsidRPr="004A17E7">
      <w:rPr>
        <w:rFonts w:ascii="Century Schoolbook" w:hAnsi="Century Schoolbook"/>
        <w:noProof/>
        <w:sz w:val="16"/>
        <w:szCs w:val="16"/>
      </w:rPr>
      <w:fldChar w:fldCharType="end"/>
    </w:r>
  </w:p>
  <w:p w14:paraId="45A583A4" w14:textId="77777777" w:rsidR="00012B8A" w:rsidRPr="004A17E7" w:rsidRDefault="00012B8A" w:rsidP="003654D4">
    <w:pPr>
      <w:pStyle w:val="Footer"/>
      <w:rPr>
        <w:rFonts w:ascii="Century Schoolbook" w:hAnsi="Century Schoolbook"/>
      </w:rPr>
    </w:pPr>
    <w:r w:rsidRPr="004A17E7">
      <w:rPr>
        <w:rFonts w:ascii="Century Schoolbook" w:hAnsi="Century Schoolbook"/>
      </w:rPr>
      <w:t>[Insert project name]</w:t>
    </w:r>
  </w:p>
  <w:p w14:paraId="79B7FF8B" w14:textId="77777777" w:rsidR="00012B8A" w:rsidRPr="004A17E7" w:rsidRDefault="00012B8A" w:rsidP="003654D4">
    <w:pPr>
      <w:pStyle w:val="Footer"/>
      <w:rPr>
        <w:rFonts w:ascii="Century Schoolbook" w:hAnsi="Century Schoolbook"/>
      </w:rPr>
    </w:pPr>
    <w:r w:rsidRPr="004A17E7">
      <w:rPr>
        <w:rFonts w:ascii="Century Schoolbook" w:hAnsi="Century Schoolbook"/>
      </w:rPr>
      <w:t>[Insert document name]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C947C" w14:textId="77777777" w:rsidR="00012B8A" w:rsidRDefault="00012B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B1F6" w14:textId="77777777" w:rsidR="00012B8A" w:rsidRPr="00E32EA6" w:rsidRDefault="00012B8A" w:rsidP="00CA5C98">
    <w:pPr>
      <w:pStyle w:val="Footer"/>
      <w:pBdr>
        <w:top w:val="none" w:sz="0" w:space="0" w:color="auto"/>
      </w:pBd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48B6" w14:textId="44BC2209" w:rsidR="00012B8A" w:rsidRPr="00C43084" w:rsidRDefault="00012B8A" w:rsidP="00BA126A">
    <w:pPr>
      <w:pStyle w:val="Footer"/>
      <w:rPr>
        <w:sz w:val="16"/>
        <w:szCs w:val="16"/>
      </w:rPr>
    </w:pPr>
    <w:r w:rsidRPr="00C43084">
      <w:rPr>
        <w:sz w:val="16"/>
        <w:szCs w:val="16"/>
      </w:rPr>
      <w:t>Department of Health</w:t>
    </w:r>
    <w:r w:rsidRPr="00C43084">
      <w:rPr>
        <w:sz w:val="16"/>
        <w:szCs w:val="16"/>
      </w:rPr>
      <w:tab/>
    </w:r>
    <w:r>
      <w:rPr>
        <w:sz w:val="16"/>
        <w:szCs w:val="16"/>
      </w:rPr>
      <w:t>Page</w:t>
    </w:r>
    <w:r w:rsidRPr="007A61E1">
      <w:rPr>
        <w:sz w:val="16"/>
        <w:szCs w:val="16"/>
      </w:rPr>
      <w:t xml:space="preserve"> </w:t>
    </w:r>
    <w:r w:rsidRPr="007A61E1">
      <w:rPr>
        <w:sz w:val="16"/>
        <w:szCs w:val="16"/>
      </w:rPr>
      <w:fldChar w:fldCharType="begin"/>
    </w:r>
    <w:r w:rsidRPr="007A61E1">
      <w:rPr>
        <w:sz w:val="16"/>
        <w:szCs w:val="16"/>
      </w:rPr>
      <w:instrText xml:space="preserve"> PAGE   \* MERGEFORMAT </w:instrText>
    </w:r>
    <w:r w:rsidRPr="007A61E1">
      <w:rPr>
        <w:sz w:val="16"/>
        <w:szCs w:val="16"/>
      </w:rPr>
      <w:fldChar w:fldCharType="separate"/>
    </w:r>
    <w:r w:rsidR="0032665F">
      <w:rPr>
        <w:noProof/>
        <w:sz w:val="16"/>
        <w:szCs w:val="16"/>
      </w:rPr>
      <w:t>67</w:t>
    </w:r>
    <w:r w:rsidRPr="007A61E1">
      <w:rPr>
        <w:noProof/>
        <w:sz w:val="16"/>
        <w:szCs w:val="16"/>
      </w:rPr>
      <w:fldChar w:fldCharType="end"/>
    </w:r>
  </w:p>
  <w:p w14:paraId="08F167E1" w14:textId="6D4A94B4" w:rsidR="00012B8A" w:rsidRDefault="00012B8A" w:rsidP="00BA126A">
    <w:pPr>
      <w:pStyle w:val="Footer"/>
      <w:rPr>
        <w:sz w:val="16"/>
        <w:szCs w:val="16"/>
      </w:rPr>
    </w:pPr>
    <w:r w:rsidRPr="00C43084">
      <w:rPr>
        <w:sz w:val="16"/>
        <w:szCs w:val="16"/>
      </w:rPr>
      <w:t>Evaluation of 6CPA Medication Managemen</w:t>
    </w:r>
    <w:r>
      <w:rPr>
        <w:sz w:val="16"/>
        <w:szCs w:val="16"/>
      </w:rPr>
      <w:t>t Programs: MedsCheck and Diabetes MedsCheck programs</w:t>
    </w:r>
  </w:p>
  <w:p w14:paraId="7117EC1E" w14:textId="7F9F1AE2" w:rsidR="00012B8A" w:rsidRPr="00BA126A" w:rsidRDefault="00012B8A" w:rsidP="00BA126A">
    <w:pPr>
      <w:pStyle w:val="Footer"/>
    </w:pPr>
    <w:r>
      <w:rPr>
        <w:sz w:val="16"/>
        <w:szCs w:val="16"/>
      </w:rPr>
      <w:t>Final Evaluation Report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FA8E" w14:textId="77777777" w:rsidR="00012B8A" w:rsidRDefault="00012B8A" w:rsidP="006708D4">
      <w:pPr>
        <w:spacing w:after="0"/>
      </w:pPr>
      <w:r>
        <w:separator/>
      </w:r>
    </w:p>
  </w:footnote>
  <w:footnote w:type="continuationSeparator" w:id="0">
    <w:p w14:paraId="5CAA96AD" w14:textId="77777777" w:rsidR="00012B8A" w:rsidRDefault="00012B8A" w:rsidP="00902F39">
      <w:pPr>
        <w:spacing w:after="0"/>
      </w:pPr>
      <w:r>
        <w:continuationSeparator/>
      </w:r>
    </w:p>
    <w:p w14:paraId="17634391" w14:textId="77777777" w:rsidR="00012B8A" w:rsidRDefault="00012B8A"/>
    <w:p w14:paraId="5623C78C" w14:textId="77777777" w:rsidR="00012B8A" w:rsidRDefault="00012B8A"/>
  </w:footnote>
  <w:footnote w:id="1">
    <w:p w14:paraId="22526D8E" w14:textId="77777777" w:rsidR="00012B8A" w:rsidRPr="006E05E0" w:rsidRDefault="00012B8A" w:rsidP="00946F21">
      <w:pPr>
        <w:pStyle w:val="FootnoteText"/>
      </w:pPr>
      <w:r w:rsidRPr="006E05E0">
        <w:rPr>
          <w:rStyle w:val="FootnoteReference"/>
        </w:rPr>
        <w:footnoteRef/>
      </w:r>
      <w:r w:rsidRPr="006E05E0">
        <w:t xml:space="preserve"> </w:t>
      </w:r>
      <w:r w:rsidRPr="006E05E0">
        <w:rPr>
          <w:rFonts w:cs="Arial"/>
        </w:rPr>
        <w:t>Claiming and payment [Internet]. 2015. [cited 2017 Feb 15]. Available from: http://6cpa.com.au/medication-management-programmes/medscheck-diabetes-medscheck/</w:t>
      </w:r>
    </w:p>
  </w:footnote>
  <w:footnote w:id="2">
    <w:p w14:paraId="60CCFEFD" w14:textId="77777777" w:rsidR="00012B8A" w:rsidRPr="006E05E0" w:rsidRDefault="00012B8A">
      <w:pPr>
        <w:pStyle w:val="FootnoteText"/>
      </w:pPr>
      <w:r w:rsidRPr="006E05E0">
        <w:rPr>
          <w:rStyle w:val="FootnoteReference"/>
        </w:rPr>
        <w:footnoteRef/>
      </w:r>
      <w:r w:rsidRPr="006E05E0">
        <w:t xml:space="preserve"> </w:t>
      </w:r>
      <w:r w:rsidRPr="006E05E0">
        <w:rPr>
          <w:rFonts w:cs="Arial"/>
        </w:rPr>
        <w:t>Claiming and payment [Internet]. 2015. [cited 2017 Feb 15]. Available from: http://6cpa.com.au/medication-management-programmes/medscheck-diabetes-medscheck/</w:t>
      </w:r>
    </w:p>
  </w:footnote>
  <w:footnote w:id="3">
    <w:p w14:paraId="449B77FA" w14:textId="77777777" w:rsidR="00012B8A" w:rsidRDefault="00012B8A" w:rsidP="00F5001A">
      <w:pPr>
        <w:pStyle w:val="FootnoteText"/>
      </w:pPr>
      <w:r>
        <w:rPr>
          <w:rStyle w:val="FootnoteReference"/>
        </w:rPr>
        <w:footnoteRef/>
      </w:r>
      <w:r>
        <w:t xml:space="preserve"> ABS postcode to remoteness.xls available from </w:t>
      </w:r>
      <w:r w:rsidRPr="00642134">
        <w:rPr>
          <w:color w:val="FF0000"/>
        </w:rPr>
        <w:t xml:space="preserve"> </w:t>
      </w:r>
      <w:hyperlink r:id="rId1" w:history="1">
        <w:r w:rsidRPr="00BE035D">
          <w:rPr>
            <w:rStyle w:val="Hyperlink"/>
          </w:rPr>
          <w:t>http://www.abs.gov.au/AUSSTATS/abs@.nsf/DetailsPage/1270.0.55.006July%202011?OpenDocument</w:t>
        </w:r>
      </w:hyperlink>
      <w:r w:rsidRPr="009E11B9">
        <w:rPr>
          <w:color w:val="000000" w:themeColor="text1"/>
        </w:rPr>
        <w:t xml:space="preserve">  </w:t>
      </w:r>
      <w:r>
        <w:rPr>
          <w:color w:val="000000" w:themeColor="text1"/>
        </w:rPr>
        <w:t>(</w:t>
      </w:r>
      <w:r w:rsidRPr="009E11B9">
        <w:rPr>
          <w:color w:val="000000" w:themeColor="text1"/>
        </w:rPr>
        <w:t>accessed 5</w:t>
      </w:r>
      <w:r w:rsidRPr="009E11B9">
        <w:rPr>
          <w:color w:val="000000" w:themeColor="text1"/>
          <w:vertAlign w:val="superscript"/>
        </w:rPr>
        <w:t>th</w:t>
      </w:r>
      <w:r w:rsidRPr="009E11B9">
        <w:rPr>
          <w:color w:val="000000" w:themeColor="text1"/>
        </w:rPr>
        <w:t xml:space="preserve"> October, 2016)</w:t>
      </w:r>
    </w:p>
  </w:footnote>
  <w:footnote w:id="4">
    <w:p w14:paraId="335F221A" w14:textId="77777777" w:rsidR="00012B8A" w:rsidRDefault="00012B8A">
      <w:pPr>
        <w:pStyle w:val="FootnoteText"/>
      </w:pPr>
      <w:r>
        <w:rPr>
          <w:rStyle w:val="FootnoteReference"/>
        </w:rPr>
        <w:footnoteRef/>
      </w:r>
      <w:r>
        <w:t xml:space="preserve"> It is possible that there was some bias in the patient survey results because respondents to the Patient Survey were more likely to be healthier as sick people may have been less likely to respond to the survey. This cohort may therefore have included individuals who were more compliant with their medication.  </w:t>
      </w:r>
    </w:p>
  </w:footnote>
  <w:footnote w:id="5">
    <w:p w14:paraId="63AC1264" w14:textId="77777777" w:rsidR="00012B8A" w:rsidRDefault="00012B8A">
      <w:pPr>
        <w:pStyle w:val="FootnoteText"/>
      </w:pPr>
      <w:r>
        <w:rPr>
          <w:rStyle w:val="FootnoteReference"/>
        </w:rPr>
        <w:footnoteRef/>
      </w:r>
      <w:r>
        <w:t xml:space="preserve"> </w:t>
      </w:r>
      <w:r>
        <w:rPr>
          <w:sz w:val="18"/>
          <w:szCs w:val="18"/>
        </w:rPr>
        <w:t>There were 5,229 pharmacies in Australia on 4</w:t>
      </w:r>
      <w:r>
        <w:rPr>
          <w:sz w:val="12"/>
          <w:szCs w:val="12"/>
        </w:rPr>
        <w:t xml:space="preserve"> </w:t>
      </w:r>
      <w:r>
        <w:rPr>
          <w:sz w:val="18"/>
          <w:szCs w:val="18"/>
        </w:rPr>
        <w:t xml:space="preserve">November 2011 with Section 90 approval numbers, data supplied by the Department. </w:t>
      </w:r>
    </w:p>
  </w:footnote>
  <w:footnote w:id="6">
    <w:p w14:paraId="5008EF5F" w14:textId="77777777" w:rsidR="00012B8A" w:rsidRDefault="00012B8A">
      <w:pPr>
        <w:pStyle w:val="FootnoteText"/>
      </w:pPr>
      <w:r w:rsidRPr="00D458FE">
        <w:rPr>
          <w:rStyle w:val="FootnoteReference"/>
          <w:vertAlign w:val="baseline"/>
        </w:rPr>
        <w:footnoteRef/>
      </w:r>
      <w:r>
        <w:t>-</w:t>
      </w:r>
      <w:r w:rsidRPr="00D458FE">
        <w:t>P</w:t>
      </w:r>
      <w:r w:rsidRPr="008E4F24">
        <w:rPr>
          <w:rStyle w:val="FootnoteReference"/>
          <w:vertAlign w:val="baseline"/>
        </w:rPr>
        <w:t>ricewaterho</w:t>
      </w:r>
      <w:r w:rsidRPr="008D241F">
        <w:t>useCoopers. Combined Review of Fifth Community Pharmacy Agreement Medication Management Programmes: Final Report; 2015.</w:t>
      </w:r>
    </w:p>
  </w:footnote>
  <w:footnote w:id="7">
    <w:p w14:paraId="01D3EC5A" w14:textId="77777777" w:rsidR="00012B8A" w:rsidRDefault="00012B8A" w:rsidP="00D2714A">
      <w:pPr>
        <w:pStyle w:val="FootnoteText"/>
      </w:pPr>
      <w:r w:rsidRPr="002A752F">
        <w:rPr>
          <w:rStyle w:val="FootnoteReference"/>
          <w:vertAlign w:val="baseline"/>
        </w:rPr>
        <w:footnoteRef/>
      </w:r>
      <w:r>
        <w:t>-The distribution of participants who received HMR and MedsCheck/Diabetes MedsCheck services in the consumer survey was comparable to the distribution of participants who received similar services in our analyses of programme data. Further, responses of participants who accessed HMR or MedsCheck were nearly identical in their distribution; therefore, the results discussed in this chapter refer to the aggregated or overall result for all participants (unless stated otherwise).</w:t>
      </w:r>
    </w:p>
  </w:footnote>
  <w:footnote w:id="8">
    <w:p w14:paraId="3A1EEE32" w14:textId="77777777" w:rsidR="00012B8A" w:rsidRDefault="00012B8A" w:rsidP="0074316C">
      <w:pPr>
        <w:pStyle w:val="FootnoteText"/>
      </w:pPr>
      <w:r>
        <w:rPr>
          <w:rStyle w:val="FootnoteReference"/>
        </w:rPr>
        <w:footnoteRef/>
      </w:r>
      <w:r>
        <w:t xml:space="preserve"> Note: The</w:t>
      </w:r>
      <w:r w:rsidRPr="00A31DDB">
        <w:t xml:space="preserve"> analysis is conducted using claims and accepted data and excludes rejected data.</w:t>
      </w:r>
    </w:p>
  </w:footnote>
  <w:footnote w:id="9">
    <w:p w14:paraId="4FA4C22B" w14:textId="77777777" w:rsidR="00012B8A" w:rsidRDefault="00012B8A" w:rsidP="0074316C">
      <w:pPr>
        <w:pStyle w:val="FootnoteText"/>
      </w:pPr>
      <w:r>
        <w:rPr>
          <w:rStyle w:val="FootnoteReference"/>
        </w:rPr>
        <w:footnoteRef/>
      </w:r>
      <w:r>
        <w:t xml:space="preserve"> 15</w:t>
      </w:r>
      <w:r w:rsidRPr="00D62198">
        <w:t xml:space="preserve"> co</w:t>
      </w:r>
      <w:r>
        <w:t>nsumers participated in the MedsCheck</w:t>
      </w:r>
      <w:r w:rsidRPr="00D62198">
        <w:t xml:space="preserve"> consumer focus group</w:t>
      </w:r>
      <w:r>
        <w:t>s</w:t>
      </w:r>
      <w:r w:rsidRPr="00D62198">
        <w:t>.</w:t>
      </w:r>
    </w:p>
  </w:footnote>
  <w:footnote w:id="10">
    <w:p w14:paraId="2B4FC682" w14:textId="77777777" w:rsidR="00012B8A" w:rsidRPr="00063D2A" w:rsidRDefault="00012B8A" w:rsidP="006B010E">
      <w:pPr>
        <w:pStyle w:val="FootnoteText"/>
      </w:pPr>
      <w:r>
        <w:rPr>
          <w:rStyle w:val="FootnoteReference"/>
        </w:rPr>
        <w:footnoteRef/>
      </w:r>
      <w:r>
        <w:t xml:space="preserve"> The authors classified medications as high risk (central nervous system) to include benzodiazepines, antidepressants, anticonvulsants, sedative hypnotics, opioid analgesics, antipsychotics, and skeletal muscle relaxants. </w:t>
      </w:r>
    </w:p>
  </w:footnote>
  <w:footnote w:id="11">
    <w:p w14:paraId="2E7F2A6A" w14:textId="77777777" w:rsidR="00012B8A" w:rsidRPr="00677F72" w:rsidRDefault="00012B8A" w:rsidP="006B010E">
      <w:pPr>
        <w:pStyle w:val="FootnoteText"/>
      </w:pPr>
      <w:r>
        <w:rPr>
          <w:rStyle w:val="FootnoteReference"/>
        </w:rPr>
        <w:footnoteRef/>
      </w:r>
      <w:r>
        <w:t xml:space="preserve"> These costs were calculated by dividing the costs per group of the medication-related hospital admissions by the number of patients per group in the main study (intervention group 688; control group 715).</w:t>
      </w:r>
    </w:p>
  </w:footnote>
  <w:footnote w:id="12">
    <w:p w14:paraId="5F8AFF65" w14:textId="77777777" w:rsidR="00012B8A" w:rsidRPr="00F86105" w:rsidRDefault="00012B8A" w:rsidP="006B010E">
      <w:pPr>
        <w:pStyle w:val="FootnoteText"/>
      </w:pPr>
      <w:r>
        <w:rPr>
          <w:rStyle w:val="FootnoteReference"/>
        </w:rPr>
        <w:footnoteRef/>
      </w:r>
      <w:r>
        <w:t xml:space="preserve"> The study by Ocampo et al (2015) defined negative outcomes related to medicines as uncontrolled health problems due to drug use or non-use. According to the authors, this outcome measure is not equivalent to drug-related problems. DRPs are defined as “an event or circumstance involving drug therapy that actually or potentially interferes with desired health outcomes”.</w:t>
      </w:r>
      <w:r w:rsidRPr="00F86105">
        <w:t xml:space="preserve"> Each detected DRP </w:t>
      </w:r>
      <w:r>
        <w:t>identified by the</w:t>
      </w:r>
      <w:r w:rsidRPr="00F86105">
        <w:t xml:space="preserve"> community</w:t>
      </w:r>
      <w:r>
        <w:t xml:space="preserve"> pharmacist were analysed and classified according to their possible negative clinical outcomes.</w:t>
      </w:r>
    </w:p>
  </w:footnote>
  <w:footnote w:id="13">
    <w:p w14:paraId="7274AC31" w14:textId="77777777" w:rsidR="00012B8A" w:rsidRPr="002B226A" w:rsidRDefault="00012B8A" w:rsidP="006B010E">
      <w:pPr>
        <w:pStyle w:val="FootnoteText"/>
      </w:pPr>
      <w:r>
        <w:rPr>
          <w:rStyle w:val="FootnoteReference"/>
        </w:rPr>
        <w:footnoteRef/>
      </w:r>
      <w:r>
        <w:t xml:space="preserve"> Pharmacists and pharmaconomists</w:t>
      </w:r>
      <w:r w:rsidRPr="002B226A">
        <w:t xml:space="preserve"> are two different professional groups with pharmaceutical education in Denmark</w:t>
      </w:r>
      <w:r>
        <w:t>.  Pharmaconomists are with a three-year higher tertiary education whereas pharmacists are with a five-year higher tertiary education.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202B" w14:textId="77777777" w:rsidR="00012B8A" w:rsidRDefault="00012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3633" w14:textId="77777777" w:rsidR="00012B8A" w:rsidRPr="004A17E7" w:rsidRDefault="00012B8A" w:rsidP="003654D4">
    <w:pPr>
      <w:pStyle w:val="Header"/>
      <w:tabs>
        <w:tab w:val="clear" w:pos="4513"/>
        <w:tab w:val="clear" w:pos="9026"/>
        <w:tab w:val="left" w:pos="2160"/>
      </w:tabs>
      <w:spacing w:after="120"/>
      <w:rPr>
        <w:rFonts w:ascii="Century Schoolbook" w:hAnsi="Century Schoolbook" w:cs="Tahoma"/>
        <w:sz w:val="18"/>
        <w:szCs w:val="18"/>
      </w:rPr>
    </w:pPr>
    <w:r w:rsidRPr="004A17E7">
      <w:rPr>
        <w:rFonts w:ascii="Century Schoolbook" w:hAnsi="Century Schoolbook" w:cs="Tahoma"/>
        <w:sz w:val="18"/>
        <w:szCs w:val="18"/>
      </w:rPr>
      <w:t>HealthConsult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75435" w14:textId="77777777" w:rsidR="00012B8A" w:rsidRDefault="00012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72112" w14:textId="77777777" w:rsidR="00012B8A" w:rsidRPr="00E32EA6" w:rsidRDefault="00012B8A" w:rsidP="00CA5C98">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57406" w14:textId="77777777" w:rsidR="00012B8A" w:rsidRPr="008A1C9C" w:rsidRDefault="00012B8A" w:rsidP="00393612">
    <w:pPr>
      <w:pStyle w:val="Header"/>
      <w:spacing w:after="120"/>
      <w:rPr>
        <w:b w:val="0"/>
        <w:szCs w:val="20"/>
      </w:rPr>
    </w:pPr>
    <w:r w:rsidRPr="008A1C9C">
      <w:rPr>
        <w:szCs w:val="20"/>
      </w:rPr>
      <w:t>HealthConsult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D7188" w14:textId="77777777" w:rsidR="00012B8A" w:rsidRPr="00E17050" w:rsidRDefault="00012B8A" w:rsidP="00393612">
    <w:pPr>
      <w:pStyle w:val="Header"/>
      <w:spacing w:after="120"/>
      <w:rPr>
        <w:b w:val="0"/>
      </w:rPr>
    </w:pPr>
    <w:r w:rsidRPr="00392DEA">
      <w:rPr>
        <w:sz w:val="24"/>
        <w:szCs w:val="24"/>
      </w:rPr>
      <w:t>HealthConsult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27F6" w14:textId="77777777" w:rsidR="00012B8A" w:rsidRPr="00E17050" w:rsidRDefault="00012B8A" w:rsidP="00393612">
    <w:pPr>
      <w:pStyle w:val="Header"/>
      <w:spacing w:after="120"/>
      <w:rPr>
        <w:b w:val="0"/>
      </w:rPr>
    </w:pPr>
    <w:r w:rsidRPr="00392DEA">
      <w:rPr>
        <w:sz w:val="24"/>
        <w:szCs w:val="24"/>
      </w:rPr>
      <w:t>HealthConsult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482"/>
    <w:multiLevelType w:val="hybridMultilevel"/>
    <w:tmpl w:val="ED44FCB2"/>
    <w:lvl w:ilvl="0" w:tplc="FFC6DE9E">
      <w:start w:val="1"/>
      <w:numFmt w:val="bullet"/>
      <w:pStyle w:val="08Bulletsseriesofsentenc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7477D"/>
    <w:multiLevelType w:val="hybridMultilevel"/>
    <w:tmpl w:val="8BBAE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E1A7F"/>
    <w:multiLevelType w:val="hybridMultilevel"/>
    <w:tmpl w:val="8996D8FA"/>
    <w:lvl w:ilvl="0" w:tplc="99C6B810">
      <w:start w:val="1"/>
      <w:numFmt w:val="bullet"/>
      <w:pStyle w:val="FindingsRecommendationswith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33332B4"/>
    <w:multiLevelType w:val="hybridMultilevel"/>
    <w:tmpl w:val="AF18A478"/>
    <w:lvl w:ilvl="0" w:tplc="0C090001">
      <w:start w:val="1"/>
      <w:numFmt w:val="bullet"/>
      <w:lvlText w:val=""/>
      <w:lvlJc w:val="left"/>
      <w:pPr>
        <w:ind w:left="683" w:hanging="360"/>
      </w:pPr>
      <w:rPr>
        <w:rFonts w:ascii="Symbol" w:hAnsi="Symbol" w:hint="default"/>
      </w:rPr>
    </w:lvl>
    <w:lvl w:ilvl="1" w:tplc="0C090003" w:tentative="1">
      <w:start w:val="1"/>
      <w:numFmt w:val="bullet"/>
      <w:lvlText w:val="o"/>
      <w:lvlJc w:val="left"/>
      <w:pPr>
        <w:ind w:left="1403" w:hanging="360"/>
      </w:pPr>
      <w:rPr>
        <w:rFonts w:ascii="Courier New" w:hAnsi="Courier New" w:cs="Courier New" w:hint="default"/>
      </w:rPr>
    </w:lvl>
    <w:lvl w:ilvl="2" w:tplc="0C090005" w:tentative="1">
      <w:start w:val="1"/>
      <w:numFmt w:val="bullet"/>
      <w:lvlText w:val=""/>
      <w:lvlJc w:val="left"/>
      <w:pPr>
        <w:ind w:left="2123" w:hanging="360"/>
      </w:pPr>
      <w:rPr>
        <w:rFonts w:ascii="Wingdings" w:hAnsi="Wingdings" w:hint="default"/>
      </w:rPr>
    </w:lvl>
    <w:lvl w:ilvl="3" w:tplc="0C090001" w:tentative="1">
      <w:start w:val="1"/>
      <w:numFmt w:val="bullet"/>
      <w:lvlText w:val=""/>
      <w:lvlJc w:val="left"/>
      <w:pPr>
        <w:ind w:left="2843" w:hanging="360"/>
      </w:pPr>
      <w:rPr>
        <w:rFonts w:ascii="Symbol" w:hAnsi="Symbol" w:hint="default"/>
      </w:rPr>
    </w:lvl>
    <w:lvl w:ilvl="4" w:tplc="0C090003" w:tentative="1">
      <w:start w:val="1"/>
      <w:numFmt w:val="bullet"/>
      <w:lvlText w:val="o"/>
      <w:lvlJc w:val="left"/>
      <w:pPr>
        <w:ind w:left="3563" w:hanging="360"/>
      </w:pPr>
      <w:rPr>
        <w:rFonts w:ascii="Courier New" w:hAnsi="Courier New" w:cs="Courier New" w:hint="default"/>
      </w:rPr>
    </w:lvl>
    <w:lvl w:ilvl="5" w:tplc="0C090005" w:tentative="1">
      <w:start w:val="1"/>
      <w:numFmt w:val="bullet"/>
      <w:lvlText w:val=""/>
      <w:lvlJc w:val="left"/>
      <w:pPr>
        <w:ind w:left="4283" w:hanging="360"/>
      </w:pPr>
      <w:rPr>
        <w:rFonts w:ascii="Wingdings" w:hAnsi="Wingdings" w:hint="default"/>
      </w:rPr>
    </w:lvl>
    <w:lvl w:ilvl="6" w:tplc="0C090001" w:tentative="1">
      <w:start w:val="1"/>
      <w:numFmt w:val="bullet"/>
      <w:lvlText w:val=""/>
      <w:lvlJc w:val="left"/>
      <w:pPr>
        <w:ind w:left="5003" w:hanging="360"/>
      </w:pPr>
      <w:rPr>
        <w:rFonts w:ascii="Symbol" w:hAnsi="Symbol" w:hint="default"/>
      </w:rPr>
    </w:lvl>
    <w:lvl w:ilvl="7" w:tplc="0C090003" w:tentative="1">
      <w:start w:val="1"/>
      <w:numFmt w:val="bullet"/>
      <w:lvlText w:val="o"/>
      <w:lvlJc w:val="left"/>
      <w:pPr>
        <w:ind w:left="5723" w:hanging="360"/>
      </w:pPr>
      <w:rPr>
        <w:rFonts w:ascii="Courier New" w:hAnsi="Courier New" w:cs="Courier New" w:hint="default"/>
      </w:rPr>
    </w:lvl>
    <w:lvl w:ilvl="8" w:tplc="0C090005" w:tentative="1">
      <w:start w:val="1"/>
      <w:numFmt w:val="bullet"/>
      <w:lvlText w:val=""/>
      <w:lvlJc w:val="left"/>
      <w:pPr>
        <w:ind w:left="6443" w:hanging="360"/>
      </w:pPr>
      <w:rPr>
        <w:rFonts w:ascii="Wingdings" w:hAnsi="Wingdings" w:hint="default"/>
      </w:rPr>
    </w:lvl>
  </w:abstractNum>
  <w:abstractNum w:abstractNumId="4" w15:restartNumberingAfterBreak="0">
    <w:nsid w:val="13C10041"/>
    <w:multiLevelType w:val="hybridMultilevel"/>
    <w:tmpl w:val="7040B3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157524"/>
    <w:multiLevelType w:val="hybridMultilevel"/>
    <w:tmpl w:val="479A36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E0CC6"/>
    <w:multiLevelType w:val="hybridMultilevel"/>
    <w:tmpl w:val="930A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52DE4"/>
    <w:multiLevelType w:val="hybridMultilevel"/>
    <w:tmpl w:val="89C0F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C75BB9"/>
    <w:multiLevelType w:val="hybridMultilevel"/>
    <w:tmpl w:val="2D242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D24BE9"/>
    <w:multiLevelType w:val="hybridMultilevel"/>
    <w:tmpl w:val="03760C90"/>
    <w:lvl w:ilvl="0" w:tplc="450404FA">
      <w:start w:val="1"/>
      <w:numFmt w:val="bullet"/>
      <w:pStyle w:val="06Bulletsonelongsent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C5BCB"/>
    <w:multiLevelType w:val="hybridMultilevel"/>
    <w:tmpl w:val="A92A1C5A"/>
    <w:lvl w:ilvl="0" w:tplc="2B245090">
      <w:start w:val="1"/>
      <w:numFmt w:val="bullet"/>
      <w:pStyle w:val="09Bullets2ndlevelseriesofsentences"/>
      <w:lvlText w:val=""/>
      <w:lvlJc w:val="left"/>
      <w:pPr>
        <w:ind w:left="720"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B961B2"/>
    <w:multiLevelType w:val="hybridMultilevel"/>
    <w:tmpl w:val="43D6FA92"/>
    <w:lvl w:ilvl="0" w:tplc="D8FA87D4">
      <w:start w:val="1"/>
      <w:numFmt w:val="bullet"/>
      <w:pStyle w:val="BulletL2HC"/>
      <w:lvlText w:val=""/>
      <w:lvlJc w:val="left"/>
      <w:pPr>
        <w:tabs>
          <w:tab w:val="num" w:pos="697"/>
        </w:tabs>
        <w:ind w:left="697" w:hanging="340"/>
      </w:pPr>
      <w:rPr>
        <w:rFonts w:ascii="Wingdings" w:hAnsi="Wingdings" w:cs="Symbol" w:hint="default"/>
      </w:rPr>
    </w:lvl>
    <w:lvl w:ilvl="1" w:tplc="E0EECF5C">
      <w:start w:val="1"/>
      <w:numFmt w:val="bullet"/>
      <w:lvlText w:val=""/>
      <w:lvlJc w:val="left"/>
      <w:pPr>
        <w:tabs>
          <w:tab w:val="num" w:pos="1420"/>
        </w:tabs>
        <w:ind w:left="1420" w:hanging="340"/>
      </w:pPr>
      <w:rPr>
        <w:rFonts w:ascii="Wingdings" w:hAnsi="Wingdings"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73DCA"/>
    <w:multiLevelType w:val="hybridMultilevel"/>
    <w:tmpl w:val="7B4C6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AF387D"/>
    <w:multiLevelType w:val="hybridMultilevel"/>
    <w:tmpl w:val="80581A74"/>
    <w:lvl w:ilvl="0" w:tplc="341440CE">
      <w:start w:val="1"/>
      <w:numFmt w:val="decimal"/>
      <w:pStyle w:val="References-HealthConsultstyle"/>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0D7119"/>
    <w:multiLevelType w:val="hybridMultilevel"/>
    <w:tmpl w:val="3E0CE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467C65"/>
    <w:multiLevelType w:val="hybridMultilevel"/>
    <w:tmpl w:val="F8384662"/>
    <w:lvl w:ilvl="0" w:tplc="0C090001">
      <w:start w:val="1"/>
      <w:numFmt w:val="bullet"/>
      <w:lvlText w:val=""/>
      <w:lvlJc w:val="left"/>
      <w:pPr>
        <w:ind w:left="720" w:hanging="360"/>
      </w:pPr>
      <w:rPr>
        <w:rFonts w:ascii="Symbol" w:hAnsi="Symbol" w:hint="default"/>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5711F2"/>
    <w:multiLevelType w:val="hybridMultilevel"/>
    <w:tmpl w:val="680AB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861A35"/>
    <w:multiLevelType w:val="hybridMultilevel"/>
    <w:tmpl w:val="1B18D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E26DBA"/>
    <w:multiLevelType w:val="hybridMultilevel"/>
    <w:tmpl w:val="983220D2"/>
    <w:lvl w:ilvl="0" w:tplc="B55403A6">
      <w:start w:val="1"/>
      <w:numFmt w:val="bullet"/>
      <w:pStyle w:val="07Tablebullet"/>
      <w:lvlText w:val=""/>
      <w:lvlJc w:val="left"/>
      <w:pPr>
        <w:ind w:left="777" w:hanging="360"/>
      </w:pPr>
      <w:rPr>
        <w:rFonts w:ascii="Symbol" w:hAnsi="Symbol" w:hint="default"/>
      </w:rPr>
    </w:lvl>
    <w:lvl w:ilvl="1" w:tplc="8214DD08">
      <w:start w:val="1"/>
      <w:numFmt w:val="bullet"/>
      <w:pStyle w:val="08Tablebulletsecondlevel"/>
      <w:lvlText w:val=""/>
      <w:lvlJc w:val="left"/>
      <w:pPr>
        <w:ind w:left="1497" w:hanging="360"/>
      </w:pPr>
      <w:rPr>
        <w:rFonts w:ascii="Wingdings" w:hAnsi="Wingdings" w:hint="default"/>
        <w:sz w:val="17"/>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9" w15:restartNumberingAfterBreak="0">
    <w:nsid w:val="3D510C8E"/>
    <w:multiLevelType w:val="multilevel"/>
    <w:tmpl w:val="526C7668"/>
    <w:styleLink w:val="Numberedlist"/>
    <w:lvl w:ilvl="0">
      <w:start w:val="1"/>
      <w:numFmt w:val="none"/>
      <w:pStyle w:val="Numberedlist1"/>
      <w:lvlText w:val="(%11)"/>
      <w:lvlJc w:val="left"/>
      <w:pPr>
        <w:ind w:left="0" w:firstLine="0"/>
      </w:pPr>
      <w:rPr>
        <w:rFonts w:hint="default"/>
      </w:rPr>
    </w:lvl>
    <w:lvl w:ilvl="1">
      <w:start w:val="2"/>
      <w:numFmt w:val="decimal"/>
      <w:pStyle w:val="Numberedlistcontinued"/>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3F1078A1"/>
    <w:multiLevelType w:val="hybridMultilevel"/>
    <w:tmpl w:val="4B649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A253CD"/>
    <w:multiLevelType w:val="hybridMultilevel"/>
    <w:tmpl w:val="661A7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85349D"/>
    <w:multiLevelType w:val="hybridMultilevel"/>
    <w:tmpl w:val="6CD0D638"/>
    <w:lvl w:ilvl="0" w:tplc="5E6CC460">
      <w:start w:val="1"/>
      <w:numFmt w:val="bullet"/>
      <w:pStyle w:val="Bullettext"/>
      <w:lvlText w:val=""/>
      <w:lvlJc w:val="left"/>
      <w:pPr>
        <w:ind w:left="720" w:hanging="360"/>
      </w:pPr>
      <w:rPr>
        <w:rFonts w:ascii="Symbol" w:hAnsi="Symbol" w:hint="default"/>
      </w:rPr>
    </w:lvl>
    <w:lvl w:ilvl="1" w:tplc="C786FFF2">
      <w:start w:val="1"/>
      <w:numFmt w:val="bullet"/>
      <w:pStyle w:val="Bullettextsecondlevel"/>
      <w:lvlText w:val=""/>
      <w:lvlJc w:val="left"/>
      <w:pPr>
        <w:ind w:left="1440" w:hanging="360"/>
      </w:pPr>
      <w:rPr>
        <w:rFonts w:ascii="Wingdings" w:hAnsi="Wingdings" w:hint="default"/>
        <w:sz w:val="17"/>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CB10F6"/>
    <w:multiLevelType w:val="hybridMultilevel"/>
    <w:tmpl w:val="C9B8360E"/>
    <w:lvl w:ilvl="0" w:tplc="A09601D4">
      <w:start w:val="1"/>
      <w:numFmt w:val="bullet"/>
      <w:pStyle w:val="Bulletlevel1"/>
      <w:lvlText w:val=""/>
      <w:lvlJc w:val="left"/>
      <w:pPr>
        <w:ind w:left="360" w:hanging="360"/>
      </w:pPr>
      <w:rPr>
        <w:rFonts w:ascii="Symbol" w:hAnsi="Symbol" w:hint="default"/>
        <w:b w:val="0"/>
        <w:i w:val="0"/>
        <w:color w:val="auto"/>
        <w:sz w:val="24"/>
        <w:szCs w:val="16"/>
      </w:rPr>
    </w:lvl>
    <w:lvl w:ilvl="1" w:tplc="7646EE80">
      <w:start w:val="1"/>
      <w:numFmt w:val="bullet"/>
      <w:lvlText w:val="o"/>
      <w:lvlJc w:val="left"/>
      <w:pPr>
        <w:ind w:left="1080" w:hanging="360"/>
      </w:pPr>
      <w:rPr>
        <w:rFonts w:ascii="Courier New" w:hAnsi="Courier New" w:cs="Courier New" w:hint="default"/>
      </w:rPr>
    </w:lvl>
    <w:lvl w:ilvl="2" w:tplc="3EAEE73E">
      <w:start w:val="1"/>
      <w:numFmt w:val="bullet"/>
      <w:lvlText w:val=""/>
      <w:lvlJc w:val="left"/>
      <w:pPr>
        <w:ind w:left="1800" w:hanging="360"/>
      </w:pPr>
      <w:rPr>
        <w:rFonts w:ascii="Wingdings" w:hAnsi="Wingdings" w:hint="default"/>
      </w:rPr>
    </w:lvl>
    <w:lvl w:ilvl="3" w:tplc="F79C9DBA" w:tentative="1">
      <w:start w:val="1"/>
      <w:numFmt w:val="bullet"/>
      <w:lvlText w:val=""/>
      <w:lvlJc w:val="left"/>
      <w:pPr>
        <w:ind w:left="2520" w:hanging="360"/>
      </w:pPr>
      <w:rPr>
        <w:rFonts w:ascii="Symbol" w:hAnsi="Symbol" w:hint="default"/>
      </w:rPr>
    </w:lvl>
    <w:lvl w:ilvl="4" w:tplc="89B2FA8A" w:tentative="1">
      <w:start w:val="1"/>
      <w:numFmt w:val="bullet"/>
      <w:lvlText w:val="o"/>
      <w:lvlJc w:val="left"/>
      <w:pPr>
        <w:ind w:left="3240" w:hanging="360"/>
      </w:pPr>
      <w:rPr>
        <w:rFonts w:ascii="Courier New" w:hAnsi="Courier New" w:cs="Courier New" w:hint="default"/>
      </w:rPr>
    </w:lvl>
    <w:lvl w:ilvl="5" w:tplc="43766D1A" w:tentative="1">
      <w:start w:val="1"/>
      <w:numFmt w:val="bullet"/>
      <w:lvlText w:val=""/>
      <w:lvlJc w:val="left"/>
      <w:pPr>
        <w:ind w:left="3960" w:hanging="360"/>
      </w:pPr>
      <w:rPr>
        <w:rFonts w:ascii="Wingdings" w:hAnsi="Wingdings" w:hint="default"/>
      </w:rPr>
    </w:lvl>
    <w:lvl w:ilvl="6" w:tplc="FCB0B80C" w:tentative="1">
      <w:start w:val="1"/>
      <w:numFmt w:val="bullet"/>
      <w:lvlText w:val=""/>
      <w:lvlJc w:val="left"/>
      <w:pPr>
        <w:ind w:left="4680" w:hanging="360"/>
      </w:pPr>
      <w:rPr>
        <w:rFonts w:ascii="Symbol" w:hAnsi="Symbol" w:hint="default"/>
      </w:rPr>
    </w:lvl>
    <w:lvl w:ilvl="7" w:tplc="15BAFF12" w:tentative="1">
      <w:start w:val="1"/>
      <w:numFmt w:val="bullet"/>
      <w:lvlText w:val="o"/>
      <w:lvlJc w:val="left"/>
      <w:pPr>
        <w:ind w:left="5400" w:hanging="360"/>
      </w:pPr>
      <w:rPr>
        <w:rFonts w:ascii="Courier New" w:hAnsi="Courier New" w:cs="Courier New" w:hint="default"/>
      </w:rPr>
    </w:lvl>
    <w:lvl w:ilvl="8" w:tplc="052255A0" w:tentative="1">
      <w:start w:val="1"/>
      <w:numFmt w:val="bullet"/>
      <w:lvlText w:val=""/>
      <w:lvlJc w:val="left"/>
      <w:pPr>
        <w:ind w:left="6120" w:hanging="360"/>
      </w:pPr>
      <w:rPr>
        <w:rFonts w:ascii="Wingdings" w:hAnsi="Wingdings" w:hint="default"/>
      </w:rPr>
    </w:lvl>
  </w:abstractNum>
  <w:abstractNum w:abstractNumId="24" w15:restartNumberingAfterBreak="0">
    <w:nsid w:val="54697787"/>
    <w:multiLevelType w:val="hybridMultilevel"/>
    <w:tmpl w:val="680AE972"/>
    <w:lvl w:ilvl="0" w:tplc="ED14BDEA">
      <w:start w:val="1"/>
      <w:numFmt w:val="bullet"/>
      <w:pStyle w:val="17TabletextBullet2ndlevel"/>
      <w:lvlText w:val=""/>
      <w:lvlJc w:val="left"/>
      <w:pPr>
        <w:ind w:left="587" w:hanging="360"/>
      </w:pPr>
      <w:rPr>
        <w:rFonts w:ascii="Wingdings" w:hAnsi="Wingdings" w:hint="default"/>
        <w:sz w:val="17"/>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5" w15:restartNumberingAfterBreak="0">
    <w:nsid w:val="58520A89"/>
    <w:multiLevelType w:val="hybridMultilevel"/>
    <w:tmpl w:val="FAF8AD80"/>
    <w:lvl w:ilvl="0" w:tplc="B51ECF6E">
      <w:start w:val="1"/>
      <w:numFmt w:val="decimal"/>
      <w:pStyle w:val="numberedlist0"/>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8DF3C06"/>
    <w:multiLevelType w:val="hybridMultilevel"/>
    <w:tmpl w:val="A36AB090"/>
    <w:lvl w:ilvl="0" w:tplc="50D68D00">
      <w:start w:val="1"/>
      <w:numFmt w:val="bullet"/>
      <w:pStyle w:val="16TabletextBullet"/>
      <w:lvlText w:val=""/>
      <w:lvlJc w:val="left"/>
      <w:pPr>
        <w:ind w:left="360" w:hanging="360"/>
      </w:pPr>
      <w:rPr>
        <w:rFonts w:ascii="Symbol" w:hAnsi="Symbol" w:hint="default"/>
        <w:sz w:val="17"/>
        <w:szCs w:val="17"/>
      </w:rPr>
    </w:lvl>
    <w:lvl w:ilvl="1" w:tplc="0C090003" w:tentative="1">
      <w:start w:val="1"/>
      <w:numFmt w:val="bullet"/>
      <w:lvlText w:val="o"/>
      <w:lvlJc w:val="left"/>
      <w:pPr>
        <w:ind w:left="-545" w:hanging="360"/>
      </w:pPr>
      <w:rPr>
        <w:rFonts w:ascii="Courier New" w:hAnsi="Courier New" w:cs="Courier New" w:hint="default"/>
      </w:rPr>
    </w:lvl>
    <w:lvl w:ilvl="2" w:tplc="0C090005" w:tentative="1">
      <w:start w:val="1"/>
      <w:numFmt w:val="bullet"/>
      <w:lvlText w:val=""/>
      <w:lvlJc w:val="left"/>
      <w:pPr>
        <w:ind w:left="175" w:hanging="360"/>
      </w:pPr>
      <w:rPr>
        <w:rFonts w:ascii="Wingdings" w:hAnsi="Wingdings" w:hint="default"/>
      </w:rPr>
    </w:lvl>
    <w:lvl w:ilvl="3" w:tplc="0C090001" w:tentative="1">
      <w:start w:val="1"/>
      <w:numFmt w:val="bullet"/>
      <w:lvlText w:val=""/>
      <w:lvlJc w:val="left"/>
      <w:pPr>
        <w:ind w:left="895" w:hanging="360"/>
      </w:pPr>
      <w:rPr>
        <w:rFonts w:ascii="Symbol" w:hAnsi="Symbol" w:hint="default"/>
      </w:rPr>
    </w:lvl>
    <w:lvl w:ilvl="4" w:tplc="0C090003" w:tentative="1">
      <w:start w:val="1"/>
      <w:numFmt w:val="bullet"/>
      <w:lvlText w:val="o"/>
      <w:lvlJc w:val="left"/>
      <w:pPr>
        <w:ind w:left="1615" w:hanging="360"/>
      </w:pPr>
      <w:rPr>
        <w:rFonts w:ascii="Courier New" w:hAnsi="Courier New" w:cs="Courier New" w:hint="default"/>
      </w:rPr>
    </w:lvl>
    <w:lvl w:ilvl="5" w:tplc="0C090005" w:tentative="1">
      <w:start w:val="1"/>
      <w:numFmt w:val="bullet"/>
      <w:lvlText w:val=""/>
      <w:lvlJc w:val="left"/>
      <w:pPr>
        <w:ind w:left="2335" w:hanging="360"/>
      </w:pPr>
      <w:rPr>
        <w:rFonts w:ascii="Wingdings" w:hAnsi="Wingdings" w:hint="default"/>
      </w:rPr>
    </w:lvl>
    <w:lvl w:ilvl="6" w:tplc="0C090001" w:tentative="1">
      <w:start w:val="1"/>
      <w:numFmt w:val="bullet"/>
      <w:lvlText w:val=""/>
      <w:lvlJc w:val="left"/>
      <w:pPr>
        <w:ind w:left="3055" w:hanging="360"/>
      </w:pPr>
      <w:rPr>
        <w:rFonts w:ascii="Symbol" w:hAnsi="Symbol" w:hint="default"/>
      </w:rPr>
    </w:lvl>
    <w:lvl w:ilvl="7" w:tplc="0C090003" w:tentative="1">
      <w:start w:val="1"/>
      <w:numFmt w:val="bullet"/>
      <w:lvlText w:val="o"/>
      <w:lvlJc w:val="left"/>
      <w:pPr>
        <w:ind w:left="3775" w:hanging="360"/>
      </w:pPr>
      <w:rPr>
        <w:rFonts w:ascii="Courier New" w:hAnsi="Courier New" w:cs="Courier New" w:hint="default"/>
      </w:rPr>
    </w:lvl>
    <w:lvl w:ilvl="8" w:tplc="0C090005" w:tentative="1">
      <w:start w:val="1"/>
      <w:numFmt w:val="bullet"/>
      <w:lvlText w:val=""/>
      <w:lvlJc w:val="left"/>
      <w:pPr>
        <w:ind w:left="4495" w:hanging="360"/>
      </w:pPr>
      <w:rPr>
        <w:rFonts w:ascii="Wingdings" w:hAnsi="Wingdings" w:hint="default"/>
      </w:rPr>
    </w:lvl>
  </w:abstractNum>
  <w:abstractNum w:abstractNumId="27" w15:restartNumberingAfterBreak="0">
    <w:nsid w:val="5A4C63CC"/>
    <w:multiLevelType w:val="hybridMultilevel"/>
    <w:tmpl w:val="A36E4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7E0538"/>
    <w:multiLevelType w:val="multilevel"/>
    <w:tmpl w:val="894E0DCC"/>
    <w:styleLink w:val="Headings"/>
    <w:lvl w:ilvl="0">
      <w:start w:val="1"/>
      <w:numFmt w:val="decimal"/>
      <w:pStyle w:val="Heading1"/>
      <w:suff w:val="nothing"/>
      <w:lvlText w:val="%1"/>
      <w:lvlJc w:val="left"/>
      <w:pPr>
        <w:ind w:left="0" w:firstLine="0"/>
      </w:pPr>
      <w:rPr>
        <w:rFonts w:ascii="Garamond" w:hAnsi="Garamond" w:hint="default"/>
        <w:b/>
        <w:i w:val="0"/>
        <w:color w:val="auto"/>
        <w:sz w:val="10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2694" w:firstLine="0"/>
      </w:pPr>
      <w:rPr>
        <w:rFonts w:hint="default"/>
      </w:rPr>
    </w:lvl>
    <w:lvl w:ilvl="3">
      <w:start w:val="1"/>
      <w:numFmt w:val="none"/>
      <w:pStyle w:val="Heading4"/>
      <w:suff w:val="nothing"/>
      <w:lvlText w:val=""/>
      <w:lvlJc w:val="left"/>
      <w:pPr>
        <w:ind w:left="0" w:firstLine="0"/>
      </w:pPr>
      <w:rPr>
        <w:rFonts w:hint="default"/>
      </w:rPr>
    </w:lvl>
    <w:lvl w:ilvl="4">
      <w:start w:val="1"/>
      <w:numFmt w:val="decimal"/>
      <w:lvlRestart w:val="0"/>
      <w:pStyle w:val="Heading5"/>
      <w:lvlText w:val="ES %5"/>
      <w:lvlJc w:val="left"/>
      <w:pPr>
        <w:ind w:left="0" w:firstLine="0"/>
      </w:pPr>
      <w:rPr>
        <w:rFonts w:hint="default"/>
      </w:rPr>
    </w:lvl>
    <w:lvl w:ilvl="5">
      <w:start w:val="1"/>
      <w:numFmt w:val="decimal"/>
      <w:pStyle w:val="Heading6"/>
      <w:lvlText w:val="ES %5.%6"/>
      <w:lvlJc w:val="left"/>
      <w:pPr>
        <w:ind w:left="0" w:firstLine="0"/>
      </w:pPr>
      <w:rPr>
        <w:rFonts w:hint="default"/>
      </w:rPr>
    </w:lvl>
    <w:lvl w:ilvl="6">
      <w:start w:val="1"/>
      <w:numFmt w:val="upperLetter"/>
      <w:lvlRestart w:val="0"/>
      <w:pStyle w:val="Heading7"/>
      <w:suff w:val="space"/>
      <w:lvlText w:val="Appendix %7"/>
      <w:lvlJc w:val="left"/>
      <w:pPr>
        <w:ind w:left="0"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9" w15:restartNumberingAfterBreak="0">
    <w:nsid w:val="69C14F1B"/>
    <w:multiLevelType w:val="multilevel"/>
    <w:tmpl w:val="3098855A"/>
    <w:styleLink w:val="FindingsRecommendations"/>
    <w:lvl w:ilvl="0">
      <w:start w:val="1"/>
      <w:numFmt w:val="none"/>
      <w:pStyle w:val="FindingsRecommendations1"/>
      <w:lvlText w:val="%1F1:"/>
      <w:lvlJc w:val="left"/>
      <w:pPr>
        <w:ind w:left="0" w:firstLine="0"/>
      </w:pPr>
      <w:rPr>
        <w:rFonts w:hint="default"/>
      </w:rPr>
    </w:lvl>
    <w:lvl w:ilvl="1">
      <w:start w:val="2"/>
      <w:numFmt w:val="decimal"/>
      <w:pStyle w:val="FindingsRecommendationscontinued"/>
      <w:lvlText w:val="F%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0" w15:restartNumberingAfterBreak="0">
    <w:nsid w:val="71464ED0"/>
    <w:multiLevelType w:val="hybridMultilevel"/>
    <w:tmpl w:val="A04E560E"/>
    <w:lvl w:ilvl="0" w:tplc="AA04D0C6">
      <w:start w:val="1"/>
      <w:numFmt w:val="bullet"/>
      <w:pStyle w:val="07Bullets2ndlevelonelongsentence"/>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75952A4F"/>
    <w:multiLevelType w:val="hybridMultilevel"/>
    <w:tmpl w:val="9C3E7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6877C27"/>
    <w:multiLevelType w:val="hybridMultilevel"/>
    <w:tmpl w:val="8074722E"/>
    <w:lvl w:ilvl="0" w:tplc="B8F6310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782279"/>
    <w:multiLevelType w:val="hybridMultilevel"/>
    <w:tmpl w:val="87A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E20613"/>
    <w:multiLevelType w:val="hybridMultilevel"/>
    <w:tmpl w:val="5BDC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13"/>
  </w:num>
  <w:num w:numId="4">
    <w:abstractNumId w:val="30"/>
  </w:num>
  <w:num w:numId="5">
    <w:abstractNumId w:val="28"/>
  </w:num>
  <w:num w:numId="6">
    <w:abstractNumId w:val="2"/>
  </w:num>
  <w:num w:numId="7">
    <w:abstractNumId w:val="19"/>
  </w:num>
  <w:num w:numId="8">
    <w:abstractNumId w:val="29"/>
  </w:num>
  <w:num w:numId="9">
    <w:abstractNumId w:val="24"/>
  </w:num>
  <w:num w:numId="10">
    <w:abstractNumId w:val="0"/>
  </w:num>
  <w:num w:numId="11">
    <w:abstractNumId w:val="10"/>
  </w:num>
  <w:num w:numId="12">
    <w:abstractNumId w:val="11"/>
  </w:num>
  <w:num w:numId="13">
    <w:abstractNumId w:val="25"/>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2"/>
  </w:num>
  <w:num w:numId="17">
    <w:abstractNumId w:val="18"/>
  </w:num>
  <w:num w:numId="18">
    <w:abstractNumId w:val="20"/>
  </w:num>
  <w:num w:numId="19">
    <w:abstractNumId w:val="27"/>
  </w:num>
  <w:num w:numId="20">
    <w:abstractNumId w:val="15"/>
  </w:num>
  <w:num w:numId="21">
    <w:abstractNumId w:val="21"/>
  </w:num>
  <w:num w:numId="22">
    <w:abstractNumId w:val="8"/>
  </w:num>
  <w:num w:numId="23">
    <w:abstractNumId w:val="4"/>
  </w:num>
  <w:num w:numId="24">
    <w:abstractNumId w:val="16"/>
  </w:num>
  <w:num w:numId="25">
    <w:abstractNumId w:val="31"/>
  </w:num>
  <w:num w:numId="26">
    <w:abstractNumId w:val="30"/>
  </w:num>
  <w:num w:numId="27">
    <w:abstractNumId w:val="14"/>
  </w:num>
  <w:num w:numId="28">
    <w:abstractNumId w:val="17"/>
  </w:num>
  <w:num w:numId="29">
    <w:abstractNumId w:val="34"/>
  </w:num>
  <w:num w:numId="30">
    <w:abstractNumId w:val="28"/>
  </w:num>
  <w:num w:numId="31">
    <w:abstractNumId w:val="28"/>
  </w:num>
  <w:num w:numId="32">
    <w:abstractNumId w:val="9"/>
  </w:num>
  <w:num w:numId="33">
    <w:abstractNumId w:val="12"/>
  </w:num>
  <w:num w:numId="34">
    <w:abstractNumId w:val="1"/>
  </w:num>
  <w:num w:numId="35">
    <w:abstractNumId w:val="7"/>
  </w:num>
  <w:num w:numId="36">
    <w:abstractNumId w:val="3"/>
  </w:num>
  <w:num w:numId="37">
    <w:abstractNumId w:val="28"/>
    <w:lvlOverride w:ilvl="0">
      <w:lvl w:ilvl="0">
        <w:start w:val="1"/>
        <w:numFmt w:val="decimal"/>
        <w:pStyle w:val="Heading1"/>
        <w:suff w:val="nothing"/>
        <w:lvlText w:val="%1"/>
        <w:lvlJc w:val="left"/>
        <w:pPr>
          <w:ind w:left="0" w:firstLine="0"/>
        </w:pPr>
        <w:rPr>
          <w:rFonts w:ascii="Garamond" w:hAnsi="Garamond" w:hint="default"/>
          <w:b/>
          <w:i w:val="0"/>
          <w:color w:val="auto"/>
          <w:sz w:val="100"/>
        </w:rPr>
      </w:lvl>
    </w:lvlOverride>
    <w:lvlOverride w:ilvl="1">
      <w:lvl w:ilvl="1">
        <w:start w:val="1"/>
        <w:numFmt w:val="decimal"/>
        <w:pStyle w:val="Heading2"/>
        <w:lvlText w:val="%1.%2"/>
        <w:lvlJc w:val="left"/>
        <w:pPr>
          <w:ind w:left="0" w:firstLine="0"/>
        </w:pPr>
        <w:rPr>
          <w:rFonts w:hint="default"/>
        </w:rPr>
      </w:lvl>
    </w:lvlOverride>
    <w:lvlOverride w:ilvl="2">
      <w:lvl w:ilvl="2">
        <w:start w:val="1"/>
        <w:numFmt w:val="decimal"/>
        <w:pStyle w:val="Heading3"/>
        <w:lvlText w:val="%1.%2.%3"/>
        <w:lvlJc w:val="left"/>
        <w:pPr>
          <w:ind w:left="2694" w:firstLine="0"/>
        </w:pPr>
        <w:rPr>
          <w:rFonts w:hint="default"/>
        </w:rPr>
      </w:lvl>
    </w:lvlOverride>
    <w:lvlOverride w:ilvl="3">
      <w:lvl w:ilvl="3">
        <w:start w:val="1"/>
        <w:numFmt w:val="none"/>
        <w:pStyle w:val="Heading4"/>
        <w:suff w:val="nothing"/>
        <w:lvlText w:val=""/>
        <w:lvlJc w:val="left"/>
        <w:pPr>
          <w:ind w:left="0" w:firstLine="0"/>
        </w:pPr>
        <w:rPr>
          <w:rFonts w:hint="default"/>
        </w:rPr>
      </w:lvl>
    </w:lvlOverride>
    <w:lvlOverride w:ilvl="4">
      <w:lvl w:ilvl="4">
        <w:start w:val="1"/>
        <w:numFmt w:val="decimal"/>
        <w:lvlRestart w:val="0"/>
        <w:pStyle w:val="Heading5"/>
        <w:lvlText w:val="ES %5"/>
        <w:lvlJc w:val="left"/>
        <w:pPr>
          <w:ind w:left="0" w:firstLine="0"/>
        </w:pPr>
        <w:rPr>
          <w:rFonts w:hint="default"/>
        </w:rPr>
      </w:lvl>
    </w:lvlOverride>
    <w:lvlOverride w:ilvl="5">
      <w:lvl w:ilvl="5">
        <w:start w:val="1"/>
        <w:numFmt w:val="decimal"/>
        <w:pStyle w:val="Heading6"/>
        <w:lvlText w:val="ES %5.%6"/>
        <w:lvlJc w:val="left"/>
        <w:pPr>
          <w:ind w:left="0" w:firstLine="0"/>
        </w:pPr>
        <w:rPr>
          <w:rFonts w:hint="default"/>
        </w:rPr>
      </w:lvl>
    </w:lvlOverride>
    <w:lvlOverride w:ilvl="6">
      <w:lvl w:ilvl="6">
        <w:start w:val="1"/>
        <w:numFmt w:val="upperLetter"/>
        <w:lvlRestart w:val="0"/>
        <w:pStyle w:val="Heading7"/>
        <w:suff w:val="space"/>
        <w:lvlText w:val="Appendix %7"/>
        <w:lvlJc w:val="left"/>
        <w:pPr>
          <w:ind w:left="0" w:firstLine="0"/>
        </w:pPr>
        <w:rPr>
          <w:rFonts w:hint="default"/>
        </w:rPr>
      </w:lvl>
    </w:lvlOverride>
    <w:lvlOverride w:ilvl="7">
      <w:lvl w:ilvl="7">
        <w:start w:val="1"/>
        <w:numFmt w:val="decimal"/>
        <w:pStyle w:val="Heading8"/>
        <w:lvlText w:val="%7.%8"/>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38">
    <w:abstractNumId w:val="6"/>
  </w:num>
  <w:num w:numId="39">
    <w:abstractNumId w:val="26"/>
  </w:num>
  <w:num w:numId="40">
    <w:abstractNumId w:val="33"/>
  </w:num>
  <w:num w:numId="41">
    <w:abstractNumId w:val="5"/>
  </w:num>
  <w:num w:numId="4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54"/>
    <w:rsid w:val="0000047D"/>
    <w:rsid w:val="00000730"/>
    <w:rsid w:val="00004808"/>
    <w:rsid w:val="00004838"/>
    <w:rsid w:val="00005025"/>
    <w:rsid w:val="00005085"/>
    <w:rsid w:val="00005B36"/>
    <w:rsid w:val="00005F76"/>
    <w:rsid w:val="00006904"/>
    <w:rsid w:val="000108CB"/>
    <w:rsid w:val="000109A1"/>
    <w:rsid w:val="0001242D"/>
    <w:rsid w:val="00012B8A"/>
    <w:rsid w:val="00013013"/>
    <w:rsid w:val="000131BA"/>
    <w:rsid w:val="00014669"/>
    <w:rsid w:val="00014C34"/>
    <w:rsid w:val="0001573E"/>
    <w:rsid w:val="0001777C"/>
    <w:rsid w:val="000219AF"/>
    <w:rsid w:val="00022AED"/>
    <w:rsid w:val="00022CB9"/>
    <w:rsid w:val="00023C52"/>
    <w:rsid w:val="0002477C"/>
    <w:rsid w:val="00025B6F"/>
    <w:rsid w:val="0003488E"/>
    <w:rsid w:val="00034C08"/>
    <w:rsid w:val="0003665E"/>
    <w:rsid w:val="000376D2"/>
    <w:rsid w:val="00037A45"/>
    <w:rsid w:val="00040E4D"/>
    <w:rsid w:val="00043433"/>
    <w:rsid w:val="000436E1"/>
    <w:rsid w:val="00044C24"/>
    <w:rsid w:val="00045FDD"/>
    <w:rsid w:val="00046AEF"/>
    <w:rsid w:val="00046BD2"/>
    <w:rsid w:val="00051300"/>
    <w:rsid w:val="000518C7"/>
    <w:rsid w:val="0005356C"/>
    <w:rsid w:val="00053A3F"/>
    <w:rsid w:val="00056959"/>
    <w:rsid w:val="00060E89"/>
    <w:rsid w:val="00064EED"/>
    <w:rsid w:val="000652A2"/>
    <w:rsid w:val="000665E2"/>
    <w:rsid w:val="00071119"/>
    <w:rsid w:val="00071C16"/>
    <w:rsid w:val="00074225"/>
    <w:rsid w:val="0007656E"/>
    <w:rsid w:val="0007665A"/>
    <w:rsid w:val="00077A5F"/>
    <w:rsid w:val="000806DB"/>
    <w:rsid w:val="00081592"/>
    <w:rsid w:val="000829EE"/>
    <w:rsid w:val="00090650"/>
    <w:rsid w:val="00093415"/>
    <w:rsid w:val="00093E45"/>
    <w:rsid w:val="00094141"/>
    <w:rsid w:val="000942E6"/>
    <w:rsid w:val="000961BA"/>
    <w:rsid w:val="0009681A"/>
    <w:rsid w:val="00096ABE"/>
    <w:rsid w:val="00096DA3"/>
    <w:rsid w:val="000975B7"/>
    <w:rsid w:val="000975ED"/>
    <w:rsid w:val="00097E74"/>
    <w:rsid w:val="000A0229"/>
    <w:rsid w:val="000A1B22"/>
    <w:rsid w:val="000A431A"/>
    <w:rsid w:val="000A69D1"/>
    <w:rsid w:val="000B006F"/>
    <w:rsid w:val="000B2AE7"/>
    <w:rsid w:val="000B454E"/>
    <w:rsid w:val="000B4A55"/>
    <w:rsid w:val="000B5695"/>
    <w:rsid w:val="000B6422"/>
    <w:rsid w:val="000B70ED"/>
    <w:rsid w:val="000B742A"/>
    <w:rsid w:val="000B7E99"/>
    <w:rsid w:val="000C0317"/>
    <w:rsid w:val="000C2CE2"/>
    <w:rsid w:val="000C2F6A"/>
    <w:rsid w:val="000C32D5"/>
    <w:rsid w:val="000C3CD9"/>
    <w:rsid w:val="000C40EE"/>
    <w:rsid w:val="000C52DA"/>
    <w:rsid w:val="000C52F6"/>
    <w:rsid w:val="000D0B53"/>
    <w:rsid w:val="000D2CFC"/>
    <w:rsid w:val="000D3F43"/>
    <w:rsid w:val="000D4FB1"/>
    <w:rsid w:val="000D647D"/>
    <w:rsid w:val="000D6F47"/>
    <w:rsid w:val="000E11CB"/>
    <w:rsid w:val="000E3A48"/>
    <w:rsid w:val="000E491F"/>
    <w:rsid w:val="000E7C4A"/>
    <w:rsid w:val="000E7D02"/>
    <w:rsid w:val="000F0212"/>
    <w:rsid w:val="000F100D"/>
    <w:rsid w:val="000F12C4"/>
    <w:rsid w:val="000F1D6D"/>
    <w:rsid w:val="000F2F3F"/>
    <w:rsid w:val="000F4886"/>
    <w:rsid w:val="00101B6E"/>
    <w:rsid w:val="001020FF"/>
    <w:rsid w:val="00103115"/>
    <w:rsid w:val="0010488F"/>
    <w:rsid w:val="00105C07"/>
    <w:rsid w:val="00105D48"/>
    <w:rsid w:val="00106136"/>
    <w:rsid w:val="00106499"/>
    <w:rsid w:val="001107BE"/>
    <w:rsid w:val="001108EC"/>
    <w:rsid w:val="001124E9"/>
    <w:rsid w:val="00114954"/>
    <w:rsid w:val="00114CE5"/>
    <w:rsid w:val="00115116"/>
    <w:rsid w:val="0011777B"/>
    <w:rsid w:val="001177E4"/>
    <w:rsid w:val="001202D8"/>
    <w:rsid w:val="001207B3"/>
    <w:rsid w:val="00124B41"/>
    <w:rsid w:val="00125070"/>
    <w:rsid w:val="00126313"/>
    <w:rsid w:val="00126380"/>
    <w:rsid w:val="00127146"/>
    <w:rsid w:val="00127513"/>
    <w:rsid w:val="00127F3F"/>
    <w:rsid w:val="00130709"/>
    <w:rsid w:val="00131731"/>
    <w:rsid w:val="00132B90"/>
    <w:rsid w:val="00133B14"/>
    <w:rsid w:val="00137E99"/>
    <w:rsid w:val="0014079E"/>
    <w:rsid w:val="00140F39"/>
    <w:rsid w:val="0014128C"/>
    <w:rsid w:val="00141C07"/>
    <w:rsid w:val="001436BE"/>
    <w:rsid w:val="00143A46"/>
    <w:rsid w:val="00147094"/>
    <w:rsid w:val="00150EDF"/>
    <w:rsid w:val="00151347"/>
    <w:rsid w:val="00151C46"/>
    <w:rsid w:val="00152592"/>
    <w:rsid w:val="00154910"/>
    <w:rsid w:val="00154FEA"/>
    <w:rsid w:val="00160B06"/>
    <w:rsid w:val="001634E3"/>
    <w:rsid w:val="00163D12"/>
    <w:rsid w:val="00163F25"/>
    <w:rsid w:val="00164179"/>
    <w:rsid w:val="00172009"/>
    <w:rsid w:val="001755C6"/>
    <w:rsid w:val="00175B47"/>
    <w:rsid w:val="0017652F"/>
    <w:rsid w:val="00180580"/>
    <w:rsid w:val="001828AD"/>
    <w:rsid w:val="001832A5"/>
    <w:rsid w:val="00184363"/>
    <w:rsid w:val="001844EA"/>
    <w:rsid w:val="0018534B"/>
    <w:rsid w:val="001865BB"/>
    <w:rsid w:val="00191E99"/>
    <w:rsid w:val="001925B6"/>
    <w:rsid w:val="0019285F"/>
    <w:rsid w:val="001968F8"/>
    <w:rsid w:val="00196AED"/>
    <w:rsid w:val="001A074F"/>
    <w:rsid w:val="001A0DD2"/>
    <w:rsid w:val="001A2B4D"/>
    <w:rsid w:val="001A447A"/>
    <w:rsid w:val="001A672F"/>
    <w:rsid w:val="001B47F6"/>
    <w:rsid w:val="001B549E"/>
    <w:rsid w:val="001C0081"/>
    <w:rsid w:val="001C71A9"/>
    <w:rsid w:val="001C7A2C"/>
    <w:rsid w:val="001D185C"/>
    <w:rsid w:val="001D494B"/>
    <w:rsid w:val="001D4CC1"/>
    <w:rsid w:val="001D5489"/>
    <w:rsid w:val="001D54FA"/>
    <w:rsid w:val="001D5E00"/>
    <w:rsid w:val="001E2057"/>
    <w:rsid w:val="001E228E"/>
    <w:rsid w:val="001E24D0"/>
    <w:rsid w:val="001E2C6F"/>
    <w:rsid w:val="001E2D7B"/>
    <w:rsid w:val="001E38B6"/>
    <w:rsid w:val="001E47D7"/>
    <w:rsid w:val="001E52FC"/>
    <w:rsid w:val="001E77DD"/>
    <w:rsid w:val="001E7F7B"/>
    <w:rsid w:val="001F0725"/>
    <w:rsid w:val="001F177F"/>
    <w:rsid w:val="001F1F0D"/>
    <w:rsid w:val="001F4823"/>
    <w:rsid w:val="001F6620"/>
    <w:rsid w:val="001F76F9"/>
    <w:rsid w:val="001F7756"/>
    <w:rsid w:val="002000A6"/>
    <w:rsid w:val="002022FC"/>
    <w:rsid w:val="002048BF"/>
    <w:rsid w:val="0020756E"/>
    <w:rsid w:val="0020779B"/>
    <w:rsid w:val="00207C41"/>
    <w:rsid w:val="0021125A"/>
    <w:rsid w:val="002117A9"/>
    <w:rsid w:val="00213FFF"/>
    <w:rsid w:val="00215B05"/>
    <w:rsid w:val="00216BAE"/>
    <w:rsid w:val="00217999"/>
    <w:rsid w:val="00220BA9"/>
    <w:rsid w:val="00221FDF"/>
    <w:rsid w:val="00222F1F"/>
    <w:rsid w:val="00222F54"/>
    <w:rsid w:val="00225310"/>
    <w:rsid w:val="00225327"/>
    <w:rsid w:val="00225ED1"/>
    <w:rsid w:val="00226638"/>
    <w:rsid w:val="002269D9"/>
    <w:rsid w:val="0023269E"/>
    <w:rsid w:val="00232751"/>
    <w:rsid w:val="0023416E"/>
    <w:rsid w:val="00234A1F"/>
    <w:rsid w:val="00235339"/>
    <w:rsid w:val="00235876"/>
    <w:rsid w:val="0023758A"/>
    <w:rsid w:val="0023765F"/>
    <w:rsid w:val="00240477"/>
    <w:rsid w:val="00240EB3"/>
    <w:rsid w:val="002413B4"/>
    <w:rsid w:val="00242F22"/>
    <w:rsid w:val="00243102"/>
    <w:rsid w:val="00244015"/>
    <w:rsid w:val="002443B9"/>
    <w:rsid w:val="00244B2B"/>
    <w:rsid w:val="002459C8"/>
    <w:rsid w:val="00246C4F"/>
    <w:rsid w:val="00247CE7"/>
    <w:rsid w:val="002524D9"/>
    <w:rsid w:val="00253B37"/>
    <w:rsid w:val="00253D1D"/>
    <w:rsid w:val="00254BB5"/>
    <w:rsid w:val="002554F3"/>
    <w:rsid w:val="00256B99"/>
    <w:rsid w:val="002613E9"/>
    <w:rsid w:val="0026161F"/>
    <w:rsid w:val="002618B7"/>
    <w:rsid w:val="00261E12"/>
    <w:rsid w:val="00262D86"/>
    <w:rsid w:val="002632F9"/>
    <w:rsid w:val="0026407A"/>
    <w:rsid w:val="002667BD"/>
    <w:rsid w:val="00266C2C"/>
    <w:rsid w:val="002752A2"/>
    <w:rsid w:val="00277DA5"/>
    <w:rsid w:val="00283F8D"/>
    <w:rsid w:val="00286F73"/>
    <w:rsid w:val="002871A0"/>
    <w:rsid w:val="00292C05"/>
    <w:rsid w:val="002930FE"/>
    <w:rsid w:val="00294B32"/>
    <w:rsid w:val="00296586"/>
    <w:rsid w:val="002975AB"/>
    <w:rsid w:val="002A353C"/>
    <w:rsid w:val="002A3896"/>
    <w:rsid w:val="002A4AD5"/>
    <w:rsid w:val="002A54CF"/>
    <w:rsid w:val="002A589A"/>
    <w:rsid w:val="002A59B1"/>
    <w:rsid w:val="002A752F"/>
    <w:rsid w:val="002B1298"/>
    <w:rsid w:val="002B23D0"/>
    <w:rsid w:val="002B4B59"/>
    <w:rsid w:val="002B674C"/>
    <w:rsid w:val="002B6D08"/>
    <w:rsid w:val="002B747E"/>
    <w:rsid w:val="002B7E3F"/>
    <w:rsid w:val="002C22A1"/>
    <w:rsid w:val="002C39C0"/>
    <w:rsid w:val="002D1C1E"/>
    <w:rsid w:val="002D2382"/>
    <w:rsid w:val="002D3BF5"/>
    <w:rsid w:val="002D5111"/>
    <w:rsid w:val="002E02AA"/>
    <w:rsid w:val="002E0454"/>
    <w:rsid w:val="002E5DC7"/>
    <w:rsid w:val="002E687B"/>
    <w:rsid w:val="002E735A"/>
    <w:rsid w:val="002F1CB7"/>
    <w:rsid w:val="002F2DE4"/>
    <w:rsid w:val="002F2E7A"/>
    <w:rsid w:val="002F5997"/>
    <w:rsid w:val="002F5AEB"/>
    <w:rsid w:val="002F6841"/>
    <w:rsid w:val="002F7FE9"/>
    <w:rsid w:val="00303C70"/>
    <w:rsid w:val="003077AE"/>
    <w:rsid w:val="00311481"/>
    <w:rsid w:val="003122DB"/>
    <w:rsid w:val="00313F28"/>
    <w:rsid w:val="00314B8D"/>
    <w:rsid w:val="00316EA0"/>
    <w:rsid w:val="0031734C"/>
    <w:rsid w:val="00317AAB"/>
    <w:rsid w:val="00321825"/>
    <w:rsid w:val="003223F4"/>
    <w:rsid w:val="00324C3F"/>
    <w:rsid w:val="003257CA"/>
    <w:rsid w:val="0032665F"/>
    <w:rsid w:val="003338C7"/>
    <w:rsid w:val="00333B89"/>
    <w:rsid w:val="003343FD"/>
    <w:rsid w:val="00342159"/>
    <w:rsid w:val="003464B8"/>
    <w:rsid w:val="003476C9"/>
    <w:rsid w:val="00347ACB"/>
    <w:rsid w:val="00350881"/>
    <w:rsid w:val="00351E45"/>
    <w:rsid w:val="00352EC7"/>
    <w:rsid w:val="003530C2"/>
    <w:rsid w:val="00354185"/>
    <w:rsid w:val="0035430A"/>
    <w:rsid w:val="00356157"/>
    <w:rsid w:val="003576BE"/>
    <w:rsid w:val="00362939"/>
    <w:rsid w:val="003654D4"/>
    <w:rsid w:val="003677AC"/>
    <w:rsid w:val="00370E43"/>
    <w:rsid w:val="0037219F"/>
    <w:rsid w:val="003723A3"/>
    <w:rsid w:val="003740A0"/>
    <w:rsid w:val="00375CA4"/>
    <w:rsid w:val="00376EE3"/>
    <w:rsid w:val="00377F6F"/>
    <w:rsid w:val="00380458"/>
    <w:rsid w:val="003816F6"/>
    <w:rsid w:val="00383685"/>
    <w:rsid w:val="00384B89"/>
    <w:rsid w:val="00386387"/>
    <w:rsid w:val="00386F2C"/>
    <w:rsid w:val="003871DA"/>
    <w:rsid w:val="00387B55"/>
    <w:rsid w:val="00387D73"/>
    <w:rsid w:val="00391ABC"/>
    <w:rsid w:val="00392DEA"/>
    <w:rsid w:val="00393612"/>
    <w:rsid w:val="003939DB"/>
    <w:rsid w:val="0039419A"/>
    <w:rsid w:val="003946E2"/>
    <w:rsid w:val="0039504E"/>
    <w:rsid w:val="00395AD5"/>
    <w:rsid w:val="00396441"/>
    <w:rsid w:val="00396B1B"/>
    <w:rsid w:val="003A1373"/>
    <w:rsid w:val="003A1AB7"/>
    <w:rsid w:val="003A21BA"/>
    <w:rsid w:val="003A24D9"/>
    <w:rsid w:val="003B02E5"/>
    <w:rsid w:val="003B1747"/>
    <w:rsid w:val="003B334B"/>
    <w:rsid w:val="003B6FF1"/>
    <w:rsid w:val="003B750E"/>
    <w:rsid w:val="003B7A54"/>
    <w:rsid w:val="003C1199"/>
    <w:rsid w:val="003C22AA"/>
    <w:rsid w:val="003C2550"/>
    <w:rsid w:val="003C35BC"/>
    <w:rsid w:val="003C75DA"/>
    <w:rsid w:val="003C7D1F"/>
    <w:rsid w:val="003D0715"/>
    <w:rsid w:val="003D20F3"/>
    <w:rsid w:val="003D392B"/>
    <w:rsid w:val="003D4E61"/>
    <w:rsid w:val="003D714F"/>
    <w:rsid w:val="003D7624"/>
    <w:rsid w:val="003E0F40"/>
    <w:rsid w:val="003E43E7"/>
    <w:rsid w:val="003F3C29"/>
    <w:rsid w:val="003F56C9"/>
    <w:rsid w:val="003F6F07"/>
    <w:rsid w:val="003F79EB"/>
    <w:rsid w:val="004013A9"/>
    <w:rsid w:val="00402FD3"/>
    <w:rsid w:val="00403AD9"/>
    <w:rsid w:val="00404033"/>
    <w:rsid w:val="004053D2"/>
    <w:rsid w:val="00406B1A"/>
    <w:rsid w:val="00406C25"/>
    <w:rsid w:val="004154E0"/>
    <w:rsid w:val="004170F2"/>
    <w:rsid w:val="0042281A"/>
    <w:rsid w:val="00424A2C"/>
    <w:rsid w:val="004266C8"/>
    <w:rsid w:val="00427E5C"/>
    <w:rsid w:val="00431041"/>
    <w:rsid w:val="00431B90"/>
    <w:rsid w:val="00435200"/>
    <w:rsid w:val="0044031A"/>
    <w:rsid w:val="00440ED5"/>
    <w:rsid w:val="00441020"/>
    <w:rsid w:val="00442333"/>
    <w:rsid w:val="00442D16"/>
    <w:rsid w:val="00443954"/>
    <w:rsid w:val="004439C8"/>
    <w:rsid w:val="0044400E"/>
    <w:rsid w:val="004440AF"/>
    <w:rsid w:val="00445AEE"/>
    <w:rsid w:val="00447D51"/>
    <w:rsid w:val="00447E0E"/>
    <w:rsid w:val="00450AE3"/>
    <w:rsid w:val="00453F3B"/>
    <w:rsid w:val="00454377"/>
    <w:rsid w:val="00454B89"/>
    <w:rsid w:val="00454C0E"/>
    <w:rsid w:val="00456509"/>
    <w:rsid w:val="004569E5"/>
    <w:rsid w:val="00457701"/>
    <w:rsid w:val="00461788"/>
    <w:rsid w:val="00462EE2"/>
    <w:rsid w:val="00463B7B"/>
    <w:rsid w:val="00464676"/>
    <w:rsid w:val="0046765B"/>
    <w:rsid w:val="00470AE0"/>
    <w:rsid w:val="00472CE2"/>
    <w:rsid w:val="00473B33"/>
    <w:rsid w:val="00474E49"/>
    <w:rsid w:val="004760C7"/>
    <w:rsid w:val="00476D4D"/>
    <w:rsid w:val="004833F3"/>
    <w:rsid w:val="00483662"/>
    <w:rsid w:val="00484D91"/>
    <w:rsid w:val="0049032B"/>
    <w:rsid w:val="00491115"/>
    <w:rsid w:val="004926CB"/>
    <w:rsid w:val="0049386D"/>
    <w:rsid w:val="0049482B"/>
    <w:rsid w:val="004A00A6"/>
    <w:rsid w:val="004B10B2"/>
    <w:rsid w:val="004B399B"/>
    <w:rsid w:val="004B4AC8"/>
    <w:rsid w:val="004B512A"/>
    <w:rsid w:val="004B6D5A"/>
    <w:rsid w:val="004C0C34"/>
    <w:rsid w:val="004C4D53"/>
    <w:rsid w:val="004C4FF4"/>
    <w:rsid w:val="004C69DA"/>
    <w:rsid w:val="004C7FE8"/>
    <w:rsid w:val="004D0A18"/>
    <w:rsid w:val="004D0D4E"/>
    <w:rsid w:val="004D0FDA"/>
    <w:rsid w:val="004D5151"/>
    <w:rsid w:val="004D64FB"/>
    <w:rsid w:val="004E3456"/>
    <w:rsid w:val="004E508C"/>
    <w:rsid w:val="004E7819"/>
    <w:rsid w:val="004E7CC2"/>
    <w:rsid w:val="004F1584"/>
    <w:rsid w:val="004F24E4"/>
    <w:rsid w:val="004F2506"/>
    <w:rsid w:val="004F3347"/>
    <w:rsid w:val="004F457A"/>
    <w:rsid w:val="004F6A6B"/>
    <w:rsid w:val="004F7895"/>
    <w:rsid w:val="00500E42"/>
    <w:rsid w:val="005014E5"/>
    <w:rsid w:val="00502A5F"/>
    <w:rsid w:val="00503028"/>
    <w:rsid w:val="005035C5"/>
    <w:rsid w:val="00504EA8"/>
    <w:rsid w:val="005057D9"/>
    <w:rsid w:val="0050588D"/>
    <w:rsid w:val="0050737E"/>
    <w:rsid w:val="00511531"/>
    <w:rsid w:val="00511AD7"/>
    <w:rsid w:val="0051287E"/>
    <w:rsid w:val="00512F11"/>
    <w:rsid w:val="0051340C"/>
    <w:rsid w:val="0051526D"/>
    <w:rsid w:val="0051571D"/>
    <w:rsid w:val="00517CC9"/>
    <w:rsid w:val="005203CC"/>
    <w:rsid w:val="0052121A"/>
    <w:rsid w:val="0052496D"/>
    <w:rsid w:val="005249D9"/>
    <w:rsid w:val="00524F10"/>
    <w:rsid w:val="00525836"/>
    <w:rsid w:val="00526B94"/>
    <w:rsid w:val="00527861"/>
    <w:rsid w:val="00527A75"/>
    <w:rsid w:val="00530715"/>
    <w:rsid w:val="0053262C"/>
    <w:rsid w:val="00533EC1"/>
    <w:rsid w:val="00534118"/>
    <w:rsid w:val="00537601"/>
    <w:rsid w:val="00537B36"/>
    <w:rsid w:val="00540F8D"/>
    <w:rsid w:val="00541C08"/>
    <w:rsid w:val="00542E1E"/>
    <w:rsid w:val="005436B5"/>
    <w:rsid w:val="00543D65"/>
    <w:rsid w:val="005466EE"/>
    <w:rsid w:val="00552092"/>
    <w:rsid w:val="005522A8"/>
    <w:rsid w:val="00552EAE"/>
    <w:rsid w:val="005553EA"/>
    <w:rsid w:val="00557997"/>
    <w:rsid w:val="00560237"/>
    <w:rsid w:val="005608BC"/>
    <w:rsid w:val="00560AC8"/>
    <w:rsid w:val="005616C8"/>
    <w:rsid w:val="005624BD"/>
    <w:rsid w:val="00564674"/>
    <w:rsid w:val="00564F12"/>
    <w:rsid w:val="005666AA"/>
    <w:rsid w:val="0056721E"/>
    <w:rsid w:val="00570F10"/>
    <w:rsid w:val="005715BC"/>
    <w:rsid w:val="00574D25"/>
    <w:rsid w:val="0057516B"/>
    <w:rsid w:val="005753C3"/>
    <w:rsid w:val="00575DD5"/>
    <w:rsid w:val="00575DF8"/>
    <w:rsid w:val="00576A62"/>
    <w:rsid w:val="005777E8"/>
    <w:rsid w:val="00577FF0"/>
    <w:rsid w:val="00580F79"/>
    <w:rsid w:val="00580F8A"/>
    <w:rsid w:val="005812CA"/>
    <w:rsid w:val="005822A3"/>
    <w:rsid w:val="00584009"/>
    <w:rsid w:val="00584789"/>
    <w:rsid w:val="00586104"/>
    <w:rsid w:val="0058646F"/>
    <w:rsid w:val="005866FF"/>
    <w:rsid w:val="005867F8"/>
    <w:rsid w:val="00587C0D"/>
    <w:rsid w:val="00592A75"/>
    <w:rsid w:val="00593483"/>
    <w:rsid w:val="00595266"/>
    <w:rsid w:val="00595ED3"/>
    <w:rsid w:val="005A297C"/>
    <w:rsid w:val="005A2DA0"/>
    <w:rsid w:val="005A4120"/>
    <w:rsid w:val="005A420C"/>
    <w:rsid w:val="005A4A97"/>
    <w:rsid w:val="005A51FC"/>
    <w:rsid w:val="005A5A0D"/>
    <w:rsid w:val="005B1A2E"/>
    <w:rsid w:val="005B3D60"/>
    <w:rsid w:val="005B4106"/>
    <w:rsid w:val="005B575B"/>
    <w:rsid w:val="005B588C"/>
    <w:rsid w:val="005B6931"/>
    <w:rsid w:val="005B7FD2"/>
    <w:rsid w:val="005C0D96"/>
    <w:rsid w:val="005C17D0"/>
    <w:rsid w:val="005C58A7"/>
    <w:rsid w:val="005C7073"/>
    <w:rsid w:val="005D0C1D"/>
    <w:rsid w:val="005D1417"/>
    <w:rsid w:val="005D23E0"/>
    <w:rsid w:val="005D2F3A"/>
    <w:rsid w:val="005D318F"/>
    <w:rsid w:val="005D44AA"/>
    <w:rsid w:val="005D559D"/>
    <w:rsid w:val="005E033E"/>
    <w:rsid w:val="005E122D"/>
    <w:rsid w:val="005E247F"/>
    <w:rsid w:val="005E2B7C"/>
    <w:rsid w:val="005E32A0"/>
    <w:rsid w:val="005E4BCC"/>
    <w:rsid w:val="005E57BA"/>
    <w:rsid w:val="005E75EB"/>
    <w:rsid w:val="005F05B1"/>
    <w:rsid w:val="005F20F4"/>
    <w:rsid w:val="005F23F7"/>
    <w:rsid w:val="005F3C30"/>
    <w:rsid w:val="005F3DDE"/>
    <w:rsid w:val="00602D3D"/>
    <w:rsid w:val="00603C58"/>
    <w:rsid w:val="006046DB"/>
    <w:rsid w:val="0060494B"/>
    <w:rsid w:val="006070E5"/>
    <w:rsid w:val="0061094A"/>
    <w:rsid w:val="00611EAC"/>
    <w:rsid w:val="00611F70"/>
    <w:rsid w:val="00612C87"/>
    <w:rsid w:val="00612D67"/>
    <w:rsid w:val="00613ED8"/>
    <w:rsid w:val="00615D9D"/>
    <w:rsid w:val="00616CF9"/>
    <w:rsid w:val="0062030F"/>
    <w:rsid w:val="00620F52"/>
    <w:rsid w:val="0062170F"/>
    <w:rsid w:val="0062285E"/>
    <w:rsid w:val="00622A7D"/>
    <w:rsid w:val="00623AA1"/>
    <w:rsid w:val="00624CF7"/>
    <w:rsid w:val="006264B0"/>
    <w:rsid w:val="00626A83"/>
    <w:rsid w:val="006335D1"/>
    <w:rsid w:val="00634208"/>
    <w:rsid w:val="00634A7E"/>
    <w:rsid w:val="00637423"/>
    <w:rsid w:val="00637E66"/>
    <w:rsid w:val="006416A5"/>
    <w:rsid w:val="0064183D"/>
    <w:rsid w:val="006424EE"/>
    <w:rsid w:val="00642D50"/>
    <w:rsid w:val="006455BD"/>
    <w:rsid w:val="00645954"/>
    <w:rsid w:val="00645D83"/>
    <w:rsid w:val="00651BD8"/>
    <w:rsid w:val="00654957"/>
    <w:rsid w:val="00660443"/>
    <w:rsid w:val="00660DA6"/>
    <w:rsid w:val="00662A92"/>
    <w:rsid w:val="00663092"/>
    <w:rsid w:val="00663DDE"/>
    <w:rsid w:val="006648D9"/>
    <w:rsid w:val="00665CA5"/>
    <w:rsid w:val="00667E24"/>
    <w:rsid w:val="006708D4"/>
    <w:rsid w:val="00671652"/>
    <w:rsid w:val="006730FA"/>
    <w:rsid w:val="006739F1"/>
    <w:rsid w:val="0067557A"/>
    <w:rsid w:val="006766EB"/>
    <w:rsid w:val="00677F72"/>
    <w:rsid w:val="00681048"/>
    <w:rsid w:val="006811D4"/>
    <w:rsid w:val="006832D0"/>
    <w:rsid w:val="00683F9C"/>
    <w:rsid w:val="00684EA1"/>
    <w:rsid w:val="0069009A"/>
    <w:rsid w:val="00691FA9"/>
    <w:rsid w:val="00692633"/>
    <w:rsid w:val="0069304E"/>
    <w:rsid w:val="0069375B"/>
    <w:rsid w:val="00694621"/>
    <w:rsid w:val="00694F13"/>
    <w:rsid w:val="00697986"/>
    <w:rsid w:val="006A13CB"/>
    <w:rsid w:val="006A1A2A"/>
    <w:rsid w:val="006A1C76"/>
    <w:rsid w:val="006A3B31"/>
    <w:rsid w:val="006A4E7E"/>
    <w:rsid w:val="006A5A91"/>
    <w:rsid w:val="006B010E"/>
    <w:rsid w:val="006B0353"/>
    <w:rsid w:val="006B0C78"/>
    <w:rsid w:val="006B1A9D"/>
    <w:rsid w:val="006B2D07"/>
    <w:rsid w:val="006B3A71"/>
    <w:rsid w:val="006B507D"/>
    <w:rsid w:val="006B6F15"/>
    <w:rsid w:val="006C07BD"/>
    <w:rsid w:val="006C124F"/>
    <w:rsid w:val="006C210D"/>
    <w:rsid w:val="006C21A0"/>
    <w:rsid w:val="006C3DF7"/>
    <w:rsid w:val="006C4411"/>
    <w:rsid w:val="006C55CA"/>
    <w:rsid w:val="006C5C25"/>
    <w:rsid w:val="006C5FAA"/>
    <w:rsid w:val="006D2F70"/>
    <w:rsid w:val="006D39F7"/>
    <w:rsid w:val="006D60D7"/>
    <w:rsid w:val="006E024A"/>
    <w:rsid w:val="006E05E0"/>
    <w:rsid w:val="006E0B4B"/>
    <w:rsid w:val="006E2D32"/>
    <w:rsid w:val="006E4149"/>
    <w:rsid w:val="006E699F"/>
    <w:rsid w:val="006E6B4B"/>
    <w:rsid w:val="006E7266"/>
    <w:rsid w:val="006F1035"/>
    <w:rsid w:val="006F1206"/>
    <w:rsid w:val="006F1918"/>
    <w:rsid w:val="006F30F0"/>
    <w:rsid w:val="006F500D"/>
    <w:rsid w:val="006F5DD5"/>
    <w:rsid w:val="006F6287"/>
    <w:rsid w:val="006F740E"/>
    <w:rsid w:val="006F7B03"/>
    <w:rsid w:val="00700711"/>
    <w:rsid w:val="00702253"/>
    <w:rsid w:val="0070273B"/>
    <w:rsid w:val="0070462A"/>
    <w:rsid w:val="00705B09"/>
    <w:rsid w:val="007076DF"/>
    <w:rsid w:val="00707F65"/>
    <w:rsid w:val="00710F26"/>
    <w:rsid w:val="007125A1"/>
    <w:rsid w:val="00712C5D"/>
    <w:rsid w:val="007147CF"/>
    <w:rsid w:val="0071544E"/>
    <w:rsid w:val="007174E4"/>
    <w:rsid w:val="0072150F"/>
    <w:rsid w:val="00722D82"/>
    <w:rsid w:val="00725DB5"/>
    <w:rsid w:val="0072676D"/>
    <w:rsid w:val="007267E0"/>
    <w:rsid w:val="00730DAB"/>
    <w:rsid w:val="00731012"/>
    <w:rsid w:val="007313B1"/>
    <w:rsid w:val="00731F18"/>
    <w:rsid w:val="00732DB2"/>
    <w:rsid w:val="00733E39"/>
    <w:rsid w:val="007346C2"/>
    <w:rsid w:val="00735509"/>
    <w:rsid w:val="00736759"/>
    <w:rsid w:val="00736DBB"/>
    <w:rsid w:val="0074316C"/>
    <w:rsid w:val="00746543"/>
    <w:rsid w:val="0075076D"/>
    <w:rsid w:val="0075304C"/>
    <w:rsid w:val="00753ED9"/>
    <w:rsid w:val="00756557"/>
    <w:rsid w:val="00756837"/>
    <w:rsid w:val="00756949"/>
    <w:rsid w:val="007607CE"/>
    <w:rsid w:val="007619F6"/>
    <w:rsid w:val="00761C31"/>
    <w:rsid w:val="00763856"/>
    <w:rsid w:val="007671F9"/>
    <w:rsid w:val="00767387"/>
    <w:rsid w:val="0076751F"/>
    <w:rsid w:val="007705A0"/>
    <w:rsid w:val="00770699"/>
    <w:rsid w:val="007712E2"/>
    <w:rsid w:val="007715BC"/>
    <w:rsid w:val="007727D1"/>
    <w:rsid w:val="00774324"/>
    <w:rsid w:val="007749FE"/>
    <w:rsid w:val="0077558A"/>
    <w:rsid w:val="00776198"/>
    <w:rsid w:val="007777E9"/>
    <w:rsid w:val="00785B07"/>
    <w:rsid w:val="0079073A"/>
    <w:rsid w:val="00790DB1"/>
    <w:rsid w:val="00791DC9"/>
    <w:rsid w:val="00793897"/>
    <w:rsid w:val="007949CB"/>
    <w:rsid w:val="00796491"/>
    <w:rsid w:val="00797318"/>
    <w:rsid w:val="00797D94"/>
    <w:rsid w:val="007A0F41"/>
    <w:rsid w:val="007A2A00"/>
    <w:rsid w:val="007A2AF9"/>
    <w:rsid w:val="007A304D"/>
    <w:rsid w:val="007A3806"/>
    <w:rsid w:val="007A3AF3"/>
    <w:rsid w:val="007A60A4"/>
    <w:rsid w:val="007A7704"/>
    <w:rsid w:val="007B1394"/>
    <w:rsid w:val="007B17A7"/>
    <w:rsid w:val="007B1CDC"/>
    <w:rsid w:val="007B254D"/>
    <w:rsid w:val="007B5376"/>
    <w:rsid w:val="007B6E0C"/>
    <w:rsid w:val="007C1A61"/>
    <w:rsid w:val="007C1C03"/>
    <w:rsid w:val="007C1C78"/>
    <w:rsid w:val="007C28C2"/>
    <w:rsid w:val="007C3BBD"/>
    <w:rsid w:val="007C5D86"/>
    <w:rsid w:val="007C6C1C"/>
    <w:rsid w:val="007C75CA"/>
    <w:rsid w:val="007D0293"/>
    <w:rsid w:val="007D0883"/>
    <w:rsid w:val="007D3131"/>
    <w:rsid w:val="007D39CB"/>
    <w:rsid w:val="007D4992"/>
    <w:rsid w:val="007D4BD7"/>
    <w:rsid w:val="007D5701"/>
    <w:rsid w:val="007D579A"/>
    <w:rsid w:val="007D6472"/>
    <w:rsid w:val="007D6B60"/>
    <w:rsid w:val="007D6DAF"/>
    <w:rsid w:val="007E1783"/>
    <w:rsid w:val="007E4A11"/>
    <w:rsid w:val="007E4C72"/>
    <w:rsid w:val="007E5DBF"/>
    <w:rsid w:val="007E6668"/>
    <w:rsid w:val="007E6C3E"/>
    <w:rsid w:val="007E757B"/>
    <w:rsid w:val="007E7EE3"/>
    <w:rsid w:val="007F26BB"/>
    <w:rsid w:val="007F5E79"/>
    <w:rsid w:val="007F64EF"/>
    <w:rsid w:val="007F6AF8"/>
    <w:rsid w:val="008012B1"/>
    <w:rsid w:val="008046C0"/>
    <w:rsid w:val="00805F4C"/>
    <w:rsid w:val="00806385"/>
    <w:rsid w:val="00806E24"/>
    <w:rsid w:val="0080797D"/>
    <w:rsid w:val="00810831"/>
    <w:rsid w:val="0081126F"/>
    <w:rsid w:val="008133DE"/>
    <w:rsid w:val="0081618D"/>
    <w:rsid w:val="008163D4"/>
    <w:rsid w:val="00817AC6"/>
    <w:rsid w:val="008200A6"/>
    <w:rsid w:val="008202EF"/>
    <w:rsid w:val="00821913"/>
    <w:rsid w:val="00824147"/>
    <w:rsid w:val="00826B93"/>
    <w:rsid w:val="00831ED9"/>
    <w:rsid w:val="00831FED"/>
    <w:rsid w:val="008329B9"/>
    <w:rsid w:val="00833AB7"/>
    <w:rsid w:val="00836113"/>
    <w:rsid w:val="00836513"/>
    <w:rsid w:val="0084005A"/>
    <w:rsid w:val="008409C5"/>
    <w:rsid w:val="00841611"/>
    <w:rsid w:val="0084198A"/>
    <w:rsid w:val="008424AB"/>
    <w:rsid w:val="00842E35"/>
    <w:rsid w:val="00844257"/>
    <w:rsid w:val="00844649"/>
    <w:rsid w:val="00847350"/>
    <w:rsid w:val="00847D9D"/>
    <w:rsid w:val="00847F46"/>
    <w:rsid w:val="008504F9"/>
    <w:rsid w:val="00852D11"/>
    <w:rsid w:val="00856CBF"/>
    <w:rsid w:val="00857566"/>
    <w:rsid w:val="00861B20"/>
    <w:rsid w:val="00865369"/>
    <w:rsid w:val="008661A0"/>
    <w:rsid w:val="008661CE"/>
    <w:rsid w:val="008672D1"/>
    <w:rsid w:val="008678A5"/>
    <w:rsid w:val="008720B3"/>
    <w:rsid w:val="008747D8"/>
    <w:rsid w:val="00875027"/>
    <w:rsid w:val="008755A5"/>
    <w:rsid w:val="0087606E"/>
    <w:rsid w:val="00876221"/>
    <w:rsid w:val="0087736D"/>
    <w:rsid w:val="008778CF"/>
    <w:rsid w:val="0088022C"/>
    <w:rsid w:val="008821C1"/>
    <w:rsid w:val="008825A3"/>
    <w:rsid w:val="008832C1"/>
    <w:rsid w:val="00883492"/>
    <w:rsid w:val="0088392C"/>
    <w:rsid w:val="00883942"/>
    <w:rsid w:val="00884AB1"/>
    <w:rsid w:val="00886CC4"/>
    <w:rsid w:val="00886CC7"/>
    <w:rsid w:val="0088796C"/>
    <w:rsid w:val="008903BE"/>
    <w:rsid w:val="008922C0"/>
    <w:rsid w:val="00895015"/>
    <w:rsid w:val="008973D9"/>
    <w:rsid w:val="008A17B9"/>
    <w:rsid w:val="008A19CE"/>
    <w:rsid w:val="008A1C9C"/>
    <w:rsid w:val="008A2F5E"/>
    <w:rsid w:val="008A7DBD"/>
    <w:rsid w:val="008B3350"/>
    <w:rsid w:val="008B4797"/>
    <w:rsid w:val="008B4F3F"/>
    <w:rsid w:val="008B79BC"/>
    <w:rsid w:val="008C1966"/>
    <w:rsid w:val="008C1D8F"/>
    <w:rsid w:val="008C2762"/>
    <w:rsid w:val="008C3B7F"/>
    <w:rsid w:val="008C537F"/>
    <w:rsid w:val="008C6300"/>
    <w:rsid w:val="008C67DD"/>
    <w:rsid w:val="008C6A0A"/>
    <w:rsid w:val="008C6E0E"/>
    <w:rsid w:val="008C6E79"/>
    <w:rsid w:val="008C6EA1"/>
    <w:rsid w:val="008D0E98"/>
    <w:rsid w:val="008D241F"/>
    <w:rsid w:val="008D2737"/>
    <w:rsid w:val="008D3A46"/>
    <w:rsid w:val="008D3A6C"/>
    <w:rsid w:val="008D3F20"/>
    <w:rsid w:val="008E1FEB"/>
    <w:rsid w:val="008E3735"/>
    <w:rsid w:val="008E3C19"/>
    <w:rsid w:val="008E4F24"/>
    <w:rsid w:val="008E50E0"/>
    <w:rsid w:val="008E6CA4"/>
    <w:rsid w:val="008E6FB8"/>
    <w:rsid w:val="008E7A6C"/>
    <w:rsid w:val="008F0E0A"/>
    <w:rsid w:val="008F3B32"/>
    <w:rsid w:val="008F5CEF"/>
    <w:rsid w:val="008F674F"/>
    <w:rsid w:val="00900696"/>
    <w:rsid w:val="0090117C"/>
    <w:rsid w:val="0090141E"/>
    <w:rsid w:val="00902F39"/>
    <w:rsid w:val="00902F8B"/>
    <w:rsid w:val="009035FC"/>
    <w:rsid w:val="00904299"/>
    <w:rsid w:val="009047A7"/>
    <w:rsid w:val="00905A00"/>
    <w:rsid w:val="00905B28"/>
    <w:rsid w:val="00905B90"/>
    <w:rsid w:val="00906106"/>
    <w:rsid w:val="00907288"/>
    <w:rsid w:val="00907F5F"/>
    <w:rsid w:val="00912713"/>
    <w:rsid w:val="009146D9"/>
    <w:rsid w:val="00915EB2"/>
    <w:rsid w:val="009172DB"/>
    <w:rsid w:val="009201A0"/>
    <w:rsid w:val="00922C79"/>
    <w:rsid w:val="00922CD2"/>
    <w:rsid w:val="009233FC"/>
    <w:rsid w:val="00925B6E"/>
    <w:rsid w:val="00926C07"/>
    <w:rsid w:val="009271C6"/>
    <w:rsid w:val="009303A6"/>
    <w:rsid w:val="00930DB0"/>
    <w:rsid w:val="009314E7"/>
    <w:rsid w:val="009341EF"/>
    <w:rsid w:val="009359A0"/>
    <w:rsid w:val="0094196E"/>
    <w:rsid w:val="00946704"/>
    <w:rsid w:val="00946AF1"/>
    <w:rsid w:val="00946C73"/>
    <w:rsid w:val="00946F21"/>
    <w:rsid w:val="0094756D"/>
    <w:rsid w:val="00951630"/>
    <w:rsid w:val="00951F81"/>
    <w:rsid w:val="0095283D"/>
    <w:rsid w:val="0095407F"/>
    <w:rsid w:val="00955EFB"/>
    <w:rsid w:val="00956175"/>
    <w:rsid w:val="00956628"/>
    <w:rsid w:val="009567E4"/>
    <w:rsid w:val="009640A5"/>
    <w:rsid w:val="0096482A"/>
    <w:rsid w:val="00964B14"/>
    <w:rsid w:val="00965FBF"/>
    <w:rsid w:val="00966E71"/>
    <w:rsid w:val="009671F1"/>
    <w:rsid w:val="009713F3"/>
    <w:rsid w:val="009756B4"/>
    <w:rsid w:val="009758B9"/>
    <w:rsid w:val="009762F2"/>
    <w:rsid w:val="00976431"/>
    <w:rsid w:val="00976B50"/>
    <w:rsid w:val="00976D7F"/>
    <w:rsid w:val="00977816"/>
    <w:rsid w:val="00980CE9"/>
    <w:rsid w:val="00982440"/>
    <w:rsid w:val="0098271D"/>
    <w:rsid w:val="0099506A"/>
    <w:rsid w:val="0099630E"/>
    <w:rsid w:val="009A0A52"/>
    <w:rsid w:val="009A1099"/>
    <w:rsid w:val="009A1821"/>
    <w:rsid w:val="009A31D9"/>
    <w:rsid w:val="009A4AEF"/>
    <w:rsid w:val="009A5E89"/>
    <w:rsid w:val="009A6F15"/>
    <w:rsid w:val="009A7E59"/>
    <w:rsid w:val="009B3A1F"/>
    <w:rsid w:val="009B3A43"/>
    <w:rsid w:val="009B3C4A"/>
    <w:rsid w:val="009C28D2"/>
    <w:rsid w:val="009C428A"/>
    <w:rsid w:val="009C574E"/>
    <w:rsid w:val="009D194F"/>
    <w:rsid w:val="009D1A04"/>
    <w:rsid w:val="009D1DC0"/>
    <w:rsid w:val="009D2405"/>
    <w:rsid w:val="009D5874"/>
    <w:rsid w:val="009D6301"/>
    <w:rsid w:val="009D65E4"/>
    <w:rsid w:val="009D71A7"/>
    <w:rsid w:val="009E0D2F"/>
    <w:rsid w:val="009E13CF"/>
    <w:rsid w:val="009E2A37"/>
    <w:rsid w:val="009E36C1"/>
    <w:rsid w:val="009E44E8"/>
    <w:rsid w:val="009E6DFD"/>
    <w:rsid w:val="009E6EBA"/>
    <w:rsid w:val="009E78B7"/>
    <w:rsid w:val="009E7F17"/>
    <w:rsid w:val="009F1CA5"/>
    <w:rsid w:val="009F22D7"/>
    <w:rsid w:val="009F24C2"/>
    <w:rsid w:val="009F4EDC"/>
    <w:rsid w:val="009F52A0"/>
    <w:rsid w:val="00A0229C"/>
    <w:rsid w:val="00A036F2"/>
    <w:rsid w:val="00A0465F"/>
    <w:rsid w:val="00A0475B"/>
    <w:rsid w:val="00A054B6"/>
    <w:rsid w:val="00A061D6"/>
    <w:rsid w:val="00A077E7"/>
    <w:rsid w:val="00A079D4"/>
    <w:rsid w:val="00A103EA"/>
    <w:rsid w:val="00A105F1"/>
    <w:rsid w:val="00A14175"/>
    <w:rsid w:val="00A14463"/>
    <w:rsid w:val="00A15CE5"/>
    <w:rsid w:val="00A1738C"/>
    <w:rsid w:val="00A17B65"/>
    <w:rsid w:val="00A200BC"/>
    <w:rsid w:val="00A21275"/>
    <w:rsid w:val="00A21C7D"/>
    <w:rsid w:val="00A22433"/>
    <w:rsid w:val="00A22A7F"/>
    <w:rsid w:val="00A257E5"/>
    <w:rsid w:val="00A271F5"/>
    <w:rsid w:val="00A27738"/>
    <w:rsid w:val="00A311A9"/>
    <w:rsid w:val="00A3156B"/>
    <w:rsid w:val="00A31D0C"/>
    <w:rsid w:val="00A348A0"/>
    <w:rsid w:val="00A34D4F"/>
    <w:rsid w:val="00A35477"/>
    <w:rsid w:val="00A36F6F"/>
    <w:rsid w:val="00A37D50"/>
    <w:rsid w:val="00A41D8B"/>
    <w:rsid w:val="00A4424C"/>
    <w:rsid w:val="00A45318"/>
    <w:rsid w:val="00A45FA7"/>
    <w:rsid w:val="00A46799"/>
    <w:rsid w:val="00A46FB9"/>
    <w:rsid w:val="00A516E1"/>
    <w:rsid w:val="00A521C3"/>
    <w:rsid w:val="00A52DBA"/>
    <w:rsid w:val="00A53382"/>
    <w:rsid w:val="00A54404"/>
    <w:rsid w:val="00A602AE"/>
    <w:rsid w:val="00A60884"/>
    <w:rsid w:val="00A60D96"/>
    <w:rsid w:val="00A61E61"/>
    <w:rsid w:val="00A63457"/>
    <w:rsid w:val="00A64222"/>
    <w:rsid w:val="00A64F1E"/>
    <w:rsid w:val="00A657A3"/>
    <w:rsid w:val="00A6668C"/>
    <w:rsid w:val="00A66EB0"/>
    <w:rsid w:val="00A6741A"/>
    <w:rsid w:val="00A7157D"/>
    <w:rsid w:val="00A71B89"/>
    <w:rsid w:val="00A73114"/>
    <w:rsid w:val="00A744A4"/>
    <w:rsid w:val="00A74773"/>
    <w:rsid w:val="00A74D6D"/>
    <w:rsid w:val="00A75B2D"/>
    <w:rsid w:val="00A773FE"/>
    <w:rsid w:val="00A77666"/>
    <w:rsid w:val="00A77CD1"/>
    <w:rsid w:val="00A807DF"/>
    <w:rsid w:val="00A83088"/>
    <w:rsid w:val="00A83562"/>
    <w:rsid w:val="00A851A5"/>
    <w:rsid w:val="00A85835"/>
    <w:rsid w:val="00A866CF"/>
    <w:rsid w:val="00A87911"/>
    <w:rsid w:val="00A87F23"/>
    <w:rsid w:val="00A91CDA"/>
    <w:rsid w:val="00A92784"/>
    <w:rsid w:val="00A928DF"/>
    <w:rsid w:val="00A929B1"/>
    <w:rsid w:val="00A92DC3"/>
    <w:rsid w:val="00A945C0"/>
    <w:rsid w:val="00A95161"/>
    <w:rsid w:val="00A9696F"/>
    <w:rsid w:val="00AA15D3"/>
    <w:rsid w:val="00AA31B0"/>
    <w:rsid w:val="00AA39CB"/>
    <w:rsid w:val="00AA3FF8"/>
    <w:rsid w:val="00AA423F"/>
    <w:rsid w:val="00AA577F"/>
    <w:rsid w:val="00AA6973"/>
    <w:rsid w:val="00AA6CDB"/>
    <w:rsid w:val="00AB1F0F"/>
    <w:rsid w:val="00AB303C"/>
    <w:rsid w:val="00AB38FE"/>
    <w:rsid w:val="00AB3CA8"/>
    <w:rsid w:val="00AC081C"/>
    <w:rsid w:val="00AC3C07"/>
    <w:rsid w:val="00AC45C6"/>
    <w:rsid w:val="00AC6FD2"/>
    <w:rsid w:val="00AC7494"/>
    <w:rsid w:val="00AC79B1"/>
    <w:rsid w:val="00AC7B96"/>
    <w:rsid w:val="00AD0F2A"/>
    <w:rsid w:val="00AD1934"/>
    <w:rsid w:val="00AD2E75"/>
    <w:rsid w:val="00AD4571"/>
    <w:rsid w:val="00AD472C"/>
    <w:rsid w:val="00AD58B0"/>
    <w:rsid w:val="00AE0D00"/>
    <w:rsid w:val="00AE10A3"/>
    <w:rsid w:val="00AE2F40"/>
    <w:rsid w:val="00AE74FD"/>
    <w:rsid w:val="00AF3998"/>
    <w:rsid w:val="00AF4DD5"/>
    <w:rsid w:val="00AF5A52"/>
    <w:rsid w:val="00AF5E96"/>
    <w:rsid w:val="00AF6664"/>
    <w:rsid w:val="00B0270F"/>
    <w:rsid w:val="00B03C1C"/>
    <w:rsid w:val="00B03DE0"/>
    <w:rsid w:val="00B046A8"/>
    <w:rsid w:val="00B0686F"/>
    <w:rsid w:val="00B06D2B"/>
    <w:rsid w:val="00B06F58"/>
    <w:rsid w:val="00B076C1"/>
    <w:rsid w:val="00B107E6"/>
    <w:rsid w:val="00B171C1"/>
    <w:rsid w:val="00B22796"/>
    <w:rsid w:val="00B30A08"/>
    <w:rsid w:val="00B31096"/>
    <w:rsid w:val="00B337A4"/>
    <w:rsid w:val="00B34280"/>
    <w:rsid w:val="00B343D8"/>
    <w:rsid w:val="00B3460E"/>
    <w:rsid w:val="00B355DE"/>
    <w:rsid w:val="00B3773B"/>
    <w:rsid w:val="00B42D15"/>
    <w:rsid w:val="00B43C28"/>
    <w:rsid w:val="00B44418"/>
    <w:rsid w:val="00B44E7E"/>
    <w:rsid w:val="00B50658"/>
    <w:rsid w:val="00B50AD2"/>
    <w:rsid w:val="00B522E7"/>
    <w:rsid w:val="00B53345"/>
    <w:rsid w:val="00B53769"/>
    <w:rsid w:val="00B55B93"/>
    <w:rsid w:val="00B55CB1"/>
    <w:rsid w:val="00B565DD"/>
    <w:rsid w:val="00B56F68"/>
    <w:rsid w:val="00B60860"/>
    <w:rsid w:val="00B60D86"/>
    <w:rsid w:val="00B61090"/>
    <w:rsid w:val="00B61984"/>
    <w:rsid w:val="00B61BB1"/>
    <w:rsid w:val="00B62782"/>
    <w:rsid w:val="00B631E1"/>
    <w:rsid w:val="00B63AE5"/>
    <w:rsid w:val="00B64357"/>
    <w:rsid w:val="00B644E3"/>
    <w:rsid w:val="00B67CF7"/>
    <w:rsid w:val="00B70B4E"/>
    <w:rsid w:val="00B7173C"/>
    <w:rsid w:val="00B71740"/>
    <w:rsid w:val="00B7241B"/>
    <w:rsid w:val="00B72E63"/>
    <w:rsid w:val="00B75B3A"/>
    <w:rsid w:val="00B75E19"/>
    <w:rsid w:val="00B77921"/>
    <w:rsid w:val="00B77CA9"/>
    <w:rsid w:val="00B80685"/>
    <w:rsid w:val="00B80C45"/>
    <w:rsid w:val="00B846FB"/>
    <w:rsid w:val="00B8643D"/>
    <w:rsid w:val="00B870D5"/>
    <w:rsid w:val="00B9021E"/>
    <w:rsid w:val="00B92912"/>
    <w:rsid w:val="00B95619"/>
    <w:rsid w:val="00B96171"/>
    <w:rsid w:val="00B96C57"/>
    <w:rsid w:val="00B96C8E"/>
    <w:rsid w:val="00B97F6B"/>
    <w:rsid w:val="00BA126A"/>
    <w:rsid w:val="00BA2E1A"/>
    <w:rsid w:val="00BA4960"/>
    <w:rsid w:val="00BA518C"/>
    <w:rsid w:val="00BA7840"/>
    <w:rsid w:val="00BB0291"/>
    <w:rsid w:val="00BB0585"/>
    <w:rsid w:val="00BB2E64"/>
    <w:rsid w:val="00BB3486"/>
    <w:rsid w:val="00BB375A"/>
    <w:rsid w:val="00BB3EA2"/>
    <w:rsid w:val="00BB4AA2"/>
    <w:rsid w:val="00BC05D0"/>
    <w:rsid w:val="00BC1F62"/>
    <w:rsid w:val="00BC22F9"/>
    <w:rsid w:val="00BC5971"/>
    <w:rsid w:val="00BC6666"/>
    <w:rsid w:val="00BC67A4"/>
    <w:rsid w:val="00BC7538"/>
    <w:rsid w:val="00BD0653"/>
    <w:rsid w:val="00BD1BA2"/>
    <w:rsid w:val="00BD1F1D"/>
    <w:rsid w:val="00BD33C4"/>
    <w:rsid w:val="00BD726D"/>
    <w:rsid w:val="00BD72C0"/>
    <w:rsid w:val="00BD778F"/>
    <w:rsid w:val="00BD7CB9"/>
    <w:rsid w:val="00BE030F"/>
    <w:rsid w:val="00BE0A56"/>
    <w:rsid w:val="00BE107D"/>
    <w:rsid w:val="00BE2B4C"/>
    <w:rsid w:val="00BE5FD9"/>
    <w:rsid w:val="00BE60E9"/>
    <w:rsid w:val="00BF0DC3"/>
    <w:rsid w:val="00BF0E92"/>
    <w:rsid w:val="00BF0EBA"/>
    <w:rsid w:val="00BF209D"/>
    <w:rsid w:val="00BF23D7"/>
    <w:rsid w:val="00BF275D"/>
    <w:rsid w:val="00BF37A4"/>
    <w:rsid w:val="00BF6FED"/>
    <w:rsid w:val="00BF76A3"/>
    <w:rsid w:val="00C003D4"/>
    <w:rsid w:val="00C00560"/>
    <w:rsid w:val="00C02ABF"/>
    <w:rsid w:val="00C03D00"/>
    <w:rsid w:val="00C102CD"/>
    <w:rsid w:val="00C11CD5"/>
    <w:rsid w:val="00C138A1"/>
    <w:rsid w:val="00C13D71"/>
    <w:rsid w:val="00C13E6D"/>
    <w:rsid w:val="00C16B6F"/>
    <w:rsid w:val="00C17222"/>
    <w:rsid w:val="00C21313"/>
    <w:rsid w:val="00C2155B"/>
    <w:rsid w:val="00C2234A"/>
    <w:rsid w:val="00C2296E"/>
    <w:rsid w:val="00C260E2"/>
    <w:rsid w:val="00C30ABA"/>
    <w:rsid w:val="00C30B1D"/>
    <w:rsid w:val="00C30E7F"/>
    <w:rsid w:val="00C31130"/>
    <w:rsid w:val="00C327E3"/>
    <w:rsid w:val="00C40319"/>
    <w:rsid w:val="00C42741"/>
    <w:rsid w:val="00C42805"/>
    <w:rsid w:val="00C43084"/>
    <w:rsid w:val="00C43CC4"/>
    <w:rsid w:val="00C447B8"/>
    <w:rsid w:val="00C45E6B"/>
    <w:rsid w:val="00C47765"/>
    <w:rsid w:val="00C47BA2"/>
    <w:rsid w:val="00C47C06"/>
    <w:rsid w:val="00C50606"/>
    <w:rsid w:val="00C51D0E"/>
    <w:rsid w:val="00C54C64"/>
    <w:rsid w:val="00C54D88"/>
    <w:rsid w:val="00C55DD5"/>
    <w:rsid w:val="00C55E20"/>
    <w:rsid w:val="00C55F05"/>
    <w:rsid w:val="00C5661C"/>
    <w:rsid w:val="00C56E26"/>
    <w:rsid w:val="00C579A4"/>
    <w:rsid w:val="00C57DF6"/>
    <w:rsid w:val="00C60D8D"/>
    <w:rsid w:val="00C613AF"/>
    <w:rsid w:val="00C61541"/>
    <w:rsid w:val="00C61E72"/>
    <w:rsid w:val="00C65199"/>
    <w:rsid w:val="00C6544D"/>
    <w:rsid w:val="00C656F2"/>
    <w:rsid w:val="00C67AFA"/>
    <w:rsid w:val="00C67F8C"/>
    <w:rsid w:val="00C70C7E"/>
    <w:rsid w:val="00C72D88"/>
    <w:rsid w:val="00C7448A"/>
    <w:rsid w:val="00C749CF"/>
    <w:rsid w:val="00C76A68"/>
    <w:rsid w:val="00C76C5C"/>
    <w:rsid w:val="00C76D70"/>
    <w:rsid w:val="00C7705D"/>
    <w:rsid w:val="00C77F90"/>
    <w:rsid w:val="00C81911"/>
    <w:rsid w:val="00C81FCF"/>
    <w:rsid w:val="00C8275E"/>
    <w:rsid w:val="00C83B0E"/>
    <w:rsid w:val="00C9271C"/>
    <w:rsid w:val="00C93A12"/>
    <w:rsid w:val="00C95353"/>
    <w:rsid w:val="00C956C9"/>
    <w:rsid w:val="00C95B1E"/>
    <w:rsid w:val="00C96D83"/>
    <w:rsid w:val="00CA1E51"/>
    <w:rsid w:val="00CA21B4"/>
    <w:rsid w:val="00CA4728"/>
    <w:rsid w:val="00CA5C98"/>
    <w:rsid w:val="00CA75B2"/>
    <w:rsid w:val="00CB32A4"/>
    <w:rsid w:val="00CB393E"/>
    <w:rsid w:val="00CB4252"/>
    <w:rsid w:val="00CB71CB"/>
    <w:rsid w:val="00CB7A98"/>
    <w:rsid w:val="00CC0823"/>
    <w:rsid w:val="00CC2D76"/>
    <w:rsid w:val="00CC3099"/>
    <w:rsid w:val="00CD0087"/>
    <w:rsid w:val="00CD3A2E"/>
    <w:rsid w:val="00CD6148"/>
    <w:rsid w:val="00CE02A3"/>
    <w:rsid w:val="00CE4B21"/>
    <w:rsid w:val="00CE6264"/>
    <w:rsid w:val="00CE6725"/>
    <w:rsid w:val="00CE70DC"/>
    <w:rsid w:val="00CE7E5B"/>
    <w:rsid w:val="00CF193E"/>
    <w:rsid w:val="00CF46C3"/>
    <w:rsid w:val="00CF6678"/>
    <w:rsid w:val="00CF69C3"/>
    <w:rsid w:val="00CF7B52"/>
    <w:rsid w:val="00D031F2"/>
    <w:rsid w:val="00D04D0D"/>
    <w:rsid w:val="00D0548F"/>
    <w:rsid w:val="00D066A3"/>
    <w:rsid w:val="00D06CFA"/>
    <w:rsid w:val="00D11731"/>
    <w:rsid w:val="00D1178C"/>
    <w:rsid w:val="00D156D6"/>
    <w:rsid w:val="00D16A04"/>
    <w:rsid w:val="00D222F3"/>
    <w:rsid w:val="00D23F5E"/>
    <w:rsid w:val="00D25B2B"/>
    <w:rsid w:val="00D2714A"/>
    <w:rsid w:val="00D27434"/>
    <w:rsid w:val="00D274C3"/>
    <w:rsid w:val="00D27E6A"/>
    <w:rsid w:val="00D27EE5"/>
    <w:rsid w:val="00D3240C"/>
    <w:rsid w:val="00D35717"/>
    <w:rsid w:val="00D35B44"/>
    <w:rsid w:val="00D35B4D"/>
    <w:rsid w:val="00D3751C"/>
    <w:rsid w:val="00D37809"/>
    <w:rsid w:val="00D379A7"/>
    <w:rsid w:val="00D4096A"/>
    <w:rsid w:val="00D409E9"/>
    <w:rsid w:val="00D42647"/>
    <w:rsid w:val="00D4443D"/>
    <w:rsid w:val="00D44E6C"/>
    <w:rsid w:val="00D458FE"/>
    <w:rsid w:val="00D465A9"/>
    <w:rsid w:val="00D51805"/>
    <w:rsid w:val="00D52C52"/>
    <w:rsid w:val="00D55C80"/>
    <w:rsid w:val="00D62158"/>
    <w:rsid w:val="00D623C2"/>
    <w:rsid w:val="00D66990"/>
    <w:rsid w:val="00D71017"/>
    <w:rsid w:val="00D713E5"/>
    <w:rsid w:val="00D74519"/>
    <w:rsid w:val="00D747F4"/>
    <w:rsid w:val="00D77F1B"/>
    <w:rsid w:val="00D82BD3"/>
    <w:rsid w:val="00D8495F"/>
    <w:rsid w:val="00D84A4D"/>
    <w:rsid w:val="00D84EF9"/>
    <w:rsid w:val="00D878E2"/>
    <w:rsid w:val="00D87BDC"/>
    <w:rsid w:val="00D92797"/>
    <w:rsid w:val="00D936D5"/>
    <w:rsid w:val="00D95277"/>
    <w:rsid w:val="00D95500"/>
    <w:rsid w:val="00D97D5C"/>
    <w:rsid w:val="00DA014E"/>
    <w:rsid w:val="00DA01FB"/>
    <w:rsid w:val="00DA28EA"/>
    <w:rsid w:val="00DA2EB0"/>
    <w:rsid w:val="00DA356C"/>
    <w:rsid w:val="00DA3F38"/>
    <w:rsid w:val="00DA3FCB"/>
    <w:rsid w:val="00DA49B8"/>
    <w:rsid w:val="00DA4A01"/>
    <w:rsid w:val="00DB1F96"/>
    <w:rsid w:val="00DB209E"/>
    <w:rsid w:val="00DB3886"/>
    <w:rsid w:val="00DB450D"/>
    <w:rsid w:val="00DB4F64"/>
    <w:rsid w:val="00DB5F18"/>
    <w:rsid w:val="00DB753C"/>
    <w:rsid w:val="00DB7574"/>
    <w:rsid w:val="00DC1A67"/>
    <w:rsid w:val="00DC38EA"/>
    <w:rsid w:val="00DC392B"/>
    <w:rsid w:val="00DC464D"/>
    <w:rsid w:val="00DC4D72"/>
    <w:rsid w:val="00DC68D0"/>
    <w:rsid w:val="00DC7D0E"/>
    <w:rsid w:val="00DD10B9"/>
    <w:rsid w:val="00DD1175"/>
    <w:rsid w:val="00DD12A3"/>
    <w:rsid w:val="00DD1D2F"/>
    <w:rsid w:val="00DD4AEF"/>
    <w:rsid w:val="00DD61CE"/>
    <w:rsid w:val="00DD7D17"/>
    <w:rsid w:val="00DE0105"/>
    <w:rsid w:val="00DE0A83"/>
    <w:rsid w:val="00DE3625"/>
    <w:rsid w:val="00DE669F"/>
    <w:rsid w:val="00DE7823"/>
    <w:rsid w:val="00DE7A48"/>
    <w:rsid w:val="00DE7D88"/>
    <w:rsid w:val="00DF0932"/>
    <w:rsid w:val="00DF2BB4"/>
    <w:rsid w:val="00DF4034"/>
    <w:rsid w:val="00DF41C4"/>
    <w:rsid w:val="00DF55A5"/>
    <w:rsid w:val="00DF575D"/>
    <w:rsid w:val="00E0260B"/>
    <w:rsid w:val="00E0395F"/>
    <w:rsid w:val="00E0517B"/>
    <w:rsid w:val="00E07125"/>
    <w:rsid w:val="00E07CD6"/>
    <w:rsid w:val="00E07E0F"/>
    <w:rsid w:val="00E07E35"/>
    <w:rsid w:val="00E100CA"/>
    <w:rsid w:val="00E121C3"/>
    <w:rsid w:val="00E13538"/>
    <w:rsid w:val="00E143A5"/>
    <w:rsid w:val="00E160F5"/>
    <w:rsid w:val="00E17050"/>
    <w:rsid w:val="00E21D7D"/>
    <w:rsid w:val="00E22EC0"/>
    <w:rsid w:val="00E24763"/>
    <w:rsid w:val="00E26B92"/>
    <w:rsid w:val="00E27F2A"/>
    <w:rsid w:val="00E30DCD"/>
    <w:rsid w:val="00E32EA6"/>
    <w:rsid w:val="00E3409E"/>
    <w:rsid w:val="00E34AAB"/>
    <w:rsid w:val="00E34EFE"/>
    <w:rsid w:val="00E3565C"/>
    <w:rsid w:val="00E37951"/>
    <w:rsid w:val="00E41A13"/>
    <w:rsid w:val="00E42D9C"/>
    <w:rsid w:val="00E43E45"/>
    <w:rsid w:val="00E444DE"/>
    <w:rsid w:val="00E44699"/>
    <w:rsid w:val="00E44705"/>
    <w:rsid w:val="00E453AA"/>
    <w:rsid w:val="00E45F2A"/>
    <w:rsid w:val="00E47023"/>
    <w:rsid w:val="00E50013"/>
    <w:rsid w:val="00E5004E"/>
    <w:rsid w:val="00E51B25"/>
    <w:rsid w:val="00E52F0D"/>
    <w:rsid w:val="00E541D4"/>
    <w:rsid w:val="00E545E8"/>
    <w:rsid w:val="00E54E86"/>
    <w:rsid w:val="00E55879"/>
    <w:rsid w:val="00E55B43"/>
    <w:rsid w:val="00E57672"/>
    <w:rsid w:val="00E60E16"/>
    <w:rsid w:val="00E6212D"/>
    <w:rsid w:val="00E62BEF"/>
    <w:rsid w:val="00E633BB"/>
    <w:rsid w:val="00E64C3A"/>
    <w:rsid w:val="00E65237"/>
    <w:rsid w:val="00E66CBF"/>
    <w:rsid w:val="00E67FCE"/>
    <w:rsid w:val="00E72CBA"/>
    <w:rsid w:val="00E8091A"/>
    <w:rsid w:val="00E8201F"/>
    <w:rsid w:val="00E84997"/>
    <w:rsid w:val="00E864B3"/>
    <w:rsid w:val="00E87491"/>
    <w:rsid w:val="00E92552"/>
    <w:rsid w:val="00E92885"/>
    <w:rsid w:val="00E92EE7"/>
    <w:rsid w:val="00E9423D"/>
    <w:rsid w:val="00E9561F"/>
    <w:rsid w:val="00E9603B"/>
    <w:rsid w:val="00E96B0A"/>
    <w:rsid w:val="00E971F5"/>
    <w:rsid w:val="00EA1A09"/>
    <w:rsid w:val="00EA3DE8"/>
    <w:rsid w:val="00EA4037"/>
    <w:rsid w:val="00EB0433"/>
    <w:rsid w:val="00EB19C6"/>
    <w:rsid w:val="00EB1FD7"/>
    <w:rsid w:val="00EB45BA"/>
    <w:rsid w:val="00EB67ED"/>
    <w:rsid w:val="00EB7450"/>
    <w:rsid w:val="00ED012D"/>
    <w:rsid w:val="00ED1109"/>
    <w:rsid w:val="00ED250F"/>
    <w:rsid w:val="00ED4C1A"/>
    <w:rsid w:val="00ED4EBC"/>
    <w:rsid w:val="00ED6863"/>
    <w:rsid w:val="00ED7FCC"/>
    <w:rsid w:val="00EE0560"/>
    <w:rsid w:val="00EE238C"/>
    <w:rsid w:val="00EE2529"/>
    <w:rsid w:val="00EE27D1"/>
    <w:rsid w:val="00EE47C5"/>
    <w:rsid w:val="00EE5CD4"/>
    <w:rsid w:val="00EE7531"/>
    <w:rsid w:val="00EF12AB"/>
    <w:rsid w:val="00EF19FF"/>
    <w:rsid w:val="00EF1CCF"/>
    <w:rsid w:val="00EF3998"/>
    <w:rsid w:val="00EF561D"/>
    <w:rsid w:val="00EF5621"/>
    <w:rsid w:val="00EF5885"/>
    <w:rsid w:val="00EF7031"/>
    <w:rsid w:val="00F000C2"/>
    <w:rsid w:val="00F050B2"/>
    <w:rsid w:val="00F05690"/>
    <w:rsid w:val="00F06B01"/>
    <w:rsid w:val="00F076E7"/>
    <w:rsid w:val="00F07802"/>
    <w:rsid w:val="00F07963"/>
    <w:rsid w:val="00F1107E"/>
    <w:rsid w:val="00F135EE"/>
    <w:rsid w:val="00F13CFF"/>
    <w:rsid w:val="00F13D43"/>
    <w:rsid w:val="00F17A72"/>
    <w:rsid w:val="00F17B6E"/>
    <w:rsid w:val="00F207D0"/>
    <w:rsid w:val="00F21712"/>
    <w:rsid w:val="00F21D37"/>
    <w:rsid w:val="00F2392B"/>
    <w:rsid w:val="00F23B0A"/>
    <w:rsid w:val="00F25B5D"/>
    <w:rsid w:val="00F26410"/>
    <w:rsid w:val="00F2689D"/>
    <w:rsid w:val="00F310A1"/>
    <w:rsid w:val="00F32D7B"/>
    <w:rsid w:val="00F32EB0"/>
    <w:rsid w:val="00F333E2"/>
    <w:rsid w:val="00F3425A"/>
    <w:rsid w:val="00F353C6"/>
    <w:rsid w:val="00F356FE"/>
    <w:rsid w:val="00F360E6"/>
    <w:rsid w:val="00F3676B"/>
    <w:rsid w:val="00F3725A"/>
    <w:rsid w:val="00F372CC"/>
    <w:rsid w:val="00F37BC0"/>
    <w:rsid w:val="00F41A49"/>
    <w:rsid w:val="00F4211A"/>
    <w:rsid w:val="00F47A8C"/>
    <w:rsid w:val="00F5001A"/>
    <w:rsid w:val="00F504B1"/>
    <w:rsid w:val="00F50A6C"/>
    <w:rsid w:val="00F52DAA"/>
    <w:rsid w:val="00F53BE3"/>
    <w:rsid w:val="00F542F5"/>
    <w:rsid w:val="00F54BDF"/>
    <w:rsid w:val="00F553B5"/>
    <w:rsid w:val="00F56241"/>
    <w:rsid w:val="00F56BBA"/>
    <w:rsid w:val="00F574DD"/>
    <w:rsid w:val="00F6043B"/>
    <w:rsid w:val="00F60869"/>
    <w:rsid w:val="00F61364"/>
    <w:rsid w:val="00F6140C"/>
    <w:rsid w:val="00F708EC"/>
    <w:rsid w:val="00F717D8"/>
    <w:rsid w:val="00F7220A"/>
    <w:rsid w:val="00F722A2"/>
    <w:rsid w:val="00F72341"/>
    <w:rsid w:val="00F72DF1"/>
    <w:rsid w:val="00F733E7"/>
    <w:rsid w:val="00F7569B"/>
    <w:rsid w:val="00F7590A"/>
    <w:rsid w:val="00F7651B"/>
    <w:rsid w:val="00F77F33"/>
    <w:rsid w:val="00F800F5"/>
    <w:rsid w:val="00F819B7"/>
    <w:rsid w:val="00F84789"/>
    <w:rsid w:val="00F8478C"/>
    <w:rsid w:val="00F858C6"/>
    <w:rsid w:val="00F86105"/>
    <w:rsid w:val="00F86739"/>
    <w:rsid w:val="00F872CC"/>
    <w:rsid w:val="00F90A98"/>
    <w:rsid w:val="00F9188D"/>
    <w:rsid w:val="00F91A68"/>
    <w:rsid w:val="00F931BF"/>
    <w:rsid w:val="00F9360F"/>
    <w:rsid w:val="00F9376C"/>
    <w:rsid w:val="00F93C1A"/>
    <w:rsid w:val="00F943F9"/>
    <w:rsid w:val="00F947A0"/>
    <w:rsid w:val="00F94D9C"/>
    <w:rsid w:val="00F96566"/>
    <w:rsid w:val="00FA0E1E"/>
    <w:rsid w:val="00FA2049"/>
    <w:rsid w:val="00FA2BCF"/>
    <w:rsid w:val="00FA4958"/>
    <w:rsid w:val="00FA4F8A"/>
    <w:rsid w:val="00FA6474"/>
    <w:rsid w:val="00FA7471"/>
    <w:rsid w:val="00FB0A18"/>
    <w:rsid w:val="00FB1A8B"/>
    <w:rsid w:val="00FB308C"/>
    <w:rsid w:val="00FB5D81"/>
    <w:rsid w:val="00FB66C5"/>
    <w:rsid w:val="00FB6710"/>
    <w:rsid w:val="00FB73B2"/>
    <w:rsid w:val="00FB78A2"/>
    <w:rsid w:val="00FB7E57"/>
    <w:rsid w:val="00FC052B"/>
    <w:rsid w:val="00FC39BF"/>
    <w:rsid w:val="00FC5159"/>
    <w:rsid w:val="00FC7072"/>
    <w:rsid w:val="00FD1360"/>
    <w:rsid w:val="00FD151A"/>
    <w:rsid w:val="00FD2F6D"/>
    <w:rsid w:val="00FD3850"/>
    <w:rsid w:val="00FD4F66"/>
    <w:rsid w:val="00FD61B2"/>
    <w:rsid w:val="00FD6F53"/>
    <w:rsid w:val="00FD7087"/>
    <w:rsid w:val="00FE1B15"/>
    <w:rsid w:val="00FE2090"/>
    <w:rsid w:val="00FE2291"/>
    <w:rsid w:val="00FE2FBC"/>
    <w:rsid w:val="00FE380B"/>
    <w:rsid w:val="00FE3EC9"/>
    <w:rsid w:val="00FE41D7"/>
    <w:rsid w:val="00FE45AD"/>
    <w:rsid w:val="00FE4820"/>
    <w:rsid w:val="00FE4C49"/>
    <w:rsid w:val="00FE6D2C"/>
    <w:rsid w:val="00FE7464"/>
    <w:rsid w:val="00FE7FFB"/>
    <w:rsid w:val="00FF0835"/>
    <w:rsid w:val="00FF2A23"/>
    <w:rsid w:val="00FF3982"/>
    <w:rsid w:val="00FF424D"/>
    <w:rsid w:val="00FF57F8"/>
    <w:rsid w:val="00FF6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5F674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EC0"/>
    <w:pPr>
      <w:spacing w:after="160"/>
    </w:pPr>
    <w:rPr>
      <w:sz w:val="22"/>
      <w:szCs w:val="22"/>
      <w:lang w:eastAsia="en-US"/>
    </w:rPr>
  </w:style>
  <w:style w:type="paragraph" w:styleId="Heading1">
    <w:name w:val="heading 1"/>
    <w:next w:val="BodyText"/>
    <w:link w:val="Heading1Char"/>
    <w:uiPriority w:val="9"/>
    <w:qFormat/>
    <w:rsid w:val="00E22EC0"/>
    <w:pPr>
      <w:keepNext/>
      <w:pageBreakBefore/>
      <w:numPr>
        <w:numId w:val="5"/>
      </w:numPr>
      <w:spacing w:after="480"/>
      <w:jc w:val="right"/>
      <w:outlineLvl w:val="0"/>
    </w:pPr>
    <w:rPr>
      <w:rFonts w:ascii="Garamond" w:eastAsia="Times New Roman" w:hAnsi="Garamond"/>
      <w:b/>
      <w:sz w:val="36"/>
      <w:szCs w:val="32"/>
      <w:lang w:eastAsia="en-US"/>
    </w:rPr>
  </w:style>
  <w:style w:type="paragraph" w:styleId="Heading2">
    <w:name w:val="heading 2"/>
    <w:next w:val="BodyText"/>
    <w:link w:val="Heading2Char"/>
    <w:uiPriority w:val="9"/>
    <w:unhideWhenUsed/>
    <w:qFormat/>
    <w:rsid w:val="00350881"/>
    <w:pPr>
      <w:keepNext/>
      <w:numPr>
        <w:ilvl w:val="1"/>
        <w:numId w:val="5"/>
      </w:numPr>
      <w:spacing w:before="480" w:after="240"/>
      <w:jc w:val="both"/>
      <w:outlineLvl w:val="1"/>
    </w:pPr>
    <w:rPr>
      <w:rFonts w:ascii="Garamond" w:eastAsia="Times New Roman" w:hAnsi="Garamond"/>
      <w:b/>
      <w:caps/>
      <w:sz w:val="24"/>
      <w:szCs w:val="26"/>
      <w:lang w:eastAsia="en-US"/>
    </w:rPr>
  </w:style>
  <w:style w:type="paragraph" w:styleId="Heading3">
    <w:name w:val="heading 3"/>
    <w:next w:val="BodyText"/>
    <w:link w:val="Heading3Char"/>
    <w:uiPriority w:val="9"/>
    <w:unhideWhenUsed/>
    <w:qFormat/>
    <w:rsid w:val="00E22EC0"/>
    <w:pPr>
      <w:keepNext/>
      <w:numPr>
        <w:ilvl w:val="2"/>
        <w:numId w:val="5"/>
      </w:numPr>
      <w:spacing w:before="360"/>
      <w:ind w:left="0"/>
      <w:jc w:val="both"/>
      <w:outlineLvl w:val="2"/>
    </w:pPr>
    <w:rPr>
      <w:rFonts w:ascii="Garamond" w:eastAsia="Times New Roman" w:hAnsi="Garamond"/>
      <w:b/>
      <w:i/>
      <w:sz w:val="24"/>
      <w:szCs w:val="24"/>
      <w:lang w:eastAsia="en-US"/>
    </w:rPr>
  </w:style>
  <w:style w:type="paragraph" w:styleId="Heading4">
    <w:name w:val="heading 4"/>
    <w:aliases w:val="ExecSumm Lvl 1"/>
    <w:next w:val="BodyText"/>
    <w:link w:val="Heading4Char"/>
    <w:uiPriority w:val="9"/>
    <w:unhideWhenUsed/>
    <w:qFormat/>
    <w:rsid w:val="00E22EC0"/>
    <w:pPr>
      <w:pageBreakBefore/>
      <w:numPr>
        <w:ilvl w:val="3"/>
        <w:numId w:val="5"/>
      </w:numPr>
      <w:spacing w:before="360" w:after="480"/>
      <w:jc w:val="right"/>
      <w:outlineLvl w:val="3"/>
    </w:pPr>
    <w:rPr>
      <w:rFonts w:ascii="Garamond" w:eastAsia="Times New Roman" w:hAnsi="Garamond"/>
      <w:b/>
      <w:iCs/>
      <w:sz w:val="36"/>
      <w:szCs w:val="24"/>
      <w:lang w:eastAsia="en-US"/>
    </w:rPr>
  </w:style>
  <w:style w:type="paragraph" w:styleId="Heading5">
    <w:name w:val="heading 5"/>
    <w:aliases w:val="ExecSumm Lvl 2"/>
    <w:next w:val="BodyText"/>
    <w:link w:val="Heading5Char"/>
    <w:uiPriority w:val="9"/>
    <w:unhideWhenUsed/>
    <w:qFormat/>
    <w:rsid w:val="00E22EC0"/>
    <w:pPr>
      <w:keepNext/>
      <w:numPr>
        <w:ilvl w:val="4"/>
        <w:numId w:val="5"/>
      </w:numPr>
      <w:tabs>
        <w:tab w:val="left" w:pos="851"/>
      </w:tabs>
      <w:spacing w:before="480" w:after="240"/>
      <w:jc w:val="both"/>
      <w:outlineLvl w:val="4"/>
    </w:pPr>
    <w:rPr>
      <w:rFonts w:ascii="Garamond" w:eastAsia="Times New Roman" w:hAnsi="Garamond"/>
      <w:b/>
      <w:iCs/>
      <w:caps/>
      <w:sz w:val="24"/>
      <w:szCs w:val="24"/>
      <w:lang w:eastAsia="en-US"/>
    </w:rPr>
  </w:style>
  <w:style w:type="paragraph" w:styleId="Heading6">
    <w:name w:val="heading 6"/>
    <w:aliases w:val="ExecSumm Lvl 3"/>
    <w:next w:val="BodyText"/>
    <w:link w:val="Heading6Char"/>
    <w:uiPriority w:val="9"/>
    <w:unhideWhenUsed/>
    <w:qFormat/>
    <w:rsid w:val="00E22EC0"/>
    <w:pPr>
      <w:keepNext/>
      <w:numPr>
        <w:ilvl w:val="5"/>
        <w:numId w:val="5"/>
      </w:numPr>
      <w:tabs>
        <w:tab w:val="left" w:pos="851"/>
      </w:tabs>
      <w:spacing w:before="240" w:after="120"/>
      <w:jc w:val="both"/>
      <w:outlineLvl w:val="5"/>
    </w:pPr>
    <w:rPr>
      <w:rFonts w:ascii="Garamond" w:eastAsia="Times New Roman" w:hAnsi="Garamond"/>
      <w:b/>
      <w:i/>
      <w:sz w:val="24"/>
      <w:szCs w:val="22"/>
      <w:lang w:eastAsia="en-US"/>
    </w:rPr>
  </w:style>
  <w:style w:type="paragraph" w:styleId="Heading7">
    <w:name w:val="heading 7"/>
    <w:aliases w:val="Appendix Lvl one,Heading 7 Appendix Lvl 1,App Lvl 1"/>
    <w:next w:val="BodyText"/>
    <w:link w:val="Heading7Char"/>
    <w:uiPriority w:val="9"/>
    <w:unhideWhenUsed/>
    <w:qFormat/>
    <w:rsid w:val="00E22EC0"/>
    <w:pPr>
      <w:keepNext/>
      <w:pageBreakBefore/>
      <w:numPr>
        <w:ilvl w:val="6"/>
        <w:numId w:val="5"/>
      </w:numPr>
      <w:spacing w:after="480"/>
      <w:jc w:val="right"/>
      <w:outlineLvl w:val="6"/>
    </w:pPr>
    <w:rPr>
      <w:rFonts w:ascii="Garamond" w:eastAsia="Times New Roman" w:hAnsi="Garamond"/>
      <w:b/>
      <w:iCs/>
      <w:caps/>
      <w:sz w:val="36"/>
      <w:szCs w:val="22"/>
      <w:lang w:eastAsia="en-US"/>
    </w:rPr>
  </w:style>
  <w:style w:type="paragraph" w:styleId="Heading8">
    <w:name w:val="heading 8"/>
    <w:aliases w:val="Appendix Lvl two,Heading 8 Appendix Lvl two,App Lvl 2"/>
    <w:next w:val="BodyText"/>
    <w:link w:val="Heading8Char"/>
    <w:uiPriority w:val="9"/>
    <w:unhideWhenUsed/>
    <w:qFormat/>
    <w:rsid w:val="00E22EC0"/>
    <w:pPr>
      <w:keepNext/>
      <w:numPr>
        <w:ilvl w:val="7"/>
        <w:numId w:val="5"/>
      </w:numPr>
      <w:tabs>
        <w:tab w:val="left" w:pos="709"/>
      </w:tabs>
      <w:spacing w:before="480" w:after="240"/>
      <w:jc w:val="both"/>
      <w:outlineLvl w:val="7"/>
    </w:pPr>
    <w:rPr>
      <w:rFonts w:ascii="Garamond" w:eastAsia="Times New Roman" w:hAnsi="Garamond"/>
      <w:b/>
      <w:iCs/>
      <w:caps/>
      <w:sz w:val="28"/>
      <w:szCs w:val="21"/>
      <w:lang w:eastAsia="en-US"/>
    </w:rPr>
  </w:style>
  <w:style w:type="paragraph" w:styleId="Heading9">
    <w:name w:val="heading 9"/>
    <w:aliases w:val="Appendix Lvl three,Heading 9 Appendix Lvl three,App Lvl 3"/>
    <w:next w:val="BodyText"/>
    <w:link w:val="Heading9Char"/>
    <w:uiPriority w:val="9"/>
    <w:unhideWhenUsed/>
    <w:qFormat/>
    <w:rsid w:val="00E22EC0"/>
    <w:pPr>
      <w:keepNext/>
      <w:numPr>
        <w:ilvl w:val="8"/>
        <w:numId w:val="5"/>
      </w:numPr>
      <w:tabs>
        <w:tab w:val="left" w:pos="709"/>
      </w:tabs>
      <w:spacing w:before="240" w:after="120"/>
      <w:jc w:val="both"/>
      <w:outlineLvl w:val="8"/>
    </w:pPr>
    <w:rPr>
      <w:rFonts w:ascii="Garamond" w:eastAsia="Times New Roman" w:hAnsi="Garamond"/>
      <w:b/>
      <w:i/>
      <w:sz w:val="24"/>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E22EC0"/>
    <w:pPr>
      <w:numPr>
        <w:numId w:val="5"/>
      </w:numPr>
    </w:pPr>
  </w:style>
  <w:style w:type="character" w:customStyle="1" w:styleId="Heading1Char">
    <w:name w:val="Heading 1 Char"/>
    <w:link w:val="Heading1"/>
    <w:uiPriority w:val="9"/>
    <w:rsid w:val="00060E89"/>
    <w:rPr>
      <w:rFonts w:ascii="Garamond" w:eastAsia="Times New Roman" w:hAnsi="Garamond"/>
      <w:b/>
      <w:sz w:val="36"/>
      <w:szCs w:val="32"/>
      <w:lang w:eastAsia="en-US"/>
    </w:rPr>
  </w:style>
  <w:style w:type="paragraph" w:styleId="BodyText">
    <w:name w:val="Body Text"/>
    <w:link w:val="BodyTextChar"/>
    <w:uiPriority w:val="99"/>
    <w:unhideWhenUsed/>
    <w:rsid w:val="00BB2E64"/>
    <w:pPr>
      <w:spacing w:before="240"/>
      <w:jc w:val="both"/>
    </w:pPr>
    <w:rPr>
      <w:rFonts w:ascii="Garamond" w:hAnsi="Garamond"/>
      <w:sz w:val="24"/>
      <w:szCs w:val="22"/>
      <w:lang w:eastAsia="en-US"/>
    </w:rPr>
  </w:style>
  <w:style w:type="character" w:customStyle="1" w:styleId="BodyTextChar">
    <w:name w:val="Body Text Char"/>
    <w:link w:val="BodyText"/>
    <w:uiPriority w:val="99"/>
    <w:rsid w:val="00BB2E64"/>
    <w:rPr>
      <w:rFonts w:ascii="Garamond" w:hAnsi="Garamond"/>
      <w:sz w:val="24"/>
      <w:szCs w:val="22"/>
      <w:lang w:eastAsia="en-US"/>
    </w:rPr>
  </w:style>
  <w:style w:type="character" w:customStyle="1" w:styleId="Heading2Char">
    <w:name w:val="Heading 2 Char"/>
    <w:link w:val="Heading2"/>
    <w:uiPriority w:val="9"/>
    <w:rsid w:val="00350881"/>
    <w:rPr>
      <w:rFonts w:ascii="Garamond" w:eastAsia="Times New Roman" w:hAnsi="Garamond"/>
      <w:b/>
      <w:caps/>
      <w:sz w:val="24"/>
      <w:szCs w:val="26"/>
      <w:lang w:eastAsia="en-US"/>
    </w:rPr>
  </w:style>
  <w:style w:type="character" w:customStyle="1" w:styleId="Heading3Char">
    <w:name w:val="Heading 3 Char"/>
    <w:link w:val="Heading3"/>
    <w:uiPriority w:val="9"/>
    <w:rsid w:val="00AA423F"/>
    <w:rPr>
      <w:rFonts w:ascii="Garamond" w:eastAsia="Times New Roman" w:hAnsi="Garamond"/>
      <w:b/>
      <w:i/>
      <w:sz w:val="24"/>
      <w:szCs w:val="24"/>
      <w:lang w:eastAsia="en-US"/>
    </w:rPr>
  </w:style>
  <w:style w:type="character" w:customStyle="1" w:styleId="Heading4Char">
    <w:name w:val="Heading 4 Char"/>
    <w:aliases w:val="ExecSumm Lvl 1 Char"/>
    <w:link w:val="Heading4"/>
    <w:uiPriority w:val="9"/>
    <w:rsid w:val="00AA6CDB"/>
    <w:rPr>
      <w:rFonts w:ascii="Garamond" w:eastAsia="Times New Roman" w:hAnsi="Garamond"/>
      <w:b/>
      <w:iCs/>
      <w:sz w:val="36"/>
      <w:szCs w:val="24"/>
      <w:lang w:eastAsia="en-US"/>
    </w:rPr>
  </w:style>
  <w:style w:type="character" w:customStyle="1" w:styleId="Heading5Char">
    <w:name w:val="Heading 5 Char"/>
    <w:aliases w:val="ExecSumm Lvl 2 Char"/>
    <w:link w:val="Heading5"/>
    <w:uiPriority w:val="9"/>
    <w:rsid w:val="00483662"/>
    <w:rPr>
      <w:rFonts w:ascii="Garamond" w:eastAsia="Times New Roman" w:hAnsi="Garamond"/>
      <w:b/>
      <w:iCs/>
      <w:caps/>
      <w:sz w:val="24"/>
      <w:szCs w:val="24"/>
      <w:lang w:eastAsia="en-US"/>
    </w:rPr>
  </w:style>
  <w:style w:type="character" w:customStyle="1" w:styleId="Heading6Char">
    <w:name w:val="Heading 6 Char"/>
    <w:aliases w:val="ExecSumm Lvl 3 Char"/>
    <w:link w:val="Heading6"/>
    <w:uiPriority w:val="9"/>
    <w:rsid w:val="00483662"/>
    <w:rPr>
      <w:rFonts w:ascii="Garamond" w:eastAsia="Times New Roman" w:hAnsi="Garamond"/>
      <w:b/>
      <w:i/>
      <w:sz w:val="24"/>
      <w:szCs w:val="22"/>
      <w:lang w:eastAsia="en-US"/>
    </w:rPr>
  </w:style>
  <w:style w:type="character" w:customStyle="1" w:styleId="Heading7Char">
    <w:name w:val="Heading 7 Char"/>
    <w:aliases w:val="Appendix Lvl one Char,Heading 7 Appendix Lvl 1 Char,App Lvl 1 Char"/>
    <w:link w:val="Heading7"/>
    <w:uiPriority w:val="9"/>
    <w:rsid w:val="00D25B2B"/>
    <w:rPr>
      <w:rFonts w:ascii="Garamond" w:eastAsia="Times New Roman" w:hAnsi="Garamond"/>
      <w:b/>
      <w:iCs/>
      <w:caps/>
      <w:sz w:val="36"/>
      <w:szCs w:val="22"/>
      <w:lang w:eastAsia="en-US"/>
    </w:rPr>
  </w:style>
  <w:style w:type="character" w:customStyle="1" w:styleId="Heading8Char">
    <w:name w:val="Heading 8 Char"/>
    <w:aliases w:val="Appendix Lvl two Char,Heading 8 Appendix Lvl two Char,App Lvl 2 Char"/>
    <w:link w:val="Heading8"/>
    <w:uiPriority w:val="9"/>
    <w:rsid w:val="00AD0F2A"/>
    <w:rPr>
      <w:rFonts w:ascii="Garamond" w:eastAsia="Times New Roman" w:hAnsi="Garamond"/>
      <w:b/>
      <w:iCs/>
      <w:caps/>
      <w:sz w:val="28"/>
      <w:szCs w:val="21"/>
      <w:lang w:eastAsia="en-US"/>
    </w:rPr>
  </w:style>
  <w:style w:type="character" w:customStyle="1" w:styleId="Heading9Char">
    <w:name w:val="Heading 9 Char"/>
    <w:aliases w:val="Appendix Lvl three Char,Heading 9 Appendix Lvl three Char,App Lvl 3 Char"/>
    <w:link w:val="Heading9"/>
    <w:uiPriority w:val="9"/>
    <w:rsid w:val="00483662"/>
    <w:rPr>
      <w:rFonts w:ascii="Garamond" w:eastAsia="Times New Roman" w:hAnsi="Garamond"/>
      <w:b/>
      <w:i/>
      <w:sz w:val="24"/>
      <w:szCs w:val="21"/>
      <w:lang w:eastAsia="en-US"/>
    </w:rPr>
  </w:style>
  <w:style w:type="paragraph" w:customStyle="1" w:styleId="References-HealthConsultstyle">
    <w:name w:val="References - HealthConsult style"/>
    <w:qFormat/>
    <w:rsid w:val="000B454E"/>
    <w:pPr>
      <w:numPr>
        <w:numId w:val="3"/>
      </w:numPr>
      <w:spacing w:before="40"/>
      <w:ind w:left="227" w:hanging="227"/>
    </w:pPr>
    <w:rPr>
      <w:rFonts w:ascii="Garamond" w:hAnsi="Garamond"/>
      <w:sz w:val="16"/>
      <w:szCs w:val="22"/>
      <w:lang w:eastAsia="en-US"/>
    </w:rPr>
  </w:style>
  <w:style w:type="paragraph" w:customStyle="1" w:styleId="06Bulletsonelongsentence">
    <w:name w:val="06. Bullets – one long sentence"/>
    <w:link w:val="06BulletsonelongsentenceChar"/>
    <w:qFormat/>
    <w:rsid w:val="006F7B03"/>
    <w:pPr>
      <w:numPr>
        <w:numId w:val="32"/>
      </w:numPr>
      <w:ind w:left="357" w:hanging="357"/>
      <w:jc w:val="both"/>
    </w:pPr>
    <w:rPr>
      <w:rFonts w:ascii="Garamond" w:hAnsi="Garamond"/>
      <w:sz w:val="24"/>
      <w:szCs w:val="22"/>
      <w:lang w:eastAsia="en-US"/>
    </w:rPr>
  </w:style>
  <w:style w:type="character" w:customStyle="1" w:styleId="06BulletsonelongsentenceChar">
    <w:name w:val="06. Bullets – one long sentence Char"/>
    <w:link w:val="06Bulletsonelongsentence"/>
    <w:rsid w:val="006F7B03"/>
    <w:rPr>
      <w:rFonts w:ascii="Garamond" w:hAnsi="Garamond"/>
      <w:sz w:val="24"/>
      <w:szCs w:val="22"/>
      <w:lang w:eastAsia="en-US"/>
    </w:rPr>
  </w:style>
  <w:style w:type="table" w:styleId="TableGrid">
    <w:name w:val="Table Grid"/>
    <w:basedOn w:val="TableNormal"/>
    <w:uiPriority w:val="39"/>
    <w:rsid w:val="00AA6CDB"/>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paragraph" w:customStyle="1" w:styleId="11TableHEADINGcentred">
    <w:name w:val="11. Table HEADING centred"/>
    <w:qFormat/>
    <w:rsid w:val="00915EB2"/>
    <w:pPr>
      <w:spacing w:after="120"/>
      <w:jc w:val="center"/>
    </w:pPr>
    <w:rPr>
      <w:rFonts w:ascii="Garamond" w:hAnsi="Garamond"/>
      <w:b/>
      <w:color w:val="FFFFFF"/>
      <w:szCs w:val="22"/>
      <w:lang w:eastAsia="en-US"/>
    </w:rPr>
  </w:style>
  <w:style w:type="paragraph" w:customStyle="1" w:styleId="13TableTEXTleftaligned">
    <w:name w:val="13. Table TEXT left aligned"/>
    <w:qFormat/>
    <w:rsid w:val="00FF627A"/>
    <w:rPr>
      <w:rFonts w:ascii="Garamond" w:hAnsi="Garamond"/>
      <w:szCs w:val="22"/>
      <w:lang w:eastAsia="en-US"/>
    </w:rPr>
  </w:style>
  <w:style w:type="paragraph" w:customStyle="1" w:styleId="16TabletextBullet">
    <w:name w:val="16. Table text Bullet"/>
    <w:qFormat/>
    <w:rsid w:val="00FF0835"/>
    <w:pPr>
      <w:numPr>
        <w:numId w:val="2"/>
      </w:numPr>
      <w:tabs>
        <w:tab w:val="left" w:pos="227"/>
      </w:tabs>
    </w:pPr>
    <w:rPr>
      <w:rFonts w:ascii="Garamond" w:hAnsi="Garamond"/>
      <w:szCs w:val="22"/>
      <w:lang w:eastAsia="en-US"/>
    </w:rPr>
  </w:style>
  <w:style w:type="paragraph" w:styleId="Caption">
    <w:name w:val="caption"/>
    <w:basedOn w:val="Normal"/>
    <w:next w:val="BodyText"/>
    <w:uiPriority w:val="35"/>
    <w:unhideWhenUsed/>
    <w:qFormat/>
    <w:rsid w:val="0023416E"/>
    <w:pPr>
      <w:keepNext/>
      <w:spacing w:before="240" w:after="120"/>
      <w:jc w:val="center"/>
    </w:pPr>
    <w:rPr>
      <w:rFonts w:ascii="Garamond" w:hAnsi="Garamond"/>
      <w:b/>
      <w:iCs/>
      <w:sz w:val="20"/>
      <w:szCs w:val="18"/>
    </w:rPr>
  </w:style>
  <w:style w:type="paragraph" w:customStyle="1" w:styleId="19TableorFigurefootnote">
    <w:name w:val="19. Table or Figure footnote"/>
    <w:next w:val="BodyText"/>
    <w:qFormat/>
    <w:rsid w:val="009671F1"/>
    <w:pPr>
      <w:spacing w:after="240"/>
      <w:contextualSpacing/>
      <w:jc w:val="center"/>
    </w:pPr>
    <w:rPr>
      <w:rFonts w:ascii="Garamond" w:hAnsi="Garamond"/>
      <w:sz w:val="16"/>
      <w:szCs w:val="22"/>
      <w:lang w:eastAsia="en-US"/>
    </w:rPr>
  </w:style>
  <w:style w:type="paragraph" w:customStyle="1" w:styleId="12TableSUBheadingwithincell">
    <w:name w:val="12. Table SUBheading within cell"/>
    <w:qFormat/>
    <w:rsid w:val="001E77DD"/>
    <w:pPr>
      <w:keepNext/>
    </w:pPr>
    <w:rPr>
      <w:rFonts w:ascii="Garamond" w:hAnsi="Garamond"/>
      <w:b/>
      <w:szCs w:val="22"/>
      <w:lang w:eastAsia="en-US"/>
    </w:rPr>
  </w:style>
  <w:style w:type="paragraph" w:styleId="BalloonText">
    <w:name w:val="Balloon Text"/>
    <w:basedOn w:val="Normal"/>
    <w:link w:val="BalloonTextChar"/>
    <w:uiPriority w:val="99"/>
    <w:semiHidden/>
    <w:unhideWhenUsed/>
    <w:rsid w:val="0070273B"/>
    <w:pPr>
      <w:spacing w:after="0"/>
    </w:pPr>
    <w:rPr>
      <w:rFonts w:ascii="Segoe UI" w:hAnsi="Segoe UI" w:cs="Segoe UI"/>
      <w:sz w:val="18"/>
      <w:szCs w:val="18"/>
    </w:rPr>
  </w:style>
  <w:style w:type="character" w:customStyle="1" w:styleId="BalloonTextChar">
    <w:name w:val="Balloon Text Char"/>
    <w:link w:val="BalloonText"/>
    <w:uiPriority w:val="99"/>
    <w:semiHidden/>
    <w:rsid w:val="0070273B"/>
    <w:rPr>
      <w:rFonts w:ascii="Segoe UI" w:hAnsi="Segoe UI" w:cs="Segoe UI"/>
      <w:sz w:val="18"/>
      <w:szCs w:val="18"/>
    </w:rPr>
  </w:style>
  <w:style w:type="paragraph" w:styleId="TOCHeading">
    <w:name w:val="TOC Heading"/>
    <w:next w:val="BodyText"/>
    <w:uiPriority w:val="39"/>
    <w:unhideWhenUsed/>
    <w:qFormat/>
    <w:rsid w:val="008E7A6C"/>
    <w:pPr>
      <w:keepLines/>
      <w:spacing w:before="240" w:after="600" w:line="259" w:lineRule="auto"/>
      <w:jc w:val="right"/>
    </w:pPr>
    <w:rPr>
      <w:rFonts w:ascii="Garamond" w:eastAsia="Times New Roman" w:hAnsi="Garamond"/>
      <w:b/>
      <w:color w:val="000000"/>
      <w:sz w:val="52"/>
      <w:szCs w:val="32"/>
      <w:lang w:val="en-US" w:eastAsia="en-US"/>
    </w:rPr>
  </w:style>
  <w:style w:type="paragraph" w:styleId="TOC1">
    <w:name w:val="toc 1"/>
    <w:basedOn w:val="Normal"/>
    <w:next w:val="Normal"/>
    <w:autoRedefine/>
    <w:uiPriority w:val="39"/>
    <w:unhideWhenUsed/>
    <w:rsid w:val="00126380"/>
    <w:pPr>
      <w:tabs>
        <w:tab w:val="right" w:leader="dot" w:pos="9628"/>
      </w:tabs>
      <w:spacing w:before="240" w:after="120"/>
      <w:ind w:left="567" w:right="8" w:hanging="567"/>
    </w:pPr>
    <w:rPr>
      <w:rFonts w:ascii="Garamond" w:hAnsi="Garamond"/>
      <w:b/>
      <w:smallCaps/>
      <w:sz w:val="24"/>
    </w:rPr>
  </w:style>
  <w:style w:type="paragraph" w:styleId="TOC2">
    <w:name w:val="toc 2"/>
    <w:basedOn w:val="Normal"/>
    <w:next w:val="Normal"/>
    <w:autoRedefine/>
    <w:uiPriority w:val="39"/>
    <w:unhideWhenUsed/>
    <w:rsid w:val="00126380"/>
    <w:pPr>
      <w:tabs>
        <w:tab w:val="right" w:leader="dot" w:pos="9628"/>
      </w:tabs>
      <w:spacing w:after="120"/>
      <w:ind w:left="567" w:right="8" w:hanging="567"/>
    </w:pPr>
    <w:rPr>
      <w:rFonts w:ascii="Garamond" w:hAnsi="Garamond"/>
      <w:smallCaps/>
      <w:sz w:val="24"/>
    </w:rPr>
  </w:style>
  <w:style w:type="paragraph" w:styleId="TOC3">
    <w:name w:val="toc 3"/>
    <w:basedOn w:val="Normal"/>
    <w:next w:val="Normal"/>
    <w:autoRedefine/>
    <w:uiPriority w:val="39"/>
    <w:unhideWhenUsed/>
    <w:rsid w:val="00847D9D"/>
    <w:pPr>
      <w:spacing w:after="120"/>
      <w:ind w:left="567" w:right="567" w:hanging="567"/>
    </w:pPr>
    <w:rPr>
      <w:rFonts w:ascii="Garamond" w:hAnsi="Garamond"/>
      <w:sz w:val="20"/>
    </w:rPr>
  </w:style>
  <w:style w:type="character" w:styleId="Hyperlink">
    <w:name w:val="Hyperlink"/>
    <w:uiPriority w:val="99"/>
    <w:unhideWhenUsed/>
    <w:rsid w:val="00976D7F"/>
    <w:rPr>
      <w:color w:val="0000FF"/>
      <w:u w:val="single"/>
    </w:rPr>
  </w:style>
  <w:style w:type="paragraph" w:styleId="Header">
    <w:name w:val="header"/>
    <w:link w:val="HeaderChar"/>
    <w:uiPriority w:val="99"/>
    <w:unhideWhenUsed/>
    <w:rsid w:val="00234A1F"/>
    <w:pPr>
      <w:pBdr>
        <w:bottom w:val="single" w:sz="4" w:space="1" w:color="auto"/>
      </w:pBdr>
      <w:tabs>
        <w:tab w:val="center" w:pos="4513"/>
        <w:tab w:val="right" w:pos="9026"/>
      </w:tabs>
    </w:pPr>
    <w:rPr>
      <w:rFonts w:ascii="Garamond" w:hAnsi="Garamond"/>
      <w:b/>
      <w:szCs w:val="22"/>
      <w:lang w:eastAsia="en-US"/>
    </w:rPr>
  </w:style>
  <w:style w:type="paragraph" w:styleId="TableofFigures">
    <w:name w:val="table of figures"/>
    <w:aliases w:val="– TOC for list of Figures or Tables"/>
    <w:uiPriority w:val="99"/>
    <w:unhideWhenUsed/>
    <w:rsid w:val="00CA5C98"/>
    <w:pPr>
      <w:spacing w:before="120"/>
      <w:ind w:left="567" w:right="567" w:hanging="567"/>
    </w:pPr>
    <w:rPr>
      <w:rFonts w:ascii="Garamond" w:hAnsi="Garamond"/>
      <w:noProof/>
      <w:sz w:val="24"/>
      <w:szCs w:val="22"/>
      <w:lang w:eastAsia="en-US"/>
    </w:rPr>
  </w:style>
  <w:style w:type="character" w:customStyle="1" w:styleId="HeaderChar">
    <w:name w:val="Header Char"/>
    <w:basedOn w:val="DefaultParagraphFont"/>
    <w:link w:val="Header"/>
    <w:uiPriority w:val="99"/>
    <w:rsid w:val="00234A1F"/>
    <w:rPr>
      <w:rFonts w:ascii="Garamond" w:hAnsi="Garamond"/>
      <w:b/>
      <w:szCs w:val="22"/>
      <w:lang w:eastAsia="en-US"/>
    </w:rPr>
  </w:style>
  <w:style w:type="paragraph" w:styleId="Footer">
    <w:name w:val="footer"/>
    <w:basedOn w:val="Normal"/>
    <w:link w:val="FooterChar"/>
    <w:uiPriority w:val="99"/>
    <w:unhideWhenUsed/>
    <w:rsid w:val="00DD1D2F"/>
    <w:pPr>
      <w:pBdr>
        <w:top w:val="single" w:sz="4" w:space="1" w:color="auto"/>
      </w:pBdr>
      <w:tabs>
        <w:tab w:val="right" w:pos="14572"/>
      </w:tabs>
      <w:spacing w:after="0"/>
    </w:pPr>
    <w:rPr>
      <w:rFonts w:ascii="Garamond" w:hAnsi="Garamond"/>
      <w:b/>
      <w:sz w:val="20"/>
    </w:rPr>
  </w:style>
  <w:style w:type="character" w:customStyle="1" w:styleId="FooterChar">
    <w:name w:val="Footer Char"/>
    <w:basedOn w:val="DefaultParagraphFont"/>
    <w:link w:val="Footer"/>
    <w:uiPriority w:val="99"/>
    <w:rsid w:val="00DD1D2F"/>
    <w:rPr>
      <w:rFonts w:ascii="Garamond" w:hAnsi="Garamond"/>
      <w:b/>
      <w:szCs w:val="22"/>
      <w:lang w:eastAsia="en-US"/>
    </w:rPr>
  </w:style>
  <w:style w:type="paragraph" w:styleId="FootnoteText">
    <w:name w:val="footnote text"/>
    <w:basedOn w:val="Normal"/>
    <w:link w:val="FootnoteTextChar"/>
    <w:unhideWhenUsed/>
    <w:rsid w:val="00D4096A"/>
    <w:pPr>
      <w:spacing w:after="0"/>
    </w:pPr>
    <w:rPr>
      <w:rFonts w:ascii="Garamond" w:hAnsi="Garamond"/>
      <w:sz w:val="16"/>
      <w:szCs w:val="20"/>
    </w:rPr>
  </w:style>
  <w:style w:type="character" w:customStyle="1" w:styleId="FootnoteTextChar">
    <w:name w:val="Footnote Text Char"/>
    <w:link w:val="FootnoteText"/>
    <w:rsid w:val="00D4096A"/>
    <w:rPr>
      <w:rFonts w:ascii="Garamond" w:hAnsi="Garamond"/>
      <w:sz w:val="16"/>
      <w:szCs w:val="20"/>
    </w:rPr>
  </w:style>
  <w:style w:type="character" w:styleId="FootnoteReference">
    <w:name w:val="footnote reference"/>
    <w:unhideWhenUsed/>
    <w:rsid w:val="00D4096A"/>
    <w:rPr>
      <w:vertAlign w:val="superscript"/>
    </w:rPr>
  </w:style>
  <w:style w:type="paragraph" w:customStyle="1" w:styleId="Picture">
    <w:name w:val="Picture"/>
    <w:next w:val="19TableorFigurefootnote"/>
    <w:qFormat/>
    <w:rsid w:val="000B454E"/>
    <w:pPr>
      <w:keepNext/>
      <w:jc w:val="center"/>
    </w:pPr>
    <w:rPr>
      <w:rFonts w:ascii="Garamond" w:hAnsi="Garamond"/>
      <w:sz w:val="24"/>
      <w:szCs w:val="22"/>
      <w:lang w:eastAsia="en-US"/>
    </w:rPr>
  </w:style>
  <w:style w:type="paragraph" w:customStyle="1" w:styleId="Picturewithbox">
    <w:name w:val="Picture with box"/>
    <w:basedOn w:val="Picture"/>
    <w:next w:val="19TableorFigurefootnote"/>
    <w:qFormat/>
    <w:rsid w:val="00707F65"/>
    <w:pPr>
      <w:pBdr>
        <w:top w:val="single" w:sz="4" w:space="1" w:color="auto"/>
        <w:left w:val="single" w:sz="4" w:space="4" w:color="auto"/>
        <w:bottom w:val="single" w:sz="4" w:space="1" w:color="auto"/>
        <w:right w:val="single" w:sz="4" w:space="4" w:color="auto"/>
      </w:pBdr>
    </w:pPr>
  </w:style>
  <w:style w:type="paragraph" w:customStyle="1" w:styleId="Frontpage">
    <w:name w:val="Front page"/>
    <w:qFormat/>
    <w:rsid w:val="009E44E8"/>
    <w:pPr>
      <w:spacing w:after="160"/>
      <w:jc w:val="center"/>
    </w:pPr>
    <w:rPr>
      <w:rFonts w:ascii="Garamond" w:hAnsi="Garamond"/>
      <w:b/>
      <w:sz w:val="28"/>
      <w:szCs w:val="22"/>
      <w:lang w:eastAsia="en-US"/>
    </w:rPr>
  </w:style>
  <w:style w:type="paragraph" w:customStyle="1" w:styleId="Frontpagereportname">
    <w:name w:val="Front page report name"/>
    <w:basedOn w:val="Frontpage"/>
    <w:qFormat/>
    <w:rsid w:val="009E44E8"/>
    <w:pPr>
      <w:spacing w:before="480" w:after="120"/>
      <w:contextualSpacing/>
    </w:pPr>
    <w:rPr>
      <w:sz w:val="44"/>
    </w:rPr>
  </w:style>
  <w:style w:type="paragraph" w:customStyle="1" w:styleId="10TableHEADINGalignedleft">
    <w:name w:val="10. Table HEADING aligned left"/>
    <w:qFormat/>
    <w:rsid w:val="00915EB2"/>
    <w:pPr>
      <w:spacing w:after="120"/>
    </w:pPr>
    <w:rPr>
      <w:rFonts w:ascii="Garamond" w:hAnsi="Garamond"/>
      <w:b/>
      <w:color w:val="FFFFFF"/>
      <w:szCs w:val="22"/>
      <w:lang w:eastAsia="en-US"/>
    </w:rPr>
  </w:style>
  <w:style w:type="paragraph" w:customStyle="1" w:styleId="07Bullets2ndlevelonelongsentence">
    <w:name w:val="07. Bullets 2nd level – one long sentence"/>
    <w:qFormat/>
    <w:rsid w:val="006F7B03"/>
    <w:pPr>
      <w:numPr>
        <w:numId w:val="4"/>
      </w:numPr>
      <w:spacing w:before="60"/>
      <w:ind w:left="714" w:hanging="357"/>
      <w:contextualSpacing/>
      <w:jc w:val="both"/>
    </w:pPr>
    <w:rPr>
      <w:rFonts w:ascii="Garamond" w:hAnsi="Garamond"/>
      <w:sz w:val="24"/>
      <w:szCs w:val="22"/>
      <w:lang w:eastAsia="en-US"/>
    </w:rPr>
  </w:style>
  <w:style w:type="paragraph" w:customStyle="1" w:styleId="18Tablenumbersordollars">
    <w:name w:val="18. Table numbers or dollars"/>
    <w:basedOn w:val="13TableTEXTleftaligned"/>
    <w:qFormat/>
    <w:rsid w:val="009035FC"/>
    <w:pPr>
      <w:ind w:right="113"/>
      <w:jc w:val="right"/>
    </w:pPr>
  </w:style>
  <w:style w:type="paragraph" w:customStyle="1" w:styleId="TOFTableoffiguresheading">
    <w:name w:val="TOF Table of figures heading"/>
    <w:next w:val="BodyText"/>
    <w:qFormat/>
    <w:rsid w:val="00F733E7"/>
    <w:pPr>
      <w:spacing w:before="720" w:after="240"/>
      <w:jc w:val="right"/>
      <w:outlineLvl w:val="1"/>
    </w:pPr>
    <w:rPr>
      <w:rFonts w:ascii="Garamond" w:eastAsia="Times New Roman" w:hAnsi="Garamond"/>
      <w:b/>
      <w:color w:val="000000"/>
      <w:sz w:val="40"/>
      <w:szCs w:val="40"/>
      <w:lang w:val="en-US" w:eastAsia="en-US"/>
    </w:rPr>
  </w:style>
  <w:style w:type="paragraph" w:customStyle="1" w:styleId="Quotetext">
    <w:name w:val="Quote text"/>
    <w:qFormat/>
    <w:rsid w:val="00BF6FED"/>
    <w:pPr>
      <w:spacing w:before="120"/>
      <w:ind w:left="454" w:right="454"/>
      <w:jc w:val="both"/>
    </w:pPr>
    <w:rPr>
      <w:rFonts w:ascii="Garamond" w:hAnsi="Garamond"/>
      <w:i/>
      <w:sz w:val="22"/>
      <w:szCs w:val="22"/>
      <w:lang w:eastAsia="en-US"/>
    </w:rPr>
  </w:style>
  <w:style w:type="paragraph" w:customStyle="1" w:styleId="FindingsRecommendations1">
    <w:name w:val="Findings/Recommendations #1"/>
    <w:next w:val="FindingsRecommendationscontinued"/>
    <w:qFormat/>
    <w:rsid w:val="00732DB2"/>
    <w:pPr>
      <w:numPr>
        <w:numId w:val="8"/>
      </w:numPr>
      <w:tabs>
        <w:tab w:val="left" w:pos="567"/>
      </w:tabs>
      <w:spacing w:before="240"/>
      <w:ind w:left="567" w:hanging="567"/>
      <w:jc w:val="both"/>
    </w:pPr>
    <w:rPr>
      <w:rFonts w:ascii="Garamond" w:hAnsi="Garamond"/>
      <w:b/>
      <w:sz w:val="24"/>
      <w:szCs w:val="22"/>
      <w:lang w:eastAsia="en-US"/>
    </w:rPr>
  </w:style>
  <w:style w:type="paragraph" w:customStyle="1" w:styleId="FindingsRecommendationswithbullet">
    <w:name w:val="Findings/Recommendations with bullet"/>
    <w:qFormat/>
    <w:rsid w:val="00732DB2"/>
    <w:pPr>
      <w:numPr>
        <w:numId w:val="6"/>
      </w:numPr>
      <w:tabs>
        <w:tab w:val="left" w:pos="357"/>
      </w:tabs>
      <w:spacing w:before="120"/>
      <w:ind w:left="924" w:hanging="357"/>
      <w:contextualSpacing/>
      <w:jc w:val="both"/>
    </w:pPr>
    <w:rPr>
      <w:rFonts w:ascii="Garamond" w:hAnsi="Garamond"/>
      <w:b/>
      <w:sz w:val="24"/>
      <w:szCs w:val="22"/>
      <w:lang w:eastAsia="en-US"/>
    </w:rPr>
  </w:style>
  <w:style w:type="paragraph" w:customStyle="1" w:styleId="Numberedlistcontinued">
    <w:name w:val="Numbered list continued"/>
    <w:qFormat/>
    <w:rsid w:val="00C16B6F"/>
    <w:pPr>
      <w:numPr>
        <w:ilvl w:val="1"/>
        <w:numId w:val="7"/>
      </w:numPr>
      <w:tabs>
        <w:tab w:val="left" w:pos="567"/>
      </w:tabs>
      <w:spacing w:before="120"/>
      <w:ind w:left="567" w:hanging="567"/>
      <w:jc w:val="both"/>
    </w:pPr>
    <w:rPr>
      <w:rFonts w:ascii="Garamond" w:hAnsi="Garamond"/>
      <w:sz w:val="24"/>
      <w:szCs w:val="22"/>
      <w:lang w:eastAsia="en-US"/>
    </w:rPr>
  </w:style>
  <w:style w:type="paragraph" w:customStyle="1" w:styleId="15TableTEXTcentred">
    <w:name w:val="15. Table TEXT centred"/>
    <w:qFormat/>
    <w:rsid w:val="00F23B0A"/>
    <w:pPr>
      <w:jc w:val="center"/>
    </w:pPr>
    <w:rPr>
      <w:rFonts w:ascii="Garamond" w:hAnsi="Garamond"/>
      <w:szCs w:val="22"/>
      <w:lang w:eastAsia="en-US"/>
    </w:rPr>
  </w:style>
  <w:style w:type="paragraph" w:customStyle="1" w:styleId="04Bodytextboldentireparagraph">
    <w:name w:val="04. Body text bold entire paragraph"/>
    <w:qFormat/>
    <w:rsid w:val="00BB2E64"/>
    <w:pPr>
      <w:spacing w:before="240"/>
      <w:jc w:val="both"/>
    </w:pPr>
    <w:rPr>
      <w:rFonts w:ascii="Garamond" w:hAnsi="Garamond"/>
      <w:b/>
      <w:sz w:val="24"/>
      <w:szCs w:val="22"/>
      <w:lang w:eastAsia="en-US"/>
    </w:rPr>
  </w:style>
  <w:style w:type="numbering" w:customStyle="1" w:styleId="Numberedlist">
    <w:name w:val="Numbered list"/>
    <w:uiPriority w:val="99"/>
    <w:rsid w:val="00E121C3"/>
    <w:pPr>
      <w:numPr>
        <w:numId w:val="7"/>
      </w:numPr>
    </w:pPr>
  </w:style>
  <w:style w:type="paragraph" w:customStyle="1" w:styleId="Numberedlist1">
    <w:name w:val="Numbered list #1"/>
    <w:basedOn w:val="Numberedlistcontinued"/>
    <w:next w:val="Numberedlistcontinued"/>
    <w:qFormat/>
    <w:rsid w:val="00C16B6F"/>
    <w:pPr>
      <w:numPr>
        <w:ilvl w:val="0"/>
      </w:numPr>
      <w:ind w:left="567" w:hanging="567"/>
    </w:pPr>
  </w:style>
  <w:style w:type="numbering" w:customStyle="1" w:styleId="FindingsRecommendations">
    <w:name w:val="Findings/Recommendations"/>
    <w:uiPriority w:val="99"/>
    <w:rsid w:val="00090650"/>
    <w:pPr>
      <w:numPr>
        <w:numId w:val="8"/>
      </w:numPr>
    </w:pPr>
  </w:style>
  <w:style w:type="paragraph" w:customStyle="1" w:styleId="FindingsRecommendationscontinued">
    <w:name w:val="Findings/Recommendations continued"/>
    <w:basedOn w:val="FindingsRecommendations1"/>
    <w:qFormat/>
    <w:rsid w:val="00090650"/>
    <w:pPr>
      <w:numPr>
        <w:ilvl w:val="1"/>
      </w:numPr>
      <w:ind w:left="567" w:hanging="567"/>
    </w:pPr>
  </w:style>
  <w:style w:type="paragraph" w:customStyle="1" w:styleId="Abbreviations">
    <w:name w:val="Abbreviations"/>
    <w:qFormat/>
    <w:rsid w:val="00244B2B"/>
    <w:pPr>
      <w:pBdr>
        <w:top w:val="dotted" w:sz="4" w:space="1" w:color="auto"/>
        <w:left w:val="dotted" w:sz="4" w:space="4" w:color="auto"/>
        <w:bottom w:val="dotted" w:sz="4" w:space="1" w:color="auto"/>
        <w:right w:val="dotted" w:sz="4" w:space="4" w:color="auto"/>
        <w:between w:val="dotted" w:sz="4" w:space="1" w:color="auto"/>
        <w:bar w:val="dotted" w:sz="4" w:color="auto"/>
      </w:pBdr>
      <w:tabs>
        <w:tab w:val="left" w:pos="1701"/>
      </w:tabs>
      <w:spacing w:after="20"/>
      <w:jc w:val="center"/>
    </w:pPr>
    <w:rPr>
      <w:rFonts w:ascii="Garamond" w:hAnsi="Garamond"/>
      <w:sz w:val="16"/>
      <w:szCs w:val="22"/>
      <w:lang w:eastAsia="en-US"/>
    </w:rPr>
  </w:style>
  <w:style w:type="paragraph" w:customStyle="1" w:styleId="17TabletextBullet2ndlevel">
    <w:name w:val="17. Table text Bullet 2nd level"/>
    <w:qFormat/>
    <w:rsid w:val="00FF0835"/>
    <w:pPr>
      <w:numPr>
        <w:numId w:val="9"/>
      </w:numPr>
      <w:tabs>
        <w:tab w:val="left" w:pos="170"/>
      </w:tabs>
      <w:ind w:left="454" w:hanging="227"/>
    </w:pPr>
    <w:rPr>
      <w:rFonts w:ascii="Garamond" w:hAnsi="Garamond"/>
      <w:szCs w:val="22"/>
      <w:lang w:eastAsia="en-US"/>
    </w:rPr>
  </w:style>
  <w:style w:type="paragraph" w:customStyle="1" w:styleId="CVheadings">
    <w:name w:val="CV headings"/>
    <w:qFormat/>
    <w:rsid w:val="00753ED9"/>
    <w:pPr>
      <w:shd w:val="clear" w:color="auto" w:fill="632423" w:themeFill="accent2" w:themeFillShade="80"/>
      <w:spacing w:before="240" w:after="240"/>
    </w:pPr>
    <w:rPr>
      <w:rFonts w:ascii="Papyrus" w:hAnsi="Papyrus"/>
      <w:b/>
      <w:color w:val="FFFFFF" w:themeColor="background1"/>
      <w:sz w:val="22"/>
      <w:szCs w:val="22"/>
      <w:lang w:eastAsia="en-US"/>
    </w:rPr>
  </w:style>
  <w:style w:type="paragraph" w:customStyle="1" w:styleId="Deliverablestextbox">
    <w:name w:val="Deliverables text box"/>
    <w:qFormat/>
    <w:rsid w:val="005B7FD2"/>
    <w:pPr>
      <w:pBdr>
        <w:top w:val="single" w:sz="4" w:space="10" w:color="auto"/>
        <w:left w:val="single" w:sz="4" w:space="10" w:color="auto"/>
        <w:bottom w:val="single" w:sz="4" w:space="10" w:color="auto"/>
        <w:right w:val="single" w:sz="4" w:space="10" w:color="auto"/>
      </w:pBdr>
      <w:shd w:val="clear" w:color="auto" w:fill="F2DBDB" w:themeFill="accent2" w:themeFillTint="33"/>
      <w:spacing w:before="240" w:after="240"/>
      <w:ind w:left="198"/>
    </w:pPr>
    <w:rPr>
      <w:rFonts w:ascii="Garamond" w:hAnsi="Garamond"/>
      <w:b/>
      <w:sz w:val="24"/>
      <w:szCs w:val="22"/>
      <w:lang w:eastAsia="en-US"/>
    </w:rPr>
  </w:style>
  <w:style w:type="character" w:styleId="CommentReference">
    <w:name w:val="annotation reference"/>
    <w:basedOn w:val="DefaultParagraphFont"/>
    <w:uiPriority w:val="99"/>
    <w:semiHidden/>
    <w:unhideWhenUsed/>
    <w:rsid w:val="00AA423F"/>
    <w:rPr>
      <w:sz w:val="16"/>
      <w:szCs w:val="16"/>
    </w:rPr>
  </w:style>
  <w:style w:type="paragraph" w:styleId="CommentText">
    <w:name w:val="annotation text"/>
    <w:basedOn w:val="Normal"/>
    <w:link w:val="CommentTextChar"/>
    <w:uiPriority w:val="99"/>
    <w:unhideWhenUsed/>
    <w:rsid w:val="00AA423F"/>
    <w:rPr>
      <w:sz w:val="20"/>
      <w:szCs w:val="20"/>
    </w:rPr>
  </w:style>
  <w:style w:type="character" w:customStyle="1" w:styleId="CommentTextChar">
    <w:name w:val="Comment Text Char"/>
    <w:basedOn w:val="DefaultParagraphFont"/>
    <w:link w:val="CommentText"/>
    <w:uiPriority w:val="99"/>
    <w:rsid w:val="00AA423F"/>
    <w:rPr>
      <w:lang w:eastAsia="en-US"/>
    </w:rPr>
  </w:style>
  <w:style w:type="paragraph" w:styleId="CommentSubject">
    <w:name w:val="annotation subject"/>
    <w:basedOn w:val="CommentText"/>
    <w:next w:val="CommentText"/>
    <w:link w:val="CommentSubjectChar"/>
    <w:uiPriority w:val="99"/>
    <w:semiHidden/>
    <w:unhideWhenUsed/>
    <w:rsid w:val="00AA423F"/>
    <w:rPr>
      <w:b/>
      <w:bCs/>
    </w:rPr>
  </w:style>
  <w:style w:type="character" w:customStyle="1" w:styleId="CommentSubjectChar">
    <w:name w:val="Comment Subject Char"/>
    <w:basedOn w:val="CommentTextChar"/>
    <w:link w:val="CommentSubject"/>
    <w:uiPriority w:val="99"/>
    <w:semiHidden/>
    <w:rsid w:val="00AA423F"/>
    <w:rPr>
      <w:b/>
      <w:bCs/>
      <w:lang w:eastAsia="en-US"/>
    </w:rPr>
  </w:style>
  <w:style w:type="paragraph" w:customStyle="1" w:styleId="08Bulletsseriesofsentences">
    <w:name w:val="08. Bullets – series of sentences"/>
    <w:link w:val="08BulletsseriesofsentencesChar"/>
    <w:qFormat/>
    <w:rsid w:val="00023C52"/>
    <w:pPr>
      <w:numPr>
        <w:numId w:val="10"/>
      </w:numPr>
      <w:spacing w:before="120"/>
      <w:ind w:left="357" w:hanging="357"/>
      <w:jc w:val="both"/>
    </w:pPr>
    <w:rPr>
      <w:rFonts w:ascii="Garamond" w:hAnsi="Garamond"/>
      <w:sz w:val="24"/>
      <w:szCs w:val="22"/>
      <w:lang w:eastAsia="en-US"/>
    </w:rPr>
  </w:style>
  <w:style w:type="character" w:customStyle="1" w:styleId="08BulletsseriesofsentencesChar">
    <w:name w:val="08. Bullets – series of sentences Char"/>
    <w:basedOn w:val="DefaultParagraphFont"/>
    <w:link w:val="08Bulletsseriesofsentences"/>
    <w:rsid w:val="00023C52"/>
    <w:rPr>
      <w:rFonts w:ascii="Garamond" w:hAnsi="Garamond"/>
      <w:sz w:val="24"/>
      <w:szCs w:val="22"/>
      <w:lang w:eastAsia="en-US"/>
    </w:rPr>
  </w:style>
  <w:style w:type="paragraph" w:customStyle="1" w:styleId="03Bodytextaftersingle-sentencebullets">
    <w:name w:val="03. Body text after single-sentence bullets"/>
    <w:basedOn w:val="BodyText"/>
    <w:next w:val="BodyText"/>
    <w:qFormat/>
    <w:rsid w:val="007D0883"/>
    <w:pPr>
      <w:spacing w:before="120"/>
    </w:pPr>
  </w:style>
  <w:style w:type="paragraph" w:customStyle="1" w:styleId="02Bodytextbeforesingle-sentencebullets">
    <w:name w:val="02. Body text before single-sentence bullets"/>
    <w:next w:val="BodyText"/>
    <w:qFormat/>
    <w:rsid w:val="003F56C9"/>
    <w:pPr>
      <w:keepNext/>
      <w:spacing w:before="240" w:after="120"/>
      <w:jc w:val="both"/>
    </w:pPr>
    <w:rPr>
      <w:rFonts w:ascii="Garamond" w:hAnsi="Garamond"/>
      <w:sz w:val="24"/>
      <w:szCs w:val="22"/>
      <w:lang w:eastAsia="en-US"/>
    </w:rPr>
  </w:style>
  <w:style w:type="paragraph" w:styleId="ListParagraph">
    <w:name w:val="List Paragraph"/>
    <w:aliases w:val="Recommendation,Lists,List 1 Paragraph,Bullet List,FooterText,numbered,List Paragraph1,Paragraphe de liste1,Bulletr List Paragraph,列出段落,列出段落1,List Paragraph2,List Paragraph21,Listeafsnit1,Parágrafo da Lista1,Bullet list,Párrafo de lista1"/>
    <w:basedOn w:val="Normal"/>
    <w:link w:val="ListParagraphChar"/>
    <w:uiPriority w:val="34"/>
    <w:qFormat/>
    <w:rsid w:val="00A516E1"/>
    <w:pPr>
      <w:ind w:left="720"/>
      <w:contextualSpacing/>
    </w:pPr>
  </w:style>
  <w:style w:type="paragraph" w:customStyle="1" w:styleId="09Bullets2ndlevelseriesofsentences">
    <w:name w:val="09. Bullets 2nd level – series of sentences"/>
    <w:basedOn w:val="08Bulletsseriesofsentences"/>
    <w:qFormat/>
    <w:rsid w:val="00A516E1"/>
    <w:pPr>
      <w:numPr>
        <w:numId w:val="11"/>
      </w:numPr>
      <w:ind w:left="714" w:hanging="357"/>
      <w:contextualSpacing/>
    </w:pPr>
  </w:style>
  <w:style w:type="paragraph" w:customStyle="1" w:styleId="14Tabletextleftalignedspacebefore">
    <w:name w:val="14. Table text left aligned – space before"/>
    <w:basedOn w:val="13TableTEXTleftaligned"/>
    <w:qFormat/>
    <w:rsid w:val="007174E4"/>
    <w:pPr>
      <w:spacing w:before="120"/>
    </w:pPr>
  </w:style>
  <w:style w:type="paragraph" w:customStyle="1" w:styleId="01BODYTEXT">
    <w:name w:val="01. BODY TEXT"/>
    <w:qFormat/>
    <w:rsid w:val="00005085"/>
    <w:pPr>
      <w:spacing w:before="240"/>
      <w:jc w:val="both"/>
    </w:pPr>
    <w:rPr>
      <w:rFonts w:ascii="Garamond" w:hAnsi="Garamond"/>
      <w:sz w:val="24"/>
      <w:szCs w:val="22"/>
      <w:lang w:eastAsia="en-US"/>
    </w:rPr>
  </w:style>
  <w:style w:type="character" w:styleId="PlaceholderText">
    <w:name w:val="Placeholder Text"/>
    <w:basedOn w:val="DefaultParagraphFont"/>
    <w:uiPriority w:val="99"/>
    <w:semiHidden/>
    <w:rsid w:val="001C7A2C"/>
    <w:rPr>
      <w:color w:val="808080"/>
    </w:rPr>
  </w:style>
  <w:style w:type="character" w:styleId="Emphasis">
    <w:name w:val="Emphasis"/>
    <w:basedOn w:val="DefaultParagraphFont"/>
    <w:uiPriority w:val="20"/>
    <w:qFormat/>
    <w:rsid w:val="001B549E"/>
    <w:rPr>
      <w:i/>
      <w:iCs/>
    </w:rPr>
  </w:style>
  <w:style w:type="paragraph" w:customStyle="1" w:styleId="Default">
    <w:name w:val="Default"/>
    <w:rsid w:val="00FD2F6D"/>
    <w:pPr>
      <w:autoSpaceDE w:val="0"/>
      <w:autoSpaceDN w:val="0"/>
      <w:adjustRightInd w:val="0"/>
    </w:pPr>
    <w:rPr>
      <w:rFonts w:cs="Calibri"/>
      <w:color w:val="000000"/>
      <w:sz w:val="24"/>
      <w:szCs w:val="24"/>
    </w:rPr>
  </w:style>
  <w:style w:type="paragraph" w:styleId="Revision">
    <w:name w:val="Revision"/>
    <w:hidden/>
    <w:uiPriority w:val="99"/>
    <w:semiHidden/>
    <w:rsid w:val="00474E49"/>
    <w:rPr>
      <w:sz w:val="22"/>
      <w:szCs w:val="22"/>
      <w:lang w:eastAsia="en-US"/>
    </w:rPr>
  </w:style>
  <w:style w:type="paragraph" w:customStyle="1" w:styleId="heading1a">
    <w:name w:val="heading 1a"/>
    <w:basedOn w:val="Heading1"/>
    <w:next w:val="Heading1"/>
    <w:link w:val="heading1aChar"/>
    <w:uiPriority w:val="99"/>
    <w:qFormat/>
    <w:rsid w:val="00244B2B"/>
    <w:pPr>
      <w:keepNext w:val="0"/>
      <w:pageBreakBefore w:val="0"/>
      <w:numPr>
        <w:numId w:val="0"/>
      </w:numPr>
      <w:spacing w:after="0"/>
      <w:ind w:left="851" w:hanging="851"/>
      <w:outlineLvl w:val="9"/>
    </w:pPr>
    <w:rPr>
      <w:color w:val="000000"/>
      <w:sz w:val="100"/>
      <w:szCs w:val="20"/>
    </w:rPr>
  </w:style>
  <w:style w:type="character" w:customStyle="1" w:styleId="heading1aChar">
    <w:name w:val="heading 1a Char"/>
    <w:basedOn w:val="DefaultParagraphFont"/>
    <w:link w:val="heading1a"/>
    <w:uiPriority w:val="99"/>
    <w:rsid w:val="00244B2B"/>
    <w:rPr>
      <w:rFonts w:ascii="Garamond" w:eastAsia="Times New Roman" w:hAnsi="Garamond"/>
      <w:b/>
      <w:color w:val="000000"/>
      <w:sz w:val="100"/>
      <w:lang w:eastAsia="en-US"/>
    </w:rPr>
  </w:style>
  <w:style w:type="paragraph" w:customStyle="1" w:styleId="numberedlist0">
    <w:name w:val="numbered list"/>
    <w:basedOn w:val="Normal"/>
    <w:qFormat/>
    <w:rsid w:val="00244B2B"/>
    <w:pPr>
      <w:numPr>
        <w:numId w:val="13"/>
      </w:numPr>
      <w:spacing w:after="0"/>
      <w:jc w:val="both"/>
    </w:pPr>
    <w:rPr>
      <w:rFonts w:ascii="Garamond" w:eastAsia="Times New Roman" w:hAnsi="Garamond"/>
      <w:bCs/>
      <w:color w:val="000000"/>
    </w:rPr>
  </w:style>
  <w:style w:type="paragraph" w:customStyle="1" w:styleId="HCNormalText">
    <w:name w:val="HC : Normal Text"/>
    <w:basedOn w:val="Normal"/>
    <w:link w:val="HCNormalTextChar"/>
    <w:qFormat/>
    <w:rsid w:val="00244B2B"/>
    <w:pPr>
      <w:spacing w:after="0"/>
      <w:jc w:val="both"/>
    </w:pPr>
    <w:rPr>
      <w:rFonts w:ascii="Garamond" w:eastAsia="Times New Roman" w:hAnsi="Garamond"/>
    </w:rPr>
  </w:style>
  <w:style w:type="character" w:customStyle="1" w:styleId="HCNormalTextChar">
    <w:name w:val="HC : Normal Text Char"/>
    <w:basedOn w:val="DefaultParagraphFont"/>
    <w:link w:val="HCNormalText"/>
    <w:rsid w:val="00244B2B"/>
    <w:rPr>
      <w:rFonts w:ascii="Garamond" w:eastAsia="Times New Roman" w:hAnsi="Garamond"/>
      <w:sz w:val="22"/>
      <w:szCs w:val="22"/>
      <w:lang w:eastAsia="en-US"/>
    </w:rPr>
  </w:style>
  <w:style w:type="paragraph" w:customStyle="1" w:styleId="HCLevel2Heading">
    <w:name w:val="HC : Level 2 Heading"/>
    <w:basedOn w:val="Heading2"/>
    <w:link w:val="HCLevel2HeadingChar"/>
    <w:qFormat/>
    <w:rsid w:val="00244B2B"/>
    <w:pPr>
      <w:numPr>
        <w:ilvl w:val="0"/>
        <w:numId w:val="0"/>
      </w:numPr>
      <w:spacing w:before="0" w:after="120"/>
    </w:pPr>
    <w:rPr>
      <w:rFonts w:cs="Arial"/>
      <w:bCs/>
      <w:iCs/>
      <w:sz w:val="22"/>
      <w:szCs w:val="24"/>
    </w:rPr>
  </w:style>
  <w:style w:type="character" w:customStyle="1" w:styleId="HCLevel2HeadingChar">
    <w:name w:val="HC : Level 2 Heading Char"/>
    <w:basedOn w:val="DefaultParagraphFont"/>
    <w:link w:val="HCLevel2Heading"/>
    <w:rsid w:val="00244B2B"/>
    <w:rPr>
      <w:rFonts w:ascii="Garamond" w:eastAsia="Times New Roman" w:hAnsi="Garamond" w:cs="Arial"/>
      <w:b/>
      <w:bCs/>
      <w:iCs/>
      <w:caps/>
      <w:sz w:val="22"/>
      <w:szCs w:val="24"/>
      <w:lang w:eastAsia="en-US"/>
    </w:rPr>
  </w:style>
  <w:style w:type="paragraph" w:customStyle="1" w:styleId="BulletL2HC">
    <w:name w:val="Bullet L2 HC"/>
    <w:basedOn w:val="Normal"/>
    <w:qFormat/>
    <w:rsid w:val="00244B2B"/>
    <w:pPr>
      <w:numPr>
        <w:numId w:val="12"/>
      </w:numPr>
      <w:spacing w:after="0"/>
      <w:ind w:left="907"/>
      <w:jc w:val="both"/>
    </w:pPr>
    <w:rPr>
      <w:rFonts w:ascii="Garamond" w:eastAsia="Times New Roman" w:hAnsi="Garamond"/>
      <w:color w:val="000000"/>
      <w:szCs w:val="24"/>
    </w:rPr>
  </w:style>
  <w:style w:type="character" w:customStyle="1" w:styleId="style111">
    <w:name w:val="style111"/>
    <w:basedOn w:val="DefaultParagraphFont"/>
    <w:rsid w:val="00244B2B"/>
    <w:rPr>
      <w:color w:val="666666"/>
      <w:sz w:val="14"/>
      <w:szCs w:val="14"/>
    </w:rPr>
  </w:style>
  <w:style w:type="character" w:customStyle="1" w:styleId="ListParagraphChar">
    <w:name w:val="List Paragraph Char"/>
    <w:aliases w:val="Recommendation Char,Lists Char,List 1 Paragraph Char,Bullet List Char,FooterText Char,numbered Char,List Paragraph1 Char,Paragraphe de liste1 Char,Bulletr List Paragraph Char,列出段落 Char,列出段落1 Char,List Paragraph2 Char,Bullet list Char"/>
    <w:basedOn w:val="DefaultParagraphFont"/>
    <w:link w:val="ListParagraph"/>
    <w:uiPriority w:val="99"/>
    <w:rsid w:val="00244B2B"/>
    <w:rPr>
      <w:sz w:val="22"/>
      <w:szCs w:val="22"/>
      <w:lang w:eastAsia="en-US"/>
    </w:rPr>
  </w:style>
  <w:style w:type="paragraph" w:customStyle="1" w:styleId="TableFigureheading">
    <w:name w:val="Table/Figure heading"/>
    <w:basedOn w:val="Normal"/>
    <w:next w:val="Normal"/>
    <w:uiPriority w:val="99"/>
    <w:qFormat/>
    <w:rsid w:val="00244B2B"/>
    <w:pPr>
      <w:spacing w:after="120"/>
      <w:jc w:val="center"/>
    </w:pPr>
    <w:rPr>
      <w:rFonts w:ascii="Garamond" w:eastAsia="Times New Roman" w:hAnsi="Garamond"/>
      <w:b/>
      <w:sz w:val="20"/>
      <w:szCs w:val="20"/>
    </w:rPr>
  </w:style>
  <w:style w:type="paragraph" w:customStyle="1" w:styleId="lead">
    <w:name w:val="lead"/>
    <w:basedOn w:val="Normal"/>
    <w:rsid w:val="00244B2B"/>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151347"/>
    <w:pPr>
      <w:spacing w:after="0"/>
    </w:pPr>
    <w:rPr>
      <w:sz w:val="20"/>
      <w:szCs w:val="20"/>
    </w:rPr>
  </w:style>
  <w:style w:type="character" w:customStyle="1" w:styleId="EndnoteTextChar">
    <w:name w:val="Endnote Text Char"/>
    <w:basedOn w:val="DefaultParagraphFont"/>
    <w:link w:val="EndnoteText"/>
    <w:uiPriority w:val="99"/>
    <w:semiHidden/>
    <w:rsid w:val="00151347"/>
    <w:rPr>
      <w:lang w:eastAsia="en-US"/>
    </w:rPr>
  </w:style>
  <w:style w:type="character" w:styleId="EndnoteReference">
    <w:name w:val="endnote reference"/>
    <w:basedOn w:val="DefaultParagraphFont"/>
    <w:uiPriority w:val="99"/>
    <w:semiHidden/>
    <w:unhideWhenUsed/>
    <w:rsid w:val="00151347"/>
    <w:rPr>
      <w:vertAlign w:val="superscript"/>
    </w:rPr>
  </w:style>
  <w:style w:type="paragraph" w:customStyle="1" w:styleId="Bullettext-indentedlastspaceafter">
    <w:name w:val="Bullet text-indented last (space after)"/>
    <w:qFormat/>
    <w:rsid w:val="00CC3099"/>
    <w:pPr>
      <w:tabs>
        <w:tab w:val="left" w:pos="357"/>
      </w:tabs>
      <w:spacing w:after="120"/>
      <w:ind w:left="360" w:hanging="360"/>
      <w:jc w:val="both"/>
    </w:pPr>
    <w:rPr>
      <w:rFonts w:ascii="Garamond" w:hAnsi="Garamond"/>
      <w:sz w:val="24"/>
      <w:szCs w:val="22"/>
      <w:lang w:eastAsia="en-US"/>
    </w:rPr>
  </w:style>
  <w:style w:type="paragraph" w:customStyle="1" w:styleId="Bodytextbold">
    <w:name w:val="Body text bold"/>
    <w:qFormat/>
    <w:rsid w:val="00CC3099"/>
    <w:pPr>
      <w:spacing w:after="240"/>
      <w:jc w:val="both"/>
    </w:pPr>
    <w:rPr>
      <w:rFonts w:ascii="Garamond" w:hAnsi="Garamond"/>
      <w:b/>
      <w:sz w:val="24"/>
      <w:szCs w:val="22"/>
      <w:lang w:eastAsia="en-US"/>
    </w:rPr>
  </w:style>
  <w:style w:type="paragraph" w:customStyle="1" w:styleId="Bulletlevel1">
    <w:name w:val="Bullet level 1"/>
    <w:basedOn w:val="Normal"/>
    <w:qFormat/>
    <w:rsid w:val="006F6287"/>
    <w:pPr>
      <w:numPr>
        <w:numId w:val="15"/>
      </w:numPr>
      <w:spacing w:after="0"/>
      <w:jc w:val="both"/>
    </w:pPr>
    <w:rPr>
      <w:rFonts w:ascii="Garamond" w:eastAsia="Times New Roman" w:hAnsi="Garamond"/>
      <w:sz w:val="24"/>
      <w:szCs w:val="24"/>
    </w:rPr>
  </w:style>
  <w:style w:type="paragraph" w:styleId="NormalWeb">
    <w:name w:val="Normal (Web)"/>
    <w:basedOn w:val="Normal"/>
    <w:uiPriority w:val="99"/>
    <w:semiHidden/>
    <w:unhideWhenUsed/>
    <w:rsid w:val="00F54BDF"/>
    <w:pPr>
      <w:spacing w:before="100" w:beforeAutospacing="1" w:after="100" w:afterAutospacing="1"/>
    </w:pPr>
    <w:rPr>
      <w:rFonts w:ascii="Times New Roman" w:eastAsia="Times New Roman" w:hAnsi="Times New Roman"/>
      <w:sz w:val="24"/>
      <w:szCs w:val="24"/>
      <w:lang w:eastAsia="en-AU"/>
    </w:rPr>
  </w:style>
  <w:style w:type="character" w:customStyle="1" w:styleId="apple-converted-space">
    <w:name w:val="apple-converted-space"/>
    <w:basedOn w:val="DefaultParagraphFont"/>
    <w:rsid w:val="004D0D4E"/>
  </w:style>
  <w:style w:type="paragraph" w:customStyle="1" w:styleId="Bullettextsecondlevel">
    <w:name w:val="Bullet text second level"/>
    <w:basedOn w:val="Bullettext"/>
    <w:qFormat/>
    <w:rsid w:val="005D23E0"/>
    <w:pPr>
      <w:numPr>
        <w:ilvl w:val="1"/>
      </w:numPr>
      <w:spacing w:before="0"/>
      <w:ind w:left="794" w:hanging="227"/>
    </w:pPr>
  </w:style>
  <w:style w:type="paragraph" w:customStyle="1" w:styleId="Bullettext">
    <w:name w:val="Bullet text"/>
    <w:basedOn w:val="BodyText"/>
    <w:link w:val="BullettextChar"/>
    <w:qFormat/>
    <w:rsid w:val="005D23E0"/>
    <w:pPr>
      <w:numPr>
        <w:numId w:val="16"/>
      </w:numPr>
      <w:spacing w:before="120" w:after="120"/>
      <w:contextualSpacing/>
      <w:jc w:val="left"/>
    </w:pPr>
    <w:rPr>
      <w:rFonts w:eastAsiaTheme="minorHAnsi" w:cstheme="minorBidi"/>
    </w:rPr>
  </w:style>
  <w:style w:type="character" w:customStyle="1" w:styleId="BullettextChar">
    <w:name w:val="Bullet text Char"/>
    <w:link w:val="Bullettext"/>
    <w:rsid w:val="005D23E0"/>
    <w:rPr>
      <w:rFonts w:ascii="Garamond" w:eastAsiaTheme="minorHAnsi" w:hAnsi="Garamond" w:cstheme="minorBidi"/>
      <w:sz w:val="24"/>
      <w:szCs w:val="22"/>
      <w:lang w:eastAsia="en-US"/>
    </w:rPr>
  </w:style>
  <w:style w:type="paragraph" w:customStyle="1" w:styleId="Bodytextbeforebullets">
    <w:name w:val="Body text before bullets"/>
    <w:basedOn w:val="BodyText"/>
    <w:next w:val="Bullettext"/>
    <w:qFormat/>
    <w:rsid w:val="005D23E0"/>
    <w:pPr>
      <w:keepNext/>
      <w:spacing w:before="0" w:after="120"/>
      <w:jc w:val="left"/>
    </w:pPr>
    <w:rPr>
      <w:rFonts w:eastAsiaTheme="minorHAnsi" w:cstheme="minorBidi"/>
    </w:rPr>
  </w:style>
  <w:style w:type="table" w:customStyle="1" w:styleId="TableGrid1">
    <w:name w:val="Table Grid1"/>
    <w:basedOn w:val="TableNormal"/>
    <w:next w:val="TableGrid"/>
    <w:uiPriority w:val="59"/>
    <w:rsid w:val="008D241F"/>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Cambria" w:hAnsi="Cambria"/>
        <w:b w:val="0"/>
        <w:i w:val="0"/>
        <w:color w:val="FFFFFF" w:themeColor="background1"/>
        <w:sz w:val="18"/>
      </w:rPr>
      <w:tblPr/>
      <w:tcPr>
        <w:shd w:val="clear" w:color="auto" w:fill="366091"/>
      </w:tcPr>
    </w:tblStylePr>
    <w:tblStylePr w:type="band2Horz">
      <w:tblPr/>
      <w:tcPr>
        <w:shd w:val="clear" w:color="auto" w:fill="DBE5F1" w:themeFill="accent1" w:themeFillTint="33"/>
      </w:tcPr>
    </w:tblStylePr>
  </w:style>
  <w:style w:type="paragraph" w:customStyle="1" w:styleId="Table10ptheadingcentred">
    <w:name w:val="Table 10pt heading centred"/>
    <w:qFormat/>
    <w:rsid w:val="008D241F"/>
    <w:pPr>
      <w:jc w:val="center"/>
    </w:pPr>
    <w:rPr>
      <w:rFonts w:ascii="Garamond" w:hAnsi="Garamond"/>
      <w:b/>
      <w:color w:val="FFFFFF"/>
      <w:szCs w:val="22"/>
      <w:lang w:eastAsia="en-US"/>
    </w:rPr>
  </w:style>
  <w:style w:type="paragraph" w:customStyle="1" w:styleId="Table10ptalignedleftspaceafter">
    <w:name w:val="Table 10pt aligned left space after"/>
    <w:qFormat/>
    <w:rsid w:val="008D241F"/>
    <w:pPr>
      <w:spacing w:after="120"/>
    </w:pPr>
    <w:rPr>
      <w:rFonts w:ascii="Garamond" w:hAnsi="Garamond"/>
      <w:szCs w:val="22"/>
      <w:lang w:eastAsia="en-US"/>
    </w:rPr>
  </w:style>
  <w:style w:type="paragraph" w:customStyle="1" w:styleId="Table10ptalignedleft">
    <w:name w:val="Table 10pt aligned left"/>
    <w:qFormat/>
    <w:rsid w:val="008D241F"/>
    <w:rPr>
      <w:rFonts w:ascii="Garamond" w:hAnsi="Garamond"/>
      <w:szCs w:val="22"/>
      <w:lang w:eastAsia="en-US"/>
    </w:rPr>
  </w:style>
  <w:style w:type="paragraph" w:customStyle="1" w:styleId="Table10ptbullet">
    <w:name w:val="Table 10pt bullet"/>
    <w:qFormat/>
    <w:rsid w:val="008D241F"/>
    <w:pPr>
      <w:tabs>
        <w:tab w:val="left" w:pos="227"/>
      </w:tabs>
      <w:ind w:left="227" w:hanging="227"/>
    </w:pPr>
    <w:rPr>
      <w:rFonts w:ascii="Garamond" w:hAnsi="Garamond"/>
      <w:szCs w:val="22"/>
      <w:lang w:eastAsia="en-US"/>
    </w:rPr>
  </w:style>
  <w:style w:type="paragraph" w:customStyle="1" w:styleId="Table10ptheadingalignedleft">
    <w:name w:val="Table 10pt heading aligned left"/>
    <w:qFormat/>
    <w:rsid w:val="008D241F"/>
    <w:rPr>
      <w:rFonts w:ascii="Garamond" w:hAnsi="Garamond"/>
      <w:b/>
      <w:color w:val="FFFFFF"/>
      <w:szCs w:val="22"/>
      <w:lang w:eastAsia="en-US"/>
    </w:rPr>
  </w:style>
  <w:style w:type="paragraph" w:customStyle="1" w:styleId="05Tabletext">
    <w:name w:val="05. Table text"/>
    <w:next w:val="06Tabletextspacebefore"/>
    <w:link w:val="05TabletextChar"/>
    <w:qFormat/>
    <w:rsid w:val="008D241F"/>
    <w:pPr>
      <w:spacing w:before="20"/>
    </w:pPr>
    <w:rPr>
      <w:rFonts w:ascii="Garamond" w:eastAsiaTheme="minorHAnsi" w:hAnsi="Garamond"/>
      <w:sz w:val="18"/>
      <w:szCs w:val="22"/>
      <w:lang w:eastAsia="en-US"/>
    </w:rPr>
  </w:style>
  <w:style w:type="character" w:customStyle="1" w:styleId="05TabletextChar">
    <w:name w:val="05. Table text Char"/>
    <w:basedOn w:val="DefaultParagraphFont"/>
    <w:link w:val="05Tabletext"/>
    <w:rsid w:val="008D241F"/>
    <w:rPr>
      <w:rFonts w:ascii="Garamond" w:eastAsiaTheme="minorHAnsi" w:hAnsi="Garamond"/>
      <w:sz w:val="18"/>
      <w:szCs w:val="22"/>
      <w:lang w:eastAsia="en-US"/>
    </w:rPr>
  </w:style>
  <w:style w:type="paragraph" w:customStyle="1" w:styleId="11Tablefootnoteslast-nostick">
    <w:name w:val="11. Table footnotes last - no stick"/>
    <w:next w:val="BodyText"/>
    <w:qFormat/>
    <w:rsid w:val="008D241F"/>
    <w:pPr>
      <w:spacing w:after="360"/>
    </w:pPr>
    <w:rPr>
      <w:rFonts w:ascii="Garamond" w:eastAsiaTheme="minorHAnsi" w:hAnsi="Garamond" w:cstheme="minorBidi"/>
      <w:sz w:val="16"/>
      <w:szCs w:val="16"/>
      <w:lang w:eastAsia="en-US"/>
    </w:rPr>
  </w:style>
  <w:style w:type="paragraph" w:customStyle="1" w:styleId="06Tabletextspacebefore">
    <w:name w:val="06. Table text space before"/>
    <w:qFormat/>
    <w:rsid w:val="008D241F"/>
    <w:pPr>
      <w:spacing w:before="60"/>
    </w:pPr>
    <w:rPr>
      <w:rFonts w:ascii="Garamond" w:eastAsiaTheme="minorHAnsi" w:hAnsi="Garamond" w:cstheme="minorBidi"/>
      <w:sz w:val="18"/>
      <w:szCs w:val="16"/>
      <w:lang w:eastAsia="en-US"/>
    </w:rPr>
  </w:style>
  <w:style w:type="paragraph" w:customStyle="1" w:styleId="07Tablebullet">
    <w:name w:val="07.Table bullet"/>
    <w:qFormat/>
    <w:rsid w:val="008D241F"/>
    <w:pPr>
      <w:numPr>
        <w:numId w:val="17"/>
      </w:numPr>
      <w:ind w:left="284" w:hanging="227"/>
    </w:pPr>
    <w:rPr>
      <w:rFonts w:ascii="Garamond" w:eastAsiaTheme="minorHAnsi" w:hAnsi="Garamond"/>
      <w:sz w:val="18"/>
      <w:szCs w:val="22"/>
      <w:lang w:eastAsia="en-US"/>
    </w:rPr>
  </w:style>
  <w:style w:type="paragraph" w:customStyle="1" w:styleId="01Tableheaderrowleftaligned">
    <w:name w:val="01. Table header row left aligned"/>
    <w:link w:val="01TableheaderrowleftalignedChar"/>
    <w:qFormat/>
    <w:rsid w:val="008D241F"/>
    <w:pPr>
      <w:keepNext/>
      <w:spacing w:before="80"/>
    </w:pPr>
    <w:rPr>
      <w:rFonts w:ascii="Garamond" w:hAnsi="Garamond"/>
      <w:b/>
      <w:color w:val="FFFFFF"/>
      <w:sz w:val="18"/>
      <w:szCs w:val="22"/>
      <w:lang w:eastAsia="en-US"/>
    </w:rPr>
  </w:style>
  <w:style w:type="character" w:customStyle="1" w:styleId="01TableheaderrowleftalignedChar">
    <w:name w:val="01. Table header row left aligned Char"/>
    <w:link w:val="01Tableheaderrowleftaligned"/>
    <w:rsid w:val="008D241F"/>
    <w:rPr>
      <w:rFonts w:ascii="Garamond" w:hAnsi="Garamond"/>
      <w:b/>
      <w:color w:val="FFFFFF"/>
      <w:sz w:val="18"/>
      <w:szCs w:val="22"/>
      <w:lang w:eastAsia="en-US"/>
    </w:rPr>
  </w:style>
  <w:style w:type="paragraph" w:customStyle="1" w:styleId="08Tablebulletsecondlevel">
    <w:name w:val="08. Table bullet second level"/>
    <w:basedOn w:val="07Tablebullet"/>
    <w:qFormat/>
    <w:rsid w:val="008D241F"/>
    <w:pPr>
      <w:numPr>
        <w:ilvl w:val="1"/>
      </w:numPr>
      <w:ind w:left="397" w:hanging="170"/>
    </w:pPr>
  </w:style>
  <w:style w:type="table" w:customStyle="1" w:styleId="TableGrid3">
    <w:name w:val="Table Grid3"/>
    <w:basedOn w:val="TableNormal"/>
    <w:next w:val="TableGrid"/>
    <w:uiPriority w:val="39"/>
    <w:rsid w:val="008D241F"/>
    <w:rPr>
      <w:rFonts w:ascii="Times New Roman" w:eastAsiaTheme="minorHAnsi" w:hAnsi="Times New Roman" w:cstheme="minorBidi"/>
      <w:sz w:val="18"/>
      <w:szCs w:val="22"/>
      <w:lang w:eastAsia="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rPr>
      <w:cantSplit/>
    </w:trPr>
    <w:tblStylePr w:type="firstRow">
      <w:rPr>
        <w:rFonts w:ascii="Arial Narrow" w:hAnsi="Arial Narrow"/>
        <w:b w:val="0"/>
        <w:i w:val="0"/>
        <w:color w:val="FFFFFF" w:themeColor="background1"/>
        <w:sz w:val="18"/>
      </w:rPr>
      <w:tblPr/>
      <w:trPr>
        <w:tblHeader/>
      </w:trPr>
      <w:tcPr>
        <w:shd w:val="clear" w:color="auto" w:fill="366091"/>
      </w:tcPr>
    </w:tblStylePr>
    <w:tblStylePr w:type="band2Horz">
      <w:tblPr/>
      <w:tcPr>
        <w:shd w:val="clear" w:color="auto" w:fill="DBE5F1" w:themeFill="accent1" w:themeFillTint="33"/>
      </w:tcPr>
    </w:tblStylePr>
  </w:style>
  <w:style w:type="paragraph" w:customStyle="1" w:styleId="02Tabletext">
    <w:name w:val="02. Table text"/>
    <w:next w:val="03Tabletextspacebefore"/>
    <w:link w:val="02TabletextChar"/>
    <w:qFormat/>
    <w:rsid w:val="008D241F"/>
    <w:pPr>
      <w:keepNext/>
      <w:spacing w:before="20"/>
    </w:pPr>
    <w:rPr>
      <w:rFonts w:ascii="Times New Roman" w:eastAsiaTheme="minorHAnsi" w:hAnsi="Times New Roman"/>
      <w:szCs w:val="22"/>
      <w:lang w:eastAsia="en-US"/>
    </w:rPr>
  </w:style>
  <w:style w:type="character" w:customStyle="1" w:styleId="02TabletextChar">
    <w:name w:val="02. Table text Char"/>
    <w:basedOn w:val="DefaultParagraphFont"/>
    <w:link w:val="02Tabletext"/>
    <w:rsid w:val="008D241F"/>
    <w:rPr>
      <w:rFonts w:ascii="Times New Roman" w:eastAsiaTheme="minorHAnsi" w:hAnsi="Times New Roman"/>
      <w:szCs w:val="22"/>
      <w:lang w:eastAsia="en-US"/>
    </w:rPr>
  </w:style>
  <w:style w:type="paragraph" w:customStyle="1" w:styleId="01Tableheadingorsubheading">
    <w:name w:val="01. Table heading or subheading"/>
    <w:link w:val="01TableheadingorsubheadingChar"/>
    <w:qFormat/>
    <w:rsid w:val="008D241F"/>
    <w:pPr>
      <w:keepNext/>
    </w:pPr>
    <w:rPr>
      <w:rFonts w:ascii="Times New Roman" w:eastAsiaTheme="minorHAnsi" w:hAnsi="Times New Roman"/>
      <w:b/>
      <w:color w:val="FFFFFF" w:themeColor="background1"/>
      <w:sz w:val="18"/>
      <w:szCs w:val="22"/>
      <w:lang w:eastAsia="en-US"/>
    </w:rPr>
  </w:style>
  <w:style w:type="character" w:customStyle="1" w:styleId="01TableheadingorsubheadingChar">
    <w:name w:val="01. Table heading or subheading Char"/>
    <w:basedOn w:val="02TabletextChar"/>
    <w:link w:val="01Tableheadingorsubheading"/>
    <w:rsid w:val="008D241F"/>
    <w:rPr>
      <w:rFonts w:ascii="Times New Roman" w:eastAsiaTheme="minorHAnsi" w:hAnsi="Times New Roman"/>
      <w:b/>
      <w:color w:val="FFFFFF" w:themeColor="background1"/>
      <w:sz w:val="18"/>
      <w:szCs w:val="22"/>
      <w:lang w:eastAsia="en-US"/>
    </w:rPr>
  </w:style>
  <w:style w:type="paragraph" w:customStyle="1" w:styleId="08Tablefootnotes">
    <w:name w:val="08. Table footnotes"/>
    <w:link w:val="08TablefootnotesChar"/>
    <w:qFormat/>
    <w:rsid w:val="008D241F"/>
    <w:pPr>
      <w:keepNext/>
    </w:pPr>
    <w:rPr>
      <w:rFonts w:ascii="Times New Roman" w:eastAsiaTheme="minorHAnsi" w:hAnsi="Times New Roman" w:cstheme="minorBidi"/>
      <w:sz w:val="16"/>
      <w:szCs w:val="16"/>
      <w:lang w:eastAsia="en-US"/>
    </w:rPr>
  </w:style>
  <w:style w:type="character" w:customStyle="1" w:styleId="08TablefootnotesChar">
    <w:name w:val="08. Table footnotes Char"/>
    <w:basedOn w:val="DefaultParagraphFont"/>
    <w:link w:val="08Tablefootnotes"/>
    <w:rsid w:val="008D241F"/>
    <w:rPr>
      <w:rFonts w:ascii="Times New Roman" w:eastAsiaTheme="minorHAnsi" w:hAnsi="Times New Roman" w:cstheme="minorBidi"/>
      <w:sz w:val="16"/>
      <w:szCs w:val="16"/>
      <w:lang w:eastAsia="en-US"/>
    </w:rPr>
  </w:style>
  <w:style w:type="paragraph" w:customStyle="1" w:styleId="03Tabletextspacebefore">
    <w:name w:val="03. Table text space before"/>
    <w:qFormat/>
    <w:rsid w:val="008D241F"/>
    <w:pPr>
      <w:spacing w:before="60"/>
    </w:pPr>
    <w:rPr>
      <w:rFonts w:ascii="Times New Roman" w:eastAsiaTheme="minorHAnsi" w:hAnsi="Times New Roman" w:cstheme="minorBidi"/>
      <w:sz w:val="18"/>
      <w:szCs w:val="16"/>
      <w:lang w:eastAsia="en-US"/>
    </w:rPr>
  </w:style>
  <w:style w:type="paragraph" w:customStyle="1" w:styleId="01Tableheaderrow">
    <w:name w:val="01. Table header row"/>
    <w:link w:val="01TableheaderrowChar"/>
    <w:qFormat/>
    <w:rsid w:val="008D241F"/>
    <w:pPr>
      <w:keepNext/>
      <w:spacing w:before="40"/>
    </w:pPr>
    <w:rPr>
      <w:rFonts w:ascii="Times New Roman" w:hAnsi="Times New Roman"/>
      <w:b/>
      <w:color w:val="FFFFFF"/>
      <w:sz w:val="18"/>
      <w:szCs w:val="22"/>
      <w:lang w:eastAsia="en-US"/>
    </w:rPr>
  </w:style>
  <w:style w:type="character" w:customStyle="1" w:styleId="01TableheaderrowChar">
    <w:name w:val="01. Table header row Char"/>
    <w:link w:val="01Tableheaderrow"/>
    <w:rsid w:val="008D241F"/>
    <w:rPr>
      <w:rFonts w:ascii="Times New Roman" w:hAnsi="Times New Roman"/>
      <w:b/>
      <w:color w:val="FFFFFF"/>
      <w:sz w:val="18"/>
      <w:szCs w:val="22"/>
      <w:lang w:eastAsia="en-US"/>
    </w:rPr>
  </w:style>
  <w:style w:type="paragraph" w:customStyle="1" w:styleId="03Tableheaderrowrightaligned">
    <w:name w:val="03. Table header row right aligned ($)"/>
    <w:qFormat/>
    <w:rsid w:val="00CB393E"/>
    <w:pPr>
      <w:keepNext/>
      <w:spacing w:before="80"/>
      <w:ind w:right="113"/>
      <w:jc w:val="right"/>
    </w:pPr>
    <w:rPr>
      <w:rFonts w:ascii="Garamond" w:eastAsiaTheme="minorHAnsi" w:hAnsi="Garamond"/>
      <w:b/>
      <w:sz w:val="18"/>
      <w:szCs w:val="22"/>
      <w:lang w:eastAsia="en-US"/>
    </w:rPr>
  </w:style>
  <w:style w:type="paragraph" w:customStyle="1" w:styleId="09Tableright-aligned">
    <w:name w:val="09. Table $ right-aligned"/>
    <w:qFormat/>
    <w:rsid w:val="00CB393E"/>
    <w:pPr>
      <w:spacing w:before="20"/>
      <w:ind w:right="113"/>
      <w:jc w:val="right"/>
    </w:pPr>
    <w:rPr>
      <w:rFonts w:ascii="Garamond" w:eastAsiaTheme="minorHAnsi" w:hAnsi="Garamond"/>
      <w:sz w:val="18"/>
      <w:szCs w:val="22"/>
      <w:lang w:eastAsia="en-US"/>
    </w:rPr>
  </w:style>
  <w:style w:type="paragraph" w:customStyle="1" w:styleId="TableorFigurefootnote">
    <w:name w:val="Table or Figure footnote"/>
    <w:next w:val="BodyText"/>
    <w:qFormat/>
    <w:rsid w:val="00DC464D"/>
    <w:pPr>
      <w:spacing w:after="240"/>
      <w:contextualSpacing/>
      <w:jc w:val="center"/>
    </w:pPr>
    <w:rPr>
      <w:rFonts w:ascii="Garamond" w:hAnsi="Garamond"/>
      <w:sz w:val="16"/>
      <w:szCs w:val="22"/>
      <w:lang w:eastAsia="en-US"/>
    </w:rPr>
  </w:style>
  <w:style w:type="paragraph" w:customStyle="1" w:styleId="09Tablefootnoteslast-nostick">
    <w:name w:val="09. Table footnotes last - no stick"/>
    <w:next w:val="BodyText"/>
    <w:qFormat/>
    <w:rsid w:val="00450AE3"/>
    <w:pPr>
      <w:spacing w:after="360"/>
    </w:pPr>
    <w:rPr>
      <w:rFonts w:ascii="Times New Roman" w:eastAsiaTheme="minorHAnsi" w:hAnsi="Times New Roman" w:cstheme="minorBidi"/>
      <w:sz w:val="16"/>
      <w:szCs w:val="16"/>
      <w:lang w:eastAsia="en-US"/>
    </w:rPr>
  </w:style>
  <w:style w:type="paragraph" w:customStyle="1" w:styleId="04Tabletextspaceitalics">
    <w:name w:val="04. Table text space italics"/>
    <w:qFormat/>
    <w:rsid w:val="00450AE3"/>
    <w:pPr>
      <w:keepNext/>
      <w:spacing w:before="120"/>
    </w:pPr>
    <w:rPr>
      <w:rFonts w:ascii="Times New Roman" w:eastAsiaTheme="minorHAnsi" w:hAnsi="Times New Roman"/>
      <w:i/>
      <w:sz w:val="18"/>
      <w:szCs w:val="22"/>
      <w:lang w:eastAsia="en-US"/>
    </w:rPr>
  </w:style>
  <w:style w:type="paragraph" w:customStyle="1" w:styleId="06Tablebullet">
    <w:name w:val="06. Table bullet"/>
    <w:qFormat/>
    <w:rsid w:val="00450AE3"/>
    <w:pPr>
      <w:ind w:left="284" w:hanging="227"/>
    </w:pPr>
    <w:rPr>
      <w:rFonts w:ascii="Times New Roman" w:eastAsiaTheme="minorHAnsi" w:hAnsi="Times New Roman"/>
      <w:sz w:val="18"/>
      <w:szCs w:val="22"/>
      <w:lang w:eastAsia="en-US"/>
    </w:rPr>
  </w:style>
  <w:style w:type="paragraph" w:customStyle="1" w:styleId="ESHeading2">
    <w:name w:val="ES Heading 2"/>
    <w:basedOn w:val="Normal"/>
    <w:qFormat/>
    <w:rsid w:val="00450AE3"/>
    <w:pPr>
      <w:keepNext/>
      <w:spacing w:before="40" w:after="120"/>
      <w:outlineLvl w:val="1"/>
    </w:pPr>
    <w:rPr>
      <w:rFonts w:ascii="Cambria" w:eastAsiaTheme="majorEastAsia" w:hAnsi="Cambria" w:cstheme="majorBidi"/>
      <w:b/>
      <w:color w:val="365F91" w:themeColor="accent1" w:themeShade="BF"/>
      <w:sz w:val="28"/>
      <w:szCs w:val="32"/>
    </w:rPr>
  </w:style>
  <w:style w:type="paragraph" w:customStyle="1" w:styleId="ESHeading3">
    <w:name w:val="ES Heading 3"/>
    <w:next w:val="BodyText"/>
    <w:qFormat/>
    <w:rsid w:val="00450AE3"/>
    <w:pPr>
      <w:keepNext/>
      <w:spacing w:before="240" w:after="60" w:line="259" w:lineRule="auto"/>
      <w:ind w:left="851" w:hanging="851"/>
    </w:pPr>
    <w:rPr>
      <w:rFonts w:ascii="Cambria" w:eastAsiaTheme="majorEastAsia" w:hAnsi="Cambria" w:cstheme="majorBidi"/>
      <w:b/>
      <w:sz w:val="24"/>
      <w:szCs w:val="24"/>
      <w:lang w:eastAsia="en-US"/>
    </w:rPr>
  </w:style>
  <w:style w:type="paragraph" w:customStyle="1" w:styleId="TableHeading">
    <w:name w:val="TableHeading"/>
    <w:basedOn w:val="Normal"/>
    <w:link w:val="TableHeadingChar"/>
    <w:qFormat/>
    <w:rsid w:val="003077AE"/>
    <w:pPr>
      <w:keepNext/>
      <w:spacing w:before="40" w:after="40"/>
    </w:pPr>
    <w:rPr>
      <w:rFonts w:ascii="Arial Narrow" w:eastAsia="Times New Roman" w:hAnsi="Arial Narrow" w:cs="Tahoma"/>
      <w:b/>
      <w:sz w:val="20"/>
      <w:szCs w:val="20"/>
      <w:lang w:eastAsia="en-AU"/>
    </w:rPr>
  </w:style>
  <w:style w:type="character" w:customStyle="1" w:styleId="TableHeadingChar">
    <w:name w:val="TableHeading Char"/>
    <w:link w:val="TableHeading"/>
    <w:rsid w:val="003077AE"/>
    <w:rPr>
      <w:rFonts w:ascii="Arial Narrow" w:eastAsia="Times New Roman" w:hAnsi="Arial Narrow" w:cs="Tahoma"/>
      <w:b/>
    </w:rPr>
  </w:style>
  <w:style w:type="table" w:customStyle="1" w:styleId="TableGrid4">
    <w:name w:val="Table Grid4"/>
    <w:basedOn w:val="TableNormal"/>
    <w:next w:val="TableGrid"/>
    <w:uiPriority w:val="39"/>
    <w:rsid w:val="00B046A8"/>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table" w:customStyle="1" w:styleId="TableGrid2">
    <w:name w:val="Table Grid2"/>
    <w:basedOn w:val="TableNormal"/>
    <w:next w:val="TableGrid"/>
    <w:uiPriority w:val="39"/>
    <w:rsid w:val="006B010E"/>
    <w:rPr>
      <w:rFonts w:ascii="Garamond" w:hAnsi="Garamond"/>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tblHeader/>
      </w:trPr>
      <w:tcPr>
        <w:shd w:val="clear" w:color="auto" w:fill="632423"/>
      </w:tcPr>
    </w:tblStylePr>
    <w:tblStylePr w:type="lastRow">
      <w:pPr>
        <w:keepNext/>
        <w:wordWrap/>
      </w:pPr>
    </w:tblStylePr>
    <w:tblStylePr w:type="band2Horz">
      <w:pPr>
        <w:jc w:val="left"/>
      </w:pPr>
      <w:tblPr/>
      <w:tcPr>
        <w:shd w:val="clear" w:color="auto" w:fill="F2DBDB"/>
      </w:tcPr>
    </w:tblStylePr>
    <w:tblStylePr w:type="seCell">
      <w:pPr>
        <w:keepNext w:val="0"/>
        <w:wordWrap/>
      </w:pPr>
    </w:tblStylePr>
  </w:style>
  <w:style w:type="character" w:customStyle="1" w:styleId="Mention1">
    <w:name w:val="Mention1"/>
    <w:basedOn w:val="DefaultParagraphFont"/>
    <w:uiPriority w:val="99"/>
    <w:semiHidden/>
    <w:unhideWhenUsed/>
    <w:rsid w:val="007B17A7"/>
    <w:rPr>
      <w:color w:val="2B579A"/>
      <w:shd w:val="clear" w:color="auto" w:fill="E6E6E6"/>
    </w:rPr>
  </w:style>
  <w:style w:type="table" w:styleId="TableGridLight">
    <w:name w:val="Grid Table Light"/>
    <w:basedOn w:val="TableNormal"/>
    <w:uiPriority w:val="40"/>
    <w:rsid w:val="000E7D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A60D96"/>
    <w:tblPr/>
  </w:style>
  <w:style w:type="table" w:customStyle="1" w:styleId="Style2">
    <w:name w:val="Style2"/>
    <w:basedOn w:val="TableNormal"/>
    <w:uiPriority w:val="99"/>
    <w:rsid w:val="00A60D96"/>
    <w:tblPr/>
  </w:style>
  <w:style w:type="table" w:customStyle="1" w:styleId="Style3">
    <w:name w:val="Style3"/>
    <w:basedOn w:val="TableNormal"/>
    <w:uiPriority w:val="99"/>
    <w:rsid w:val="00A60D96"/>
    <w:tblPr/>
  </w:style>
  <w:style w:type="table" w:customStyle="1" w:styleId="Style4">
    <w:name w:val="Style4"/>
    <w:basedOn w:val="TableNormal"/>
    <w:uiPriority w:val="99"/>
    <w:rsid w:val="00A60D96"/>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10800">
      <w:bodyDiv w:val="1"/>
      <w:marLeft w:val="0"/>
      <w:marRight w:val="0"/>
      <w:marTop w:val="0"/>
      <w:marBottom w:val="0"/>
      <w:divBdr>
        <w:top w:val="none" w:sz="0" w:space="0" w:color="auto"/>
        <w:left w:val="none" w:sz="0" w:space="0" w:color="auto"/>
        <w:bottom w:val="none" w:sz="0" w:space="0" w:color="auto"/>
        <w:right w:val="none" w:sz="0" w:space="0" w:color="auto"/>
      </w:divBdr>
    </w:div>
    <w:div w:id="642345033">
      <w:bodyDiv w:val="1"/>
      <w:marLeft w:val="0"/>
      <w:marRight w:val="0"/>
      <w:marTop w:val="0"/>
      <w:marBottom w:val="0"/>
      <w:divBdr>
        <w:top w:val="none" w:sz="0" w:space="0" w:color="auto"/>
        <w:left w:val="none" w:sz="0" w:space="0" w:color="auto"/>
        <w:bottom w:val="none" w:sz="0" w:space="0" w:color="auto"/>
        <w:right w:val="none" w:sz="0" w:space="0" w:color="auto"/>
      </w:divBdr>
    </w:div>
    <w:div w:id="750808292">
      <w:bodyDiv w:val="1"/>
      <w:marLeft w:val="0"/>
      <w:marRight w:val="0"/>
      <w:marTop w:val="0"/>
      <w:marBottom w:val="0"/>
      <w:divBdr>
        <w:top w:val="none" w:sz="0" w:space="0" w:color="auto"/>
        <w:left w:val="none" w:sz="0" w:space="0" w:color="auto"/>
        <w:bottom w:val="none" w:sz="0" w:space="0" w:color="auto"/>
        <w:right w:val="none" w:sz="0" w:space="0" w:color="auto"/>
      </w:divBdr>
    </w:div>
    <w:div w:id="1506439931">
      <w:bodyDiv w:val="1"/>
      <w:marLeft w:val="0"/>
      <w:marRight w:val="0"/>
      <w:marTop w:val="0"/>
      <w:marBottom w:val="0"/>
      <w:divBdr>
        <w:top w:val="none" w:sz="0" w:space="0" w:color="auto"/>
        <w:left w:val="none" w:sz="0" w:space="0" w:color="auto"/>
        <w:bottom w:val="none" w:sz="0" w:space="0" w:color="auto"/>
        <w:right w:val="none" w:sz="0" w:space="0" w:color="auto"/>
      </w:divBdr>
      <w:divsChild>
        <w:div w:id="1619530850">
          <w:marLeft w:val="115"/>
          <w:marRight w:val="0"/>
          <w:marTop w:val="0"/>
          <w:marBottom w:val="0"/>
          <w:divBdr>
            <w:top w:val="none" w:sz="0" w:space="0" w:color="auto"/>
            <w:left w:val="none" w:sz="0" w:space="0" w:color="auto"/>
            <w:bottom w:val="none" w:sz="0" w:space="0" w:color="auto"/>
            <w:right w:val="none" w:sz="0" w:space="0" w:color="auto"/>
          </w:divBdr>
        </w:div>
        <w:div w:id="178088852">
          <w:marLeft w:val="115"/>
          <w:marRight w:val="0"/>
          <w:marTop w:val="0"/>
          <w:marBottom w:val="0"/>
          <w:divBdr>
            <w:top w:val="none" w:sz="0" w:space="0" w:color="auto"/>
            <w:left w:val="none" w:sz="0" w:space="0" w:color="auto"/>
            <w:bottom w:val="none" w:sz="0" w:space="0" w:color="auto"/>
            <w:right w:val="none" w:sz="0" w:space="0" w:color="auto"/>
          </w:divBdr>
        </w:div>
        <w:div w:id="1241020117">
          <w:marLeft w:val="115"/>
          <w:marRight w:val="0"/>
          <w:marTop w:val="0"/>
          <w:marBottom w:val="0"/>
          <w:divBdr>
            <w:top w:val="none" w:sz="0" w:space="0" w:color="auto"/>
            <w:left w:val="none" w:sz="0" w:space="0" w:color="auto"/>
            <w:bottom w:val="none" w:sz="0" w:space="0" w:color="auto"/>
            <w:right w:val="none" w:sz="0" w:space="0" w:color="auto"/>
          </w:divBdr>
        </w:div>
        <w:div w:id="1013189690">
          <w:marLeft w:val="115"/>
          <w:marRight w:val="0"/>
          <w:marTop w:val="0"/>
          <w:marBottom w:val="0"/>
          <w:divBdr>
            <w:top w:val="none" w:sz="0" w:space="0" w:color="auto"/>
            <w:left w:val="none" w:sz="0" w:space="0" w:color="auto"/>
            <w:bottom w:val="none" w:sz="0" w:space="0" w:color="auto"/>
            <w:right w:val="none" w:sz="0" w:space="0" w:color="auto"/>
          </w:divBdr>
        </w:div>
        <w:div w:id="589584839">
          <w:marLeft w:val="115"/>
          <w:marRight w:val="0"/>
          <w:marTop w:val="0"/>
          <w:marBottom w:val="0"/>
          <w:divBdr>
            <w:top w:val="none" w:sz="0" w:space="0" w:color="auto"/>
            <w:left w:val="none" w:sz="0" w:space="0" w:color="auto"/>
            <w:bottom w:val="none" w:sz="0" w:space="0" w:color="auto"/>
            <w:right w:val="none" w:sz="0" w:space="0" w:color="auto"/>
          </w:divBdr>
        </w:div>
      </w:divsChild>
    </w:div>
    <w:div w:id="1671173218">
      <w:bodyDiv w:val="1"/>
      <w:marLeft w:val="0"/>
      <w:marRight w:val="0"/>
      <w:marTop w:val="0"/>
      <w:marBottom w:val="0"/>
      <w:divBdr>
        <w:top w:val="none" w:sz="0" w:space="0" w:color="auto"/>
        <w:left w:val="none" w:sz="0" w:space="0" w:color="auto"/>
        <w:bottom w:val="none" w:sz="0" w:space="0" w:color="auto"/>
        <w:right w:val="none" w:sz="0" w:space="0" w:color="auto"/>
      </w:divBdr>
      <w:divsChild>
        <w:div w:id="1183737995">
          <w:marLeft w:val="0"/>
          <w:marRight w:val="0"/>
          <w:marTop w:val="0"/>
          <w:marBottom w:val="0"/>
          <w:divBdr>
            <w:top w:val="none" w:sz="0" w:space="0" w:color="auto"/>
            <w:left w:val="none" w:sz="0" w:space="0" w:color="auto"/>
            <w:bottom w:val="none" w:sz="0" w:space="0" w:color="auto"/>
            <w:right w:val="none" w:sz="0" w:space="0" w:color="auto"/>
          </w:divBdr>
        </w:div>
        <w:div w:id="1257322570">
          <w:marLeft w:val="0"/>
          <w:marRight w:val="0"/>
          <w:marTop w:val="0"/>
          <w:marBottom w:val="0"/>
          <w:divBdr>
            <w:top w:val="none" w:sz="0" w:space="0" w:color="auto"/>
            <w:left w:val="none" w:sz="0" w:space="0" w:color="auto"/>
            <w:bottom w:val="none" w:sz="0" w:space="0" w:color="auto"/>
            <w:right w:val="none" w:sz="0" w:space="0" w:color="auto"/>
          </w:divBdr>
        </w:div>
        <w:div w:id="141167515">
          <w:marLeft w:val="0"/>
          <w:marRight w:val="0"/>
          <w:marTop w:val="0"/>
          <w:marBottom w:val="0"/>
          <w:divBdr>
            <w:top w:val="none" w:sz="0" w:space="0" w:color="auto"/>
            <w:left w:val="none" w:sz="0" w:space="0" w:color="auto"/>
            <w:bottom w:val="none" w:sz="0" w:space="0" w:color="auto"/>
            <w:right w:val="none" w:sz="0" w:space="0" w:color="auto"/>
          </w:divBdr>
        </w:div>
        <w:div w:id="973370786">
          <w:marLeft w:val="0"/>
          <w:marRight w:val="0"/>
          <w:marTop w:val="0"/>
          <w:marBottom w:val="0"/>
          <w:divBdr>
            <w:top w:val="none" w:sz="0" w:space="0" w:color="auto"/>
            <w:left w:val="none" w:sz="0" w:space="0" w:color="auto"/>
            <w:bottom w:val="none" w:sz="0" w:space="0" w:color="auto"/>
            <w:right w:val="none" w:sz="0" w:space="0" w:color="auto"/>
          </w:divBdr>
        </w:div>
        <w:div w:id="1887640649">
          <w:marLeft w:val="0"/>
          <w:marRight w:val="0"/>
          <w:marTop w:val="0"/>
          <w:marBottom w:val="0"/>
          <w:divBdr>
            <w:top w:val="none" w:sz="0" w:space="0" w:color="auto"/>
            <w:left w:val="none" w:sz="0" w:space="0" w:color="auto"/>
            <w:bottom w:val="none" w:sz="0" w:space="0" w:color="auto"/>
            <w:right w:val="none" w:sz="0" w:space="0" w:color="auto"/>
          </w:divBdr>
        </w:div>
        <w:div w:id="676149730">
          <w:marLeft w:val="0"/>
          <w:marRight w:val="0"/>
          <w:marTop w:val="0"/>
          <w:marBottom w:val="0"/>
          <w:divBdr>
            <w:top w:val="none" w:sz="0" w:space="0" w:color="auto"/>
            <w:left w:val="none" w:sz="0" w:space="0" w:color="auto"/>
            <w:bottom w:val="none" w:sz="0" w:space="0" w:color="auto"/>
            <w:right w:val="none" w:sz="0" w:space="0" w:color="auto"/>
          </w:divBdr>
        </w:div>
        <w:div w:id="1063870456">
          <w:marLeft w:val="0"/>
          <w:marRight w:val="0"/>
          <w:marTop w:val="0"/>
          <w:marBottom w:val="0"/>
          <w:divBdr>
            <w:top w:val="none" w:sz="0" w:space="0" w:color="auto"/>
            <w:left w:val="none" w:sz="0" w:space="0" w:color="auto"/>
            <w:bottom w:val="none" w:sz="0" w:space="0" w:color="auto"/>
            <w:right w:val="none" w:sz="0" w:space="0" w:color="auto"/>
          </w:divBdr>
        </w:div>
      </w:divsChild>
    </w:div>
    <w:div w:id="1713924373">
      <w:bodyDiv w:val="1"/>
      <w:marLeft w:val="0"/>
      <w:marRight w:val="0"/>
      <w:marTop w:val="0"/>
      <w:marBottom w:val="0"/>
      <w:divBdr>
        <w:top w:val="none" w:sz="0" w:space="0" w:color="auto"/>
        <w:left w:val="none" w:sz="0" w:space="0" w:color="auto"/>
        <w:bottom w:val="none" w:sz="0" w:space="0" w:color="auto"/>
        <w:right w:val="none" w:sz="0" w:space="0" w:color="auto"/>
      </w:divBdr>
      <w:divsChild>
        <w:div w:id="200365156">
          <w:marLeft w:val="0"/>
          <w:marRight w:val="0"/>
          <w:marTop w:val="0"/>
          <w:marBottom w:val="0"/>
          <w:divBdr>
            <w:top w:val="none" w:sz="0" w:space="0" w:color="auto"/>
            <w:left w:val="none" w:sz="0" w:space="0" w:color="auto"/>
            <w:bottom w:val="none" w:sz="0" w:space="0" w:color="auto"/>
            <w:right w:val="none" w:sz="0" w:space="0" w:color="auto"/>
          </w:divBdr>
          <w:divsChild>
            <w:div w:id="225772838">
              <w:marLeft w:val="0"/>
              <w:marRight w:val="0"/>
              <w:marTop w:val="0"/>
              <w:marBottom w:val="0"/>
              <w:divBdr>
                <w:top w:val="none" w:sz="0" w:space="0" w:color="auto"/>
                <w:left w:val="none" w:sz="0" w:space="0" w:color="auto"/>
                <w:bottom w:val="none" w:sz="0" w:space="0" w:color="auto"/>
                <w:right w:val="none" w:sz="0" w:space="0" w:color="auto"/>
              </w:divBdr>
              <w:divsChild>
                <w:div w:id="1697391906">
                  <w:marLeft w:val="0"/>
                  <w:marRight w:val="0"/>
                  <w:marTop w:val="0"/>
                  <w:marBottom w:val="0"/>
                  <w:divBdr>
                    <w:top w:val="none" w:sz="0" w:space="0" w:color="auto"/>
                    <w:left w:val="none" w:sz="0" w:space="0" w:color="auto"/>
                    <w:bottom w:val="none" w:sz="0" w:space="0" w:color="auto"/>
                    <w:right w:val="none" w:sz="0" w:space="0" w:color="auto"/>
                  </w:divBdr>
                  <w:divsChild>
                    <w:div w:id="729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697831">
          <w:marLeft w:val="0"/>
          <w:marRight w:val="0"/>
          <w:marTop w:val="0"/>
          <w:marBottom w:val="0"/>
          <w:divBdr>
            <w:top w:val="none" w:sz="0" w:space="0" w:color="auto"/>
            <w:left w:val="none" w:sz="0" w:space="0" w:color="auto"/>
            <w:bottom w:val="none" w:sz="0" w:space="0" w:color="auto"/>
            <w:right w:val="none" w:sz="0" w:space="0" w:color="auto"/>
          </w:divBdr>
          <w:divsChild>
            <w:div w:id="1042093872">
              <w:marLeft w:val="0"/>
              <w:marRight w:val="0"/>
              <w:marTop w:val="0"/>
              <w:marBottom w:val="0"/>
              <w:divBdr>
                <w:top w:val="none" w:sz="0" w:space="0" w:color="auto"/>
                <w:left w:val="none" w:sz="0" w:space="0" w:color="auto"/>
                <w:bottom w:val="none" w:sz="0" w:space="0" w:color="auto"/>
                <w:right w:val="none" w:sz="0" w:space="0" w:color="auto"/>
              </w:divBdr>
              <w:divsChild>
                <w:div w:id="547038125">
                  <w:marLeft w:val="0"/>
                  <w:marRight w:val="0"/>
                  <w:marTop w:val="0"/>
                  <w:marBottom w:val="0"/>
                  <w:divBdr>
                    <w:top w:val="none" w:sz="0" w:space="0" w:color="auto"/>
                    <w:left w:val="none" w:sz="0" w:space="0" w:color="auto"/>
                    <w:bottom w:val="none" w:sz="0" w:space="0" w:color="auto"/>
                    <w:right w:val="none" w:sz="0" w:space="0" w:color="auto"/>
                  </w:divBdr>
                  <w:divsChild>
                    <w:div w:id="1108113097">
                      <w:marLeft w:val="0"/>
                      <w:marRight w:val="0"/>
                      <w:marTop w:val="0"/>
                      <w:marBottom w:val="0"/>
                      <w:divBdr>
                        <w:top w:val="none" w:sz="0" w:space="0" w:color="auto"/>
                        <w:left w:val="none" w:sz="0" w:space="0" w:color="auto"/>
                        <w:bottom w:val="none" w:sz="0" w:space="0" w:color="auto"/>
                        <w:right w:val="none" w:sz="0" w:space="0" w:color="auto"/>
                      </w:divBdr>
                      <w:divsChild>
                        <w:div w:id="8778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2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harmaceutical-care.org/archivos/992/V2-Resultados-Definitivos-Programa-%20Consigue-Impacto-2011%202014.pdf" TargetMode="External"/><Relationship Id="rId26" Type="http://schemas.openxmlformats.org/officeDocument/2006/relationships/image" Target="media/image9.png"/><Relationship Id="rId39"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8.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hyperlink" Target="http://www.pharmaceutical-care.org/archivos/992/V2-Resultados-Definitivos-Programa-%20Consigue-Impacto-2011%202014.pdf"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header" Target="header6.xml"/><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www.abs.gov.au/AUSSTATS/abs@.nsf/DetailsPage/1270.0.55.006July%202011?OpenDocument" TargetMode="External"/><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hyperlink" Target="http://www.abs.gov.au/AUSSTATS/abs@.nsf/DetailsPage/1270.0.55.006July%202011?OpenDocument"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6.png"/><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image" Target="media/image12.png"/><Relationship Id="rId44"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yperlink" Target="http://www.abs.gov.au/AUSSTATS/abs@.nsf/DetailsPage/1270.0.55.006July%202011?OpenDocument" TargetMode="External"/><Relationship Id="rId35" Type="http://schemas.openxmlformats.org/officeDocument/2006/relationships/image" Target="media/image15.png"/><Relationship Id="rId43" Type="http://schemas.openxmlformats.org/officeDocument/2006/relationships/hyperlink" Target="http://www.abs.gov.au/AUSSTATS/abs@.nsf/DetailsPage/1270.0.55.006July%202011?OpenDocument" TargetMode="External"/><Relationship Id="rId48" Type="http://schemas.openxmlformats.org/officeDocument/2006/relationships/fontTable" Target="fontTable.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bs.gov.au/AUSSTATS/abs@.nsf/DetailsPage/1270.0.55.006July%202011?OpenDocumen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rtlCol="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84</Pages>
  <Words>32494</Words>
  <Characters>194371</Characters>
  <Application>Microsoft Office Word</Application>
  <DocSecurity>0</DocSecurity>
  <Lines>4740</Lines>
  <Paragraphs>2578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2019-03-26T04:09:00Z</dcterms:created>
  <dcterms:modified xsi:type="dcterms:W3CDTF">2019-04-12T04:12:00Z</dcterms:modified>
</cp:coreProperties>
</file>