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D4AAA" w14:textId="77777777" w:rsidR="00E9176D" w:rsidRPr="009D3B53" w:rsidRDefault="00330433" w:rsidP="00A9390D">
      <w:pPr>
        <w:pStyle w:val="covTitle"/>
        <w:tabs>
          <w:tab w:val="left" w:pos="1134"/>
          <w:tab w:val="right" w:pos="9070"/>
        </w:tabs>
        <w:spacing w:before="3720" w:after="2040"/>
      </w:pPr>
      <w:r>
        <w:t xml:space="preserve">Seventh </w:t>
      </w:r>
      <w:r w:rsidR="00316736" w:rsidRPr="009D3B53">
        <w:t>Community Pharmacy Agreement</w:t>
      </w:r>
      <w:bookmarkStart w:id="0" w:name="_GoBack"/>
      <w:bookmarkEnd w:id="0"/>
    </w:p>
    <w:p w14:paraId="0801DAF5" w14:textId="77777777" w:rsidR="00330433" w:rsidRDefault="00330433" w:rsidP="00E9176D"/>
    <w:tbl>
      <w:tblPr>
        <w:tblW w:w="0" w:type="auto"/>
        <w:tblInd w:w="4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58"/>
      </w:tblGrid>
      <w:tr w:rsidR="003E5BA5" w:rsidRPr="003E5BA5" w14:paraId="3F940CF9" w14:textId="77777777" w:rsidTr="00ED0519">
        <w:trPr>
          <w:trHeight w:val="973"/>
        </w:trPr>
        <w:tc>
          <w:tcPr>
            <w:tcW w:w="8358" w:type="dxa"/>
          </w:tcPr>
          <w:p w14:paraId="16F13BE9" w14:textId="174B2CAC" w:rsidR="007747B6" w:rsidRPr="00266A91" w:rsidRDefault="007747B6" w:rsidP="007747B6">
            <w:pPr>
              <w:spacing w:before="120" w:after="120"/>
            </w:pPr>
            <w:r>
              <w:t xml:space="preserve">The Signatories to this Agreement are </w:t>
            </w:r>
            <w:r w:rsidRPr="007747B6">
              <w:rPr>
                <w:b/>
              </w:rPr>
              <w:t>The Honourable Greg Hunt MP, Minister for Health</w:t>
            </w:r>
            <w:r>
              <w:t xml:space="preserve"> on behalf of the </w:t>
            </w:r>
            <w:r w:rsidRPr="007747B6">
              <w:rPr>
                <w:b/>
              </w:rPr>
              <w:t>Commonwealth of Australia</w:t>
            </w:r>
            <w:r w:rsidR="00266A91">
              <w:rPr>
                <w:b/>
              </w:rPr>
              <w:t xml:space="preserve"> </w:t>
            </w:r>
            <w:r w:rsidR="00266A91">
              <w:t>and</w:t>
            </w:r>
            <w:r>
              <w:t xml:space="preserve"> the </w:t>
            </w:r>
            <w:r w:rsidRPr="007747B6">
              <w:rPr>
                <w:b/>
              </w:rPr>
              <w:t>Pharmacy Guild of Australia</w:t>
            </w:r>
            <w:r w:rsidR="00266A91" w:rsidRPr="00D260F9">
              <w:t>.</w:t>
            </w:r>
            <w:r w:rsidR="00266A91">
              <w:rPr>
                <w:b/>
              </w:rPr>
              <w:t xml:space="preserve">  </w:t>
            </w:r>
          </w:p>
        </w:tc>
      </w:tr>
    </w:tbl>
    <w:p w14:paraId="40A7B4BC" w14:textId="77777777" w:rsidR="00ED0519" w:rsidRDefault="00ED0519"/>
    <w:tbl>
      <w:tblPr>
        <w:tblW w:w="0" w:type="auto"/>
        <w:tblInd w:w="4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58"/>
      </w:tblGrid>
      <w:tr w:rsidR="00ED0519" w:rsidRPr="003E5BA5" w14:paraId="38055C03" w14:textId="77777777" w:rsidTr="00ED0519">
        <w:trPr>
          <w:trHeight w:val="785"/>
        </w:trPr>
        <w:tc>
          <w:tcPr>
            <w:tcW w:w="8358" w:type="dxa"/>
          </w:tcPr>
          <w:p w14:paraId="703B8FB7" w14:textId="56A62E21" w:rsidR="00ED0519" w:rsidRDefault="00ED0519" w:rsidP="007747B6">
            <w:pPr>
              <w:spacing w:before="120" w:after="120"/>
            </w:pPr>
            <w:r w:rsidRPr="00266A91">
              <w:t>The</w:t>
            </w:r>
            <w:r>
              <w:t xml:space="preserve"> </w:t>
            </w:r>
            <w:r w:rsidRPr="007747B6">
              <w:rPr>
                <w:b/>
              </w:rPr>
              <w:t>Pharmaceutical Society of Australia Limited</w:t>
            </w:r>
            <w:r>
              <w:rPr>
                <w:b/>
              </w:rPr>
              <w:t xml:space="preserve"> </w:t>
            </w:r>
            <w:r>
              <w:t>is also a Signatory to relevant parts of</w:t>
            </w:r>
            <w:r w:rsidR="009D1972">
              <w:t> </w:t>
            </w:r>
            <w:r>
              <w:t>the Agreement.</w:t>
            </w:r>
          </w:p>
        </w:tc>
      </w:tr>
    </w:tbl>
    <w:p w14:paraId="2DC27032" w14:textId="77777777" w:rsidR="00330433" w:rsidRDefault="00330433" w:rsidP="00E9176D"/>
    <w:p w14:paraId="1756E96F" w14:textId="77777777" w:rsidR="00330433" w:rsidRPr="009D3B53" w:rsidRDefault="00330433" w:rsidP="00330433">
      <w:pPr>
        <w:pStyle w:val="covBodyText"/>
        <w:pBdr>
          <w:left w:val="single" w:sz="4" w:space="4" w:color="auto"/>
        </w:pBdr>
        <w:sectPr w:rsidR="00330433" w:rsidRPr="009D3B53" w:rsidSect="003E5899">
          <w:footerReference w:type="even" r:id="rId11"/>
          <w:footerReference w:type="default" r:id="rId12"/>
          <w:headerReference w:type="first" r:id="rId13"/>
          <w:footerReference w:type="first" r:id="rId14"/>
          <w:pgSz w:w="11906" w:h="16838" w:code="9"/>
          <w:pgMar w:top="1701" w:right="1418" w:bottom="1418" w:left="1418" w:header="567" w:footer="567" w:gutter="0"/>
          <w:cols w:space="708"/>
          <w:titlePg/>
          <w:docGrid w:linePitch="360"/>
        </w:sectPr>
      </w:pPr>
    </w:p>
    <w:sdt>
      <w:sdtPr>
        <w:rPr>
          <w:rFonts w:asciiTheme="minorHAnsi" w:eastAsiaTheme="minorEastAsia" w:hAnsiTheme="minorHAnsi"/>
          <w:b w:val="0"/>
          <w:vanish/>
          <w:sz w:val="3276"/>
          <w:szCs w:val="3276"/>
        </w:rPr>
        <w:id w:val="891073889"/>
        <w:docPartObj>
          <w:docPartGallery w:val="Table of Contents"/>
          <w:docPartUnique/>
        </w:docPartObj>
      </w:sdtPr>
      <w:sdtEndPr>
        <w:rPr>
          <w:rFonts w:ascii="Arial" w:eastAsia="Times New Roman" w:hAnsi="Arial"/>
          <w:bCs/>
          <w:noProof/>
          <w:sz w:val="20"/>
          <w:szCs w:val="20"/>
          <w:lang w:val="en-US"/>
        </w:rPr>
      </w:sdtEndPr>
      <w:sdtContent>
        <w:bookmarkStart w:id="1" w:name="_Toc42783592" w:displacedByCustomXml="prev"/>
        <w:p w14:paraId="7C4614CC" w14:textId="77777777" w:rsidR="007F5D49" w:rsidRPr="009D3B53" w:rsidRDefault="007F5D49" w:rsidP="007F5D49">
          <w:pPr>
            <w:pStyle w:val="mainTitle"/>
          </w:pPr>
          <w:r w:rsidRPr="009D3B53">
            <w:t>Contents</w:t>
          </w:r>
          <w:bookmarkEnd w:id="1"/>
        </w:p>
        <w:p w14:paraId="77567330" w14:textId="09B297E7" w:rsidR="0021393F" w:rsidRDefault="005A5FD0">
          <w:pPr>
            <w:pStyle w:val="TOC1"/>
            <w:rPr>
              <w:rFonts w:asciiTheme="minorHAnsi" w:eastAsiaTheme="minorEastAsia" w:hAnsiTheme="minorHAnsi" w:cstheme="minorBidi"/>
              <w:b w:val="0"/>
              <w:noProof/>
              <w:sz w:val="22"/>
              <w:szCs w:val="22"/>
              <w:lang w:eastAsia="en-AU"/>
            </w:rPr>
          </w:pPr>
          <w:r>
            <w:rPr>
              <w:b w:val="0"/>
            </w:rPr>
            <w:fldChar w:fldCharType="begin"/>
          </w:r>
          <w:r>
            <w:rPr>
              <w:b w:val="0"/>
            </w:rPr>
            <w:instrText xml:space="preserve"> TOC \o "1-1" \h \z \t "Heading 2,2,mainTitle,1,legalPart,1" </w:instrText>
          </w:r>
          <w:r>
            <w:rPr>
              <w:b w:val="0"/>
            </w:rPr>
            <w:fldChar w:fldCharType="separate"/>
          </w:r>
          <w:hyperlink w:anchor="_Toc42783592" w:history="1">
            <w:r w:rsidR="0021393F" w:rsidRPr="007416FA">
              <w:rPr>
                <w:rStyle w:val="Hyperlink"/>
                <w:noProof/>
              </w:rPr>
              <w:t>Contents</w:t>
            </w:r>
            <w:r w:rsidR="0021393F">
              <w:rPr>
                <w:noProof/>
                <w:webHidden/>
              </w:rPr>
              <w:tab/>
            </w:r>
            <w:r w:rsidR="0021393F">
              <w:rPr>
                <w:noProof/>
                <w:webHidden/>
              </w:rPr>
              <w:fldChar w:fldCharType="begin"/>
            </w:r>
            <w:r w:rsidR="0021393F">
              <w:rPr>
                <w:noProof/>
                <w:webHidden/>
              </w:rPr>
              <w:instrText xml:space="preserve"> PAGEREF _Toc42783592 \h </w:instrText>
            </w:r>
            <w:r w:rsidR="0021393F">
              <w:rPr>
                <w:noProof/>
                <w:webHidden/>
              </w:rPr>
            </w:r>
            <w:r w:rsidR="0021393F">
              <w:rPr>
                <w:noProof/>
                <w:webHidden/>
              </w:rPr>
              <w:fldChar w:fldCharType="separate"/>
            </w:r>
            <w:r w:rsidR="0021393F">
              <w:rPr>
                <w:noProof/>
                <w:webHidden/>
              </w:rPr>
              <w:t>2</w:t>
            </w:r>
            <w:r w:rsidR="0021393F">
              <w:rPr>
                <w:noProof/>
                <w:webHidden/>
              </w:rPr>
              <w:fldChar w:fldCharType="end"/>
            </w:r>
          </w:hyperlink>
        </w:p>
        <w:p w14:paraId="4A8DE9CE" w14:textId="705C8823" w:rsidR="0021393F" w:rsidRDefault="00A9390D">
          <w:pPr>
            <w:pStyle w:val="TOC1"/>
            <w:rPr>
              <w:rFonts w:asciiTheme="minorHAnsi" w:eastAsiaTheme="minorEastAsia" w:hAnsiTheme="minorHAnsi" w:cstheme="minorBidi"/>
              <w:b w:val="0"/>
              <w:noProof/>
              <w:sz w:val="22"/>
              <w:szCs w:val="22"/>
              <w:lang w:eastAsia="en-AU"/>
            </w:rPr>
          </w:pPr>
          <w:hyperlink w:anchor="_Toc42783593" w:history="1">
            <w:r w:rsidR="0021393F" w:rsidRPr="007416FA">
              <w:rPr>
                <w:rStyle w:val="Hyperlink"/>
                <w:noProof/>
              </w:rPr>
              <w:t>Background</w:t>
            </w:r>
            <w:r w:rsidR="0021393F">
              <w:rPr>
                <w:noProof/>
                <w:webHidden/>
              </w:rPr>
              <w:tab/>
            </w:r>
            <w:r w:rsidR="0021393F">
              <w:rPr>
                <w:noProof/>
                <w:webHidden/>
              </w:rPr>
              <w:fldChar w:fldCharType="begin"/>
            </w:r>
            <w:r w:rsidR="0021393F">
              <w:rPr>
                <w:noProof/>
                <w:webHidden/>
              </w:rPr>
              <w:instrText xml:space="preserve"> PAGEREF _Toc42783593 \h </w:instrText>
            </w:r>
            <w:r w:rsidR="0021393F">
              <w:rPr>
                <w:noProof/>
                <w:webHidden/>
              </w:rPr>
            </w:r>
            <w:r w:rsidR="0021393F">
              <w:rPr>
                <w:noProof/>
                <w:webHidden/>
              </w:rPr>
              <w:fldChar w:fldCharType="separate"/>
            </w:r>
            <w:r w:rsidR="0021393F">
              <w:rPr>
                <w:noProof/>
                <w:webHidden/>
              </w:rPr>
              <w:t>4</w:t>
            </w:r>
            <w:r w:rsidR="0021393F">
              <w:rPr>
                <w:noProof/>
                <w:webHidden/>
              </w:rPr>
              <w:fldChar w:fldCharType="end"/>
            </w:r>
          </w:hyperlink>
        </w:p>
        <w:p w14:paraId="414F56EF" w14:textId="3ADC03A8" w:rsidR="0021393F" w:rsidRDefault="00A9390D">
          <w:pPr>
            <w:pStyle w:val="TOC1"/>
            <w:rPr>
              <w:rFonts w:asciiTheme="minorHAnsi" w:eastAsiaTheme="minorEastAsia" w:hAnsiTheme="minorHAnsi" w:cstheme="minorBidi"/>
              <w:b w:val="0"/>
              <w:noProof/>
              <w:sz w:val="22"/>
              <w:szCs w:val="22"/>
              <w:lang w:eastAsia="en-AU"/>
            </w:rPr>
          </w:pPr>
          <w:hyperlink w:anchor="_Toc42783594" w:history="1">
            <w:r w:rsidR="0021393F" w:rsidRPr="007416FA">
              <w:rPr>
                <w:rStyle w:val="Hyperlink"/>
                <w:noProof/>
              </w:rPr>
              <w:t>Part 1</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Arrangements between the Commonwealth and the Guild</w:t>
            </w:r>
            <w:r w:rsidR="0021393F">
              <w:rPr>
                <w:noProof/>
                <w:webHidden/>
              </w:rPr>
              <w:tab/>
            </w:r>
            <w:r w:rsidR="0021393F">
              <w:rPr>
                <w:noProof/>
                <w:webHidden/>
              </w:rPr>
              <w:fldChar w:fldCharType="begin"/>
            </w:r>
            <w:r w:rsidR="0021393F">
              <w:rPr>
                <w:noProof/>
                <w:webHidden/>
              </w:rPr>
              <w:instrText xml:space="preserve"> PAGEREF _Toc42783594 \h </w:instrText>
            </w:r>
            <w:r w:rsidR="0021393F">
              <w:rPr>
                <w:noProof/>
                <w:webHidden/>
              </w:rPr>
            </w:r>
            <w:r w:rsidR="0021393F">
              <w:rPr>
                <w:noProof/>
                <w:webHidden/>
              </w:rPr>
              <w:fldChar w:fldCharType="separate"/>
            </w:r>
            <w:r w:rsidR="0021393F">
              <w:rPr>
                <w:noProof/>
                <w:webHidden/>
              </w:rPr>
              <w:t>5</w:t>
            </w:r>
            <w:r w:rsidR="0021393F">
              <w:rPr>
                <w:noProof/>
                <w:webHidden/>
              </w:rPr>
              <w:fldChar w:fldCharType="end"/>
            </w:r>
          </w:hyperlink>
        </w:p>
        <w:p w14:paraId="1BC6D329" w14:textId="2640E8EB" w:rsidR="0021393F" w:rsidRDefault="00A9390D">
          <w:pPr>
            <w:pStyle w:val="TOC1"/>
            <w:rPr>
              <w:rFonts w:asciiTheme="minorHAnsi" w:eastAsiaTheme="minorEastAsia" w:hAnsiTheme="minorHAnsi" w:cstheme="minorBidi"/>
              <w:b w:val="0"/>
              <w:noProof/>
              <w:sz w:val="22"/>
              <w:szCs w:val="22"/>
              <w:lang w:eastAsia="en-AU"/>
            </w:rPr>
          </w:pPr>
          <w:hyperlink w:anchor="_Toc42783595" w:history="1">
            <w:r w:rsidR="0021393F" w:rsidRPr="007416FA">
              <w:rPr>
                <w:rStyle w:val="Hyperlink"/>
                <w:noProof/>
              </w:rPr>
              <w:t>Signing page for Part 1</w:t>
            </w:r>
            <w:r w:rsidR="0021393F">
              <w:rPr>
                <w:noProof/>
                <w:webHidden/>
              </w:rPr>
              <w:tab/>
            </w:r>
            <w:r w:rsidR="0021393F">
              <w:rPr>
                <w:noProof/>
                <w:webHidden/>
              </w:rPr>
              <w:fldChar w:fldCharType="begin"/>
            </w:r>
            <w:r w:rsidR="0021393F">
              <w:rPr>
                <w:noProof/>
                <w:webHidden/>
              </w:rPr>
              <w:instrText xml:space="preserve"> PAGEREF _Toc42783595 \h </w:instrText>
            </w:r>
            <w:r w:rsidR="0021393F">
              <w:rPr>
                <w:noProof/>
                <w:webHidden/>
              </w:rPr>
            </w:r>
            <w:r w:rsidR="0021393F">
              <w:rPr>
                <w:noProof/>
                <w:webHidden/>
              </w:rPr>
              <w:fldChar w:fldCharType="separate"/>
            </w:r>
            <w:r w:rsidR="0021393F">
              <w:rPr>
                <w:noProof/>
                <w:webHidden/>
              </w:rPr>
              <w:t>6</w:t>
            </w:r>
            <w:r w:rsidR="0021393F">
              <w:rPr>
                <w:noProof/>
                <w:webHidden/>
              </w:rPr>
              <w:fldChar w:fldCharType="end"/>
            </w:r>
          </w:hyperlink>
        </w:p>
        <w:p w14:paraId="359F988C" w14:textId="228DBBE6" w:rsidR="0021393F" w:rsidRDefault="00A9390D">
          <w:pPr>
            <w:pStyle w:val="TOC1"/>
            <w:rPr>
              <w:rFonts w:asciiTheme="minorHAnsi" w:eastAsiaTheme="minorEastAsia" w:hAnsiTheme="minorHAnsi" w:cstheme="minorBidi"/>
              <w:b w:val="0"/>
              <w:noProof/>
              <w:sz w:val="22"/>
              <w:szCs w:val="22"/>
              <w:lang w:eastAsia="en-AU"/>
            </w:rPr>
          </w:pPr>
          <w:hyperlink w:anchor="_Toc42783596" w:history="1">
            <w:r w:rsidR="0021393F" w:rsidRPr="007416FA">
              <w:rPr>
                <w:rStyle w:val="Hyperlink"/>
                <w:noProof/>
              </w:rPr>
              <w:t>1.</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Overview of remuneration and funding</w:t>
            </w:r>
            <w:r w:rsidR="0021393F">
              <w:rPr>
                <w:noProof/>
                <w:webHidden/>
              </w:rPr>
              <w:tab/>
            </w:r>
            <w:r w:rsidR="0021393F">
              <w:rPr>
                <w:noProof/>
                <w:webHidden/>
              </w:rPr>
              <w:fldChar w:fldCharType="begin"/>
            </w:r>
            <w:r w:rsidR="0021393F">
              <w:rPr>
                <w:noProof/>
                <w:webHidden/>
              </w:rPr>
              <w:instrText xml:space="preserve"> PAGEREF _Toc42783596 \h </w:instrText>
            </w:r>
            <w:r w:rsidR="0021393F">
              <w:rPr>
                <w:noProof/>
                <w:webHidden/>
              </w:rPr>
            </w:r>
            <w:r w:rsidR="0021393F">
              <w:rPr>
                <w:noProof/>
                <w:webHidden/>
              </w:rPr>
              <w:fldChar w:fldCharType="separate"/>
            </w:r>
            <w:r w:rsidR="0021393F">
              <w:rPr>
                <w:noProof/>
                <w:webHidden/>
              </w:rPr>
              <w:t>7</w:t>
            </w:r>
            <w:r w:rsidR="0021393F">
              <w:rPr>
                <w:noProof/>
                <w:webHidden/>
              </w:rPr>
              <w:fldChar w:fldCharType="end"/>
            </w:r>
          </w:hyperlink>
        </w:p>
        <w:p w14:paraId="46AC05BB" w14:textId="6FDFA411" w:rsidR="0021393F" w:rsidRDefault="00A9390D">
          <w:pPr>
            <w:pStyle w:val="TOC1"/>
            <w:rPr>
              <w:rFonts w:asciiTheme="minorHAnsi" w:eastAsiaTheme="minorEastAsia" w:hAnsiTheme="minorHAnsi" w:cstheme="minorBidi"/>
              <w:b w:val="0"/>
              <w:noProof/>
              <w:sz w:val="22"/>
              <w:szCs w:val="22"/>
              <w:lang w:eastAsia="en-AU"/>
            </w:rPr>
          </w:pPr>
          <w:hyperlink w:anchor="_Toc42783597" w:history="1">
            <w:r w:rsidR="0021393F" w:rsidRPr="007416FA">
              <w:rPr>
                <w:rStyle w:val="Hyperlink"/>
                <w:noProof/>
              </w:rPr>
              <w:t>2.</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Commonwealth Price</w:t>
            </w:r>
            <w:r w:rsidR="0021393F">
              <w:rPr>
                <w:noProof/>
                <w:webHidden/>
              </w:rPr>
              <w:tab/>
            </w:r>
            <w:r w:rsidR="0021393F">
              <w:rPr>
                <w:noProof/>
                <w:webHidden/>
              </w:rPr>
              <w:fldChar w:fldCharType="begin"/>
            </w:r>
            <w:r w:rsidR="0021393F">
              <w:rPr>
                <w:noProof/>
                <w:webHidden/>
              </w:rPr>
              <w:instrText xml:space="preserve"> PAGEREF _Toc42783597 \h </w:instrText>
            </w:r>
            <w:r w:rsidR="0021393F">
              <w:rPr>
                <w:noProof/>
                <w:webHidden/>
              </w:rPr>
            </w:r>
            <w:r w:rsidR="0021393F">
              <w:rPr>
                <w:noProof/>
                <w:webHidden/>
              </w:rPr>
              <w:fldChar w:fldCharType="separate"/>
            </w:r>
            <w:r w:rsidR="0021393F">
              <w:rPr>
                <w:noProof/>
                <w:webHidden/>
              </w:rPr>
              <w:t>8</w:t>
            </w:r>
            <w:r w:rsidR="0021393F">
              <w:rPr>
                <w:noProof/>
                <w:webHidden/>
              </w:rPr>
              <w:fldChar w:fldCharType="end"/>
            </w:r>
          </w:hyperlink>
        </w:p>
        <w:p w14:paraId="5064ACBA" w14:textId="7BA46006"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598" w:history="1">
            <w:r w:rsidR="0021393F" w:rsidRPr="007416FA">
              <w:rPr>
                <w:rStyle w:val="Hyperlink"/>
                <w:noProof/>
              </w:rPr>
              <w:t>2.1</w:t>
            </w:r>
            <w:r w:rsidR="0021393F">
              <w:rPr>
                <w:rFonts w:asciiTheme="minorHAnsi" w:eastAsiaTheme="minorEastAsia" w:hAnsiTheme="minorHAnsi" w:cstheme="minorBidi"/>
                <w:noProof/>
                <w:sz w:val="22"/>
                <w:szCs w:val="22"/>
                <w:lang w:eastAsia="en-AU"/>
              </w:rPr>
              <w:tab/>
            </w:r>
            <w:r w:rsidR="0021393F" w:rsidRPr="007416FA">
              <w:rPr>
                <w:rStyle w:val="Hyperlink"/>
                <w:noProof/>
              </w:rPr>
              <w:t>Purpose</w:t>
            </w:r>
            <w:r w:rsidR="0021393F">
              <w:rPr>
                <w:noProof/>
                <w:webHidden/>
              </w:rPr>
              <w:tab/>
            </w:r>
            <w:r w:rsidR="0021393F">
              <w:rPr>
                <w:noProof/>
                <w:webHidden/>
              </w:rPr>
              <w:fldChar w:fldCharType="begin"/>
            </w:r>
            <w:r w:rsidR="0021393F">
              <w:rPr>
                <w:noProof/>
                <w:webHidden/>
              </w:rPr>
              <w:instrText xml:space="preserve"> PAGEREF _Toc42783598 \h </w:instrText>
            </w:r>
            <w:r w:rsidR="0021393F">
              <w:rPr>
                <w:noProof/>
                <w:webHidden/>
              </w:rPr>
            </w:r>
            <w:r w:rsidR="0021393F">
              <w:rPr>
                <w:noProof/>
                <w:webHidden/>
              </w:rPr>
              <w:fldChar w:fldCharType="separate"/>
            </w:r>
            <w:r w:rsidR="0021393F">
              <w:rPr>
                <w:noProof/>
                <w:webHidden/>
              </w:rPr>
              <w:t>8</w:t>
            </w:r>
            <w:r w:rsidR="0021393F">
              <w:rPr>
                <w:noProof/>
                <w:webHidden/>
              </w:rPr>
              <w:fldChar w:fldCharType="end"/>
            </w:r>
          </w:hyperlink>
        </w:p>
        <w:p w14:paraId="41433496" w14:textId="4F9EE305"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599" w:history="1">
            <w:r w:rsidR="0021393F" w:rsidRPr="007416FA">
              <w:rPr>
                <w:rStyle w:val="Hyperlink"/>
                <w:noProof/>
              </w:rPr>
              <w:t>2.2</w:t>
            </w:r>
            <w:r w:rsidR="0021393F">
              <w:rPr>
                <w:rFonts w:asciiTheme="minorHAnsi" w:eastAsiaTheme="minorEastAsia" w:hAnsiTheme="minorHAnsi" w:cstheme="minorBidi"/>
                <w:noProof/>
                <w:sz w:val="22"/>
                <w:szCs w:val="22"/>
                <w:lang w:eastAsia="en-AU"/>
              </w:rPr>
              <w:tab/>
            </w:r>
            <w:r w:rsidR="0021393F" w:rsidRPr="007416FA">
              <w:rPr>
                <w:rStyle w:val="Hyperlink"/>
                <w:noProof/>
              </w:rPr>
              <w:t>Commonwealth Price</w:t>
            </w:r>
            <w:r w:rsidR="0021393F">
              <w:rPr>
                <w:noProof/>
                <w:webHidden/>
              </w:rPr>
              <w:tab/>
            </w:r>
            <w:r w:rsidR="0021393F">
              <w:rPr>
                <w:noProof/>
                <w:webHidden/>
              </w:rPr>
              <w:fldChar w:fldCharType="begin"/>
            </w:r>
            <w:r w:rsidR="0021393F">
              <w:rPr>
                <w:noProof/>
                <w:webHidden/>
              </w:rPr>
              <w:instrText xml:space="preserve"> PAGEREF _Toc42783599 \h </w:instrText>
            </w:r>
            <w:r w:rsidR="0021393F">
              <w:rPr>
                <w:noProof/>
                <w:webHidden/>
              </w:rPr>
            </w:r>
            <w:r w:rsidR="0021393F">
              <w:rPr>
                <w:noProof/>
                <w:webHidden/>
              </w:rPr>
              <w:fldChar w:fldCharType="separate"/>
            </w:r>
            <w:r w:rsidR="0021393F">
              <w:rPr>
                <w:noProof/>
                <w:webHidden/>
              </w:rPr>
              <w:t>8</w:t>
            </w:r>
            <w:r w:rsidR="0021393F">
              <w:rPr>
                <w:noProof/>
                <w:webHidden/>
              </w:rPr>
              <w:fldChar w:fldCharType="end"/>
            </w:r>
          </w:hyperlink>
        </w:p>
        <w:p w14:paraId="4A45303D" w14:textId="2BC24841" w:rsidR="0021393F" w:rsidRDefault="00A9390D">
          <w:pPr>
            <w:pStyle w:val="TOC1"/>
            <w:rPr>
              <w:rFonts w:asciiTheme="minorHAnsi" w:eastAsiaTheme="minorEastAsia" w:hAnsiTheme="minorHAnsi" w:cstheme="minorBidi"/>
              <w:b w:val="0"/>
              <w:noProof/>
              <w:sz w:val="22"/>
              <w:szCs w:val="22"/>
              <w:lang w:eastAsia="en-AU"/>
            </w:rPr>
          </w:pPr>
          <w:hyperlink w:anchor="_Toc42783600" w:history="1">
            <w:r w:rsidR="0021393F" w:rsidRPr="007416FA">
              <w:rPr>
                <w:rStyle w:val="Hyperlink"/>
                <w:noProof/>
              </w:rPr>
              <w:t>3.</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Volume based remuneration adjustment mechanism</w:t>
            </w:r>
            <w:r w:rsidR="0021393F">
              <w:rPr>
                <w:noProof/>
                <w:webHidden/>
              </w:rPr>
              <w:tab/>
            </w:r>
            <w:r w:rsidR="0021393F">
              <w:rPr>
                <w:noProof/>
                <w:webHidden/>
              </w:rPr>
              <w:fldChar w:fldCharType="begin"/>
            </w:r>
            <w:r w:rsidR="0021393F">
              <w:rPr>
                <w:noProof/>
                <w:webHidden/>
              </w:rPr>
              <w:instrText xml:space="preserve"> PAGEREF _Toc42783600 \h </w:instrText>
            </w:r>
            <w:r w:rsidR="0021393F">
              <w:rPr>
                <w:noProof/>
                <w:webHidden/>
              </w:rPr>
            </w:r>
            <w:r w:rsidR="0021393F">
              <w:rPr>
                <w:noProof/>
                <w:webHidden/>
              </w:rPr>
              <w:fldChar w:fldCharType="separate"/>
            </w:r>
            <w:r w:rsidR="0021393F">
              <w:rPr>
                <w:noProof/>
                <w:webHidden/>
              </w:rPr>
              <w:t>10</w:t>
            </w:r>
            <w:r w:rsidR="0021393F">
              <w:rPr>
                <w:noProof/>
                <w:webHidden/>
              </w:rPr>
              <w:fldChar w:fldCharType="end"/>
            </w:r>
          </w:hyperlink>
        </w:p>
        <w:p w14:paraId="5B587484" w14:textId="0E53FF1F"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01" w:history="1">
            <w:r w:rsidR="0021393F" w:rsidRPr="007416FA">
              <w:rPr>
                <w:rStyle w:val="Hyperlink"/>
                <w:noProof/>
              </w:rPr>
              <w:t>3.1</w:t>
            </w:r>
            <w:r w:rsidR="0021393F">
              <w:rPr>
                <w:rFonts w:asciiTheme="minorHAnsi" w:eastAsiaTheme="minorEastAsia" w:hAnsiTheme="minorHAnsi" w:cstheme="minorBidi"/>
                <w:noProof/>
                <w:sz w:val="22"/>
                <w:szCs w:val="22"/>
                <w:lang w:eastAsia="en-AU"/>
              </w:rPr>
              <w:tab/>
            </w:r>
            <w:r w:rsidR="0021393F" w:rsidRPr="007416FA">
              <w:rPr>
                <w:rStyle w:val="Hyperlink"/>
                <w:noProof/>
              </w:rPr>
              <w:t>Basis for adjusting the Commonwealth Price</w:t>
            </w:r>
            <w:r w:rsidR="0021393F">
              <w:rPr>
                <w:noProof/>
                <w:webHidden/>
              </w:rPr>
              <w:tab/>
            </w:r>
            <w:r w:rsidR="0021393F">
              <w:rPr>
                <w:noProof/>
                <w:webHidden/>
              </w:rPr>
              <w:fldChar w:fldCharType="begin"/>
            </w:r>
            <w:r w:rsidR="0021393F">
              <w:rPr>
                <w:noProof/>
                <w:webHidden/>
              </w:rPr>
              <w:instrText xml:space="preserve"> PAGEREF _Toc42783601 \h </w:instrText>
            </w:r>
            <w:r w:rsidR="0021393F">
              <w:rPr>
                <w:noProof/>
                <w:webHidden/>
              </w:rPr>
            </w:r>
            <w:r w:rsidR="0021393F">
              <w:rPr>
                <w:noProof/>
                <w:webHidden/>
              </w:rPr>
              <w:fldChar w:fldCharType="separate"/>
            </w:r>
            <w:r w:rsidR="0021393F">
              <w:rPr>
                <w:noProof/>
                <w:webHidden/>
              </w:rPr>
              <w:t>10</w:t>
            </w:r>
            <w:r w:rsidR="0021393F">
              <w:rPr>
                <w:noProof/>
                <w:webHidden/>
              </w:rPr>
              <w:fldChar w:fldCharType="end"/>
            </w:r>
          </w:hyperlink>
        </w:p>
        <w:p w14:paraId="6B7ADC6B" w14:textId="512DEF33"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02" w:history="1">
            <w:r w:rsidR="0021393F" w:rsidRPr="007416FA">
              <w:rPr>
                <w:rStyle w:val="Hyperlink"/>
                <w:noProof/>
              </w:rPr>
              <w:t>3.2</w:t>
            </w:r>
            <w:r w:rsidR="0021393F">
              <w:rPr>
                <w:rFonts w:asciiTheme="minorHAnsi" w:eastAsiaTheme="minorEastAsia" w:hAnsiTheme="minorHAnsi" w:cstheme="minorBidi"/>
                <w:noProof/>
                <w:sz w:val="22"/>
                <w:szCs w:val="22"/>
                <w:lang w:eastAsia="en-AU"/>
              </w:rPr>
              <w:tab/>
            </w:r>
            <w:r w:rsidR="0021393F" w:rsidRPr="007416FA">
              <w:rPr>
                <w:rStyle w:val="Hyperlink"/>
                <w:noProof/>
              </w:rPr>
              <w:t>Estimates of prescription volumes</w:t>
            </w:r>
            <w:r w:rsidR="0021393F">
              <w:rPr>
                <w:noProof/>
                <w:webHidden/>
              </w:rPr>
              <w:tab/>
            </w:r>
            <w:r w:rsidR="0021393F">
              <w:rPr>
                <w:noProof/>
                <w:webHidden/>
              </w:rPr>
              <w:fldChar w:fldCharType="begin"/>
            </w:r>
            <w:r w:rsidR="0021393F">
              <w:rPr>
                <w:noProof/>
                <w:webHidden/>
              </w:rPr>
              <w:instrText xml:space="preserve"> PAGEREF _Toc42783602 \h </w:instrText>
            </w:r>
            <w:r w:rsidR="0021393F">
              <w:rPr>
                <w:noProof/>
                <w:webHidden/>
              </w:rPr>
            </w:r>
            <w:r w:rsidR="0021393F">
              <w:rPr>
                <w:noProof/>
                <w:webHidden/>
              </w:rPr>
              <w:fldChar w:fldCharType="separate"/>
            </w:r>
            <w:r w:rsidR="0021393F">
              <w:rPr>
                <w:noProof/>
                <w:webHidden/>
              </w:rPr>
              <w:t>11</w:t>
            </w:r>
            <w:r w:rsidR="0021393F">
              <w:rPr>
                <w:noProof/>
                <w:webHidden/>
              </w:rPr>
              <w:fldChar w:fldCharType="end"/>
            </w:r>
          </w:hyperlink>
        </w:p>
        <w:p w14:paraId="6366E75C" w14:textId="567FF5A6"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03" w:history="1">
            <w:r w:rsidR="0021393F" w:rsidRPr="007416FA">
              <w:rPr>
                <w:rStyle w:val="Hyperlink"/>
                <w:noProof/>
              </w:rPr>
              <w:t>3.3</w:t>
            </w:r>
            <w:r w:rsidR="0021393F">
              <w:rPr>
                <w:rFonts w:asciiTheme="minorHAnsi" w:eastAsiaTheme="minorEastAsia" w:hAnsiTheme="minorHAnsi" w:cstheme="minorBidi"/>
                <w:noProof/>
                <w:sz w:val="22"/>
                <w:szCs w:val="22"/>
                <w:lang w:eastAsia="en-AU"/>
              </w:rPr>
              <w:tab/>
            </w:r>
            <w:r w:rsidR="0021393F" w:rsidRPr="007416FA">
              <w:rPr>
                <w:rStyle w:val="Hyperlink"/>
                <w:noProof/>
              </w:rPr>
              <w:t>When adjustment applies</w:t>
            </w:r>
            <w:r w:rsidR="0021393F">
              <w:rPr>
                <w:noProof/>
                <w:webHidden/>
              </w:rPr>
              <w:tab/>
            </w:r>
            <w:r w:rsidR="0021393F">
              <w:rPr>
                <w:noProof/>
                <w:webHidden/>
              </w:rPr>
              <w:fldChar w:fldCharType="begin"/>
            </w:r>
            <w:r w:rsidR="0021393F">
              <w:rPr>
                <w:noProof/>
                <w:webHidden/>
              </w:rPr>
              <w:instrText xml:space="preserve"> PAGEREF _Toc42783603 \h </w:instrText>
            </w:r>
            <w:r w:rsidR="0021393F">
              <w:rPr>
                <w:noProof/>
                <w:webHidden/>
              </w:rPr>
            </w:r>
            <w:r w:rsidR="0021393F">
              <w:rPr>
                <w:noProof/>
                <w:webHidden/>
              </w:rPr>
              <w:fldChar w:fldCharType="separate"/>
            </w:r>
            <w:r w:rsidR="0021393F">
              <w:rPr>
                <w:noProof/>
                <w:webHidden/>
              </w:rPr>
              <w:t>11</w:t>
            </w:r>
            <w:r w:rsidR="0021393F">
              <w:rPr>
                <w:noProof/>
                <w:webHidden/>
              </w:rPr>
              <w:fldChar w:fldCharType="end"/>
            </w:r>
          </w:hyperlink>
        </w:p>
        <w:p w14:paraId="7DC6A33D" w14:textId="08829EEA"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04" w:history="1">
            <w:r w:rsidR="0021393F" w:rsidRPr="007416FA">
              <w:rPr>
                <w:rStyle w:val="Hyperlink"/>
                <w:noProof/>
              </w:rPr>
              <w:t>3.4</w:t>
            </w:r>
            <w:r w:rsidR="0021393F">
              <w:rPr>
                <w:rFonts w:asciiTheme="minorHAnsi" w:eastAsiaTheme="minorEastAsia" w:hAnsiTheme="minorHAnsi" w:cstheme="minorBidi"/>
                <w:noProof/>
                <w:sz w:val="22"/>
                <w:szCs w:val="22"/>
                <w:lang w:eastAsia="en-AU"/>
              </w:rPr>
              <w:tab/>
            </w:r>
            <w:r w:rsidR="0021393F" w:rsidRPr="007416FA">
              <w:rPr>
                <w:rStyle w:val="Hyperlink"/>
                <w:noProof/>
              </w:rPr>
              <w:t>No further agreement required</w:t>
            </w:r>
            <w:r w:rsidR="0021393F">
              <w:rPr>
                <w:noProof/>
                <w:webHidden/>
              </w:rPr>
              <w:tab/>
            </w:r>
            <w:r w:rsidR="0021393F">
              <w:rPr>
                <w:noProof/>
                <w:webHidden/>
              </w:rPr>
              <w:fldChar w:fldCharType="begin"/>
            </w:r>
            <w:r w:rsidR="0021393F">
              <w:rPr>
                <w:noProof/>
                <w:webHidden/>
              </w:rPr>
              <w:instrText xml:space="preserve"> PAGEREF _Toc42783604 \h </w:instrText>
            </w:r>
            <w:r w:rsidR="0021393F">
              <w:rPr>
                <w:noProof/>
                <w:webHidden/>
              </w:rPr>
            </w:r>
            <w:r w:rsidR="0021393F">
              <w:rPr>
                <w:noProof/>
                <w:webHidden/>
              </w:rPr>
              <w:fldChar w:fldCharType="separate"/>
            </w:r>
            <w:r w:rsidR="0021393F">
              <w:rPr>
                <w:noProof/>
                <w:webHidden/>
              </w:rPr>
              <w:t>11</w:t>
            </w:r>
            <w:r w:rsidR="0021393F">
              <w:rPr>
                <w:noProof/>
                <w:webHidden/>
              </w:rPr>
              <w:fldChar w:fldCharType="end"/>
            </w:r>
          </w:hyperlink>
        </w:p>
        <w:p w14:paraId="48714DCD" w14:textId="798E679E"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05" w:history="1">
            <w:r w:rsidR="0021393F" w:rsidRPr="007416FA">
              <w:rPr>
                <w:rStyle w:val="Hyperlink"/>
                <w:noProof/>
              </w:rPr>
              <w:t>3.5</w:t>
            </w:r>
            <w:r w:rsidR="0021393F">
              <w:rPr>
                <w:rFonts w:asciiTheme="minorHAnsi" w:eastAsiaTheme="minorEastAsia" w:hAnsiTheme="minorHAnsi" w:cstheme="minorBidi"/>
                <w:noProof/>
                <w:sz w:val="22"/>
                <w:szCs w:val="22"/>
                <w:lang w:eastAsia="en-AU"/>
              </w:rPr>
              <w:tab/>
            </w:r>
            <w:r w:rsidR="0021393F" w:rsidRPr="007416FA">
              <w:rPr>
                <w:rStyle w:val="Hyperlink"/>
                <w:noProof/>
              </w:rPr>
              <w:t>Fitness for purpose of arrangements under this clause</w:t>
            </w:r>
            <w:r w:rsidR="0021393F">
              <w:rPr>
                <w:noProof/>
                <w:webHidden/>
              </w:rPr>
              <w:tab/>
            </w:r>
            <w:r w:rsidR="0021393F">
              <w:rPr>
                <w:noProof/>
                <w:webHidden/>
              </w:rPr>
              <w:fldChar w:fldCharType="begin"/>
            </w:r>
            <w:r w:rsidR="0021393F">
              <w:rPr>
                <w:noProof/>
                <w:webHidden/>
              </w:rPr>
              <w:instrText xml:space="preserve"> PAGEREF _Toc42783605 \h </w:instrText>
            </w:r>
            <w:r w:rsidR="0021393F">
              <w:rPr>
                <w:noProof/>
                <w:webHidden/>
              </w:rPr>
            </w:r>
            <w:r w:rsidR="0021393F">
              <w:rPr>
                <w:noProof/>
                <w:webHidden/>
              </w:rPr>
              <w:fldChar w:fldCharType="separate"/>
            </w:r>
            <w:r w:rsidR="0021393F">
              <w:rPr>
                <w:noProof/>
                <w:webHidden/>
              </w:rPr>
              <w:t>11</w:t>
            </w:r>
            <w:r w:rsidR="0021393F">
              <w:rPr>
                <w:noProof/>
                <w:webHidden/>
              </w:rPr>
              <w:fldChar w:fldCharType="end"/>
            </w:r>
          </w:hyperlink>
        </w:p>
        <w:p w14:paraId="3DC28804" w14:textId="12C6B7A8" w:rsidR="0021393F" w:rsidRDefault="00A9390D">
          <w:pPr>
            <w:pStyle w:val="TOC1"/>
            <w:rPr>
              <w:rFonts w:asciiTheme="minorHAnsi" w:eastAsiaTheme="minorEastAsia" w:hAnsiTheme="minorHAnsi" w:cstheme="minorBidi"/>
              <w:b w:val="0"/>
              <w:noProof/>
              <w:sz w:val="22"/>
              <w:szCs w:val="22"/>
              <w:lang w:eastAsia="en-AU"/>
            </w:rPr>
          </w:pPr>
          <w:hyperlink w:anchor="_Toc42783606" w:history="1">
            <w:r w:rsidR="0021393F" w:rsidRPr="007416FA">
              <w:rPr>
                <w:rStyle w:val="Hyperlink"/>
                <w:noProof/>
              </w:rPr>
              <w:t>4.</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Charges for Pharmaceutical Benefits below Maximum Copayment</w:t>
            </w:r>
            <w:r w:rsidR="0021393F">
              <w:rPr>
                <w:noProof/>
                <w:webHidden/>
              </w:rPr>
              <w:tab/>
            </w:r>
            <w:r w:rsidR="0021393F">
              <w:rPr>
                <w:noProof/>
                <w:webHidden/>
              </w:rPr>
              <w:fldChar w:fldCharType="begin"/>
            </w:r>
            <w:r w:rsidR="0021393F">
              <w:rPr>
                <w:noProof/>
                <w:webHidden/>
              </w:rPr>
              <w:instrText xml:space="preserve"> PAGEREF _Toc42783606 \h </w:instrText>
            </w:r>
            <w:r w:rsidR="0021393F">
              <w:rPr>
                <w:noProof/>
                <w:webHidden/>
              </w:rPr>
            </w:r>
            <w:r w:rsidR="0021393F">
              <w:rPr>
                <w:noProof/>
                <w:webHidden/>
              </w:rPr>
              <w:fldChar w:fldCharType="separate"/>
            </w:r>
            <w:r w:rsidR="0021393F">
              <w:rPr>
                <w:noProof/>
                <w:webHidden/>
              </w:rPr>
              <w:t>11</w:t>
            </w:r>
            <w:r w:rsidR="0021393F">
              <w:rPr>
                <w:noProof/>
                <w:webHidden/>
              </w:rPr>
              <w:fldChar w:fldCharType="end"/>
            </w:r>
          </w:hyperlink>
        </w:p>
        <w:p w14:paraId="6AE8D36C" w14:textId="714A7BC0"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07" w:history="1">
            <w:r w:rsidR="0021393F" w:rsidRPr="007416FA">
              <w:rPr>
                <w:rStyle w:val="Hyperlink"/>
                <w:noProof/>
              </w:rPr>
              <w:t>4.1</w:t>
            </w:r>
            <w:r w:rsidR="0021393F">
              <w:rPr>
                <w:rFonts w:asciiTheme="minorHAnsi" w:eastAsiaTheme="minorEastAsia" w:hAnsiTheme="minorHAnsi" w:cstheme="minorBidi"/>
                <w:noProof/>
                <w:sz w:val="22"/>
                <w:szCs w:val="22"/>
                <w:lang w:eastAsia="en-AU"/>
              </w:rPr>
              <w:tab/>
            </w:r>
            <w:r w:rsidR="0021393F" w:rsidRPr="007416FA">
              <w:rPr>
                <w:rStyle w:val="Hyperlink"/>
                <w:noProof/>
              </w:rPr>
              <w:t>Purpose</w:t>
            </w:r>
            <w:r w:rsidR="0021393F">
              <w:rPr>
                <w:noProof/>
                <w:webHidden/>
              </w:rPr>
              <w:tab/>
            </w:r>
            <w:r w:rsidR="0021393F">
              <w:rPr>
                <w:noProof/>
                <w:webHidden/>
              </w:rPr>
              <w:fldChar w:fldCharType="begin"/>
            </w:r>
            <w:r w:rsidR="0021393F">
              <w:rPr>
                <w:noProof/>
                <w:webHidden/>
              </w:rPr>
              <w:instrText xml:space="preserve"> PAGEREF _Toc42783607 \h </w:instrText>
            </w:r>
            <w:r w:rsidR="0021393F">
              <w:rPr>
                <w:noProof/>
                <w:webHidden/>
              </w:rPr>
            </w:r>
            <w:r w:rsidR="0021393F">
              <w:rPr>
                <w:noProof/>
                <w:webHidden/>
              </w:rPr>
              <w:fldChar w:fldCharType="separate"/>
            </w:r>
            <w:r w:rsidR="0021393F">
              <w:rPr>
                <w:noProof/>
                <w:webHidden/>
              </w:rPr>
              <w:t>11</w:t>
            </w:r>
            <w:r w:rsidR="0021393F">
              <w:rPr>
                <w:noProof/>
                <w:webHidden/>
              </w:rPr>
              <w:fldChar w:fldCharType="end"/>
            </w:r>
          </w:hyperlink>
        </w:p>
        <w:p w14:paraId="0103CB80" w14:textId="16F8E317"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08" w:history="1">
            <w:r w:rsidR="0021393F" w:rsidRPr="007416FA">
              <w:rPr>
                <w:rStyle w:val="Hyperlink"/>
                <w:noProof/>
              </w:rPr>
              <w:t>4.2</w:t>
            </w:r>
            <w:r w:rsidR="0021393F">
              <w:rPr>
                <w:rFonts w:asciiTheme="minorHAnsi" w:eastAsiaTheme="minorEastAsia" w:hAnsiTheme="minorHAnsi" w:cstheme="minorBidi"/>
                <w:noProof/>
                <w:sz w:val="22"/>
                <w:szCs w:val="22"/>
                <w:lang w:eastAsia="en-AU"/>
              </w:rPr>
              <w:tab/>
            </w:r>
            <w:r w:rsidR="0021393F" w:rsidRPr="007416FA">
              <w:rPr>
                <w:rStyle w:val="Hyperlink"/>
                <w:noProof/>
              </w:rPr>
              <w:t>Agreed charges</w:t>
            </w:r>
            <w:r w:rsidR="0021393F">
              <w:rPr>
                <w:noProof/>
                <w:webHidden/>
              </w:rPr>
              <w:tab/>
            </w:r>
            <w:r w:rsidR="0021393F">
              <w:rPr>
                <w:noProof/>
                <w:webHidden/>
              </w:rPr>
              <w:fldChar w:fldCharType="begin"/>
            </w:r>
            <w:r w:rsidR="0021393F">
              <w:rPr>
                <w:noProof/>
                <w:webHidden/>
              </w:rPr>
              <w:instrText xml:space="preserve"> PAGEREF _Toc42783608 \h </w:instrText>
            </w:r>
            <w:r w:rsidR="0021393F">
              <w:rPr>
                <w:noProof/>
                <w:webHidden/>
              </w:rPr>
            </w:r>
            <w:r w:rsidR="0021393F">
              <w:rPr>
                <w:noProof/>
                <w:webHidden/>
              </w:rPr>
              <w:fldChar w:fldCharType="separate"/>
            </w:r>
            <w:r w:rsidR="0021393F">
              <w:rPr>
                <w:noProof/>
                <w:webHidden/>
              </w:rPr>
              <w:t>12</w:t>
            </w:r>
            <w:r w:rsidR="0021393F">
              <w:rPr>
                <w:noProof/>
                <w:webHidden/>
              </w:rPr>
              <w:fldChar w:fldCharType="end"/>
            </w:r>
          </w:hyperlink>
        </w:p>
        <w:p w14:paraId="09A2AB52" w14:textId="29FCEB77"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09" w:history="1">
            <w:r w:rsidR="0021393F" w:rsidRPr="007416FA">
              <w:rPr>
                <w:rStyle w:val="Hyperlink"/>
                <w:noProof/>
              </w:rPr>
              <w:t>4.3</w:t>
            </w:r>
            <w:r w:rsidR="0021393F">
              <w:rPr>
                <w:rFonts w:asciiTheme="minorHAnsi" w:eastAsiaTheme="minorEastAsia" w:hAnsiTheme="minorHAnsi" w:cstheme="minorBidi"/>
                <w:noProof/>
                <w:sz w:val="22"/>
                <w:szCs w:val="22"/>
                <w:lang w:eastAsia="en-AU"/>
              </w:rPr>
              <w:tab/>
            </w:r>
            <w:r w:rsidR="0021393F" w:rsidRPr="007416FA">
              <w:rPr>
                <w:rStyle w:val="Hyperlink"/>
                <w:noProof/>
              </w:rPr>
              <w:t>Transparency of charges</w:t>
            </w:r>
            <w:r w:rsidR="0021393F">
              <w:rPr>
                <w:noProof/>
                <w:webHidden/>
              </w:rPr>
              <w:tab/>
            </w:r>
            <w:r w:rsidR="0021393F">
              <w:rPr>
                <w:noProof/>
                <w:webHidden/>
              </w:rPr>
              <w:fldChar w:fldCharType="begin"/>
            </w:r>
            <w:r w:rsidR="0021393F">
              <w:rPr>
                <w:noProof/>
                <w:webHidden/>
              </w:rPr>
              <w:instrText xml:space="preserve"> PAGEREF _Toc42783609 \h </w:instrText>
            </w:r>
            <w:r w:rsidR="0021393F">
              <w:rPr>
                <w:noProof/>
                <w:webHidden/>
              </w:rPr>
            </w:r>
            <w:r w:rsidR="0021393F">
              <w:rPr>
                <w:noProof/>
                <w:webHidden/>
              </w:rPr>
              <w:fldChar w:fldCharType="separate"/>
            </w:r>
            <w:r w:rsidR="0021393F">
              <w:rPr>
                <w:noProof/>
                <w:webHidden/>
              </w:rPr>
              <w:t>12</w:t>
            </w:r>
            <w:r w:rsidR="0021393F">
              <w:rPr>
                <w:noProof/>
                <w:webHidden/>
              </w:rPr>
              <w:fldChar w:fldCharType="end"/>
            </w:r>
          </w:hyperlink>
        </w:p>
        <w:p w14:paraId="409316A6" w14:textId="570120D5" w:rsidR="0021393F" w:rsidRDefault="00A9390D">
          <w:pPr>
            <w:pStyle w:val="TOC1"/>
            <w:rPr>
              <w:rFonts w:asciiTheme="minorHAnsi" w:eastAsiaTheme="minorEastAsia" w:hAnsiTheme="minorHAnsi" w:cstheme="minorBidi"/>
              <w:b w:val="0"/>
              <w:noProof/>
              <w:sz w:val="22"/>
              <w:szCs w:val="22"/>
              <w:lang w:eastAsia="en-AU"/>
            </w:rPr>
          </w:pPr>
          <w:hyperlink w:anchor="_Toc42783610" w:history="1">
            <w:r w:rsidR="0021393F" w:rsidRPr="007416FA">
              <w:rPr>
                <w:rStyle w:val="Hyperlink"/>
                <w:noProof/>
              </w:rPr>
              <w:t>5.</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Availability of PBS medicines in pharmacy</w:t>
            </w:r>
            <w:r w:rsidR="0021393F">
              <w:rPr>
                <w:noProof/>
                <w:webHidden/>
              </w:rPr>
              <w:tab/>
            </w:r>
            <w:r w:rsidR="0021393F">
              <w:rPr>
                <w:noProof/>
                <w:webHidden/>
              </w:rPr>
              <w:fldChar w:fldCharType="begin"/>
            </w:r>
            <w:r w:rsidR="0021393F">
              <w:rPr>
                <w:noProof/>
                <w:webHidden/>
              </w:rPr>
              <w:instrText xml:space="preserve"> PAGEREF _Toc42783610 \h </w:instrText>
            </w:r>
            <w:r w:rsidR="0021393F">
              <w:rPr>
                <w:noProof/>
                <w:webHidden/>
              </w:rPr>
            </w:r>
            <w:r w:rsidR="0021393F">
              <w:rPr>
                <w:noProof/>
                <w:webHidden/>
              </w:rPr>
              <w:fldChar w:fldCharType="separate"/>
            </w:r>
            <w:r w:rsidR="0021393F">
              <w:rPr>
                <w:noProof/>
                <w:webHidden/>
              </w:rPr>
              <w:t>13</w:t>
            </w:r>
            <w:r w:rsidR="0021393F">
              <w:rPr>
                <w:noProof/>
                <w:webHidden/>
              </w:rPr>
              <w:fldChar w:fldCharType="end"/>
            </w:r>
          </w:hyperlink>
        </w:p>
        <w:p w14:paraId="65D8A393" w14:textId="2F10315E" w:rsidR="0021393F" w:rsidRDefault="00A9390D">
          <w:pPr>
            <w:pStyle w:val="TOC1"/>
            <w:rPr>
              <w:rFonts w:asciiTheme="minorHAnsi" w:eastAsiaTheme="minorEastAsia" w:hAnsiTheme="minorHAnsi" w:cstheme="minorBidi"/>
              <w:b w:val="0"/>
              <w:noProof/>
              <w:sz w:val="22"/>
              <w:szCs w:val="22"/>
              <w:lang w:eastAsia="en-AU"/>
            </w:rPr>
          </w:pPr>
          <w:hyperlink w:anchor="_Toc42783611" w:history="1">
            <w:r w:rsidR="0021393F" w:rsidRPr="007416FA">
              <w:rPr>
                <w:rStyle w:val="Hyperlink"/>
                <w:noProof/>
              </w:rPr>
              <w:t>6.</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NDSS arrangements for Approved Pharmacists</w:t>
            </w:r>
            <w:r w:rsidR="0021393F">
              <w:rPr>
                <w:noProof/>
                <w:webHidden/>
              </w:rPr>
              <w:tab/>
            </w:r>
            <w:r w:rsidR="0021393F">
              <w:rPr>
                <w:noProof/>
                <w:webHidden/>
              </w:rPr>
              <w:fldChar w:fldCharType="begin"/>
            </w:r>
            <w:r w:rsidR="0021393F">
              <w:rPr>
                <w:noProof/>
                <w:webHidden/>
              </w:rPr>
              <w:instrText xml:space="preserve"> PAGEREF _Toc42783611 \h </w:instrText>
            </w:r>
            <w:r w:rsidR="0021393F">
              <w:rPr>
                <w:noProof/>
                <w:webHidden/>
              </w:rPr>
            </w:r>
            <w:r w:rsidR="0021393F">
              <w:rPr>
                <w:noProof/>
                <w:webHidden/>
              </w:rPr>
              <w:fldChar w:fldCharType="separate"/>
            </w:r>
            <w:r w:rsidR="0021393F">
              <w:rPr>
                <w:noProof/>
                <w:webHidden/>
              </w:rPr>
              <w:t>13</w:t>
            </w:r>
            <w:r w:rsidR="0021393F">
              <w:rPr>
                <w:noProof/>
                <w:webHidden/>
              </w:rPr>
              <w:fldChar w:fldCharType="end"/>
            </w:r>
          </w:hyperlink>
        </w:p>
        <w:p w14:paraId="430828A7" w14:textId="38DDD9A9" w:rsidR="0021393F" w:rsidRDefault="00A9390D">
          <w:pPr>
            <w:pStyle w:val="TOC1"/>
            <w:rPr>
              <w:rFonts w:asciiTheme="minorHAnsi" w:eastAsiaTheme="minorEastAsia" w:hAnsiTheme="minorHAnsi" w:cstheme="minorBidi"/>
              <w:b w:val="0"/>
              <w:noProof/>
              <w:sz w:val="22"/>
              <w:szCs w:val="22"/>
              <w:lang w:eastAsia="en-AU"/>
            </w:rPr>
          </w:pPr>
          <w:hyperlink w:anchor="_Toc42783612" w:history="1">
            <w:r w:rsidR="0021393F" w:rsidRPr="007416FA">
              <w:rPr>
                <w:rStyle w:val="Hyperlink"/>
                <w:noProof/>
              </w:rPr>
              <w:t>7.</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Payment claim acknowledgement and payment times</w:t>
            </w:r>
            <w:r w:rsidR="0021393F">
              <w:rPr>
                <w:noProof/>
                <w:webHidden/>
              </w:rPr>
              <w:tab/>
            </w:r>
            <w:r w:rsidR="0021393F">
              <w:rPr>
                <w:noProof/>
                <w:webHidden/>
              </w:rPr>
              <w:fldChar w:fldCharType="begin"/>
            </w:r>
            <w:r w:rsidR="0021393F">
              <w:rPr>
                <w:noProof/>
                <w:webHidden/>
              </w:rPr>
              <w:instrText xml:space="preserve"> PAGEREF _Toc42783612 \h </w:instrText>
            </w:r>
            <w:r w:rsidR="0021393F">
              <w:rPr>
                <w:noProof/>
                <w:webHidden/>
              </w:rPr>
            </w:r>
            <w:r w:rsidR="0021393F">
              <w:rPr>
                <w:noProof/>
                <w:webHidden/>
              </w:rPr>
              <w:fldChar w:fldCharType="separate"/>
            </w:r>
            <w:r w:rsidR="0021393F">
              <w:rPr>
                <w:noProof/>
                <w:webHidden/>
              </w:rPr>
              <w:t>13</w:t>
            </w:r>
            <w:r w:rsidR="0021393F">
              <w:rPr>
                <w:noProof/>
                <w:webHidden/>
              </w:rPr>
              <w:fldChar w:fldCharType="end"/>
            </w:r>
          </w:hyperlink>
        </w:p>
        <w:p w14:paraId="2B0C57E0" w14:textId="671DB7BB" w:rsidR="0021393F" w:rsidRDefault="00A9390D">
          <w:pPr>
            <w:pStyle w:val="TOC1"/>
            <w:rPr>
              <w:rFonts w:asciiTheme="minorHAnsi" w:eastAsiaTheme="minorEastAsia" w:hAnsiTheme="minorHAnsi" w:cstheme="minorBidi"/>
              <w:b w:val="0"/>
              <w:noProof/>
              <w:sz w:val="22"/>
              <w:szCs w:val="22"/>
              <w:lang w:eastAsia="en-AU"/>
            </w:rPr>
          </w:pPr>
          <w:hyperlink w:anchor="_Toc42783613" w:history="1">
            <w:r w:rsidR="0021393F" w:rsidRPr="007416FA">
              <w:rPr>
                <w:rStyle w:val="Hyperlink"/>
                <w:noProof/>
              </w:rPr>
              <w:t>8.</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Community Service Obligation funding</w:t>
            </w:r>
            <w:r w:rsidR="0021393F">
              <w:rPr>
                <w:noProof/>
                <w:webHidden/>
              </w:rPr>
              <w:tab/>
            </w:r>
            <w:r w:rsidR="0021393F">
              <w:rPr>
                <w:noProof/>
                <w:webHidden/>
              </w:rPr>
              <w:fldChar w:fldCharType="begin"/>
            </w:r>
            <w:r w:rsidR="0021393F">
              <w:rPr>
                <w:noProof/>
                <w:webHidden/>
              </w:rPr>
              <w:instrText xml:space="preserve"> PAGEREF _Toc42783613 \h </w:instrText>
            </w:r>
            <w:r w:rsidR="0021393F">
              <w:rPr>
                <w:noProof/>
                <w:webHidden/>
              </w:rPr>
            </w:r>
            <w:r w:rsidR="0021393F">
              <w:rPr>
                <w:noProof/>
                <w:webHidden/>
              </w:rPr>
              <w:fldChar w:fldCharType="separate"/>
            </w:r>
            <w:r w:rsidR="0021393F">
              <w:rPr>
                <w:noProof/>
                <w:webHidden/>
              </w:rPr>
              <w:t>14</w:t>
            </w:r>
            <w:r w:rsidR="0021393F">
              <w:rPr>
                <w:noProof/>
                <w:webHidden/>
              </w:rPr>
              <w:fldChar w:fldCharType="end"/>
            </w:r>
          </w:hyperlink>
        </w:p>
        <w:p w14:paraId="1393F19D" w14:textId="3A3CE0F7"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14" w:history="1">
            <w:r w:rsidR="0021393F" w:rsidRPr="007416FA">
              <w:rPr>
                <w:rStyle w:val="Hyperlink"/>
                <w:noProof/>
              </w:rPr>
              <w:t>8.1</w:t>
            </w:r>
            <w:r w:rsidR="0021393F">
              <w:rPr>
                <w:rFonts w:asciiTheme="minorHAnsi" w:eastAsiaTheme="minorEastAsia" w:hAnsiTheme="minorHAnsi" w:cstheme="minorBidi"/>
                <w:noProof/>
                <w:sz w:val="22"/>
                <w:szCs w:val="22"/>
                <w:lang w:eastAsia="en-AU"/>
              </w:rPr>
              <w:tab/>
            </w:r>
            <w:r w:rsidR="0021393F" w:rsidRPr="007416FA">
              <w:rPr>
                <w:rStyle w:val="Hyperlink"/>
                <w:noProof/>
              </w:rPr>
              <w:t>CSO funding pool</w:t>
            </w:r>
            <w:r w:rsidR="0021393F">
              <w:rPr>
                <w:noProof/>
                <w:webHidden/>
              </w:rPr>
              <w:tab/>
            </w:r>
            <w:r w:rsidR="0021393F">
              <w:rPr>
                <w:noProof/>
                <w:webHidden/>
              </w:rPr>
              <w:fldChar w:fldCharType="begin"/>
            </w:r>
            <w:r w:rsidR="0021393F">
              <w:rPr>
                <w:noProof/>
                <w:webHidden/>
              </w:rPr>
              <w:instrText xml:space="preserve"> PAGEREF _Toc42783614 \h </w:instrText>
            </w:r>
            <w:r w:rsidR="0021393F">
              <w:rPr>
                <w:noProof/>
                <w:webHidden/>
              </w:rPr>
            </w:r>
            <w:r w:rsidR="0021393F">
              <w:rPr>
                <w:noProof/>
                <w:webHidden/>
              </w:rPr>
              <w:fldChar w:fldCharType="separate"/>
            </w:r>
            <w:r w:rsidR="0021393F">
              <w:rPr>
                <w:noProof/>
                <w:webHidden/>
              </w:rPr>
              <w:t>14</w:t>
            </w:r>
            <w:r w:rsidR="0021393F">
              <w:rPr>
                <w:noProof/>
                <w:webHidden/>
              </w:rPr>
              <w:fldChar w:fldCharType="end"/>
            </w:r>
          </w:hyperlink>
        </w:p>
        <w:p w14:paraId="2DA8C138" w14:textId="3A262CBF"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15" w:history="1">
            <w:r w:rsidR="0021393F" w:rsidRPr="007416FA">
              <w:rPr>
                <w:rStyle w:val="Hyperlink"/>
                <w:noProof/>
              </w:rPr>
              <w:t>8.2</w:t>
            </w:r>
            <w:r w:rsidR="0021393F">
              <w:rPr>
                <w:rFonts w:asciiTheme="minorHAnsi" w:eastAsiaTheme="minorEastAsia" w:hAnsiTheme="minorHAnsi" w:cstheme="minorBidi"/>
                <w:noProof/>
                <w:sz w:val="22"/>
                <w:szCs w:val="22"/>
                <w:lang w:eastAsia="en-AU"/>
              </w:rPr>
              <w:tab/>
            </w:r>
            <w:r w:rsidR="0021393F" w:rsidRPr="007416FA">
              <w:rPr>
                <w:rStyle w:val="Hyperlink"/>
                <w:noProof/>
              </w:rPr>
              <w:t>NDSS measures</w:t>
            </w:r>
            <w:r w:rsidR="0021393F">
              <w:rPr>
                <w:noProof/>
                <w:webHidden/>
              </w:rPr>
              <w:tab/>
            </w:r>
            <w:r w:rsidR="0021393F">
              <w:rPr>
                <w:noProof/>
                <w:webHidden/>
              </w:rPr>
              <w:fldChar w:fldCharType="begin"/>
            </w:r>
            <w:r w:rsidR="0021393F">
              <w:rPr>
                <w:noProof/>
                <w:webHidden/>
              </w:rPr>
              <w:instrText xml:space="preserve"> PAGEREF _Toc42783615 \h </w:instrText>
            </w:r>
            <w:r w:rsidR="0021393F">
              <w:rPr>
                <w:noProof/>
                <w:webHidden/>
              </w:rPr>
            </w:r>
            <w:r w:rsidR="0021393F">
              <w:rPr>
                <w:noProof/>
                <w:webHidden/>
              </w:rPr>
              <w:fldChar w:fldCharType="separate"/>
            </w:r>
            <w:r w:rsidR="0021393F">
              <w:rPr>
                <w:noProof/>
                <w:webHidden/>
              </w:rPr>
              <w:t>14</w:t>
            </w:r>
            <w:r w:rsidR="0021393F">
              <w:rPr>
                <w:noProof/>
                <w:webHidden/>
              </w:rPr>
              <w:fldChar w:fldCharType="end"/>
            </w:r>
          </w:hyperlink>
        </w:p>
        <w:p w14:paraId="3E094920" w14:textId="05009E98"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16" w:history="1">
            <w:r w:rsidR="0021393F" w:rsidRPr="007416FA">
              <w:rPr>
                <w:rStyle w:val="Hyperlink"/>
                <w:noProof/>
              </w:rPr>
              <w:t>8.3</w:t>
            </w:r>
            <w:r w:rsidR="0021393F">
              <w:rPr>
                <w:rFonts w:asciiTheme="minorHAnsi" w:eastAsiaTheme="minorEastAsia" w:hAnsiTheme="minorHAnsi" w:cstheme="minorBidi"/>
                <w:noProof/>
                <w:sz w:val="22"/>
                <w:szCs w:val="22"/>
                <w:lang w:eastAsia="en-AU"/>
              </w:rPr>
              <w:tab/>
            </w:r>
            <w:r w:rsidR="0021393F" w:rsidRPr="007416FA">
              <w:rPr>
                <w:rStyle w:val="Hyperlink"/>
                <w:noProof/>
              </w:rPr>
              <w:t>Administration of the CSO funding arrangements</w:t>
            </w:r>
            <w:r w:rsidR="0021393F">
              <w:rPr>
                <w:noProof/>
                <w:webHidden/>
              </w:rPr>
              <w:tab/>
            </w:r>
            <w:r w:rsidR="0021393F">
              <w:rPr>
                <w:noProof/>
                <w:webHidden/>
              </w:rPr>
              <w:fldChar w:fldCharType="begin"/>
            </w:r>
            <w:r w:rsidR="0021393F">
              <w:rPr>
                <w:noProof/>
                <w:webHidden/>
              </w:rPr>
              <w:instrText xml:space="preserve"> PAGEREF _Toc42783616 \h </w:instrText>
            </w:r>
            <w:r w:rsidR="0021393F">
              <w:rPr>
                <w:noProof/>
                <w:webHidden/>
              </w:rPr>
            </w:r>
            <w:r w:rsidR="0021393F">
              <w:rPr>
                <w:noProof/>
                <w:webHidden/>
              </w:rPr>
              <w:fldChar w:fldCharType="separate"/>
            </w:r>
            <w:r w:rsidR="0021393F">
              <w:rPr>
                <w:noProof/>
                <w:webHidden/>
              </w:rPr>
              <w:t>14</w:t>
            </w:r>
            <w:r w:rsidR="0021393F">
              <w:rPr>
                <w:noProof/>
                <w:webHidden/>
              </w:rPr>
              <w:fldChar w:fldCharType="end"/>
            </w:r>
          </w:hyperlink>
        </w:p>
        <w:p w14:paraId="05472AEB" w14:textId="59134DB5"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17" w:history="1">
            <w:r w:rsidR="0021393F" w:rsidRPr="007416FA">
              <w:rPr>
                <w:rStyle w:val="Hyperlink"/>
                <w:noProof/>
              </w:rPr>
              <w:t>8.4</w:t>
            </w:r>
            <w:r w:rsidR="0021393F">
              <w:rPr>
                <w:rFonts w:asciiTheme="minorHAnsi" w:eastAsiaTheme="minorEastAsia" w:hAnsiTheme="minorHAnsi" w:cstheme="minorBidi"/>
                <w:noProof/>
                <w:sz w:val="22"/>
                <w:szCs w:val="22"/>
                <w:lang w:eastAsia="en-AU"/>
              </w:rPr>
              <w:tab/>
            </w:r>
            <w:r w:rsidR="0021393F" w:rsidRPr="007416FA">
              <w:rPr>
                <w:rStyle w:val="Hyperlink"/>
                <w:noProof/>
              </w:rPr>
              <w:t>Consultation on CSO service standard changes</w:t>
            </w:r>
            <w:r w:rsidR="0021393F">
              <w:rPr>
                <w:noProof/>
                <w:webHidden/>
              </w:rPr>
              <w:tab/>
            </w:r>
            <w:r w:rsidR="0021393F">
              <w:rPr>
                <w:noProof/>
                <w:webHidden/>
              </w:rPr>
              <w:fldChar w:fldCharType="begin"/>
            </w:r>
            <w:r w:rsidR="0021393F">
              <w:rPr>
                <w:noProof/>
                <w:webHidden/>
              </w:rPr>
              <w:instrText xml:space="preserve"> PAGEREF _Toc42783617 \h </w:instrText>
            </w:r>
            <w:r w:rsidR="0021393F">
              <w:rPr>
                <w:noProof/>
                <w:webHidden/>
              </w:rPr>
            </w:r>
            <w:r w:rsidR="0021393F">
              <w:rPr>
                <w:noProof/>
                <w:webHidden/>
              </w:rPr>
              <w:fldChar w:fldCharType="separate"/>
            </w:r>
            <w:r w:rsidR="0021393F">
              <w:rPr>
                <w:noProof/>
                <w:webHidden/>
              </w:rPr>
              <w:t>14</w:t>
            </w:r>
            <w:r w:rsidR="0021393F">
              <w:rPr>
                <w:noProof/>
                <w:webHidden/>
              </w:rPr>
              <w:fldChar w:fldCharType="end"/>
            </w:r>
          </w:hyperlink>
        </w:p>
        <w:p w14:paraId="16462821" w14:textId="56C77964" w:rsidR="0021393F" w:rsidRDefault="00A9390D">
          <w:pPr>
            <w:pStyle w:val="TOC1"/>
            <w:rPr>
              <w:rFonts w:asciiTheme="minorHAnsi" w:eastAsiaTheme="minorEastAsia" w:hAnsiTheme="minorHAnsi" w:cstheme="minorBidi"/>
              <w:b w:val="0"/>
              <w:noProof/>
              <w:sz w:val="22"/>
              <w:szCs w:val="22"/>
              <w:lang w:eastAsia="en-AU"/>
            </w:rPr>
          </w:pPr>
          <w:hyperlink w:anchor="_Toc42783618" w:history="1">
            <w:r w:rsidR="0021393F" w:rsidRPr="007416FA">
              <w:rPr>
                <w:rStyle w:val="Hyperlink"/>
                <w:noProof/>
              </w:rPr>
              <w:t>9.</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Community Pharmacy Programs</w:t>
            </w:r>
            <w:r w:rsidR="0021393F">
              <w:rPr>
                <w:noProof/>
                <w:webHidden/>
              </w:rPr>
              <w:tab/>
            </w:r>
            <w:r w:rsidR="0021393F">
              <w:rPr>
                <w:noProof/>
                <w:webHidden/>
              </w:rPr>
              <w:fldChar w:fldCharType="begin"/>
            </w:r>
            <w:r w:rsidR="0021393F">
              <w:rPr>
                <w:noProof/>
                <w:webHidden/>
              </w:rPr>
              <w:instrText xml:space="preserve"> PAGEREF _Toc42783618 \h </w:instrText>
            </w:r>
            <w:r w:rsidR="0021393F">
              <w:rPr>
                <w:noProof/>
                <w:webHidden/>
              </w:rPr>
            </w:r>
            <w:r w:rsidR="0021393F">
              <w:rPr>
                <w:noProof/>
                <w:webHidden/>
              </w:rPr>
              <w:fldChar w:fldCharType="separate"/>
            </w:r>
            <w:r w:rsidR="0021393F">
              <w:rPr>
                <w:noProof/>
                <w:webHidden/>
              </w:rPr>
              <w:t>15</w:t>
            </w:r>
            <w:r w:rsidR="0021393F">
              <w:rPr>
                <w:noProof/>
                <w:webHidden/>
              </w:rPr>
              <w:fldChar w:fldCharType="end"/>
            </w:r>
          </w:hyperlink>
        </w:p>
        <w:p w14:paraId="1C7E3AA7" w14:textId="6DE476CC"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19" w:history="1">
            <w:r w:rsidR="0021393F" w:rsidRPr="007416FA">
              <w:rPr>
                <w:rStyle w:val="Hyperlink"/>
                <w:noProof/>
              </w:rPr>
              <w:t>9.1</w:t>
            </w:r>
            <w:r w:rsidR="0021393F">
              <w:rPr>
                <w:rFonts w:asciiTheme="minorHAnsi" w:eastAsiaTheme="minorEastAsia" w:hAnsiTheme="minorHAnsi" w:cstheme="minorBidi"/>
                <w:noProof/>
                <w:sz w:val="22"/>
                <w:szCs w:val="22"/>
                <w:lang w:eastAsia="en-AU"/>
              </w:rPr>
              <w:tab/>
            </w:r>
            <w:r w:rsidR="0021393F" w:rsidRPr="007416FA">
              <w:rPr>
                <w:rStyle w:val="Hyperlink"/>
                <w:noProof/>
              </w:rPr>
              <w:t>Allocation of Community Pharmacy Program funding</w:t>
            </w:r>
            <w:r w:rsidR="0021393F">
              <w:rPr>
                <w:noProof/>
                <w:webHidden/>
              </w:rPr>
              <w:tab/>
            </w:r>
            <w:r w:rsidR="0021393F">
              <w:rPr>
                <w:noProof/>
                <w:webHidden/>
              </w:rPr>
              <w:fldChar w:fldCharType="begin"/>
            </w:r>
            <w:r w:rsidR="0021393F">
              <w:rPr>
                <w:noProof/>
                <w:webHidden/>
              </w:rPr>
              <w:instrText xml:space="preserve"> PAGEREF _Toc42783619 \h </w:instrText>
            </w:r>
            <w:r w:rsidR="0021393F">
              <w:rPr>
                <w:noProof/>
                <w:webHidden/>
              </w:rPr>
            </w:r>
            <w:r w:rsidR="0021393F">
              <w:rPr>
                <w:noProof/>
                <w:webHidden/>
              </w:rPr>
              <w:fldChar w:fldCharType="separate"/>
            </w:r>
            <w:r w:rsidR="0021393F">
              <w:rPr>
                <w:noProof/>
                <w:webHidden/>
              </w:rPr>
              <w:t>15</w:t>
            </w:r>
            <w:r w:rsidR="0021393F">
              <w:rPr>
                <w:noProof/>
                <w:webHidden/>
              </w:rPr>
              <w:fldChar w:fldCharType="end"/>
            </w:r>
          </w:hyperlink>
        </w:p>
        <w:p w14:paraId="319CE924" w14:textId="07E71F7A"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20" w:history="1">
            <w:r w:rsidR="0021393F" w:rsidRPr="007416FA">
              <w:rPr>
                <w:rStyle w:val="Hyperlink"/>
                <w:rFonts w:eastAsia="Calibri"/>
                <w:noProof/>
                <w:lang w:eastAsia="zh-CN"/>
              </w:rPr>
              <w:t>9.2</w:t>
            </w:r>
            <w:r w:rsidR="0021393F">
              <w:rPr>
                <w:rFonts w:asciiTheme="minorHAnsi" w:eastAsiaTheme="minorEastAsia" w:hAnsiTheme="minorHAnsi" w:cstheme="minorBidi"/>
                <w:noProof/>
                <w:sz w:val="22"/>
                <w:szCs w:val="22"/>
                <w:lang w:eastAsia="en-AU"/>
              </w:rPr>
              <w:tab/>
            </w:r>
            <w:r w:rsidR="0021393F" w:rsidRPr="007416FA">
              <w:rPr>
                <w:rStyle w:val="Hyperlink"/>
                <w:rFonts w:eastAsia="Calibri"/>
                <w:noProof/>
                <w:lang w:eastAsia="zh-CN"/>
              </w:rPr>
              <w:t>Continuation of pharmacy program trials</w:t>
            </w:r>
            <w:r w:rsidR="0021393F">
              <w:rPr>
                <w:noProof/>
                <w:webHidden/>
              </w:rPr>
              <w:tab/>
            </w:r>
            <w:r w:rsidR="0021393F">
              <w:rPr>
                <w:noProof/>
                <w:webHidden/>
              </w:rPr>
              <w:fldChar w:fldCharType="begin"/>
            </w:r>
            <w:r w:rsidR="0021393F">
              <w:rPr>
                <w:noProof/>
                <w:webHidden/>
              </w:rPr>
              <w:instrText xml:space="preserve"> PAGEREF _Toc42783620 \h </w:instrText>
            </w:r>
            <w:r w:rsidR="0021393F">
              <w:rPr>
                <w:noProof/>
                <w:webHidden/>
              </w:rPr>
            </w:r>
            <w:r w:rsidR="0021393F">
              <w:rPr>
                <w:noProof/>
                <w:webHidden/>
              </w:rPr>
              <w:fldChar w:fldCharType="separate"/>
            </w:r>
            <w:r w:rsidR="0021393F">
              <w:rPr>
                <w:noProof/>
                <w:webHidden/>
              </w:rPr>
              <w:t>15</w:t>
            </w:r>
            <w:r w:rsidR="0021393F">
              <w:rPr>
                <w:noProof/>
                <w:webHidden/>
              </w:rPr>
              <w:fldChar w:fldCharType="end"/>
            </w:r>
          </w:hyperlink>
        </w:p>
        <w:p w14:paraId="6BA8E710" w14:textId="65FB8A94"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21" w:history="1">
            <w:r w:rsidR="0021393F" w:rsidRPr="007416FA">
              <w:rPr>
                <w:rStyle w:val="Hyperlink"/>
                <w:rFonts w:eastAsia="Calibri"/>
                <w:noProof/>
                <w:lang w:eastAsia="zh-CN"/>
              </w:rPr>
              <w:t>9.3</w:t>
            </w:r>
            <w:r w:rsidR="0021393F">
              <w:rPr>
                <w:rFonts w:asciiTheme="minorHAnsi" w:eastAsiaTheme="minorEastAsia" w:hAnsiTheme="minorHAnsi" w:cstheme="minorBidi"/>
                <w:noProof/>
                <w:sz w:val="22"/>
                <w:szCs w:val="22"/>
                <w:lang w:eastAsia="en-AU"/>
              </w:rPr>
              <w:tab/>
            </w:r>
            <w:r w:rsidR="0021393F" w:rsidRPr="007416FA">
              <w:rPr>
                <w:rStyle w:val="Hyperlink"/>
                <w:rFonts w:eastAsia="Calibri"/>
                <w:noProof/>
                <w:lang w:eastAsia="zh-CN"/>
              </w:rPr>
              <w:t>Community Pharmacy Program changes</w:t>
            </w:r>
            <w:r w:rsidR="0021393F">
              <w:rPr>
                <w:noProof/>
                <w:webHidden/>
              </w:rPr>
              <w:tab/>
            </w:r>
            <w:r w:rsidR="0021393F">
              <w:rPr>
                <w:noProof/>
                <w:webHidden/>
              </w:rPr>
              <w:fldChar w:fldCharType="begin"/>
            </w:r>
            <w:r w:rsidR="0021393F">
              <w:rPr>
                <w:noProof/>
                <w:webHidden/>
              </w:rPr>
              <w:instrText xml:space="preserve"> PAGEREF _Toc42783621 \h </w:instrText>
            </w:r>
            <w:r w:rsidR="0021393F">
              <w:rPr>
                <w:noProof/>
                <w:webHidden/>
              </w:rPr>
            </w:r>
            <w:r w:rsidR="0021393F">
              <w:rPr>
                <w:noProof/>
                <w:webHidden/>
              </w:rPr>
              <w:fldChar w:fldCharType="separate"/>
            </w:r>
            <w:r w:rsidR="0021393F">
              <w:rPr>
                <w:noProof/>
                <w:webHidden/>
              </w:rPr>
              <w:t>15</w:t>
            </w:r>
            <w:r w:rsidR="0021393F">
              <w:rPr>
                <w:noProof/>
                <w:webHidden/>
              </w:rPr>
              <w:fldChar w:fldCharType="end"/>
            </w:r>
          </w:hyperlink>
        </w:p>
        <w:p w14:paraId="49B53A9C" w14:textId="06F1AD6D"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22" w:history="1">
            <w:r w:rsidR="0021393F" w:rsidRPr="007416FA">
              <w:rPr>
                <w:rStyle w:val="Hyperlink"/>
                <w:noProof/>
              </w:rPr>
              <w:t>9.4</w:t>
            </w:r>
            <w:r w:rsidR="0021393F">
              <w:rPr>
                <w:rFonts w:asciiTheme="minorHAnsi" w:eastAsiaTheme="minorEastAsia" w:hAnsiTheme="minorHAnsi" w:cstheme="minorBidi"/>
                <w:noProof/>
                <w:sz w:val="22"/>
                <w:szCs w:val="22"/>
                <w:lang w:eastAsia="en-AU"/>
              </w:rPr>
              <w:tab/>
            </w:r>
            <w:r w:rsidR="0021393F" w:rsidRPr="007416FA">
              <w:rPr>
                <w:rStyle w:val="Hyperlink"/>
                <w:noProof/>
              </w:rPr>
              <w:t>Arrangements for prescribing</w:t>
            </w:r>
            <w:r w:rsidR="0021393F">
              <w:rPr>
                <w:noProof/>
                <w:webHidden/>
              </w:rPr>
              <w:tab/>
            </w:r>
            <w:r w:rsidR="0021393F">
              <w:rPr>
                <w:noProof/>
                <w:webHidden/>
              </w:rPr>
              <w:fldChar w:fldCharType="begin"/>
            </w:r>
            <w:r w:rsidR="0021393F">
              <w:rPr>
                <w:noProof/>
                <w:webHidden/>
              </w:rPr>
              <w:instrText xml:space="preserve"> PAGEREF _Toc42783622 \h </w:instrText>
            </w:r>
            <w:r w:rsidR="0021393F">
              <w:rPr>
                <w:noProof/>
                <w:webHidden/>
              </w:rPr>
            </w:r>
            <w:r w:rsidR="0021393F">
              <w:rPr>
                <w:noProof/>
                <w:webHidden/>
              </w:rPr>
              <w:fldChar w:fldCharType="separate"/>
            </w:r>
            <w:r w:rsidR="0021393F">
              <w:rPr>
                <w:noProof/>
                <w:webHidden/>
              </w:rPr>
              <w:t>17</w:t>
            </w:r>
            <w:r w:rsidR="0021393F">
              <w:rPr>
                <w:noProof/>
                <w:webHidden/>
              </w:rPr>
              <w:fldChar w:fldCharType="end"/>
            </w:r>
          </w:hyperlink>
        </w:p>
        <w:p w14:paraId="48965ECB" w14:textId="7DC6091F"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23" w:history="1">
            <w:r w:rsidR="0021393F" w:rsidRPr="007416FA">
              <w:rPr>
                <w:rStyle w:val="Hyperlink"/>
                <w:rFonts w:eastAsia="Calibri"/>
                <w:noProof/>
                <w:lang w:eastAsia="zh-CN"/>
              </w:rPr>
              <w:t>9.5</w:t>
            </w:r>
            <w:r w:rsidR="0021393F">
              <w:rPr>
                <w:rFonts w:asciiTheme="minorHAnsi" w:eastAsiaTheme="minorEastAsia" w:hAnsiTheme="minorHAnsi" w:cstheme="minorBidi"/>
                <w:noProof/>
                <w:sz w:val="22"/>
                <w:szCs w:val="22"/>
                <w:lang w:eastAsia="en-AU"/>
              </w:rPr>
              <w:tab/>
            </w:r>
            <w:r w:rsidR="0021393F" w:rsidRPr="007416FA">
              <w:rPr>
                <w:rStyle w:val="Hyperlink"/>
                <w:rFonts w:eastAsia="Calibri"/>
                <w:noProof/>
                <w:lang w:eastAsia="zh-CN"/>
              </w:rPr>
              <w:t>Administration of Community Pharmacy Programs</w:t>
            </w:r>
            <w:r w:rsidR="0021393F">
              <w:rPr>
                <w:noProof/>
                <w:webHidden/>
              </w:rPr>
              <w:tab/>
            </w:r>
            <w:r w:rsidR="0021393F">
              <w:rPr>
                <w:noProof/>
                <w:webHidden/>
              </w:rPr>
              <w:fldChar w:fldCharType="begin"/>
            </w:r>
            <w:r w:rsidR="0021393F">
              <w:rPr>
                <w:noProof/>
                <w:webHidden/>
              </w:rPr>
              <w:instrText xml:space="preserve"> PAGEREF _Toc42783623 \h </w:instrText>
            </w:r>
            <w:r w:rsidR="0021393F">
              <w:rPr>
                <w:noProof/>
                <w:webHidden/>
              </w:rPr>
            </w:r>
            <w:r w:rsidR="0021393F">
              <w:rPr>
                <w:noProof/>
                <w:webHidden/>
              </w:rPr>
              <w:fldChar w:fldCharType="separate"/>
            </w:r>
            <w:r w:rsidR="0021393F">
              <w:rPr>
                <w:noProof/>
                <w:webHidden/>
              </w:rPr>
              <w:t>17</w:t>
            </w:r>
            <w:r w:rsidR="0021393F">
              <w:rPr>
                <w:noProof/>
                <w:webHidden/>
              </w:rPr>
              <w:fldChar w:fldCharType="end"/>
            </w:r>
          </w:hyperlink>
        </w:p>
        <w:p w14:paraId="4BBF6FB5" w14:textId="623EAE7A"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24" w:history="1">
            <w:r w:rsidR="0021393F" w:rsidRPr="007416FA">
              <w:rPr>
                <w:rStyle w:val="Hyperlink"/>
                <w:rFonts w:eastAsia="Calibri"/>
                <w:noProof/>
                <w:lang w:eastAsia="zh-CN"/>
              </w:rPr>
              <w:t>9.6</w:t>
            </w:r>
            <w:r w:rsidR="0021393F">
              <w:rPr>
                <w:rFonts w:asciiTheme="minorHAnsi" w:eastAsiaTheme="minorEastAsia" w:hAnsiTheme="minorHAnsi" w:cstheme="minorBidi"/>
                <w:noProof/>
                <w:sz w:val="22"/>
                <w:szCs w:val="22"/>
                <w:lang w:eastAsia="en-AU"/>
              </w:rPr>
              <w:tab/>
            </w:r>
            <w:r w:rsidR="0021393F" w:rsidRPr="007416FA">
              <w:rPr>
                <w:rStyle w:val="Hyperlink"/>
                <w:rFonts w:eastAsia="Calibri"/>
                <w:noProof/>
                <w:lang w:eastAsia="zh-CN"/>
              </w:rPr>
              <w:t>Community Pharmacy Program assessment</w:t>
            </w:r>
            <w:r w:rsidR="0021393F">
              <w:rPr>
                <w:noProof/>
                <w:webHidden/>
              </w:rPr>
              <w:tab/>
            </w:r>
            <w:r w:rsidR="0021393F">
              <w:rPr>
                <w:noProof/>
                <w:webHidden/>
              </w:rPr>
              <w:fldChar w:fldCharType="begin"/>
            </w:r>
            <w:r w:rsidR="0021393F">
              <w:rPr>
                <w:noProof/>
                <w:webHidden/>
              </w:rPr>
              <w:instrText xml:space="preserve"> PAGEREF _Toc42783624 \h </w:instrText>
            </w:r>
            <w:r w:rsidR="0021393F">
              <w:rPr>
                <w:noProof/>
                <w:webHidden/>
              </w:rPr>
            </w:r>
            <w:r w:rsidR="0021393F">
              <w:rPr>
                <w:noProof/>
                <w:webHidden/>
              </w:rPr>
              <w:fldChar w:fldCharType="separate"/>
            </w:r>
            <w:r w:rsidR="0021393F">
              <w:rPr>
                <w:noProof/>
                <w:webHidden/>
              </w:rPr>
              <w:t>17</w:t>
            </w:r>
            <w:r w:rsidR="0021393F">
              <w:rPr>
                <w:noProof/>
                <w:webHidden/>
              </w:rPr>
              <w:fldChar w:fldCharType="end"/>
            </w:r>
          </w:hyperlink>
        </w:p>
        <w:p w14:paraId="0A2D440E" w14:textId="07E60C39" w:rsidR="0021393F" w:rsidRDefault="00A9390D">
          <w:pPr>
            <w:pStyle w:val="TOC1"/>
            <w:rPr>
              <w:rFonts w:asciiTheme="minorHAnsi" w:eastAsiaTheme="minorEastAsia" w:hAnsiTheme="minorHAnsi" w:cstheme="minorBidi"/>
              <w:b w:val="0"/>
              <w:noProof/>
              <w:sz w:val="22"/>
              <w:szCs w:val="22"/>
              <w:lang w:eastAsia="en-AU"/>
            </w:rPr>
          </w:pPr>
          <w:hyperlink w:anchor="_Toc42783625" w:history="1">
            <w:r w:rsidR="0021393F" w:rsidRPr="007416FA">
              <w:rPr>
                <w:rStyle w:val="Hyperlink"/>
                <w:noProof/>
              </w:rPr>
              <w:t>10.</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The Closing the Gap - PBS Copayment Measure</w:t>
            </w:r>
            <w:r w:rsidR="0021393F">
              <w:rPr>
                <w:noProof/>
                <w:webHidden/>
              </w:rPr>
              <w:tab/>
            </w:r>
            <w:r w:rsidR="0021393F">
              <w:rPr>
                <w:noProof/>
                <w:webHidden/>
              </w:rPr>
              <w:fldChar w:fldCharType="begin"/>
            </w:r>
            <w:r w:rsidR="0021393F">
              <w:rPr>
                <w:noProof/>
                <w:webHidden/>
              </w:rPr>
              <w:instrText xml:space="preserve"> PAGEREF _Toc42783625 \h </w:instrText>
            </w:r>
            <w:r w:rsidR="0021393F">
              <w:rPr>
                <w:noProof/>
                <w:webHidden/>
              </w:rPr>
            </w:r>
            <w:r w:rsidR="0021393F">
              <w:rPr>
                <w:noProof/>
                <w:webHidden/>
              </w:rPr>
              <w:fldChar w:fldCharType="separate"/>
            </w:r>
            <w:r w:rsidR="0021393F">
              <w:rPr>
                <w:noProof/>
                <w:webHidden/>
              </w:rPr>
              <w:t>18</w:t>
            </w:r>
            <w:r w:rsidR="0021393F">
              <w:rPr>
                <w:noProof/>
                <w:webHidden/>
              </w:rPr>
              <w:fldChar w:fldCharType="end"/>
            </w:r>
          </w:hyperlink>
        </w:p>
        <w:p w14:paraId="059883A3" w14:textId="1C1E54E5" w:rsidR="0021393F" w:rsidRDefault="00A9390D">
          <w:pPr>
            <w:pStyle w:val="TOC1"/>
            <w:rPr>
              <w:rFonts w:asciiTheme="minorHAnsi" w:eastAsiaTheme="minorEastAsia" w:hAnsiTheme="minorHAnsi" w:cstheme="minorBidi"/>
              <w:b w:val="0"/>
              <w:noProof/>
              <w:sz w:val="22"/>
              <w:szCs w:val="22"/>
              <w:lang w:eastAsia="en-AU"/>
            </w:rPr>
          </w:pPr>
          <w:hyperlink w:anchor="_Toc42783626" w:history="1">
            <w:r w:rsidR="0021393F" w:rsidRPr="007416FA">
              <w:rPr>
                <w:rStyle w:val="Hyperlink"/>
                <w:noProof/>
              </w:rPr>
              <w:t>11.</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New or enhanced community pharmacy initiatives and incentives</w:t>
            </w:r>
            <w:r w:rsidR="0021393F">
              <w:rPr>
                <w:noProof/>
                <w:webHidden/>
              </w:rPr>
              <w:tab/>
            </w:r>
            <w:r w:rsidR="0021393F">
              <w:rPr>
                <w:noProof/>
                <w:webHidden/>
              </w:rPr>
              <w:fldChar w:fldCharType="begin"/>
            </w:r>
            <w:r w:rsidR="0021393F">
              <w:rPr>
                <w:noProof/>
                <w:webHidden/>
              </w:rPr>
              <w:instrText xml:space="preserve"> PAGEREF _Toc42783626 \h </w:instrText>
            </w:r>
            <w:r w:rsidR="0021393F">
              <w:rPr>
                <w:noProof/>
                <w:webHidden/>
              </w:rPr>
            </w:r>
            <w:r w:rsidR="0021393F">
              <w:rPr>
                <w:noProof/>
                <w:webHidden/>
              </w:rPr>
              <w:fldChar w:fldCharType="separate"/>
            </w:r>
            <w:r w:rsidR="0021393F">
              <w:rPr>
                <w:noProof/>
                <w:webHidden/>
              </w:rPr>
              <w:t>18</w:t>
            </w:r>
            <w:r w:rsidR="0021393F">
              <w:rPr>
                <w:noProof/>
                <w:webHidden/>
              </w:rPr>
              <w:fldChar w:fldCharType="end"/>
            </w:r>
          </w:hyperlink>
        </w:p>
        <w:p w14:paraId="46FEC0AF" w14:textId="7359D8AC" w:rsidR="0021393F" w:rsidRDefault="00A9390D">
          <w:pPr>
            <w:pStyle w:val="TOC1"/>
            <w:rPr>
              <w:rFonts w:asciiTheme="minorHAnsi" w:eastAsiaTheme="minorEastAsia" w:hAnsiTheme="minorHAnsi" w:cstheme="minorBidi"/>
              <w:b w:val="0"/>
              <w:noProof/>
              <w:sz w:val="22"/>
              <w:szCs w:val="22"/>
              <w:lang w:eastAsia="en-AU"/>
            </w:rPr>
          </w:pPr>
          <w:hyperlink w:anchor="_Toc42783627" w:history="1">
            <w:r w:rsidR="0021393F" w:rsidRPr="007416FA">
              <w:rPr>
                <w:rStyle w:val="Hyperlink"/>
                <w:noProof/>
              </w:rPr>
              <w:t>12.</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Other commitments by the Australian Government and the Guild</w:t>
            </w:r>
            <w:r w:rsidR="0021393F">
              <w:rPr>
                <w:noProof/>
                <w:webHidden/>
              </w:rPr>
              <w:tab/>
            </w:r>
            <w:r w:rsidR="0021393F">
              <w:rPr>
                <w:noProof/>
                <w:webHidden/>
              </w:rPr>
              <w:fldChar w:fldCharType="begin"/>
            </w:r>
            <w:r w:rsidR="0021393F">
              <w:rPr>
                <w:noProof/>
                <w:webHidden/>
              </w:rPr>
              <w:instrText xml:space="preserve"> PAGEREF _Toc42783627 \h </w:instrText>
            </w:r>
            <w:r w:rsidR="0021393F">
              <w:rPr>
                <w:noProof/>
                <w:webHidden/>
              </w:rPr>
            </w:r>
            <w:r w:rsidR="0021393F">
              <w:rPr>
                <w:noProof/>
                <w:webHidden/>
              </w:rPr>
              <w:fldChar w:fldCharType="separate"/>
            </w:r>
            <w:r w:rsidR="0021393F">
              <w:rPr>
                <w:noProof/>
                <w:webHidden/>
              </w:rPr>
              <w:t>19</w:t>
            </w:r>
            <w:r w:rsidR="0021393F">
              <w:rPr>
                <w:noProof/>
                <w:webHidden/>
              </w:rPr>
              <w:fldChar w:fldCharType="end"/>
            </w:r>
          </w:hyperlink>
        </w:p>
        <w:p w14:paraId="3632C374" w14:textId="33A161F5"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28" w:history="1">
            <w:r w:rsidR="0021393F" w:rsidRPr="007416FA">
              <w:rPr>
                <w:rStyle w:val="Hyperlink"/>
                <w:noProof/>
              </w:rPr>
              <w:t>12.1</w:t>
            </w:r>
            <w:r w:rsidR="0021393F">
              <w:rPr>
                <w:rFonts w:asciiTheme="minorHAnsi" w:eastAsiaTheme="minorEastAsia" w:hAnsiTheme="minorHAnsi" w:cstheme="minorBidi"/>
                <w:noProof/>
                <w:sz w:val="22"/>
                <w:szCs w:val="22"/>
                <w:lang w:eastAsia="en-AU"/>
              </w:rPr>
              <w:tab/>
            </w:r>
            <w:r w:rsidR="0021393F" w:rsidRPr="007416FA">
              <w:rPr>
                <w:rStyle w:val="Hyperlink"/>
                <w:noProof/>
              </w:rPr>
              <w:t>Clinical Governance Framework for community pharmacy</w:t>
            </w:r>
            <w:r w:rsidR="0021393F">
              <w:rPr>
                <w:noProof/>
                <w:webHidden/>
              </w:rPr>
              <w:tab/>
            </w:r>
            <w:r w:rsidR="0021393F">
              <w:rPr>
                <w:noProof/>
                <w:webHidden/>
              </w:rPr>
              <w:fldChar w:fldCharType="begin"/>
            </w:r>
            <w:r w:rsidR="0021393F">
              <w:rPr>
                <w:noProof/>
                <w:webHidden/>
              </w:rPr>
              <w:instrText xml:space="preserve"> PAGEREF _Toc42783628 \h </w:instrText>
            </w:r>
            <w:r w:rsidR="0021393F">
              <w:rPr>
                <w:noProof/>
                <w:webHidden/>
              </w:rPr>
            </w:r>
            <w:r w:rsidR="0021393F">
              <w:rPr>
                <w:noProof/>
                <w:webHidden/>
              </w:rPr>
              <w:fldChar w:fldCharType="separate"/>
            </w:r>
            <w:r w:rsidR="0021393F">
              <w:rPr>
                <w:noProof/>
                <w:webHidden/>
              </w:rPr>
              <w:t>19</w:t>
            </w:r>
            <w:r w:rsidR="0021393F">
              <w:rPr>
                <w:noProof/>
                <w:webHidden/>
              </w:rPr>
              <w:fldChar w:fldCharType="end"/>
            </w:r>
          </w:hyperlink>
        </w:p>
        <w:p w14:paraId="548116BA" w14:textId="00A80DF8"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29" w:history="1">
            <w:r w:rsidR="0021393F" w:rsidRPr="007416FA">
              <w:rPr>
                <w:rStyle w:val="Hyperlink"/>
                <w:noProof/>
              </w:rPr>
              <w:t>12.2</w:t>
            </w:r>
            <w:r w:rsidR="0021393F">
              <w:rPr>
                <w:rFonts w:asciiTheme="minorHAnsi" w:eastAsiaTheme="minorEastAsia" w:hAnsiTheme="minorHAnsi" w:cstheme="minorBidi"/>
                <w:noProof/>
                <w:sz w:val="22"/>
                <w:szCs w:val="22"/>
                <w:lang w:eastAsia="en-AU"/>
              </w:rPr>
              <w:tab/>
            </w:r>
            <w:r w:rsidR="0021393F" w:rsidRPr="007416FA">
              <w:rPr>
                <w:rStyle w:val="Hyperlink"/>
                <w:noProof/>
              </w:rPr>
              <w:t>Pharmacists administering vaccines</w:t>
            </w:r>
            <w:r w:rsidR="0021393F">
              <w:rPr>
                <w:noProof/>
                <w:webHidden/>
              </w:rPr>
              <w:tab/>
            </w:r>
            <w:r w:rsidR="0021393F">
              <w:rPr>
                <w:noProof/>
                <w:webHidden/>
              </w:rPr>
              <w:fldChar w:fldCharType="begin"/>
            </w:r>
            <w:r w:rsidR="0021393F">
              <w:rPr>
                <w:noProof/>
                <w:webHidden/>
              </w:rPr>
              <w:instrText xml:space="preserve"> PAGEREF _Toc42783629 \h </w:instrText>
            </w:r>
            <w:r w:rsidR="0021393F">
              <w:rPr>
                <w:noProof/>
                <w:webHidden/>
              </w:rPr>
            </w:r>
            <w:r w:rsidR="0021393F">
              <w:rPr>
                <w:noProof/>
                <w:webHidden/>
              </w:rPr>
              <w:fldChar w:fldCharType="separate"/>
            </w:r>
            <w:r w:rsidR="0021393F">
              <w:rPr>
                <w:noProof/>
                <w:webHidden/>
              </w:rPr>
              <w:t>19</w:t>
            </w:r>
            <w:r w:rsidR="0021393F">
              <w:rPr>
                <w:noProof/>
                <w:webHidden/>
              </w:rPr>
              <w:fldChar w:fldCharType="end"/>
            </w:r>
          </w:hyperlink>
        </w:p>
        <w:p w14:paraId="7751B263" w14:textId="6033C848"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30" w:history="1">
            <w:r w:rsidR="0021393F" w:rsidRPr="007416FA">
              <w:rPr>
                <w:rStyle w:val="Hyperlink"/>
                <w:noProof/>
              </w:rPr>
              <w:t>12.3</w:t>
            </w:r>
            <w:r w:rsidR="0021393F">
              <w:rPr>
                <w:rFonts w:asciiTheme="minorHAnsi" w:eastAsiaTheme="minorEastAsia" w:hAnsiTheme="minorHAnsi" w:cstheme="minorBidi"/>
                <w:noProof/>
                <w:sz w:val="22"/>
                <w:szCs w:val="22"/>
                <w:lang w:eastAsia="en-AU"/>
              </w:rPr>
              <w:tab/>
            </w:r>
            <w:r w:rsidR="0021393F" w:rsidRPr="007416FA">
              <w:rPr>
                <w:rStyle w:val="Hyperlink"/>
                <w:noProof/>
              </w:rPr>
              <w:t>Location Rules arrangements</w:t>
            </w:r>
            <w:r w:rsidR="0021393F">
              <w:rPr>
                <w:noProof/>
                <w:webHidden/>
              </w:rPr>
              <w:tab/>
            </w:r>
            <w:r w:rsidR="0021393F">
              <w:rPr>
                <w:noProof/>
                <w:webHidden/>
              </w:rPr>
              <w:fldChar w:fldCharType="begin"/>
            </w:r>
            <w:r w:rsidR="0021393F">
              <w:rPr>
                <w:noProof/>
                <w:webHidden/>
              </w:rPr>
              <w:instrText xml:space="preserve"> PAGEREF _Toc42783630 \h </w:instrText>
            </w:r>
            <w:r w:rsidR="0021393F">
              <w:rPr>
                <w:noProof/>
                <w:webHidden/>
              </w:rPr>
            </w:r>
            <w:r w:rsidR="0021393F">
              <w:rPr>
                <w:noProof/>
                <w:webHidden/>
              </w:rPr>
              <w:fldChar w:fldCharType="separate"/>
            </w:r>
            <w:r w:rsidR="0021393F">
              <w:rPr>
                <w:noProof/>
                <w:webHidden/>
              </w:rPr>
              <w:t>19</w:t>
            </w:r>
            <w:r w:rsidR="0021393F">
              <w:rPr>
                <w:noProof/>
                <w:webHidden/>
              </w:rPr>
              <w:fldChar w:fldCharType="end"/>
            </w:r>
          </w:hyperlink>
        </w:p>
        <w:p w14:paraId="1435717C" w14:textId="42A500D3"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31" w:history="1">
            <w:r w:rsidR="0021393F" w:rsidRPr="007416FA">
              <w:rPr>
                <w:rStyle w:val="Hyperlink"/>
                <w:rFonts w:eastAsia="Calibri"/>
                <w:noProof/>
              </w:rPr>
              <w:t>12.4</w:t>
            </w:r>
            <w:r w:rsidR="0021393F">
              <w:rPr>
                <w:rFonts w:asciiTheme="minorHAnsi" w:eastAsiaTheme="minorEastAsia" w:hAnsiTheme="minorHAnsi" w:cstheme="minorBidi"/>
                <w:noProof/>
                <w:sz w:val="22"/>
                <w:szCs w:val="22"/>
                <w:lang w:eastAsia="en-AU"/>
              </w:rPr>
              <w:tab/>
            </w:r>
            <w:r w:rsidR="0021393F" w:rsidRPr="007416FA">
              <w:rPr>
                <w:rStyle w:val="Hyperlink"/>
                <w:rFonts w:eastAsia="Calibri"/>
                <w:noProof/>
              </w:rPr>
              <w:t>Doctor of Pharmacy</w:t>
            </w:r>
            <w:r w:rsidR="0021393F">
              <w:rPr>
                <w:noProof/>
                <w:webHidden/>
              </w:rPr>
              <w:tab/>
            </w:r>
            <w:r w:rsidR="0021393F">
              <w:rPr>
                <w:noProof/>
                <w:webHidden/>
              </w:rPr>
              <w:fldChar w:fldCharType="begin"/>
            </w:r>
            <w:r w:rsidR="0021393F">
              <w:rPr>
                <w:noProof/>
                <w:webHidden/>
              </w:rPr>
              <w:instrText xml:space="preserve"> PAGEREF _Toc42783631 \h </w:instrText>
            </w:r>
            <w:r w:rsidR="0021393F">
              <w:rPr>
                <w:noProof/>
                <w:webHidden/>
              </w:rPr>
            </w:r>
            <w:r w:rsidR="0021393F">
              <w:rPr>
                <w:noProof/>
                <w:webHidden/>
              </w:rPr>
              <w:fldChar w:fldCharType="separate"/>
            </w:r>
            <w:r w:rsidR="0021393F">
              <w:rPr>
                <w:noProof/>
                <w:webHidden/>
              </w:rPr>
              <w:t>19</w:t>
            </w:r>
            <w:r w:rsidR="0021393F">
              <w:rPr>
                <w:noProof/>
                <w:webHidden/>
              </w:rPr>
              <w:fldChar w:fldCharType="end"/>
            </w:r>
          </w:hyperlink>
        </w:p>
        <w:p w14:paraId="614F5CB7" w14:textId="3D1CE0D9" w:rsidR="0021393F" w:rsidRDefault="00A9390D">
          <w:pPr>
            <w:pStyle w:val="TOC1"/>
            <w:rPr>
              <w:rFonts w:asciiTheme="minorHAnsi" w:eastAsiaTheme="minorEastAsia" w:hAnsiTheme="minorHAnsi" w:cstheme="minorBidi"/>
              <w:b w:val="0"/>
              <w:noProof/>
              <w:sz w:val="22"/>
              <w:szCs w:val="22"/>
              <w:lang w:eastAsia="en-AU"/>
            </w:rPr>
          </w:pPr>
          <w:hyperlink w:anchor="_Toc42783632" w:history="1">
            <w:r w:rsidR="0021393F" w:rsidRPr="007416FA">
              <w:rPr>
                <w:rStyle w:val="Hyperlink"/>
                <w:rFonts w:eastAsia="Calibri"/>
                <w:noProof/>
                <w:lang w:eastAsia="zh-CN"/>
              </w:rPr>
              <w:t>13.</w:t>
            </w:r>
            <w:r w:rsidR="0021393F">
              <w:rPr>
                <w:rFonts w:asciiTheme="minorHAnsi" w:eastAsiaTheme="minorEastAsia" w:hAnsiTheme="minorHAnsi" w:cstheme="minorBidi"/>
                <w:b w:val="0"/>
                <w:noProof/>
                <w:sz w:val="22"/>
                <w:szCs w:val="22"/>
                <w:lang w:eastAsia="en-AU"/>
              </w:rPr>
              <w:tab/>
            </w:r>
            <w:r w:rsidR="0021393F" w:rsidRPr="007416FA">
              <w:rPr>
                <w:rStyle w:val="Hyperlink"/>
                <w:rFonts w:eastAsia="Calibri"/>
                <w:noProof/>
                <w:lang w:eastAsia="zh-CN"/>
              </w:rPr>
              <w:t>Indexation</w:t>
            </w:r>
            <w:r w:rsidR="0021393F">
              <w:rPr>
                <w:noProof/>
                <w:webHidden/>
              </w:rPr>
              <w:tab/>
            </w:r>
            <w:r w:rsidR="0021393F">
              <w:rPr>
                <w:noProof/>
                <w:webHidden/>
              </w:rPr>
              <w:fldChar w:fldCharType="begin"/>
            </w:r>
            <w:r w:rsidR="0021393F">
              <w:rPr>
                <w:noProof/>
                <w:webHidden/>
              </w:rPr>
              <w:instrText xml:space="preserve"> PAGEREF _Toc42783632 \h </w:instrText>
            </w:r>
            <w:r w:rsidR="0021393F">
              <w:rPr>
                <w:noProof/>
                <w:webHidden/>
              </w:rPr>
            </w:r>
            <w:r w:rsidR="0021393F">
              <w:rPr>
                <w:noProof/>
                <w:webHidden/>
              </w:rPr>
              <w:fldChar w:fldCharType="separate"/>
            </w:r>
            <w:r w:rsidR="0021393F">
              <w:rPr>
                <w:noProof/>
                <w:webHidden/>
              </w:rPr>
              <w:t>20</w:t>
            </w:r>
            <w:r w:rsidR="0021393F">
              <w:rPr>
                <w:noProof/>
                <w:webHidden/>
              </w:rPr>
              <w:fldChar w:fldCharType="end"/>
            </w:r>
          </w:hyperlink>
        </w:p>
        <w:p w14:paraId="3CA4BAF0" w14:textId="4249CABE" w:rsidR="0021393F" w:rsidRDefault="00A9390D">
          <w:pPr>
            <w:pStyle w:val="TOC1"/>
            <w:rPr>
              <w:rFonts w:asciiTheme="minorHAnsi" w:eastAsiaTheme="minorEastAsia" w:hAnsiTheme="minorHAnsi" w:cstheme="minorBidi"/>
              <w:b w:val="0"/>
              <w:noProof/>
              <w:sz w:val="22"/>
              <w:szCs w:val="22"/>
              <w:lang w:eastAsia="en-AU"/>
            </w:rPr>
          </w:pPr>
          <w:hyperlink w:anchor="_Toc42783633" w:history="1">
            <w:r w:rsidR="0021393F" w:rsidRPr="007416FA">
              <w:rPr>
                <w:rStyle w:val="Hyperlink"/>
                <w:noProof/>
              </w:rPr>
              <w:t>Part 2</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Arrangements between the Commonwealth and the PSA</w:t>
            </w:r>
            <w:r w:rsidR="0021393F">
              <w:rPr>
                <w:noProof/>
                <w:webHidden/>
              </w:rPr>
              <w:tab/>
            </w:r>
            <w:r w:rsidR="0021393F">
              <w:rPr>
                <w:noProof/>
                <w:webHidden/>
              </w:rPr>
              <w:fldChar w:fldCharType="begin"/>
            </w:r>
            <w:r w:rsidR="0021393F">
              <w:rPr>
                <w:noProof/>
                <w:webHidden/>
              </w:rPr>
              <w:instrText xml:space="preserve"> PAGEREF _Toc42783633 \h </w:instrText>
            </w:r>
            <w:r w:rsidR="0021393F">
              <w:rPr>
                <w:noProof/>
                <w:webHidden/>
              </w:rPr>
            </w:r>
            <w:r w:rsidR="0021393F">
              <w:rPr>
                <w:noProof/>
                <w:webHidden/>
              </w:rPr>
              <w:fldChar w:fldCharType="separate"/>
            </w:r>
            <w:r w:rsidR="0021393F">
              <w:rPr>
                <w:noProof/>
                <w:webHidden/>
              </w:rPr>
              <w:t>21</w:t>
            </w:r>
            <w:r w:rsidR="0021393F">
              <w:rPr>
                <w:noProof/>
                <w:webHidden/>
              </w:rPr>
              <w:fldChar w:fldCharType="end"/>
            </w:r>
          </w:hyperlink>
        </w:p>
        <w:p w14:paraId="16A45697" w14:textId="514184E5" w:rsidR="0021393F" w:rsidRDefault="00A9390D">
          <w:pPr>
            <w:pStyle w:val="TOC1"/>
            <w:rPr>
              <w:rFonts w:asciiTheme="minorHAnsi" w:eastAsiaTheme="minorEastAsia" w:hAnsiTheme="minorHAnsi" w:cstheme="minorBidi"/>
              <w:b w:val="0"/>
              <w:noProof/>
              <w:sz w:val="22"/>
              <w:szCs w:val="22"/>
              <w:lang w:eastAsia="en-AU"/>
            </w:rPr>
          </w:pPr>
          <w:hyperlink w:anchor="_Toc42783634" w:history="1">
            <w:r w:rsidR="0021393F" w:rsidRPr="007416FA">
              <w:rPr>
                <w:rStyle w:val="Hyperlink"/>
                <w:noProof/>
              </w:rPr>
              <w:t>Signing page for Part 2</w:t>
            </w:r>
            <w:r w:rsidR="0021393F">
              <w:rPr>
                <w:noProof/>
                <w:webHidden/>
              </w:rPr>
              <w:tab/>
            </w:r>
            <w:r w:rsidR="0021393F">
              <w:rPr>
                <w:noProof/>
                <w:webHidden/>
              </w:rPr>
              <w:fldChar w:fldCharType="begin"/>
            </w:r>
            <w:r w:rsidR="0021393F">
              <w:rPr>
                <w:noProof/>
                <w:webHidden/>
              </w:rPr>
              <w:instrText xml:space="preserve"> PAGEREF _Toc42783634 \h </w:instrText>
            </w:r>
            <w:r w:rsidR="0021393F">
              <w:rPr>
                <w:noProof/>
                <w:webHidden/>
              </w:rPr>
            </w:r>
            <w:r w:rsidR="0021393F">
              <w:rPr>
                <w:noProof/>
                <w:webHidden/>
              </w:rPr>
              <w:fldChar w:fldCharType="separate"/>
            </w:r>
            <w:r w:rsidR="0021393F">
              <w:rPr>
                <w:noProof/>
                <w:webHidden/>
              </w:rPr>
              <w:t>22</w:t>
            </w:r>
            <w:r w:rsidR="0021393F">
              <w:rPr>
                <w:noProof/>
                <w:webHidden/>
              </w:rPr>
              <w:fldChar w:fldCharType="end"/>
            </w:r>
          </w:hyperlink>
        </w:p>
        <w:p w14:paraId="399AAAAF" w14:textId="5367FCA2" w:rsidR="0021393F" w:rsidRDefault="00A9390D">
          <w:pPr>
            <w:pStyle w:val="TOC1"/>
            <w:rPr>
              <w:rFonts w:asciiTheme="minorHAnsi" w:eastAsiaTheme="minorEastAsia" w:hAnsiTheme="minorHAnsi" w:cstheme="minorBidi"/>
              <w:b w:val="0"/>
              <w:noProof/>
              <w:sz w:val="22"/>
              <w:szCs w:val="22"/>
              <w:lang w:eastAsia="en-AU"/>
            </w:rPr>
          </w:pPr>
          <w:hyperlink w:anchor="_Toc42783635" w:history="1">
            <w:r w:rsidR="0021393F" w:rsidRPr="007416FA">
              <w:rPr>
                <w:rStyle w:val="Hyperlink"/>
                <w:noProof/>
              </w:rPr>
              <w:t>14.</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Professional practice of pharmacists in Australia</w:t>
            </w:r>
            <w:r w:rsidR="0021393F">
              <w:rPr>
                <w:noProof/>
                <w:webHidden/>
              </w:rPr>
              <w:tab/>
            </w:r>
            <w:r w:rsidR="0021393F">
              <w:rPr>
                <w:noProof/>
                <w:webHidden/>
              </w:rPr>
              <w:fldChar w:fldCharType="begin"/>
            </w:r>
            <w:r w:rsidR="0021393F">
              <w:rPr>
                <w:noProof/>
                <w:webHidden/>
              </w:rPr>
              <w:instrText xml:space="preserve"> PAGEREF _Toc42783635 \h </w:instrText>
            </w:r>
            <w:r w:rsidR="0021393F">
              <w:rPr>
                <w:noProof/>
                <w:webHidden/>
              </w:rPr>
            </w:r>
            <w:r w:rsidR="0021393F">
              <w:rPr>
                <w:noProof/>
                <w:webHidden/>
              </w:rPr>
              <w:fldChar w:fldCharType="separate"/>
            </w:r>
            <w:r w:rsidR="0021393F">
              <w:rPr>
                <w:noProof/>
                <w:webHidden/>
              </w:rPr>
              <w:t>23</w:t>
            </w:r>
            <w:r w:rsidR="0021393F">
              <w:rPr>
                <w:noProof/>
                <w:webHidden/>
              </w:rPr>
              <w:fldChar w:fldCharType="end"/>
            </w:r>
          </w:hyperlink>
        </w:p>
        <w:p w14:paraId="7D92CE84" w14:textId="23844E98"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36" w:history="1">
            <w:r w:rsidR="0021393F" w:rsidRPr="007416FA">
              <w:rPr>
                <w:rStyle w:val="Hyperlink"/>
                <w:rFonts w:cstheme="minorHAnsi"/>
                <w:noProof/>
              </w:rPr>
              <w:t>14.1</w:t>
            </w:r>
            <w:r w:rsidR="0021393F">
              <w:rPr>
                <w:rFonts w:asciiTheme="minorHAnsi" w:eastAsiaTheme="minorEastAsia" w:hAnsiTheme="minorHAnsi" w:cstheme="minorBidi"/>
                <w:noProof/>
                <w:sz w:val="22"/>
                <w:szCs w:val="22"/>
                <w:lang w:eastAsia="en-AU"/>
              </w:rPr>
              <w:tab/>
            </w:r>
            <w:r w:rsidR="0021393F" w:rsidRPr="007416FA">
              <w:rPr>
                <w:rStyle w:val="Hyperlink"/>
                <w:rFonts w:cstheme="minorHAnsi"/>
                <w:noProof/>
              </w:rPr>
              <w:t>Role of PSA</w:t>
            </w:r>
            <w:r w:rsidR="0021393F">
              <w:rPr>
                <w:noProof/>
                <w:webHidden/>
              </w:rPr>
              <w:tab/>
            </w:r>
            <w:r w:rsidR="0021393F">
              <w:rPr>
                <w:noProof/>
                <w:webHidden/>
              </w:rPr>
              <w:fldChar w:fldCharType="begin"/>
            </w:r>
            <w:r w:rsidR="0021393F">
              <w:rPr>
                <w:noProof/>
                <w:webHidden/>
              </w:rPr>
              <w:instrText xml:space="preserve"> PAGEREF _Toc42783636 \h </w:instrText>
            </w:r>
            <w:r w:rsidR="0021393F">
              <w:rPr>
                <w:noProof/>
                <w:webHidden/>
              </w:rPr>
            </w:r>
            <w:r w:rsidR="0021393F">
              <w:rPr>
                <w:noProof/>
                <w:webHidden/>
              </w:rPr>
              <w:fldChar w:fldCharType="separate"/>
            </w:r>
            <w:r w:rsidR="0021393F">
              <w:rPr>
                <w:noProof/>
                <w:webHidden/>
              </w:rPr>
              <w:t>23</w:t>
            </w:r>
            <w:r w:rsidR="0021393F">
              <w:rPr>
                <w:noProof/>
                <w:webHidden/>
              </w:rPr>
              <w:fldChar w:fldCharType="end"/>
            </w:r>
          </w:hyperlink>
        </w:p>
        <w:p w14:paraId="0409A115" w14:textId="460D1A4C"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37" w:history="1">
            <w:r w:rsidR="0021393F" w:rsidRPr="007416FA">
              <w:rPr>
                <w:rStyle w:val="Hyperlink"/>
                <w:rFonts w:cstheme="minorHAnsi"/>
                <w:noProof/>
              </w:rPr>
              <w:t>14.2</w:t>
            </w:r>
            <w:r w:rsidR="0021393F">
              <w:rPr>
                <w:rFonts w:asciiTheme="minorHAnsi" w:eastAsiaTheme="minorEastAsia" w:hAnsiTheme="minorHAnsi" w:cstheme="minorBidi"/>
                <w:noProof/>
                <w:sz w:val="22"/>
                <w:szCs w:val="22"/>
                <w:lang w:eastAsia="en-AU"/>
              </w:rPr>
              <w:tab/>
            </w:r>
            <w:r w:rsidR="0021393F" w:rsidRPr="007416FA">
              <w:rPr>
                <w:rStyle w:val="Hyperlink"/>
                <w:rFonts w:cstheme="minorHAnsi"/>
                <w:noProof/>
              </w:rPr>
              <w:t>Code of Ethics</w:t>
            </w:r>
            <w:r w:rsidR="0021393F">
              <w:rPr>
                <w:noProof/>
                <w:webHidden/>
              </w:rPr>
              <w:tab/>
            </w:r>
            <w:r w:rsidR="0021393F">
              <w:rPr>
                <w:noProof/>
                <w:webHidden/>
              </w:rPr>
              <w:fldChar w:fldCharType="begin"/>
            </w:r>
            <w:r w:rsidR="0021393F">
              <w:rPr>
                <w:noProof/>
                <w:webHidden/>
              </w:rPr>
              <w:instrText xml:space="preserve"> PAGEREF _Toc42783637 \h </w:instrText>
            </w:r>
            <w:r w:rsidR="0021393F">
              <w:rPr>
                <w:noProof/>
                <w:webHidden/>
              </w:rPr>
            </w:r>
            <w:r w:rsidR="0021393F">
              <w:rPr>
                <w:noProof/>
                <w:webHidden/>
              </w:rPr>
              <w:fldChar w:fldCharType="separate"/>
            </w:r>
            <w:r w:rsidR="0021393F">
              <w:rPr>
                <w:noProof/>
                <w:webHidden/>
              </w:rPr>
              <w:t>23</w:t>
            </w:r>
            <w:r w:rsidR="0021393F">
              <w:rPr>
                <w:noProof/>
                <w:webHidden/>
              </w:rPr>
              <w:fldChar w:fldCharType="end"/>
            </w:r>
          </w:hyperlink>
        </w:p>
        <w:p w14:paraId="00755150" w14:textId="2FBA76C3"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38" w:history="1">
            <w:r w:rsidR="0021393F" w:rsidRPr="007416FA">
              <w:rPr>
                <w:rStyle w:val="Hyperlink"/>
                <w:rFonts w:cstheme="minorHAnsi"/>
                <w:noProof/>
              </w:rPr>
              <w:t>14.3</w:t>
            </w:r>
            <w:r w:rsidR="0021393F">
              <w:rPr>
                <w:rFonts w:asciiTheme="minorHAnsi" w:eastAsiaTheme="minorEastAsia" w:hAnsiTheme="minorHAnsi" w:cstheme="minorBidi"/>
                <w:noProof/>
                <w:sz w:val="22"/>
                <w:szCs w:val="22"/>
                <w:lang w:eastAsia="en-AU"/>
              </w:rPr>
              <w:tab/>
            </w:r>
            <w:r w:rsidR="0021393F" w:rsidRPr="007416FA">
              <w:rPr>
                <w:rStyle w:val="Hyperlink"/>
                <w:rFonts w:cstheme="minorHAnsi"/>
                <w:noProof/>
              </w:rPr>
              <w:t>Assistance in the design, implementation and evaluation of Community Pharmacy Programs</w:t>
            </w:r>
            <w:r w:rsidR="0021393F">
              <w:rPr>
                <w:noProof/>
                <w:webHidden/>
              </w:rPr>
              <w:tab/>
            </w:r>
            <w:r w:rsidR="0021393F">
              <w:rPr>
                <w:noProof/>
                <w:webHidden/>
              </w:rPr>
              <w:fldChar w:fldCharType="begin"/>
            </w:r>
            <w:r w:rsidR="0021393F">
              <w:rPr>
                <w:noProof/>
                <w:webHidden/>
              </w:rPr>
              <w:instrText xml:space="preserve"> PAGEREF _Toc42783638 \h </w:instrText>
            </w:r>
            <w:r w:rsidR="0021393F">
              <w:rPr>
                <w:noProof/>
                <w:webHidden/>
              </w:rPr>
            </w:r>
            <w:r w:rsidR="0021393F">
              <w:rPr>
                <w:noProof/>
                <w:webHidden/>
              </w:rPr>
              <w:fldChar w:fldCharType="separate"/>
            </w:r>
            <w:r w:rsidR="0021393F">
              <w:rPr>
                <w:noProof/>
                <w:webHidden/>
              </w:rPr>
              <w:t>23</w:t>
            </w:r>
            <w:r w:rsidR="0021393F">
              <w:rPr>
                <w:noProof/>
                <w:webHidden/>
              </w:rPr>
              <w:fldChar w:fldCharType="end"/>
            </w:r>
          </w:hyperlink>
        </w:p>
        <w:p w14:paraId="2FBD23C2" w14:textId="549D5361"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39" w:history="1">
            <w:r w:rsidR="0021393F" w:rsidRPr="007416FA">
              <w:rPr>
                <w:rStyle w:val="Hyperlink"/>
                <w:rFonts w:cstheme="minorHAnsi"/>
                <w:noProof/>
              </w:rPr>
              <w:t>14.4</w:t>
            </w:r>
            <w:r w:rsidR="0021393F">
              <w:rPr>
                <w:rFonts w:asciiTheme="minorHAnsi" w:eastAsiaTheme="minorEastAsia" w:hAnsiTheme="minorHAnsi" w:cstheme="minorBidi"/>
                <w:noProof/>
                <w:sz w:val="22"/>
                <w:szCs w:val="22"/>
                <w:lang w:eastAsia="en-AU"/>
              </w:rPr>
              <w:tab/>
            </w:r>
            <w:r w:rsidR="0021393F" w:rsidRPr="007416FA">
              <w:rPr>
                <w:rStyle w:val="Hyperlink"/>
                <w:rFonts w:cstheme="minorHAnsi"/>
                <w:noProof/>
              </w:rPr>
              <w:t>Professional pharmacy standards</w:t>
            </w:r>
            <w:r w:rsidR="0021393F">
              <w:rPr>
                <w:noProof/>
                <w:webHidden/>
              </w:rPr>
              <w:tab/>
            </w:r>
            <w:r w:rsidR="0021393F">
              <w:rPr>
                <w:noProof/>
                <w:webHidden/>
              </w:rPr>
              <w:fldChar w:fldCharType="begin"/>
            </w:r>
            <w:r w:rsidR="0021393F">
              <w:rPr>
                <w:noProof/>
                <w:webHidden/>
              </w:rPr>
              <w:instrText xml:space="preserve"> PAGEREF _Toc42783639 \h </w:instrText>
            </w:r>
            <w:r w:rsidR="0021393F">
              <w:rPr>
                <w:noProof/>
                <w:webHidden/>
              </w:rPr>
            </w:r>
            <w:r w:rsidR="0021393F">
              <w:rPr>
                <w:noProof/>
                <w:webHidden/>
              </w:rPr>
              <w:fldChar w:fldCharType="separate"/>
            </w:r>
            <w:r w:rsidR="0021393F">
              <w:rPr>
                <w:noProof/>
                <w:webHidden/>
              </w:rPr>
              <w:t>23</w:t>
            </w:r>
            <w:r w:rsidR="0021393F">
              <w:rPr>
                <w:noProof/>
                <w:webHidden/>
              </w:rPr>
              <w:fldChar w:fldCharType="end"/>
            </w:r>
          </w:hyperlink>
        </w:p>
        <w:p w14:paraId="06119E13" w14:textId="153EA35C"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40" w:history="1">
            <w:r w:rsidR="0021393F" w:rsidRPr="007416FA">
              <w:rPr>
                <w:rStyle w:val="Hyperlink"/>
                <w:rFonts w:cstheme="minorHAnsi"/>
                <w:noProof/>
              </w:rPr>
              <w:t>14.5</w:t>
            </w:r>
            <w:r w:rsidR="0021393F">
              <w:rPr>
                <w:rFonts w:asciiTheme="minorHAnsi" w:eastAsiaTheme="minorEastAsia" w:hAnsiTheme="minorHAnsi" w:cstheme="minorBidi"/>
                <w:noProof/>
                <w:sz w:val="22"/>
                <w:szCs w:val="22"/>
                <w:lang w:eastAsia="en-AU"/>
              </w:rPr>
              <w:tab/>
            </w:r>
            <w:r w:rsidR="0021393F" w:rsidRPr="007416FA">
              <w:rPr>
                <w:rStyle w:val="Hyperlink"/>
                <w:rFonts w:cstheme="minorHAnsi"/>
                <w:noProof/>
              </w:rPr>
              <w:t>Commonwealth support of professional pharmacy</w:t>
            </w:r>
            <w:r w:rsidR="0021393F">
              <w:rPr>
                <w:noProof/>
                <w:webHidden/>
              </w:rPr>
              <w:tab/>
            </w:r>
            <w:r w:rsidR="0021393F">
              <w:rPr>
                <w:noProof/>
                <w:webHidden/>
              </w:rPr>
              <w:fldChar w:fldCharType="begin"/>
            </w:r>
            <w:r w:rsidR="0021393F">
              <w:rPr>
                <w:noProof/>
                <w:webHidden/>
              </w:rPr>
              <w:instrText xml:space="preserve"> PAGEREF _Toc42783640 \h </w:instrText>
            </w:r>
            <w:r w:rsidR="0021393F">
              <w:rPr>
                <w:noProof/>
                <w:webHidden/>
              </w:rPr>
            </w:r>
            <w:r w:rsidR="0021393F">
              <w:rPr>
                <w:noProof/>
                <w:webHidden/>
              </w:rPr>
              <w:fldChar w:fldCharType="separate"/>
            </w:r>
            <w:r w:rsidR="0021393F">
              <w:rPr>
                <w:noProof/>
                <w:webHidden/>
              </w:rPr>
              <w:t>23</w:t>
            </w:r>
            <w:r w:rsidR="0021393F">
              <w:rPr>
                <w:noProof/>
                <w:webHidden/>
              </w:rPr>
              <w:fldChar w:fldCharType="end"/>
            </w:r>
          </w:hyperlink>
        </w:p>
        <w:p w14:paraId="6CEA00A6" w14:textId="772BB4FD"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41" w:history="1">
            <w:r w:rsidR="0021393F" w:rsidRPr="007416FA">
              <w:rPr>
                <w:rStyle w:val="Hyperlink"/>
                <w:rFonts w:cstheme="minorHAnsi"/>
                <w:noProof/>
              </w:rPr>
              <w:t>14.6</w:t>
            </w:r>
            <w:r w:rsidR="0021393F">
              <w:rPr>
                <w:rFonts w:asciiTheme="minorHAnsi" w:eastAsiaTheme="minorEastAsia" w:hAnsiTheme="minorHAnsi" w:cstheme="minorBidi"/>
                <w:noProof/>
                <w:sz w:val="22"/>
                <w:szCs w:val="22"/>
                <w:lang w:eastAsia="en-AU"/>
              </w:rPr>
              <w:tab/>
            </w:r>
            <w:r w:rsidR="0021393F" w:rsidRPr="007416FA">
              <w:rPr>
                <w:rStyle w:val="Hyperlink"/>
                <w:rFonts w:cstheme="minorHAnsi"/>
                <w:noProof/>
              </w:rPr>
              <w:t>Professional Practice Standards and guidelines</w:t>
            </w:r>
            <w:r w:rsidR="0021393F">
              <w:rPr>
                <w:noProof/>
                <w:webHidden/>
              </w:rPr>
              <w:tab/>
            </w:r>
            <w:r w:rsidR="0021393F">
              <w:rPr>
                <w:noProof/>
                <w:webHidden/>
              </w:rPr>
              <w:fldChar w:fldCharType="begin"/>
            </w:r>
            <w:r w:rsidR="0021393F">
              <w:rPr>
                <w:noProof/>
                <w:webHidden/>
              </w:rPr>
              <w:instrText xml:space="preserve"> PAGEREF _Toc42783641 \h </w:instrText>
            </w:r>
            <w:r w:rsidR="0021393F">
              <w:rPr>
                <w:noProof/>
                <w:webHidden/>
              </w:rPr>
            </w:r>
            <w:r w:rsidR="0021393F">
              <w:rPr>
                <w:noProof/>
                <w:webHidden/>
              </w:rPr>
              <w:fldChar w:fldCharType="separate"/>
            </w:r>
            <w:r w:rsidR="0021393F">
              <w:rPr>
                <w:noProof/>
                <w:webHidden/>
              </w:rPr>
              <w:t>23</w:t>
            </w:r>
            <w:r w:rsidR="0021393F">
              <w:rPr>
                <w:noProof/>
                <w:webHidden/>
              </w:rPr>
              <w:fldChar w:fldCharType="end"/>
            </w:r>
          </w:hyperlink>
        </w:p>
        <w:p w14:paraId="6827DC45" w14:textId="7AD4CEC3" w:rsidR="0021393F" w:rsidRDefault="00A9390D">
          <w:pPr>
            <w:pStyle w:val="TOC1"/>
            <w:rPr>
              <w:rFonts w:asciiTheme="minorHAnsi" w:eastAsiaTheme="minorEastAsia" w:hAnsiTheme="minorHAnsi" w:cstheme="minorBidi"/>
              <w:b w:val="0"/>
              <w:noProof/>
              <w:sz w:val="22"/>
              <w:szCs w:val="22"/>
              <w:lang w:eastAsia="en-AU"/>
            </w:rPr>
          </w:pPr>
          <w:hyperlink w:anchor="_Toc42783642" w:history="1">
            <w:r w:rsidR="0021393F" w:rsidRPr="007416FA">
              <w:rPr>
                <w:rStyle w:val="Hyperlink"/>
                <w:noProof/>
              </w:rPr>
              <w:t>Part 3</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Arrangements between the Commonwealth, the Guild and the PSA</w:t>
            </w:r>
            <w:r w:rsidR="0021393F">
              <w:rPr>
                <w:noProof/>
                <w:webHidden/>
              </w:rPr>
              <w:tab/>
            </w:r>
            <w:r w:rsidR="0021393F">
              <w:rPr>
                <w:noProof/>
                <w:webHidden/>
              </w:rPr>
              <w:fldChar w:fldCharType="begin"/>
            </w:r>
            <w:r w:rsidR="0021393F">
              <w:rPr>
                <w:noProof/>
                <w:webHidden/>
              </w:rPr>
              <w:instrText xml:space="preserve"> PAGEREF _Toc42783642 \h </w:instrText>
            </w:r>
            <w:r w:rsidR="0021393F">
              <w:rPr>
                <w:noProof/>
                <w:webHidden/>
              </w:rPr>
            </w:r>
            <w:r w:rsidR="0021393F">
              <w:rPr>
                <w:noProof/>
                <w:webHidden/>
              </w:rPr>
              <w:fldChar w:fldCharType="separate"/>
            </w:r>
            <w:r w:rsidR="0021393F">
              <w:rPr>
                <w:noProof/>
                <w:webHidden/>
              </w:rPr>
              <w:t>24</w:t>
            </w:r>
            <w:r w:rsidR="0021393F">
              <w:rPr>
                <w:noProof/>
                <w:webHidden/>
              </w:rPr>
              <w:fldChar w:fldCharType="end"/>
            </w:r>
          </w:hyperlink>
        </w:p>
        <w:p w14:paraId="5C3A4451" w14:textId="6C182F4C" w:rsidR="0021393F" w:rsidRDefault="00A9390D">
          <w:pPr>
            <w:pStyle w:val="TOC1"/>
            <w:rPr>
              <w:rFonts w:asciiTheme="minorHAnsi" w:eastAsiaTheme="minorEastAsia" w:hAnsiTheme="minorHAnsi" w:cstheme="minorBidi"/>
              <w:b w:val="0"/>
              <w:noProof/>
              <w:sz w:val="22"/>
              <w:szCs w:val="22"/>
              <w:lang w:eastAsia="en-AU"/>
            </w:rPr>
          </w:pPr>
          <w:hyperlink w:anchor="_Toc42783643" w:history="1">
            <w:r w:rsidR="0021393F" w:rsidRPr="007416FA">
              <w:rPr>
                <w:rStyle w:val="Hyperlink"/>
                <w:noProof/>
              </w:rPr>
              <w:t>Signing page for Part 3</w:t>
            </w:r>
            <w:r w:rsidR="0021393F">
              <w:rPr>
                <w:noProof/>
                <w:webHidden/>
              </w:rPr>
              <w:tab/>
            </w:r>
            <w:r w:rsidR="0021393F">
              <w:rPr>
                <w:noProof/>
                <w:webHidden/>
              </w:rPr>
              <w:fldChar w:fldCharType="begin"/>
            </w:r>
            <w:r w:rsidR="0021393F">
              <w:rPr>
                <w:noProof/>
                <w:webHidden/>
              </w:rPr>
              <w:instrText xml:space="preserve"> PAGEREF _Toc42783643 \h </w:instrText>
            </w:r>
            <w:r w:rsidR="0021393F">
              <w:rPr>
                <w:noProof/>
                <w:webHidden/>
              </w:rPr>
            </w:r>
            <w:r w:rsidR="0021393F">
              <w:rPr>
                <w:noProof/>
                <w:webHidden/>
              </w:rPr>
              <w:fldChar w:fldCharType="separate"/>
            </w:r>
            <w:r w:rsidR="0021393F">
              <w:rPr>
                <w:noProof/>
                <w:webHidden/>
              </w:rPr>
              <w:t>25</w:t>
            </w:r>
            <w:r w:rsidR="0021393F">
              <w:rPr>
                <w:noProof/>
                <w:webHidden/>
              </w:rPr>
              <w:fldChar w:fldCharType="end"/>
            </w:r>
          </w:hyperlink>
        </w:p>
        <w:p w14:paraId="425BBDEE" w14:textId="7C3876CD" w:rsidR="0021393F" w:rsidRDefault="00A9390D">
          <w:pPr>
            <w:pStyle w:val="TOC1"/>
            <w:rPr>
              <w:rFonts w:asciiTheme="minorHAnsi" w:eastAsiaTheme="minorEastAsia" w:hAnsiTheme="minorHAnsi" w:cstheme="minorBidi"/>
              <w:b w:val="0"/>
              <w:noProof/>
              <w:sz w:val="22"/>
              <w:szCs w:val="22"/>
              <w:lang w:eastAsia="en-AU"/>
            </w:rPr>
          </w:pPr>
          <w:hyperlink w:anchor="_Toc42783644" w:history="1">
            <w:r w:rsidR="0021393F" w:rsidRPr="007416FA">
              <w:rPr>
                <w:rStyle w:val="Hyperlink"/>
                <w:noProof/>
              </w:rPr>
              <w:t>15.</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Consumer medicines information</w:t>
            </w:r>
            <w:r w:rsidR="0021393F">
              <w:rPr>
                <w:noProof/>
                <w:webHidden/>
              </w:rPr>
              <w:tab/>
            </w:r>
            <w:r w:rsidR="0021393F">
              <w:rPr>
                <w:noProof/>
                <w:webHidden/>
              </w:rPr>
              <w:fldChar w:fldCharType="begin"/>
            </w:r>
            <w:r w:rsidR="0021393F">
              <w:rPr>
                <w:noProof/>
                <w:webHidden/>
              </w:rPr>
              <w:instrText xml:space="preserve"> PAGEREF _Toc42783644 \h </w:instrText>
            </w:r>
            <w:r w:rsidR="0021393F">
              <w:rPr>
                <w:noProof/>
                <w:webHidden/>
              </w:rPr>
            </w:r>
            <w:r w:rsidR="0021393F">
              <w:rPr>
                <w:noProof/>
                <w:webHidden/>
              </w:rPr>
              <w:fldChar w:fldCharType="separate"/>
            </w:r>
            <w:r w:rsidR="0021393F">
              <w:rPr>
                <w:noProof/>
                <w:webHidden/>
              </w:rPr>
              <w:t>26</w:t>
            </w:r>
            <w:r w:rsidR="0021393F">
              <w:rPr>
                <w:noProof/>
                <w:webHidden/>
              </w:rPr>
              <w:fldChar w:fldCharType="end"/>
            </w:r>
          </w:hyperlink>
        </w:p>
        <w:p w14:paraId="54921985" w14:textId="6C77ABE0" w:rsidR="0021393F" w:rsidRDefault="00A9390D">
          <w:pPr>
            <w:pStyle w:val="TOC1"/>
            <w:rPr>
              <w:rFonts w:asciiTheme="minorHAnsi" w:eastAsiaTheme="minorEastAsia" w:hAnsiTheme="minorHAnsi" w:cstheme="minorBidi"/>
              <w:b w:val="0"/>
              <w:noProof/>
              <w:sz w:val="22"/>
              <w:szCs w:val="22"/>
              <w:lang w:eastAsia="en-AU"/>
            </w:rPr>
          </w:pPr>
          <w:hyperlink w:anchor="_Toc42783645" w:history="1">
            <w:r w:rsidR="0021393F" w:rsidRPr="007416FA">
              <w:rPr>
                <w:rStyle w:val="Hyperlink"/>
                <w:noProof/>
              </w:rPr>
              <w:t>16.</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Consultation</w:t>
            </w:r>
            <w:r w:rsidR="0021393F">
              <w:rPr>
                <w:noProof/>
                <w:webHidden/>
              </w:rPr>
              <w:tab/>
            </w:r>
            <w:r w:rsidR="0021393F">
              <w:rPr>
                <w:noProof/>
                <w:webHidden/>
              </w:rPr>
              <w:fldChar w:fldCharType="begin"/>
            </w:r>
            <w:r w:rsidR="0021393F">
              <w:rPr>
                <w:noProof/>
                <w:webHidden/>
              </w:rPr>
              <w:instrText xml:space="preserve"> PAGEREF _Toc42783645 \h </w:instrText>
            </w:r>
            <w:r w:rsidR="0021393F">
              <w:rPr>
                <w:noProof/>
                <w:webHidden/>
              </w:rPr>
            </w:r>
            <w:r w:rsidR="0021393F">
              <w:rPr>
                <w:noProof/>
                <w:webHidden/>
              </w:rPr>
              <w:fldChar w:fldCharType="separate"/>
            </w:r>
            <w:r w:rsidR="0021393F">
              <w:rPr>
                <w:noProof/>
                <w:webHidden/>
              </w:rPr>
              <w:t>26</w:t>
            </w:r>
            <w:r w:rsidR="0021393F">
              <w:rPr>
                <w:noProof/>
                <w:webHidden/>
              </w:rPr>
              <w:fldChar w:fldCharType="end"/>
            </w:r>
          </w:hyperlink>
        </w:p>
        <w:p w14:paraId="03E9D6CA" w14:textId="7257E5DC"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46" w:history="1">
            <w:r w:rsidR="0021393F" w:rsidRPr="007416FA">
              <w:rPr>
                <w:rStyle w:val="Hyperlink"/>
                <w:noProof/>
              </w:rPr>
              <w:t>16.1</w:t>
            </w:r>
            <w:r w:rsidR="0021393F">
              <w:rPr>
                <w:rFonts w:asciiTheme="minorHAnsi" w:eastAsiaTheme="minorEastAsia" w:hAnsiTheme="minorHAnsi" w:cstheme="minorBidi"/>
                <w:noProof/>
                <w:sz w:val="22"/>
                <w:szCs w:val="22"/>
                <w:lang w:eastAsia="en-AU"/>
              </w:rPr>
              <w:tab/>
            </w:r>
            <w:r w:rsidR="0021393F" w:rsidRPr="007416FA">
              <w:rPr>
                <w:rStyle w:val="Hyperlink"/>
                <w:noProof/>
              </w:rPr>
              <w:t>Community Pharmacy Consultation Committee</w:t>
            </w:r>
            <w:r w:rsidR="0021393F">
              <w:rPr>
                <w:noProof/>
                <w:webHidden/>
              </w:rPr>
              <w:tab/>
            </w:r>
            <w:r w:rsidR="0021393F">
              <w:rPr>
                <w:noProof/>
                <w:webHidden/>
              </w:rPr>
              <w:fldChar w:fldCharType="begin"/>
            </w:r>
            <w:r w:rsidR="0021393F">
              <w:rPr>
                <w:noProof/>
                <w:webHidden/>
              </w:rPr>
              <w:instrText xml:space="preserve"> PAGEREF _Toc42783646 \h </w:instrText>
            </w:r>
            <w:r w:rsidR="0021393F">
              <w:rPr>
                <w:noProof/>
                <w:webHidden/>
              </w:rPr>
            </w:r>
            <w:r w:rsidR="0021393F">
              <w:rPr>
                <w:noProof/>
                <w:webHidden/>
              </w:rPr>
              <w:fldChar w:fldCharType="separate"/>
            </w:r>
            <w:r w:rsidR="0021393F">
              <w:rPr>
                <w:noProof/>
                <w:webHidden/>
              </w:rPr>
              <w:t>26</w:t>
            </w:r>
            <w:r w:rsidR="0021393F">
              <w:rPr>
                <w:noProof/>
                <w:webHidden/>
              </w:rPr>
              <w:fldChar w:fldCharType="end"/>
            </w:r>
          </w:hyperlink>
        </w:p>
        <w:p w14:paraId="3CE1C432" w14:textId="2DAED4F5"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47" w:history="1">
            <w:r w:rsidR="0021393F" w:rsidRPr="007416FA">
              <w:rPr>
                <w:rStyle w:val="Hyperlink"/>
                <w:noProof/>
              </w:rPr>
              <w:t>16.2</w:t>
            </w:r>
            <w:r w:rsidR="0021393F">
              <w:rPr>
                <w:rFonts w:asciiTheme="minorHAnsi" w:eastAsiaTheme="minorEastAsia" w:hAnsiTheme="minorHAnsi" w:cstheme="minorBidi"/>
                <w:noProof/>
                <w:sz w:val="22"/>
                <w:szCs w:val="22"/>
                <w:lang w:eastAsia="en-AU"/>
              </w:rPr>
              <w:tab/>
            </w:r>
            <w:r w:rsidR="0021393F" w:rsidRPr="007416FA">
              <w:rPr>
                <w:rStyle w:val="Hyperlink"/>
                <w:noProof/>
              </w:rPr>
              <w:t>Consultation with others</w:t>
            </w:r>
            <w:r w:rsidR="0021393F">
              <w:rPr>
                <w:noProof/>
                <w:webHidden/>
              </w:rPr>
              <w:tab/>
            </w:r>
            <w:r w:rsidR="0021393F">
              <w:rPr>
                <w:noProof/>
                <w:webHidden/>
              </w:rPr>
              <w:fldChar w:fldCharType="begin"/>
            </w:r>
            <w:r w:rsidR="0021393F">
              <w:rPr>
                <w:noProof/>
                <w:webHidden/>
              </w:rPr>
              <w:instrText xml:space="preserve"> PAGEREF _Toc42783647 \h </w:instrText>
            </w:r>
            <w:r w:rsidR="0021393F">
              <w:rPr>
                <w:noProof/>
                <w:webHidden/>
              </w:rPr>
            </w:r>
            <w:r w:rsidR="0021393F">
              <w:rPr>
                <w:noProof/>
                <w:webHidden/>
              </w:rPr>
              <w:fldChar w:fldCharType="separate"/>
            </w:r>
            <w:r w:rsidR="0021393F">
              <w:rPr>
                <w:noProof/>
                <w:webHidden/>
              </w:rPr>
              <w:t>26</w:t>
            </w:r>
            <w:r w:rsidR="0021393F">
              <w:rPr>
                <w:noProof/>
                <w:webHidden/>
              </w:rPr>
              <w:fldChar w:fldCharType="end"/>
            </w:r>
          </w:hyperlink>
        </w:p>
        <w:p w14:paraId="3C309093" w14:textId="514D38B5"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48" w:history="1">
            <w:r w:rsidR="0021393F" w:rsidRPr="007416FA">
              <w:rPr>
                <w:rStyle w:val="Hyperlink"/>
                <w:noProof/>
              </w:rPr>
              <w:t>16.3</w:t>
            </w:r>
            <w:r w:rsidR="0021393F">
              <w:rPr>
                <w:rFonts w:asciiTheme="minorHAnsi" w:eastAsiaTheme="minorEastAsia" w:hAnsiTheme="minorHAnsi" w:cstheme="minorBidi"/>
                <w:noProof/>
                <w:sz w:val="22"/>
                <w:szCs w:val="22"/>
                <w:lang w:eastAsia="en-AU"/>
              </w:rPr>
              <w:tab/>
            </w:r>
            <w:r w:rsidR="0021393F" w:rsidRPr="007416FA">
              <w:rPr>
                <w:rStyle w:val="Hyperlink"/>
                <w:noProof/>
              </w:rPr>
              <w:t>Consultation on policy reforms</w:t>
            </w:r>
            <w:r w:rsidR="0021393F">
              <w:rPr>
                <w:noProof/>
                <w:webHidden/>
              </w:rPr>
              <w:tab/>
            </w:r>
            <w:r w:rsidR="0021393F">
              <w:rPr>
                <w:noProof/>
                <w:webHidden/>
              </w:rPr>
              <w:fldChar w:fldCharType="begin"/>
            </w:r>
            <w:r w:rsidR="0021393F">
              <w:rPr>
                <w:noProof/>
                <w:webHidden/>
              </w:rPr>
              <w:instrText xml:space="preserve"> PAGEREF _Toc42783648 \h </w:instrText>
            </w:r>
            <w:r w:rsidR="0021393F">
              <w:rPr>
                <w:noProof/>
                <w:webHidden/>
              </w:rPr>
            </w:r>
            <w:r w:rsidR="0021393F">
              <w:rPr>
                <w:noProof/>
                <w:webHidden/>
              </w:rPr>
              <w:fldChar w:fldCharType="separate"/>
            </w:r>
            <w:r w:rsidR="0021393F">
              <w:rPr>
                <w:noProof/>
                <w:webHidden/>
              </w:rPr>
              <w:t>27</w:t>
            </w:r>
            <w:r w:rsidR="0021393F">
              <w:rPr>
                <w:noProof/>
                <w:webHidden/>
              </w:rPr>
              <w:fldChar w:fldCharType="end"/>
            </w:r>
          </w:hyperlink>
        </w:p>
        <w:p w14:paraId="2E272C26" w14:textId="0F7CB652"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49" w:history="1">
            <w:r w:rsidR="0021393F" w:rsidRPr="007416FA">
              <w:rPr>
                <w:rStyle w:val="Hyperlink"/>
                <w:noProof/>
              </w:rPr>
              <w:t>16.4</w:t>
            </w:r>
            <w:r w:rsidR="0021393F">
              <w:rPr>
                <w:rFonts w:asciiTheme="minorHAnsi" w:eastAsiaTheme="minorEastAsia" w:hAnsiTheme="minorHAnsi" w:cstheme="minorBidi"/>
                <w:noProof/>
                <w:sz w:val="22"/>
                <w:szCs w:val="22"/>
                <w:lang w:eastAsia="en-AU"/>
              </w:rPr>
              <w:tab/>
            </w:r>
            <w:r w:rsidR="0021393F" w:rsidRPr="007416FA">
              <w:rPr>
                <w:rStyle w:val="Hyperlink"/>
                <w:noProof/>
              </w:rPr>
              <w:t>Consultation generally</w:t>
            </w:r>
            <w:r w:rsidR="0021393F">
              <w:rPr>
                <w:noProof/>
                <w:webHidden/>
              </w:rPr>
              <w:tab/>
            </w:r>
            <w:r w:rsidR="0021393F">
              <w:rPr>
                <w:noProof/>
                <w:webHidden/>
              </w:rPr>
              <w:fldChar w:fldCharType="begin"/>
            </w:r>
            <w:r w:rsidR="0021393F">
              <w:rPr>
                <w:noProof/>
                <w:webHidden/>
              </w:rPr>
              <w:instrText xml:space="preserve"> PAGEREF _Toc42783649 \h </w:instrText>
            </w:r>
            <w:r w:rsidR="0021393F">
              <w:rPr>
                <w:noProof/>
                <w:webHidden/>
              </w:rPr>
            </w:r>
            <w:r w:rsidR="0021393F">
              <w:rPr>
                <w:noProof/>
                <w:webHidden/>
              </w:rPr>
              <w:fldChar w:fldCharType="separate"/>
            </w:r>
            <w:r w:rsidR="0021393F">
              <w:rPr>
                <w:noProof/>
                <w:webHidden/>
              </w:rPr>
              <w:t>27</w:t>
            </w:r>
            <w:r w:rsidR="0021393F">
              <w:rPr>
                <w:noProof/>
                <w:webHidden/>
              </w:rPr>
              <w:fldChar w:fldCharType="end"/>
            </w:r>
          </w:hyperlink>
        </w:p>
        <w:p w14:paraId="2FD571FE" w14:textId="45C239FE" w:rsidR="0021393F" w:rsidRDefault="00A9390D">
          <w:pPr>
            <w:pStyle w:val="TOC1"/>
            <w:rPr>
              <w:rFonts w:asciiTheme="minorHAnsi" w:eastAsiaTheme="minorEastAsia" w:hAnsiTheme="minorHAnsi" w:cstheme="minorBidi"/>
              <w:b w:val="0"/>
              <w:noProof/>
              <w:sz w:val="22"/>
              <w:szCs w:val="22"/>
              <w:lang w:eastAsia="en-AU"/>
            </w:rPr>
          </w:pPr>
          <w:hyperlink w:anchor="_Toc42783650" w:history="1">
            <w:r w:rsidR="0021393F" w:rsidRPr="007416FA">
              <w:rPr>
                <w:rStyle w:val="Hyperlink"/>
                <w:noProof/>
              </w:rPr>
              <w:t>17.</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Issue resolution</w:t>
            </w:r>
            <w:r w:rsidR="0021393F">
              <w:rPr>
                <w:noProof/>
                <w:webHidden/>
              </w:rPr>
              <w:tab/>
            </w:r>
            <w:r w:rsidR="0021393F">
              <w:rPr>
                <w:noProof/>
                <w:webHidden/>
              </w:rPr>
              <w:fldChar w:fldCharType="begin"/>
            </w:r>
            <w:r w:rsidR="0021393F">
              <w:rPr>
                <w:noProof/>
                <w:webHidden/>
              </w:rPr>
              <w:instrText xml:space="preserve"> PAGEREF _Toc42783650 \h </w:instrText>
            </w:r>
            <w:r w:rsidR="0021393F">
              <w:rPr>
                <w:noProof/>
                <w:webHidden/>
              </w:rPr>
            </w:r>
            <w:r w:rsidR="0021393F">
              <w:rPr>
                <w:noProof/>
                <w:webHidden/>
              </w:rPr>
              <w:fldChar w:fldCharType="separate"/>
            </w:r>
            <w:r w:rsidR="0021393F">
              <w:rPr>
                <w:noProof/>
                <w:webHidden/>
              </w:rPr>
              <w:t>28</w:t>
            </w:r>
            <w:r w:rsidR="0021393F">
              <w:rPr>
                <w:noProof/>
                <w:webHidden/>
              </w:rPr>
              <w:fldChar w:fldCharType="end"/>
            </w:r>
          </w:hyperlink>
        </w:p>
        <w:p w14:paraId="2A82DBFD" w14:textId="4C32A3CC" w:rsidR="0021393F" w:rsidRDefault="00A9390D">
          <w:pPr>
            <w:pStyle w:val="TOC1"/>
            <w:rPr>
              <w:rFonts w:asciiTheme="minorHAnsi" w:eastAsiaTheme="minorEastAsia" w:hAnsiTheme="minorHAnsi" w:cstheme="minorBidi"/>
              <w:b w:val="0"/>
              <w:noProof/>
              <w:sz w:val="22"/>
              <w:szCs w:val="22"/>
              <w:lang w:eastAsia="en-AU"/>
            </w:rPr>
          </w:pPr>
          <w:hyperlink w:anchor="_Toc42783651" w:history="1">
            <w:r w:rsidR="0021393F" w:rsidRPr="007416FA">
              <w:rPr>
                <w:rStyle w:val="Hyperlink"/>
                <w:noProof/>
              </w:rPr>
              <w:t>18.</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Assistance with inquiries</w:t>
            </w:r>
            <w:r w:rsidR="0021393F">
              <w:rPr>
                <w:noProof/>
                <w:webHidden/>
              </w:rPr>
              <w:tab/>
            </w:r>
            <w:r w:rsidR="0021393F">
              <w:rPr>
                <w:noProof/>
                <w:webHidden/>
              </w:rPr>
              <w:fldChar w:fldCharType="begin"/>
            </w:r>
            <w:r w:rsidR="0021393F">
              <w:rPr>
                <w:noProof/>
                <w:webHidden/>
              </w:rPr>
              <w:instrText xml:space="preserve"> PAGEREF _Toc42783651 \h </w:instrText>
            </w:r>
            <w:r w:rsidR="0021393F">
              <w:rPr>
                <w:noProof/>
                <w:webHidden/>
              </w:rPr>
            </w:r>
            <w:r w:rsidR="0021393F">
              <w:rPr>
                <w:noProof/>
                <w:webHidden/>
              </w:rPr>
              <w:fldChar w:fldCharType="separate"/>
            </w:r>
            <w:r w:rsidR="0021393F">
              <w:rPr>
                <w:noProof/>
                <w:webHidden/>
              </w:rPr>
              <w:t>29</w:t>
            </w:r>
            <w:r w:rsidR="0021393F">
              <w:rPr>
                <w:noProof/>
                <w:webHidden/>
              </w:rPr>
              <w:fldChar w:fldCharType="end"/>
            </w:r>
          </w:hyperlink>
        </w:p>
        <w:p w14:paraId="793E5405" w14:textId="14CCC2D9" w:rsidR="0021393F" w:rsidRDefault="00A9390D">
          <w:pPr>
            <w:pStyle w:val="TOC1"/>
            <w:rPr>
              <w:rFonts w:asciiTheme="minorHAnsi" w:eastAsiaTheme="minorEastAsia" w:hAnsiTheme="minorHAnsi" w:cstheme="minorBidi"/>
              <w:b w:val="0"/>
              <w:noProof/>
              <w:sz w:val="22"/>
              <w:szCs w:val="22"/>
              <w:lang w:eastAsia="en-AU"/>
            </w:rPr>
          </w:pPr>
          <w:hyperlink w:anchor="_Toc42783652" w:history="1">
            <w:r w:rsidR="0021393F" w:rsidRPr="007416FA">
              <w:rPr>
                <w:rStyle w:val="Hyperlink"/>
                <w:noProof/>
              </w:rPr>
              <w:t>19.</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Other general matters</w:t>
            </w:r>
            <w:r w:rsidR="0021393F">
              <w:rPr>
                <w:noProof/>
                <w:webHidden/>
              </w:rPr>
              <w:tab/>
            </w:r>
            <w:r w:rsidR="0021393F">
              <w:rPr>
                <w:noProof/>
                <w:webHidden/>
              </w:rPr>
              <w:fldChar w:fldCharType="begin"/>
            </w:r>
            <w:r w:rsidR="0021393F">
              <w:rPr>
                <w:noProof/>
                <w:webHidden/>
              </w:rPr>
              <w:instrText xml:space="preserve"> PAGEREF _Toc42783652 \h </w:instrText>
            </w:r>
            <w:r w:rsidR="0021393F">
              <w:rPr>
                <w:noProof/>
                <w:webHidden/>
              </w:rPr>
            </w:r>
            <w:r w:rsidR="0021393F">
              <w:rPr>
                <w:noProof/>
                <w:webHidden/>
              </w:rPr>
              <w:fldChar w:fldCharType="separate"/>
            </w:r>
            <w:r w:rsidR="0021393F">
              <w:rPr>
                <w:noProof/>
                <w:webHidden/>
              </w:rPr>
              <w:t>29</w:t>
            </w:r>
            <w:r w:rsidR="0021393F">
              <w:rPr>
                <w:noProof/>
                <w:webHidden/>
              </w:rPr>
              <w:fldChar w:fldCharType="end"/>
            </w:r>
          </w:hyperlink>
        </w:p>
        <w:p w14:paraId="672A3F39" w14:textId="22F12059"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53" w:history="1">
            <w:r w:rsidR="0021393F" w:rsidRPr="007416FA">
              <w:rPr>
                <w:rStyle w:val="Hyperlink"/>
                <w:noProof/>
              </w:rPr>
              <w:t>19.1</w:t>
            </w:r>
            <w:r w:rsidR="0021393F">
              <w:rPr>
                <w:rFonts w:asciiTheme="minorHAnsi" w:eastAsiaTheme="minorEastAsia" w:hAnsiTheme="minorHAnsi" w:cstheme="minorBidi"/>
                <w:noProof/>
                <w:sz w:val="22"/>
                <w:szCs w:val="22"/>
                <w:lang w:eastAsia="en-AU"/>
              </w:rPr>
              <w:tab/>
            </w:r>
            <w:r w:rsidR="0021393F" w:rsidRPr="007416FA">
              <w:rPr>
                <w:rStyle w:val="Hyperlink"/>
                <w:noProof/>
              </w:rPr>
              <w:t>Term and commencement</w:t>
            </w:r>
            <w:r w:rsidR="0021393F">
              <w:rPr>
                <w:noProof/>
                <w:webHidden/>
              </w:rPr>
              <w:tab/>
            </w:r>
            <w:r w:rsidR="0021393F">
              <w:rPr>
                <w:noProof/>
                <w:webHidden/>
              </w:rPr>
              <w:fldChar w:fldCharType="begin"/>
            </w:r>
            <w:r w:rsidR="0021393F">
              <w:rPr>
                <w:noProof/>
                <w:webHidden/>
              </w:rPr>
              <w:instrText xml:space="preserve"> PAGEREF _Toc42783653 \h </w:instrText>
            </w:r>
            <w:r w:rsidR="0021393F">
              <w:rPr>
                <w:noProof/>
                <w:webHidden/>
              </w:rPr>
            </w:r>
            <w:r w:rsidR="0021393F">
              <w:rPr>
                <w:noProof/>
                <w:webHidden/>
              </w:rPr>
              <w:fldChar w:fldCharType="separate"/>
            </w:r>
            <w:r w:rsidR="0021393F">
              <w:rPr>
                <w:noProof/>
                <w:webHidden/>
              </w:rPr>
              <w:t>29</w:t>
            </w:r>
            <w:r w:rsidR="0021393F">
              <w:rPr>
                <w:noProof/>
                <w:webHidden/>
              </w:rPr>
              <w:fldChar w:fldCharType="end"/>
            </w:r>
          </w:hyperlink>
        </w:p>
        <w:p w14:paraId="5AC84DD7" w14:textId="3C7E158C"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54" w:history="1">
            <w:r w:rsidR="0021393F" w:rsidRPr="007416FA">
              <w:rPr>
                <w:rStyle w:val="Hyperlink"/>
                <w:noProof/>
              </w:rPr>
              <w:t>19.2</w:t>
            </w:r>
            <w:r w:rsidR="0021393F">
              <w:rPr>
                <w:rFonts w:asciiTheme="minorHAnsi" w:eastAsiaTheme="minorEastAsia" w:hAnsiTheme="minorHAnsi" w:cstheme="minorBidi"/>
                <w:noProof/>
                <w:sz w:val="22"/>
                <w:szCs w:val="22"/>
                <w:lang w:eastAsia="en-AU"/>
              </w:rPr>
              <w:tab/>
            </w:r>
            <w:r w:rsidR="0021393F" w:rsidRPr="007416FA">
              <w:rPr>
                <w:rStyle w:val="Hyperlink"/>
                <w:noProof/>
              </w:rPr>
              <w:t>Variation</w:t>
            </w:r>
            <w:r w:rsidR="0021393F">
              <w:rPr>
                <w:noProof/>
                <w:webHidden/>
              </w:rPr>
              <w:tab/>
            </w:r>
            <w:r w:rsidR="0021393F">
              <w:rPr>
                <w:noProof/>
                <w:webHidden/>
              </w:rPr>
              <w:fldChar w:fldCharType="begin"/>
            </w:r>
            <w:r w:rsidR="0021393F">
              <w:rPr>
                <w:noProof/>
                <w:webHidden/>
              </w:rPr>
              <w:instrText xml:space="preserve"> PAGEREF _Toc42783654 \h </w:instrText>
            </w:r>
            <w:r w:rsidR="0021393F">
              <w:rPr>
                <w:noProof/>
                <w:webHidden/>
              </w:rPr>
            </w:r>
            <w:r w:rsidR="0021393F">
              <w:rPr>
                <w:noProof/>
                <w:webHidden/>
              </w:rPr>
              <w:fldChar w:fldCharType="separate"/>
            </w:r>
            <w:r w:rsidR="0021393F">
              <w:rPr>
                <w:noProof/>
                <w:webHidden/>
              </w:rPr>
              <w:t>29</w:t>
            </w:r>
            <w:r w:rsidR="0021393F">
              <w:rPr>
                <w:noProof/>
                <w:webHidden/>
              </w:rPr>
              <w:fldChar w:fldCharType="end"/>
            </w:r>
          </w:hyperlink>
        </w:p>
        <w:p w14:paraId="515F0CAB" w14:textId="1B6E4177"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55" w:history="1">
            <w:r w:rsidR="0021393F" w:rsidRPr="007416FA">
              <w:rPr>
                <w:rStyle w:val="Hyperlink"/>
                <w:noProof/>
              </w:rPr>
              <w:t>19.3</w:t>
            </w:r>
            <w:r w:rsidR="0021393F">
              <w:rPr>
                <w:rFonts w:asciiTheme="minorHAnsi" w:eastAsiaTheme="minorEastAsia" w:hAnsiTheme="minorHAnsi" w:cstheme="minorBidi"/>
                <w:noProof/>
                <w:sz w:val="22"/>
                <w:szCs w:val="22"/>
                <w:lang w:eastAsia="en-AU"/>
              </w:rPr>
              <w:tab/>
            </w:r>
            <w:r w:rsidR="0021393F" w:rsidRPr="007416FA">
              <w:rPr>
                <w:rStyle w:val="Hyperlink"/>
                <w:noProof/>
              </w:rPr>
              <w:t>Arrangements at the end of this Agreement</w:t>
            </w:r>
            <w:r w:rsidR="0021393F">
              <w:rPr>
                <w:noProof/>
                <w:webHidden/>
              </w:rPr>
              <w:tab/>
            </w:r>
            <w:r w:rsidR="0021393F">
              <w:rPr>
                <w:noProof/>
                <w:webHidden/>
              </w:rPr>
              <w:fldChar w:fldCharType="begin"/>
            </w:r>
            <w:r w:rsidR="0021393F">
              <w:rPr>
                <w:noProof/>
                <w:webHidden/>
              </w:rPr>
              <w:instrText xml:space="preserve"> PAGEREF _Toc42783655 \h </w:instrText>
            </w:r>
            <w:r w:rsidR="0021393F">
              <w:rPr>
                <w:noProof/>
                <w:webHidden/>
              </w:rPr>
            </w:r>
            <w:r w:rsidR="0021393F">
              <w:rPr>
                <w:noProof/>
                <w:webHidden/>
              </w:rPr>
              <w:fldChar w:fldCharType="separate"/>
            </w:r>
            <w:r w:rsidR="0021393F">
              <w:rPr>
                <w:noProof/>
                <w:webHidden/>
              </w:rPr>
              <w:t>29</w:t>
            </w:r>
            <w:r w:rsidR="0021393F">
              <w:rPr>
                <w:noProof/>
                <w:webHidden/>
              </w:rPr>
              <w:fldChar w:fldCharType="end"/>
            </w:r>
          </w:hyperlink>
        </w:p>
        <w:p w14:paraId="4675D49D" w14:textId="17633577" w:rsidR="0021393F" w:rsidRDefault="00A9390D">
          <w:pPr>
            <w:pStyle w:val="TOC1"/>
            <w:rPr>
              <w:rFonts w:asciiTheme="minorHAnsi" w:eastAsiaTheme="minorEastAsia" w:hAnsiTheme="minorHAnsi" w:cstheme="minorBidi"/>
              <w:b w:val="0"/>
              <w:noProof/>
              <w:sz w:val="22"/>
              <w:szCs w:val="22"/>
              <w:lang w:eastAsia="en-AU"/>
            </w:rPr>
          </w:pPr>
          <w:hyperlink w:anchor="_Toc42783656" w:history="1">
            <w:r w:rsidR="0021393F" w:rsidRPr="007416FA">
              <w:rPr>
                <w:rStyle w:val="Hyperlink"/>
                <w:noProof/>
              </w:rPr>
              <w:t>20.</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Notices</w:t>
            </w:r>
            <w:r w:rsidR="0021393F">
              <w:rPr>
                <w:noProof/>
                <w:webHidden/>
              </w:rPr>
              <w:tab/>
            </w:r>
            <w:r w:rsidR="0021393F">
              <w:rPr>
                <w:noProof/>
                <w:webHidden/>
              </w:rPr>
              <w:fldChar w:fldCharType="begin"/>
            </w:r>
            <w:r w:rsidR="0021393F">
              <w:rPr>
                <w:noProof/>
                <w:webHidden/>
              </w:rPr>
              <w:instrText xml:space="preserve"> PAGEREF _Toc42783656 \h </w:instrText>
            </w:r>
            <w:r w:rsidR="0021393F">
              <w:rPr>
                <w:noProof/>
                <w:webHidden/>
              </w:rPr>
            </w:r>
            <w:r w:rsidR="0021393F">
              <w:rPr>
                <w:noProof/>
                <w:webHidden/>
              </w:rPr>
              <w:fldChar w:fldCharType="separate"/>
            </w:r>
            <w:r w:rsidR="0021393F">
              <w:rPr>
                <w:noProof/>
                <w:webHidden/>
              </w:rPr>
              <w:t>29</w:t>
            </w:r>
            <w:r w:rsidR="0021393F">
              <w:rPr>
                <w:noProof/>
                <w:webHidden/>
              </w:rPr>
              <w:fldChar w:fldCharType="end"/>
            </w:r>
          </w:hyperlink>
        </w:p>
        <w:p w14:paraId="316A525E" w14:textId="273E3CE3" w:rsidR="0021393F" w:rsidRDefault="00A9390D">
          <w:pPr>
            <w:pStyle w:val="TOC1"/>
            <w:rPr>
              <w:rFonts w:asciiTheme="minorHAnsi" w:eastAsiaTheme="minorEastAsia" w:hAnsiTheme="minorHAnsi" w:cstheme="minorBidi"/>
              <w:b w:val="0"/>
              <w:noProof/>
              <w:sz w:val="22"/>
              <w:szCs w:val="22"/>
              <w:lang w:eastAsia="en-AU"/>
            </w:rPr>
          </w:pPr>
          <w:hyperlink w:anchor="_Toc42783657" w:history="1">
            <w:r w:rsidR="0021393F" w:rsidRPr="007416FA">
              <w:rPr>
                <w:rStyle w:val="Hyperlink"/>
                <w:noProof/>
              </w:rPr>
              <w:t>21.</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Interpretation</w:t>
            </w:r>
            <w:r w:rsidR="0021393F">
              <w:rPr>
                <w:noProof/>
                <w:webHidden/>
              </w:rPr>
              <w:tab/>
            </w:r>
            <w:r w:rsidR="0021393F">
              <w:rPr>
                <w:noProof/>
                <w:webHidden/>
              </w:rPr>
              <w:fldChar w:fldCharType="begin"/>
            </w:r>
            <w:r w:rsidR="0021393F">
              <w:rPr>
                <w:noProof/>
                <w:webHidden/>
              </w:rPr>
              <w:instrText xml:space="preserve"> PAGEREF _Toc42783657 \h </w:instrText>
            </w:r>
            <w:r w:rsidR="0021393F">
              <w:rPr>
                <w:noProof/>
                <w:webHidden/>
              </w:rPr>
            </w:r>
            <w:r w:rsidR="0021393F">
              <w:rPr>
                <w:noProof/>
                <w:webHidden/>
              </w:rPr>
              <w:fldChar w:fldCharType="separate"/>
            </w:r>
            <w:r w:rsidR="0021393F">
              <w:rPr>
                <w:noProof/>
                <w:webHidden/>
              </w:rPr>
              <w:t>30</w:t>
            </w:r>
            <w:r w:rsidR="0021393F">
              <w:rPr>
                <w:noProof/>
                <w:webHidden/>
              </w:rPr>
              <w:fldChar w:fldCharType="end"/>
            </w:r>
          </w:hyperlink>
        </w:p>
        <w:p w14:paraId="56E6B6FD" w14:textId="33450FB4"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58" w:history="1">
            <w:r w:rsidR="0021393F" w:rsidRPr="007416FA">
              <w:rPr>
                <w:rStyle w:val="Hyperlink"/>
                <w:noProof/>
              </w:rPr>
              <w:t>21.1</w:t>
            </w:r>
            <w:r w:rsidR="0021393F">
              <w:rPr>
                <w:rFonts w:asciiTheme="minorHAnsi" w:eastAsiaTheme="minorEastAsia" w:hAnsiTheme="minorHAnsi" w:cstheme="minorBidi"/>
                <w:noProof/>
                <w:sz w:val="22"/>
                <w:szCs w:val="22"/>
                <w:lang w:eastAsia="en-AU"/>
              </w:rPr>
              <w:tab/>
            </w:r>
            <w:r w:rsidR="0021393F" w:rsidRPr="007416FA">
              <w:rPr>
                <w:rStyle w:val="Hyperlink"/>
                <w:noProof/>
              </w:rPr>
              <w:t>Structure of this Agreement</w:t>
            </w:r>
            <w:r w:rsidR="0021393F">
              <w:rPr>
                <w:noProof/>
                <w:webHidden/>
              </w:rPr>
              <w:tab/>
            </w:r>
            <w:r w:rsidR="0021393F">
              <w:rPr>
                <w:noProof/>
                <w:webHidden/>
              </w:rPr>
              <w:fldChar w:fldCharType="begin"/>
            </w:r>
            <w:r w:rsidR="0021393F">
              <w:rPr>
                <w:noProof/>
                <w:webHidden/>
              </w:rPr>
              <w:instrText xml:space="preserve"> PAGEREF _Toc42783658 \h </w:instrText>
            </w:r>
            <w:r w:rsidR="0021393F">
              <w:rPr>
                <w:noProof/>
                <w:webHidden/>
              </w:rPr>
            </w:r>
            <w:r w:rsidR="0021393F">
              <w:rPr>
                <w:noProof/>
                <w:webHidden/>
              </w:rPr>
              <w:fldChar w:fldCharType="separate"/>
            </w:r>
            <w:r w:rsidR="0021393F">
              <w:rPr>
                <w:noProof/>
                <w:webHidden/>
              </w:rPr>
              <w:t>30</w:t>
            </w:r>
            <w:r w:rsidR="0021393F">
              <w:rPr>
                <w:noProof/>
                <w:webHidden/>
              </w:rPr>
              <w:fldChar w:fldCharType="end"/>
            </w:r>
          </w:hyperlink>
        </w:p>
        <w:p w14:paraId="6C06F5C1" w14:textId="7EF8B392"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59" w:history="1">
            <w:r w:rsidR="0021393F" w:rsidRPr="007416FA">
              <w:rPr>
                <w:rStyle w:val="Hyperlink"/>
                <w:noProof/>
              </w:rPr>
              <w:t>21.2</w:t>
            </w:r>
            <w:r w:rsidR="0021393F">
              <w:rPr>
                <w:rFonts w:asciiTheme="minorHAnsi" w:eastAsiaTheme="minorEastAsia" w:hAnsiTheme="minorHAnsi" w:cstheme="minorBidi"/>
                <w:noProof/>
                <w:sz w:val="22"/>
                <w:szCs w:val="22"/>
                <w:lang w:eastAsia="en-AU"/>
              </w:rPr>
              <w:tab/>
            </w:r>
            <w:r w:rsidR="0021393F" w:rsidRPr="007416FA">
              <w:rPr>
                <w:rStyle w:val="Hyperlink"/>
                <w:noProof/>
              </w:rPr>
              <w:t>Words and headings</w:t>
            </w:r>
            <w:r w:rsidR="0021393F">
              <w:rPr>
                <w:noProof/>
                <w:webHidden/>
              </w:rPr>
              <w:tab/>
            </w:r>
            <w:r w:rsidR="0021393F">
              <w:rPr>
                <w:noProof/>
                <w:webHidden/>
              </w:rPr>
              <w:fldChar w:fldCharType="begin"/>
            </w:r>
            <w:r w:rsidR="0021393F">
              <w:rPr>
                <w:noProof/>
                <w:webHidden/>
              </w:rPr>
              <w:instrText xml:space="preserve"> PAGEREF _Toc42783659 \h </w:instrText>
            </w:r>
            <w:r w:rsidR="0021393F">
              <w:rPr>
                <w:noProof/>
                <w:webHidden/>
              </w:rPr>
            </w:r>
            <w:r w:rsidR="0021393F">
              <w:rPr>
                <w:noProof/>
                <w:webHidden/>
              </w:rPr>
              <w:fldChar w:fldCharType="separate"/>
            </w:r>
            <w:r w:rsidR="0021393F">
              <w:rPr>
                <w:noProof/>
                <w:webHidden/>
              </w:rPr>
              <w:t>30</w:t>
            </w:r>
            <w:r w:rsidR="0021393F">
              <w:rPr>
                <w:noProof/>
                <w:webHidden/>
              </w:rPr>
              <w:fldChar w:fldCharType="end"/>
            </w:r>
          </w:hyperlink>
        </w:p>
        <w:p w14:paraId="620ED1E4" w14:textId="2BC6BEB3" w:rsidR="0021393F" w:rsidRDefault="00A9390D">
          <w:pPr>
            <w:pStyle w:val="TOC2"/>
            <w:tabs>
              <w:tab w:val="left" w:pos="1702"/>
            </w:tabs>
            <w:rPr>
              <w:rFonts w:asciiTheme="minorHAnsi" w:eastAsiaTheme="minorEastAsia" w:hAnsiTheme="minorHAnsi" w:cstheme="minorBidi"/>
              <w:noProof/>
              <w:sz w:val="22"/>
              <w:szCs w:val="22"/>
              <w:lang w:eastAsia="en-AU"/>
            </w:rPr>
          </w:pPr>
          <w:hyperlink w:anchor="_Toc42783660" w:history="1">
            <w:r w:rsidR="0021393F" w:rsidRPr="007416FA">
              <w:rPr>
                <w:rStyle w:val="Hyperlink"/>
                <w:noProof/>
              </w:rPr>
              <w:t>21.3</w:t>
            </w:r>
            <w:r w:rsidR="0021393F">
              <w:rPr>
                <w:rFonts w:asciiTheme="minorHAnsi" w:eastAsiaTheme="minorEastAsia" w:hAnsiTheme="minorHAnsi" w:cstheme="minorBidi"/>
                <w:noProof/>
                <w:sz w:val="22"/>
                <w:szCs w:val="22"/>
                <w:lang w:eastAsia="en-AU"/>
              </w:rPr>
              <w:tab/>
            </w:r>
            <w:r w:rsidR="0021393F" w:rsidRPr="007416FA">
              <w:rPr>
                <w:rStyle w:val="Hyperlink"/>
                <w:noProof/>
              </w:rPr>
              <w:t>Specific references</w:t>
            </w:r>
            <w:r w:rsidR="0021393F">
              <w:rPr>
                <w:noProof/>
                <w:webHidden/>
              </w:rPr>
              <w:tab/>
            </w:r>
            <w:r w:rsidR="0021393F">
              <w:rPr>
                <w:noProof/>
                <w:webHidden/>
              </w:rPr>
              <w:fldChar w:fldCharType="begin"/>
            </w:r>
            <w:r w:rsidR="0021393F">
              <w:rPr>
                <w:noProof/>
                <w:webHidden/>
              </w:rPr>
              <w:instrText xml:space="preserve"> PAGEREF _Toc42783660 \h </w:instrText>
            </w:r>
            <w:r w:rsidR="0021393F">
              <w:rPr>
                <w:noProof/>
                <w:webHidden/>
              </w:rPr>
            </w:r>
            <w:r w:rsidR="0021393F">
              <w:rPr>
                <w:noProof/>
                <w:webHidden/>
              </w:rPr>
              <w:fldChar w:fldCharType="separate"/>
            </w:r>
            <w:r w:rsidR="0021393F">
              <w:rPr>
                <w:noProof/>
                <w:webHidden/>
              </w:rPr>
              <w:t>31</w:t>
            </w:r>
            <w:r w:rsidR="0021393F">
              <w:rPr>
                <w:noProof/>
                <w:webHidden/>
              </w:rPr>
              <w:fldChar w:fldCharType="end"/>
            </w:r>
          </w:hyperlink>
        </w:p>
        <w:p w14:paraId="6D96FD81" w14:textId="02510219" w:rsidR="0021393F" w:rsidRDefault="00A9390D">
          <w:pPr>
            <w:pStyle w:val="TOC1"/>
            <w:rPr>
              <w:rFonts w:asciiTheme="minorHAnsi" w:eastAsiaTheme="minorEastAsia" w:hAnsiTheme="minorHAnsi" w:cstheme="minorBidi"/>
              <w:b w:val="0"/>
              <w:noProof/>
              <w:sz w:val="22"/>
              <w:szCs w:val="22"/>
              <w:lang w:eastAsia="en-AU"/>
            </w:rPr>
          </w:pPr>
          <w:hyperlink w:anchor="_Toc42783661" w:history="1">
            <w:r w:rsidR="0021393F" w:rsidRPr="007416FA">
              <w:rPr>
                <w:rStyle w:val="Hyperlink"/>
                <w:noProof/>
              </w:rPr>
              <w:t>22.</w:t>
            </w:r>
            <w:r w:rsidR="0021393F">
              <w:rPr>
                <w:rFonts w:asciiTheme="minorHAnsi" w:eastAsiaTheme="minorEastAsia" w:hAnsiTheme="minorHAnsi" w:cstheme="minorBidi"/>
                <w:b w:val="0"/>
                <w:noProof/>
                <w:sz w:val="22"/>
                <w:szCs w:val="22"/>
                <w:lang w:eastAsia="en-AU"/>
              </w:rPr>
              <w:tab/>
            </w:r>
            <w:r w:rsidR="0021393F" w:rsidRPr="007416FA">
              <w:rPr>
                <w:rStyle w:val="Hyperlink"/>
                <w:noProof/>
              </w:rPr>
              <w:t>Definitions</w:t>
            </w:r>
            <w:r w:rsidR="0021393F">
              <w:rPr>
                <w:noProof/>
                <w:webHidden/>
              </w:rPr>
              <w:tab/>
            </w:r>
            <w:r w:rsidR="0021393F">
              <w:rPr>
                <w:noProof/>
                <w:webHidden/>
              </w:rPr>
              <w:fldChar w:fldCharType="begin"/>
            </w:r>
            <w:r w:rsidR="0021393F">
              <w:rPr>
                <w:noProof/>
                <w:webHidden/>
              </w:rPr>
              <w:instrText xml:space="preserve"> PAGEREF _Toc42783661 \h </w:instrText>
            </w:r>
            <w:r w:rsidR="0021393F">
              <w:rPr>
                <w:noProof/>
                <w:webHidden/>
              </w:rPr>
            </w:r>
            <w:r w:rsidR="0021393F">
              <w:rPr>
                <w:noProof/>
                <w:webHidden/>
              </w:rPr>
              <w:fldChar w:fldCharType="separate"/>
            </w:r>
            <w:r w:rsidR="0021393F">
              <w:rPr>
                <w:noProof/>
                <w:webHidden/>
              </w:rPr>
              <w:t>31</w:t>
            </w:r>
            <w:r w:rsidR="0021393F">
              <w:rPr>
                <w:noProof/>
                <w:webHidden/>
              </w:rPr>
              <w:fldChar w:fldCharType="end"/>
            </w:r>
          </w:hyperlink>
        </w:p>
        <w:p w14:paraId="54882A5C" w14:textId="68058A5B" w:rsidR="0021393F" w:rsidRDefault="00A9390D">
          <w:pPr>
            <w:pStyle w:val="TOC1"/>
            <w:rPr>
              <w:rFonts w:asciiTheme="minorHAnsi" w:eastAsiaTheme="minorEastAsia" w:hAnsiTheme="minorHAnsi" w:cstheme="minorBidi"/>
              <w:b w:val="0"/>
              <w:noProof/>
              <w:sz w:val="22"/>
              <w:szCs w:val="22"/>
              <w:lang w:eastAsia="en-AU"/>
            </w:rPr>
          </w:pPr>
          <w:hyperlink w:anchor="_Toc42783662" w:history="1">
            <w:r w:rsidR="0021393F" w:rsidRPr="007416FA">
              <w:rPr>
                <w:rStyle w:val="Hyperlink"/>
                <w:noProof/>
              </w:rPr>
              <w:t>Appendix A – Signatories</w:t>
            </w:r>
            <w:r w:rsidR="0021393F">
              <w:rPr>
                <w:noProof/>
                <w:webHidden/>
              </w:rPr>
              <w:tab/>
            </w:r>
            <w:r w:rsidR="0021393F">
              <w:rPr>
                <w:noProof/>
                <w:webHidden/>
              </w:rPr>
              <w:fldChar w:fldCharType="begin"/>
            </w:r>
            <w:r w:rsidR="0021393F">
              <w:rPr>
                <w:noProof/>
                <w:webHidden/>
              </w:rPr>
              <w:instrText xml:space="preserve"> PAGEREF _Toc42783662 \h </w:instrText>
            </w:r>
            <w:r w:rsidR="0021393F">
              <w:rPr>
                <w:noProof/>
                <w:webHidden/>
              </w:rPr>
            </w:r>
            <w:r w:rsidR="0021393F">
              <w:rPr>
                <w:noProof/>
                <w:webHidden/>
              </w:rPr>
              <w:fldChar w:fldCharType="separate"/>
            </w:r>
            <w:r w:rsidR="0021393F">
              <w:rPr>
                <w:noProof/>
                <w:webHidden/>
              </w:rPr>
              <w:t>36</w:t>
            </w:r>
            <w:r w:rsidR="0021393F">
              <w:rPr>
                <w:noProof/>
                <w:webHidden/>
              </w:rPr>
              <w:fldChar w:fldCharType="end"/>
            </w:r>
          </w:hyperlink>
        </w:p>
        <w:p w14:paraId="06CDE5DD" w14:textId="5A98F1EB" w:rsidR="0021393F" w:rsidRDefault="00A9390D">
          <w:pPr>
            <w:pStyle w:val="TOC1"/>
            <w:rPr>
              <w:rFonts w:asciiTheme="minorHAnsi" w:eastAsiaTheme="minorEastAsia" w:hAnsiTheme="minorHAnsi" w:cstheme="minorBidi"/>
              <w:b w:val="0"/>
              <w:noProof/>
              <w:sz w:val="22"/>
              <w:szCs w:val="22"/>
              <w:lang w:eastAsia="en-AU"/>
            </w:rPr>
          </w:pPr>
          <w:hyperlink w:anchor="_Toc42783663" w:history="1">
            <w:r w:rsidR="0021393F" w:rsidRPr="007416FA">
              <w:rPr>
                <w:rStyle w:val="Hyperlink"/>
                <w:noProof/>
              </w:rPr>
              <w:t>Appendix B – Remuneration adjustment mechanism</w:t>
            </w:r>
            <w:r w:rsidR="0021393F">
              <w:rPr>
                <w:noProof/>
                <w:webHidden/>
              </w:rPr>
              <w:tab/>
            </w:r>
            <w:r w:rsidR="0021393F">
              <w:rPr>
                <w:noProof/>
                <w:webHidden/>
              </w:rPr>
              <w:fldChar w:fldCharType="begin"/>
            </w:r>
            <w:r w:rsidR="0021393F">
              <w:rPr>
                <w:noProof/>
                <w:webHidden/>
              </w:rPr>
              <w:instrText xml:space="preserve"> PAGEREF _Toc42783663 \h </w:instrText>
            </w:r>
            <w:r w:rsidR="0021393F">
              <w:rPr>
                <w:noProof/>
                <w:webHidden/>
              </w:rPr>
            </w:r>
            <w:r w:rsidR="0021393F">
              <w:rPr>
                <w:noProof/>
                <w:webHidden/>
              </w:rPr>
              <w:fldChar w:fldCharType="separate"/>
            </w:r>
            <w:r w:rsidR="0021393F">
              <w:rPr>
                <w:noProof/>
                <w:webHidden/>
              </w:rPr>
              <w:t>37</w:t>
            </w:r>
            <w:r w:rsidR="0021393F">
              <w:rPr>
                <w:noProof/>
                <w:webHidden/>
              </w:rPr>
              <w:fldChar w:fldCharType="end"/>
            </w:r>
          </w:hyperlink>
        </w:p>
        <w:p w14:paraId="23F80BFB" w14:textId="69053C7D" w:rsidR="0021393F" w:rsidRDefault="00A9390D">
          <w:pPr>
            <w:pStyle w:val="TOC1"/>
            <w:rPr>
              <w:rFonts w:asciiTheme="minorHAnsi" w:eastAsiaTheme="minorEastAsia" w:hAnsiTheme="minorHAnsi" w:cstheme="minorBidi"/>
              <w:b w:val="0"/>
              <w:noProof/>
              <w:sz w:val="22"/>
              <w:szCs w:val="22"/>
              <w:lang w:eastAsia="en-AU"/>
            </w:rPr>
          </w:pPr>
          <w:hyperlink w:anchor="_Toc42783664" w:history="1">
            <w:r w:rsidR="0021393F" w:rsidRPr="007416FA">
              <w:rPr>
                <w:rStyle w:val="Hyperlink"/>
                <w:noProof/>
              </w:rPr>
              <w:t>Appendix C – Terms of reference for the Community Pharmacy Consultation Committee</w:t>
            </w:r>
            <w:r w:rsidR="0021393F">
              <w:rPr>
                <w:noProof/>
                <w:webHidden/>
              </w:rPr>
              <w:tab/>
            </w:r>
            <w:r w:rsidR="0021393F">
              <w:rPr>
                <w:noProof/>
                <w:webHidden/>
              </w:rPr>
              <w:fldChar w:fldCharType="begin"/>
            </w:r>
            <w:r w:rsidR="0021393F">
              <w:rPr>
                <w:noProof/>
                <w:webHidden/>
              </w:rPr>
              <w:instrText xml:space="preserve"> PAGEREF _Toc42783664 \h </w:instrText>
            </w:r>
            <w:r w:rsidR="0021393F">
              <w:rPr>
                <w:noProof/>
                <w:webHidden/>
              </w:rPr>
            </w:r>
            <w:r w:rsidR="0021393F">
              <w:rPr>
                <w:noProof/>
                <w:webHidden/>
              </w:rPr>
              <w:fldChar w:fldCharType="separate"/>
            </w:r>
            <w:r w:rsidR="0021393F">
              <w:rPr>
                <w:noProof/>
                <w:webHidden/>
              </w:rPr>
              <w:t>42</w:t>
            </w:r>
            <w:r w:rsidR="0021393F">
              <w:rPr>
                <w:noProof/>
                <w:webHidden/>
              </w:rPr>
              <w:fldChar w:fldCharType="end"/>
            </w:r>
          </w:hyperlink>
        </w:p>
        <w:p w14:paraId="4EB78149" w14:textId="752DC11D" w:rsidR="00E9176D" w:rsidRPr="009D3B53" w:rsidRDefault="005A5FD0" w:rsidP="00E9176D">
          <w:pPr>
            <w:sectPr w:rsidR="00E9176D" w:rsidRPr="009D3B53" w:rsidSect="003E5899">
              <w:pgSz w:w="11906" w:h="16838" w:code="9"/>
              <w:pgMar w:top="1442" w:right="1418" w:bottom="1276" w:left="1418" w:header="567" w:footer="567" w:gutter="0"/>
              <w:cols w:space="708"/>
              <w:docGrid w:linePitch="360"/>
            </w:sectPr>
          </w:pPr>
          <w:r>
            <w:rPr>
              <w:b/>
              <w:lang w:eastAsia="en-US"/>
            </w:rPr>
            <w:fldChar w:fldCharType="end"/>
          </w:r>
        </w:p>
      </w:sdtContent>
    </w:sdt>
    <w:p w14:paraId="76C9BD01" w14:textId="77777777" w:rsidR="00E9176D" w:rsidRPr="009D3B53" w:rsidRDefault="00E627CE" w:rsidP="00E46467">
      <w:pPr>
        <w:pStyle w:val="mainTitle"/>
      </w:pPr>
      <w:bookmarkStart w:id="2" w:name="_Toc42783593"/>
      <w:r>
        <w:t>Background</w:t>
      </w:r>
      <w:bookmarkEnd w:id="2"/>
    </w:p>
    <w:p w14:paraId="3464B8CA" w14:textId="6C827D71" w:rsidR="00897655" w:rsidRDefault="00897655" w:rsidP="00BD0378">
      <w:pPr>
        <w:pStyle w:val="legalRecital1"/>
      </w:pPr>
      <w:bookmarkStart w:id="3" w:name="_Ref419744243"/>
      <w:r>
        <w:t>This Agreement is the Seventh Community Pharmacy Agreement</w:t>
      </w:r>
      <w:r w:rsidR="00F744CC">
        <w:t>.</w:t>
      </w:r>
      <w:r>
        <w:t xml:space="preserve"> </w:t>
      </w:r>
      <w:bookmarkEnd w:id="3"/>
    </w:p>
    <w:p w14:paraId="1711E6BE" w14:textId="69818DA9" w:rsidR="00FC66E2" w:rsidRDefault="00897655" w:rsidP="00BD0378">
      <w:pPr>
        <w:pStyle w:val="legalRecital1"/>
      </w:pPr>
      <w:r>
        <w:t xml:space="preserve">Part 1 of this Agreement </w:t>
      </w:r>
      <w:r w:rsidR="007D3E14">
        <w:t xml:space="preserve">is between the Commonwealth and the Guild and </w:t>
      </w:r>
      <w:r>
        <w:t>i</w:t>
      </w:r>
      <w:r w:rsidR="007E7E33">
        <w:t>nclude</w:t>
      </w:r>
      <w:r>
        <w:t>s an agreement for the purposes of section 98BAA</w:t>
      </w:r>
      <w:r w:rsidR="00B34AA5">
        <w:t>(1)</w:t>
      </w:r>
      <w:r>
        <w:t xml:space="preserve"> of the </w:t>
      </w:r>
      <w:r>
        <w:rPr>
          <w:i/>
        </w:rPr>
        <w:t xml:space="preserve">National Health Act </w:t>
      </w:r>
      <w:r w:rsidRPr="005B0279">
        <w:rPr>
          <w:i/>
        </w:rPr>
        <w:t>1953</w:t>
      </w:r>
      <w:r w:rsidR="005B0279">
        <w:t xml:space="preserve"> (Cth)</w:t>
      </w:r>
      <w:r>
        <w:t>.</w:t>
      </w:r>
    </w:p>
    <w:p w14:paraId="24CDB3D5" w14:textId="28546C6E" w:rsidR="006C238A" w:rsidRDefault="0096254A" w:rsidP="00BD0378">
      <w:pPr>
        <w:pStyle w:val="legalRecital1"/>
      </w:pPr>
      <w:r>
        <w:t>Due to its strong economic management, the Australian Government has</w:t>
      </w:r>
      <w:r w:rsidR="006C238A">
        <w:t xml:space="preserve"> been able to </w:t>
      </w:r>
      <w:r w:rsidR="002C7222">
        <w:t xml:space="preserve">make a substantial </w:t>
      </w:r>
      <w:r w:rsidR="006C238A">
        <w:t>invest</w:t>
      </w:r>
      <w:r w:rsidR="002C7222">
        <w:t>ment</w:t>
      </w:r>
      <w:r w:rsidR="006C238A">
        <w:t xml:space="preserve"> since 2013 to ensure that Australians can access affordable medicines, including by:</w:t>
      </w:r>
    </w:p>
    <w:p w14:paraId="0278BDB0" w14:textId="334F24C9" w:rsidR="006502E0" w:rsidRDefault="0096254A" w:rsidP="006C238A">
      <w:pPr>
        <w:pStyle w:val="legalRecital1"/>
        <w:numPr>
          <w:ilvl w:val="1"/>
          <w:numId w:val="3"/>
        </w:numPr>
      </w:pPr>
      <w:r w:rsidRPr="00212C19">
        <w:t>ma</w:t>
      </w:r>
      <w:r w:rsidR="006C238A" w:rsidRPr="00212C19">
        <w:t>king</w:t>
      </w:r>
      <w:r w:rsidRPr="00212C19">
        <w:t xml:space="preserve"> new or amended listings of medicines on the Pharmaceutical Benefits Scheme</w:t>
      </w:r>
      <w:r w:rsidR="00212C19">
        <w:t xml:space="preserve"> every month</w:t>
      </w:r>
      <w:r w:rsidR="006C238A">
        <w:t>;</w:t>
      </w:r>
      <w:r w:rsidR="00FD14EE">
        <w:t xml:space="preserve"> and</w:t>
      </w:r>
    </w:p>
    <w:p w14:paraId="6D11AB1A" w14:textId="07F7FDAC" w:rsidR="006C238A" w:rsidRDefault="006C238A" w:rsidP="006C238A">
      <w:pPr>
        <w:pStyle w:val="legalRecital1"/>
        <w:numPr>
          <w:ilvl w:val="1"/>
          <w:numId w:val="3"/>
        </w:numPr>
      </w:pPr>
      <w:r>
        <w:t xml:space="preserve">lowering the </w:t>
      </w:r>
      <w:r w:rsidR="00BE5921">
        <w:t xml:space="preserve">Pharmaceutical Benefits Scheme </w:t>
      </w:r>
      <w:r w:rsidR="009603FB">
        <w:t>S</w:t>
      </w:r>
      <w:r>
        <w:t xml:space="preserve">afety </w:t>
      </w:r>
      <w:r w:rsidR="009603FB">
        <w:t>N</w:t>
      </w:r>
      <w:r>
        <w:t>et threshold</w:t>
      </w:r>
      <w:r w:rsidR="001F4206">
        <w:t>s</w:t>
      </w:r>
      <w:r>
        <w:t xml:space="preserve"> from 1</w:t>
      </w:r>
      <w:r w:rsidR="00BE5921">
        <w:t> </w:t>
      </w:r>
      <w:r>
        <w:t>January</w:t>
      </w:r>
      <w:r w:rsidR="00BE5921">
        <w:t> </w:t>
      </w:r>
      <w:r>
        <w:t xml:space="preserve">2020 </w:t>
      </w:r>
      <w:r w:rsidR="00662401">
        <w:t>so</w:t>
      </w:r>
      <w:r>
        <w:t xml:space="preserve"> </w:t>
      </w:r>
      <w:r w:rsidR="001F4206">
        <w:t xml:space="preserve">that </w:t>
      </w:r>
      <w:r w:rsidR="00BE5921">
        <w:t xml:space="preserve">more than 1.6 million </w:t>
      </w:r>
      <w:r>
        <w:t xml:space="preserve">Australians receive </w:t>
      </w:r>
      <w:r w:rsidR="00F34CA7">
        <w:t>medicines</w:t>
      </w:r>
      <w:r w:rsidR="001E7ED2">
        <w:t xml:space="preserve"> for </w:t>
      </w:r>
      <w:r w:rsidR="00BE5921">
        <w:t xml:space="preserve">free or </w:t>
      </w:r>
      <w:r w:rsidR="001E7ED2">
        <w:t xml:space="preserve">at lower cost </w:t>
      </w:r>
      <w:r w:rsidR="00BE5921">
        <w:t>earlier each year</w:t>
      </w:r>
      <w:r w:rsidR="009603FB">
        <w:t xml:space="preserve"> (</w:t>
      </w:r>
      <w:r w:rsidR="00F66191">
        <w:t>i.e.</w:t>
      </w:r>
      <w:r w:rsidR="009603FB">
        <w:t xml:space="preserve"> from $390.00 to $316.80 </w:t>
      </w:r>
      <w:r w:rsidR="00AF3EEC">
        <w:t xml:space="preserve">in 2020 </w:t>
      </w:r>
      <w:r w:rsidR="009603FB">
        <w:t xml:space="preserve">for concessional patients and from $1550.70 to $1486.80 </w:t>
      </w:r>
      <w:r w:rsidR="00AF3EEC">
        <w:t xml:space="preserve">in 2020 </w:t>
      </w:r>
      <w:r w:rsidR="009603FB">
        <w:t>for general patients)</w:t>
      </w:r>
      <w:r w:rsidR="00FD14EE">
        <w:t>.</w:t>
      </w:r>
    </w:p>
    <w:p w14:paraId="457AF85D" w14:textId="6C019D49" w:rsidR="00F55B8B" w:rsidRDefault="00F55B8B" w:rsidP="001F4206">
      <w:pPr>
        <w:pStyle w:val="legalRecital1"/>
      </w:pPr>
      <w:r w:rsidRPr="00F55B8B">
        <w:t xml:space="preserve">The Australian Government is seeking to continually improve transparency and accountability for the use of funds in </w:t>
      </w:r>
      <w:r w:rsidR="00621F12">
        <w:t xml:space="preserve">relation to </w:t>
      </w:r>
      <w:r w:rsidRPr="00F55B8B">
        <w:t>the Pharmaceutical Benefits Scheme, including through this Agreement.  Developments such as increased visibility of measures being funded under th</w:t>
      </w:r>
      <w:r>
        <w:t>is</w:t>
      </w:r>
      <w:r w:rsidRPr="00F55B8B">
        <w:t xml:space="preserve"> Agreement and an </w:t>
      </w:r>
      <w:r w:rsidR="00D57127">
        <w:t>enhanced consultation</w:t>
      </w:r>
      <w:r w:rsidRPr="00F55B8B">
        <w:t xml:space="preserve"> framework represent examples of </w:t>
      </w:r>
      <w:r w:rsidR="001D4DC8">
        <w:t>such</w:t>
      </w:r>
      <w:r w:rsidR="001D4DC8" w:rsidRPr="00F55B8B">
        <w:t xml:space="preserve"> </w:t>
      </w:r>
      <w:r w:rsidRPr="00F55B8B">
        <w:t>improvement.</w:t>
      </w:r>
    </w:p>
    <w:p w14:paraId="51182302" w14:textId="02372EE7" w:rsidR="00941F1F" w:rsidRDefault="00941F1F" w:rsidP="000D6BB8">
      <w:pPr>
        <w:pStyle w:val="legalRecital1"/>
        <w:keepNext/>
      </w:pPr>
      <w:r>
        <w:t>The Australian Government supports initiatives that allow pharmacists to better fulfil their current scope of practice.</w:t>
      </w:r>
    </w:p>
    <w:p w14:paraId="776F09FF" w14:textId="29EBAB52" w:rsidR="001F4206" w:rsidRDefault="001F4206" w:rsidP="000D6BB8">
      <w:pPr>
        <w:pStyle w:val="legalRecital1"/>
        <w:keepNext/>
      </w:pPr>
      <w:r>
        <w:t xml:space="preserve">The </w:t>
      </w:r>
      <w:r w:rsidR="0053621B">
        <w:t xml:space="preserve">Signatories </w:t>
      </w:r>
      <w:r>
        <w:t>recognise that community pharmacy is an integral part of the Australian health care system through its role in supporting the Pharmaceutical Benefits Scheme.</w:t>
      </w:r>
      <w:r w:rsidR="006E1693">
        <w:t xml:space="preserve">  To further support Australians’ access to </w:t>
      </w:r>
      <w:r w:rsidR="008C0AE4">
        <w:t xml:space="preserve">PBS </w:t>
      </w:r>
      <w:r w:rsidR="00CD43C0">
        <w:t xml:space="preserve">and RPBS </w:t>
      </w:r>
      <w:r w:rsidR="006E1693">
        <w:t>medicines while appropriately remunerating community pharmacy for services</w:t>
      </w:r>
      <w:r w:rsidR="002A1AF1">
        <w:t>,</w:t>
      </w:r>
      <w:r w:rsidR="006E1693">
        <w:t xml:space="preserve"> the </w:t>
      </w:r>
      <w:r w:rsidR="001D4DC8">
        <w:t>S</w:t>
      </w:r>
      <w:r w:rsidR="006E1693">
        <w:t>ignatories to this Agreement are committed to:</w:t>
      </w:r>
    </w:p>
    <w:p w14:paraId="3147AA0B" w14:textId="61BF399C" w:rsidR="00804817" w:rsidRDefault="00804817" w:rsidP="00804817">
      <w:pPr>
        <w:pStyle w:val="legalRecital1"/>
        <w:numPr>
          <w:ilvl w:val="1"/>
          <w:numId w:val="3"/>
        </w:numPr>
      </w:pPr>
      <w:r>
        <w:t>ensuring Australians have access to patient focused, outcome oriented professional pharmacy services and programs</w:t>
      </w:r>
      <w:r w:rsidR="00A52307" w:rsidRPr="00A52307">
        <w:t xml:space="preserve"> </w:t>
      </w:r>
      <w:r w:rsidR="00A52307">
        <w:t>that support the safe and quality use of medicines</w:t>
      </w:r>
      <w:r>
        <w:t>;</w:t>
      </w:r>
    </w:p>
    <w:p w14:paraId="0C068B38" w14:textId="3E1C7ADC" w:rsidR="001645FF" w:rsidRDefault="00362BAD" w:rsidP="000D6BB8">
      <w:pPr>
        <w:pStyle w:val="legalRecital1"/>
        <w:keepNext/>
        <w:numPr>
          <w:ilvl w:val="1"/>
          <w:numId w:val="3"/>
        </w:numPr>
      </w:pPr>
      <w:r>
        <w:t xml:space="preserve">predictable remuneration for </w:t>
      </w:r>
      <w:r w:rsidR="00F0199D">
        <w:t xml:space="preserve">community </w:t>
      </w:r>
      <w:r>
        <w:t>pharmac</w:t>
      </w:r>
      <w:r w:rsidR="00897655">
        <w:t>ies</w:t>
      </w:r>
      <w:r>
        <w:t xml:space="preserve"> </w:t>
      </w:r>
      <w:r w:rsidR="00897655">
        <w:t>to</w:t>
      </w:r>
      <w:r w:rsidR="005A1FF5">
        <w:t xml:space="preserve"> </w:t>
      </w:r>
      <w:r w:rsidR="001E0341">
        <w:t xml:space="preserve">support their viability and </w:t>
      </w:r>
      <w:r w:rsidR="00AF7D5E" w:rsidRPr="00737BE4">
        <w:t xml:space="preserve">allow for </w:t>
      </w:r>
      <w:r w:rsidR="005A1FF5" w:rsidRPr="00737BE4">
        <w:t>an</w:t>
      </w:r>
      <w:r w:rsidR="005A1FF5">
        <w:t xml:space="preserve"> efficient and effective</w:t>
      </w:r>
      <w:r w:rsidR="00897655">
        <w:t xml:space="preserve"> </w:t>
      </w:r>
      <w:r>
        <w:t>network</w:t>
      </w:r>
      <w:r w:rsidR="00F0199D">
        <w:t xml:space="preserve"> of </w:t>
      </w:r>
      <w:r w:rsidR="00144B02">
        <w:t>Approved Pharmacist</w:t>
      </w:r>
      <w:r w:rsidR="00897655">
        <w:t>s</w:t>
      </w:r>
      <w:r w:rsidR="00F0199D">
        <w:t xml:space="preserve"> </w:t>
      </w:r>
      <w:r w:rsidR="00377F53">
        <w:t xml:space="preserve">across </w:t>
      </w:r>
      <w:r w:rsidR="00F0199D">
        <w:t>Australia</w:t>
      </w:r>
      <w:r w:rsidR="005A1FF5">
        <w:t>,</w:t>
      </w:r>
      <w:r w:rsidR="00377F53">
        <w:t xml:space="preserve"> </w:t>
      </w:r>
      <w:r w:rsidR="00621F12">
        <w:t>while</w:t>
      </w:r>
      <w:r w:rsidR="00377F53">
        <w:t xml:space="preserve"> ensuring the </w:t>
      </w:r>
      <w:r w:rsidR="00C86BE1">
        <w:t>Proper</w:t>
      </w:r>
      <w:r w:rsidR="00377F53">
        <w:t xml:space="preserve"> use of </w:t>
      </w:r>
      <w:r w:rsidR="00C86BE1">
        <w:t>Public Resources</w:t>
      </w:r>
      <w:r w:rsidR="00F0199D">
        <w:t>;</w:t>
      </w:r>
      <w:r w:rsidR="009338EF">
        <w:t xml:space="preserve"> </w:t>
      </w:r>
    </w:p>
    <w:p w14:paraId="5D572DEB" w14:textId="3B91AF9A" w:rsidR="00F0199D" w:rsidRDefault="00F0199D" w:rsidP="007F52CA">
      <w:pPr>
        <w:pStyle w:val="legalRecital1"/>
        <w:numPr>
          <w:ilvl w:val="1"/>
          <w:numId w:val="3"/>
        </w:numPr>
      </w:pPr>
      <w:r>
        <w:t xml:space="preserve">ensuring that </w:t>
      </w:r>
      <w:r w:rsidR="009F5855">
        <w:t>out</w:t>
      </w:r>
      <w:r w:rsidR="00303D4E">
        <w:t xml:space="preserve"> </w:t>
      </w:r>
      <w:r w:rsidR="009F5855">
        <w:t>of</w:t>
      </w:r>
      <w:r w:rsidR="00303D4E">
        <w:t xml:space="preserve"> </w:t>
      </w:r>
      <w:r w:rsidR="009F5855">
        <w:t xml:space="preserve">pocket expenses for </w:t>
      </w:r>
      <w:r>
        <w:t>P</w:t>
      </w:r>
      <w:r w:rsidR="001A3380">
        <w:t xml:space="preserve">harmaceutical </w:t>
      </w:r>
      <w:r>
        <w:t>B</w:t>
      </w:r>
      <w:r w:rsidR="001A3380">
        <w:t xml:space="preserve">enefits </w:t>
      </w:r>
      <w:r>
        <w:t>S</w:t>
      </w:r>
      <w:r w:rsidR="001A3380">
        <w:t>cheme</w:t>
      </w:r>
      <w:r>
        <w:t xml:space="preserve"> </w:t>
      </w:r>
      <w:r w:rsidR="001E48C6">
        <w:t xml:space="preserve">and </w:t>
      </w:r>
      <w:r w:rsidR="00621F12">
        <w:t>p</w:t>
      </w:r>
      <w:r w:rsidR="001E48C6">
        <w:t xml:space="preserve">harmacy </w:t>
      </w:r>
      <w:r w:rsidR="00621F12">
        <w:t>p</w:t>
      </w:r>
      <w:r w:rsidR="001E48C6">
        <w:t>rograms</w:t>
      </w:r>
      <w:r>
        <w:t xml:space="preserve"> </w:t>
      </w:r>
      <w:r w:rsidR="009F5855">
        <w:t>are</w:t>
      </w:r>
      <w:r w:rsidR="00696638">
        <w:t xml:space="preserve"> </w:t>
      </w:r>
      <w:r w:rsidR="00DD2BCE">
        <w:t>transparent</w:t>
      </w:r>
      <w:r w:rsidR="005A1FF5">
        <w:t xml:space="preserve"> and appropriate</w:t>
      </w:r>
      <w:r w:rsidR="009338EF">
        <w:t>;</w:t>
      </w:r>
      <w:r w:rsidR="003C06D6">
        <w:t xml:space="preserve"> and</w:t>
      </w:r>
    </w:p>
    <w:p w14:paraId="425A4D74" w14:textId="19145558" w:rsidR="00FE01BF" w:rsidRDefault="00377F53" w:rsidP="00D00994">
      <w:pPr>
        <w:pStyle w:val="legalRecital1"/>
        <w:keepNext/>
        <w:numPr>
          <w:ilvl w:val="1"/>
          <w:numId w:val="3"/>
        </w:numPr>
      </w:pPr>
      <w:r>
        <w:t xml:space="preserve">maintaining a co-operative relationship between the </w:t>
      </w:r>
      <w:r w:rsidR="001D4DC8">
        <w:t>S</w:t>
      </w:r>
      <w:r w:rsidR="004C55D2">
        <w:t>ignatories</w:t>
      </w:r>
      <w:r w:rsidR="003F4515">
        <w:t xml:space="preserve"> and a broader and more inclusive set of key stakeholders,</w:t>
      </w:r>
      <w:r w:rsidR="004C55D2">
        <w:t xml:space="preserve"> </w:t>
      </w:r>
      <w:r>
        <w:t xml:space="preserve">to ensure that </w:t>
      </w:r>
      <w:r w:rsidR="005A1FF5">
        <w:t xml:space="preserve">Australian </w:t>
      </w:r>
      <w:r w:rsidR="00F34CA7">
        <w:t xml:space="preserve">patients </w:t>
      </w:r>
      <w:r>
        <w:t>receive the best possible</w:t>
      </w:r>
      <w:r w:rsidR="005A1FF5">
        <w:t xml:space="preserve"> health</w:t>
      </w:r>
      <w:r>
        <w:t xml:space="preserve"> outcomes </w:t>
      </w:r>
      <w:r w:rsidR="005A1FF5">
        <w:t xml:space="preserve">from </w:t>
      </w:r>
      <w:r>
        <w:t>the P</w:t>
      </w:r>
      <w:r w:rsidR="001A3380">
        <w:t xml:space="preserve">harmaceutical </w:t>
      </w:r>
      <w:r>
        <w:t>B</w:t>
      </w:r>
      <w:r w:rsidR="001A3380">
        <w:t xml:space="preserve">enefits </w:t>
      </w:r>
      <w:r>
        <w:t>S</w:t>
      </w:r>
      <w:r w:rsidR="001A3380">
        <w:t>cheme</w:t>
      </w:r>
      <w:r w:rsidR="00A52307" w:rsidRPr="00A52307">
        <w:t xml:space="preserve"> </w:t>
      </w:r>
      <w:r w:rsidR="00A52307">
        <w:t>and associated Community Pharmacy Programs</w:t>
      </w:r>
      <w:r w:rsidR="00250544">
        <w:t>.</w:t>
      </w:r>
    </w:p>
    <w:p w14:paraId="6EA79D92" w14:textId="469C258B" w:rsidR="0092475F" w:rsidRDefault="0092475F">
      <w:r>
        <w:br w:type="page"/>
      </w:r>
    </w:p>
    <w:p w14:paraId="7B88FE16" w14:textId="70E86A4C" w:rsidR="00F5012B" w:rsidRPr="005A5FD0" w:rsidRDefault="00F5012B" w:rsidP="005A5FD0">
      <w:pPr>
        <w:pStyle w:val="legalPart"/>
      </w:pPr>
      <w:bookmarkStart w:id="4" w:name="_Toc40019966"/>
      <w:bookmarkStart w:id="5" w:name="_Toc40020148"/>
      <w:bookmarkStart w:id="6" w:name="_Toc40019968"/>
      <w:bookmarkStart w:id="7" w:name="_Toc40020150"/>
      <w:bookmarkStart w:id="8" w:name="_Toc40019969"/>
      <w:bookmarkStart w:id="9" w:name="_Toc40020151"/>
      <w:bookmarkStart w:id="10" w:name="_Toc40019970"/>
      <w:bookmarkStart w:id="11" w:name="_Toc40020152"/>
      <w:bookmarkStart w:id="12" w:name="_Toc40019971"/>
      <w:bookmarkStart w:id="13" w:name="_Toc40020153"/>
      <w:bookmarkStart w:id="14" w:name="_Toc40019972"/>
      <w:bookmarkStart w:id="15" w:name="_Toc40020154"/>
      <w:bookmarkStart w:id="16" w:name="_Toc40019977"/>
      <w:bookmarkStart w:id="17" w:name="_Toc40020159"/>
      <w:bookmarkStart w:id="18" w:name="_Toc40019980"/>
      <w:bookmarkStart w:id="19" w:name="_Toc40020162"/>
      <w:bookmarkStart w:id="20" w:name="_Toc40019985"/>
      <w:bookmarkStart w:id="21" w:name="_Toc40020167"/>
      <w:bookmarkStart w:id="22" w:name="_Toc40019987"/>
      <w:bookmarkStart w:id="23" w:name="_Toc40020169"/>
      <w:bookmarkStart w:id="24" w:name="_Toc40019988"/>
      <w:bookmarkStart w:id="25" w:name="_Toc40020170"/>
      <w:bookmarkStart w:id="26" w:name="_Toc40019992"/>
      <w:bookmarkStart w:id="27" w:name="_Toc40020174"/>
      <w:bookmarkStart w:id="28" w:name="_Toc40019994"/>
      <w:bookmarkStart w:id="29" w:name="_Toc40020176"/>
      <w:bookmarkStart w:id="30" w:name="_Toc40019998"/>
      <w:bookmarkStart w:id="31" w:name="_Toc40020180"/>
      <w:bookmarkStart w:id="32" w:name="_Toc40020000"/>
      <w:bookmarkStart w:id="33" w:name="_Toc40020182"/>
      <w:bookmarkStart w:id="34" w:name="_Toc40020003"/>
      <w:bookmarkStart w:id="35" w:name="_Toc40020185"/>
      <w:bookmarkStart w:id="36" w:name="_Toc40020004"/>
      <w:bookmarkStart w:id="37" w:name="_Toc40020186"/>
      <w:bookmarkStart w:id="38" w:name="_Toc40020005"/>
      <w:bookmarkStart w:id="39" w:name="_Toc40020187"/>
      <w:bookmarkStart w:id="40" w:name="_Toc40020006"/>
      <w:bookmarkStart w:id="41" w:name="_Toc40020188"/>
      <w:bookmarkStart w:id="42" w:name="_Toc40020007"/>
      <w:bookmarkStart w:id="43" w:name="_Toc40020189"/>
      <w:bookmarkStart w:id="44" w:name="_Toc40020008"/>
      <w:bookmarkStart w:id="45" w:name="_Toc40020190"/>
      <w:bookmarkStart w:id="46" w:name="_Toc40020010"/>
      <w:bookmarkStart w:id="47" w:name="_Toc40020192"/>
      <w:bookmarkStart w:id="48" w:name="_Toc40020012"/>
      <w:bookmarkStart w:id="49" w:name="_Toc40020194"/>
      <w:bookmarkStart w:id="50" w:name="_Toc40020013"/>
      <w:bookmarkStart w:id="51" w:name="_Toc40020195"/>
      <w:bookmarkStart w:id="52" w:name="_Toc40020014"/>
      <w:bookmarkStart w:id="53" w:name="_Toc40020196"/>
      <w:bookmarkStart w:id="54" w:name="_Toc40020016"/>
      <w:bookmarkStart w:id="55" w:name="_Toc40020198"/>
      <w:bookmarkStart w:id="56" w:name="_Toc40020019"/>
      <w:bookmarkStart w:id="57" w:name="_Toc40020201"/>
      <w:bookmarkStart w:id="58" w:name="_Toc40020020"/>
      <w:bookmarkStart w:id="59" w:name="_Toc40020202"/>
      <w:bookmarkStart w:id="60" w:name="_Toc40020023"/>
      <w:bookmarkStart w:id="61" w:name="_Toc40020205"/>
      <w:bookmarkStart w:id="62" w:name="_Toc40020024"/>
      <w:bookmarkStart w:id="63" w:name="_Toc40020206"/>
      <w:bookmarkStart w:id="64" w:name="_Toc40020025"/>
      <w:bookmarkStart w:id="65" w:name="_Toc40020207"/>
      <w:bookmarkStart w:id="66" w:name="_Toc40020030"/>
      <w:bookmarkStart w:id="67" w:name="_Toc40020212"/>
      <w:bookmarkStart w:id="68" w:name="_Toc40020031"/>
      <w:bookmarkStart w:id="69" w:name="_Toc40020213"/>
      <w:bookmarkStart w:id="70" w:name="_Toc40020034"/>
      <w:bookmarkStart w:id="71" w:name="_Toc40020216"/>
      <w:bookmarkStart w:id="72" w:name="_Toc40020037"/>
      <w:bookmarkStart w:id="73" w:name="_Toc40020219"/>
      <w:bookmarkStart w:id="74" w:name="_Toc40020038"/>
      <w:bookmarkStart w:id="75" w:name="_Toc40020220"/>
      <w:bookmarkStart w:id="76" w:name="_Toc40020039"/>
      <w:bookmarkStart w:id="77" w:name="_Toc40020221"/>
      <w:bookmarkStart w:id="78" w:name="_Toc40020040"/>
      <w:bookmarkStart w:id="79" w:name="_Toc40020222"/>
      <w:bookmarkStart w:id="80" w:name="_Toc40020041"/>
      <w:bookmarkStart w:id="81" w:name="_Toc40020223"/>
      <w:bookmarkStart w:id="82" w:name="_Toc40020042"/>
      <w:bookmarkStart w:id="83" w:name="_Toc40020224"/>
      <w:bookmarkStart w:id="84" w:name="_Toc40020044"/>
      <w:bookmarkStart w:id="85" w:name="_Toc40020226"/>
      <w:bookmarkStart w:id="86" w:name="_Toc40020045"/>
      <w:bookmarkStart w:id="87" w:name="_Toc40020227"/>
      <w:bookmarkStart w:id="88" w:name="_Hlk41334498"/>
      <w:bookmarkStart w:id="89" w:name="_Ref419653556"/>
      <w:bookmarkStart w:id="90" w:name="_Hlk29299757"/>
      <w:bookmarkStart w:id="91" w:name="_Ref41944027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5A5FD0">
        <w:tab/>
      </w:r>
      <w:bookmarkStart w:id="92" w:name="_Ref42518861"/>
      <w:bookmarkStart w:id="93" w:name="_Toc42783594"/>
      <w:r w:rsidRPr="005A5FD0">
        <w:t>Arrangements between the Commonwealth and the Guild</w:t>
      </w:r>
      <w:bookmarkEnd w:id="92"/>
      <w:bookmarkEnd w:id="93"/>
    </w:p>
    <w:bookmarkEnd w:id="88"/>
    <w:p w14:paraId="536F291C" w14:textId="77777777" w:rsidR="007E7E33" w:rsidRDefault="007E7E33">
      <w:pPr>
        <w:rPr>
          <w:rStyle w:val="IntenseReference"/>
          <w:rFonts w:cs="Arial"/>
          <w:bCs w:val="0"/>
          <w:i w:val="0"/>
          <w:smallCaps w:val="0"/>
          <w:sz w:val="36"/>
          <w:szCs w:val="36"/>
          <w:lang w:eastAsia="en-US"/>
        </w:rPr>
      </w:pPr>
      <w:r>
        <w:rPr>
          <w:rStyle w:val="IntenseReference"/>
          <w:rFonts w:cs="Arial"/>
          <w:b w:val="0"/>
          <w:bCs w:val="0"/>
          <w:i w:val="0"/>
          <w:smallCaps w:val="0"/>
          <w:sz w:val="36"/>
          <w:szCs w:val="36"/>
        </w:rPr>
        <w:br w:type="page"/>
      </w:r>
    </w:p>
    <w:p w14:paraId="1C4E5944" w14:textId="23DEF134" w:rsidR="00AE1003" w:rsidRDefault="007E7E33" w:rsidP="007E7E33">
      <w:pPr>
        <w:pStyle w:val="mainTitle"/>
      </w:pPr>
      <w:bookmarkStart w:id="94" w:name="_Toc42783595"/>
      <w:bookmarkStart w:id="95" w:name="_Hlk41334569"/>
      <w:r>
        <w:t>Signing page for Part 1</w:t>
      </w:r>
      <w:bookmarkEnd w:id="94"/>
    </w:p>
    <w:p w14:paraId="3AD821B2" w14:textId="10918049" w:rsidR="007E7E33" w:rsidRDefault="007E7E33" w:rsidP="007E7E33"/>
    <w:p w14:paraId="629640DC" w14:textId="41F91C41" w:rsidR="007E7E33" w:rsidRDefault="007E7E33" w:rsidP="007E7E33"/>
    <w:p w14:paraId="726282ED" w14:textId="4845B41C" w:rsidR="007E7E33" w:rsidRDefault="007E7E33" w:rsidP="007E7E33"/>
    <w:p w14:paraId="351B734F" w14:textId="77777777" w:rsidR="007E7E33" w:rsidRPr="009D3B53" w:rsidRDefault="007E7E33" w:rsidP="007E7E33"/>
    <w:tbl>
      <w:tblPr>
        <w:tblW w:w="9408" w:type="dxa"/>
        <w:tblInd w:w="-336" w:type="dxa"/>
        <w:tblLayout w:type="fixed"/>
        <w:tblCellMar>
          <w:left w:w="360" w:type="dxa"/>
          <w:right w:w="360" w:type="dxa"/>
        </w:tblCellMar>
        <w:tblLook w:val="0000" w:firstRow="0" w:lastRow="0" w:firstColumn="0" w:lastColumn="0" w:noHBand="0" w:noVBand="0"/>
      </w:tblPr>
      <w:tblGrid>
        <w:gridCol w:w="4873"/>
        <w:gridCol w:w="4535"/>
      </w:tblGrid>
      <w:tr w:rsidR="007E7E33" w:rsidRPr="009D3B53" w14:paraId="471AA972" w14:textId="77777777" w:rsidTr="007E7E33">
        <w:tc>
          <w:tcPr>
            <w:tcW w:w="4873" w:type="dxa"/>
          </w:tcPr>
          <w:p w14:paraId="39431C67" w14:textId="56BAE3F5" w:rsidR="007E7E33" w:rsidRPr="009D3B53" w:rsidRDefault="007E7E33" w:rsidP="007E7E33">
            <w:pPr>
              <w:keepNext/>
              <w:keepLines/>
            </w:pPr>
            <w:r w:rsidRPr="009D3B53">
              <w:rPr>
                <w:b/>
              </w:rPr>
              <w:t xml:space="preserve">Signed </w:t>
            </w:r>
            <w:r w:rsidRPr="009D3B53">
              <w:t xml:space="preserve">by </w:t>
            </w:r>
            <w:r w:rsidRPr="009D3B53">
              <w:rPr>
                <w:b/>
              </w:rPr>
              <w:t xml:space="preserve">The Honourable </w:t>
            </w:r>
            <w:r>
              <w:rPr>
                <w:b/>
              </w:rPr>
              <w:t>Greg Hunt</w:t>
            </w:r>
            <w:r w:rsidRPr="009D3B53">
              <w:rPr>
                <w:b/>
              </w:rPr>
              <w:t xml:space="preserve"> MP, Minister </w:t>
            </w:r>
            <w:r>
              <w:rPr>
                <w:b/>
              </w:rPr>
              <w:t>f</w:t>
            </w:r>
            <w:r w:rsidRPr="009D3B53">
              <w:rPr>
                <w:b/>
              </w:rPr>
              <w:t>or Health</w:t>
            </w:r>
            <w:r w:rsidRPr="009D3B53">
              <w:rPr>
                <w:spacing w:val="-3"/>
              </w:rPr>
              <w:t xml:space="preserve"> </w:t>
            </w:r>
            <w:r w:rsidRPr="009D3B53">
              <w:t xml:space="preserve">on behalf of the </w:t>
            </w:r>
            <w:r>
              <w:rPr>
                <w:b/>
              </w:rPr>
              <w:br/>
            </w:r>
            <w:r w:rsidRPr="009D3B53">
              <w:rPr>
                <w:b/>
              </w:rPr>
              <w:t>Commonwealth of Australia</w:t>
            </w:r>
            <w:r w:rsidRPr="009D3B53">
              <w:t xml:space="preserve"> </w:t>
            </w:r>
          </w:p>
          <w:p w14:paraId="5EA56525" w14:textId="77777777" w:rsidR="007E7E33" w:rsidRPr="009D3B53" w:rsidRDefault="007E7E33" w:rsidP="007E7E33">
            <w:pPr>
              <w:keepNext/>
              <w:keepLines/>
            </w:pPr>
          </w:p>
          <w:p w14:paraId="0A263275" w14:textId="77777777" w:rsidR="007E7E33" w:rsidRPr="009D3B53" w:rsidRDefault="007E7E33" w:rsidP="007E7E33">
            <w:pPr>
              <w:keepNext/>
              <w:keepLines/>
            </w:pPr>
            <w:r w:rsidRPr="009D3B53">
              <w:t>in the presence of:</w:t>
            </w:r>
          </w:p>
        </w:tc>
        <w:tc>
          <w:tcPr>
            <w:tcW w:w="4535" w:type="dxa"/>
          </w:tcPr>
          <w:p w14:paraId="766A6933" w14:textId="77777777" w:rsidR="007E7E33" w:rsidRPr="009D3B53" w:rsidRDefault="007E7E33" w:rsidP="007E7E33">
            <w:pPr>
              <w:keepNext/>
              <w:keepLines/>
            </w:pPr>
          </w:p>
          <w:p w14:paraId="6B52BA4B" w14:textId="77777777" w:rsidR="007E7E33" w:rsidRPr="009D3B53" w:rsidRDefault="007E7E33" w:rsidP="007E7E33">
            <w:pPr>
              <w:keepNext/>
              <w:keepLines/>
            </w:pPr>
          </w:p>
          <w:p w14:paraId="5FC1B752" w14:textId="77777777" w:rsidR="007E7E33" w:rsidRDefault="007E7E33" w:rsidP="007E7E33">
            <w:pPr>
              <w:keepNext/>
              <w:keepLines/>
              <w:tabs>
                <w:tab w:val="left" w:pos="227"/>
                <w:tab w:val="left" w:leader="dot" w:pos="4253"/>
              </w:tabs>
            </w:pPr>
          </w:p>
          <w:p w14:paraId="25A2AA2B" w14:textId="77777777" w:rsidR="007E7E33" w:rsidRPr="009D3B53" w:rsidRDefault="007E7E33" w:rsidP="007E7E33">
            <w:pPr>
              <w:keepNext/>
              <w:keepLines/>
              <w:tabs>
                <w:tab w:val="left" w:pos="227"/>
                <w:tab w:val="left" w:leader="dot" w:pos="4253"/>
              </w:tabs>
            </w:pPr>
          </w:p>
          <w:p w14:paraId="6C67043E" w14:textId="77777777" w:rsidR="007E7E33" w:rsidRPr="009D3B53" w:rsidRDefault="007E7E33" w:rsidP="007E7E33">
            <w:pPr>
              <w:keepNext/>
              <w:keepLines/>
              <w:tabs>
                <w:tab w:val="left" w:leader="dot" w:pos="4536"/>
              </w:tabs>
              <w:rPr>
                <w:rFonts w:ascii="CG Times (W1)" w:hAnsi="CG Times (W1)"/>
                <w:spacing w:val="-3"/>
              </w:rPr>
            </w:pPr>
            <w:r w:rsidRPr="009D3B53">
              <w:tab/>
            </w:r>
          </w:p>
        </w:tc>
      </w:tr>
    </w:tbl>
    <w:p w14:paraId="64E35C0B" w14:textId="77777777" w:rsidR="007E7E33" w:rsidRPr="009D3B53" w:rsidRDefault="007E7E33" w:rsidP="007E7E33">
      <w:pPr>
        <w:keepNext/>
        <w:keepLines/>
      </w:pPr>
    </w:p>
    <w:p w14:paraId="014F05D7" w14:textId="77777777" w:rsidR="007E7E33" w:rsidRPr="009D3B53" w:rsidRDefault="007E7E33" w:rsidP="007E7E33">
      <w:pPr>
        <w:keepNext/>
        <w:keepLines/>
      </w:pPr>
    </w:p>
    <w:p w14:paraId="4F9FB58A" w14:textId="77777777" w:rsidR="007E7E33" w:rsidRPr="009D3B53" w:rsidRDefault="007E7E33" w:rsidP="007E7E33">
      <w:pPr>
        <w:keepNext/>
        <w:keepLines/>
        <w:tabs>
          <w:tab w:val="left" w:leader="dot" w:pos="4536"/>
        </w:tabs>
      </w:pPr>
      <w:r w:rsidRPr="009D3B53">
        <w:tab/>
      </w:r>
    </w:p>
    <w:p w14:paraId="3D043DF6" w14:textId="77777777" w:rsidR="007E7E33" w:rsidRPr="009D3B53" w:rsidRDefault="007E7E33" w:rsidP="007E7E33">
      <w:pPr>
        <w:keepLines/>
      </w:pPr>
      <w:r w:rsidRPr="009D3B53">
        <w:t>Witness</w:t>
      </w:r>
    </w:p>
    <w:p w14:paraId="66C9C89A" w14:textId="77777777" w:rsidR="007E7E33" w:rsidRPr="009D3B53" w:rsidRDefault="007E7E33" w:rsidP="007E7E33"/>
    <w:p w14:paraId="6621ABA9" w14:textId="77777777" w:rsidR="007E7E33" w:rsidRDefault="007E7E33" w:rsidP="007E7E33">
      <w:pPr>
        <w:keepNext/>
        <w:keepLines/>
        <w:suppressAutoHyphens/>
      </w:pPr>
    </w:p>
    <w:p w14:paraId="34C36BEE" w14:textId="77777777" w:rsidR="007E7E33" w:rsidRPr="009D3B53" w:rsidRDefault="007E7E33" w:rsidP="007E7E33">
      <w:pPr>
        <w:keepNext/>
        <w:keepLines/>
        <w:tabs>
          <w:tab w:val="left" w:leader="dot" w:pos="4536"/>
        </w:tabs>
      </w:pPr>
      <w:r w:rsidRPr="009D3B53">
        <w:tab/>
      </w:r>
    </w:p>
    <w:p w14:paraId="481054C4" w14:textId="77777777" w:rsidR="007E7E33" w:rsidRPr="009D3B53" w:rsidRDefault="007E7E33" w:rsidP="007E7E33">
      <w:pPr>
        <w:keepLines/>
      </w:pPr>
      <w:r>
        <w:t>Name of w</w:t>
      </w:r>
      <w:r w:rsidRPr="009D3B53">
        <w:t>itness</w:t>
      </w:r>
    </w:p>
    <w:p w14:paraId="3590ABBC" w14:textId="77777777" w:rsidR="007E7E33" w:rsidRDefault="007E7E33" w:rsidP="007E7E33">
      <w:pPr>
        <w:keepNext/>
        <w:keepLines/>
        <w:suppressAutoHyphens/>
      </w:pPr>
    </w:p>
    <w:p w14:paraId="0A191E8C" w14:textId="77777777" w:rsidR="007E7E33" w:rsidRDefault="007E7E33" w:rsidP="007E7E33">
      <w:pPr>
        <w:keepNext/>
        <w:keepLines/>
        <w:suppressAutoHyphens/>
      </w:pPr>
    </w:p>
    <w:p w14:paraId="00B58CC6" w14:textId="77777777" w:rsidR="007E7E33" w:rsidRPr="009D3B53" w:rsidRDefault="007E7E33" w:rsidP="007E7E33">
      <w:pPr>
        <w:keepNext/>
        <w:keepLines/>
        <w:tabs>
          <w:tab w:val="left" w:leader="dot" w:pos="4536"/>
        </w:tabs>
      </w:pPr>
      <w:r w:rsidRPr="009D3B53">
        <w:tab/>
      </w:r>
    </w:p>
    <w:p w14:paraId="4FE625FA" w14:textId="77777777" w:rsidR="007E7E33" w:rsidRPr="009D3B53" w:rsidRDefault="007E7E33" w:rsidP="007E7E33">
      <w:pPr>
        <w:keepLines/>
      </w:pPr>
      <w:r>
        <w:t>Date</w:t>
      </w:r>
    </w:p>
    <w:p w14:paraId="4B4BBB71" w14:textId="77777777" w:rsidR="007E7E33" w:rsidRDefault="007E7E33" w:rsidP="007E7E33">
      <w:pPr>
        <w:keepNext/>
        <w:keepLines/>
        <w:suppressAutoHyphens/>
      </w:pPr>
    </w:p>
    <w:p w14:paraId="3362B844" w14:textId="79236F11" w:rsidR="007E7E33" w:rsidRDefault="007E7E33" w:rsidP="007E7E33">
      <w:pPr>
        <w:keepNext/>
        <w:keepLines/>
        <w:suppressAutoHyphens/>
      </w:pPr>
    </w:p>
    <w:bookmarkEnd w:id="95"/>
    <w:p w14:paraId="5F68E96B" w14:textId="56CF8CA8" w:rsidR="007E7E33" w:rsidRDefault="007E7E33" w:rsidP="007E7E33">
      <w:pPr>
        <w:keepNext/>
        <w:keepLines/>
        <w:suppressAutoHyphens/>
      </w:pPr>
    </w:p>
    <w:p w14:paraId="7353DA40" w14:textId="77777777" w:rsidR="007E7E33" w:rsidRDefault="007E7E33" w:rsidP="007E7E33">
      <w:pPr>
        <w:keepNext/>
        <w:keepLines/>
        <w:suppressAutoHyphens/>
      </w:pPr>
    </w:p>
    <w:tbl>
      <w:tblPr>
        <w:tblW w:w="9746" w:type="dxa"/>
        <w:tblInd w:w="-322" w:type="dxa"/>
        <w:tblLayout w:type="fixed"/>
        <w:tblCellMar>
          <w:left w:w="360" w:type="dxa"/>
          <w:right w:w="360" w:type="dxa"/>
        </w:tblCellMar>
        <w:tblLook w:val="0000" w:firstRow="0" w:lastRow="0" w:firstColumn="0" w:lastColumn="0" w:noHBand="0" w:noVBand="0"/>
      </w:tblPr>
      <w:tblGrid>
        <w:gridCol w:w="4873"/>
        <w:gridCol w:w="4873"/>
      </w:tblGrid>
      <w:tr w:rsidR="007E7E33" w:rsidRPr="009D3B53" w14:paraId="0258AE77" w14:textId="77777777" w:rsidTr="007E7E33">
        <w:tc>
          <w:tcPr>
            <w:tcW w:w="4873" w:type="dxa"/>
          </w:tcPr>
          <w:p w14:paraId="5E965457" w14:textId="77777777" w:rsidR="007E7E33" w:rsidRPr="009D3B53" w:rsidRDefault="007E7E33" w:rsidP="007E7E33">
            <w:pPr>
              <w:keepNext/>
              <w:keepLines/>
            </w:pPr>
            <w:r w:rsidRPr="009D3B53">
              <w:rPr>
                <w:b/>
              </w:rPr>
              <w:t>The Common Seal</w:t>
            </w:r>
            <w:r w:rsidRPr="009D3B53">
              <w:t xml:space="preserve"> of </w:t>
            </w:r>
            <w:r w:rsidRPr="009D3B53">
              <w:rPr>
                <w:b/>
                <w:spacing w:val="-3"/>
              </w:rPr>
              <w:t xml:space="preserve">The Pharmacy Guild of Australia </w:t>
            </w:r>
            <w:r w:rsidRPr="009D3B53">
              <w:t>was affixed pursuant to a resolution of its National Council in the presence of:</w:t>
            </w:r>
          </w:p>
        </w:tc>
        <w:tc>
          <w:tcPr>
            <w:tcW w:w="4873" w:type="dxa"/>
          </w:tcPr>
          <w:p w14:paraId="482E8437" w14:textId="77777777" w:rsidR="007E7E33" w:rsidRPr="009D3B53" w:rsidRDefault="007E7E33" w:rsidP="007E7E33">
            <w:pPr>
              <w:keepNext/>
              <w:keepLines/>
            </w:pPr>
            <w:r w:rsidRPr="009D3B53">
              <w:t>)</w:t>
            </w:r>
          </w:p>
          <w:p w14:paraId="3B93206D" w14:textId="77777777" w:rsidR="007E7E33" w:rsidRPr="009D3B53" w:rsidRDefault="007E7E33" w:rsidP="007E7E33">
            <w:pPr>
              <w:keepNext/>
              <w:keepLines/>
            </w:pPr>
            <w:r w:rsidRPr="009D3B53">
              <w:t>)</w:t>
            </w:r>
          </w:p>
          <w:p w14:paraId="164FC566" w14:textId="77777777" w:rsidR="007E7E33" w:rsidRPr="009D3B53" w:rsidRDefault="007E7E33" w:rsidP="007E7E33">
            <w:pPr>
              <w:keepNext/>
              <w:keepLines/>
            </w:pPr>
            <w:r w:rsidRPr="009D3B53">
              <w:t>)</w:t>
            </w:r>
          </w:p>
          <w:p w14:paraId="0D549EB1" w14:textId="77777777" w:rsidR="007E7E33" w:rsidRPr="009D3B53" w:rsidRDefault="007E7E33" w:rsidP="007E7E33">
            <w:pPr>
              <w:keepNext/>
              <w:keepLines/>
            </w:pPr>
          </w:p>
        </w:tc>
      </w:tr>
    </w:tbl>
    <w:p w14:paraId="1F29CD9F" w14:textId="77777777" w:rsidR="007E7E33" w:rsidRPr="009D3B53" w:rsidRDefault="007E7E33" w:rsidP="007E7E33">
      <w:pPr>
        <w:keepNext/>
        <w:keepLines/>
      </w:pPr>
    </w:p>
    <w:p w14:paraId="21C1FDB2" w14:textId="77777777" w:rsidR="007E7E33" w:rsidRPr="009D3B53" w:rsidRDefault="007E7E33" w:rsidP="007E7E33">
      <w:pPr>
        <w:keepNext/>
        <w:keepLines/>
      </w:pPr>
    </w:p>
    <w:p w14:paraId="2A2E513C" w14:textId="77777777" w:rsidR="007E7E33" w:rsidRDefault="007E7E33" w:rsidP="007E7E33">
      <w:pPr>
        <w:keepNext/>
        <w:keepLines/>
        <w:tabs>
          <w:tab w:val="left" w:leader="dot" w:pos="4253"/>
          <w:tab w:val="left" w:pos="4536"/>
          <w:tab w:val="left" w:leader="dot" w:pos="8789"/>
        </w:tabs>
      </w:pPr>
      <w:r>
        <w:tab/>
      </w:r>
      <w:r>
        <w:tab/>
      </w:r>
      <w:r>
        <w:tab/>
      </w:r>
    </w:p>
    <w:p w14:paraId="4DEF2DC8" w14:textId="77777777" w:rsidR="007E7E33" w:rsidRPr="009D3B53" w:rsidRDefault="007E7E33" w:rsidP="007E7E33">
      <w:pPr>
        <w:keepNext/>
        <w:keepLines/>
        <w:tabs>
          <w:tab w:val="left" w:pos="4510"/>
        </w:tabs>
      </w:pPr>
      <w:r w:rsidRPr="009D3B53">
        <w:t>National President</w:t>
      </w:r>
      <w:r w:rsidRPr="009D3B53">
        <w:tab/>
      </w:r>
      <w:r>
        <w:t>Executive Director</w:t>
      </w:r>
    </w:p>
    <w:p w14:paraId="6BBC3A54" w14:textId="77777777" w:rsidR="007E7E33" w:rsidRPr="009D3B53" w:rsidRDefault="007E7E33" w:rsidP="007E7E33">
      <w:pPr>
        <w:keepNext/>
        <w:keepLines/>
        <w:tabs>
          <w:tab w:val="left" w:pos="4510"/>
        </w:tabs>
      </w:pPr>
    </w:p>
    <w:p w14:paraId="2F169F34" w14:textId="77777777" w:rsidR="007E7E33" w:rsidRPr="009D3B53" w:rsidRDefault="007E7E33" w:rsidP="007E7E33">
      <w:pPr>
        <w:keepNext/>
        <w:keepLines/>
        <w:tabs>
          <w:tab w:val="left" w:pos="550"/>
          <w:tab w:val="left" w:pos="3410"/>
        </w:tabs>
      </w:pPr>
    </w:p>
    <w:p w14:paraId="11E65CF1" w14:textId="77777777" w:rsidR="007E7E33" w:rsidRDefault="007E7E33" w:rsidP="007E7E33">
      <w:pPr>
        <w:keepNext/>
        <w:keepLines/>
        <w:tabs>
          <w:tab w:val="left" w:leader="dot" w:pos="4253"/>
          <w:tab w:val="left" w:pos="4536"/>
          <w:tab w:val="left" w:leader="dot" w:pos="8789"/>
        </w:tabs>
      </w:pPr>
      <w:r>
        <w:tab/>
      </w:r>
      <w:r>
        <w:tab/>
      </w:r>
      <w:r>
        <w:tab/>
      </w:r>
    </w:p>
    <w:p w14:paraId="4D88553A" w14:textId="77777777" w:rsidR="007E7E33" w:rsidRDefault="007E7E33" w:rsidP="007E7E33">
      <w:pPr>
        <w:keepNext/>
        <w:keepLines/>
        <w:tabs>
          <w:tab w:val="left" w:pos="4510"/>
        </w:tabs>
      </w:pPr>
      <w:r w:rsidRPr="009D3B53">
        <w:t>Full name</w:t>
      </w:r>
      <w:r w:rsidRPr="009D3B53">
        <w:tab/>
        <w:t>Full name</w:t>
      </w:r>
    </w:p>
    <w:p w14:paraId="023A7D72" w14:textId="77777777" w:rsidR="007E7E33" w:rsidRDefault="007E7E33" w:rsidP="007E7E33">
      <w:pPr>
        <w:keepNext/>
        <w:keepLines/>
        <w:tabs>
          <w:tab w:val="left" w:pos="4510"/>
        </w:tabs>
      </w:pPr>
    </w:p>
    <w:p w14:paraId="18EB3D0F" w14:textId="77777777" w:rsidR="007E7E33" w:rsidRDefault="007E7E33" w:rsidP="007E7E33">
      <w:pPr>
        <w:keepNext/>
        <w:keepLines/>
        <w:tabs>
          <w:tab w:val="left" w:pos="4510"/>
        </w:tabs>
      </w:pPr>
    </w:p>
    <w:p w14:paraId="1392163C" w14:textId="77777777" w:rsidR="007E7E33" w:rsidRDefault="007E7E33" w:rsidP="007E7E33">
      <w:pPr>
        <w:keepNext/>
        <w:keepLines/>
        <w:tabs>
          <w:tab w:val="left" w:leader="dot" w:pos="4253"/>
          <w:tab w:val="left" w:pos="4536"/>
          <w:tab w:val="left" w:leader="dot" w:pos="8789"/>
        </w:tabs>
      </w:pPr>
      <w:r>
        <w:tab/>
      </w:r>
      <w:r>
        <w:tab/>
      </w:r>
      <w:r>
        <w:tab/>
      </w:r>
    </w:p>
    <w:p w14:paraId="666BC599" w14:textId="77777777" w:rsidR="007E7E33" w:rsidRDefault="007E7E33" w:rsidP="007E7E33">
      <w:pPr>
        <w:keepNext/>
        <w:keepLines/>
        <w:tabs>
          <w:tab w:val="left" w:pos="4510"/>
        </w:tabs>
      </w:pPr>
      <w:r>
        <w:t>Date</w:t>
      </w:r>
      <w:r>
        <w:tab/>
        <w:t>Date</w:t>
      </w:r>
    </w:p>
    <w:p w14:paraId="4F887B90" w14:textId="77777777" w:rsidR="007E7E33" w:rsidRDefault="007E7E33" w:rsidP="007E7E33"/>
    <w:p w14:paraId="38F32319" w14:textId="72E8C58E" w:rsidR="007E7E33" w:rsidRDefault="007E7E33">
      <w:r>
        <w:br w:type="page"/>
      </w:r>
    </w:p>
    <w:p w14:paraId="2B609189" w14:textId="21AED163" w:rsidR="00BB6095" w:rsidRDefault="00BB6095" w:rsidP="00BB6095">
      <w:pPr>
        <w:pStyle w:val="Heading1"/>
      </w:pPr>
      <w:bookmarkStart w:id="96" w:name="_Toc41325109"/>
      <w:bookmarkStart w:id="97" w:name="_Toc41328561"/>
      <w:bookmarkStart w:id="98" w:name="_Toc41335112"/>
      <w:bookmarkStart w:id="99" w:name="_Toc41335281"/>
      <w:bookmarkStart w:id="100" w:name="_Toc41340108"/>
      <w:bookmarkStart w:id="101" w:name="_Toc41345968"/>
      <w:bookmarkStart w:id="102" w:name="_Toc419972401"/>
      <w:bookmarkStart w:id="103" w:name="_Toc419754399"/>
      <w:bookmarkStart w:id="104" w:name="_Toc41325110"/>
      <w:bookmarkStart w:id="105" w:name="_Toc41328562"/>
      <w:bookmarkStart w:id="106" w:name="_Toc41335113"/>
      <w:bookmarkStart w:id="107" w:name="_Toc41335282"/>
      <w:bookmarkStart w:id="108" w:name="_Toc41340109"/>
      <w:bookmarkStart w:id="109" w:name="_Toc41345969"/>
      <w:bookmarkStart w:id="110" w:name="_Toc41325111"/>
      <w:bookmarkStart w:id="111" w:name="_Toc41328563"/>
      <w:bookmarkStart w:id="112" w:name="_Toc41335114"/>
      <w:bookmarkStart w:id="113" w:name="_Toc41335283"/>
      <w:bookmarkStart w:id="114" w:name="_Toc41340110"/>
      <w:bookmarkStart w:id="115" w:name="_Toc41345970"/>
      <w:bookmarkStart w:id="116" w:name="_Toc41325112"/>
      <w:bookmarkStart w:id="117" w:name="_Toc41328564"/>
      <w:bookmarkStart w:id="118" w:name="_Toc41335115"/>
      <w:bookmarkStart w:id="119" w:name="_Toc41335284"/>
      <w:bookmarkStart w:id="120" w:name="_Toc41340111"/>
      <w:bookmarkStart w:id="121" w:name="_Toc41345971"/>
      <w:bookmarkStart w:id="122" w:name="_Toc41325113"/>
      <w:bookmarkStart w:id="123" w:name="_Toc41328565"/>
      <w:bookmarkStart w:id="124" w:name="_Toc41335116"/>
      <w:bookmarkStart w:id="125" w:name="_Toc41335285"/>
      <w:bookmarkStart w:id="126" w:name="_Toc41340112"/>
      <w:bookmarkStart w:id="127" w:name="_Toc41345972"/>
      <w:bookmarkStart w:id="128" w:name="_Toc42783596"/>
      <w:bookmarkStart w:id="129" w:name="_Hlk29207519"/>
      <w:bookmarkStart w:id="130" w:name="_Ref419647647"/>
      <w:bookmarkEnd w:id="89"/>
      <w:bookmarkEnd w:id="90"/>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t>Overview of remuneration and funding</w:t>
      </w:r>
      <w:bookmarkEnd w:id="128"/>
      <w:r>
        <w:t xml:space="preserve"> </w:t>
      </w:r>
    </w:p>
    <w:p w14:paraId="32BC0DEF" w14:textId="4EDB74FE" w:rsidR="00BB6095" w:rsidRDefault="00BB6095" w:rsidP="00BB6095">
      <w:pPr>
        <w:pStyle w:val="Headingpara2"/>
      </w:pPr>
      <w:r>
        <w:t>Under this Agreement, remuneration and funding of Approved Pharmacists and others in the pharmaceutical supply chain (including p</w:t>
      </w:r>
      <w:r w:rsidRPr="00A439D1">
        <w:t xml:space="preserve">harmacy remuneration for dispensing </w:t>
      </w:r>
      <w:r w:rsidR="006C2CA7">
        <w:t>P</w:t>
      </w:r>
      <w:r w:rsidRPr="00A439D1">
        <w:t xml:space="preserve">harmaceutical </w:t>
      </w:r>
      <w:r w:rsidR="006C2CA7">
        <w:t>B</w:t>
      </w:r>
      <w:r>
        <w:t>enefits</w:t>
      </w:r>
      <w:r w:rsidRPr="00A439D1">
        <w:t xml:space="preserve"> priced below the Maximum Co</w:t>
      </w:r>
      <w:r>
        <w:t>p</w:t>
      </w:r>
      <w:r w:rsidRPr="00A439D1">
        <w:t>ayment</w:t>
      </w:r>
      <w:r>
        <w:t>)</w:t>
      </w:r>
      <w:r w:rsidRPr="00A439D1">
        <w:t xml:space="preserve"> </w:t>
      </w:r>
      <w:r>
        <w:t xml:space="preserve">is estimated to be </w:t>
      </w:r>
      <w:r w:rsidRPr="00D66F53">
        <w:t>$</w:t>
      </w:r>
      <w:r w:rsidR="00AF3EEC" w:rsidRPr="00D66F53">
        <w:t>25.3</w:t>
      </w:r>
      <w:r w:rsidR="00D66F53">
        <w:t> </w:t>
      </w:r>
      <w:r>
        <w:t>billion over the Term, comprising:</w:t>
      </w:r>
    </w:p>
    <w:p w14:paraId="736F6981" w14:textId="7A8136F1" w:rsidR="00BB6095" w:rsidRPr="00F42B88" w:rsidRDefault="00BB6095" w:rsidP="00B84290">
      <w:pPr>
        <w:pStyle w:val="Heading3"/>
      </w:pPr>
      <w:r>
        <w:t xml:space="preserve">Commonwealth </w:t>
      </w:r>
      <w:r w:rsidRPr="00F42B88">
        <w:t>contributions of $</w:t>
      </w:r>
      <w:r w:rsidR="00AF3EEC" w:rsidRPr="00F42B88">
        <w:t>15.85</w:t>
      </w:r>
      <w:r w:rsidRPr="00F42B88">
        <w:t xml:space="preserve"> billion; and</w:t>
      </w:r>
    </w:p>
    <w:p w14:paraId="142F7858" w14:textId="0C1FCB00" w:rsidR="00BB6095" w:rsidRDefault="00BB6095" w:rsidP="00B84290">
      <w:pPr>
        <w:pStyle w:val="Heading3"/>
      </w:pPr>
      <w:r w:rsidRPr="00F42B88">
        <w:t>patient contributions of $</w:t>
      </w:r>
      <w:r w:rsidR="00AF3EEC" w:rsidRPr="00F42B88">
        <w:t>9.45</w:t>
      </w:r>
      <w:r w:rsidRPr="00F42B88">
        <w:t xml:space="preserve"> billion</w:t>
      </w:r>
      <w:r>
        <w:t>.</w:t>
      </w:r>
    </w:p>
    <w:p w14:paraId="36796B09" w14:textId="4AA37F22" w:rsidR="00B84290" w:rsidRPr="00B84290" w:rsidRDefault="00BB6095" w:rsidP="00FE01BF">
      <w:pPr>
        <w:pStyle w:val="Headingpara2"/>
      </w:pPr>
      <w:r w:rsidRPr="00B84290">
        <w:t>Table</w:t>
      </w:r>
      <w:r w:rsidRPr="00B84290">
        <w:rPr>
          <w:rFonts w:eastAsiaTheme="minorHAnsi"/>
          <w:noProof/>
        </w:rPr>
        <w:t xml:space="preserve"> </w:t>
      </w:r>
      <w:r w:rsidRPr="00B84290">
        <w:t>1 sets out details of the contributions expected to be made by the Commonwealth and patients during the Term.</w:t>
      </w:r>
    </w:p>
    <w:p w14:paraId="2036B47F" w14:textId="6891F736" w:rsidR="00B84290" w:rsidRDefault="00B84290" w:rsidP="00480357">
      <w:bookmarkStart w:id="131" w:name="_Hlk41333159"/>
    </w:p>
    <w:p w14:paraId="3B956DBD" w14:textId="77777777" w:rsidR="00BB6095" w:rsidRDefault="00BB6095" w:rsidP="00BB6095">
      <w:pPr>
        <w:ind w:left="851"/>
        <w:rPr>
          <w:rFonts w:eastAsiaTheme="minorHAnsi"/>
          <w:b/>
          <w:noProof/>
        </w:rPr>
      </w:pPr>
      <w:r w:rsidRPr="00877DAD">
        <w:rPr>
          <w:rFonts w:eastAsiaTheme="minorHAnsi"/>
          <w:b/>
          <w:noProof/>
        </w:rPr>
        <w:t>Table 1: Components of the remuneration and funding</w:t>
      </w:r>
    </w:p>
    <w:p w14:paraId="7F6633D4" w14:textId="701652A7" w:rsidR="00BB6095" w:rsidRPr="003111EA" w:rsidRDefault="00BB6095" w:rsidP="00BB6095">
      <w:pPr>
        <w:ind w:left="851"/>
        <w:rPr>
          <w:rFonts w:eastAsiaTheme="minorHAnsi"/>
          <w:noProof/>
        </w:rPr>
      </w:pPr>
    </w:p>
    <w:tbl>
      <w:tblPr>
        <w:tblStyle w:val="TableGrid1"/>
        <w:tblW w:w="8080" w:type="dxa"/>
        <w:tblInd w:w="846" w:type="dxa"/>
        <w:tblLook w:val="04A0" w:firstRow="1" w:lastRow="0" w:firstColumn="1" w:lastColumn="0" w:noHBand="0" w:noVBand="1"/>
        <w:tblDescription w:val="Table 1: Components of the remuneration and funding"/>
      </w:tblPr>
      <w:tblGrid>
        <w:gridCol w:w="4159"/>
        <w:gridCol w:w="2229"/>
        <w:gridCol w:w="1692"/>
      </w:tblGrid>
      <w:tr w:rsidR="00BB6095" w:rsidRPr="009D3B53" w14:paraId="0320CBE1" w14:textId="77777777" w:rsidTr="00750E42">
        <w:trPr>
          <w:tblHeader/>
        </w:trPr>
        <w:tc>
          <w:tcPr>
            <w:tcW w:w="4159" w:type="dxa"/>
            <w:shd w:val="clear" w:color="auto" w:fill="0070C0"/>
          </w:tcPr>
          <w:p w14:paraId="0EDF43D4" w14:textId="77777777" w:rsidR="00BB6095" w:rsidRPr="009D3B53" w:rsidRDefault="00BB6095" w:rsidP="00A41B45">
            <w:pPr>
              <w:keepNext/>
              <w:ind w:left="176"/>
              <w:rPr>
                <w:rFonts w:cs="Arial"/>
                <w:b/>
                <w:noProof/>
                <w:color w:val="FFFFFF" w:themeColor="background1"/>
                <w:sz w:val="20"/>
                <w:szCs w:val="20"/>
              </w:rPr>
            </w:pPr>
            <w:r w:rsidRPr="009D3B53">
              <w:rPr>
                <w:rFonts w:cs="Arial"/>
                <w:b/>
                <w:noProof/>
                <w:color w:val="FFFFFF" w:themeColor="background1"/>
                <w:sz w:val="20"/>
                <w:szCs w:val="20"/>
              </w:rPr>
              <w:t>Component</w:t>
            </w:r>
          </w:p>
        </w:tc>
        <w:tc>
          <w:tcPr>
            <w:tcW w:w="2229" w:type="dxa"/>
            <w:shd w:val="clear" w:color="auto" w:fill="0070C0"/>
          </w:tcPr>
          <w:p w14:paraId="2639E094" w14:textId="77777777" w:rsidR="00BB6095" w:rsidRPr="009D3B53" w:rsidRDefault="00BB6095" w:rsidP="00A41B45">
            <w:pPr>
              <w:keepNext/>
              <w:ind w:left="176" w:hanging="1"/>
              <w:rPr>
                <w:rFonts w:cs="Arial"/>
                <w:b/>
                <w:noProof/>
                <w:color w:val="FFFFFF" w:themeColor="background1"/>
                <w:sz w:val="20"/>
                <w:szCs w:val="20"/>
              </w:rPr>
            </w:pPr>
            <w:r w:rsidRPr="009D3B53">
              <w:rPr>
                <w:rFonts w:cs="Arial"/>
                <w:b/>
                <w:noProof/>
                <w:color w:val="FFFFFF" w:themeColor="background1"/>
                <w:sz w:val="20"/>
                <w:szCs w:val="20"/>
              </w:rPr>
              <w:t>Contributor</w:t>
            </w:r>
          </w:p>
        </w:tc>
        <w:tc>
          <w:tcPr>
            <w:tcW w:w="1692" w:type="dxa"/>
            <w:shd w:val="clear" w:color="auto" w:fill="0070C0"/>
          </w:tcPr>
          <w:p w14:paraId="156948F6" w14:textId="77777777" w:rsidR="00BB6095" w:rsidRPr="009D3B53" w:rsidRDefault="00BB6095" w:rsidP="00A41B45">
            <w:pPr>
              <w:keepNext/>
              <w:ind w:left="176" w:hanging="1"/>
              <w:jc w:val="center"/>
              <w:rPr>
                <w:rFonts w:cs="Arial"/>
                <w:b/>
                <w:noProof/>
                <w:color w:val="FFFFFF" w:themeColor="background1"/>
                <w:sz w:val="20"/>
                <w:szCs w:val="20"/>
              </w:rPr>
            </w:pPr>
            <w:r w:rsidRPr="009D3B53">
              <w:rPr>
                <w:rFonts w:cs="Arial"/>
                <w:b/>
                <w:noProof/>
                <w:color w:val="FFFFFF" w:themeColor="background1"/>
                <w:sz w:val="20"/>
                <w:szCs w:val="20"/>
              </w:rPr>
              <w:t>$million (estimated)</w:t>
            </w:r>
          </w:p>
        </w:tc>
      </w:tr>
      <w:tr w:rsidR="00BB6095" w:rsidRPr="009D3B53" w14:paraId="36724724" w14:textId="77777777" w:rsidTr="00750E42">
        <w:trPr>
          <w:trHeight w:val="375"/>
        </w:trPr>
        <w:tc>
          <w:tcPr>
            <w:tcW w:w="4159" w:type="dxa"/>
            <w:vMerge w:val="restart"/>
          </w:tcPr>
          <w:p w14:paraId="1C3A274B" w14:textId="54240D5D" w:rsidR="00BB6095" w:rsidRPr="004639A6" w:rsidRDefault="00BB6095" w:rsidP="00A41B45">
            <w:pPr>
              <w:keepNext/>
              <w:spacing w:before="20" w:after="20"/>
              <w:ind w:left="34"/>
              <w:rPr>
                <w:rFonts w:cs="Arial"/>
                <w:noProof/>
                <w:sz w:val="20"/>
                <w:szCs w:val="20"/>
              </w:rPr>
            </w:pPr>
            <w:r w:rsidRPr="004639A6">
              <w:rPr>
                <w:rFonts w:cs="Arial"/>
                <w:noProof/>
                <w:sz w:val="20"/>
                <w:szCs w:val="20"/>
              </w:rPr>
              <w:t xml:space="preserve">Pharmacy remuneration for </w:t>
            </w:r>
            <w:r w:rsidR="00AF3EEC" w:rsidRPr="004639A6">
              <w:rPr>
                <w:rFonts w:cs="Arial"/>
                <w:noProof/>
                <w:sz w:val="20"/>
                <w:szCs w:val="20"/>
              </w:rPr>
              <w:t xml:space="preserve">the dispensing of </w:t>
            </w:r>
            <w:r w:rsidRPr="004639A6">
              <w:rPr>
                <w:rFonts w:cs="Arial"/>
                <w:noProof/>
                <w:sz w:val="20"/>
                <w:szCs w:val="20"/>
              </w:rPr>
              <w:t>Pharmaceutical Benefits that are Commonwealth subsidised, including dispensing fee, Administration Handling and Infrastructure Fee and Dangerous Drug fee</w:t>
            </w:r>
          </w:p>
        </w:tc>
        <w:tc>
          <w:tcPr>
            <w:tcW w:w="2229" w:type="dxa"/>
          </w:tcPr>
          <w:p w14:paraId="7E0236B2" w14:textId="77777777" w:rsidR="00BB6095" w:rsidRPr="004639A6" w:rsidRDefault="00BB6095" w:rsidP="00A41B45">
            <w:pPr>
              <w:keepNext/>
              <w:spacing w:before="20" w:after="20"/>
              <w:rPr>
                <w:rFonts w:cs="Arial"/>
                <w:noProof/>
                <w:sz w:val="20"/>
                <w:szCs w:val="20"/>
              </w:rPr>
            </w:pPr>
            <w:r w:rsidRPr="004639A6">
              <w:rPr>
                <w:rFonts w:cs="Arial"/>
                <w:noProof/>
                <w:sz w:val="20"/>
                <w:szCs w:val="20"/>
              </w:rPr>
              <w:t xml:space="preserve">Commonwealth </w:t>
            </w:r>
          </w:p>
        </w:tc>
        <w:tc>
          <w:tcPr>
            <w:tcW w:w="1692" w:type="dxa"/>
            <w:shd w:val="clear" w:color="auto" w:fill="auto"/>
          </w:tcPr>
          <w:p w14:paraId="35F94253" w14:textId="72F71E5B" w:rsidR="00BB6095" w:rsidRPr="004639A6" w:rsidRDefault="00AF3EEC" w:rsidP="00A41B45">
            <w:pPr>
              <w:keepNext/>
              <w:spacing w:before="20" w:after="20"/>
              <w:ind w:left="176" w:hanging="87"/>
              <w:jc w:val="center"/>
              <w:rPr>
                <w:rFonts w:cs="Arial"/>
                <w:noProof/>
                <w:sz w:val="20"/>
                <w:szCs w:val="20"/>
              </w:rPr>
            </w:pPr>
            <w:r w:rsidRPr="004639A6">
              <w:rPr>
                <w:rFonts w:cs="Arial"/>
                <w:noProof/>
                <w:sz w:val="20"/>
                <w:szCs w:val="20"/>
              </w:rPr>
              <w:t>$11,757</w:t>
            </w:r>
          </w:p>
        </w:tc>
      </w:tr>
      <w:bookmarkEnd w:id="131"/>
      <w:tr w:rsidR="00BB6095" w:rsidRPr="009D3B53" w14:paraId="721C588F" w14:textId="77777777" w:rsidTr="00750E42">
        <w:trPr>
          <w:trHeight w:val="374"/>
        </w:trPr>
        <w:tc>
          <w:tcPr>
            <w:tcW w:w="4159" w:type="dxa"/>
            <w:vMerge/>
          </w:tcPr>
          <w:p w14:paraId="591FF383" w14:textId="77777777" w:rsidR="00BB6095" w:rsidRPr="004639A6" w:rsidRDefault="00BB6095" w:rsidP="00A41B45">
            <w:pPr>
              <w:spacing w:before="20" w:after="20"/>
              <w:ind w:left="34"/>
              <w:rPr>
                <w:rFonts w:cs="Arial"/>
                <w:noProof/>
                <w:sz w:val="20"/>
                <w:szCs w:val="20"/>
              </w:rPr>
            </w:pPr>
          </w:p>
        </w:tc>
        <w:tc>
          <w:tcPr>
            <w:tcW w:w="2229" w:type="dxa"/>
          </w:tcPr>
          <w:p w14:paraId="39CDD4B6" w14:textId="77777777" w:rsidR="00BB6095" w:rsidRPr="004639A6" w:rsidRDefault="00BB6095" w:rsidP="00A41B45">
            <w:pPr>
              <w:spacing w:before="20" w:after="20"/>
              <w:rPr>
                <w:rFonts w:cs="Arial"/>
                <w:noProof/>
                <w:sz w:val="20"/>
                <w:szCs w:val="20"/>
              </w:rPr>
            </w:pPr>
            <w:r w:rsidRPr="004639A6">
              <w:rPr>
                <w:rFonts w:cs="Arial"/>
                <w:noProof/>
                <w:sz w:val="20"/>
                <w:szCs w:val="20"/>
              </w:rPr>
              <w:t>Patient</w:t>
            </w:r>
          </w:p>
        </w:tc>
        <w:tc>
          <w:tcPr>
            <w:tcW w:w="1692" w:type="dxa"/>
            <w:shd w:val="clear" w:color="auto" w:fill="auto"/>
          </w:tcPr>
          <w:p w14:paraId="28662814" w14:textId="2F750112" w:rsidR="00BB6095" w:rsidRPr="004639A6" w:rsidRDefault="00AF3EEC" w:rsidP="00A41B45">
            <w:pPr>
              <w:spacing w:before="20" w:after="20"/>
              <w:ind w:left="176" w:hanging="87"/>
              <w:jc w:val="center"/>
              <w:rPr>
                <w:rFonts w:cs="Arial"/>
                <w:noProof/>
                <w:sz w:val="20"/>
                <w:szCs w:val="20"/>
              </w:rPr>
            </w:pPr>
            <w:r w:rsidRPr="004639A6">
              <w:rPr>
                <w:rFonts w:cs="Arial"/>
                <w:noProof/>
                <w:sz w:val="20"/>
                <w:szCs w:val="20"/>
              </w:rPr>
              <w:t>$2,177</w:t>
            </w:r>
          </w:p>
        </w:tc>
      </w:tr>
      <w:tr w:rsidR="00750E42" w:rsidRPr="009D3B53" w14:paraId="5ED71158" w14:textId="77777777" w:rsidTr="00750E42">
        <w:trPr>
          <w:cantSplit/>
          <w:trHeight w:val="400"/>
        </w:trPr>
        <w:tc>
          <w:tcPr>
            <w:tcW w:w="4159" w:type="dxa"/>
            <w:vMerge w:val="restart"/>
          </w:tcPr>
          <w:p w14:paraId="415798C6" w14:textId="5BE63A45" w:rsidR="00750E42" w:rsidRPr="004639A6" w:rsidRDefault="00750E42" w:rsidP="00750E42">
            <w:pPr>
              <w:spacing w:before="20" w:after="20"/>
              <w:ind w:left="34"/>
              <w:rPr>
                <w:rFonts w:cs="Arial"/>
                <w:noProof/>
              </w:rPr>
            </w:pPr>
            <w:r w:rsidRPr="004639A6">
              <w:rPr>
                <w:rFonts w:cs="Arial"/>
                <w:noProof/>
                <w:sz w:val="20"/>
                <w:szCs w:val="20"/>
              </w:rPr>
              <w:t>Remuneration for wholesalers to hold and deliver subsidised Pharmaceutical Benefits to Approved Pharmacists (excluding the Community Service Obligation)</w:t>
            </w:r>
          </w:p>
        </w:tc>
        <w:tc>
          <w:tcPr>
            <w:tcW w:w="2229" w:type="dxa"/>
          </w:tcPr>
          <w:p w14:paraId="588CB9CC" w14:textId="2A56490D" w:rsidR="00750E42" w:rsidRPr="004639A6" w:rsidRDefault="00750E42" w:rsidP="00750E42">
            <w:pPr>
              <w:keepNext/>
              <w:spacing w:before="20" w:after="20"/>
              <w:rPr>
                <w:rFonts w:cs="Arial"/>
                <w:noProof/>
              </w:rPr>
            </w:pPr>
            <w:r w:rsidRPr="004639A6">
              <w:rPr>
                <w:rFonts w:cs="Arial"/>
                <w:noProof/>
                <w:sz w:val="20"/>
                <w:szCs w:val="20"/>
              </w:rPr>
              <w:t xml:space="preserve">Commonwealth </w:t>
            </w:r>
          </w:p>
        </w:tc>
        <w:tc>
          <w:tcPr>
            <w:tcW w:w="1692" w:type="dxa"/>
            <w:shd w:val="clear" w:color="auto" w:fill="auto"/>
          </w:tcPr>
          <w:p w14:paraId="29C0A718" w14:textId="4B3D4559" w:rsidR="00750E42" w:rsidRPr="004639A6" w:rsidRDefault="00750E42" w:rsidP="00750E42">
            <w:pPr>
              <w:keepNext/>
              <w:spacing w:before="20" w:after="20"/>
              <w:jc w:val="center"/>
              <w:rPr>
                <w:rFonts w:cs="Arial"/>
                <w:noProof/>
              </w:rPr>
            </w:pPr>
            <w:r w:rsidRPr="004639A6">
              <w:rPr>
                <w:rFonts w:cs="Arial"/>
                <w:noProof/>
                <w:sz w:val="20"/>
                <w:szCs w:val="20"/>
              </w:rPr>
              <w:t>$1,746</w:t>
            </w:r>
          </w:p>
        </w:tc>
      </w:tr>
      <w:tr w:rsidR="00750E42" w:rsidRPr="009D3B53" w14:paraId="1406933B" w14:textId="77777777" w:rsidTr="00750E42">
        <w:trPr>
          <w:cantSplit/>
          <w:trHeight w:val="399"/>
        </w:trPr>
        <w:tc>
          <w:tcPr>
            <w:tcW w:w="4159" w:type="dxa"/>
            <w:vMerge/>
          </w:tcPr>
          <w:p w14:paraId="3464F9BF" w14:textId="77777777" w:rsidR="00750E42" w:rsidRPr="004639A6" w:rsidRDefault="00750E42" w:rsidP="00750E42">
            <w:pPr>
              <w:spacing w:before="20" w:after="20"/>
              <w:ind w:left="34"/>
              <w:rPr>
                <w:rFonts w:cs="Arial"/>
                <w:noProof/>
              </w:rPr>
            </w:pPr>
          </w:p>
        </w:tc>
        <w:tc>
          <w:tcPr>
            <w:tcW w:w="2229" w:type="dxa"/>
          </w:tcPr>
          <w:p w14:paraId="20CDD3A1" w14:textId="4F9F4E65" w:rsidR="00750E42" w:rsidRPr="00750E42" w:rsidRDefault="00750E42" w:rsidP="00750E42">
            <w:pPr>
              <w:keepNext/>
              <w:spacing w:before="20" w:after="20"/>
              <w:rPr>
                <w:rFonts w:cs="Arial"/>
                <w:noProof/>
                <w:sz w:val="20"/>
                <w:szCs w:val="20"/>
              </w:rPr>
            </w:pPr>
            <w:r w:rsidRPr="00750E42">
              <w:rPr>
                <w:rFonts w:cs="Arial"/>
                <w:noProof/>
                <w:sz w:val="20"/>
                <w:szCs w:val="20"/>
              </w:rPr>
              <w:t>Patient</w:t>
            </w:r>
          </w:p>
        </w:tc>
        <w:tc>
          <w:tcPr>
            <w:tcW w:w="1692" w:type="dxa"/>
            <w:shd w:val="clear" w:color="auto" w:fill="auto"/>
          </w:tcPr>
          <w:p w14:paraId="133C86A8" w14:textId="58A1B496" w:rsidR="00750E42" w:rsidRPr="00750E42" w:rsidRDefault="00750E42" w:rsidP="00750E42">
            <w:pPr>
              <w:keepNext/>
              <w:spacing w:before="20" w:after="20"/>
              <w:jc w:val="center"/>
              <w:rPr>
                <w:rFonts w:cs="Arial"/>
                <w:noProof/>
                <w:sz w:val="20"/>
                <w:szCs w:val="20"/>
              </w:rPr>
            </w:pPr>
            <w:r w:rsidRPr="00750E42">
              <w:rPr>
                <w:rFonts w:cs="Arial"/>
                <w:noProof/>
                <w:sz w:val="20"/>
                <w:szCs w:val="20"/>
              </w:rPr>
              <w:t>$320</w:t>
            </w:r>
          </w:p>
        </w:tc>
      </w:tr>
      <w:tr w:rsidR="00750E42" w:rsidRPr="009D3B53" w14:paraId="79D18AAC" w14:textId="77777777" w:rsidTr="00750E42">
        <w:trPr>
          <w:cantSplit/>
          <w:trHeight w:val="202"/>
        </w:trPr>
        <w:tc>
          <w:tcPr>
            <w:tcW w:w="4159" w:type="dxa"/>
            <w:vMerge w:val="restart"/>
          </w:tcPr>
          <w:p w14:paraId="447E6939" w14:textId="06218181" w:rsidR="00750E42" w:rsidRPr="004639A6" w:rsidRDefault="00750E42" w:rsidP="00750E42">
            <w:pPr>
              <w:spacing w:before="20" w:after="20"/>
              <w:ind w:left="34"/>
              <w:rPr>
                <w:rFonts w:cs="Arial"/>
                <w:noProof/>
                <w:sz w:val="20"/>
                <w:szCs w:val="20"/>
              </w:rPr>
            </w:pPr>
            <w:r w:rsidRPr="004639A6">
              <w:rPr>
                <w:rFonts w:cs="Arial"/>
                <w:noProof/>
                <w:sz w:val="20"/>
                <w:szCs w:val="20"/>
              </w:rPr>
              <w:t xml:space="preserve">Pharmacy remuneration for the dispensing of Pharmaceutical Benefits that are not Commonwealth subsidised*, including wholesaler remuneration, dispensing fee, Administration Handling and Infrastructure Fee and Dangerous Drug fee </w:t>
            </w:r>
          </w:p>
        </w:tc>
        <w:tc>
          <w:tcPr>
            <w:tcW w:w="2229" w:type="dxa"/>
          </w:tcPr>
          <w:p w14:paraId="4097928A" w14:textId="0254FCE3" w:rsidR="00750E42" w:rsidRPr="004639A6" w:rsidRDefault="00750E42" w:rsidP="00750E42">
            <w:pPr>
              <w:keepNext/>
              <w:spacing w:before="20" w:after="20"/>
              <w:rPr>
                <w:rFonts w:cs="Arial"/>
                <w:noProof/>
                <w:sz w:val="20"/>
                <w:szCs w:val="20"/>
              </w:rPr>
            </w:pPr>
            <w:r w:rsidRPr="004639A6">
              <w:rPr>
                <w:rFonts w:cs="Arial"/>
                <w:noProof/>
                <w:sz w:val="20"/>
                <w:szCs w:val="20"/>
              </w:rPr>
              <w:t>Commonwealth</w:t>
            </w:r>
          </w:p>
        </w:tc>
        <w:tc>
          <w:tcPr>
            <w:tcW w:w="1692" w:type="dxa"/>
            <w:shd w:val="clear" w:color="auto" w:fill="auto"/>
          </w:tcPr>
          <w:p w14:paraId="11DD8204" w14:textId="761442D6" w:rsidR="00750E42" w:rsidRPr="004639A6" w:rsidRDefault="00750E42" w:rsidP="00750E42">
            <w:pPr>
              <w:keepNext/>
              <w:spacing w:before="20" w:after="20"/>
              <w:jc w:val="center"/>
              <w:rPr>
                <w:rFonts w:cs="Arial"/>
                <w:noProof/>
                <w:sz w:val="20"/>
                <w:szCs w:val="20"/>
              </w:rPr>
            </w:pPr>
            <w:r w:rsidRPr="004639A6">
              <w:rPr>
                <w:rFonts w:cs="Arial"/>
                <w:noProof/>
                <w:sz w:val="20"/>
                <w:szCs w:val="20"/>
              </w:rPr>
              <w:t>N/A</w:t>
            </w:r>
          </w:p>
        </w:tc>
      </w:tr>
      <w:tr w:rsidR="00750E42" w:rsidRPr="009D3B53" w14:paraId="51DA2952" w14:textId="77777777" w:rsidTr="00750E42">
        <w:trPr>
          <w:trHeight w:val="202"/>
        </w:trPr>
        <w:tc>
          <w:tcPr>
            <w:tcW w:w="4159" w:type="dxa"/>
            <w:vMerge/>
          </w:tcPr>
          <w:p w14:paraId="76C1E3AA" w14:textId="77777777" w:rsidR="00750E42" w:rsidRPr="004639A6" w:rsidRDefault="00750E42" w:rsidP="00750E42">
            <w:pPr>
              <w:spacing w:before="20" w:after="20"/>
              <w:ind w:left="34"/>
              <w:rPr>
                <w:rFonts w:cs="Arial"/>
                <w:noProof/>
                <w:sz w:val="20"/>
                <w:szCs w:val="20"/>
              </w:rPr>
            </w:pPr>
          </w:p>
        </w:tc>
        <w:tc>
          <w:tcPr>
            <w:tcW w:w="2229" w:type="dxa"/>
          </w:tcPr>
          <w:p w14:paraId="0747E247" w14:textId="77777777" w:rsidR="00750E42" w:rsidRPr="004639A6" w:rsidRDefault="00750E42" w:rsidP="00750E42">
            <w:pPr>
              <w:keepNext/>
              <w:spacing w:before="20" w:after="20"/>
              <w:rPr>
                <w:rFonts w:cs="Arial"/>
                <w:noProof/>
                <w:sz w:val="20"/>
                <w:szCs w:val="20"/>
              </w:rPr>
            </w:pPr>
            <w:r w:rsidRPr="004639A6">
              <w:rPr>
                <w:rFonts w:cs="Arial"/>
                <w:noProof/>
                <w:sz w:val="20"/>
                <w:szCs w:val="20"/>
              </w:rPr>
              <w:t>Patient</w:t>
            </w:r>
          </w:p>
        </w:tc>
        <w:tc>
          <w:tcPr>
            <w:tcW w:w="1692" w:type="dxa"/>
            <w:shd w:val="clear" w:color="auto" w:fill="auto"/>
          </w:tcPr>
          <w:p w14:paraId="6BC07876" w14:textId="46D170C6" w:rsidR="00750E42" w:rsidRPr="004639A6" w:rsidRDefault="00750E42" w:rsidP="00750E42">
            <w:pPr>
              <w:spacing w:before="20" w:after="20"/>
              <w:jc w:val="center"/>
              <w:rPr>
                <w:rFonts w:cs="Arial"/>
                <w:noProof/>
                <w:sz w:val="20"/>
                <w:szCs w:val="20"/>
              </w:rPr>
            </w:pPr>
            <w:r w:rsidRPr="004639A6">
              <w:rPr>
                <w:rFonts w:cs="Arial"/>
                <w:noProof/>
                <w:sz w:val="20"/>
                <w:szCs w:val="20"/>
              </w:rPr>
              <w:t>$6,954</w:t>
            </w:r>
          </w:p>
        </w:tc>
      </w:tr>
      <w:tr w:rsidR="00750E42" w:rsidRPr="009D3B53" w14:paraId="208B354F" w14:textId="77777777" w:rsidTr="00750E42">
        <w:trPr>
          <w:trHeight w:val="202"/>
        </w:trPr>
        <w:tc>
          <w:tcPr>
            <w:tcW w:w="4159" w:type="dxa"/>
            <w:vMerge w:val="restart"/>
          </w:tcPr>
          <w:p w14:paraId="397022B4" w14:textId="34F6D8C5" w:rsidR="00750E42" w:rsidRPr="004639A6" w:rsidRDefault="00750E42" w:rsidP="00750E42">
            <w:pPr>
              <w:spacing w:before="20" w:after="20"/>
              <w:ind w:left="34"/>
              <w:rPr>
                <w:rFonts w:cs="Arial"/>
                <w:noProof/>
                <w:sz w:val="20"/>
                <w:szCs w:val="20"/>
              </w:rPr>
            </w:pPr>
            <w:r w:rsidRPr="004639A6">
              <w:rPr>
                <w:rFonts w:cs="Arial"/>
                <w:noProof/>
                <w:sz w:val="20"/>
                <w:szCs w:val="20"/>
              </w:rPr>
              <w:t>Community Pharmacy Programs</w:t>
            </w:r>
          </w:p>
        </w:tc>
        <w:tc>
          <w:tcPr>
            <w:tcW w:w="2229" w:type="dxa"/>
          </w:tcPr>
          <w:p w14:paraId="1DF02D28" w14:textId="77777777" w:rsidR="00750E42" w:rsidRPr="004639A6" w:rsidRDefault="00750E42" w:rsidP="00750E42">
            <w:pPr>
              <w:spacing w:before="20" w:after="20"/>
              <w:rPr>
                <w:rFonts w:cs="Arial"/>
                <w:noProof/>
                <w:sz w:val="20"/>
                <w:szCs w:val="20"/>
              </w:rPr>
            </w:pPr>
            <w:r w:rsidRPr="004639A6">
              <w:rPr>
                <w:rFonts w:cs="Arial"/>
                <w:noProof/>
                <w:sz w:val="20"/>
                <w:szCs w:val="20"/>
              </w:rPr>
              <w:t>Commonwealth</w:t>
            </w:r>
          </w:p>
        </w:tc>
        <w:tc>
          <w:tcPr>
            <w:tcW w:w="1692" w:type="dxa"/>
            <w:shd w:val="clear" w:color="auto" w:fill="auto"/>
          </w:tcPr>
          <w:p w14:paraId="2201223D" w14:textId="7B05EB96" w:rsidR="00750E42" w:rsidRPr="004639A6" w:rsidRDefault="00750E42" w:rsidP="00750E42">
            <w:pPr>
              <w:spacing w:before="20" w:after="20"/>
              <w:jc w:val="center"/>
              <w:rPr>
                <w:rFonts w:cs="Arial"/>
                <w:noProof/>
                <w:sz w:val="20"/>
                <w:szCs w:val="20"/>
              </w:rPr>
            </w:pPr>
            <w:r w:rsidRPr="004639A6">
              <w:rPr>
                <w:rFonts w:cs="Arial"/>
                <w:noProof/>
                <w:sz w:val="20"/>
                <w:szCs w:val="20"/>
              </w:rPr>
              <w:t>$1,200</w:t>
            </w:r>
          </w:p>
        </w:tc>
      </w:tr>
      <w:tr w:rsidR="00750E42" w:rsidRPr="009D3B53" w14:paraId="4599A2EE" w14:textId="77777777" w:rsidTr="00750E42">
        <w:trPr>
          <w:trHeight w:val="201"/>
        </w:trPr>
        <w:tc>
          <w:tcPr>
            <w:tcW w:w="4159" w:type="dxa"/>
            <w:vMerge/>
          </w:tcPr>
          <w:p w14:paraId="1788E58D" w14:textId="77777777" w:rsidR="00750E42" w:rsidRPr="004639A6" w:rsidRDefault="00750E42" w:rsidP="00750E42">
            <w:pPr>
              <w:spacing w:before="20" w:after="20"/>
              <w:ind w:left="34"/>
              <w:rPr>
                <w:rFonts w:cs="Arial"/>
                <w:noProof/>
                <w:sz w:val="20"/>
                <w:szCs w:val="20"/>
              </w:rPr>
            </w:pPr>
          </w:p>
        </w:tc>
        <w:tc>
          <w:tcPr>
            <w:tcW w:w="2229" w:type="dxa"/>
          </w:tcPr>
          <w:p w14:paraId="79DB217E" w14:textId="77777777" w:rsidR="00750E42" w:rsidRPr="004639A6" w:rsidRDefault="00750E42" w:rsidP="00750E42">
            <w:pPr>
              <w:spacing w:before="20" w:after="20"/>
              <w:rPr>
                <w:rFonts w:cs="Arial"/>
                <w:noProof/>
                <w:sz w:val="20"/>
                <w:szCs w:val="20"/>
              </w:rPr>
            </w:pPr>
            <w:r w:rsidRPr="004639A6">
              <w:rPr>
                <w:rFonts w:cs="Arial"/>
                <w:noProof/>
                <w:sz w:val="20"/>
                <w:szCs w:val="20"/>
              </w:rPr>
              <w:t>Patient</w:t>
            </w:r>
          </w:p>
        </w:tc>
        <w:tc>
          <w:tcPr>
            <w:tcW w:w="1692" w:type="dxa"/>
            <w:shd w:val="clear" w:color="auto" w:fill="auto"/>
          </w:tcPr>
          <w:p w14:paraId="66A0E5B8" w14:textId="18FFCA0E" w:rsidR="00750E42" w:rsidRPr="004639A6" w:rsidRDefault="00750E42" w:rsidP="00750E42">
            <w:pPr>
              <w:spacing w:before="20" w:after="20"/>
              <w:jc w:val="center"/>
              <w:rPr>
                <w:rFonts w:cs="Arial"/>
                <w:noProof/>
                <w:sz w:val="20"/>
                <w:szCs w:val="20"/>
              </w:rPr>
            </w:pPr>
            <w:r w:rsidRPr="004639A6">
              <w:rPr>
                <w:rFonts w:cs="Arial"/>
                <w:noProof/>
                <w:sz w:val="20"/>
                <w:szCs w:val="20"/>
              </w:rPr>
              <w:t>As set under the Community Pharmacy Programs</w:t>
            </w:r>
          </w:p>
        </w:tc>
      </w:tr>
      <w:tr w:rsidR="00750E42" w:rsidRPr="009D3B53" w14:paraId="1F359B94" w14:textId="77777777" w:rsidTr="00750E42">
        <w:trPr>
          <w:trHeight w:val="202"/>
        </w:trPr>
        <w:tc>
          <w:tcPr>
            <w:tcW w:w="4159" w:type="dxa"/>
            <w:vMerge w:val="restart"/>
          </w:tcPr>
          <w:p w14:paraId="2E9F2468" w14:textId="77777777" w:rsidR="00750E42" w:rsidRPr="004639A6" w:rsidRDefault="00750E42" w:rsidP="00750E42">
            <w:pPr>
              <w:spacing w:before="20" w:after="20"/>
              <w:ind w:left="34"/>
              <w:rPr>
                <w:rFonts w:cs="Arial"/>
                <w:noProof/>
                <w:sz w:val="20"/>
                <w:szCs w:val="20"/>
              </w:rPr>
            </w:pPr>
            <w:r w:rsidRPr="004639A6">
              <w:rPr>
                <w:rFonts w:cs="Arial"/>
                <w:noProof/>
                <w:sz w:val="20"/>
                <w:szCs w:val="20"/>
              </w:rPr>
              <w:t xml:space="preserve">Community Service Obligation funding </w:t>
            </w:r>
          </w:p>
        </w:tc>
        <w:tc>
          <w:tcPr>
            <w:tcW w:w="2229" w:type="dxa"/>
          </w:tcPr>
          <w:p w14:paraId="2A446B0C" w14:textId="77777777" w:rsidR="00750E42" w:rsidRPr="004639A6" w:rsidRDefault="00750E42" w:rsidP="00750E42">
            <w:pPr>
              <w:spacing w:before="20" w:after="20"/>
              <w:rPr>
                <w:rFonts w:cs="Arial"/>
                <w:noProof/>
                <w:sz w:val="20"/>
                <w:szCs w:val="20"/>
              </w:rPr>
            </w:pPr>
            <w:r w:rsidRPr="004639A6">
              <w:rPr>
                <w:rFonts w:cs="Arial"/>
                <w:noProof/>
                <w:sz w:val="20"/>
                <w:szCs w:val="20"/>
              </w:rPr>
              <w:t xml:space="preserve">Commonwealth </w:t>
            </w:r>
          </w:p>
        </w:tc>
        <w:tc>
          <w:tcPr>
            <w:tcW w:w="1692" w:type="dxa"/>
            <w:shd w:val="clear" w:color="auto" w:fill="auto"/>
          </w:tcPr>
          <w:p w14:paraId="1DCB66DB" w14:textId="3B13786D" w:rsidR="00750E42" w:rsidRPr="004639A6" w:rsidRDefault="00750E42" w:rsidP="00750E42">
            <w:pPr>
              <w:spacing w:before="20" w:after="20"/>
              <w:ind w:left="228" w:hanging="228"/>
              <w:jc w:val="center"/>
              <w:rPr>
                <w:rFonts w:cs="Arial"/>
                <w:noProof/>
                <w:sz w:val="20"/>
                <w:szCs w:val="20"/>
              </w:rPr>
            </w:pPr>
            <w:r w:rsidRPr="004639A6">
              <w:rPr>
                <w:rFonts w:cs="Arial"/>
                <w:noProof/>
                <w:sz w:val="20"/>
                <w:szCs w:val="20"/>
              </w:rPr>
              <w:t>$1,083</w:t>
            </w:r>
          </w:p>
        </w:tc>
      </w:tr>
      <w:tr w:rsidR="00750E42" w:rsidRPr="009D3B53" w14:paraId="5A79E01C" w14:textId="77777777" w:rsidTr="00750E42">
        <w:trPr>
          <w:trHeight w:val="201"/>
        </w:trPr>
        <w:tc>
          <w:tcPr>
            <w:tcW w:w="4159" w:type="dxa"/>
            <w:vMerge/>
          </w:tcPr>
          <w:p w14:paraId="669E4332" w14:textId="77777777" w:rsidR="00750E42" w:rsidRPr="004639A6" w:rsidRDefault="00750E42" w:rsidP="00750E42">
            <w:pPr>
              <w:spacing w:before="20" w:after="20"/>
              <w:ind w:left="34"/>
              <w:rPr>
                <w:rFonts w:cs="Arial"/>
                <w:noProof/>
                <w:sz w:val="20"/>
                <w:szCs w:val="20"/>
              </w:rPr>
            </w:pPr>
          </w:p>
        </w:tc>
        <w:tc>
          <w:tcPr>
            <w:tcW w:w="2229" w:type="dxa"/>
          </w:tcPr>
          <w:p w14:paraId="6084CB79" w14:textId="77777777" w:rsidR="00750E42" w:rsidRPr="004639A6" w:rsidRDefault="00750E42" w:rsidP="00750E42">
            <w:pPr>
              <w:spacing w:before="20" w:after="20"/>
              <w:rPr>
                <w:rFonts w:cs="Arial"/>
                <w:noProof/>
                <w:sz w:val="20"/>
                <w:szCs w:val="20"/>
              </w:rPr>
            </w:pPr>
            <w:r w:rsidRPr="004639A6">
              <w:rPr>
                <w:rFonts w:cs="Arial"/>
                <w:noProof/>
                <w:sz w:val="20"/>
                <w:szCs w:val="20"/>
              </w:rPr>
              <w:t>Patient</w:t>
            </w:r>
          </w:p>
        </w:tc>
        <w:tc>
          <w:tcPr>
            <w:tcW w:w="1692" w:type="dxa"/>
            <w:shd w:val="clear" w:color="auto" w:fill="auto"/>
          </w:tcPr>
          <w:p w14:paraId="617ED9E4" w14:textId="77777777" w:rsidR="00750E42" w:rsidRPr="004639A6" w:rsidRDefault="00750E42" w:rsidP="00750E42">
            <w:pPr>
              <w:spacing w:before="20" w:after="20"/>
              <w:ind w:left="228" w:hanging="228"/>
              <w:jc w:val="center"/>
              <w:rPr>
                <w:rFonts w:cs="Arial"/>
                <w:noProof/>
                <w:sz w:val="20"/>
                <w:szCs w:val="20"/>
              </w:rPr>
            </w:pPr>
            <w:r w:rsidRPr="004639A6">
              <w:rPr>
                <w:rFonts w:cs="Arial"/>
                <w:noProof/>
                <w:sz w:val="20"/>
                <w:szCs w:val="20"/>
              </w:rPr>
              <w:t>N/A</w:t>
            </w:r>
          </w:p>
        </w:tc>
      </w:tr>
      <w:tr w:rsidR="00750E42" w:rsidRPr="009D3B53" w14:paraId="514B2A09" w14:textId="77777777" w:rsidTr="00750E42">
        <w:trPr>
          <w:trHeight w:val="202"/>
        </w:trPr>
        <w:tc>
          <w:tcPr>
            <w:tcW w:w="4159" w:type="dxa"/>
            <w:vMerge w:val="restart"/>
          </w:tcPr>
          <w:p w14:paraId="10977BAD" w14:textId="77777777" w:rsidR="00750E42" w:rsidRPr="004639A6" w:rsidRDefault="00750E42" w:rsidP="00750E42">
            <w:pPr>
              <w:spacing w:before="20" w:after="20"/>
              <w:ind w:left="34"/>
              <w:rPr>
                <w:rFonts w:cs="Arial"/>
                <w:noProof/>
                <w:sz w:val="20"/>
                <w:szCs w:val="20"/>
              </w:rPr>
            </w:pPr>
            <w:r w:rsidRPr="004639A6">
              <w:rPr>
                <w:rFonts w:cs="Arial"/>
                <w:noProof/>
                <w:sz w:val="20"/>
                <w:szCs w:val="20"/>
              </w:rPr>
              <w:t>Fees for Community Service Obligation distributors to distribute National Diabetes Services Scheme products</w:t>
            </w:r>
            <w:r w:rsidRPr="004639A6" w:rsidDel="00B329F2">
              <w:rPr>
                <w:rFonts w:cs="Arial"/>
                <w:noProof/>
                <w:sz w:val="20"/>
                <w:szCs w:val="20"/>
              </w:rPr>
              <w:t xml:space="preserve"> </w:t>
            </w:r>
          </w:p>
        </w:tc>
        <w:tc>
          <w:tcPr>
            <w:tcW w:w="2229" w:type="dxa"/>
          </w:tcPr>
          <w:p w14:paraId="1E7045BC" w14:textId="77777777" w:rsidR="00750E42" w:rsidRPr="004639A6" w:rsidRDefault="00750E42" w:rsidP="00750E42">
            <w:pPr>
              <w:keepNext/>
              <w:keepLines/>
              <w:pageBreakBefore/>
              <w:spacing w:before="20" w:after="20"/>
              <w:rPr>
                <w:rFonts w:cs="Arial"/>
                <w:noProof/>
                <w:sz w:val="20"/>
                <w:szCs w:val="20"/>
              </w:rPr>
            </w:pPr>
            <w:r w:rsidRPr="004639A6">
              <w:rPr>
                <w:sz w:val="20"/>
                <w:szCs w:val="20"/>
              </w:rPr>
              <w:t xml:space="preserve">Commonwealth  </w:t>
            </w:r>
          </w:p>
        </w:tc>
        <w:tc>
          <w:tcPr>
            <w:tcW w:w="1692" w:type="dxa"/>
            <w:shd w:val="clear" w:color="auto" w:fill="auto"/>
          </w:tcPr>
          <w:p w14:paraId="54300561" w14:textId="5C4DFB66" w:rsidR="00750E42" w:rsidRPr="004639A6" w:rsidRDefault="00750E42" w:rsidP="00750E42">
            <w:pPr>
              <w:spacing w:before="20" w:after="20"/>
              <w:jc w:val="center"/>
              <w:rPr>
                <w:rFonts w:cs="Arial"/>
                <w:noProof/>
                <w:sz w:val="20"/>
                <w:szCs w:val="20"/>
              </w:rPr>
            </w:pPr>
            <w:r w:rsidRPr="004639A6">
              <w:rPr>
                <w:rFonts w:cs="Arial"/>
                <w:noProof/>
                <w:sz w:val="20"/>
                <w:szCs w:val="20"/>
              </w:rPr>
              <w:t>$33</w:t>
            </w:r>
          </w:p>
        </w:tc>
      </w:tr>
      <w:tr w:rsidR="00750E42" w:rsidRPr="009D3B53" w14:paraId="34FD2395" w14:textId="77777777" w:rsidTr="00750E42">
        <w:trPr>
          <w:trHeight w:val="202"/>
        </w:trPr>
        <w:tc>
          <w:tcPr>
            <w:tcW w:w="4159" w:type="dxa"/>
            <w:vMerge/>
          </w:tcPr>
          <w:p w14:paraId="4B988644" w14:textId="77777777" w:rsidR="00750E42" w:rsidRPr="004639A6" w:rsidRDefault="00750E42" w:rsidP="00750E42">
            <w:pPr>
              <w:spacing w:before="20" w:after="20"/>
              <w:ind w:left="34"/>
              <w:rPr>
                <w:rFonts w:cs="Arial"/>
                <w:noProof/>
                <w:sz w:val="20"/>
                <w:szCs w:val="20"/>
              </w:rPr>
            </w:pPr>
          </w:p>
        </w:tc>
        <w:tc>
          <w:tcPr>
            <w:tcW w:w="2229" w:type="dxa"/>
          </w:tcPr>
          <w:p w14:paraId="3563C73B" w14:textId="77777777" w:rsidR="00750E42" w:rsidRPr="004639A6" w:rsidRDefault="00750E42" w:rsidP="00750E42">
            <w:pPr>
              <w:keepNext/>
              <w:keepLines/>
              <w:spacing w:before="20" w:after="20"/>
              <w:rPr>
                <w:rFonts w:cs="Arial"/>
                <w:noProof/>
                <w:sz w:val="20"/>
                <w:szCs w:val="20"/>
              </w:rPr>
            </w:pPr>
            <w:r w:rsidRPr="004639A6">
              <w:rPr>
                <w:sz w:val="20"/>
                <w:szCs w:val="20"/>
              </w:rPr>
              <w:t>Patient</w:t>
            </w:r>
          </w:p>
        </w:tc>
        <w:tc>
          <w:tcPr>
            <w:tcW w:w="1692" w:type="dxa"/>
            <w:shd w:val="clear" w:color="auto" w:fill="auto"/>
          </w:tcPr>
          <w:p w14:paraId="4FDEE4D2" w14:textId="77777777" w:rsidR="00750E42" w:rsidRPr="004639A6" w:rsidRDefault="00750E42" w:rsidP="00750E42">
            <w:pPr>
              <w:spacing w:before="20" w:after="20"/>
              <w:jc w:val="center"/>
              <w:rPr>
                <w:rFonts w:cs="Arial"/>
                <w:noProof/>
                <w:sz w:val="20"/>
                <w:szCs w:val="20"/>
              </w:rPr>
            </w:pPr>
            <w:r w:rsidRPr="004639A6">
              <w:rPr>
                <w:rFonts w:cs="Arial"/>
                <w:noProof/>
                <w:sz w:val="20"/>
                <w:szCs w:val="20"/>
              </w:rPr>
              <w:t>N/A</w:t>
            </w:r>
          </w:p>
        </w:tc>
      </w:tr>
      <w:tr w:rsidR="00750E42" w:rsidRPr="009D3B53" w14:paraId="489DFBF7" w14:textId="77777777" w:rsidTr="00750E42">
        <w:trPr>
          <w:trHeight w:val="202"/>
        </w:trPr>
        <w:tc>
          <w:tcPr>
            <w:tcW w:w="4159" w:type="dxa"/>
            <w:vMerge w:val="restart"/>
          </w:tcPr>
          <w:p w14:paraId="6E4AD60E" w14:textId="77777777" w:rsidR="00750E42" w:rsidRPr="004639A6" w:rsidRDefault="00750E42" w:rsidP="00750E42">
            <w:pPr>
              <w:spacing w:before="20" w:after="20"/>
              <w:ind w:left="34"/>
              <w:rPr>
                <w:rFonts w:cs="Arial"/>
                <w:noProof/>
                <w:sz w:val="20"/>
                <w:szCs w:val="20"/>
              </w:rPr>
            </w:pPr>
            <w:r w:rsidRPr="004639A6">
              <w:rPr>
                <w:rFonts w:cs="Arial"/>
                <w:noProof/>
                <w:sz w:val="20"/>
                <w:szCs w:val="20"/>
              </w:rPr>
              <w:t>Fees for pharmacy to distribute National Diabetes Services Scheme products</w:t>
            </w:r>
          </w:p>
        </w:tc>
        <w:tc>
          <w:tcPr>
            <w:tcW w:w="2229" w:type="dxa"/>
          </w:tcPr>
          <w:p w14:paraId="4802C980" w14:textId="77777777" w:rsidR="00750E42" w:rsidRPr="004639A6" w:rsidRDefault="00750E42" w:rsidP="00750E42">
            <w:pPr>
              <w:spacing w:before="20" w:after="20"/>
              <w:rPr>
                <w:rFonts w:cs="Arial"/>
                <w:noProof/>
                <w:sz w:val="20"/>
                <w:szCs w:val="20"/>
              </w:rPr>
            </w:pPr>
            <w:r w:rsidRPr="004639A6">
              <w:rPr>
                <w:rFonts w:cs="Arial"/>
                <w:noProof/>
                <w:sz w:val="20"/>
                <w:szCs w:val="20"/>
              </w:rPr>
              <w:t xml:space="preserve">Commonwealth  </w:t>
            </w:r>
          </w:p>
        </w:tc>
        <w:tc>
          <w:tcPr>
            <w:tcW w:w="1692" w:type="dxa"/>
            <w:shd w:val="clear" w:color="auto" w:fill="auto"/>
          </w:tcPr>
          <w:p w14:paraId="2DF91B6D" w14:textId="06352C48" w:rsidR="00750E42" w:rsidRPr="004639A6" w:rsidRDefault="00750E42" w:rsidP="00750E42">
            <w:pPr>
              <w:spacing w:before="20" w:after="20"/>
              <w:jc w:val="center"/>
              <w:rPr>
                <w:rFonts w:cs="Arial"/>
                <w:noProof/>
                <w:sz w:val="20"/>
                <w:szCs w:val="20"/>
              </w:rPr>
            </w:pPr>
            <w:r w:rsidRPr="004639A6">
              <w:rPr>
                <w:rFonts w:cs="Arial"/>
                <w:noProof/>
                <w:sz w:val="20"/>
                <w:szCs w:val="20"/>
              </w:rPr>
              <w:t>$33</w:t>
            </w:r>
          </w:p>
        </w:tc>
      </w:tr>
      <w:tr w:rsidR="00750E42" w:rsidRPr="009D3B53" w14:paraId="25F454F6" w14:textId="77777777" w:rsidTr="00750E42">
        <w:trPr>
          <w:trHeight w:val="201"/>
        </w:trPr>
        <w:tc>
          <w:tcPr>
            <w:tcW w:w="4159" w:type="dxa"/>
            <w:vMerge/>
            <w:tcBorders>
              <w:bottom w:val="single" w:sz="18" w:space="0" w:color="auto"/>
            </w:tcBorders>
          </w:tcPr>
          <w:p w14:paraId="6FD804A0" w14:textId="77777777" w:rsidR="00750E42" w:rsidRPr="004639A6" w:rsidRDefault="00750E42" w:rsidP="00750E42">
            <w:pPr>
              <w:spacing w:before="20" w:after="20"/>
              <w:ind w:left="34"/>
              <w:rPr>
                <w:rFonts w:cs="Arial"/>
                <w:noProof/>
                <w:sz w:val="20"/>
                <w:szCs w:val="20"/>
              </w:rPr>
            </w:pPr>
          </w:p>
        </w:tc>
        <w:tc>
          <w:tcPr>
            <w:tcW w:w="2229" w:type="dxa"/>
            <w:tcBorders>
              <w:bottom w:val="single" w:sz="18" w:space="0" w:color="auto"/>
            </w:tcBorders>
          </w:tcPr>
          <w:p w14:paraId="4D365C6B" w14:textId="77777777" w:rsidR="00750E42" w:rsidRPr="004639A6" w:rsidRDefault="00750E42" w:rsidP="00750E42">
            <w:pPr>
              <w:spacing w:before="20" w:after="20"/>
              <w:rPr>
                <w:rFonts w:cs="Arial"/>
                <w:noProof/>
                <w:sz w:val="20"/>
                <w:szCs w:val="20"/>
              </w:rPr>
            </w:pPr>
            <w:r w:rsidRPr="004639A6">
              <w:rPr>
                <w:rFonts w:cs="Arial"/>
                <w:noProof/>
                <w:sz w:val="20"/>
                <w:szCs w:val="20"/>
              </w:rPr>
              <w:t>Patient</w:t>
            </w:r>
          </w:p>
        </w:tc>
        <w:tc>
          <w:tcPr>
            <w:tcW w:w="1692" w:type="dxa"/>
            <w:tcBorders>
              <w:bottom w:val="single" w:sz="18" w:space="0" w:color="auto"/>
            </w:tcBorders>
            <w:shd w:val="clear" w:color="auto" w:fill="auto"/>
          </w:tcPr>
          <w:p w14:paraId="39845D19" w14:textId="77777777" w:rsidR="00750E42" w:rsidRPr="004639A6" w:rsidRDefault="00750E42" w:rsidP="00750E42">
            <w:pPr>
              <w:spacing w:before="20" w:after="20"/>
              <w:jc w:val="center"/>
              <w:rPr>
                <w:rFonts w:cs="Arial"/>
                <w:noProof/>
                <w:sz w:val="20"/>
                <w:szCs w:val="20"/>
              </w:rPr>
            </w:pPr>
            <w:r w:rsidRPr="004639A6">
              <w:rPr>
                <w:rFonts w:cs="Arial"/>
                <w:noProof/>
                <w:sz w:val="20"/>
                <w:szCs w:val="20"/>
              </w:rPr>
              <w:t>No additional patient charge</w:t>
            </w:r>
          </w:p>
        </w:tc>
      </w:tr>
      <w:tr w:rsidR="00750E42" w:rsidRPr="009D3B53" w14:paraId="490CA989" w14:textId="77777777" w:rsidTr="00750E42">
        <w:trPr>
          <w:trHeight w:val="196"/>
        </w:trPr>
        <w:tc>
          <w:tcPr>
            <w:tcW w:w="4159" w:type="dxa"/>
            <w:vMerge w:val="restart"/>
            <w:tcBorders>
              <w:top w:val="single" w:sz="18" w:space="0" w:color="auto"/>
            </w:tcBorders>
          </w:tcPr>
          <w:p w14:paraId="296C22C8" w14:textId="77777777" w:rsidR="00750E42" w:rsidRPr="009D3B53" w:rsidRDefault="00750E42" w:rsidP="00750E42">
            <w:pPr>
              <w:spacing w:before="20" w:after="20"/>
              <w:ind w:left="34"/>
              <w:rPr>
                <w:rFonts w:cs="Arial"/>
                <w:b/>
                <w:noProof/>
                <w:sz w:val="20"/>
                <w:szCs w:val="20"/>
              </w:rPr>
            </w:pPr>
            <w:r w:rsidRPr="009D3B53">
              <w:rPr>
                <w:rFonts w:cs="Arial"/>
                <w:b/>
                <w:noProof/>
                <w:sz w:val="20"/>
                <w:szCs w:val="20"/>
              </w:rPr>
              <w:t>Total</w:t>
            </w:r>
            <w:r w:rsidRPr="000F6845">
              <w:rPr>
                <w:rFonts w:cs="Arial"/>
                <w:noProof/>
                <w:sz w:val="20"/>
                <w:szCs w:val="20"/>
                <w:vertAlign w:val="superscript"/>
              </w:rPr>
              <w:t>[</w:t>
            </w:r>
            <w:r w:rsidRPr="000F6845">
              <w:rPr>
                <w:rStyle w:val="FootnoteReference"/>
                <w:rFonts w:cs="Arial"/>
                <w:noProof/>
                <w:sz w:val="20"/>
                <w:szCs w:val="20"/>
              </w:rPr>
              <w:footnoteReference w:id="1"/>
            </w:r>
            <w:r w:rsidRPr="000F6845">
              <w:rPr>
                <w:rFonts w:cs="Arial"/>
                <w:noProof/>
                <w:sz w:val="20"/>
                <w:szCs w:val="20"/>
                <w:vertAlign w:val="superscript"/>
              </w:rPr>
              <w:t>]</w:t>
            </w:r>
          </w:p>
        </w:tc>
        <w:tc>
          <w:tcPr>
            <w:tcW w:w="2229" w:type="dxa"/>
            <w:tcBorders>
              <w:top w:val="single" w:sz="18" w:space="0" w:color="auto"/>
            </w:tcBorders>
          </w:tcPr>
          <w:p w14:paraId="347F1C16" w14:textId="77777777" w:rsidR="00750E42" w:rsidRPr="009D3B53" w:rsidRDefault="00750E42" w:rsidP="00750E42">
            <w:pPr>
              <w:spacing w:before="20" w:after="20"/>
              <w:rPr>
                <w:rFonts w:cs="Arial"/>
                <w:noProof/>
              </w:rPr>
            </w:pPr>
            <w:r w:rsidRPr="009D3B53">
              <w:rPr>
                <w:rFonts w:cs="Arial"/>
                <w:noProof/>
                <w:sz w:val="20"/>
                <w:szCs w:val="20"/>
              </w:rPr>
              <w:t>Commonwealth</w:t>
            </w:r>
          </w:p>
        </w:tc>
        <w:tc>
          <w:tcPr>
            <w:tcW w:w="1692" w:type="dxa"/>
            <w:tcBorders>
              <w:top w:val="single" w:sz="18" w:space="0" w:color="auto"/>
            </w:tcBorders>
            <w:shd w:val="clear" w:color="auto" w:fill="auto"/>
          </w:tcPr>
          <w:p w14:paraId="0B655222" w14:textId="486E5C5F" w:rsidR="00750E42" w:rsidRPr="004639A6" w:rsidRDefault="00750E42" w:rsidP="00750E42">
            <w:pPr>
              <w:spacing w:before="20" w:after="20"/>
              <w:jc w:val="center"/>
              <w:rPr>
                <w:rFonts w:cs="Arial"/>
                <w:noProof/>
                <w:sz w:val="20"/>
                <w:szCs w:val="20"/>
              </w:rPr>
            </w:pPr>
            <w:r w:rsidRPr="004639A6">
              <w:rPr>
                <w:rFonts w:cs="Arial"/>
                <w:noProof/>
                <w:sz w:val="20"/>
                <w:szCs w:val="20"/>
              </w:rPr>
              <w:t>$15,852</w:t>
            </w:r>
          </w:p>
        </w:tc>
      </w:tr>
      <w:tr w:rsidR="00750E42" w:rsidRPr="009D3B53" w14:paraId="27A02ED3" w14:textId="77777777" w:rsidTr="00750E42">
        <w:trPr>
          <w:trHeight w:val="196"/>
        </w:trPr>
        <w:tc>
          <w:tcPr>
            <w:tcW w:w="4159" w:type="dxa"/>
            <w:vMerge/>
          </w:tcPr>
          <w:p w14:paraId="05D0B5AE" w14:textId="77777777" w:rsidR="00750E42" w:rsidRPr="009D3B53" w:rsidRDefault="00750E42" w:rsidP="00750E42">
            <w:pPr>
              <w:spacing w:before="20" w:after="20"/>
              <w:ind w:left="34"/>
              <w:rPr>
                <w:rFonts w:cs="Arial"/>
                <w:b/>
                <w:noProof/>
              </w:rPr>
            </w:pPr>
          </w:p>
        </w:tc>
        <w:tc>
          <w:tcPr>
            <w:tcW w:w="2229" w:type="dxa"/>
          </w:tcPr>
          <w:p w14:paraId="32D67D93" w14:textId="77777777" w:rsidR="00750E42" w:rsidRPr="009D3B53" w:rsidRDefault="00750E42" w:rsidP="00750E42">
            <w:pPr>
              <w:spacing w:before="20" w:after="20"/>
              <w:rPr>
                <w:rFonts w:cs="Arial"/>
                <w:noProof/>
              </w:rPr>
            </w:pPr>
            <w:r>
              <w:rPr>
                <w:rFonts w:cs="Arial"/>
                <w:noProof/>
                <w:sz w:val="20"/>
                <w:szCs w:val="20"/>
              </w:rPr>
              <w:t>Patient</w:t>
            </w:r>
          </w:p>
        </w:tc>
        <w:tc>
          <w:tcPr>
            <w:tcW w:w="1692" w:type="dxa"/>
            <w:shd w:val="clear" w:color="auto" w:fill="auto"/>
          </w:tcPr>
          <w:p w14:paraId="699C2E11" w14:textId="10B07AFB" w:rsidR="00750E42" w:rsidRPr="004639A6" w:rsidRDefault="00750E42" w:rsidP="00750E42">
            <w:pPr>
              <w:spacing w:before="20" w:after="20"/>
              <w:jc w:val="center"/>
              <w:rPr>
                <w:rFonts w:cs="Arial"/>
                <w:noProof/>
                <w:sz w:val="20"/>
                <w:szCs w:val="20"/>
              </w:rPr>
            </w:pPr>
            <w:r w:rsidRPr="004639A6">
              <w:rPr>
                <w:rFonts w:cs="Arial"/>
                <w:noProof/>
                <w:sz w:val="20"/>
                <w:szCs w:val="20"/>
              </w:rPr>
              <w:t>$9,451</w:t>
            </w:r>
          </w:p>
        </w:tc>
      </w:tr>
      <w:tr w:rsidR="00750E42" w:rsidRPr="009D3B53" w14:paraId="4783F395" w14:textId="77777777" w:rsidTr="00750E42">
        <w:trPr>
          <w:trHeight w:val="196"/>
        </w:trPr>
        <w:tc>
          <w:tcPr>
            <w:tcW w:w="4159" w:type="dxa"/>
            <w:vMerge/>
            <w:tcBorders>
              <w:bottom w:val="single" w:sz="12" w:space="0" w:color="auto"/>
            </w:tcBorders>
          </w:tcPr>
          <w:p w14:paraId="473116AA" w14:textId="77777777" w:rsidR="00750E42" w:rsidRPr="009D3B53" w:rsidRDefault="00750E42" w:rsidP="00750E42">
            <w:pPr>
              <w:spacing w:before="20" w:after="20"/>
              <w:ind w:left="34"/>
              <w:rPr>
                <w:rFonts w:cs="Arial"/>
                <w:b/>
                <w:noProof/>
              </w:rPr>
            </w:pPr>
          </w:p>
        </w:tc>
        <w:tc>
          <w:tcPr>
            <w:tcW w:w="2229" w:type="dxa"/>
            <w:tcBorders>
              <w:bottom w:val="single" w:sz="12" w:space="0" w:color="auto"/>
            </w:tcBorders>
          </w:tcPr>
          <w:p w14:paraId="413F5292" w14:textId="77777777" w:rsidR="00750E42" w:rsidRPr="009D3B53" w:rsidRDefault="00750E42" w:rsidP="00750E42">
            <w:pPr>
              <w:spacing w:before="20" w:after="20"/>
              <w:rPr>
                <w:rFonts w:cs="Arial"/>
                <w:noProof/>
              </w:rPr>
            </w:pPr>
            <w:r w:rsidRPr="009D3B53">
              <w:rPr>
                <w:rFonts w:cs="Arial"/>
                <w:b/>
                <w:noProof/>
                <w:sz w:val="20"/>
                <w:szCs w:val="20"/>
              </w:rPr>
              <w:t xml:space="preserve">Total </w:t>
            </w:r>
          </w:p>
        </w:tc>
        <w:tc>
          <w:tcPr>
            <w:tcW w:w="1692" w:type="dxa"/>
            <w:tcBorders>
              <w:bottom w:val="single" w:sz="12" w:space="0" w:color="auto"/>
            </w:tcBorders>
            <w:shd w:val="clear" w:color="auto" w:fill="auto"/>
          </w:tcPr>
          <w:p w14:paraId="354F8A93" w14:textId="5EAAD1F3" w:rsidR="00750E42" w:rsidRPr="004639A6" w:rsidRDefault="00750E42" w:rsidP="00750E42">
            <w:pPr>
              <w:spacing w:before="20" w:after="20"/>
              <w:jc w:val="center"/>
              <w:rPr>
                <w:rFonts w:cs="Arial"/>
                <w:noProof/>
                <w:sz w:val="20"/>
                <w:szCs w:val="20"/>
              </w:rPr>
            </w:pPr>
            <w:r w:rsidRPr="004639A6">
              <w:rPr>
                <w:rFonts w:cs="Arial"/>
                <w:noProof/>
                <w:sz w:val="20"/>
                <w:szCs w:val="20"/>
              </w:rPr>
              <w:t>$25,303</w:t>
            </w:r>
          </w:p>
        </w:tc>
      </w:tr>
    </w:tbl>
    <w:p w14:paraId="2C246E3A" w14:textId="17110D17" w:rsidR="00BB6095" w:rsidRPr="00F42B88" w:rsidRDefault="00BB6095" w:rsidP="00BB6095">
      <w:pPr>
        <w:ind w:left="851"/>
        <w:rPr>
          <w:sz w:val="18"/>
          <w:szCs w:val="18"/>
        </w:rPr>
      </w:pPr>
      <w:r w:rsidRPr="00F42B88">
        <w:rPr>
          <w:sz w:val="18"/>
          <w:szCs w:val="18"/>
        </w:rPr>
        <w:t>*</w:t>
      </w:r>
      <w:r w:rsidRPr="00F42B88">
        <w:rPr>
          <w:b/>
          <w:sz w:val="18"/>
          <w:szCs w:val="18"/>
        </w:rPr>
        <w:t>Note</w:t>
      </w:r>
      <w:r w:rsidRPr="00F42B88">
        <w:rPr>
          <w:sz w:val="18"/>
          <w:szCs w:val="18"/>
        </w:rPr>
        <w:t xml:space="preserve">: the price that patients pay for prescriptions that are not Commonwealth subsidised may be subject to discretionary discounting and the application of additional allowable fees by Approved Pharmacists. Accordingly, total remuneration for dispensing PBS medicines where the Commonwealth does not subsidise the cost to the patient of the medicine is in no way assured by the Commonwealth, including under clause </w:t>
      </w:r>
      <w:r w:rsidRPr="00F42B88">
        <w:rPr>
          <w:sz w:val="18"/>
          <w:szCs w:val="18"/>
        </w:rPr>
        <w:fldChar w:fldCharType="begin"/>
      </w:r>
      <w:r w:rsidRPr="00F42B88">
        <w:rPr>
          <w:sz w:val="18"/>
          <w:szCs w:val="18"/>
        </w:rPr>
        <w:instrText xml:space="preserve"> REF _Ref31204018 \r \h </w:instrText>
      </w:r>
      <w:r w:rsidR="00F1149F" w:rsidRPr="00F42B88">
        <w:rPr>
          <w:sz w:val="18"/>
          <w:szCs w:val="18"/>
        </w:rPr>
        <w:instrText xml:space="preserve"> \* MERGEFORMAT </w:instrText>
      </w:r>
      <w:r w:rsidRPr="00F42B88">
        <w:rPr>
          <w:sz w:val="18"/>
          <w:szCs w:val="18"/>
        </w:rPr>
      </w:r>
      <w:r w:rsidRPr="00F42B88">
        <w:rPr>
          <w:sz w:val="18"/>
          <w:szCs w:val="18"/>
        </w:rPr>
        <w:fldChar w:fldCharType="separate"/>
      </w:r>
      <w:r w:rsidR="00982D02">
        <w:rPr>
          <w:sz w:val="18"/>
          <w:szCs w:val="18"/>
        </w:rPr>
        <w:t>3</w:t>
      </w:r>
      <w:r w:rsidRPr="00F42B88">
        <w:rPr>
          <w:sz w:val="18"/>
          <w:szCs w:val="18"/>
        </w:rPr>
        <w:fldChar w:fldCharType="end"/>
      </w:r>
      <w:r w:rsidRPr="00F42B88">
        <w:rPr>
          <w:sz w:val="18"/>
          <w:szCs w:val="18"/>
        </w:rPr>
        <w:t xml:space="preserve"> and Appendix B.</w:t>
      </w:r>
    </w:p>
    <w:p w14:paraId="0CA56B69" w14:textId="77777777" w:rsidR="00BB6095" w:rsidRDefault="00BB6095" w:rsidP="00FE01BF">
      <w:pPr>
        <w:pStyle w:val="Headingpara2"/>
        <w:keepNext/>
      </w:pPr>
      <w:r>
        <w:t>Recognising that:</w:t>
      </w:r>
    </w:p>
    <w:p w14:paraId="4116416F" w14:textId="77777777" w:rsidR="00BB6095" w:rsidRDefault="00BB6095" w:rsidP="00FE01BF">
      <w:pPr>
        <w:pStyle w:val="Heading3"/>
        <w:keepNext/>
      </w:pPr>
      <w:r>
        <w:t>community pharmacy revenues associated with dispensing Pharmaceutical Benefits Scheme medicines may vary over the Term due to variations in the volumes of prescriptions dispensed; and</w:t>
      </w:r>
    </w:p>
    <w:p w14:paraId="0DD91233" w14:textId="77777777" w:rsidR="00BB6095" w:rsidRDefault="00BB6095" w:rsidP="00B84290">
      <w:pPr>
        <w:pStyle w:val="Heading3"/>
      </w:pPr>
      <w:r>
        <w:t>community pharmacies incur fixed costs notwithstanding the volume of Pharmaceutical Benefits Scheme medicines they dispense,</w:t>
      </w:r>
    </w:p>
    <w:p w14:paraId="5B9BDDF5" w14:textId="3C255BCF" w:rsidR="00BB6095" w:rsidRDefault="00BB6095" w:rsidP="00B84290">
      <w:pPr>
        <w:pStyle w:val="BodyIndent1"/>
      </w:pPr>
      <w:r>
        <w:t xml:space="preserve">the Commonwealth and the Guild agree to apply the volume based adjustment to the Commonwealth Price in the circumstances specified in clause </w:t>
      </w:r>
      <w:r>
        <w:fldChar w:fldCharType="begin"/>
      </w:r>
      <w:r>
        <w:instrText xml:space="preserve"> REF _Ref31204018 \r \h </w:instrText>
      </w:r>
      <w:r>
        <w:fldChar w:fldCharType="separate"/>
      </w:r>
      <w:r w:rsidR="00982D02">
        <w:t>3</w:t>
      </w:r>
      <w:r>
        <w:fldChar w:fldCharType="end"/>
      </w:r>
      <w:r>
        <w:t xml:space="preserve"> and Appendix B.  </w:t>
      </w:r>
    </w:p>
    <w:p w14:paraId="05A61A8E" w14:textId="3589D5FC" w:rsidR="00E9176D" w:rsidRPr="009D3B53" w:rsidRDefault="00BD0378" w:rsidP="00DF4E12">
      <w:pPr>
        <w:pStyle w:val="Heading1"/>
      </w:pPr>
      <w:bookmarkStart w:id="132" w:name="_Toc29300733"/>
      <w:bookmarkStart w:id="133" w:name="_Toc29314561"/>
      <w:bookmarkStart w:id="134" w:name="_Toc29314684"/>
      <w:bookmarkStart w:id="135" w:name="_Toc29315728"/>
      <w:bookmarkStart w:id="136" w:name="_Toc29315849"/>
      <w:bookmarkStart w:id="137" w:name="_Toc29300734"/>
      <w:bookmarkStart w:id="138" w:name="_Toc29314562"/>
      <w:bookmarkStart w:id="139" w:name="_Toc29314685"/>
      <w:bookmarkStart w:id="140" w:name="_Toc29315729"/>
      <w:bookmarkStart w:id="141" w:name="_Toc29315850"/>
      <w:bookmarkStart w:id="142" w:name="_Ref26807057"/>
      <w:bookmarkStart w:id="143" w:name="_Toc42783597"/>
      <w:bookmarkEnd w:id="129"/>
      <w:bookmarkEnd w:id="132"/>
      <w:bookmarkEnd w:id="133"/>
      <w:bookmarkEnd w:id="134"/>
      <w:bookmarkEnd w:id="135"/>
      <w:bookmarkEnd w:id="136"/>
      <w:bookmarkEnd w:id="137"/>
      <w:bookmarkEnd w:id="138"/>
      <w:bookmarkEnd w:id="139"/>
      <w:bookmarkEnd w:id="140"/>
      <w:bookmarkEnd w:id="141"/>
      <w:r w:rsidRPr="009D3B53">
        <w:t xml:space="preserve">Commonwealth </w:t>
      </w:r>
      <w:r w:rsidR="005D595A" w:rsidRPr="009D3B53">
        <w:t>Price</w:t>
      </w:r>
      <w:bookmarkEnd w:id="91"/>
      <w:bookmarkEnd w:id="130"/>
      <w:bookmarkEnd w:id="142"/>
      <w:bookmarkEnd w:id="143"/>
    </w:p>
    <w:p w14:paraId="50555A7B" w14:textId="4035E320" w:rsidR="00540AA6" w:rsidRPr="009D3B53" w:rsidRDefault="00540AA6" w:rsidP="00E14AA8">
      <w:pPr>
        <w:pStyle w:val="Heading2"/>
      </w:pPr>
      <w:bookmarkStart w:id="144" w:name="_Toc42783598"/>
      <w:r w:rsidRPr="009D3B53">
        <w:t>Purpose</w:t>
      </w:r>
      <w:bookmarkEnd w:id="144"/>
    </w:p>
    <w:p w14:paraId="757CF08E" w14:textId="45765D58" w:rsidR="00540AA6" w:rsidRPr="009D3B53" w:rsidRDefault="00540AA6" w:rsidP="00540AA6">
      <w:pPr>
        <w:pStyle w:val="BodyIndent1"/>
      </w:pPr>
      <w:r w:rsidRPr="009D3B53">
        <w:t xml:space="preserve">This clause </w:t>
      </w:r>
      <w:r w:rsidR="00845EBB" w:rsidRPr="007240BF">
        <w:fldChar w:fldCharType="begin"/>
      </w:r>
      <w:r w:rsidR="00845EBB" w:rsidRPr="007240BF">
        <w:instrText xml:space="preserve"> REF _Ref26807057 \r \h </w:instrText>
      </w:r>
      <w:r w:rsidR="007240BF" w:rsidRPr="007240BF">
        <w:instrText xml:space="preserve"> \* MERGEFORMAT </w:instrText>
      </w:r>
      <w:r w:rsidR="00845EBB" w:rsidRPr="007240BF">
        <w:fldChar w:fldCharType="separate"/>
      </w:r>
      <w:r w:rsidR="00982D02">
        <w:t>2</w:t>
      </w:r>
      <w:r w:rsidR="00845EBB" w:rsidRPr="007240BF">
        <w:fldChar w:fldCharType="end"/>
      </w:r>
      <w:r w:rsidR="007677A0" w:rsidRPr="007240BF">
        <w:t xml:space="preserve">, as well as clause </w:t>
      </w:r>
      <w:r w:rsidR="007677A0" w:rsidRPr="007240BF">
        <w:fldChar w:fldCharType="begin"/>
      </w:r>
      <w:r w:rsidR="007677A0" w:rsidRPr="007240BF">
        <w:instrText xml:space="preserve"> REF _Ref37061777 \r \h </w:instrText>
      </w:r>
      <w:r w:rsidR="00982178" w:rsidRPr="007240BF">
        <w:instrText xml:space="preserve"> \* MERGEFORMAT </w:instrText>
      </w:r>
      <w:r w:rsidR="007677A0" w:rsidRPr="007240BF">
        <w:fldChar w:fldCharType="separate"/>
      </w:r>
      <w:r w:rsidR="00982D02">
        <w:t>3</w:t>
      </w:r>
      <w:r w:rsidR="007677A0" w:rsidRPr="007240BF">
        <w:fldChar w:fldCharType="end"/>
      </w:r>
      <w:r w:rsidR="00FA6D23" w:rsidRPr="007240BF">
        <w:t xml:space="preserve"> and</w:t>
      </w:r>
      <w:r w:rsidR="008D7DE9" w:rsidRPr="007240BF">
        <w:t xml:space="preserve"> </w:t>
      </w:r>
      <w:r w:rsidR="007677A0" w:rsidRPr="007240BF">
        <w:t xml:space="preserve">Appendix B, </w:t>
      </w:r>
      <w:bookmarkStart w:id="145" w:name="_Hlk26737183"/>
      <w:r w:rsidR="007677A0" w:rsidRPr="007240BF">
        <w:t>are</w:t>
      </w:r>
      <w:r w:rsidRPr="007240BF">
        <w:t xml:space="preserve"> an</w:t>
      </w:r>
      <w:r w:rsidRPr="009D3B53">
        <w:t xml:space="preserve"> agreement between the Minister and the Guild for the purposes of </w:t>
      </w:r>
      <w:bookmarkStart w:id="146" w:name="_Hlk29813181"/>
      <w:r w:rsidR="00222DA2">
        <w:t>sub</w:t>
      </w:r>
      <w:r w:rsidRPr="009D3B53">
        <w:t>section 98BAA</w:t>
      </w:r>
      <w:r w:rsidR="009F7934" w:rsidRPr="009D3B53">
        <w:t>(1)</w:t>
      </w:r>
      <w:r w:rsidRPr="009D3B53">
        <w:t xml:space="preserve"> of the Act.</w:t>
      </w:r>
      <w:bookmarkEnd w:id="145"/>
    </w:p>
    <w:p w14:paraId="5525698D" w14:textId="65FE3BB7" w:rsidR="00E9176D" w:rsidRPr="009D3B53" w:rsidRDefault="00E9176D" w:rsidP="00E14AA8">
      <w:pPr>
        <w:pStyle w:val="Heading2"/>
      </w:pPr>
      <w:bookmarkStart w:id="147" w:name="_Ref419453093"/>
      <w:bookmarkStart w:id="148" w:name="_Toc42783599"/>
      <w:bookmarkEnd w:id="146"/>
      <w:r w:rsidRPr="009D3B53">
        <w:t xml:space="preserve">Commonwealth </w:t>
      </w:r>
      <w:r w:rsidR="005D595A" w:rsidRPr="009D3B53">
        <w:t>Price</w:t>
      </w:r>
      <w:bookmarkEnd w:id="147"/>
      <w:bookmarkEnd w:id="148"/>
    </w:p>
    <w:p w14:paraId="174F2AB4" w14:textId="5EE7ABDE" w:rsidR="00E9176D" w:rsidRPr="009D3B53" w:rsidRDefault="00E9176D" w:rsidP="009338EF">
      <w:pPr>
        <w:pStyle w:val="Heading3"/>
        <w:ind w:left="1708" w:hanging="840"/>
      </w:pPr>
      <w:r w:rsidRPr="009D3B53">
        <w:t xml:space="preserve">The Commonwealth </w:t>
      </w:r>
      <w:r w:rsidR="005D595A" w:rsidRPr="009D3B53">
        <w:t>Price</w:t>
      </w:r>
      <w:r w:rsidRPr="009D3B53">
        <w:t xml:space="preserve"> has been set on the basis of a formula</w:t>
      </w:r>
      <w:r w:rsidR="002939F0">
        <w:t>,</w:t>
      </w:r>
      <w:r w:rsidRPr="009D3B53">
        <w:t xml:space="preserve"> which comprises the </w:t>
      </w:r>
      <w:r w:rsidR="003A6788" w:rsidRPr="009D3B53">
        <w:t>E</w:t>
      </w:r>
      <w:r w:rsidRPr="009D3B53">
        <w:t>x-</w:t>
      </w:r>
      <w:r w:rsidR="000A2979" w:rsidRPr="009D3B53">
        <w:t>M</w:t>
      </w:r>
      <w:r w:rsidRPr="009D3B53">
        <w:t xml:space="preserve">anufacturer </w:t>
      </w:r>
      <w:r w:rsidR="003A6788" w:rsidRPr="009D3B53">
        <w:t>P</w:t>
      </w:r>
      <w:r w:rsidRPr="009D3B53">
        <w:t>rice plus allowances for the supply of PBS medicines over and above that price.</w:t>
      </w:r>
    </w:p>
    <w:p w14:paraId="5326051F" w14:textId="76B4E7DA" w:rsidR="00E9176D" w:rsidRPr="009D3B53" w:rsidRDefault="00E9176D" w:rsidP="009338EF">
      <w:pPr>
        <w:pStyle w:val="Heading3"/>
        <w:ind w:left="1708" w:hanging="840"/>
      </w:pPr>
      <w:r w:rsidRPr="009D3B53">
        <w:t xml:space="preserve">In agreeing to a Commonwealth </w:t>
      </w:r>
      <w:r w:rsidR="005D595A" w:rsidRPr="009D3B53">
        <w:t>Price</w:t>
      </w:r>
      <w:r w:rsidRPr="009D3B53">
        <w:t xml:space="preserve"> for a particular medicine</w:t>
      </w:r>
      <w:r w:rsidR="00622525">
        <w:t>,</w:t>
      </w:r>
      <w:r w:rsidRPr="009D3B53">
        <w:t xml:space="preserve"> the</w:t>
      </w:r>
      <w:r w:rsidR="00244C40" w:rsidRPr="009D3B53">
        <w:t xml:space="preserve"> </w:t>
      </w:r>
      <w:r w:rsidRPr="009D3B53">
        <w:t>Commonwealth includes allowances for:</w:t>
      </w:r>
    </w:p>
    <w:p w14:paraId="749F45E8" w14:textId="31D56805" w:rsidR="00E9176D" w:rsidRPr="009D3B53" w:rsidRDefault="00E9176D" w:rsidP="00E771FE">
      <w:pPr>
        <w:pStyle w:val="Heading4"/>
        <w:keepNext/>
      </w:pPr>
      <w:r w:rsidRPr="009D3B53">
        <w:t xml:space="preserve">the cost to the </w:t>
      </w:r>
      <w:r w:rsidR="00144B02" w:rsidRPr="009D3B53">
        <w:t>Approved Pharmacist</w:t>
      </w:r>
      <w:r w:rsidRPr="009D3B53">
        <w:t xml:space="preserve"> (</w:t>
      </w:r>
      <w:r w:rsidR="00C86BE1" w:rsidRPr="009D3B53">
        <w:t>Price to Pharmacist</w:t>
      </w:r>
      <w:r w:rsidR="00C86BE1">
        <w:t>s</w:t>
      </w:r>
      <w:r w:rsidRPr="009D3B53">
        <w:t xml:space="preserve">), which includes </w:t>
      </w:r>
      <w:r w:rsidR="00202333">
        <w:t>two (</w:t>
      </w:r>
      <w:r w:rsidR="00BF0A0E">
        <w:t>2</w:t>
      </w:r>
      <w:r w:rsidR="00202333">
        <w:t>)</w:t>
      </w:r>
      <w:r w:rsidR="00BF0A0E" w:rsidRPr="009D3B53">
        <w:t xml:space="preserve"> </w:t>
      </w:r>
      <w:r w:rsidRPr="009D3B53">
        <w:t>components:</w:t>
      </w:r>
    </w:p>
    <w:p w14:paraId="1D49D8B5" w14:textId="77777777" w:rsidR="00E9176D" w:rsidRPr="009D3B53" w:rsidRDefault="00E9176D" w:rsidP="00E771FE">
      <w:pPr>
        <w:pStyle w:val="Heading5"/>
        <w:keepNext/>
      </w:pPr>
      <w:r w:rsidRPr="009D3B53">
        <w:t>production of the medicine (</w:t>
      </w:r>
      <w:r w:rsidR="003A6788" w:rsidRPr="009D3B53">
        <w:t>Ex-</w:t>
      </w:r>
      <w:r w:rsidR="000A2979" w:rsidRPr="009D3B53">
        <w:t>M</w:t>
      </w:r>
      <w:r w:rsidRPr="009D3B53">
        <w:t>anufacturer</w:t>
      </w:r>
      <w:r w:rsidR="003A6788" w:rsidRPr="009D3B53">
        <w:t xml:space="preserve"> Price</w:t>
      </w:r>
      <w:r w:rsidRPr="009D3B53">
        <w:t>);</w:t>
      </w:r>
      <w:r w:rsidR="00EA1F5A" w:rsidRPr="009D3B53">
        <w:t xml:space="preserve"> and</w:t>
      </w:r>
    </w:p>
    <w:p w14:paraId="350B624F" w14:textId="77777777" w:rsidR="00E9176D" w:rsidRPr="009D3B53" w:rsidRDefault="00E9176D" w:rsidP="003C0247">
      <w:pPr>
        <w:pStyle w:val="Heading5"/>
      </w:pPr>
      <w:r w:rsidRPr="009D3B53">
        <w:t>wholesale distribution of the medicine;</w:t>
      </w:r>
    </w:p>
    <w:p w14:paraId="10C74047" w14:textId="77777777" w:rsidR="00E35A04" w:rsidRDefault="00E9176D" w:rsidP="003C0247">
      <w:pPr>
        <w:pStyle w:val="Heading4"/>
      </w:pPr>
      <w:r w:rsidRPr="009D3B53">
        <w:t xml:space="preserve">the </w:t>
      </w:r>
      <w:r w:rsidR="00677938">
        <w:t xml:space="preserve">administration, </w:t>
      </w:r>
      <w:r w:rsidRPr="009D3B53">
        <w:t xml:space="preserve">handling and storage </w:t>
      </w:r>
      <w:r w:rsidR="00677938">
        <w:t xml:space="preserve">costs entailed in dispensing </w:t>
      </w:r>
      <w:r w:rsidRPr="009D3B53">
        <w:t>medicines by the pharmacy</w:t>
      </w:r>
      <w:r w:rsidR="009A6E7D">
        <w:t>, including associated infrastructure</w:t>
      </w:r>
      <w:r w:rsidRPr="009D3B53">
        <w:t xml:space="preserve">; </w:t>
      </w:r>
      <w:r w:rsidR="00677938">
        <w:t>and</w:t>
      </w:r>
    </w:p>
    <w:p w14:paraId="46F99386" w14:textId="77777777" w:rsidR="00E9176D" w:rsidRPr="009D3B53" w:rsidRDefault="00547A77" w:rsidP="003C0247">
      <w:pPr>
        <w:pStyle w:val="Heading4"/>
      </w:pPr>
      <w:r>
        <w:t xml:space="preserve">a </w:t>
      </w:r>
      <w:r w:rsidR="00E9176D" w:rsidRPr="009D3B53">
        <w:t>pharmacist’s specialised skills in dispensing the medicines.</w:t>
      </w:r>
    </w:p>
    <w:p w14:paraId="6F9D4A34" w14:textId="370550C1" w:rsidR="00E9176D" w:rsidRPr="009D3B53" w:rsidRDefault="00E9176D" w:rsidP="00636F20">
      <w:pPr>
        <w:pStyle w:val="Heading3"/>
        <w:ind w:left="1707" w:hanging="839"/>
      </w:pPr>
      <w:bookmarkStart w:id="149" w:name="_Ref418233932"/>
      <w:r w:rsidRPr="009D3B53">
        <w:t xml:space="preserve">The components </w:t>
      </w:r>
      <w:r w:rsidR="00540AA6" w:rsidRPr="009D3B53">
        <w:t xml:space="preserve">of the </w:t>
      </w:r>
      <w:r w:rsidRPr="009D3B53">
        <w:t xml:space="preserve">Commonwealth </w:t>
      </w:r>
      <w:r w:rsidR="005D595A" w:rsidRPr="009D3B53">
        <w:t>Price</w:t>
      </w:r>
      <w:r w:rsidR="0040174F">
        <w:t xml:space="preserve"> that apply</w:t>
      </w:r>
      <w:r w:rsidR="00540AA6" w:rsidRPr="009D3B53">
        <w:t xml:space="preserve"> during the Term</w:t>
      </w:r>
      <w:r w:rsidR="0040174F">
        <w:t xml:space="preserve"> (in addition to the Ex-Manufacturer Price)</w:t>
      </w:r>
      <w:r w:rsidR="002A5EA5" w:rsidRPr="009D3B53">
        <w:t xml:space="preserve">, </w:t>
      </w:r>
      <w:r w:rsidR="00540AA6" w:rsidRPr="009D3B53">
        <w:t xml:space="preserve">as </w:t>
      </w:r>
      <w:r w:rsidR="002A5EA5" w:rsidRPr="009D3B53">
        <w:t>agreed by the Commonwealth and the Guild</w:t>
      </w:r>
      <w:r w:rsidR="005D75D9" w:rsidRPr="009D3B53">
        <w:t>,</w:t>
      </w:r>
      <w:r w:rsidRPr="009D3B53">
        <w:t xml:space="preserve"> are as set out in </w:t>
      </w:r>
      <w:r w:rsidR="00540AA6" w:rsidRPr="009D3B53">
        <w:t xml:space="preserve">Table </w:t>
      </w:r>
      <w:r w:rsidR="00DD6818">
        <w:t>2</w:t>
      </w:r>
      <w:r w:rsidRPr="009D3B53">
        <w:t>. Additional detail on how these components are defined</w:t>
      </w:r>
      <w:r w:rsidR="003A6788" w:rsidRPr="009D3B53">
        <w:t>, calculated</w:t>
      </w:r>
      <w:r w:rsidRPr="009D3B53">
        <w:t xml:space="preserve"> and applied will be set out in the </w:t>
      </w:r>
      <w:r w:rsidR="00860AC5" w:rsidRPr="009D3B53">
        <w:t>D</w:t>
      </w:r>
      <w:r w:rsidRPr="009D3B53">
        <w:t>etermination.</w:t>
      </w:r>
      <w:bookmarkEnd w:id="149"/>
    </w:p>
    <w:p w14:paraId="00349485" w14:textId="3C2ED754" w:rsidR="004F282D" w:rsidRPr="00636F20" w:rsidRDefault="004F282D" w:rsidP="00770D75">
      <w:pPr>
        <w:pStyle w:val="BodyIndent2"/>
        <w:keepNext/>
        <w:keepLines/>
        <w:spacing w:after="240"/>
        <w:rPr>
          <w:b/>
        </w:rPr>
      </w:pPr>
      <w:bookmarkStart w:id="150" w:name="_Hlk41628555"/>
      <w:r w:rsidRPr="00636F20">
        <w:rPr>
          <w:b/>
        </w:rPr>
        <w:t xml:space="preserve">Table </w:t>
      </w:r>
      <w:r w:rsidR="00DD6818" w:rsidRPr="00636F20">
        <w:rPr>
          <w:b/>
        </w:rPr>
        <w:t>2</w:t>
      </w:r>
      <w:r w:rsidRPr="00636F20">
        <w:rPr>
          <w:b/>
        </w:rPr>
        <w:t xml:space="preserve">: Components of the Commonwealth </w:t>
      </w:r>
      <w:r w:rsidR="005D595A" w:rsidRPr="00636F20">
        <w:rPr>
          <w:b/>
        </w:rPr>
        <w:t>Price</w:t>
      </w:r>
    </w:p>
    <w:tbl>
      <w:tblPr>
        <w:tblW w:w="7088" w:type="dxa"/>
        <w:tblInd w:w="1691" w:type="dxa"/>
        <w:tblLayout w:type="fixed"/>
        <w:tblCellMar>
          <w:left w:w="0" w:type="dxa"/>
          <w:right w:w="0" w:type="dxa"/>
        </w:tblCellMar>
        <w:tblLook w:val="04A0" w:firstRow="1" w:lastRow="0" w:firstColumn="1" w:lastColumn="0" w:noHBand="0" w:noVBand="1"/>
      </w:tblPr>
      <w:tblGrid>
        <w:gridCol w:w="2347"/>
        <w:gridCol w:w="627"/>
        <w:gridCol w:w="1846"/>
        <w:gridCol w:w="2268"/>
      </w:tblGrid>
      <w:tr w:rsidR="005F792A" w:rsidRPr="009D3B53" w14:paraId="7DB712D6" w14:textId="77777777" w:rsidTr="00B428B7">
        <w:trPr>
          <w:cantSplit/>
          <w:trHeight w:val="357"/>
          <w:tblHeader/>
        </w:trPr>
        <w:tc>
          <w:tcPr>
            <w:tcW w:w="2347"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7C326DE2" w14:textId="77777777" w:rsidR="005F792A" w:rsidRPr="009D3B53" w:rsidRDefault="005F792A" w:rsidP="00777134">
            <w:pPr>
              <w:keepNext/>
              <w:keepLines/>
              <w:spacing w:before="20" w:afterLines="20" w:after="48"/>
              <w:jc w:val="center"/>
              <w:rPr>
                <w:rFonts w:eastAsiaTheme="minorHAnsi" w:cs="Arial"/>
                <w:b/>
                <w:bCs/>
                <w:color w:val="FFFFFF"/>
                <w:lang w:eastAsia="en-US"/>
              </w:rPr>
            </w:pPr>
            <w:bookmarkStart w:id="151" w:name="_Hlk41628540"/>
            <w:bookmarkStart w:id="152" w:name="_Hlk29800229"/>
            <w:bookmarkEnd w:id="150"/>
            <w:r w:rsidRPr="009D3B53">
              <w:rPr>
                <w:b/>
                <w:bCs/>
                <w:color w:val="FFFFFF"/>
              </w:rPr>
              <w:t>Payment type</w:t>
            </w:r>
          </w:p>
        </w:tc>
        <w:tc>
          <w:tcPr>
            <w:tcW w:w="4741" w:type="dxa"/>
            <w:gridSpan w:val="3"/>
            <w:tcBorders>
              <w:top w:val="single" w:sz="8" w:space="0" w:color="auto"/>
              <w:left w:val="nil"/>
              <w:bottom w:val="single" w:sz="8" w:space="0" w:color="auto"/>
              <w:right w:val="single" w:sz="8" w:space="0" w:color="auto"/>
            </w:tcBorders>
            <w:shd w:val="clear" w:color="auto" w:fill="0070C0"/>
          </w:tcPr>
          <w:p w14:paraId="35AE6074" w14:textId="12A45498" w:rsidR="005F792A" w:rsidRPr="009D3B53" w:rsidRDefault="005F792A" w:rsidP="00777134">
            <w:pPr>
              <w:keepNext/>
              <w:keepLines/>
              <w:spacing w:before="20" w:afterLines="20" w:after="48"/>
              <w:jc w:val="center"/>
              <w:rPr>
                <w:rFonts w:eastAsiaTheme="minorHAnsi" w:cs="Arial"/>
                <w:b/>
                <w:bCs/>
                <w:color w:val="FFFFFF"/>
                <w:lang w:eastAsia="en-US"/>
              </w:rPr>
            </w:pPr>
            <w:r w:rsidRPr="009D3B53">
              <w:rPr>
                <w:b/>
                <w:bCs/>
                <w:color w:val="FFFFFF"/>
              </w:rPr>
              <w:t>Value of payment</w:t>
            </w:r>
          </w:p>
        </w:tc>
      </w:tr>
      <w:bookmarkEnd w:id="151"/>
      <w:tr w:rsidR="005F792A" w:rsidRPr="009D3B53" w14:paraId="4B50608B" w14:textId="77777777" w:rsidTr="00B428B7">
        <w:trPr>
          <w:cantSplit/>
          <w:trHeight w:val="357"/>
        </w:trPr>
        <w:tc>
          <w:tcPr>
            <w:tcW w:w="234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A8DA1" w14:textId="5FDCD56B" w:rsidR="005F792A" w:rsidRPr="009C4687" w:rsidRDefault="005F792A" w:rsidP="00777134">
            <w:pPr>
              <w:keepNext/>
              <w:keepLines/>
              <w:spacing w:before="20" w:afterLines="20" w:after="48"/>
              <w:rPr>
                <w:rFonts w:eastAsiaTheme="minorHAnsi" w:cs="Arial"/>
                <w:lang w:eastAsia="en-US"/>
              </w:rPr>
            </w:pPr>
            <w:r w:rsidRPr="009C4687">
              <w:t>wholesale mark-up</w:t>
            </w:r>
            <w:r w:rsidRPr="009C4687">
              <w:rPr>
                <w:rStyle w:val="FootnoteReference"/>
              </w:rPr>
              <w:footnoteReference w:customMarkFollows="1" w:id="2"/>
              <w:t>[</w:t>
            </w:r>
            <w:r w:rsidRPr="009C4687">
              <w:rPr>
                <w:rStyle w:val="FootnoteReference"/>
              </w:rPr>
              <w:footnoteReference w:id="3"/>
            </w:r>
            <w:r w:rsidRPr="009C4687">
              <w:rPr>
                <w:rStyle w:val="FootnoteReference"/>
              </w:rPr>
              <w:t>]</w:t>
            </w:r>
            <w:r w:rsidR="00196173" w:rsidRPr="00196173">
              <w:rPr>
                <w:vertAlign w:val="superscript"/>
              </w:rPr>
              <w:t>[</w:t>
            </w:r>
            <w:r w:rsidR="00682F2C" w:rsidRPr="00196173">
              <w:rPr>
                <w:rStyle w:val="FootnoteReference"/>
              </w:rPr>
              <w:footnoteReference w:id="4"/>
            </w:r>
            <w:r w:rsidR="00196173" w:rsidRPr="00196173">
              <w:rPr>
                <w:vertAlign w:val="superscript"/>
              </w:rPr>
              <w:t>]</w:t>
            </w:r>
            <w:r w:rsidRPr="009C4687">
              <w:t xml:space="preserve"> (for </w:t>
            </w:r>
            <w:r>
              <w:t>Ready-Prepared Pharmaceutical Benefits</w:t>
            </w:r>
            <w:r w:rsidRPr="009C4687">
              <w:t>)</w:t>
            </w:r>
          </w:p>
        </w:tc>
        <w:tc>
          <w:tcPr>
            <w:tcW w:w="2473" w:type="dxa"/>
            <w:gridSpan w:val="2"/>
            <w:tcBorders>
              <w:top w:val="single" w:sz="8" w:space="0" w:color="auto"/>
              <w:left w:val="nil"/>
              <w:bottom w:val="single" w:sz="8" w:space="0" w:color="auto"/>
              <w:right w:val="single" w:sz="8" w:space="0" w:color="auto"/>
            </w:tcBorders>
            <w:shd w:val="clear" w:color="auto" w:fill="FFFFFF" w:themeFill="background1"/>
          </w:tcPr>
          <w:p w14:paraId="7D04E297" w14:textId="1190A49D" w:rsidR="005F792A" w:rsidRDefault="005F792A" w:rsidP="0021393F">
            <w:pPr>
              <w:keepNext/>
              <w:keepLines/>
              <w:spacing w:before="20" w:afterLines="20" w:after="48"/>
              <w:ind w:left="58" w:right="130"/>
              <w:rPr>
                <w:highlight w:val="yellow"/>
              </w:rPr>
            </w:pPr>
            <w:r w:rsidRPr="009C4687">
              <w:t xml:space="preserve">Where the Ex-Manufacturer Price is up to and including </w:t>
            </w:r>
            <w:r w:rsidR="002A4AB2" w:rsidRPr="009C4687">
              <w:t>$</w:t>
            </w:r>
            <w:r w:rsidR="002A4AB2">
              <w:t>5.50</w:t>
            </w:r>
          </w:p>
          <w:p w14:paraId="73F85D49" w14:textId="6024C0CA" w:rsidR="00594EDE" w:rsidRPr="009C4687" w:rsidRDefault="00594EDE" w:rsidP="00777134">
            <w:pPr>
              <w:keepNext/>
              <w:keepLines/>
              <w:spacing w:before="20" w:afterLines="20" w:after="48"/>
              <w:ind w:left="58"/>
              <w:rPr>
                <w:rFonts w:eastAsiaTheme="minorHAnsi" w:cs="Arial"/>
                <w:lang w:eastAsia="en-US"/>
              </w:rPr>
            </w:pPr>
          </w:p>
        </w:tc>
        <w:tc>
          <w:tcPr>
            <w:tcW w:w="226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1FA6D8" w14:textId="43894459" w:rsidR="005F792A" w:rsidRPr="009C4687" w:rsidRDefault="002A4AB2" w:rsidP="00777134">
            <w:pPr>
              <w:keepNext/>
              <w:keepLines/>
              <w:spacing w:before="20" w:afterLines="20" w:after="48"/>
              <w:rPr>
                <w:rFonts w:eastAsiaTheme="minorHAnsi" w:cs="Arial"/>
                <w:lang w:eastAsia="en-US"/>
              </w:rPr>
            </w:pPr>
            <w:r w:rsidRPr="00EA69DE">
              <w:t>$</w:t>
            </w:r>
            <w:r>
              <w:t>0.41</w:t>
            </w:r>
            <w:r w:rsidRPr="00EA69DE">
              <w:t xml:space="preserve"> </w:t>
            </w:r>
            <w:r w:rsidR="005F792A" w:rsidRPr="00EA69DE">
              <w:t>per</w:t>
            </w:r>
            <w:r w:rsidR="005F792A" w:rsidRPr="009C4687">
              <w:t xml:space="preserve"> dispense</w:t>
            </w:r>
          </w:p>
        </w:tc>
      </w:tr>
      <w:bookmarkEnd w:id="152"/>
      <w:tr w:rsidR="005F792A" w:rsidRPr="009D3B53" w14:paraId="4FD3BC38" w14:textId="77777777" w:rsidTr="00B428B7">
        <w:trPr>
          <w:cantSplit/>
          <w:trHeight w:val="357"/>
        </w:trPr>
        <w:tc>
          <w:tcPr>
            <w:tcW w:w="2347" w:type="dxa"/>
            <w:vMerge/>
            <w:tcBorders>
              <w:top w:val="single" w:sz="8" w:space="0" w:color="auto"/>
              <w:left w:val="single" w:sz="8" w:space="0" w:color="auto"/>
              <w:bottom w:val="single" w:sz="8" w:space="0" w:color="auto"/>
              <w:right w:val="single" w:sz="8" w:space="0" w:color="auto"/>
            </w:tcBorders>
            <w:vAlign w:val="center"/>
            <w:hideMark/>
          </w:tcPr>
          <w:p w14:paraId="6594978D" w14:textId="77777777" w:rsidR="005F792A" w:rsidRPr="009D3B53" w:rsidRDefault="005F792A" w:rsidP="00777134">
            <w:pPr>
              <w:keepNext/>
              <w:keepLines/>
              <w:rPr>
                <w:rFonts w:eastAsiaTheme="minorHAnsi" w:cs="Arial"/>
                <w:lang w:eastAsia="en-US"/>
              </w:rPr>
            </w:pPr>
          </w:p>
        </w:tc>
        <w:tc>
          <w:tcPr>
            <w:tcW w:w="2473" w:type="dxa"/>
            <w:gridSpan w:val="2"/>
            <w:tcBorders>
              <w:top w:val="single" w:sz="8" w:space="0" w:color="auto"/>
              <w:left w:val="nil"/>
              <w:bottom w:val="single" w:sz="8" w:space="0" w:color="auto"/>
              <w:right w:val="single" w:sz="8" w:space="0" w:color="auto"/>
            </w:tcBorders>
            <w:shd w:val="clear" w:color="auto" w:fill="FFFFFF" w:themeFill="background1"/>
          </w:tcPr>
          <w:p w14:paraId="225C82C9" w14:textId="644A3209" w:rsidR="005F792A" w:rsidRDefault="005F792A" w:rsidP="00777134">
            <w:pPr>
              <w:keepNext/>
              <w:keepLines/>
              <w:spacing w:before="20" w:afterLines="20" w:after="48"/>
              <w:ind w:left="58"/>
              <w:rPr>
                <w:highlight w:val="yellow"/>
              </w:rPr>
            </w:pPr>
            <w:r w:rsidRPr="009C4687">
              <w:t>Where the Ex-Manufacturer Price is</w:t>
            </w:r>
            <w:r>
              <w:t xml:space="preserve"> </w:t>
            </w:r>
            <w:r w:rsidR="00B428B7">
              <w:t xml:space="preserve">over </w:t>
            </w:r>
            <w:r w:rsidR="005D6C59" w:rsidRPr="009C4687">
              <w:t>$</w:t>
            </w:r>
            <w:r w:rsidR="005D6C59">
              <w:t>5.50</w:t>
            </w:r>
            <w:r w:rsidR="005D6C59" w:rsidRPr="00EA69DE">
              <w:t xml:space="preserve"> </w:t>
            </w:r>
            <w:r w:rsidRPr="00EA69DE">
              <w:t xml:space="preserve">and up to and including </w:t>
            </w:r>
            <w:r w:rsidR="005D6C59" w:rsidRPr="00EA69DE">
              <w:t>$</w:t>
            </w:r>
            <w:r w:rsidR="005D6C59">
              <w:t>720</w:t>
            </w:r>
          </w:p>
          <w:p w14:paraId="1086DB03" w14:textId="3F75B98F" w:rsidR="00594EDE" w:rsidRPr="009C4687" w:rsidRDefault="00594EDE" w:rsidP="00777134">
            <w:pPr>
              <w:keepNext/>
              <w:keepLines/>
              <w:spacing w:before="20" w:afterLines="20" w:after="48"/>
              <w:ind w:left="58"/>
              <w:rPr>
                <w:rFonts w:eastAsiaTheme="minorHAnsi" w:cs="Arial"/>
                <w:lang w:eastAsia="en-US"/>
              </w:rPr>
            </w:pPr>
          </w:p>
        </w:tc>
        <w:tc>
          <w:tcPr>
            <w:tcW w:w="226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08CACF3" w14:textId="6E4A5A3A" w:rsidR="005F792A" w:rsidRPr="009C4687" w:rsidRDefault="005D6C59" w:rsidP="00777134">
            <w:pPr>
              <w:keepNext/>
              <w:keepLines/>
              <w:spacing w:before="20" w:afterLines="20" w:after="48"/>
              <w:rPr>
                <w:rFonts w:eastAsiaTheme="minorHAnsi" w:cs="Arial"/>
                <w:lang w:eastAsia="en-US"/>
              </w:rPr>
            </w:pPr>
            <w:r>
              <w:t>7.52</w:t>
            </w:r>
            <w:r w:rsidRPr="009C4687">
              <w:t xml:space="preserve"> </w:t>
            </w:r>
            <w:r w:rsidR="005F792A" w:rsidRPr="009C4687">
              <w:t>per cent of the Ex</w:t>
            </w:r>
            <w:r w:rsidR="00682F2C">
              <w:t>-</w:t>
            </w:r>
            <w:r w:rsidR="005F792A" w:rsidRPr="009C4687">
              <w:t>Manufacturer Price</w:t>
            </w:r>
            <w:r w:rsidR="005F792A">
              <w:t xml:space="preserve"> per dispense</w:t>
            </w:r>
          </w:p>
        </w:tc>
      </w:tr>
      <w:tr w:rsidR="005F792A" w:rsidRPr="009D3B53" w14:paraId="08947A02" w14:textId="77777777" w:rsidTr="00B428B7">
        <w:trPr>
          <w:cantSplit/>
          <w:trHeight w:val="357"/>
        </w:trPr>
        <w:tc>
          <w:tcPr>
            <w:tcW w:w="2347" w:type="dxa"/>
            <w:vMerge/>
            <w:tcBorders>
              <w:top w:val="single" w:sz="8" w:space="0" w:color="auto"/>
              <w:left w:val="single" w:sz="8" w:space="0" w:color="auto"/>
              <w:bottom w:val="single" w:sz="8" w:space="0" w:color="auto"/>
              <w:right w:val="single" w:sz="8" w:space="0" w:color="auto"/>
            </w:tcBorders>
            <w:vAlign w:val="center"/>
          </w:tcPr>
          <w:p w14:paraId="08E8974D" w14:textId="77777777" w:rsidR="005F792A" w:rsidRPr="009D3B53" w:rsidRDefault="005F792A" w:rsidP="00777134">
            <w:pPr>
              <w:keepNext/>
              <w:keepLines/>
              <w:rPr>
                <w:rFonts w:eastAsiaTheme="minorHAnsi" w:cs="Arial"/>
                <w:lang w:eastAsia="en-US"/>
              </w:rPr>
            </w:pPr>
          </w:p>
        </w:tc>
        <w:tc>
          <w:tcPr>
            <w:tcW w:w="2473" w:type="dxa"/>
            <w:gridSpan w:val="2"/>
            <w:tcBorders>
              <w:top w:val="single" w:sz="8" w:space="0" w:color="auto"/>
              <w:left w:val="nil"/>
              <w:bottom w:val="single" w:sz="8" w:space="0" w:color="auto"/>
              <w:right w:val="single" w:sz="8" w:space="0" w:color="auto"/>
            </w:tcBorders>
            <w:shd w:val="clear" w:color="auto" w:fill="FFFFFF" w:themeFill="background1"/>
          </w:tcPr>
          <w:p w14:paraId="1B4AC0BB" w14:textId="5850B72F" w:rsidR="005F792A" w:rsidRDefault="005F792A" w:rsidP="00777134">
            <w:pPr>
              <w:keepNext/>
              <w:keepLines/>
              <w:spacing w:before="20" w:afterLines="20" w:after="48"/>
              <w:ind w:left="58"/>
              <w:rPr>
                <w:highlight w:val="yellow"/>
              </w:rPr>
            </w:pPr>
            <w:r w:rsidRPr="009C4687">
              <w:t xml:space="preserve">Where the Ex-Manufacturer Price is over </w:t>
            </w:r>
            <w:r w:rsidR="005D6C59" w:rsidRPr="009C4687">
              <w:t>$</w:t>
            </w:r>
            <w:r w:rsidR="005D6C59">
              <w:t>720</w:t>
            </w:r>
          </w:p>
          <w:p w14:paraId="5E01081D" w14:textId="521218B5" w:rsidR="00594EDE" w:rsidRPr="009C4687" w:rsidRDefault="00594EDE" w:rsidP="00777134">
            <w:pPr>
              <w:keepNext/>
              <w:keepLines/>
              <w:spacing w:before="20" w:afterLines="20" w:after="48"/>
              <w:ind w:left="58"/>
            </w:pPr>
          </w:p>
        </w:tc>
        <w:tc>
          <w:tcPr>
            <w:tcW w:w="226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8A121A4" w14:textId="1B99A6D1" w:rsidR="005F792A" w:rsidRPr="009C4687" w:rsidRDefault="005D6C59" w:rsidP="00777134">
            <w:pPr>
              <w:keepNext/>
              <w:keepLines/>
              <w:spacing w:before="20" w:afterLines="20" w:after="48"/>
            </w:pPr>
            <w:r w:rsidRPr="00EA69DE">
              <w:t>$</w:t>
            </w:r>
            <w:r>
              <w:t xml:space="preserve">54.14 </w:t>
            </w:r>
            <w:r w:rsidR="005F792A" w:rsidRPr="00EA69DE">
              <w:t>per</w:t>
            </w:r>
            <w:r w:rsidR="005F792A" w:rsidRPr="009C4687">
              <w:t xml:space="preserve"> dispense</w:t>
            </w:r>
          </w:p>
        </w:tc>
      </w:tr>
      <w:tr w:rsidR="005F792A" w:rsidRPr="009D3B53" w14:paraId="45DF39CE" w14:textId="77777777" w:rsidTr="007677A0">
        <w:trPr>
          <w:cantSplit/>
          <w:trHeight w:val="1815"/>
        </w:trPr>
        <w:tc>
          <w:tcPr>
            <w:tcW w:w="234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1941A5" w14:textId="4D5B4E13" w:rsidR="005F792A" w:rsidRPr="009D3B53" w:rsidRDefault="005F792A" w:rsidP="00E771FE">
            <w:pPr>
              <w:spacing w:before="20" w:afterLines="20" w:after="48"/>
              <w:rPr>
                <w:rFonts w:eastAsiaTheme="minorHAnsi" w:cs="Arial"/>
                <w:lang w:eastAsia="en-US"/>
              </w:rPr>
            </w:pPr>
            <w:r>
              <w:t>Administration, Handling and Infrastructure Fee</w:t>
            </w:r>
            <w:r w:rsidRPr="00821A50">
              <w:rPr>
                <w:vertAlign w:val="superscript"/>
              </w:rPr>
              <w:t>[</w:t>
            </w:r>
            <w:r w:rsidRPr="00821A50">
              <w:rPr>
                <w:rStyle w:val="FootnoteReference"/>
              </w:rPr>
              <w:footnoteReference w:id="5"/>
            </w:r>
            <w:r w:rsidRPr="00821A50">
              <w:rPr>
                <w:vertAlign w:val="superscript"/>
              </w:rPr>
              <w:t>]</w:t>
            </w:r>
            <w:r>
              <w:t xml:space="preserve"> </w:t>
            </w:r>
            <w:r w:rsidRPr="009D3B53">
              <w:t xml:space="preserve"> </w:t>
            </w:r>
          </w:p>
        </w:tc>
        <w:tc>
          <w:tcPr>
            <w:tcW w:w="627" w:type="dxa"/>
            <w:tcBorders>
              <w:top w:val="single" w:sz="8" w:space="0" w:color="auto"/>
              <w:left w:val="nil"/>
              <w:bottom w:val="single" w:sz="8" w:space="0" w:color="auto"/>
              <w:right w:val="single" w:sz="8" w:space="0" w:color="auto"/>
            </w:tcBorders>
            <w:shd w:val="clear" w:color="auto" w:fill="D9D9D9" w:themeFill="background1" w:themeFillShade="D9"/>
            <w:textDirection w:val="btLr"/>
            <w:vAlign w:val="center"/>
          </w:tcPr>
          <w:p w14:paraId="496CF64D" w14:textId="2E88C6AC" w:rsidR="005F792A" w:rsidRPr="009D3B53" w:rsidRDefault="0034521C" w:rsidP="0034521C">
            <w:pPr>
              <w:spacing w:before="20" w:afterLines="20" w:after="48"/>
              <w:ind w:left="104"/>
            </w:pPr>
            <w:r>
              <w:rPr>
                <w:b/>
              </w:rPr>
              <w:t>Tier One AHI Fee</w:t>
            </w:r>
          </w:p>
        </w:tc>
        <w:tc>
          <w:tcPr>
            <w:tcW w:w="18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277F1EC" w14:textId="7B67A983" w:rsidR="005F792A" w:rsidRDefault="005F792A" w:rsidP="00E771FE">
            <w:pPr>
              <w:spacing w:before="20" w:afterLines="20" w:after="48"/>
              <w:rPr>
                <w:shd w:val="clear" w:color="auto" w:fill="FFFF00"/>
              </w:rPr>
            </w:pPr>
            <w:r w:rsidRPr="009D3B53">
              <w:t xml:space="preserve">For </w:t>
            </w:r>
            <w:r>
              <w:t xml:space="preserve">a Listed Brand </w:t>
            </w:r>
            <w:r w:rsidRPr="009D3B53">
              <w:t>with a</w:t>
            </w:r>
            <w:r>
              <w:t xml:space="preserve"> P</w:t>
            </w:r>
            <w:r w:rsidRPr="009D3B53">
              <w:t xml:space="preserve">rice to </w:t>
            </w:r>
            <w:r>
              <w:t>P</w:t>
            </w:r>
            <w:r w:rsidRPr="009D3B53">
              <w:t>harmacist</w:t>
            </w:r>
            <w:r>
              <w:t>s</w:t>
            </w:r>
            <w:r w:rsidRPr="009D3B53">
              <w:t xml:space="preserve"> </w:t>
            </w:r>
            <w:r>
              <w:t xml:space="preserve">for Maximum Quantity </w:t>
            </w:r>
            <w:r w:rsidRPr="009D3B53">
              <w:t xml:space="preserve">less than </w:t>
            </w:r>
            <w:r w:rsidR="005D6C59" w:rsidRPr="009D3B53">
              <w:t>$</w:t>
            </w:r>
            <w:r w:rsidR="005D6C59">
              <w:t>100</w:t>
            </w:r>
          </w:p>
          <w:p w14:paraId="3AF82325" w14:textId="182F1CFE" w:rsidR="0034521C" w:rsidRPr="009D3B53" w:rsidRDefault="0034521C" w:rsidP="00E771FE">
            <w:pPr>
              <w:spacing w:before="20" w:afterLines="20" w:after="48"/>
            </w:pPr>
          </w:p>
        </w:tc>
        <w:tc>
          <w:tcPr>
            <w:tcW w:w="2268" w:type="dxa"/>
            <w:tcBorders>
              <w:top w:val="single" w:sz="8" w:space="0" w:color="auto"/>
              <w:left w:val="nil"/>
              <w:bottom w:val="single" w:sz="8" w:space="0" w:color="auto"/>
              <w:right w:val="single" w:sz="8" w:space="0" w:color="auto"/>
            </w:tcBorders>
            <w:shd w:val="clear" w:color="auto" w:fill="auto"/>
          </w:tcPr>
          <w:p w14:paraId="5C6911DD" w14:textId="04C13ED3" w:rsidR="005F792A" w:rsidRPr="006F14F5" w:rsidRDefault="005D6C59" w:rsidP="00E771FE">
            <w:pPr>
              <w:spacing w:before="20" w:afterLines="20" w:after="48"/>
              <w:ind w:left="104"/>
              <w:rPr>
                <w:rFonts w:eastAsiaTheme="minorHAnsi" w:cs="Arial"/>
                <w:b/>
                <w:lang w:eastAsia="en-US"/>
              </w:rPr>
            </w:pPr>
            <w:r>
              <w:t xml:space="preserve">$4.28 </w:t>
            </w:r>
            <w:r w:rsidR="005F792A">
              <w:t>per dispense of Maximum Quantity</w:t>
            </w:r>
          </w:p>
        </w:tc>
      </w:tr>
      <w:tr w:rsidR="005F792A" w:rsidRPr="009D3B53" w14:paraId="4CD9AFAA" w14:textId="77777777" w:rsidTr="007677A0">
        <w:trPr>
          <w:cantSplit/>
          <w:trHeight w:val="1134"/>
        </w:trPr>
        <w:tc>
          <w:tcPr>
            <w:tcW w:w="2347"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B96A9B" w14:textId="77777777" w:rsidR="005F792A" w:rsidRPr="009D3B53" w:rsidRDefault="005F792A" w:rsidP="00B428B7">
            <w:pPr>
              <w:spacing w:before="20" w:afterLines="20" w:after="48"/>
            </w:pPr>
          </w:p>
        </w:tc>
        <w:tc>
          <w:tcPr>
            <w:tcW w:w="6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btLr"/>
            <w:vAlign w:val="center"/>
          </w:tcPr>
          <w:p w14:paraId="33E51A3C" w14:textId="0EEC6EED" w:rsidR="005F792A" w:rsidRPr="009D3B53" w:rsidRDefault="0034521C" w:rsidP="00B428B7">
            <w:pPr>
              <w:spacing w:before="20" w:afterLines="20" w:after="48"/>
              <w:ind w:left="132"/>
              <w:jc w:val="center"/>
            </w:pPr>
            <w:r>
              <w:rPr>
                <w:b/>
              </w:rPr>
              <w:t>Tier Two AHI Fee</w:t>
            </w:r>
          </w:p>
        </w:tc>
        <w:tc>
          <w:tcPr>
            <w:tcW w:w="18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B49EF5" w14:textId="28266D30" w:rsidR="005F792A" w:rsidRDefault="005F792A" w:rsidP="00B428B7">
            <w:pPr>
              <w:spacing w:before="20" w:afterLines="20" w:after="48"/>
              <w:rPr>
                <w:shd w:val="clear" w:color="auto" w:fill="FFFF00"/>
              </w:rPr>
            </w:pPr>
            <w:r w:rsidRPr="009D3B53">
              <w:t xml:space="preserve">For </w:t>
            </w:r>
            <w:r>
              <w:t>a Listed Brand</w:t>
            </w:r>
            <w:r w:rsidRPr="009D3B53">
              <w:t xml:space="preserve"> </w:t>
            </w:r>
            <w:r>
              <w:t>with a</w:t>
            </w:r>
            <w:r w:rsidRPr="009D3B53">
              <w:t xml:space="preserve"> </w:t>
            </w:r>
            <w:r>
              <w:t>P</w:t>
            </w:r>
            <w:r w:rsidRPr="009D3B53">
              <w:t xml:space="preserve">rice to </w:t>
            </w:r>
            <w:r>
              <w:t>P</w:t>
            </w:r>
            <w:r w:rsidRPr="009D3B53">
              <w:t>harmacist</w:t>
            </w:r>
            <w:r>
              <w:t>s</w:t>
            </w:r>
            <w:r w:rsidRPr="009D3B53">
              <w:t xml:space="preserve"> </w:t>
            </w:r>
            <w:r>
              <w:t xml:space="preserve">for Maximum Quantity </w:t>
            </w:r>
            <w:r w:rsidRPr="009D3B53">
              <w:t xml:space="preserve">from </w:t>
            </w:r>
            <w:r w:rsidR="005D6C59" w:rsidRPr="009D3B53">
              <w:t>$</w:t>
            </w:r>
            <w:r w:rsidR="005D6C59">
              <w:t>100</w:t>
            </w:r>
            <w:r w:rsidR="005D6C59" w:rsidRPr="009D3B53">
              <w:t xml:space="preserve"> </w:t>
            </w:r>
            <w:r w:rsidR="00B428B7">
              <w:t xml:space="preserve">and up </w:t>
            </w:r>
            <w:r w:rsidRPr="009D3B53">
              <w:t xml:space="preserve">to </w:t>
            </w:r>
            <w:r w:rsidR="00B428B7">
              <w:t xml:space="preserve">and including </w:t>
            </w:r>
            <w:r w:rsidR="005D6C59" w:rsidRPr="009D3B53">
              <w:t>$</w:t>
            </w:r>
            <w:r w:rsidR="005D6C59">
              <w:t>2,000</w:t>
            </w:r>
          </w:p>
          <w:p w14:paraId="273B7CD3" w14:textId="003CF5F6" w:rsidR="00594EDE" w:rsidRPr="009D3B53" w:rsidRDefault="00594EDE" w:rsidP="00B428B7">
            <w:pPr>
              <w:spacing w:before="20" w:afterLines="20" w:after="48"/>
            </w:pPr>
          </w:p>
        </w:tc>
        <w:tc>
          <w:tcPr>
            <w:tcW w:w="2268" w:type="dxa"/>
            <w:tcBorders>
              <w:top w:val="single" w:sz="8" w:space="0" w:color="auto"/>
              <w:left w:val="single" w:sz="8" w:space="0" w:color="auto"/>
              <w:bottom w:val="single" w:sz="8" w:space="0" w:color="auto"/>
              <w:right w:val="single" w:sz="8" w:space="0" w:color="auto"/>
            </w:tcBorders>
            <w:shd w:val="clear" w:color="auto" w:fill="auto"/>
          </w:tcPr>
          <w:p w14:paraId="30306D31" w14:textId="26A4539C" w:rsidR="005F792A" w:rsidRPr="009D3B53" w:rsidRDefault="005F792A" w:rsidP="00B428B7">
            <w:pPr>
              <w:spacing w:before="20" w:afterLines="20" w:after="48"/>
              <w:ind w:left="132"/>
            </w:pPr>
            <w:r>
              <w:t xml:space="preserve">Tier One AHI Fee </w:t>
            </w:r>
            <w:r w:rsidR="002B49DC">
              <w:t>plus 5</w:t>
            </w:r>
            <w:r w:rsidR="002B49DC" w:rsidRPr="009D3B53">
              <w:t xml:space="preserve">% </w:t>
            </w:r>
            <w:r w:rsidRPr="009D3B53">
              <w:t xml:space="preserve">of the amount by which the </w:t>
            </w:r>
            <w:r>
              <w:t>P</w:t>
            </w:r>
            <w:r w:rsidRPr="009D3B53">
              <w:t xml:space="preserve">rice to </w:t>
            </w:r>
            <w:r>
              <w:t>P</w:t>
            </w:r>
            <w:r w:rsidRPr="009D3B53">
              <w:t>harmacist</w:t>
            </w:r>
            <w:r>
              <w:t>s</w:t>
            </w:r>
            <w:r w:rsidRPr="009D3B53">
              <w:t xml:space="preserve"> </w:t>
            </w:r>
            <w:r>
              <w:t xml:space="preserve">for Maximum Quantity </w:t>
            </w:r>
            <w:r w:rsidRPr="009D3B53">
              <w:t xml:space="preserve">exceeds </w:t>
            </w:r>
            <w:r w:rsidR="002B49DC" w:rsidRPr="009D3B53">
              <w:t>$</w:t>
            </w:r>
            <w:r w:rsidR="002B49DC">
              <w:t xml:space="preserve">100, </w:t>
            </w:r>
            <w:r>
              <w:t>per dispense of Maximum Quantity</w:t>
            </w:r>
          </w:p>
        </w:tc>
      </w:tr>
      <w:tr w:rsidR="005F792A" w:rsidRPr="009D3B53" w14:paraId="32FBDDC0" w14:textId="77777777" w:rsidTr="007677A0">
        <w:trPr>
          <w:cantSplit/>
          <w:trHeight w:val="2029"/>
        </w:trPr>
        <w:tc>
          <w:tcPr>
            <w:tcW w:w="2347"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34F5CE" w14:textId="77777777" w:rsidR="005F792A" w:rsidRPr="009D3B53" w:rsidRDefault="005F792A" w:rsidP="00B428B7">
            <w:pPr>
              <w:spacing w:before="20" w:afterLines="20" w:after="48"/>
            </w:pPr>
          </w:p>
        </w:tc>
        <w:tc>
          <w:tcPr>
            <w:tcW w:w="6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btLr"/>
            <w:vAlign w:val="center"/>
          </w:tcPr>
          <w:p w14:paraId="79064467" w14:textId="4545E5A2" w:rsidR="005F792A" w:rsidRPr="003A0A96" w:rsidRDefault="0034521C" w:rsidP="00F7201A">
            <w:pPr>
              <w:spacing w:before="20" w:afterLines="20" w:after="48"/>
              <w:ind w:left="132"/>
            </w:pPr>
            <w:r w:rsidRPr="00206A59">
              <w:rPr>
                <w:b/>
              </w:rPr>
              <w:t>Tier Th</w:t>
            </w:r>
            <w:r>
              <w:rPr>
                <w:b/>
              </w:rPr>
              <w:t>r</w:t>
            </w:r>
            <w:r w:rsidRPr="00206A59">
              <w:rPr>
                <w:b/>
              </w:rPr>
              <w:t xml:space="preserve">ee AHI </w:t>
            </w:r>
            <w:r>
              <w:rPr>
                <w:b/>
              </w:rPr>
              <w:t>F</w:t>
            </w:r>
            <w:r w:rsidRPr="00206A59">
              <w:rPr>
                <w:b/>
              </w:rPr>
              <w:t>ee</w:t>
            </w:r>
          </w:p>
        </w:tc>
        <w:tc>
          <w:tcPr>
            <w:tcW w:w="18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3617D4" w14:textId="1F65BD7C" w:rsidR="0034521C" w:rsidRDefault="005F792A" w:rsidP="00B428B7">
            <w:pPr>
              <w:spacing w:before="20" w:afterLines="20" w:after="48"/>
              <w:rPr>
                <w:shd w:val="clear" w:color="auto" w:fill="FFFF00"/>
              </w:rPr>
            </w:pPr>
            <w:r w:rsidRPr="003A0A96">
              <w:t xml:space="preserve">For a </w:t>
            </w:r>
            <w:r>
              <w:t xml:space="preserve">Listed Brand with a </w:t>
            </w:r>
            <w:r w:rsidRPr="003A0A96">
              <w:t>Price to Pharmacist</w:t>
            </w:r>
            <w:r>
              <w:t xml:space="preserve">s for Maximum Quantity </w:t>
            </w:r>
            <w:r w:rsidR="00B428B7">
              <w:t>over</w:t>
            </w:r>
            <w:r>
              <w:t xml:space="preserve"> </w:t>
            </w:r>
            <w:r w:rsidR="002B49DC">
              <w:t>$2,000</w:t>
            </w:r>
          </w:p>
          <w:p w14:paraId="48C6D300" w14:textId="3BAF6157" w:rsidR="00594EDE" w:rsidRPr="009D3B53" w:rsidRDefault="00594EDE" w:rsidP="00B428B7">
            <w:pPr>
              <w:spacing w:before="20" w:afterLines="20" w:after="48"/>
            </w:pPr>
          </w:p>
        </w:tc>
        <w:tc>
          <w:tcPr>
            <w:tcW w:w="2268" w:type="dxa"/>
            <w:tcBorders>
              <w:top w:val="single" w:sz="8" w:space="0" w:color="auto"/>
              <w:left w:val="single" w:sz="8" w:space="0" w:color="auto"/>
              <w:bottom w:val="single" w:sz="8" w:space="0" w:color="auto"/>
              <w:right w:val="single" w:sz="8" w:space="0" w:color="auto"/>
            </w:tcBorders>
            <w:shd w:val="clear" w:color="auto" w:fill="auto"/>
          </w:tcPr>
          <w:p w14:paraId="0E9987D0" w14:textId="568D87AD" w:rsidR="005F792A" w:rsidRPr="009D3B53" w:rsidRDefault="005F792A" w:rsidP="00B428B7">
            <w:pPr>
              <w:spacing w:before="20" w:afterLines="20" w:after="48"/>
              <w:ind w:left="146"/>
            </w:pPr>
            <w:r>
              <w:t xml:space="preserve">Tier One AHI Fee and </w:t>
            </w:r>
            <w:r w:rsidR="002B49DC">
              <w:t xml:space="preserve">$95 </w:t>
            </w:r>
            <w:r>
              <w:t>per dispense of Maximum Quantity</w:t>
            </w:r>
          </w:p>
        </w:tc>
      </w:tr>
    </w:tbl>
    <w:p w14:paraId="3CD7C30B" w14:textId="77777777" w:rsidR="00B428B7" w:rsidRDefault="00B428B7" w:rsidP="00B428B7">
      <w:pPr>
        <w:pStyle w:val="BodyIndent2"/>
        <w:spacing w:after="120"/>
        <w:rPr>
          <w:b/>
        </w:rPr>
      </w:pPr>
    </w:p>
    <w:p w14:paraId="6FB3A879" w14:textId="48BE0522" w:rsidR="00B428B7" w:rsidRPr="00636F20" w:rsidRDefault="00B428B7" w:rsidP="00770D75">
      <w:pPr>
        <w:pStyle w:val="BodyIndent2"/>
        <w:keepNext/>
        <w:spacing w:after="240"/>
        <w:rPr>
          <w:b/>
        </w:rPr>
      </w:pPr>
      <w:r w:rsidRPr="00636F20">
        <w:rPr>
          <w:b/>
        </w:rPr>
        <w:t>Table 2: Components of the Commonwealth Price</w:t>
      </w:r>
      <w:r>
        <w:rPr>
          <w:b/>
        </w:rPr>
        <w:t xml:space="preserve"> (continued)</w:t>
      </w:r>
    </w:p>
    <w:tbl>
      <w:tblPr>
        <w:tblW w:w="7088" w:type="dxa"/>
        <w:tblInd w:w="1691" w:type="dxa"/>
        <w:tblLayout w:type="fixed"/>
        <w:tblCellMar>
          <w:left w:w="0" w:type="dxa"/>
          <w:right w:w="0" w:type="dxa"/>
        </w:tblCellMar>
        <w:tblLook w:val="04A0" w:firstRow="1" w:lastRow="0" w:firstColumn="1" w:lastColumn="0" w:noHBand="0" w:noVBand="1"/>
      </w:tblPr>
      <w:tblGrid>
        <w:gridCol w:w="2694"/>
        <w:gridCol w:w="4394"/>
      </w:tblGrid>
      <w:tr w:rsidR="00B428B7" w:rsidRPr="009D3B53" w14:paraId="683FDD66" w14:textId="77777777" w:rsidTr="00917F4F">
        <w:trPr>
          <w:cantSplit/>
          <w:trHeight w:val="357"/>
          <w:tblHeader/>
        </w:trPr>
        <w:tc>
          <w:tcPr>
            <w:tcW w:w="2694"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2339B9A8" w14:textId="77777777" w:rsidR="00B428B7" w:rsidRPr="009D3B53" w:rsidRDefault="00B428B7" w:rsidP="00B428B7">
            <w:pPr>
              <w:keepNext/>
              <w:spacing w:before="20" w:afterLines="20" w:after="48"/>
              <w:jc w:val="center"/>
              <w:rPr>
                <w:rFonts w:eastAsiaTheme="minorHAnsi" w:cs="Arial"/>
                <w:b/>
                <w:bCs/>
                <w:color w:val="FFFFFF"/>
                <w:lang w:eastAsia="en-US"/>
              </w:rPr>
            </w:pPr>
            <w:r w:rsidRPr="009D3B53">
              <w:rPr>
                <w:b/>
                <w:bCs/>
                <w:color w:val="FFFFFF"/>
              </w:rPr>
              <w:t>Payment type</w:t>
            </w:r>
          </w:p>
        </w:tc>
        <w:tc>
          <w:tcPr>
            <w:tcW w:w="4394" w:type="dxa"/>
            <w:tcBorders>
              <w:top w:val="single" w:sz="8" w:space="0" w:color="auto"/>
              <w:left w:val="nil"/>
              <w:bottom w:val="single" w:sz="8" w:space="0" w:color="auto"/>
              <w:right w:val="single" w:sz="8" w:space="0" w:color="auto"/>
            </w:tcBorders>
            <w:shd w:val="clear" w:color="auto" w:fill="0070C0"/>
          </w:tcPr>
          <w:p w14:paraId="7894319A" w14:textId="77777777" w:rsidR="00B428B7" w:rsidRPr="009D3B53" w:rsidRDefault="00B428B7" w:rsidP="00B428B7">
            <w:pPr>
              <w:keepNext/>
              <w:spacing w:before="20" w:afterLines="20" w:after="48"/>
              <w:jc w:val="center"/>
              <w:rPr>
                <w:rFonts w:eastAsiaTheme="minorHAnsi" w:cs="Arial"/>
                <w:b/>
                <w:bCs/>
                <w:color w:val="FFFFFF"/>
                <w:lang w:eastAsia="en-US"/>
              </w:rPr>
            </w:pPr>
            <w:r w:rsidRPr="009D3B53">
              <w:rPr>
                <w:b/>
                <w:bCs/>
                <w:color w:val="FFFFFF"/>
              </w:rPr>
              <w:t>Value of payment</w:t>
            </w:r>
          </w:p>
        </w:tc>
      </w:tr>
      <w:tr w:rsidR="00B428B7" w:rsidRPr="009D3B53" w14:paraId="0DB6ADA5" w14:textId="77777777" w:rsidTr="007677A0">
        <w:trPr>
          <w:cantSplit/>
        </w:trPr>
        <w:tc>
          <w:tcPr>
            <w:tcW w:w="2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ABA076" w14:textId="77777777" w:rsidR="00B428B7" w:rsidRDefault="00B428B7" w:rsidP="00B428B7">
            <w:pPr>
              <w:spacing w:before="20" w:afterLines="20" w:after="48"/>
            </w:pPr>
            <w:r w:rsidRPr="009D3B53">
              <w:t xml:space="preserve">dispensing fee (for </w:t>
            </w:r>
            <w:r>
              <w:t>Ready-Prepared Pharmaceutical Benefits</w:t>
            </w:r>
            <w:r w:rsidRPr="009D3B53">
              <w:t>)</w:t>
            </w:r>
          </w:p>
          <w:p w14:paraId="3C37D18B" w14:textId="77777777" w:rsidR="00B428B7" w:rsidRPr="009D3B53" w:rsidRDefault="00B428B7" w:rsidP="00B428B7">
            <w:pPr>
              <w:spacing w:before="20" w:afterLines="20" w:after="48"/>
              <w:rPr>
                <w:rFonts w:eastAsiaTheme="minorHAnsi" w:cs="Arial"/>
                <w:lang w:eastAsia="en-US"/>
              </w:rPr>
            </w:pP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446E92F1" w14:textId="6A0D10FF" w:rsidR="00B428B7" w:rsidRPr="009D3B53" w:rsidRDefault="00B428B7" w:rsidP="00B428B7">
            <w:pPr>
              <w:spacing w:before="20" w:afterLines="20" w:after="48"/>
              <w:ind w:left="58"/>
              <w:rPr>
                <w:rFonts w:eastAsiaTheme="minorHAnsi" w:cs="Arial"/>
                <w:lang w:eastAsia="en-US"/>
              </w:rPr>
            </w:pPr>
            <w:r>
              <w:t>$</w:t>
            </w:r>
            <w:r w:rsidR="002B49DC">
              <w:t>7.74</w:t>
            </w:r>
            <w:r w:rsidRPr="009D3B53">
              <w:t xml:space="preserve"> per dispense</w:t>
            </w:r>
          </w:p>
          <w:p w14:paraId="61081266" w14:textId="77777777" w:rsidR="00B428B7" w:rsidRPr="009D3B53" w:rsidRDefault="00B428B7" w:rsidP="00B428B7">
            <w:pPr>
              <w:spacing w:before="20" w:afterLines="20" w:after="48"/>
              <w:rPr>
                <w:rFonts w:eastAsiaTheme="minorHAnsi" w:cs="Arial"/>
                <w:lang w:eastAsia="en-US"/>
              </w:rPr>
            </w:pPr>
          </w:p>
        </w:tc>
      </w:tr>
      <w:tr w:rsidR="00B428B7" w:rsidRPr="009D3B53" w14:paraId="1B700259" w14:textId="77777777" w:rsidTr="007677A0">
        <w:trPr>
          <w:cantSplit/>
          <w:trHeight w:val="606"/>
        </w:trPr>
        <w:tc>
          <w:tcPr>
            <w:tcW w:w="2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05D92" w14:textId="77777777" w:rsidR="00B428B7" w:rsidRDefault="00B428B7" w:rsidP="00B428B7">
            <w:pPr>
              <w:spacing w:before="20" w:afterLines="20" w:after="48"/>
            </w:pPr>
            <w:r w:rsidRPr="009D3B53">
              <w:t xml:space="preserve">dispensing fee (for </w:t>
            </w:r>
            <w:r w:rsidRPr="00B73E6C">
              <w:t>Extemporaneously-Prepared Pharmaceutical Benefit</w:t>
            </w:r>
            <w:r>
              <w:t>s</w:t>
            </w:r>
            <w:r w:rsidRPr="009D3B53">
              <w:t>)</w:t>
            </w:r>
          </w:p>
          <w:p w14:paraId="3E828095" w14:textId="77777777" w:rsidR="00B428B7" w:rsidRPr="009D3B53" w:rsidRDefault="00B428B7" w:rsidP="00B428B7">
            <w:pPr>
              <w:spacing w:before="20" w:afterLines="20" w:after="48"/>
              <w:rPr>
                <w:rFonts w:eastAsiaTheme="minorHAnsi" w:cs="Arial"/>
                <w:lang w:eastAsia="en-US"/>
              </w:rPr>
            </w:pP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2F8BA61A" w14:textId="142C36D8" w:rsidR="00B428B7" w:rsidRPr="009D3B53" w:rsidRDefault="00B428B7" w:rsidP="00B428B7">
            <w:pPr>
              <w:spacing w:before="20" w:afterLines="20" w:after="48"/>
              <w:ind w:left="58"/>
              <w:rPr>
                <w:rFonts w:eastAsiaTheme="minorHAnsi" w:cs="Arial"/>
                <w:lang w:eastAsia="en-US"/>
              </w:rPr>
            </w:pPr>
            <w:r w:rsidRPr="009D3B53">
              <w:t xml:space="preserve">Dispensing fee for </w:t>
            </w:r>
            <w:r>
              <w:t>Ready-Prepared Pharmaceutical Benefits,</w:t>
            </w:r>
            <w:r w:rsidRPr="009D3B53">
              <w:t xml:space="preserve"> plus $</w:t>
            </w:r>
            <w:r w:rsidR="002B49DC">
              <w:t>2.04</w:t>
            </w:r>
            <w:r>
              <w:t>,</w:t>
            </w:r>
            <w:r w:rsidRPr="009D3B53">
              <w:t xml:space="preserve"> per dispense</w:t>
            </w:r>
          </w:p>
        </w:tc>
      </w:tr>
      <w:tr w:rsidR="00B428B7" w:rsidRPr="009D3B53" w14:paraId="7A0CB26B" w14:textId="77777777" w:rsidTr="007677A0">
        <w:trPr>
          <w:cantSplit/>
          <w:trHeight w:val="606"/>
        </w:trPr>
        <w:tc>
          <w:tcPr>
            <w:tcW w:w="2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16CE13" w14:textId="2E281A9A" w:rsidR="00B428B7" w:rsidRDefault="00B428B7" w:rsidP="00B428B7">
            <w:pPr>
              <w:spacing w:before="20" w:afterLines="20" w:after="48"/>
            </w:pPr>
            <w:r w:rsidRPr="009D3B53">
              <w:t>Dangerous Drug fee</w:t>
            </w:r>
            <w:r>
              <w:t xml:space="preserve"> </w:t>
            </w:r>
          </w:p>
          <w:p w14:paraId="0CEC7C28" w14:textId="77777777" w:rsidR="00B428B7" w:rsidRPr="009D3B53" w:rsidRDefault="00B428B7" w:rsidP="00B428B7">
            <w:pPr>
              <w:spacing w:before="20" w:afterLines="20" w:after="48"/>
              <w:rPr>
                <w:rFonts w:eastAsiaTheme="minorHAnsi" w:cs="Arial"/>
                <w:lang w:eastAsia="en-US"/>
              </w:rPr>
            </w:pP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6763C86C" w14:textId="5D430B07" w:rsidR="00B428B7" w:rsidRPr="009D3B53" w:rsidRDefault="00B428B7" w:rsidP="00D66F53">
            <w:pPr>
              <w:spacing w:before="20" w:afterLines="20" w:after="48"/>
              <w:ind w:left="58"/>
              <w:rPr>
                <w:rFonts w:eastAsiaTheme="minorHAnsi" w:cs="Arial"/>
                <w:lang w:eastAsia="en-US"/>
              </w:rPr>
            </w:pPr>
            <w:r>
              <w:t>$</w:t>
            </w:r>
            <w:r w:rsidR="002B49DC">
              <w:t>4.80</w:t>
            </w:r>
            <w:r w:rsidRPr="009D3B53">
              <w:t xml:space="preserve"> per Dangerous Drug dispensed</w:t>
            </w:r>
          </w:p>
        </w:tc>
      </w:tr>
    </w:tbl>
    <w:p w14:paraId="0AA4ACD8" w14:textId="3B46FA66" w:rsidR="00F845E1" w:rsidRPr="009D3B53" w:rsidRDefault="002B10B3" w:rsidP="00B84290">
      <w:pPr>
        <w:pStyle w:val="Heading3"/>
        <w:keepNext/>
        <w:ind w:left="1708" w:hanging="840"/>
      </w:pPr>
      <w:r w:rsidRPr="009D3B53">
        <w:t>The:</w:t>
      </w:r>
    </w:p>
    <w:p w14:paraId="6A8784BA" w14:textId="37BF0203" w:rsidR="002B10B3" w:rsidRPr="009D3B53" w:rsidRDefault="006F14F5" w:rsidP="00B84290">
      <w:pPr>
        <w:pStyle w:val="Heading4"/>
        <w:keepNext/>
      </w:pPr>
      <w:r>
        <w:t>Tier One AHI Fee</w:t>
      </w:r>
      <w:r w:rsidR="002B10B3" w:rsidRPr="009D3B53">
        <w:t>;</w:t>
      </w:r>
    </w:p>
    <w:p w14:paraId="6BFBBE7E" w14:textId="77777777" w:rsidR="00077F25" w:rsidRPr="009D3B53" w:rsidRDefault="00DD7C00" w:rsidP="000A3920">
      <w:pPr>
        <w:pStyle w:val="Heading4"/>
      </w:pPr>
      <w:r w:rsidRPr="009D3B53">
        <w:t>d</w:t>
      </w:r>
      <w:r w:rsidR="00077F25" w:rsidRPr="009D3B53">
        <w:t>ispensing fee</w:t>
      </w:r>
      <w:r w:rsidR="00757EC7" w:rsidRPr="009D3B53">
        <w:t xml:space="preserve"> </w:t>
      </w:r>
      <w:r w:rsidR="00843D16" w:rsidRPr="009D3B53">
        <w:t xml:space="preserve">for </w:t>
      </w:r>
      <w:r w:rsidR="00B73E6C">
        <w:t>Ready-Prepared Pharmaceutical Benefits</w:t>
      </w:r>
      <w:r w:rsidR="00077F25" w:rsidRPr="009D3B53">
        <w:t>; and</w:t>
      </w:r>
    </w:p>
    <w:p w14:paraId="33C7C955" w14:textId="090F0AF9" w:rsidR="00077F25" w:rsidRPr="009D3B53" w:rsidRDefault="000B73EE" w:rsidP="00FE01BF">
      <w:pPr>
        <w:pStyle w:val="Heading4"/>
        <w:keepNext/>
      </w:pPr>
      <w:r w:rsidRPr="009D3B53">
        <w:t>Dangerous Drug</w:t>
      </w:r>
      <w:r w:rsidR="00B17013" w:rsidRPr="009D3B53">
        <w:t xml:space="preserve"> </w:t>
      </w:r>
      <w:r w:rsidR="00E34398" w:rsidRPr="009D3B53">
        <w:t>f</w:t>
      </w:r>
      <w:r w:rsidR="00077F25" w:rsidRPr="009D3B53">
        <w:t>ee,</w:t>
      </w:r>
    </w:p>
    <w:p w14:paraId="1283888A" w14:textId="1F642E53" w:rsidR="00077F25" w:rsidRPr="009D3B53" w:rsidRDefault="00077F25" w:rsidP="00FE01BF">
      <w:pPr>
        <w:pStyle w:val="Heading4"/>
        <w:keepNext/>
        <w:numPr>
          <w:ilvl w:val="0"/>
          <w:numId w:val="0"/>
        </w:numPr>
        <w:ind w:left="1701"/>
      </w:pPr>
      <w:r w:rsidRPr="009D3B53">
        <w:t xml:space="preserve">as described in Table </w:t>
      </w:r>
      <w:r w:rsidR="00D8291F">
        <w:t>2</w:t>
      </w:r>
      <w:r w:rsidRPr="009D3B53">
        <w:t xml:space="preserve">, will </w:t>
      </w:r>
      <w:r w:rsidR="00A96653" w:rsidRPr="009D3B53">
        <w:t xml:space="preserve">each </w:t>
      </w:r>
      <w:r w:rsidRPr="009D3B53">
        <w:t xml:space="preserve">be Indexed </w:t>
      </w:r>
      <w:bookmarkStart w:id="153" w:name="_Hlk29305316"/>
      <w:r w:rsidRPr="009D3B53">
        <w:t xml:space="preserve">on the </w:t>
      </w:r>
      <w:r w:rsidR="00BF0A0E">
        <w:t xml:space="preserve">relevant </w:t>
      </w:r>
      <w:r w:rsidRPr="009D3B53">
        <w:t>Indexation Date</w:t>
      </w:r>
      <w:bookmarkEnd w:id="153"/>
      <w:r w:rsidR="002C1A3A">
        <w:t xml:space="preserve"> (as set out in clause </w:t>
      </w:r>
      <w:r w:rsidR="002C1A3A">
        <w:fldChar w:fldCharType="begin"/>
      </w:r>
      <w:r w:rsidR="002C1A3A">
        <w:instrText xml:space="preserve"> REF _Ref41341845 \r \h </w:instrText>
      </w:r>
      <w:r w:rsidR="002C1A3A">
        <w:fldChar w:fldCharType="separate"/>
      </w:r>
      <w:r w:rsidR="00982D02">
        <w:t>13</w:t>
      </w:r>
      <w:r w:rsidR="002C1A3A">
        <w:fldChar w:fldCharType="end"/>
      </w:r>
      <w:r w:rsidR="002C1A3A">
        <w:t>)</w:t>
      </w:r>
      <w:r w:rsidR="00370EDE" w:rsidRPr="009D3B53">
        <w:t>.</w:t>
      </w:r>
    </w:p>
    <w:p w14:paraId="5B19D49F" w14:textId="77777777" w:rsidR="00261C9A" w:rsidRPr="00AF0191" w:rsidRDefault="00261C9A" w:rsidP="009338EF">
      <w:pPr>
        <w:pStyle w:val="Heading3"/>
        <w:ind w:left="1708" w:hanging="840"/>
      </w:pPr>
      <w:r w:rsidRPr="00AF0191">
        <w:t>The</w:t>
      </w:r>
      <w:r w:rsidR="00B353A9" w:rsidRPr="00AF0191">
        <w:t xml:space="preserve"> wholesale mark-up set out in Table </w:t>
      </w:r>
      <w:r w:rsidR="00D8291F" w:rsidRPr="00AF0191">
        <w:t>2</w:t>
      </w:r>
      <w:r w:rsidR="00B353A9" w:rsidRPr="00AF0191">
        <w:t xml:space="preserve"> will not be Indexed during the Term.</w:t>
      </w:r>
    </w:p>
    <w:p w14:paraId="08FEC456" w14:textId="013F90DA" w:rsidR="00C43018" w:rsidRDefault="006E1693" w:rsidP="001A5BFD">
      <w:pPr>
        <w:pStyle w:val="Heading1"/>
      </w:pPr>
      <w:bookmarkStart w:id="154" w:name="_Toc29646208"/>
      <w:bookmarkStart w:id="155" w:name="_Ref37061777"/>
      <w:bookmarkStart w:id="156" w:name="_Toc42783600"/>
      <w:bookmarkStart w:id="157" w:name="_Ref31204018"/>
      <w:bookmarkStart w:id="158" w:name="_Ref419920439"/>
      <w:bookmarkEnd w:id="154"/>
      <w:r>
        <w:t xml:space="preserve">Volume based </w:t>
      </w:r>
      <w:r w:rsidR="00BD6B6C">
        <w:t xml:space="preserve">remuneration </w:t>
      </w:r>
      <w:r>
        <w:t>adjustment</w:t>
      </w:r>
      <w:r w:rsidR="00BD6B6C">
        <w:t xml:space="preserve"> mechanism</w:t>
      </w:r>
      <w:bookmarkEnd w:id="155"/>
      <w:bookmarkEnd w:id="156"/>
      <w:r>
        <w:t xml:space="preserve"> </w:t>
      </w:r>
      <w:bookmarkEnd w:id="157"/>
    </w:p>
    <w:p w14:paraId="59208C8F" w14:textId="77777777" w:rsidR="00344244" w:rsidRPr="00344244" w:rsidRDefault="00344244" w:rsidP="00344244">
      <w:pPr>
        <w:pStyle w:val="Heading2"/>
      </w:pPr>
      <w:bookmarkStart w:id="159" w:name="_Toc33090566"/>
      <w:bookmarkStart w:id="160" w:name="_Toc42783601"/>
      <w:bookmarkStart w:id="161" w:name="_Ref25856175"/>
      <w:r w:rsidRPr="00344244">
        <w:t>Basis for adjusting the Commonwealth Price</w:t>
      </w:r>
      <w:bookmarkEnd w:id="159"/>
      <w:bookmarkEnd w:id="160"/>
    </w:p>
    <w:p w14:paraId="50BD2B21" w14:textId="77777777" w:rsidR="00344244" w:rsidRPr="00344244" w:rsidRDefault="00344244" w:rsidP="00344244">
      <w:pPr>
        <w:spacing w:before="240"/>
        <w:ind w:left="851"/>
        <w:rPr>
          <w:rFonts w:cs="Arial"/>
        </w:rPr>
      </w:pPr>
      <w:r w:rsidRPr="00344244">
        <w:rPr>
          <w:rFonts w:cs="Arial"/>
        </w:rPr>
        <w:t>Recognising:</w:t>
      </w:r>
    </w:p>
    <w:p w14:paraId="042C8162" w14:textId="77777777" w:rsidR="00344244" w:rsidRPr="00344244" w:rsidRDefault="00344244" w:rsidP="00EB1651">
      <w:pPr>
        <w:numPr>
          <w:ilvl w:val="2"/>
          <w:numId w:val="22"/>
        </w:numPr>
        <w:spacing w:before="240"/>
        <w:ind w:left="1708" w:hanging="840"/>
        <w:outlineLvl w:val="2"/>
      </w:pPr>
      <w:r w:rsidRPr="00344244">
        <w:t xml:space="preserve">the public benefit of accessible pharmacies in primary care; </w:t>
      </w:r>
    </w:p>
    <w:p w14:paraId="3A6C51C3" w14:textId="77777777" w:rsidR="00344244" w:rsidRPr="00344244" w:rsidRDefault="00344244" w:rsidP="00EB1651">
      <w:pPr>
        <w:numPr>
          <w:ilvl w:val="2"/>
          <w:numId w:val="22"/>
        </w:numPr>
        <w:spacing w:before="240"/>
        <w:ind w:left="1708" w:hanging="840"/>
        <w:outlineLvl w:val="2"/>
      </w:pPr>
      <w:r w:rsidRPr="00344244">
        <w:t xml:space="preserve">the inherent uncertainty in forecasting prescription volumes due to factors such as patient and PBS Prescriber behaviour; </w:t>
      </w:r>
    </w:p>
    <w:p w14:paraId="6889726A" w14:textId="77777777" w:rsidR="00344244" w:rsidRPr="00344244" w:rsidRDefault="00344244" w:rsidP="00EB1651">
      <w:pPr>
        <w:numPr>
          <w:ilvl w:val="2"/>
          <w:numId w:val="22"/>
        </w:numPr>
        <w:spacing w:before="240"/>
        <w:ind w:left="1708" w:hanging="840"/>
        <w:outlineLvl w:val="2"/>
      </w:pPr>
      <w:r w:rsidRPr="00344244">
        <w:t xml:space="preserve">that Approved Pharmacists are paid for their PBS and RPBS dispensing function per prescription dispensed; </w:t>
      </w:r>
    </w:p>
    <w:p w14:paraId="7BF73EC5" w14:textId="77777777" w:rsidR="00344244" w:rsidRPr="00344244" w:rsidRDefault="00344244" w:rsidP="00EB1651">
      <w:pPr>
        <w:numPr>
          <w:ilvl w:val="2"/>
          <w:numId w:val="22"/>
        </w:numPr>
        <w:spacing w:before="240"/>
        <w:ind w:left="1708" w:hanging="840"/>
        <w:outlineLvl w:val="2"/>
      </w:pPr>
      <w:r w:rsidRPr="00344244">
        <w:t xml:space="preserve">that Approved Pharmacists have fixed costs in relation to PBS and RPBS dispensing which exist notwithstanding the volume of PBS and RPBS prescriptions they dispense; </w:t>
      </w:r>
    </w:p>
    <w:p w14:paraId="6943361B" w14:textId="77777777" w:rsidR="00344244" w:rsidRPr="00344244" w:rsidRDefault="00344244" w:rsidP="007817E1">
      <w:pPr>
        <w:numPr>
          <w:ilvl w:val="2"/>
          <w:numId w:val="22"/>
        </w:numPr>
        <w:spacing w:before="240"/>
        <w:ind w:left="1707" w:hanging="839"/>
        <w:outlineLvl w:val="2"/>
      </w:pPr>
      <w:r w:rsidRPr="00344244">
        <w:t>that PBS and RPBS expenditure below estimated levels may impact some community pharmacies; and</w:t>
      </w:r>
    </w:p>
    <w:p w14:paraId="527FA571" w14:textId="77777777" w:rsidR="00344244" w:rsidRPr="00344244" w:rsidRDefault="00344244" w:rsidP="00777134">
      <w:pPr>
        <w:numPr>
          <w:ilvl w:val="2"/>
          <w:numId w:val="22"/>
        </w:numPr>
        <w:spacing w:before="240"/>
        <w:ind w:left="1708" w:hanging="840"/>
        <w:outlineLvl w:val="2"/>
      </w:pPr>
      <w:r w:rsidRPr="00344244">
        <w:t xml:space="preserve">that PBS and RPBS expenditure in excess of estimated levels will provide unexpected additional revenue for community pharmacy, while also impacting the Budget, </w:t>
      </w:r>
    </w:p>
    <w:p w14:paraId="05FAAEA8" w14:textId="49F40D81" w:rsidR="00344244" w:rsidRPr="00344244" w:rsidRDefault="00344244" w:rsidP="00777134">
      <w:pPr>
        <w:spacing w:before="240"/>
        <w:ind w:left="851"/>
        <w:rPr>
          <w:rFonts w:cs="Arial"/>
        </w:rPr>
      </w:pPr>
      <w:r w:rsidRPr="00344244">
        <w:rPr>
          <w:rFonts w:cs="Arial"/>
        </w:rPr>
        <w:t xml:space="preserve">the Commonwealth and the Guild agree to the periodic </w:t>
      </w:r>
      <w:bookmarkStart w:id="162" w:name="_Hlk30608668"/>
      <w:r w:rsidRPr="00344244">
        <w:rPr>
          <w:rFonts w:cs="Arial"/>
        </w:rPr>
        <w:t xml:space="preserve">volume based adjustment </w:t>
      </w:r>
      <w:bookmarkEnd w:id="162"/>
      <w:r w:rsidRPr="00344244">
        <w:rPr>
          <w:rFonts w:cs="Arial"/>
        </w:rPr>
        <w:t xml:space="preserve">of certain elements of the Commonwealth Price in the circumstances specified in </w:t>
      </w:r>
      <w:r w:rsidR="00C93EF0">
        <w:rPr>
          <w:rFonts w:cs="Arial"/>
        </w:rPr>
        <w:t>Appendix B</w:t>
      </w:r>
      <w:r w:rsidRPr="00344244">
        <w:rPr>
          <w:rFonts w:cs="Arial"/>
        </w:rPr>
        <w:t xml:space="preserve">.  </w:t>
      </w:r>
    </w:p>
    <w:p w14:paraId="7D0B04E5" w14:textId="54F6F9AE" w:rsidR="00344244" w:rsidRPr="00344244" w:rsidRDefault="00344244" w:rsidP="00E5407B">
      <w:pPr>
        <w:pStyle w:val="Heading2"/>
        <w:keepLines/>
      </w:pPr>
      <w:bookmarkStart w:id="163" w:name="_Toc42783602"/>
      <w:r w:rsidRPr="00344244">
        <w:t xml:space="preserve">Estimates of </w:t>
      </w:r>
      <w:r w:rsidR="00AF52F2">
        <w:t>prescription</w:t>
      </w:r>
      <w:r w:rsidR="00AF52F2" w:rsidRPr="00344244">
        <w:t xml:space="preserve"> </w:t>
      </w:r>
      <w:r w:rsidRPr="00344244">
        <w:t>volumes</w:t>
      </w:r>
      <w:bookmarkEnd w:id="163"/>
    </w:p>
    <w:p w14:paraId="2AC7C94B" w14:textId="6415F260" w:rsidR="00344244" w:rsidRPr="00344244" w:rsidRDefault="00344244" w:rsidP="00E5407B">
      <w:pPr>
        <w:pStyle w:val="BodyIndent1"/>
        <w:keepNext/>
        <w:keepLines/>
      </w:pPr>
      <w:bookmarkStart w:id="164" w:name="_Hlk29810057"/>
      <w:r w:rsidRPr="00344244">
        <w:t xml:space="preserve">The </w:t>
      </w:r>
      <w:r w:rsidR="006C2CA7">
        <w:t xml:space="preserve">pharmacy </w:t>
      </w:r>
      <w:r w:rsidRPr="00344244">
        <w:t>remuneration</w:t>
      </w:r>
      <w:r w:rsidR="006C2CA7" w:rsidRPr="006C2CA7">
        <w:t xml:space="preserve"> </w:t>
      </w:r>
      <w:r w:rsidR="006C2CA7" w:rsidRPr="00A439D1">
        <w:t xml:space="preserve">for </w:t>
      </w:r>
      <w:r w:rsidR="00D65206">
        <w:t xml:space="preserve">the </w:t>
      </w:r>
      <w:r w:rsidR="006C2CA7" w:rsidRPr="00A439D1">
        <w:t xml:space="preserve">dispensing </w:t>
      </w:r>
      <w:r w:rsidR="006C2CA7">
        <w:t>of P</w:t>
      </w:r>
      <w:r w:rsidR="006C2CA7" w:rsidRPr="00A439D1">
        <w:t xml:space="preserve">harmaceutical </w:t>
      </w:r>
      <w:r w:rsidR="006C2CA7">
        <w:t xml:space="preserve">Benefits (including wholesaler remuneration) as set out in Table 1 is based on </w:t>
      </w:r>
      <w:r w:rsidR="00D65206">
        <w:t>the estimated number of PBS and RPBS prescriptions during the Term as outlined in</w:t>
      </w:r>
      <w:r w:rsidRPr="00344244">
        <w:t xml:space="preserve"> Table </w:t>
      </w:r>
      <w:r w:rsidR="006C2CA7">
        <w:t>5</w:t>
      </w:r>
      <w:r w:rsidR="006C2CA7" w:rsidRPr="00344244">
        <w:t xml:space="preserve"> </w:t>
      </w:r>
      <w:r w:rsidRPr="00344244">
        <w:t xml:space="preserve">in the Attachment to </w:t>
      </w:r>
      <w:r w:rsidR="00C93EF0">
        <w:t>Appendix B</w:t>
      </w:r>
      <w:r w:rsidRPr="00344244">
        <w:t xml:space="preserve">. </w:t>
      </w:r>
    </w:p>
    <w:p w14:paraId="0F157C5D" w14:textId="77777777" w:rsidR="00344244" w:rsidRPr="00344244" w:rsidRDefault="00344244" w:rsidP="00344244">
      <w:pPr>
        <w:pStyle w:val="Heading2"/>
      </w:pPr>
      <w:bookmarkStart w:id="165" w:name="_Toc42783603"/>
      <w:bookmarkEnd w:id="164"/>
      <w:r w:rsidRPr="00344244">
        <w:t>When adjustment applies</w:t>
      </w:r>
      <w:bookmarkEnd w:id="165"/>
    </w:p>
    <w:p w14:paraId="4650B302" w14:textId="7936F980" w:rsidR="00344244" w:rsidRPr="00344244" w:rsidRDefault="00344244" w:rsidP="00EC202E">
      <w:pPr>
        <w:pStyle w:val="Heading3"/>
      </w:pPr>
      <w:r w:rsidRPr="00344244">
        <w:t xml:space="preserve">Any change in the Commonwealth Price for a Financial Year under </w:t>
      </w:r>
      <w:r w:rsidR="00C93EF0">
        <w:t>Appendix B</w:t>
      </w:r>
      <w:r w:rsidRPr="00344244">
        <w:t xml:space="preserve"> will be added or subtracted (as applicable) after Indexation has been applied at the commencement of that Financial Year.</w:t>
      </w:r>
    </w:p>
    <w:p w14:paraId="20F0288C" w14:textId="390032EE" w:rsidR="00344244" w:rsidRDefault="00344244" w:rsidP="00EC202E">
      <w:pPr>
        <w:pStyle w:val="Heading3"/>
      </w:pPr>
      <w:r w:rsidRPr="00344244">
        <w:t xml:space="preserve">Any change made under </w:t>
      </w:r>
      <w:r w:rsidR="00C93EF0">
        <w:t>Appendix B</w:t>
      </w:r>
      <w:r w:rsidRPr="00344244">
        <w:t xml:space="preserve"> will only apply to the Financial Year following the Assessment Period giving rise to the change. When making changes to be applied in the next Financial Year, Indexation and any adjustment under </w:t>
      </w:r>
      <w:r w:rsidR="00C93EF0">
        <w:t>Appendix</w:t>
      </w:r>
      <w:r w:rsidR="00B34AA5">
        <w:t> </w:t>
      </w:r>
      <w:r w:rsidR="00C93EF0">
        <w:t>B</w:t>
      </w:r>
      <w:r w:rsidRPr="00344244">
        <w:t xml:space="preserve"> are to be applied on the basis that the change under </w:t>
      </w:r>
      <w:r w:rsidR="00C93EF0">
        <w:t>Appendix B</w:t>
      </w:r>
      <w:r w:rsidRPr="00344244">
        <w:t xml:space="preserve"> in the previous Financial Year had not occurred.</w:t>
      </w:r>
    </w:p>
    <w:p w14:paraId="0C55F4DE" w14:textId="0F241963" w:rsidR="00FE01BF" w:rsidRPr="00344244" w:rsidRDefault="0057550C" w:rsidP="00EC202E">
      <w:pPr>
        <w:pStyle w:val="Heading3"/>
      </w:pPr>
      <w:r>
        <w:t xml:space="preserve">Any increase in the Commonwealth Price for a Financial Year </w:t>
      </w:r>
      <w:r w:rsidR="00FE01BF">
        <w:t xml:space="preserve">under this clause </w:t>
      </w:r>
      <w:r w:rsidR="00FE01BF">
        <w:fldChar w:fldCharType="begin"/>
      </w:r>
      <w:r w:rsidR="00FE01BF">
        <w:instrText xml:space="preserve"> REF _Ref37061777 \r \h </w:instrText>
      </w:r>
      <w:r w:rsidR="00FE01BF">
        <w:fldChar w:fldCharType="separate"/>
      </w:r>
      <w:r w:rsidR="00982D02">
        <w:t>3</w:t>
      </w:r>
      <w:r w:rsidR="00FE01BF">
        <w:fldChar w:fldCharType="end"/>
      </w:r>
      <w:r w:rsidR="00FE01BF">
        <w:t xml:space="preserve"> and Appendix B</w:t>
      </w:r>
      <w:r>
        <w:t xml:space="preserve"> will result in a corresponding reduction in </w:t>
      </w:r>
      <w:bookmarkStart w:id="166" w:name="_Hlk41332839"/>
      <w:r w:rsidR="00FE01BF">
        <w:t xml:space="preserve">the Additional Patient Charge specified in clause </w:t>
      </w:r>
      <w:r w:rsidR="00FE01BF">
        <w:fldChar w:fldCharType="begin"/>
      </w:r>
      <w:r w:rsidR="00FE01BF">
        <w:instrText xml:space="preserve"> REF _Ref29299247 \r \h </w:instrText>
      </w:r>
      <w:r w:rsidR="00FE01BF">
        <w:fldChar w:fldCharType="separate"/>
      </w:r>
      <w:r w:rsidR="00982D02">
        <w:t>4</w:t>
      </w:r>
      <w:r w:rsidR="00FE01BF">
        <w:fldChar w:fldCharType="end"/>
      </w:r>
      <w:r w:rsidR="00FE01BF">
        <w:t xml:space="preserve"> </w:t>
      </w:r>
      <w:r>
        <w:t xml:space="preserve">for that Financial Year </w:t>
      </w:r>
      <w:r w:rsidR="00FE01BF">
        <w:t>under Appendix</w:t>
      </w:r>
      <w:r>
        <w:t> </w:t>
      </w:r>
      <w:r w:rsidR="00FE01BF">
        <w:t xml:space="preserve">B. </w:t>
      </w:r>
      <w:bookmarkEnd w:id="166"/>
      <w:r w:rsidR="00D57127">
        <w:t xml:space="preserve"> At the end of that Financial Year, the Additional Patient Charge is intended to revert to the figure applying under clause </w:t>
      </w:r>
      <w:r w:rsidR="00D57127">
        <w:fldChar w:fldCharType="begin"/>
      </w:r>
      <w:r w:rsidR="00D57127">
        <w:instrText xml:space="preserve"> REF _Ref29299247 \w \h </w:instrText>
      </w:r>
      <w:r w:rsidR="00D57127">
        <w:fldChar w:fldCharType="separate"/>
      </w:r>
      <w:r w:rsidR="00982D02">
        <w:t>4</w:t>
      </w:r>
      <w:r w:rsidR="00D57127">
        <w:fldChar w:fldCharType="end"/>
      </w:r>
      <w:r w:rsidR="00D57127">
        <w:t xml:space="preserve"> and, if necessary, may be reduced again under Appendix B.</w:t>
      </w:r>
    </w:p>
    <w:p w14:paraId="38504E03" w14:textId="77777777" w:rsidR="00344244" w:rsidRPr="00344244" w:rsidRDefault="00344244" w:rsidP="00535C74">
      <w:pPr>
        <w:pStyle w:val="Heading2"/>
      </w:pPr>
      <w:bookmarkStart w:id="167" w:name="_Toc42783604"/>
      <w:r w:rsidRPr="00344244">
        <w:t>No further agreement required</w:t>
      </w:r>
      <w:bookmarkEnd w:id="167"/>
    </w:p>
    <w:p w14:paraId="7BCDAA0B" w14:textId="7942BAB4" w:rsidR="00344244" w:rsidRPr="00344244" w:rsidRDefault="00344244" w:rsidP="00535C74">
      <w:pPr>
        <w:keepNext/>
        <w:spacing w:before="240"/>
        <w:ind w:left="851"/>
        <w:rPr>
          <w:rFonts w:cs="Arial"/>
        </w:rPr>
      </w:pPr>
      <w:r w:rsidRPr="00344244">
        <w:rPr>
          <w:rFonts w:cs="Arial"/>
        </w:rPr>
        <w:t xml:space="preserve">The Commonwealth and the Guild acknowledge and agree that any change to the Commonwealth Price under </w:t>
      </w:r>
      <w:r w:rsidR="00C93EF0">
        <w:rPr>
          <w:rFonts w:cs="Arial"/>
        </w:rPr>
        <w:t>Appendix B</w:t>
      </w:r>
      <w:r w:rsidRPr="00344244">
        <w:rPr>
          <w:rFonts w:cs="Arial"/>
        </w:rPr>
        <w:t xml:space="preserve"> will occur without the need for the further agreement of the Minister and the Guild under subsection 98BAA(1) of the Act.</w:t>
      </w:r>
    </w:p>
    <w:p w14:paraId="1C0169D9" w14:textId="61ACF82B" w:rsidR="00344244" w:rsidRPr="00344244" w:rsidRDefault="003C3B79" w:rsidP="00344244">
      <w:pPr>
        <w:pStyle w:val="Heading2"/>
      </w:pPr>
      <w:bookmarkStart w:id="168" w:name="_Toc34983652"/>
      <w:bookmarkStart w:id="169" w:name="_Toc42783605"/>
      <w:r>
        <w:t>Fitness for purpose</w:t>
      </w:r>
      <w:r w:rsidRPr="00344244">
        <w:t xml:space="preserve"> </w:t>
      </w:r>
      <w:r w:rsidR="00344244" w:rsidRPr="00344244">
        <w:t>of arrangements under this clause</w:t>
      </w:r>
      <w:bookmarkEnd w:id="168"/>
      <w:bookmarkEnd w:id="169"/>
    </w:p>
    <w:p w14:paraId="5E2E3338" w14:textId="3C551A4F" w:rsidR="00621F12" w:rsidRPr="00621F12" w:rsidRDefault="00344244" w:rsidP="00344244">
      <w:pPr>
        <w:spacing w:before="240"/>
        <w:ind w:left="851"/>
      </w:pPr>
      <w:r w:rsidRPr="00344244">
        <w:rPr>
          <w:rFonts w:cs="Arial"/>
        </w:rPr>
        <w:t xml:space="preserve">In the third Financial Year, the Department </w:t>
      </w:r>
      <w:r w:rsidR="003C3B79">
        <w:rPr>
          <w:rFonts w:cs="Arial"/>
        </w:rPr>
        <w:t>and the Guild will</w:t>
      </w:r>
      <w:r w:rsidRPr="00344244">
        <w:rPr>
          <w:rFonts w:cs="Arial"/>
        </w:rPr>
        <w:t xml:space="preserve"> </w:t>
      </w:r>
      <w:r w:rsidR="003C3B79">
        <w:rPr>
          <w:rFonts w:cs="Arial"/>
        </w:rPr>
        <w:t xml:space="preserve">assess </w:t>
      </w:r>
      <w:r w:rsidRPr="00344244">
        <w:rPr>
          <w:rFonts w:cs="Arial"/>
        </w:rPr>
        <w:t xml:space="preserve">the adjustment process in </w:t>
      </w:r>
      <w:r w:rsidR="00C93EF0">
        <w:rPr>
          <w:rFonts w:cs="Arial"/>
        </w:rPr>
        <w:t>Appendix B</w:t>
      </w:r>
      <w:r w:rsidRPr="00344244">
        <w:rPr>
          <w:rFonts w:cs="Arial"/>
        </w:rPr>
        <w:t xml:space="preserve"> to </w:t>
      </w:r>
      <w:r w:rsidR="003C3B79">
        <w:rPr>
          <w:rFonts w:cs="Arial"/>
        </w:rPr>
        <w:t>consider whether it remains fit for purpose</w:t>
      </w:r>
      <w:r w:rsidRPr="00344244">
        <w:rPr>
          <w:rFonts w:cs="Arial"/>
        </w:rPr>
        <w:t xml:space="preserve">. If required by the outcome of that </w:t>
      </w:r>
      <w:r w:rsidR="003C3B79">
        <w:rPr>
          <w:rFonts w:cs="Arial"/>
        </w:rPr>
        <w:t>assessment</w:t>
      </w:r>
      <w:r w:rsidRPr="00344244">
        <w:rPr>
          <w:rFonts w:cs="Arial"/>
        </w:rPr>
        <w:t xml:space="preserve">, the Department and the Guild will agree on any changes to the processes described in this clause </w:t>
      </w:r>
      <w:r w:rsidRPr="00344244">
        <w:rPr>
          <w:rFonts w:cs="Arial"/>
        </w:rPr>
        <w:fldChar w:fldCharType="begin"/>
      </w:r>
      <w:r w:rsidRPr="00344244">
        <w:rPr>
          <w:rFonts w:cs="Arial"/>
        </w:rPr>
        <w:instrText xml:space="preserve"> REF _Ref31204018 \r \h  \* MERGEFORMAT </w:instrText>
      </w:r>
      <w:r w:rsidRPr="00344244">
        <w:rPr>
          <w:rFonts w:cs="Arial"/>
        </w:rPr>
      </w:r>
      <w:r w:rsidRPr="00344244">
        <w:rPr>
          <w:rFonts w:cs="Arial"/>
        </w:rPr>
        <w:fldChar w:fldCharType="separate"/>
      </w:r>
      <w:r w:rsidR="00982D02">
        <w:rPr>
          <w:rFonts w:cs="Arial"/>
        </w:rPr>
        <w:t>3</w:t>
      </w:r>
      <w:r w:rsidRPr="00344244">
        <w:rPr>
          <w:rFonts w:cs="Arial"/>
        </w:rPr>
        <w:fldChar w:fldCharType="end"/>
      </w:r>
      <w:r w:rsidRPr="00344244">
        <w:rPr>
          <w:rFonts w:cs="Arial"/>
        </w:rPr>
        <w:t xml:space="preserve"> and </w:t>
      </w:r>
      <w:r w:rsidR="00C93EF0">
        <w:rPr>
          <w:rFonts w:cs="Arial"/>
        </w:rPr>
        <w:t>Appendix B</w:t>
      </w:r>
      <w:r w:rsidRPr="00344244">
        <w:rPr>
          <w:rFonts w:cs="Arial"/>
        </w:rPr>
        <w:t xml:space="preserve"> arising from that </w:t>
      </w:r>
      <w:r w:rsidR="003C3B79">
        <w:rPr>
          <w:rFonts w:cs="Arial"/>
        </w:rPr>
        <w:t>assessment</w:t>
      </w:r>
      <w:r w:rsidRPr="00344244">
        <w:rPr>
          <w:rFonts w:cs="Arial"/>
        </w:rPr>
        <w:t>.</w:t>
      </w:r>
      <w:bookmarkEnd w:id="161"/>
    </w:p>
    <w:p w14:paraId="21471C69" w14:textId="055047FD" w:rsidR="00CD0E7E" w:rsidRDefault="007E36AF" w:rsidP="00777134">
      <w:pPr>
        <w:pStyle w:val="Heading1"/>
        <w:keepNext w:val="0"/>
      </w:pPr>
      <w:bookmarkStart w:id="170" w:name="_Toc29646211"/>
      <w:bookmarkStart w:id="171" w:name="_Toc29646214"/>
      <w:bookmarkStart w:id="172" w:name="_Toc29300740"/>
      <w:bookmarkStart w:id="173" w:name="_Toc29314568"/>
      <w:bookmarkStart w:id="174" w:name="_Toc29314691"/>
      <w:bookmarkStart w:id="175" w:name="_Toc29315735"/>
      <w:bookmarkStart w:id="176" w:name="_Toc29315856"/>
      <w:bookmarkStart w:id="177" w:name="_Ref29299247"/>
      <w:bookmarkStart w:id="178" w:name="_Toc42783606"/>
      <w:bookmarkEnd w:id="170"/>
      <w:bookmarkEnd w:id="171"/>
      <w:bookmarkEnd w:id="172"/>
      <w:bookmarkEnd w:id="173"/>
      <w:bookmarkEnd w:id="174"/>
      <w:bookmarkEnd w:id="175"/>
      <w:bookmarkEnd w:id="176"/>
      <w:r w:rsidRPr="007E36AF">
        <w:t xml:space="preserve">Charges for </w:t>
      </w:r>
      <w:r w:rsidR="00C86BE1" w:rsidRPr="007E36AF">
        <w:t>Pharmaceutical Benefit</w:t>
      </w:r>
      <w:r w:rsidRPr="007E36AF">
        <w:t>s below Maximum Co</w:t>
      </w:r>
      <w:r w:rsidR="00555A1C">
        <w:t>p</w:t>
      </w:r>
      <w:r w:rsidRPr="007E36AF">
        <w:t>ayment</w:t>
      </w:r>
      <w:bookmarkEnd w:id="177"/>
      <w:bookmarkEnd w:id="178"/>
    </w:p>
    <w:p w14:paraId="40199FD1" w14:textId="77777777" w:rsidR="002B022A" w:rsidRPr="009D3B53" w:rsidRDefault="007E36AF" w:rsidP="00777134">
      <w:pPr>
        <w:pStyle w:val="Heading2"/>
        <w:keepNext w:val="0"/>
      </w:pPr>
      <w:bookmarkStart w:id="179" w:name="_Toc42783607"/>
      <w:bookmarkStart w:id="180" w:name="_Hlk29299151"/>
      <w:r>
        <w:t>Purpose</w:t>
      </w:r>
      <w:bookmarkEnd w:id="179"/>
    </w:p>
    <w:bookmarkEnd w:id="180"/>
    <w:p w14:paraId="3214ED31" w14:textId="34656F04" w:rsidR="007E36AF" w:rsidRDefault="002B022A" w:rsidP="00777134">
      <w:pPr>
        <w:pStyle w:val="Heading3"/>
        <w:ind w:left="1708" w:hanging="840"/>
      </w:pPr>
      <w:r w:rsidRPr="009D3B53">
        <w:t xml:space="preserve">This clause </w:t>
      </w:r>
      <w:r w:rsidR="007E36AF">
        <w:fldChar w:fldCharType="begin"/>
      </w:r>
      <w:r w:rsidR="007E36AF">
        <w:instrText xml:space="preserve"> REF _Ref29299247 \r \h </w:instrText>
      </w:r>
      <w:r w:rsidR="007E36AF">
        <w:fldChar w:fldCharType="separate"/>
      </w:r>
      <w:r w:rsidR="00982D02">
        <w:t>4</w:t>
      </w:r>
      <w:r w:rsidR="007E36AF">
        <w:fldChar w:fldCharType="end"/>
      </w:r>
      <w:r w:rsidRPr="009D3B53">
        <w:t xml:space="preserve"> </w:t>
      </w:r>
      <w:r w:rsidR="007530EB" w:rsidRPr="007530EB">
        <w:t>set</w:t>
      </w:r>
      <w:r w:rsidR="007530EB">
        <w:t>s</w:t>
      </w:r>
      <w:r w:rsidR="007530EB" w:rsidRPr="007530EB">
        <w:t xml:space="preserve"> out the written agreement of the Guild, for the purposes of subsection 84C(9) of the Act, </w:t>
      </w:r>
      <w:r w:rsidR="00085A80">
        <w:t>to</w:t>
      </w:r>
      <w:r w:rsidR="007530EB" w:rsidRPr="007530EB">
        <w:t xml:space="preserve"> the fees and amounts determined by the Minister </w:t>
      </w:r>
      <w:r w:rsidR="00085A80">
        <w:t xml:space="preserve">in accordance with </w:t>
      </w:r>
      <w:r w:rsidR="007530EB" w:rsidRPr="007530EB">
        <w:t>paragraph 84C(8)(d) of the Act.</w:t>
      </w:r>
      <w:r w:rsidRPr="009D3B53">
        <w:t xml:space="preserve"> </w:t>
      </w:r>
    </w:p>
    <w:p w14:paraId="67DC4997" w14:textId="435F570B" w:rsidR="002B022A" w:rsidRPr="009D3B53" w:rsidRDefault="002B022A" w:rsidP="00777134">
      <w:pPr>
        <w:pStyle w:val="Heading3"/>
        <w:ind w:left="1708" w:hanging="840"/>
      </w:pPr>
      <w:r w:rsidRPr="009D3B53">
        <w:t xml:space="preserve">Nothing in this clause </w:t>
      </w:r>
      <w:r w:rsidR="007E36AF">
        <w:fldChar w:fldCharType="begin"/>
      </w:r>
      <w:r w:rsidR="007E36AF">
        <w:instrText xml:space="preserve"> REF _Ref29299247 \r \h </w:instrText>
      </w:r>
      <w:r w:rsidR="007E36AF">
        <w:fldChar w:fldCharType="separate"/>
      </w:r>
      <w:r w:rsidR="00982D02">
        <w:t>4</w:t>
      </w:r>
      <w:r w:rsidR="007E36AF">
        <w:fldChar w:fldCharType="end"/>
      </w:r>
      <w:r w:rsidRPr="009D3B53">
        <w:t xml:space="preserve"> is intended to limit any other section of the Act, including any section which prescribes when amounts are, or are not to be, counted as accumulating towards a </w:t>
      </w:r>
      <w:r w:rsidR="00F34CA7">
        <w:t>patient</w:t>
      </w:r>
      <w:r w:rsidRPr="009D3B53">
        <w:t>’s Safety Net.</w:t>
      </w:r>
    </w:p>
    <w:p w14:paraId="09000910" w14:textId="77777777" w:rsidR="007E36AF" w:rsidRDefault="007E36AF" w:rsidP="00777134">
      <w:pPr>
        <w:pStyle w:val="Heading2"/>
      </w:pPr>
      <w:bookmarkStart w:id="181" w:name="_Ref29806812"/>
      <w:bookmarkStart w:id="182" w:name="_Toc42783608"/>
      <w:bookmarkStart w:id="183" w:name="_Ref419561767"/>
      <w:r>
        <w:t>Agreed charges</w:t>
      </w:r>
      <w:bookmarkEnd w:id="181"/>
      <w:bookmarkEnd w:id="182"/>
    </w:p>
    <w:p w14:paraId="6168712B" w14:textId="7F813EC9" w:rsidR="002B022A" w:rsidRPr="009D3B53" w:rsidRDefault="002B022A" w:rsidP="00777134">
      <w:pPr>
        <w:pStyle w:val="Heading3"/>
        <w:keepNext/>
        <w:ind w:left="1708" w:hanging="840"/>
      </w:pPr>
      <w:r w:rsidRPr="009D3B53">
        <w:t xml:space="preserve">For </w:t>
      </w:r>
      <w:r w:rsidR="00B737B0" w:rsidRPr="00B737B0">
        <w:t xml:space="preserve">Ready-Prepared </w:t>
      </w:r>
      <w:r w:rsidR="00B73E6C">
        <w:t>Pharmaceutical Benefits</w:t>
      </w:r>
      <w:r w:rsidR="00F5080F">
        <w:t xml:space="preserve"> </w:t>
      </w:r>
      <w:r w:rsidRPr="009D3B53">
        <w:t>that are priced below the Maximum Co</w:t>
      </w:r>
      <w:r w:rsidR="00555A1C">
        <w:t>p</w:t>
      </w:r>
      <w:r w:rsidRPr="009D3B53">
        <w:t xml:space="preserve">ayment, </w:t>
      </w:r>
      <w:r w:rsidR="00144B02" w:rsidRPr="009D3B53">
        <w:t>Approved Pharmacist</w:t>
      </w:r>
      <w:r w:rsidRPr="009D3B53">
        <w:t>s can</w:t>
      </w:r>
      <w:r w:rsidR="00737C05">
        <w:t xml:space="preserve"> </w:t>
      </w:r>
      <w:r w:rsidRPr="009D3B53">
        <w:t>charge</w:t>
      </w:r>
      <w:r w:rsidR="0057550C">
        <w:t xml:space="preserve"> the sum of</w:t>
      </w:r>
      <w:r w:rsidRPr="009D3B53">
        <w:t>:</w:t>
      </w:r>
      <w:bookmarkEnd w:id="183"/>
    </w:p>
    <w:p w14:paraId="27602710" w14:textId="7CDF0C57" w:rsidR="0057550C" w:rsidRDefault="0057550C" w:rsidP="00777134">
      <w:pPr>
        <w:pStyle w:val="Heading4"/>
        <w:keepNext/>
      </w:pPr>
      <w:bookmarkStart w:id="184" w:name="_Ref419817372"/>
      <w:bookmarkStart w:id="185" w:name="_Hlk26954620"/>
      <w:r>
        <w:t>the Commonwealth Price;</w:t>
      </w:r>
    </w:p>
    <w:p w14:paraId="36E9736C" w14:textId="215F5DC4" w:rsidR="002B022A" w:rsidRPr="002C1A3A" w:rsidRDefault="002772FC" w:rsidP="00777134">
      <w:pPr>
        <w:pStyle w:val="Heading4"/>
        <w:keepNext/>
      </w:pPr>
      <w:bookmarkStart w:id="186" w:name="_Ref41647147"/>
      <w:r>
        <w:t xml:space="preserve">where a </w:t>
      </w:r>
      <w:r w:rsidR="00F34CA7">
        <w:t>patient</w:t>
      </w:r>
      <w:r>
        <w:t xml:space="preserve">’s prescriptions are </w:t>
      </w:r>
      <w:r w:rsidR="00737C05">
        <w:t xml:space="preserve">recorded </w:t>
      </w:r>
      <w:r>
        <w:t xml:space="preserve">by the </w:t>
      </w:r>
      <w:r w:rsidR="00144B02">
        <w:t>Approved Pharmacist</w:t>
      </w:r>
      <w:r>
        <w:t xml:space="preserve"> towards that </w:t>
      </w:r>
      <w:r w:rsidR="00F34CA7">
        <w:t>patient’</w:t>
      </w:r>
      <w:r>
        <w:t>s Safety Net, a</w:t>
      </w:r>
      <w:r w:rsidR="00147A5F" w:rsidRPr="00147A5F">
        <w:t xml:space="preserve"> </w:t>
      </w:r>
      <w:bookmarkStart w:id="187" w:name="_Hlk29222645"/>
      <w:r w:rsidR="003B640F" w:rsidRPr="003B640F">
        <w:t>Safety Net Recording Fee</w:t>
      </w:r>
      <w:r w:rsidR="003B640F" w:rsidRPr="00147A5F">
        <w:t xml:space="preserve"> </w:t>
      </w:r>
      <w:bookmarkEnd w:id="187"/>
      <w:r w:rsidR="00737C05">
        <w:t xml:space="preserve">of </w:t>
      </w:r>
      <w:r w:rsidR="003E3EE5">
        <w:t xml:space="preserve">up to </w:t>
      </w:r>
      <w:r w:rsidR="002B022A" w:rsidRPr="005B175D">
        <w:t>$1.</w:t>
      </w:r>
      <w:r w:rsidR="005B175D" w:rsidRPr="005B175D">
        <w:t>29</w:t>
      </w:r>
      <w:r w:rsidR="002B022A" w:rsidRPr="002C1A3A">
        <w:t>; and</w:t>
      </w:r>
      <w:bookmarkEnd w:id="184"/>
      <w:bookmarkEnd w:id="186"/>
    </w:p>
    <w:p w14:paraId="34FDD638" w14:textId="6D032905" w:rsidR="002B022A" w:rsidRPr="00147A5F" w:rsidRDefault="002B022A" w:rsidP="00F630BC">
      <w:pPr>
        <w:pStyle w:val="Heading4"/>
        <w:keepNext/>
      </w:pPr>
      <w:bookmarkStart w:id="188" w:name="_Ref419561872"/>
      <w:bookmarkStart w:id="189" w:name="_Ref418233957"/>
      <w:bookmarkEnd w:id="185"/>
      <w:r w:rsidRPr="00147A5F">
        <w:t xml:space="preserve">a further </w:t>
      </w:r>
      <w:r w:rsidR="003B640F" w:rsidRPr="003B640F">
        <w:t>Additional Patient Charge</w:t>
      </w:r>
      <w:r w:rsidR="003B640F" w:rsidRPr="00147A5F">
        <w:t xml:space="preserve"> </w:t>
      </w:r>
      <w:r w:rsidRPr="00147A5F">
        <w:t xml:space="preserve">amounting to </w:t>
      </w:r>
      <w:r w:rsidR="003E3EE5">
        <w:t xml:space="preserve">up to </w:t>
      </w:r>
      <w:r w:rsidRPr="00147A5F">
        <w:t>10</w:t>
      </w:r>
      <w:r w:rsidR="00390B9A">
        <w:t xml:space="preserve"> per cent</w:t>
      </w:r>
      <w:r w:rsidRPr="00147A5F">
        <w:t xml:space="preserve"> of the Maximum </w:t>
      </w:r>
      <w:r w:rsidRPr="005B175D">
        <w:t>Co</w:t>
      </w:r>
      <w:r w:rsidR="00555A1C" w:rsidRPr="005B175D">
        <w:t>p</w:t>
      </w:r>
      <w:r w:rsidRPr="005B175D">
        <w:t>ayment</w:t>
      </w:r>
      <w:r w:rsidR="002B3B1D" w:rsidRPr="005B175D">
        <w:t xml:space="preserve"> plus 2</w:t>
      </w:r>
      <w:r w:rsidR="000E3D91" w:rsidRPr="005B175D">
        <w:t>9</w:t>
      </w:r>
      <w:r w:rsidR="002B3B1D" w:rsidRPr="005B175D">
        <w:t xml:space="preserve"> cents</w:t>
      </w:r>
      <w:r w:rsidRPr="00C066EF">
        <w:t>,</w:t>
      </w:r>
      <w:bookmarkEnd w:id="188"/>
    </w:p>
    <w:p w14:paraId="090FEFF9" w14:textId="524AC100" w:rsidR="002B022A" w:rsidRPr="009D3B53" w:rsidRDefault="002B022A" w:rsidP="00F630BC">
      <w:pPr>
        <w:pStyle w:val="Heading4"/>
        <w:keepNext/>
        <w:numPr>
          <w:ilvl w:val="0"/>
          <w:numId w:val="0"/>
        </w:numPr>
        <w:ind w:left="1701"/>
      </w:pPr>
      <w:r w:rsidRPr="009D3B53">
        <w:t>provided that such a sum does not exceed the Maximum Co</w:t>
      </w:r>
      <w:r w:rsidR="00555A1C">
        <w:t>p</w:t>
      </w:r>
      <w:r w:rsidRPr="009D3B53">
        <w:t>ayment.</w:t>
      </w:r>
      <w:bookmarkEnd w:id="189"/>
    </w:p>
    <w:p w14:paraId="446C0BA9" w14:textId="214CD7B2" w:rsidR="00B737B0" w:rsidRPr="009D3B53" w:rsidRDefault="00B737B0" w:rsidP="00B737B0">
      <w:pPr>
        <w:pStyle w:val="Heading3"/>
      </w:pPr>
      <w:r w:rsidRPr="009D3B53">
        <w:t xml:space="preserve">For </w:t>
      </w:r>
      <w:r w:rsidRPr="00B737B0">
        <w:t xml:space="preserve">Extemporaneously-Prepared </w:t>
      </w:r>
      <w:r>
        <w:t xml:space="preserve">Pharmaceutical Benefits </w:t>
      </w:r>
      <w:r w:rsidRPr="009D3B53">
        <w:t>that are priced below the Maximum Co</w:t>
      </w:r>
      <w:r>
        <w:t>p</w:t>
      </w:r>
      <w:r w:rsidRPr="009D3B53">
        <w:t>ayment, Approved Pharmacists can</w:t>
      </w:r>
      <w:r>
        <w:t xml:space="preserve"> </w:t>
      </w:r>
      <w:r w:rsidRPr="009D3B53">
        <w:t>charge</w:t>
      </w:r>
      <w:r w:rsidR="0057550C">
        <w:t xml:space="preserve"> the sum of</w:t>
      </w:r>
      <w:r w:rsidRPr="009D3B53">
        <w:t>:</w:t>
      </w:r>
    </w:p>
    <w:p w14:paraId="1AF79702" w14:textId="0A953C0D" w:rsidR="0057550C" w:rsidRDefault="0057550C" w:rsidP="00B737B0">
      <w:pPr>
        <w:pStyle w:val="Heading4"/>
      </w:pPr>
      <w:bookmarkStart w:id="190" w:name="_Ref39926496"/>
      <w:r>
        <w:t>the Commonwealth Price;</w:t>
      </w:r>
    </w:p>
    <w:p w14:paraId="0008390D" w14:textId="74A8F291" w:rsidR="00B737B0" w:rsidRPr="002C1A3A" w:rsidRDefault="00B737B0" w:rsidP="00B737B0">
      <w:pPr>
        <w:pStyle w:val="Heading4"/>
      </w:pPr>
      <w:bookmarkStart w:id="191" w:name="_Ref41647160"/>
      <w:r>
        <w:t xml:space="preserve">where a patient’s prescriptions </w:t>
      </w:r>
      <w:r w:rsidRPr="002C1A3A">
        <w:t xml:space="preserve">are recorded by the Approved Pharmacist towards that patient’s Safety Net, a Safety Net Recording Fee of up to </w:t>
      </w:r>
      <w:r w:rsidRPr="005B175D">
        <w:t>$1.66</w:t>
      </w:r>
      <w:r w:rsidRPr="002C1A3A">
        <w:t>; and</w:t>
      </w:r>
      <w:bookmarkEnd w:id="190"/>
      <w:bookmarkEnd w:id="191"/>
    </w:p>
    <w:p w14:paraId="5681555A" w14:textId="798F4DB3" w:rsidR="00B737B0" w:rsidRPr="005B175D" w:rsidRDefault="00B737B0" w:rsidP="00D57127">
      <w:pPr>
        <w:pStyle w:val="Heading4"/>
        <w:keepNext/>
      </w:pPr>
      <w:bookmarkStart w:id="192" w:name="_Ref39926306"/>
      <w:r w:rsidRPr="002C1A3A">
        <w:t xml:space="preserve">a further Additional Patient Charge amounting to up to 10 per cent of the </w:t>
      </w:r>
      <w:r w:rsidRPr="00C066EF">
        <w:t xml:space="preserve">Maximum </w:t>
      </w:r>
      <w:r w:rsidRPr="005B175D">
        <w:t>Copayment</w:t>
      </w:r>
      <w:r w:rsidR="002B3B1D" w:rsidRPr="005B175D">
        <w:t xml:space="preserve"> plus 2</w:t>
      </w:r>
      <w:r w:rsidR="000E3D91" w:rsidRPr="005B175D">
        <w:t>9</w:t>
      </w:r>
      <w:r w:rsidR="002B3B1D" w:rsidRPr="005B175D">
        <w:t xml:space="preserve"> cents</w:t>
      </w:r>
      <w:r w:rsidRPr="005B175D">
        <w:t>,</w:t>
      </w:r>
      <w:bookmarkEnd w:id="192"/>
    </w:p>
    <w:p w14:paraId="3AB44F4A" w14:textId="1807850E" w:rsidR="00B737B0" w:rsidRPr="009D3B53" w:rsidRDefault="00B737B0" w:rsidP="00D57127">
      <w:pPr>
        <w:pStyle w:val="Heading4"/>
        <w:keepNext/>
        <w:numPr>
          <w:ilvl w:val="0"/>
          <w:numId w:val="0"/>
        </w:numPr>
        <w:ind w:left="1701"/>
      </w:pPr>
      <w:r w:rsidRPr="009D3B53">
        <w:t>provided that such a sum does not exceed the Maximum Co</w:t>
      </w:r>
      <w:r>
        <w:t>p</w:t>
      </w:r>
      <w:r w:rsidRPr="009D3B53">
        <w:t>ayment.</w:t>
      </w:r>
    </w:p>
    <w:p w14:paraId="257D7FA9" w14:textId="4B5E67FF" w:rsidR="002B022A" w:rsidRPr="00DB13F6" w:rsidRDefault="002B022A" w:rsidP="002B022A">
      <w:pPr>
        <w:pStyle w:val="Heading3"/>
        <w:ind w:left="1708" w:hanging="840"/>
      </w:pPr>
      <w:r w:rsidRPr="00DB13F6">
        <w:t xml:space="preserve">The </w:t>
      </w:r>
      <w:r w:rsidR="00F21D6D" w:rsidRPr="00DB13F6">
        <w:t>Additional Patient Charge</w:t>
      </w:r>
      <w:r w:rsidR="00A11A14">
        <w:t xml:space="preserve"> </w:t>
      </w:r>
      <w:r w:rsidRPr="00DB13F6">
        <w:t xml:space="preserve">will not accumulate, and must not be recorded by </w:t>
      </w:r>
      <w:r w:rsidR="00144B02" w:rsidRPr="00DB13F6">
        <w:t>Approved Pharmacist</w:t>
      </w:r>
      <w:r w:rsidRPr="00DB13F6">
        <w:t xml:space="preserve">s as accumulating, towards </w:t>
      </w:r>
      <w:r w:rsidR="00F34CA7">
        <w:t>patient</w:t>
      </w:r>
      <w:r>
        <w:t>s</w:t>
      </w:r>
      <w:r w:rsidRPr="00DB13F6">
        <w:t xml:space="preserve">’ Safety Nets.  </w:t>
      </w:r>
    </w:p>
    <w:p w14:paraId="30F4DDCB" w14:textId="20CEF262" w:rsidR="00E81A4E" w:rsidRDefault="00E81A4E" w:rsidP="00E81A4E">
      <w:pPr>
        <w:pStyle w:val="Heading3"/>
        <w:ind w:left="1708" w:hanging="840"/>
      </w:pPr>
      <w:r>
        <w:t>T</w:t>
      </w:r>
      <w:r w:rsidRPr="00DB13F6">
        <w:t xml:space="preserve">he </w:t>
      </w:r>
      <w:r w:rsidRPr="00737C05">
        <w:t xml:space="preserve">Safety Net Recording Fee </w:t>
      </w:r>
      <w:r w:rsidRPr="00DB13F6">
        <w:t xml:space="preserve">will be </w:t>
      </w:r>
      <w:r>
        <w:t>Indexed on the relevant Indexation Date.</w:t>
      </w:r>
    </w:p>
    <w:p w14:paraId="3E3569DA" w14:textId="2F1CB036" w:rsidR="00661BF2" w:rsidRDefault="00661BF2" w:rsidP="00E81A4E">
      <w:pPr>
        <w:pStyle w:val="Heading3"/>
        <w:ind w:left="1708" w:hanging="840"/>
      </w:pPr>
      <w:r>
        <w:t xml:space="preserve">The amount of the </w:t>
      </w:r>
      <w:r w:rsidRPr="00661BF2">
        <w:t xml:space="preserve">Additional Patient Charge </w:t>
      </w:r>
      <w:r w:rsidR="00D57127">
        <w:t>may</w:t>
      </w:r>
      <w:r w:rsidRPr="00661BF2">
        <w:t xml:space="preserve"> be adjusted from time to time under Appendix B.</w:t>
      </w:r>
    </w:p>
    <w:p w14:paraId="7BEF16ED" w14:textId="189E29B2" w:rsidR="00E81A4E" w:rsidRDefault="00E81A4E" w:rsidP="00E81A4E">
      <w:pPr>
        <w:pStyle w:val="Heading2"/>
      </w:pPr>
      <w:bookmarkStart w:id="193" w:name="_Ref39927478"/>
      <w:bookmarkStart w:id="194" w:name="_Toc42783609"/>
      <w:r>
        <w:t xml:space="preserve">Transparency of </w:t>
      </w:r>
      <w:r w:rsidR="00CD7C65">
        <w:t>charges</w:t>
      </w:r>
      <w:bookmarkEnd w:id="193"/>
      <w:bookmarkEnd w:id="194"/>
    </w:p>
    <w:p w14:paraId="1ECC3331" w14:textId="0888E09E" w:rsidR="00C70EBE" w:rsidRPr="00DF7FE0" w:rsidRDefault="00B737B0" w:rsidP="006E502E">
      <w:pPr>
        <w:pStyle w:val="Heading3"/>
        <w:ind w:left="1708" w:hanging="840"/>
      </w:pPr>
      <w:bookmarkStart w:id="195" w:name="_Ref39926728"/>
      <w:r w:rsidRPr="00DF7FE0">
        <w:t xml:space="preserve">The Guild </w:t>
      </w:r>
      <w:r w:rsidR="00EC39C4" w:rsidRPr="00DF7FE0">
        <w:t>must</w:t>
      </w:r>
      <w:r w:rsidRPr="00DF7FE0">
        <w:t xml:space="preserve"> use its best endeavours </w:t>
      </w:r>
      <w:r w:rsidR="00EC39C4" w:rsidRPr="00DF7FE0">
        <w:t xml:space="preserve">during the Term </w:t>
      </w:r>
      <w:r w:rsidRPr="00DF7FE0">
        <w:t>to ensure that Approved Pharmacists make consumers aware, prior to dispensing</w:t>
      </w:r>
      <w:r w:rsidR="00223A60" w:rsidRPr="00DF7FE0">
        <w:t xml:space="preserve"> a Pharmaceutical Benefit</w:t>
      </w:r>
      <w:r w:rsidRPr="00DF7FE0">
        <w:t>, of</w:t>
      </w:r>
      <w:r w:rsidR="00C70EBE" w:rsidRPr="00DF7FE0">
        <w:t xml:space="preserve"> </w:t>
      </w:r>
      <w:r w:rsidRPr="00DF7FE0">
        <w:t xml:space="preserve">any Safety Net Recording Fee and </w:t>
      </w:r>
      <w:bookmarkStart w:id="196" w:name="_Hlk40176141"/>
      <w:r w:rsidRPr="00DF7FE0">
        <w:t xml:space="preserve">Additional Patient Charge </w:t>
      </w:r>
      <w:bookmarkEnd w:id="196"/>
      <w:r w:rsidRPr="00DF7FE0">
        <w:t>to be charged</w:t>
      </w:r>
      <w:r w:rsidR="002A454B">
        <w:t>,</w:t>
      </w:r>
      <w:r w:rsidR="00435638" w:rsidRPr="00DF7FE0">
        <w:t xml:space="preserve"> </w:t>
      </w:r>
      <w:r w:rsidRPr="00DF7FE0">
        <w:t xml:space="preserve">the fact that </w:t>
      </w:r>
      <w:r w:rsidR="0034503A" w:rsidRPr="00DF7FE0">
        <w:t xml:space="preserve">the </w:t>
      </w:r>
      <w:r w:rsidR="00435638" w:rsidRPr="00DF7FE0">
        <w:t xml:space="preserve">Additional Patient Charge is </w:t>
      </w:r>
      <w:r w:rsidRPr="00DF7FE0">
        <w:t>not Commonwealth initiated</w:t>
      </w:r>
      <w:bookmarkEnd w:id="195"/>
      <w:r w:rsidR="00C70EBE" w:rsidRPr="00DF7FE0">
        <w:t>, and the total cost to the consumer of th</w:t>
      </w:r>
      <w:r w:rsidR="00223A60" w:rsidRPr="00DF7FE0">
        <w:t>at</w:t>
      </w:r>
      <w:r w:rsidR="00C70EBE" w:rsidRPr="00DF7FE0">
        <w:t xml:space="preserve"> Pharmaceutical Benefit.</w:t>
      </w:r>
    </w:p>
    <w:p w14:paraId="5A0C4D76" w14:textId="43DBD156" w:rsidR="00EC39C4" w:rsidRPr="00DF7FE0" w:rsidRDefault="00EC39C4" w:rsidP="002B022A">
      <w:pPr>
        <w:pStyle w:val="Heading3"/>
        <w:ind w:left="1708" w:hanging="840"/>
      </w:pPr>
      <w:bookmarkStart w:id="197" w:name="_Ref41338653"/>
      <w:r w:rsidRPr="00DF7FE0">
        <w:t xml:space="preserve">In addition to the Guild’s commitment under clause </w:t>
      </w:r>
      <w:r w:rsidRPr="00DF7FE0">
        <w:fldChar w:fldCharType="begin"/>
      </w:r>
      <w:r w:rsidRPr="00DF7FE0">
        <w:instrText xml:space="preserve"> REF _Ref39926728 \r \h </w:instrText>
      </w:r>
      <w:r w:rsidR="00D55C27" w:rsidRPr="00DF7FE0">
        <w:instrText xml:space="preserve"> \* MERGEFORMAT </w:instrText>
      </w:r>
      <w:r w:rsidRPr="00DF7FE0">
        <w:fldChar w:fldCharType="separate"/>
      </w:r>
      <w:r w:rsidR="00982D02">
        <w:t>4.3.1</w:t>
      </w:r>
      <w:r w:rsidRPr="00DF7FE0">
        <w:fldChar w:fldCharType="end"/>
      </w:r>
      <w:r w:rsidRPr="00DF7FE0">
        <w:t>, t</w:t>
      </w:r>
      <w:r w:rsidR="00B737B0" w:rsidRPr="00DF7FE0">
        <w:t xml:space="preserve">he Guild will work with the Department during the first </w:t>
      </w:r>
      <w:r w:rsidR="00D00994">
        <w:t>Financial Year</w:t>
      </w:r>
      <w:r w:rsidR="00B737B0" w:rsidRPr="00DF7FE0">
        <w:t xml:space="preserve"> to develop arrangements and processes </w:t>
      </w:r>
      <w:r w:rsidRPr="00DF7FE0">
        <w:t xml:space="preserve">for Approved Pharmacists to make the disclosures required under clause </w:t>
      </w:r>
      <w:r w:rsidRPr="00DF7FE0">
        <w:fldChar w:fldCharType="begin"/>
      </w:r>
      <w:r w:rsidRPr="00DF7FE0">
        <w:instrText xml:space="preserve"> REF _Ref39926728 \r \h </w:instrText>
      </w:r>
      <w:r w:rsidR="00D55C27" w:rsidRPr="00DF7FE0">
        <w:instrText xml:space="preserve"> \* MERGEFORMAT </w:instrText>
      </w:r>
      <w:r w:rsidRPr="00DF7FE0">
        <w:fldChar w:fldCharType="separate"/>
      </w:r>
      <w:r w:rsidR="00982D02">
        <w:t>4.3.1</w:t>
      </w:r>
      <w:r w:rsidRPr="00DF7FE0">
        <w:fldChar w:fldCharType="end"/>
      </w:r>
      <w:r w:rsidRPr="00DF7FE0">
        <w:t xml:space="preserve">, and to notify consumers, prior to dispensing, </w:t>
      </w:r>
      <w:r w:rsidR="00223A60" w:rsidRPr="00DF7FE0">
        <w:t>of the</w:t>
      </w:r>
      <w:r w:rsidRPr="00DF7FE0">
        <w:t xml:space="preserve"> price of </w:t>
      </w:r>
      <w:r w:rsidR="00223A60" w:rsidRPr="00DF7FE0">
        <w:t xml:space="preserve">the </w:t>
      </w:r>
      <w:r w:rsidRPr="00DF7FE0">
        <w:t>Pharmaceutical Benefit.</w:t>
      </w:r>
      <w:bookmarkEnd w:id="197"/>
      <w:r w:rsidRPr="00DF7FE0">
        <w:t xml:space="preserve">  </w:t>
      </w:r>
    </w:p>
    <w:p w14:paraId="1B19D4BE" w14:textId="72B6BA8E" w:rsidR="00E14844" w:rsidRDefault="00EC39C4" w:rsidP="002B022A">
      <w:pPr>
        <w:pStyle w:val="Heading3"/>
        <w:ind w:left="1708" w:hanging="840"/>
      </w:pPr>
      <w:bookmarkStart w:id="198" w:name="_Ref39927602"/>
      <w:r>
        <w:t xml:space="preserve">The Guild must submit </w:t>
      </w:r>
      <w:r w:rsidR="000367F5">
        <w:t xml:space="preserve">details of its </w:t>
      </w:r>
      <w:r>
        <w:t>proposed arrangements and processes</w:t>
      </w:r>
      <w:r w:rsidR="000367F5">
        <w:t>, and any associated communications materials,</w:t>
      </w:r>
      <w:r>
        <w:t xml:space="preserve"> to the Department by </w:t>
      </w:r>
      <w:r w:rsidR="00D00994">
        <w:t>30 June 2021</w:t>
      </w:r>
      <w:r>
        <w:t xml:space="preserve"> for endorsement by the Department.  </w:t>
      </w:r>
      <w:r w:rsidR="00D00994">
        <w:t>T</w:t>
      </w:r>
      <w:r w:rsidR="000367F5">
        <w:t xml:space="preserve">he Guild </w:t>
      </w:r>
      <w:r w:rsidR="00D00994">
        <w:t xml:space="preserve">will </w:t>
      </w:r>
      <w:r w:rsidR="002C6907">
        <w:t xml:space="preserve">incorporate </w:t>
      </w:r>
      <w:r w:rsidR="00D00994">
        <w:t xml:space="preserve">any reasonable </w:t>
      </w:r>
      <w:r w:rsidR="000367F5">
        <w:t xml:space="preserve">amendments </w:t>
      </w:r>
      <w:r w:rsidR="0057550C">
        <w:t xml:space="preserve">suggested </w:t>
      </w:r>
      <w:r w:rsidR="00D00994">
        <w:t xml:space="preserve">by the </w:t>
      </w:r>
      <w:r w:rsidR="002C6907">
        <w:t>Department</w:t>
      </w:r>
      <w:r w:rsidR="000367F5">
        <w:t xml:space="preserve"> </w:t>
      </w:r>
      <w:r w:rsidR="002C6907">
        <w:t xml:space="preserve">prior to finalising </w:t>
      </w:r>
      <w:r w:rsidR="007E59D2">
        <w:t>the proposed arrangements and processes (and associated materials)</w:t>
      </w:r>
      <w:r w:rsidR="002C6907">
        <w:t>.</w:t>
      </w:r>
    </w:p>
    <w:p w14:paraId="45863921" w14:textId="3E838B21" w:rsidR="00695698" w:rsidRPr="00DF7FE0" w:rsidRDefault="0042049C" w:rsidP="008E72CC">
      <w:pPr>
        <w:pStyle w:val="Heading3"/>
        <w:keepNext/>
        <w:ind w:left="1707" w:hanging="839"/>
      </w:pPr>
      <w:r>
        <w:t>When</w:t>
      </w:r>
      <w:r w:rsidR="00DF7FE0" w:rsidRPr="00DF7FE0">
        <w:t xml:space="preserve"> considering the </w:t>
      </w:r>
      <w:r w:rsidR="00695698" w:rsidRPr="00DF7FE0">
        <w:t>Guild</w:t>
      </w:r>
      <w:r w:rsidR="00DF7FE0" w:rsidRPr="00DF7FE0">
        <w:t>’s</w:t>
      </w:r>
      <w:r w:rsidR="00695698" w:rsidRPr="00DF7FE0">
        <w:t xml:space="preserve"> proposed arrangements</w:t>
      </w:r>
      <w:r w:rsidR="00DF7FE0" w:rsidRPr="00DF7FE0">
        <w:t xml:space="preserve"> and</w:t>
      </w:r>
      <w:r w:rsidR="00695698" w:rsidRPr="00DF7FE0">
        <w:t xml:space="preserve"> processes </w:t>
      </w:r>
      <w:r w:rsidR="00DF7FE0" w:rsidRPr="00DF7FE0">
        <w:t>(</w:t>
      </w:r>
      <w:r w:rsidR="00695698" w:rsidRPr="00DF7FE0">
        <w:t xml:space="preserve">and </w:t>
      </w:r>
      <w:r w:rsidR="00DF7FE0" w:rsidRPr="00DF7FE0">
        <w:t xml:space="preserve">associated </w:t>
      </w:r>
      <w:r w:rsidR="00695698" w:rsidRPr="00DF7FE0">
        <w:t>material</w:t>
      </w:r>
      <w:r w:rsidR="00DF7FE0" w:rsidRPr="00DF7FE0">
        <w:t>s)</w:t>
      </w:r>
      <w:r w:rsidR="00695698" w:rsidRPr="00DF7FE0">
        <w:t xml:space="preserve">, the Department </w:t>
      </w:r>
      <w:r w:rsidR="00DF7FE0" w:rsidRPr="00DF7FE0">
        <w:t xml:space="preserve">may seek the views of </w:t>
      </w:r>
      <w:r w:rsidR="00695698" w:rsidRPr="00DF7FE0">
        <w:t>consumer</w:t>
      </w:r>
      <w:r w:rsidR="00DF7FE0" w:rsidRPr="00DF7FE0">
        <w:t xml:space="preserve"> group</w:t>
      </w:r>
      <w:r w:rsidR="00695698" w:rsidRPr="00DF7FE0">
        <w:t>s to ensure the</w:t>
      </w:r>
      <w:r w:rsidR="00DF7FE0">
        <w:t>y</w:t>
      </w:r>
      <w:r w:rsidR="00695698" w:rsidRPr="00DF7FE0">
        <w:t xml:space="preserve"> are fit for purpose and consumer centric.</w:t>
      </w:r>
    </w:p>
    <w:bookmarkEnd w:id="198"/>
    <w:p w14:paraId="671CAFD1" w14:textId="47332417" w:rsidR="000367F5" w:rsidRDefault="002C6907" w:rsidP="008E72CC">
      <w:pPr>
        <w:pStyle w:val="Heading3"/>
        <w:keepNext/>
        <w:ind w:left="1707" w:hanging="839"/>
      </w:pPr>
      <w:r>
        <w:t xml:space="preserve">The Guild will </w:t>
      </w:r>
      <w:r w:rsidR="00D57127">
        <w:t xml:space="preserve">promptly </w:t>
      </w:r>
      <w:r>
        <w:t xml:space="preserve">make the final </w:t>
      </w:r>
      <w:r w:rsidR="000367F5">
        <w:t xml:space="preserve">arrangements and processes (and associated materials) </w:t>
      </w:r>
      <w:r>
        <w:t>developed for the purposes of</w:t>
      </w:r>
      <w:r w:rsidR="000367F5">
        <w:t xml:space="preserve"> this clause </w:t>
      </w:r>
      <w:r w:rsidR="000367F5">
        <w:fldChar w:fldCharType="begin"/>
      </w:r>
      <w:r w:rsidR="000367F5">
        <w:instrText xml:space="preserve"> REF _Ref39927478 \r \h </w:instrText>
      </w:r>
      <w:r w:rsidR="000367F5">
        <w:fldChar w:fldCharType="separate"/>
      </w:r>
      <w:r w:rsidR="00982D02">
        <w:t>4.3</w:t>
      </w:r>
      <w:r w:rsidR="000367F5">
        <w:fldChar w:fldCharType="end"/>
      </w:r>
      <w:r w:rsidR="000367F5">
        <w:t xml:space="preserve"> </w:t>
      </w:r>
      <w:r>
        <w:t>available to all Approved Pharmacists</w:t>
      </w:r>
      <w:r w:rsidR="000367F5">
        <w:t xml:space="preserve"> at the Guild’s cost.</w:t>
      </w:r>
    </w:p>
    <w:p w14:paraId="2C9AB989" w14:textId="3F15F26E" w:rsidR="005E279D" w:rsidRDefault="005E279D" w:rsidP="00BC0894">
      <w:pPr>
        <w:pStyle w:val="Heading1"/>
      </w:pPr>
      <w:bookmarkStart w:id="199" w:name="_Toc40020063"/>
      <w:bookmarkStart w:id="200" w:name="_Toc40020245"/>
      <w:bookmarkStart w:id="201" w:name="_Toc40020065"/>
      <w:bookmarkStart w:id="202" w:name="_Toc40020247"/>
      <w:bookmarkStart w:id="203" w:name="_Toc40020067"/>
      <w:bookmarkStart w:id="204" w:name="_Toc40020249"/>
      <w:bookmarkStart w:id="205" w:name="_Toc41328583"/>
      <w:bookmarkStart w:id="206" w:name="_Toc41335134"/>
      <w:bookmarkStart w:id="207" w:name="_Toc41335303"/>
      <w:bookmarkStart w:id="208" w:name="_Toc41340130"/>
      <w:bookmarkStart w:id="209" w:name="_Toc41345990"/>
      <w:bookmarkStart w:id="210" w:name="_Toc41328587"/>
      <w:bookmarkStart w:id="211" w:name="_Toc41335138"/>
      <w:bookmarkStart w:id="212" w:name="_Toc41335307"/>
      <w:bookmarkStart w:id="213" w:name="_Toc41340134"/>
      <w:bookmarkStart w:id="214" w:name="_Toc41345994"/>
      <w:bookmarkStart w:id="215" w:name="_Toc41328589"/>
      <w:bookmarkStart w:id="216" w:name="_Toc41335140"/>
      <w:bookmarkStart w:id="217" w:name="_Toc41335309"/>
      <w:bookmarkStart w:id="218" w:name="_Toc41340136"/>
      <w:bookmarkStart w:id="219" w:name="_Toc41345996"/>
      <w:bookmarkStart w:id="220" w:name="_Toc41328592"/>
      <w:bookmarkStart w:id="221" w:name="_Toc41335143"/>
      <w:bookmarkStart w:id="222" w:name="_Toc41335312"/>
      <w:bookmarkStart w:id="223" w:name="_Toc41340139"/>
      <w:bookmarkStart w:id="224" w:name="_Toc41345999"/>
      <w:bookmarkStart w:id="225" w:name="_Toc41328594"/>
      <w:bookmarkStart w:id="226" w:name="_Toc41335145"/>
      <w:bookmarkStart w:id="227" w:name="_Toc41335314"/>
      <w:bookmarkStart w:id="228" w:name="_Toc41340141"/>
      <w:bookmarkStart w:id="229" w:name="_Toc41346001"/>
      <w:bookmarkStart w:id="230" w:name="_Toc29646220"/>
      <w:bookmarkStart w:id="231" w:name="_Toc41328597"/>
      <w:bookmarkStart w:id="232" w:name="_Toc41335148"/>
      <w:bookmarkStart w:id="233" w:name="_Toc41335317"/>
      <w:bookmarkStart w:id="234" w:name="_Toc41340144"/>
      <w:bookmarkStart w:id="235" w:name="_Toc41346004"/>
      <w:bookmarkStart w:id="236" w:name="_Toc41328598"/>
      <w:bookmarkStart w:id="237" w:name="_Toc41335149"/>
      <w:bookmarkStart w:id="238" w:name="_Toc41335318"/>
      <w:bookmarkStart w:id="239" w:name="_Toc41340145"/>
      <w:bookmarkStart w:id="240" w:name="_Toc41346005"/>
      <w:bookmarkStart w:id="241" w:name="_Toc41325137"/>
      <w:bookmarkStart w:id="242" w:name="_Toc41328604"/>
      <w:bookmarkStart w:id="243" w:name="_Toc41335155"/>
      <w:bookmarkStart w:id="244" w:name="_Toc41335324"/>
      <w:bookmarkStart w:id="245" w:name="_Toc41340151"/>
      <w:bookmarkStart w:id="246" w:name="_Toc41346011"/>
      <w:bookmarkStart w:id="247" w:name="_Toc41325138"/>
      <w:bookmarkStart w:id="248" w:name="_Toc41328605"/>
      <w:bookmarkStart w:id="249" w:name="_Toc41335156"/>
      <w:bookmarkStart w:id="250" w:name="_Toc41335325"/>
      <w:bookmarkStart w:id="251" w:name="_Toc41340152"/>
      <w:bookmarkStart w:id="252" w:name="_Toc41346012"/>
      <w:bookmarkStart w:id="253" w:name="_Toc40020070"/>
      <w:bookmarkStart w:id="254" w:name="_Toc40020252"/>
      <w:bookmarkStart w:id="255" w:name="_Toc41325139"/>
      <w:bookmarkStart w:id="256" w:name="_Toc41328606"/>
      <w:bookmarkStart w:id="257" w:name="_Toc41335157"/>
      <w:bookmarkStart w:id="258" w:name="_Toc41335326"/>
      <w:bookmarkStart w:id="259" w:name="_Toc41340153"/>
      <w:bookmarkStart w:id="260" w:name="_Toc41346013"/>
      <w:bookmarkStart w:id="261" w:name="_Toc29300749"/>
      <w:bookmarkStart w:id="262" w:name="_Toc29314577"/>
      <w:bookmarkStart w:id="263" w:name="_Toc29314700"/>
      <w:bookmarkStart w:id="264" w:name="_Toc29315744"/>
      <w:bookmarkStart w:id="265" w:name="_Toc29315865"/>
      <w:bookmarkStart w:id="266" w:name="_Toc42783610"/>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t xml:space="preserve">Availability of PBS </w:t>
      </w:r>
      <w:r w:rsidR="00D71160">
        <w:t>medicines in pharmacy</w:t>
      </w:r>
      <w:bookmarkEnd w:id="266"/>
    </w:p>
    <w:p w14:paraId="48024019" w14:textId="75612E92" w:rsidR="00D71160" w:rsidRPr="00D71160" w:rsidRDefault="00D71160" w:rsidP="00D71160">
      <w:pPr>
        <w:pStyle w:val="BodyIndent1"/>
      </w:pPr>
      <w:r>
        <w:t xml:space="preserve">The Guild agrees </w:t>
      </w:r>
      <w:r w:rsidR="00A01590">
        <w:t xml:space="preserve">to take reasonable steps to </w:t>
      </w:r>
      <w:r w:rsidR="002733B3">
        <w:t xml:space="preserve">ensure that Approved Pharmacists </w:t>
      </w:r>
      <w:r w:rsidR="001A0062">
        <w:t xml:space="preserve">efficiently </w:t>
      </w:r>
      <w:r w:rsidR="00D455A8">
        <w:t xml:space="preserve">purchase and maintain </w:t>
      </w:r>
      <w:r>
        <w:t xml:space="preserve">adequate </w:t>
      </w:r>
      <w:r w:rsidR="00A01590">
        <w:t xml:space="preserve">medicine </w:t>
      </w:r>
      <w:r>
        <w:t xml:space="preserve">stocks for the supply of Pharmaceutical Benefits to </w:t>
      </w:r>
      <w:r w:rsidR="002733B3">
        <w:t>facilitate</w:t>
      </w:r>
      <w:r>
        <w:t xml:space="preserve"> reasonable and timely access to those medicines by patients where the demand is, or should reasonably have been, anticipated by the </w:t>
      </w:r>
      <w:r w:rsidR="002733B3">
        <w:t>Approved Pharmacist</w:t>
      </w:r>
      <w:r>
        <w:t>.</w:t>
      </w:r>
    </w:p>
    <w:p w14:paraId="0F70C403" w14:textId="57693B30" w:rsidR="00BC0894" w:rsidRDefault="00193A67" w:rsidP="00BC0894">
      <w:pPr>
        <w:pStyle w:val="Heading1"/>
      </w:pPr>
      <w:bookmarkStart w:id="267" w:name="_Toc42783611"/>
      <w:r>
        <w:t>NDSS</w:t>
      </w:r>
      <w:r w:rsidR="00BC0894">
        <w:t xml:space="preserve"> arrangements for </w:t>
      </w:r>
      <w:r w:rsidR="00144B02">
        <w:t>Approved Pharmacist</w:t>
      </w:r>
      <w:r w:rsidR="00BC0894">
        <w:t>s</w:t>
      </w:r>
      <w:bookmarkEnd w:id="267"/>
    </w:p>
    <w:p w14:paraId="741C5744" w14:textId="2B94D94B" w:rsidR="00BC0894" w:rsidRDefault="00BC0894" w:rsidP="00BC0894">
      <w:pPr>
        <w:pStyle w:val="Headingpara2"/>
      </w:pPr>
      <w:r>
        <w:t xml:space="preserve">The </w:t>
      </w:r>
      <w:r w:rsidR="00193184" w:rsidRPr="007240BF">
        <w:t>Commonwealth</w:t>
      </w:r>
      <w:r w:rsidR="0010110F" w:rsidRPr="007240BF">
        <w:t xml:space="preserve"> intends</w:t>
      </w:r>
      <w:r w:rsidR="0010110F">
        <w:t xml:space="preserve"> that the arrangements for </w:t>
      </w:r>
      <w:r>
        <w:t xml:space="preserve">the supply and delivery of products under the </w:t>
      </w:r>
      <w:r w:rsidR="00193A67">
        <w:t>NDSS</w:t>
      </w:r>
      <w:r w:rsidR="0010110F">
        <w:t xml:space="preserve"> to </w:t>
      </w:r>
      <w:r w:rsidR="00144B02">
        <w:t>Approved Pharmacist</w:t>
      </w:r>
      <w:r w:rsidR="0010110F">
        <w:t xml:space="preserve">s </w:t>
      </w:r>
      <w:r>
        <w:t xml:space="preserve">through the established </w:t>
      </w:r>
      <w:r w:rsidR="0010110F">
        <w:t xml:space="preserve">CSO </w:t>
      </w:r>
      <w:r>
        <w:t xml:space="preserve">distribution network </w:t>
      </w:r>
      <w:r w:rsidR="0010110F">
        <w:t>will continue during the Term</w:t>
      </w:r>
      <w:r>
        <w:t>.</w:t>
      </w:r>
    </w:p>
    <w:p w14:paraId="7E4CC409" w14:textId="69F0B707" w:rsidR="0042049B" w:rsidRDefault="0010110F" w:rsidP="00D57127">
      <w:pPr>
        <w:pStyle w:val="Headingpara2"/>
        <w:keepLines/>
      </w:pPr>
      <w:bookmarkStart w:id="268" w:name="_Ref29307945"/>
      <w:r>
        <w:t>A</w:t>
      </w:r>
      <w:r w:rsidR="00BC0894">
        <w:t xml:space="preserve">pproved </w:t>
      </w:r>
      <w:r w:rsidR="00144B02">
        <w:t>Pharmacist</w:t>
      </w:r>
      <w:r w:rsidR="00BC0894">
        <w:t>s that supply NDSS products will receive a payment of $1 for each NDSS product supplied.</w:t>
      </w:r>
      <w:bookmarkEnd w:id="268"/>
      <w:r w:rsidR="00BC0894">
        <w:t xml:space="preserve">  </w:t>
      </w:r>
      <w:bookmarkStart w:id="269" w:name="_Hlk37162402"/>
      <w:r w:rsidR="00875422">
        <w:t>Such payments will be made to Approved Pharmacists who are NDSS access points in accordance with separate arrangements for the NDSS between the Commonwealth and such Approved Pharmacists.</w:t>
      </w:r>
      <w:bookmarkEnd w:id="269"/>
    </w:p>
    <w:p w14:paraId="4CBC15A7" w14:textId="62255743" w:rsidR="00374880" w:rsidRDefault="00BC0894" w:rsidP="00CC5D45">
      <w:pPr>
        <w:pStyle w:val="Headingpara2"/>
      </w:pPr>
      <w:r>
        <w:t>The amount of th</w:t>
      </w:r>
      <w:r w:rsidR="0042049B">
        <w:t>e</w:t>
      </w:r>
      <w:r>
        <w:t xml:space="preserve"> payment </w:t>
      </w:r>
      <w:r w:rsidR="0042049B">
        <w:t xml:space="preserve">in clause </w:t>
      </w:r>
      <w:r w:rsidR="0042049B">
        <w:fldChar w:fldCharType="begin"/>
      </w:r>
      <w:r w:rsidR="0042049B">
        <w:instrText xml:space="preserve"> REF _Ref29307945 \r \h </w:instrText>
      </w:r>
      <w:r w:rsidR="0042049B">
        <w:fldChar w:fldCharType="separate"/>
      </w:r>
      <w:r w:rsidR="00982D02">
        <w:t>6.2</w:t>
      </w:r>
      <w:r w:rsidR="0042049B">
        <w:fldChar w:fldCharType="end"/>
      </w:r>
      <w:r w:rsidR="0042049B">
        <w:t xml:space="preserve"> </w:t>
      </w:r>
      <w:r>
        <w:t>will remain fixed for the Term, with no Indexation applied.</w:t>
      </w:r>
    </w:p>
    <w:p w14:paraId="21E73F54" w14:textId="353F594A" w:rsidR="00D44A00" w:rsidRDefault="00D71160" w:rsidP="009E6842">
      <w:pPr>
        <w:pStyle w:val="Heading1"/>
        <w:keepLines/>
      </w:pPr>
      <w:bookmarkStart w:id="270" w:name="_Toc41328609"/>
      <w:bookmarkStart w:id="271" w:name="_Toc41335160"/>
      <w:bookmarkStart w:id="272" w:name="_Toc41335329"/>
      <w:bookmarkStart w:id="273" w:name="_Toc41340156"/>
      <w:bookmarkStart w:id="274" w:name="_Toc41346016"/>
      <w:bookmarkStart w:id="275" w:name="_Toc42783612"/>
      <w:bookmarkEnd w:id="270"/>
      <w:bookmarkEnd w:id="271"/>
      <w:bookmarkEnd w:id="272"/>
      <w:bookmarkEnd w:id="273"/>
      <w:bookmarkEnd w:id="274"/>
      <w:r>
        <w:t>P</w:t>
      </w:r>
      <w:r w:rsidR="00D44A00">
        <w:t xml:space="preserve">ayment </w:t>
      </w:r>
      <w:r w:rsidR="00A01590">
        <w:t xml:space="preserve">claim acknowledgement and payment </w:t>
      </w:r>
      <w:r w:rsidR="00D44A00">
        <w:t>times</w:t>
      </w:r>
      <w:bookmarkEnd w:id="275"/>
    </w:p>
    <w:p w14:paraId="3F75457E" w14:textId="1D316E44" w:rsidR="000530DA" w:rsidRPr="007E77E4" w:rsidRDefault="000530DA" w:rsidP="009E6842">
      <w:pPr>
        <w:pStyle w:val="Headingpara2"/>
        <w:keepNext/>
        <w:keepLines/>
      </w:pPr>
      <w:r>
        <w:t>The Guild and its members recognise that, by</w:t>
      </w:r>
      <w:r w:rsidRPr="007E77E4">
        <w:t xml:space="preserve"> submit</w:t>
      </w:r>
      <w:r>
        <w:t>ting</w:t>
      </w:r>
      <w:r w:rsidRPr="007E77E4">
        <w:t xml:space="preserve"> a PBS or RPBS claim</w:t>
      </w:r>
      <w:r>
        <w:t xml:space="preserve">, </w:t>
      </w:r>
      <w:r w:rsidR="000B73EE">
        <w:t>Approved Supplier</w:t>
      </w:r>
      <w:r>
        <w:t xml:space="preserve">s are acknowledging </w:t>
      </w:r>
      <w:r w:rsidRPr="007E77E4">
        <w:t xml:space="preserve">that they have complied with all relevant </w:t>
      </w:r>
      <w:r>
        <w:t xml:space="preserve">Commonwealth, </w:t>
      </w:r>
      <w:r w:rsidRPr="007E77E4">
        <w:t>State and Territory legislative requirements for the dispensing of a PBS or RPBS medicine, including:</w:t>
      </w:r>
    </w:p>
    <w:p w14:paraId="10F7D3A9" w14:textId="77777777" w:rsidR="000530DA" w:rsidRPr="00D04D97" w:rsidRDefault="000530DA" w:rsidP="009E6842">
      <w:pPr>
        <w:pStyle w:val="Heading3"/>
        <w:keepNext/>
        <w:keepLines/>
      </w:pPr>
      <w:r>
        <w:rPr>
          <w:rFonts w:cs="Arial"/>
          <w:sz w:val="18"/>
          <w:szCs w:val="18"/>
        </w:rPr>
        <w:t xml:space="preserve">the </w:t>
      </w:r>
      <w:r>
        <w:t>c</w:t>
      </w:r>
      <w:r w:rsidRPr="00D04D97">
        <w:t xml:space="preserve">odes, </w:t>
      </w:r>
      <w:r>
        <w:t>g</w:t>
      </w:r>
      <w:r w:rsidRPr="00D04D97">
        <w:t xml:space="preserve">uidelines and </w:t>
      </w:r>
      <w:r>
        <w:t>p</w:t>
      </w:r>
      <w:r w:rsidRPr="00D04D97">
        <w:t xml:space="preserve">olicies established by the Pharmacy Board of Australia (or any other registering </w:t>
      </w:r>
      <w:r>
        <w:t>a</w:t>
      </w:r>
      <w:r w:rsidRPr="00D04D97">
        <w:t>uthority);</w:t>
      </w:r>
    </w:p>
    <w:p w14:paraId="0E7FA88E" w14:textId="77777777" w:rsidR="000530DA" w:rsidRPr="00D04D97" w:rsidRDefault="000530DA" w:rsidP="009E6842">
      <w:pPr>
        <w:pStyle w:val="Heading3"/>
        <w:keepNext/>
        <w:keepLines/>
      </w:pPr>
      <w:r w:rsidRPr="00D04D97">
        <w:t xml:space="preserve">the </w:t>
      </w:r>
      <w:r>
        <w:t>c</w:t>
      </w:r>
      <w:r w:rsidRPr="00D04D97">
        <w:t xml:space="preserve">odes, </w:t>
      </w:r>
      <w:r>
        <w:t>g</w:t>
      </w:r>
      <w:r w:rsidRPr="00D04D97">
        <w:t xml:space="preserve">uidelines, </w:t>
      </w:r>
      <w:r>
        <w:t>p</w:t>
      </w:r>
      <w:r w:rsidRPr="00D04D97">
        <w:t xml:space="preserve">rofessional </w:t>
      </w:r>
      <w:r>
        <w:t>p</w:t>
      </w:r>
      <w:r w:rsidRPr="00D04D97">
        <w:t xml:space="preserve">ractice standards and </w:t>
      </w:r>
      <w:r>
        <w:t>c</w:t>
      </w:r>
      <w:r w:rsidRPr="00D04D97">
        <w:t xml:space="preserve">ompetency </w:t>
      </w:r>
      <w:r>
        <w:t>st</w:t>
      </w:r>
      <w:r w:rsidRPr="00D04D97">
        <w:t xml:space="preserve">andards established by the </w:t>
      </w:r>
      <w:r w:rsidR="0020073D">
        <w:t>PSA</w:t>
      </w:r>
      <w:r w:rsidRPr="00D04D97">
        <w:t>;</w:t>
      </w:r>
    </w:p>
    <w:p w14:paraId="5271FEDD" w14:textId="77777777" w:rsidR="000530DA" w:rsidRPr="00D04D97" w:rsidRDefault="000530DA" w:rsidP="009E6842">
      <w:pPr>
        <w:pStyle w:val="Heading3"/>
        <w:keepLines/>
      </w:pPr>
      <w:r w:rsidRPr="00D04D97">
        <w:t xml:space="preserve">the standards and requirements as established by other authorities, including </w:t>
      </w:r>
      <w:r>
        <w:t xml:space="preserve">the </w:t>
      </w:r>
      <w:r w:rsidR="0040174F" w:rsidRPr="00D043C8">
        <w:rPr>
          <w:rStyle w:val="IntenseReference"/>
          <w:b w:val="0"/>
          <w:bCs w:val="0"/>
          <w:i w:val="0"/>
          <w:smallCaps w:val="0"/>
          <w:color w:val="auto"/>
          <w:spacing w:val="0"/>
        </w:rPr>
        <w:t>Therapeutic Goods Administration</w:t>
      </w:r>
      <w:r w:rsidRPr="00D04D97">
        <w:t xml:space="preserve"> and Society of Hospital Pharmacists </w:t>
      </w:r>
      <w:r w:rsidR="00390B9A">
        <w:t xml:space="preserve">of Australia </w:t>
      </w:r>
      <w:r w:rsidRPr="00D04D97">
        <w:t>(as applicable to specialised areas of practice);</w:t>
      </w:r>
    </w:p>
    <w:p w14:paraId="7A4B55B9" w14:textId="77777777" w:rsidR="000530DA" w:rsidRPr="00D04D97" w:rsidRDefault="000530DA" w:rsidP="00CE599F">
      <w:pPr>
        <w:pStyle w:val="Heading3"/>
      </w:pPr>
      <w:r w:rsidRPr="00D04D97">
        <w:t>any regulations or requirements as established by State</w:t>
      </w:r>
      <w:r>
        <w:t>s</w:t>
      </w:r>
      <w:r w:rsidRPr="00D04D97">
        <w:t xml:space="preserve"> and Territor</w:t>
      </w:r>
      <w:r>
        <w:t>ies</w:t>
      </w:r>
      <w:r w:rsidRPr="00D04D97">
        <w:t xml:space="preserve"> with respect to </w:t>
      </w:r>
      <w:r>
        <w:t xml:space="preserve">one or more of </w:t>
      </w:r>
      <w:r w:rsidRPr="00D04D97">
        <w:t xml:space="preserve">the registration, practice </w:t>
      </w:r>
      <w:r>
        <w:t>or</w:t>
      </w:r>
      <w:r w:rsidRPr="00D04D97">
        <w:t xml:space="preserve"> handling of medicines established within that State or Territory;</w:t>
      </w:r>
    </w:p>
    <w:p w14:paraId="37249A8F" w14:textId="77777777" w:rsidR="000530DA" w:rsidRPr="00D04D97" w:rsidRDefault="000530DA" w:rsidP="00CE599F">
      <w:pPr>
        <w:pStyle w:val="Heading3"/>
      </w:pPr>
      <w:r w:rsidRPr="00D04D97">
        <w:t>all applicable State, Territory and Commonwealth law</w:t>
      </w:r>
      <w:r>
        <w:t>s</w:t>
      </w:r>
      <w:r w:rsidRPr="00D04D97">
        <w:t xml:space="preserve"> with respect to the conduct of their profession; and</w:t>
      </w:r>
    </w:p>
    <w:p w14:paraId="124A3FA3" w14:textId="77777777" w:rsidR="000530DA" w:rsidRDefault="000530DA" w:rsidP="00CE599F">
      <w:pPr>
        <w:pStyle w:val="Heading3"/>
        <w:rPr>
          <w:rFonts w:cs="Arial"/>
          <w:i/>
          <w:iCs/>
          <w:sz w:val="18"/>
          <w:szCs w:val="18"/>
        </w:rPr>
      </w:pPr>
      <w:r w:rsidRPr="00D04D97">
        <w:t xml:space="preserve">any other requirements not stated above but </w:t>
      </w:r>
      <w:r>
        <w:t xml:space="preserve">that </w:t>
      </w:r>
      <w:r w:rsidRPr="00D04D97">
        <w:t xml:space="preserve">are covered by the </w:t>
      </w:r>
      <w:bookmarkStart w:id="276" w:name="_Hlk26815603"/>
      <w:r w:rsidRPr="002772FC">
        <w:rPr>
          <w:i/>
        </w:rPr>
        <w:t xml:space="preserve">National Health (Pharmaceutical Benefits) (Conditions of approval for approved pharmacists) Determination </w:t>
      </w:r>
      <w:r w:rsidR="00660106" w:rsidRPr="002772FC">
        <w:rPr>
          <w:i/>
        </w:rPr>
        <w:t>2017</w:t>
      </w:r>
      <w:r w:rsidRPr="002772FC">
        <w:rPr>
          <w:sz w:val="18"/>
          <w:szCs w:val="18"/>
        </w:rPr>
        <w:t>.</w:t>
      </w:r>
    </w:p>
    <w:bookmarkEnd w:id="276"/>
    <w:p w14:paraId="4D024FC6" w14:textId="0156A829" w:rsidR="00CD6586" w:rsidRDefault="005024C8" w:rsidP="00CD6586">
      <w:pPr>
        <w:pStyle w:val="Headingpara2"/>
      </w:pPr>
      <w:r>
        <w:t xml:space="preserve">During the Term, the Commonwealth and the Guild will consider options </w:t>
      </w:r>
      <w:r w:rsidR="002A454B">
        <w:t xml:space="preserve">within the available Agreement funding </w:t>
      </w:r>
      <w:r>
        <w:t xml:space="preserve">to enhance payment times for </w:t>
      </w:r>
      <w:bookmarkStart w:id="277" w:name="_Hlk40001685"/>
      <w:r>
        <w:t xml:space="preserve">payable </w:t>
      </w:r>
      <w:r w:rsidR="00921A14">
        <w:t xml:space="preserve">PBS </w:t>
      </w:r>
      <w:r>
        <w:t xml:space="preserve">prescriptions </w:t>
      </w:r>
      <w:bookmarkEnd w:id="277"/>
      <w:r>
        <w:t xml:space="preserve">transmitted and assessed online. </w:t>
      </w:r>
    </w:p>
    <w:p w14:paraId="77BF10B2" w14:textId="0992D690" w:rsidR="00921A14" w:rsidRPr="005024C8" w:rsidRDefault="00921A14" w:rsidP="00980A4A">
      <w:pPr>
        <w:pStyle w:val="Headingpara2"/>
      </w:pPr>
      <w:r>
        <w:t xml:space="preserve">During the first </w:t>
      </w:r>
      <w:r w:rsidR="002A454B">
        <w:t>twelve (</w:t>
      </w:r>
      <w:r>
        <w:t>12</w:t>
      </w:r>
      <w:r w:rsidR="002A454B">
        <w:t>)</w:t>
      </w:r>
      <w:r>
        <w:t xml:space="preserve"> to </w:t>
      </w:r>
      <w:r w:rsidR="002A454B">
        <w:t>twenty four (</w:t>
      </w:r>
      <w:r>
        <w:t>24</w:t>
      </w:r>
      <w:r w:rsidR="002A454B">
        <w:t>)</w:t>
      </w:r>
      <w:r>
        <w:t xml:space="preserve"> months of the Term, the Commonwealth and the Guild will consider </w:t>
      </w:r>
      <w:r w:rsidR="00980A4A">
        <w:t xml:space="preserve">options </w:t>
      </w:r>
      <w:r w:rsidR="00695698" w:rsidRPr="00DF7FE0">
        <w:t xml:space="preserve">within the available </w:t>
      </w:r>
      <w:r w:rsidR="00DF7FE0" w:rsidRPr="00DF7FE0">
        <w:t xml:space="preserve">Agreement funding </w:t>
      </w:r>
      <w:r w:rsidR="00980A4A" w:rsidRPr="00FD25AA">
        <w:t>for a</w:t>
      </w:r>
      <w:r w:rsidR="00B34AA5" w:rsidRPr="00FD25AA">
        <w:t xml:space="preserve"> Commonwealth </w:t>
      </w:r>
      <w:r w:rsidR="00980A4A" w:rsidRPr="00FD25AA">
        <w:t xml:space="preserve">system permitting </w:t>
      </w:r>
      <w:r w:rsidRPr="00FD25AA">
        <w:t>payments to Approved Pharmacists</w:t>
      </w:r>
      <w:r w:rsidRPr="00921A14">
        <w:t xml:space="preserve"> under the </w:t>
      </w:r>
      <w:r w:rsidR="00980A4A" w:rsidRPr="004E7219">
        <w:rPr>
          <w:i/>
        </w:rPr>
        <w:t>National Health (Remote Area Aboriginal Health Services Program) Special Arrangement 2017</w:t>
      </w:r>
      <w:r w:rsidR="00980A4A" w:rsidRPr="00980A4A">
        <w:t xml:space="preserve"> (PB 107 of 2017)</w:t>
      </w:r>
      <w:r w:rsidR="00980A4A">
        <w:t xml:space="preserve"> </w:t>
      </w:r>
      <w:r w:rsidRPr="00921A14">
        <w:t xml:space="preserve">to be </w:t>
      </w:r>
      <w:r w:rsidR="00980A4A">
        <w:t xml:space="preserve">paid </w:t>
      </w:r>
      <w:r w:rsidRPr="00921A14">
        <w:t xml:space="preserve">within the same timeframe as </w:t>
      </w:r>
      <w:r w:rsidR="00980A4A" w:rsidRPr="00980A4A">
        <w:t>payable PBS prescriptions</w:t>
      </w:r>
      <w:r w:rsidR="00980A4A">
        <w:t xml:space="preserve"> transmitted and assessed online</w:t>
      </w:r>
      <w:r w:rsidRPr="00921A14">
        <w:t>.</w:t>
      </w:r>
    </w:p>
    <w:p w14:paraId="7F6F6164" w14:textId="77777777" w:rsidR="00527995" w:rsidRDefault="00527995" w:rsidP="00D57127">
      <w:pPr>
        <w:pStyle w:val="Heading1"/>
        <w:keepLines/>
      </w:pPr>
      <w:bookmarkStart w:id="278" w:name="_Toc420157571"/>
      <w:bookmarkStart w:id="279" w:name="_Toc420160277"/>
      <w:bookmarkStart w:id="280" w:name="_Toc419754410"/>
      <w:bookmarkStart w:id="281" w:name="_Toc419754411"/>
      <w:bookmarkStart w:id="282" w:name="_Toc419754415"/>
      <w:bookmarkStart w:id="283" w:name="_Toc419754416"/>
      <w:bookmarkStart w:id="284" w:name="_Toc26948546"/>
      <w:bookmarkStart w:id="285" w:name="_Toc26948552"/>
      <w:bookmarkStart w:id="286" w:name="_Toc26948562"/>
      <w:bookmarkStart w:id="287" w:name="_Toc42783613"/>
      <w:bookmarkStart w:id="288" w:name="_Ref419360667"/>
      <w:bookmarkEnd w:id="158"/>
      <w:bookmarkEnd w:id="278"/>
      <w:bookmarkEnd w:id="279"/>
      <w:bookmarkEnd w:id="280"/>
      <w:bookmarkEnd w:id="281"/>
      <w:bookmarkEnd w:id="282"/>
      <w:bookmarkEnd w:id="283"/>
      <w:bookmarkEnd w:id="284"/>
      <w:bookmarkEnd w:id="285"/>
      <w:bookmarkEnd w:id="286"/>
      <w:r>
        <w:t>Community Service Obligation</w:t>
      </w:r>
      <w:r w:rsidR="002B022A">
        <w:t xml:space="preserve"> funding</w:t>
      </w:r>
      <w:bookmarkEnd w:id="287"/>
    </w:p>
    <w:p w14:paraId="6EF82FB6" w14:textId="77777777" w:rsidR="006F108E" w:rsidRDefault="006F108E" w:rsidP="00D57127">
      <w:pPr>
        <w:pStyle w:val="Heading2"/>
        <w:keepLines/>
      </w:pPr>
      <w:bookmarkStart w:id="289" w:name="_Toc42783614"/>
      <w:r>
        <w:t>CSO funding pool</w:t>
      </w:r>
      <w:bookmarkEnd w:id="289"/>
    </w:p>
    <w:p w14:paraId="424B5905" w14:textId="613E1585" w:rsidR="000665DD" w:rsidRDefault="000665DD" w:rsidP="00D57127">
      <w:pPr>
        <w:pStyle w:val="Heading3"/>
        <w:keepNext/>
        <w:keepLines/>
      </w:pPr>
      <w:r>
        <w:t xml:space="preserve">The </w:t>
      </w:r>
      <w:r w:rsidR="00193184" w:rsidRPr="00FD25AA">
        <w:t>Commonwealth</w:t>
      </w:r>
      <w:r>
        <w:t xml:space="preserve"> intends to continue the CSO funding pool during the Term</w:t>
      </w:r>
      <w:r w:rsidR="000D549F">
        <w:t xml:space="preserve"> to ensure that all Australians have access to the </w:t>
      </w:r>
      <w:bookmarkStart w:id="290" w:name="_Hlk40178057"/>
      <w:r w:rsidR="000D549F">
        <w:t xml:space="preserve">PBS medicines </w:t>
      </w:r>
      <w:r w:rsidR="00F378B3">
        <w:t xml:space="preserve">and NDSS products </w:t>
      </w:r>
      <w:bookmarkEnd w:id="290"/>
      <w:r w:rsidR="000D549F">
        <w:t>they require, regardless of the cost of the medicine, or where they live</w:t>
      </w:r>
      <w:r>
        <w:t>.</w:t>
      </w:r>
    </w:p>
    <w:p w14:paraId="5FA2F10D" w14:textId="6C52F1C5" w:rsidR="006F108E" w:rsidRPr="009216B1" w:rsidRDefault="00D308C6" w:rsidP="00D57127">
      <w:pPr>
        <w:pStyle w:val="Heading3"/>
        <w:keepNext/>
        <w:keepLines/>
      </w:pPr>
      <w:r w:rsidRPr="009216B1">
        <w:t>The value of the CSO funding pool to remunerate eligible pharmaceutical wholesale</w:t>
      </w:r>
      <w:r w:rsidR="006F108E" w:rsidRPr="009216B1">
        <w:t>r</w:t>
      </w:r>
      <w:r w:rsidRPr="009216B1">
        <w:t xml:space="preserve">s for the additional costs they incur in </w:t>
      </w:r>
      <w:r w:rsidR="000D549F" w:rsidRPr="009216B1">
        <w:t xml:space="preserve">ensuring the </w:t>
      </w:r>
      <w:r w:rsidR="006F494A" w:rsidRPr="009216B1">
        <w:t>timely</w:t>
      </w:r>
      <w:r w:rsidR="000D549F" w:rsidRPr="009216B1">
        <w:t xml:space="preserve"> supply </w:t>
      </w:r>
      <w:r w:rsidR="00490F06" w:rsidRPr="009216B1">
        <w:t xml:space="preserve">of </w:t>
      </w:r>
      <w:r w:rsidRPr="009216B1">
        <w:t>PBS</w:t>
      </w:r>
      <w:r w:rsidR="00490F06" w:rsidRPr="009216B1">
        <w:t xml:space="preserve"> </w:t>
      </w:r>
      <w:r w:rsidRPr="009216B1">
        <w:t xml:space="preserve">medicines </w:t>
      </w:r>
      <w:r w:rsidR="00B434C3" w:rsidRPr="009216B1">
        <w:t xml:space="preserve">and NDSS products </w:t>
      </w:r>
      <w:r w:rsidR="000D549F" w:rsidRPr="009216B1">
        <w:t xml:space="preserve">to Approved Pharmacists </w:t>
      </w:r>
      <w:r w:rsidR="006F494A" w:rsidRPr="009216B1">
        <w:t xml:space="preserve">will be up to </w:t>
      </w:r>
      <w:r w:rsidR="002C1A3A" w:rsidRPr="009216B1">
        <w:t>$</w:t>
      </w:r>
      <w:r w:rsidR="002C1A3A">
        <w:t>1.083 billion</w:t>
      </w:r>
      <w:r w:rsidR="002C1A3A" w:rsidRPr="009216B1">
        <w:t xml:space="preserve"> </w:t>
      </w:r>
      <w:r w:rsidR="0096763A" w:rsidRPr="009216B1">
        <w:t xml:space="preserve">over the Term.  The value of the CSO funding pool </w:t>
      </w:r>
      <w:r w:rsidRPr="009216B1">
        <w:t xml:space="preserve">in </w:t>
      </w:r>
      <w:r w:rsidR="00917F4F" w:rsidRPr="009216B1">
        <w:t xml:space="preserve">the </w:t>
      </w:r>
      <w:r w:rsidR="0096763A" w:rsidRPr="009216B1">
        <w:t>first</w:t>
      </w:r>
      <w:r w:rsidRPr="009216B1">
        <w:t xml:space="preserve"> Financial Year</w:t>
      </w:r>
      <w:r w:rsidR="0096763A" w:rsidRPr="009216B1">
        <w:t xml:space="preserve"> will be </w:t>
      </w:r>
      <w:r w:rsidR="00917F4F" w:rsidRPr="009216B1">
        <w:t xml:space="preserve">up to </w:t>
      </w:r>
      <w:r w:rsidR="0096763A" w:rsidRPr="009216B1">
        <w:t>$</w:t>
      </w:r>
      <w:r w:rsidR="002C1A3A">
        <w:t>223 million</w:t>
      </w:r>
      <w:r w:rsidRPr="009216B1">
        <w:t>.</w:t>
      </w:r>
      <w:r w:rsidR="00A51B8B" w:rsidRPr="009216B1">
        <w:t xml:space="preserve"> </w:t>
      </w:r>
    </w:p>
    <w:p w14:paraId="66660943" w14:textId="2455D7EB" w:rsidR="00973585" w:rsidRDefault="00973585" w:rsidP="006F108E">
      <w:pPr>
        <w:pStyle w:val="Heading3"/>
      </w:pPr>
      <w:bookmarkStart w:id="291" w:name="_Ref37169117"/>
      <w:r>
        <w:t xml:space="preserve">The CSO funding pool will be allocated to </w:t>
      </w:r>
      <w:r w:rsidR="00A60428">
        <w:t>eligible</w:t>
      </w:r>
      <w:r>
        <w:t xml:space="preserve"> pharmaceutical wholesalers in accordance with deeds the Commonwealth enters into with such </w:t>
      </w:r>
      <w:r w:rsidR="00A60428">
        <w:t>wholesalers.</w:t>
      </w:r>
      <w:bookmarkEnd w:id="291"/>
    </w:p>
    <w:p w14:paraId="7F79A9A9" w14:textId="77777777" w:rsidR="006F108E" w:rsidRDefault="006F108E" w:rsidP="006F108E">
      <w:pPr>
        <w:pStyle w:val="Heading2"/>
      </w:pPr>
      <w:bookmarkStart w:id="292" w:name="_Toc42783615"/>
      <w:r>
        <w:t>NDSS measures</w:t>
      </w:r>
      <w:bookmarkEnd w:id="292"/>
    </w:p>
    <w:p w14:paraId="796EA39D" w14:textId="651BB31A" w:rsidR="0042049B" w:rsidRDefault="002B022A" w:rsidP="0042049B">
      <w:pPr>
        <w:pStyle w:val="Heading3"/>
      </w:pPr>
      <w:bookmarkStart w:id="293" w:name="_Ref29307912"/>
      <w:r>
        <w:t xml:space="preserve">CSO distributors will be entitled to a $1 per unit fee for each NDSS product </w:t>
      </w:r>
      <w:r w:rsidR="005C3B0A">
        <w:t xml:space="preserve">they </w:t>
      </w:r>
      <w:r>
        <w:t>suppl</w:t>
      </w:r>
      <w:r w:rsidR="005C3B0A">
        <w:t>y</w:t>
      </w:r>
      <w:r>
        <w:t xml:space="preserve"> through the CSO arrangements</w:t>
      </w:r>
      <w:r w:rsidR="0042049B">
        <w:t>.</w:t>
      </w:r>
      <w:bookmarkEnd w:id="293"/>
      <w:r>
        <w:t xml:space="preserve"> </w:t>
      </w:r>
      <w:r w:rsidR="002B024C">
        <w:t>Such payments will be made to CSO</w:t>
      </w:r>
      <w:r w:rsidR="008A0BA1">
        <w:t> </w:t>
      </w:r>
      <w:r w:rsidR="002B024C">
        <w:t xml:space="preserve">distributors in accordance with </w:t>
      </w:r>
      <w:r w:rsidR="008A0BA1">
        <w:t xml:space="preserve">deeds referred to in clause </w:t>
      </w:r>
      <w:r w:rsidR="008A0BA1">
        <w:fldChar w:fldCharType="begin"/>
      </w:r>
      <w:r w:rsidR="008A0BA1">
        <w:instrText xml:space="preserve"> REF _Ref37169117 \r \h </w:instrText>
      </w:r>
      <w:r w:rsidR="008A0BA1">
        <w:fldChar w:fldCharType="separate"/>
      </w:r>
      <w:r w:rsidR="00982D02">
        <w:t>8.1.3</w:t>
      </w:r>
      <w:r w:rsidR="008A0BA1">
        <w:fldChar w:fldCharType="end"/>
      </w:r>
      <w:r w:rsidR="002B024C">
        <w:t>.</w:t>
      </w:r>
    </w:p>
    <w:p w14:paraId="0DDC27A3" w14:textId="50876384" w:rsidR="002B024C" w:rsidRPr="0042049C" w:rsidRDefault="0042049B" w:rsidP="0042049B">
      <w:pPr>
        <w:pStyle w:val="Heading3"/>
      </w:pPr>
      <w:r>
        <w:t>T</w:t>
      </w:r>
      <w:r w:rsidR="002B022A">
        <w:t xml:space="preserve">he amount of </w:t>
      </w:r>
      <w:r w:rsidR="002B022A" w:rsidRPr="0042049C">
        <w:t>th</w:t>
      </w:r>
      <w:r w:rsidRPr="0042049C">
        <w:t>e</w:t>
      </w:r>
      <w:r w:rsidR="002B022A" w:rsidRPr="0042049C">
        <w:t xml:space="preserve"> payment </w:t>
      </w:r>
      <w:r w:rsidRPr="0042049C">
        <w:t xml:space="preserve">in clause </w:t>
      </w:r>
      <w:r w:rsidRPr="0042049C">
        <w:fldChar w:fldCharType="begin"/>
      </w:r>
      <w:r w:rsidRPr="0042049C">
        <w:instrText xml:space="preserve"> REF _Ref29307912 \r \h </w:instrText>
      </w:r>
      <w:r w:rsidR="0042049C">
        <w:instrText xml:space="preserve"> \* MERGEFORMAT </w:instrText>
      </w:r>
      <w:r w:rsidRPr="0042049C">
        <w:fldChar w:fldCharType="separate"/>
      </w:r>
      <w:r w:rsidR="00982D02">
        <w:t>8.2.1</w:t>
      </w:r>
      <w:r w:rsidRPr="0042049C">
        <w:fldChar w:fldCharType="end"/>
      </w:r>
      <w:r w:rsidRPr="0042049C">
        <w:t xml:space="preserve"> </w:t>
      </w:r>
      <w:r w:rsidR="002B022A" w:rsidRPr="0042049C">
        <w:t>will remain fixed for the Term.</w:t>
      </w:r>
    </w:p>
    <w:p w14:paraId="06328091" w14:textId="189E15D4" w:rsidR="000665DD" w:rsidRPr="0042049C" w:rsidRDefault="003B6982" w:rsidP="000665DD">
      <w:pPr>
        <w:pStyle w:val="Heading2"/>
      </w:pPr>
      <w:bookmarkStart w:id="294" w:name="_Toc42783616"/>
      <w:r w:rsidRPr="0042049C">
        <w:t>Administration of</w:t>
      </w:r>
      <w:r w:rsidR="000665DD" w:rsidRPr="0042049C">
        <w:t xml:space="preserve"> the CSO funding arrangements</w:t>
      </w:r>
      <w:bookmarkEnd w:id="294"/>
    </w:p>
    <w:p w14:paraId="208E329E" w14:textId="77777777" w:rsidR="003B6982" w:rsidRPr="0042049C" w:rsidRDefault="000665DD" w:rsidP="00695698">
      <w:pPr>
        <w:pStyle w:val="BodyIndent1"/>
      </w:pPr>
      <w:r w:rsidRPr="0042049C">
        <w:t>The cost of administering the CSO funding arrangements will be met from within the CSO</w:t>
      </w:r>
      <w:r w:rsidR="005C3B0A" w:rsidRPr="0042049C">
        <w:t xml:space="preserve"> funding pool</w:t>
      </w:r>
      <w:r w:rsidRPr="0042049C">
        <w:t xml:space="preserve">. </w:t>
      </w:r>
    </w:p>
    <w:p w14:paraId="664E098D" w14:textId="5E29373A" w:rsidR="005024C8" w:rsidRDefault="005024C8" w:rsidP="005024C8">
      <w:pPr>
        <w:pStyle w:val="Heading2"/>
      </w:pPr>
      <w:bookmarkStart w:id="295" w:name="_Toc42783617"/>
      <w:r>
        <w:t xml:space="preserve">Consultation on </w:t>
      </w:r>
      <w:r w:rsidR="00D020F9">
        <w:t>CSO service standard changes</w:t>
      </w:r>
      <w:bookmarkEnd w:id="295"/>
    </w:p>
    <w:p w14:paraId="6E3896EA" w14:textId="59F76BBE" w:rsidR="00D020F9" w:rsidRPr="00D020F9" w:rsidRDefault="00D020F9" w:rsidP="00D020F9">
      <w:pPr>
        <w:pStyle w:val="BodyIndent1"/>
      </w:pPr>
      <w:bookmarkStart w:id="296" w:name="_Hlk41572224"/>
      <w:bookmarkStart w:id="297" w:name="_Hlk40005224"/>
      <w:r>
        <w:t xml:space="preserve">The Commonwealth will consult </w:t>
      </w:r>
      <w:bookmarkStart w:id="298" w:name="_Hlk40007065"/>
      <w:r>
        <w:t>with the Guild</w:t>
      </w:r>
      <w:r w:rsidR="005F5FE7">
        <w:t xml:space="preserve"> </w:t>
      </w:r>
      <w:r>
        <w:t xml:space="preserve">prior to making any changes during the Term </w:t>
      </w:r>
      <w:bookmarkEnd w:id="296"/>
      <w:r>
        <w:t>to the CSO service standards in place on 1</w:t>
      </w:r>
      <w:r w:rsidR="00E74089">
        <w:t> </w:t>
      </w:r>
      <w:r>
        <w:t>July</w:t>
      </w:r>
      <w:r w:rsidR="00E74089">
        <w:t> </w:t>
      </w:r>
      <w:r>
        <w:t>2020</w:t>
      </w:r>
      <w:bookmarkEnd w:id="298"/>
      <w:r w:rsidR="005F5FE7">
        <w:t>,</w:t>
      </w:r>
      <w:r w:rsidR="0034503A">
        <w:t xml:space="preserve"> </w:t>
      </w:r>
      <w:r w:rsidR="00E74089">
        <w:t xml:space="preserve">where </w:t>
      </w:r>
      <w:r w:rsidR="00FA32A1">
        <w:t xml:space="preserve">such changes </w:t>
      </w:r>
      <w:r w:rsidR="00E74089">
        <w:t xml:space="preserve">could have a material </w:t>
      </w:r>
      <w:r w:rsidR="00FA32A1">
        <w:t xml:space="preserve">impact </w:t>
      </w:r>
      <w:r w:rsidR="00E74089">
        <w:t xml:space="preserve">on </w:t>
      </w:r>
      <w:r w:rsidR="00FA32A1">
        <w:t xml:space="preserve">access to </w:t>
      </w:r>
      <w:r w:rsidR="00E74089" w:rsidRPr="00E74089">
        <w:t xml:space="preserve">PBS medicines and NDSS products </w:t>
      </w:r>
      <w:r w:rsidR="00FA32A1">
        <w:t xml:space="preserve">for </w:t>
      </w:r>
      <w:r w:rsidR="00E74089">
        <w:t>Australian</w:t>
      </w:r>
      <w:r w:rsidR="00E74089" w:rsidRPr="00E74089">
        <w:t>s</w:t>
      </w:r>
      <w:r w:rsidRPr="00E74089">
        <w:t>.</w:t>
      </w:r>
    </w:p>
    <w:p w14:paraId="5279DF4B" w14:textId="77777777" w:rsidR="00D86118" w:rsidRPr="009D3B53" w:rsidRDefault="00D86118" w:rsidP="00E5407B">
      <w:pPr>
        <w:pStyle w:val="Heading1"/>
        <w:keepLines/>
      </w:pPr>
      <w:bookmarkStart w:id="299" w:name="_Toc41328616"/>
      <w:bookmarkStart w:id="300" w:name="_Toc41335167"/>
      <w:bookmarkStart w:id="301" w:name="_Toc41335336"/>
      <w:bookmarkStart w:id="302" w:name="_Toc41340163"/>
      <w:bookmarkStart w:id="303" w:name="_Toc41346023"/>
      <w:bookmarkStart w:id="304" w:name="_Toc41328617"/>
      <w:bookmarkStart w:id="305" w:name="_Toc41335168"/>
      <w:bookmarkStart w:id="306" w:name="_Toc41335337"/>
      <w:bookmarkStart w:id="307" w:name="_Toc41340164"/>
      <w:bookmarkStart w:id="308" w:name="_Toc41346024"/>
      <w:bookmarkStart w:id="309" w:name="_Toc41328620"/>
      <w:bookmarkStart w:id="310" w:name="_Toc41335171"/>
      <w:bookmarkStart w:id="311" w:name="_Toc41335340"/>
      <w:bookmarkStart w:id="312" w:name="_Toc41340167"/>
      <w:bookmarkStart w:id="313" w:name="_Toc41346027"/>
      <w:bookmarkStart w:id="314" w:name="_Toc41328621"/>
      <w:bookmarkStart w:id="315" w:name="_Toc41335172"/>
      <w:bookmarkStart w:id="316" w:name="_Toc41335341"/>
      <w:bookmarkStart w:id="317" w:name="_Toc41340168"/>
      <w:bookmarkStart w:id="318" w:name="_Toc41346028"/>
      <w:bookmarkStart w:id="319" w:name="_Toc41328623"/>
      <w:bookmarkStart w:id="320" w:name="_Toc41335174"/>
      <w:bookmarkStart w:id="321" w:name="_Toc41335343"/>
      <w:bookmarkStart w:id="322" w:name="_Toc41340170"/>
      <w:bookmarkStart w:id="323" w:name="_Toc41346030"/>
      <w:bookmarkStart w:id="324" w:name="_Toc41328626"/>
      <w:bookmarkStart w:id="325" w:name="_Toc41335177"/>
      <w:bookmarkStart w:id="326" w:name="_Toc41335346"/>
      <w:bookmarkStart w:id="327" w:name="_Toc41340173"/>
      <w:bookmarkStart w:id="328" w:name="_Toc41346033"/>
      <w:bookmarkStart w:id="329" w:name="_Toc41328628"/>
      <w:bookmarkStart w:id="330" w:name="_Toc41335179"/>
      <w:bookmarkStart w:id="331" w:name="_Toc41335348"/>
      <w:bookmarkStart w:id="332" w:name="_Toc41340175"/>
      <w:bookmarkStart w:id="333" w:name="_Toc41346035"/>
      <w:bookmarkStart w:id="334" w:name="_Toc42783618"/>
      <w:bookmarkStart w:id="335" w:name="_Hlk42685920"/>
      <w:bookmarkEnd w:id="297"/>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t xml:space="preserve">Community </w:t>
      </w:r>
      <w:r w:rsidRPr="009D3B53">
        <w:t xml:space="preserve">Pharmacy </w:t>
      </w:r>
      <w:r>
        <w:t>Program</w:t>
      </w:r>
      <w:r w:rsidRPr="009D3B53">
        <w:t>s</w:t>
      </w:r>
      <w:bookmarkEnd w:id="334"/>
    </w:p>
    <w:p w14:paraId="28782ED8" w14:textId="77777777" w:rsidR="00D86118" w:rsidRPr="009D3B53" w:rsidRDefault="00D86118" w:rsidP="00E5407B">
      <w:pPr>
        <w:pStyle w:val="Heading2"/>
        <w:keepLines/>
      </w:pPr>
      <w:bookmarkStart w:id="336" w:name="_Ref42701039"/>
      <w:bookmarkStart w:id="337" w:name="_Toc42783619"/>
      <w:r w:rsidRPr="009D3B53">
        <w:t xml:space="preserve">Allocation of </w:t>
      </w:r>
      <w:r>
        <w:t xml:space="preserve">Community </w:t>
      </w:r>
      <w:r w:rsidRPr="009D3B53">
        <w:t>Pharmacy Program funding</w:t>
      </w:r>
      <w:bookmarkEnd w:id="336"/>
      <w:bookmarkEnd w:id="337"/>
    </w:p>
    <w:p w14:paraId="25A9CBD8" w14:textId="39994199" w:rsidR="00D86118" w:rsidRDefault="00D86118" w:rsidP="00E5407B">
      <w:pPr>
        <w:pStyle w:val="Heading3"/>
        <w:keepNext/>
        <w:keepLines/>
        <w:rPr>
          <w:rFonts w:eastAsia="Calibri"/>
        </w:rPr>
      </w:pPr>
      <w:bookmarkStart w:id="338" w:name="_Ref42616615"/>
      <w:r w:rsidRPr="009D3B53">
        <w:rPr>
          <w:rFonts w:eastAsia="Calibri"/>
        </w:rPr>
        <w:t>The Commonwealth will make available up to $</w:t>
      </w:r>
      <w:r>
        <w:rPr>
          <w:rFonts w:eastAsia="Calibri"/>
        </w:rPr>
        <w:t>1.2</w:t>
      </w:r>
      <w:r w:rsidRPr="009D3B53">
        <w:rPr>
          <w:rFonts w:eastAsia="Calibri"/>
        </w:rPr>
        <w:t xml:space="preserve"> billion in funding over the Term for </w:t>
      </w:r>
      <w:r>
        <w:rPr>
          <w:rFonts w:eastAsia="Calibri"/>
          <w:lang w:eastAsia="zh-CN"/>
        </w:rPr>
        <w:t>patient</w:t>
      </w:r>
      <w:r w:rsidR="0087522D">
        <w:rPr>
          <w:rFonts w:eastAsia="Calibri"/>
          <w:lang w:eastAsia="zh-CN"/>
        </w:rPr>
        <w:t xml:space="preserve"> </w:t>
      </w:r>
      <w:r w:rsidRPr="009D3B53">
        <w:rPr>
          <w:rFonts w:eastAsia="Calibri"/>
        </w:rPr>
        <w:t xml:space="preserve">focused professional pharmacy </w:t>
      </w:r>
      <w:r>
        <w:rPr>
          <w:rFonts w:eastAsia="Calibri"/>
        </w:rPr>
        <w:t>program</w:t>
      </w:r>
      <w:r w:rsidRPr="009D3B53">
        <w:rPr>
          <w:rFonts w:eastAsia="Calibri"/>
        </w:rPr>
        <w:t>s and services (</w:t>
      </w:r>
      <w:r>
        <w:rPr>
          <w:rFonts w:eastAsia="Calibri"/>
          <w:b/>
        </w:rPr>
        <w:t xml:space="preserve">Community </w:t>
      </w:r>
      <w:r w:rsidRPr="009D3B53">
        <w:rPr>
          <w:rFonts w:eastAsia="Calibri"/>
          <w:b/>
        </w:rPr>
        <w:t xml:space="preserve">Pharmacy </w:t>
      </w:r>
      <w:r>
        <w:rPr>
          <w:rFonts w:eastAsia="Calibri"/>
          <w:b/>
        </w:rPr>
        <w:t>Program</w:t>
      </w:r>
      <w:r w:rsidRPr="009D3B53">
        <w:rPr>
          <w:rFonts w:eastAsia="Calibri"/>
          <w:b/>
        </w:rPr>
        <w:t>s</w:t>
      </w:r>
      <w:r w:rsidRPr="009D3B53">
        <w:rPr>
          <w:rFonts w:eastAsia="Calibri"/>
        </w:rPr>
        <w:t>)</w:t>
      </w:r>
      <w:r w:rsidRPr="00D86118">
        <w:rPr>
          <w:rFonts w:eastAsia="Calibri"/>
          <w:vertAlign w:val="superscript"/>
        </w:rPr>
        <w:t>[</w:t>
      </w:r>
      <w:r w:rsidRPr="00D86118">
        <w:rPr>
          <w:rStyle w:val="FootnoteReference"/>
          <w:rFonts w:eastAsia="Calibri"/>
        </w:rPr>
        <w:footnoteReference w:id="6"/>
      </w:r>
      <w:r w:rsidRPr="00D86118">
        <w:rPr>
          <w:rFonts w:eastAsia="Calibri"/>
          <w:vertAlign w:val="superscript"/>
        </w:rPr>
        <w:t>]</w:t>
      </w:r>
      <w:r w:rsidRPr="009D3B53">
        <w:rPr>
          <w:rFonts w:eastAsia="Calibri"/>
        </w:rPr>
        <w:t xml:space="preserve"> </w:t>
      </w:r>
      <w:r>
        <w:t xml:space="preserve">directed at supporting </w:t>
      </w:r>
      <w:r w:rsidRPr="008438F8">
        <w:t xml:space="preserve">access to medicines, </w:t>
      </w:r>
      <w:r>
        <w:t>minimising</w:t>
      </w:r>
      <w:r w:rsidRPr="008438F8">
        <w:t xml:space="preserve"> adverse medicine events, and </w:t>
      </w:r>
      <w:r>
        <w:t xml:space="preserve">supporting </w:t>
      </w:r>
      <w:r w:rsidRPr="008438F8">
        <w:t>medication compliance and the quality use of medicines</w:t>
      </w:r>
      <w:r w:rsidRPr="009D3B53">
        <w:rPr>
          <w:rFonts w:eastAsia="Calibri"/>
        </w:rPr>
        <w:t>.</w:t>
      </w:r>
      <w:bookmarkEnd w:id="338"/>
    </w:p>
    <w:p w14:paraId="7DFDD9DC" w14:textId="5BF5D6E5" w:rsidR="00D86118" w:rsidRPr="006E3A25" w:rsidRDefault="00D86118" w:rsidP="002A2010">
      <w:pPr>
        <w:pStyle w:val="Heading3"/>
        <w:rPr>
          <w:rFonts w:eastAsia="Calibri"/>
        </w:rPr>
      </w:pPr>
      <w:r>
        <w:rPr>
          <w:rFonts w:eastAsia="Calibri"/>
        </w:rPr>
        <w:t xml:space="preserve">The Commonwealth will take all reasonable steps to ensure that the funding for Community Pharmacy Programs described in clause </w:t>
      </w:r>
      <w:r>
        <w:rPr>
          <w:rFonts w:eastAsia="Calibri"/>
        </w:rPr>
        <w:fldChar w:fldCharType="begin"/>
      </w:r>
      <w:r>
        <w:rPr>
          <w:rFonts w:eastAsia="Calibri"/>
        </w:rPr>
        <w:instrText xml:space="preserve"> REF _Ref42616615 \r \h </w:instrText>
      </w:r>
      <w:r>
        <w:rPr>
          <w:rFonts w:eastAsia="Calibri"/>
        </w:rPr>
      </w:r>
      <w:r>
        <w:rPr>
          <w:rFonts w:eastAsia="Calibri"/>
        </w:rPr>
        <w:fldChar w:fldCharType="separate"/>
      </w:r>
      <w:r w:rsidR="00982D02">
        <w:rPr>
          <w:rFonts w:eastAsia="Calibri"/>
        </w:rPr>
        <w:t>9.1.1</w:t>
      </w:r>
      <w:r>
        <w:rPr>
          <w:rFonts w:eastAsia="Calibri"/>
        </w:rPr>
        <w:fldChar w:fldCharType="end"/>
      </w:r>
      <w:r>
        <w:rPr>
          <w:rFonts w:eastAsia="Calibri"/>
        </w:rPr>
        <w:t xml:space="preserve"> is fully expended, but not exceeded, during the Term, subject to such expenditure being a Proper use of Public Resources.</w:t>
      </w:r>
    </w:p>
    <w:p w14:paraId="0E9BB633" w14:textId="77777777" w:rsidR="00D86118" w:rsidRDefault="00D86118" w:rsidP="002A2010">
      <w:pPr>
        <w:pStyle w:val="Heading2"/>
        <w:keepLines/>
        <w:rPr>
          <w:rFonts w:eastAsia="Calibri"/>
          <w:lang w:eastAsia="zh-CN"/>
        </w:rPr>
      </w:pPr>
      <w:bookmarkStart w:id="339" w:name="_Toc42783620"/>
      <w:r>
        <w:rPr>
          <w:rFonts w:eastAsia="Calibri"/>
          <w:lang w:eastAsia="zh-CN"/>
        </w:rPr>
        <w:t>Continuation of pharmacy program trials</w:t>
      </w:r>
      <w:bookmarkEnd w:id="339"/>
    </w:p>
    <w:p w14:paraId="06A97DF3" w14:textId="77777777" w:rsidR="00D86118" w:rsidRPr="00B26022" w:rsidRDefault="00D86118" w:rsidP="002A2010">
      <w:pPr>
        <w:pStyle w:val="BodyIndent1"/>
        <w:keepNext/>
        <w:keepLines/>
        <w:rPr>
          <w:rFonts w:eastAsia="Calibri"/>
          <w:lang w:eastAsia="zh-CN"/>
        </w:rPr>
      </w:pPr>
      <w:r>
        <w:rPr>
          <w:rFonts w:eastAsia="Calibri"/>
          <w:lang w:eastAsia="zh-CN"/>
        </w:rPr>
        <w:t xml:space="preserve">Pharmacy trials established and funded under the </w:t>
      </w:r>
      <w:r w:rsidRPr="00A51B8B">
        <w:rPr>
          <w:rFonts w:eastAsia="Calibri"/>
          <w:lang w:eastAsia="zh-CN"/>
        </w:rPr>
        <w:t xml:space="preserve">Sixth Community Pharmacy Agreement </w:t>
      </w:r>
      <w:r>
        <w:rPr>
          <w:rFonts w:eastAsia="Calibri"/>
          <w:lang w:eastAsia="zh-CN"/>
        </w:rPr>
        <w:t>that are intended to continue beyond the commencement of the Term will continue until the current trial end date, unless the Minister determines otherwise in consultation with the trial proponents.</w:t>
      </w:r>
    </w:p>
    <w:p w14:paraId="2F518854" w14:textId="77777777" w:rsidR="00D86118" w:rsidRDefault="00D86118" w:rsidP="00D86118">
      <w:pPr>
        <w:pStyle w:val="Heading2"/>
        <w:rPr>
          <w:rFonts w:eastAsia="Calibri"/>
          <w:lang w:eastAsia="zh-CN"/>
        </w:rPr>
      </w:pPr>
      <w:bookmarkStart w:id="340" w:name="_Toc42783621"/>
      <w:r>
        <w:rPr>
          <w:rFonts w:eastAsia="Calibri"/>
          <w:lang w:eastAsia="zh-CN"/>
        </w:rPr>
        <w:t>Community Pharmacy Program changes</w:t>
      </w:r>
      <w:bookmarkEnd w:id="340"/>
    </w:p>
    <w:p w14:paraId="65E7C911" w14:textId="22BFB8A7" w:rsidR="00D86118" w:rsidRDefault="00D86118" w:rsidP="00D86118">
      <w:pPr>
        <w:pStyle w:val="Heading3"/>
        <w:keepNext/>
        <w:ind w:left="1708" w:hanging="840"/>
        <w:rPr>
          <w:rFonts w:eastAsia="Calibri"/>
          <w:lang w:eastAsia="zh-CN"/>
        </w:rPr>
      </w:pPr>
      <w:r w:rsidRPr="00FD25AA">
        <w:rPr>
          <w:rFonts w:eastAsia="Calibri"/>
          <w:lang w:eastAsia="zh-CN"/>
        </w:rPr>
        <w:t xml:space="preserve">The Australian Government has committed to </w:t>
      </w:r>
      <w:r w:rsidR="005B175D">
        <w:rPr>
          <w:rFonts w:eastAsia="Calibri"/>
          <w:lang w:eastAsia="zh-CN"/>
        </w:rPr>
        <w:t>provide ongoing funding for</w:t>
      </w:r>
      <w:r w:rsidRPr="00FD25AA">
        <w:rPr>
          <w:rFonts w:eastAsia="Calibri"/>
          <w:lang w:eastAsia="zh-CN"/>
        </w:rPr>
        <w:t xml:space="preserve"> Community Pharmacy Programs as part of its commitment to advancemen</w:t>
      </w:r>
      <w:r>
        <w:rPr>
          <w:rFonts w:eastAsia="Calibri"/>
          <w:lang w:eastAsia="zh-CN"/>
        </w:rPr>
        <w:t>t of The 10 Year Primary Health Care Plan</w:t>
      </w:r>
      <w:r w:rsidRPr="00FD25AA">
        <w:rPr>
          <w:rFonts w:eastAsia="Calibri"/>
          <w:lang w:eastAsia="zh-CN"/>
        </w:rPr>
        <w:t>.</w:t>
      </w:r>
    </w:p>
    <w:p w14:paraId="0819871E" w14:textId="4C1EA2AB" w:rsidR="00D86118" w:rsidRDefault="000F5A48" w:rsidP="00D86118">
      <w:pPr>
        <w:pStyle w:val="Heading3"/>
        <w:keepNext/>
        <w:ind w:left="1708" w:hanging="840"/>
        <w:rPr>
          <w:rFonts w:eastAsia="Calibri"/>
          <w:lang w:eastAsia="zh-CN"/>
        </w:rPr>
      </w:pPr>
      <w:r>
        <w:rPr>
          <w:rFonts w:eastAsia="Calibri"/>
          <w:lang w:eastAsia="zh-CN"/>
        </w:rPr>
        <w:t>The</w:t>
      </w:r>
      <w:r w:rsidR="00D86118">
        <w:rPr>
          <w:rFonts w:eastAsia="Calibri"/>
          <w:lang w:eastAsia="zh-CN"/>
        </w:rPr>
        <w:t xml:space="preserve"> </w:t>
      </w:r>
      <w:r w:rsidR="00D86118" w:rsidRPr="009338EF">
        <w:t>Commonwealth</w:t>
      </w:r>
      <w:r>
        <w:t xml:space="preserve"> and the Guild intend </w:t>
      </w:r>
      <w:r w:rsidR="00D86118">
        <w:rPr>
          <w:rFonts w:eastAsia="Calibri"/>
          <w:lang w:eastAsia="zh-CN"/>
        </w:rPr>
        <w:t>to make changes to Community Pharmacy Programs to support:</w:t>
      </w:r>
    </w:p>
    <w:p w14:paraId="566139A0" w14:textId="47857AF6" w:rsidR="00D86118" w:rsidRDefault="00D86118" w:rsidP="00D86118">
      <w:pPr>
        <w:pStyle w:val="Heading4"/>
        <w:keepNext/>
        <w:rPr>
          <w:rFonts w:eastAsia="Calibri"/>
          <w:lang w:eastAsia="zh-CN"/>
        </w:rPr>
      </w:pPr>
      <w:r>
        <w:rPr>
          <w:rFonts w:eastAsia="Calibri"/>
          <w:lang w:eastAsia="zh-CN"/>
        </w:rPr>
        <w:t>enhanced</w:t>
      </w:r>
      <w:r w:rsidRPr="00C23441">
        <w:rPr>
          <w:rFonts w:eastAsia="Calibri"/>
          <w:lang w:eastAsia="zh-CN"/>
        </w:rPr>
        <w:t xml:space="preserve"> medication management</w:t>
      </w:r>
      <w:r>
        <w:rPr>
          <w:rFonts w:eastAsia="Calibri"/>
          <w:lang w:eastAsia="zh-CN"/>
        </w:rPr>
        <w:t xml:space="preserve"> for older Australians wherever they live</w:t>
      </w:r>
      <w:r w:rsidRPr="00C23441">
        <w:rPr>
          <w:rFonts w:eastAsia="Calibri"/>
          <w:lang w:eastAsia="zh-CN"/>
        </w:rPr>
        <w:t>, such as drug utilisation reviews of psychotropics with feedback and medicines education</w:t>
      </w:r>
      <w:r>
        <w:rPr>
          <w:rFonts w:eastAsia="Calibri"/>
          <w:lang w:eastAsia="zh-CN"/>
        </w:rPr>
        <w:t xml:space="preserve"> </w:t>
      </w:r>
      <w:r w:rsidRPr="00526EF8">
        <w:rPr>
          <w:rFonts w:eastAsia="Calibri"/>
          <w:lang w:eastAsia="zh-CN"/>
        </w:rPr>
        <w:t xml:space="preserve">and also to make an </w:t>
      </w:r>
      <w:r>
        <w:rPr>
          <w:rFonts w:eastAsia="Calibri"/>
          <w:lang w:eastAsia="zh-CN"/>
        </w:rPr>
        <w:t xml:space="preserve">appropriately funded </w:t>
      </w:r>
      <w:r w:rsidRPr="00526EF8">
        <w:rPr>
          <w:rFonts w:eastAsia="Calibri"/>
          <w:lang w:eastAsia="zh-CN"/>
        </w:rPr>
        <w:t xml:space="preserve">investment in medication management </w:t>
      </w:r>
      <w:r w:rsidR="00F105FA">
        <w:rPr>
          <w:rFonts w:eastAsia="Calibri"/>
          <w:lang w:eastAsia="zh-CN"/>
        </w:rPr>
        <w:t xml:space="preserve">and adherence </w:t>
      </w:r>
      <w:r w:rsidRPr="00526EF8">
        <w:rPr>
          <w:rFonts w:eastAsia="Calibri"/>
          <w:lang w:eastAsia="zh-CN"/>
        </w:rPr>
        <w:t xml:space="preserve">programs to support the implementation of recommendations contained in the Royal Commission </w:t>
      </w:r>
      <w:r>
        <w:rPr>
          <w:rFonts w:eastAsia="Calibri"/>
          <w:lang w:eastAsia="zh-CN"/>
        </w:rPr>
        <w:t>i</w:t>
      </w:r>
      <w:r w:rsidRPr="00526EF8">
        <w:rPr>
          <w:rFonts w:eastAsia="Calibri"/>
          <w:lang w:eastAsia="zh-CN"/>
        </w:rPr>
        <w:t>nto Aged Care Quality and Safety</w:t>
      </w:r>
      <w:r w:rsidRPr="00C23441">
        <w:rPr>
          <w:rFonts w:eastAsia="Calibri"/>
          <w:lang w:eastAsia="zh-CN"/>
        </w:rPr>
        <w:t>;</w:t>
      </w:r>
    </w:p>
    <w:p w14:paraId="6AECA403" w14:textId="77777777" w:rsidR="00D86118" w:rsidRPr="00C23441" w:rsidRDefault="00D86118" w:rsidP="00D86118">
      <w:pPr>
        <w:pStyle w:val="Heading4"/>
        <w:rPr>
          <w:rFonts w:eastAsia="Calibri"/>
          <w:lang w:eastAsia="zh-CN"/>
        </w:rPr>
      </w:pPr>
      <w:r>
        <w:rPr>
          <w:rFonts w:eastAsia="Calibri"/>
          <w:lang w:eastAsia="zh-CN"/>
        </w:rPr>
        <w:t xml:space="preserve">the Australian Government’s Closing the Gap initiatives to enable and empower </w:t>
      </w:r>
      <w:r w:rsidRPr="00C23441">
        <w:rPr>
          <w:rFonts w:eastAsia="Calibri"/>
          <w:lang w:eastAsia="zh-CN"/>
        </w:rPr>
        <w:t xml:space="preserve">Aboriginal and Torres Strait Islander </w:t>
      </w:r>
      <w:r>
        <w:rPr>
          <w:rFonts w:eastAsia="Calibri"/>
          <w:lang w:eastAsia="zh-CN"/>
        </w:rPr>
        <w:t xml:space="preserve">people to live healthy and full lives, including expanding culturally responsive pharmacy services and increasing access to affordable PBS medicines for any </w:t>
      </w:r>
      <w:r w:rsidRPr="00C23441">
        <w:rPr>
          <w:rFonts w:eastAsia="Calibri"/>
          <w:lang w:eastAsia="zh-CN"/>
        </w:rPr>
        <w:t xml:space="preserve">Aboriginal and Torres Strait Islander </w:t>
      </w:r>
      <w:r>
        <w:rPr>
          <w:rFonts w:eastAsia="Calibri"/>
          <w:lang w:eastAsia="zh-CN"/>
        </w:rPr>
        <w:t>person regardless of location</w:t>
      </w:r>
      <w:r w:rsidRPr="00C23441">
        <w:rPr>
          <w:rFonts w:eastAsia="Calibri"/>
          <w:lang w:eastAsia="zh-CN"/>
        </w:rPr>
        <w:t>;</w:t>
      </w:r>
      <w:r>
        <w:rPr>
          <w:rFonts w:eastAsia="Calibri"/>
          <w:lang w:eastAsia="zh-CN"/>
        </w:rPr>
        <w:t xml:space="preserve"> and</w:t>
      </w:r>
    </w:p>
    <w:p w14:paraId="135CEEB8" w14:textId="00469932" w:rsidR="00D86118" w:rsidRPr="00C23441" w:rsidRDefault="00D86118" w:rsidP="00D86118">
      <w:pPr>
        <w:pStyle w:val="Heading4"/>
        <w:rPr>
          <w:rFonts w:eastAsia="Calibri"/>
          <w:lang w:eastAsia="zh-CN"/>
        </w:rPr>
      </w:pPr>
      <w:r>
        <w:rPr>
          <w:rFonts w:eastAsia="Calibri"/>
          <w:lang w:eastAsia="zh-CN"/>
        </w:rPr>
        <w:t>greater</w:t>
      </w:r>
      <w:r w:rsidRPr="00C23441">
        <w:rPr>
          <w:rFonts w:eastAsia="Calibri"/>
          <w:lang w:eastAsia="zh-CN"/>
        </w:rPr>
        <w:t xml:space="preserve"> access to </w:t>
      </w:r>
      <w:r>
        <w:rPr>
          <w:rFonts w:eastAsia="Calibri"/>
          <w:lang w:eastAsia="zh-CN"/>
        </w:rPr>
        <w:t xml:space="preserve">PBS </w:t>
      </w:r>
      <w:r>
        <w:t xml:space="preserve">and RPBS </w:t>
      </w:r>
      <w:r w:rsidRPr="00C23441">
        <w:rPr>
          <w:rFonts w:eastAsia="Calibri"/>
          <w:lang w:eastAsia="zh-CN"/>
        </w:rPr>
        <w:t xml:space="preserve">medicines and advice about the use of medicines for Australians in </w:t>
      </w:r>
      <w:r>
        <w:rPr>
          <w:rFonts w:eastAsia="Calibri"/>
          <w:lang w:eastAsia="zh-CN"/>
        </w:rPr>
        <w:t xml:space="preserve">regional, </w:t>
      </w:r>
      <w:r w:rsidRPr="00C23441">
        <w:rPr>
          <w:rFonts w:eastAsia="Calibri"/>
          <w:lang w:eastAsia="zh-CN"/>
        </w:rPr>
        <w:t>rural and remote areas</w:t>
      </w:r>
      <w:r>
        <w:rPr>
          <w:rFonts w:eastAsia="Calibri"/>
          <w:lang w:eastAsia="zh-CN"/>
        </w:rPr>
        <w:t>.</w:t>
      </w:r>
      <w:r w:rsidRPr="00B07B8A">
        <w:rPr>
          <w:i/>
        </w:rPr>
        <w:t xml:space="preserve"> </w:t>
      </w:r>
    </w:p>
    <w:p w14:paraId="6F3EC469" w14:textId="4C2E5AEE" w:rsidR="00D86118" w:rsidRDefault="00D86118" w:rsidP="00766D2D">
      <w:pPr>
        <w:pStyle w:val="Heading3"/>
        <w:spacing w:after="120"/>
        <w:ind w:left="1702" w:hanging="851"/>
        <w:rPr>
          <w:lang w:eastAsia="zh-CN"/>
        </w:rPr>
      </w:pPr>
      <w:r>
        <w:rPr>
          <w:lang w:eastAsia="zh-CN"/>
        </w:rPr>
        <w:t xml:space="preserve">The Community Pharmacy Programs continuing on and from 1 July 2020 are as set out in Table 3.  </w:t>
      </w:r>
      <w:r w:rsidR="00D11D3C">
        <w:rPr>
          <w:lang w:eastAsia="zh-CN"/>
        </w:rPr>
        <w:t xml:space="preserve">Indicative funding allocations for the continuing Community Pharmacy Programs during the first Financial Year are also set out in Table 3. </w:t>
      </w:r>
      <w:r>
        <w:rPr>
          <w:lang w:eastAsia="zh-CN"/>
        </w:rPr>
        <w:t>Without limiting the Minister’s discretion, the continuing Community Pharmacy Programs may be reformed or combined</w:t>
      </w:r>
      <w:r w:rsidRPr="00B02B98">
        <w:rPr>
          <w:vertAlign w:val="superscript"/>
          <w:lang w:eastAsia="zh-CN"/>
        </w:rPr>
        <w:t>[</w:t>
      </w:r>
      <w:r w:rsidRPr="00B02B98">
        <w:rPr>
          <w:rStyle w:val="FootnoteReference"/>
          <w:lang w:eastAsia="zh-CN"/>
        </w:rPr>
        <w:footnoteReference w:id="7"/>
      </w:r>
      <w:r w:rsidRPr="00B02B98">
        <w:rPr>
          <w:vertAlign w:val="superscript"/>
          <w:lang w:eastAsia="zh-CN"/>
        </w:rPr>
        <w:t xml:space="preserve">] </w:t>
      </w:r>
      <w:r>
        <w:rPr>
          <w:lang w:eastAsia="zh-CN"/>
        </w:rPr>
        <w:t xml:space="preserve">during the first Financial Year.  </w:t>
      </w:r>
    </w:p>
    <w:p w14:paraId="5601D97E" w14:textId="56F67FE4" w:rsidR="00D86118" w:rsidRDefault="00D86118" w:rsidP="000C38E2">
      <w:pPr>
        <w:keepNext/>
        <w:keepLines/>
        <w:spacing w:before="240" w:after="240"/>
        <w:ind w:left="2534" w:hanging="833"/>
        <w:rPr>
          <w:rFonts w:eastAsiaTheme="minorHAnsi"/>
          <w:b/>
          <w:noProof/>
        </w:rPr>
      </w:pPr>
      <w:r w:rsidRPr="00877DAD">
        <w:rPr>
          <w:rFonts w:eastAsiaTheme="minorHAnsi"/>
          <w:b/>
          <w:noProof/>
        </w:rPr>
        <w:t xml:space="preserve">Table </w:t>
      </w:r>
      <w:r>
        <w:rPr>
          <w:rFonts w:eastAsiaTheme="minorHAnsi"/>
          <w:b/>
          <w:noProof/>
        </w:rPr>
        <w:t>3</w:t>
      </w:r>
      <w:r w:rsidRPr="00877DAD">
        <w:rPr>
          <w:rFonts w:eastAsiaTheme="minorHAnsi"/>
          <w:b/>
          <w:noProof/>
        </w:rPr>
        <w:t xml:space="preserve">: </w:t>
      </w:r>
      <w:r>
        <w:rPr>
          <w:rFonts w:eastAsiaTheme="minorHAnsi"/>
          <w:b/>
          <w:noProof/>
        </w:rPr>
        <w:t>Continuing Community Pharmacy Programs</w:t>
      </w:r>
      <w:r w:rsidR="00770D75">
        <w:rPr>
          <w:rFonts w:eastAsiaTheme="minorHAnsi"/>
          <w:b/>
          <w:noProof/>
        </w:rPr>
        <w:t xml:space="preserve"> </w:t>
      </w:r>
      <w:r w:rsidR="00D11D3C">
        <w:rPr>
          <w:rFonts w:eastAsiaTheme="minorHAnsi"/>
          <w:b/>
          <w:noProof/>
        </w:rPr>
        <w:t>and</w:t>
      </w:r>
      <w:r w:rsidR="00770D75">
        <w:rPr>
          <w:rFonts w:eastAsiaTheme="minorHAnsi"/>
          <w:b/>
          <w:noProof/>
        </w:rPr>
        <w:br/>
      </w:r>
      <w:r w:rsidR="00D11D3C">
        <w:rPr>
          <w:rFonts w:eastAsiaTheme="minorHAnsi"/>
          <w:b/>
          <w:noProof/>
        </w:rPr>
        <w:t>indic</w:t>
      </w:r>
      <w:r w:rsidR="0087522D">
        <w:rPr>
          <w:rFonts w:eastAsiaTheme="minorHAnsi"/>
          <w:b/>
          <w:noProof/>
        </w:rPr>
        <w:t>a</w:t>
      </w:r>
      <w:r w:rsidR="00D11D3C">
        <w:rPr>
          <w:rFonts w:eastAsiaTheme="minorHAnsi"/>
          <w:b/>
          <w:noProof/>
        </w:rPr>
        <w:t>tive funding</w:t>
      </w:r>
      <w:r w:rsidR="00770D75">
        <w:rPr>
          <w:rFonts w:eastAsiaTheme="minorHAnsi"/>
          <w:b/>
          <w:noProof/>
        </w:rPr>
        <w:t xml:space="preserve"> in First Financial Year</w:t>
      </w:r>
    </w:p>
    <w:tbl>
      <w:tblPr>
        <w:tblStyle w:val="TableGrid1"/>
        <w:tblW w:w="7310" w:type="dxa"/>
        <w:tblInd w:w="1696" w:type="dxa"/>
        <w:tblLook w:val="04A0" w:firstRow="1" w:lastRow="0" w:firstColumn="1" w:lastColumn="0" w:noHBand="0" w:noVBand="1"/>
        <w:tblDescription w:val="Table 3: Continuing Community Pharmacy Programs and indicative funding in First Financial Year"/>
      </w:tblPr>
      <w:tblGrid>
        <w:gridCol w:w="4678"/>
        <w:gridCol w:w="2632"/>
      </w:tblGrid>
      <w:tr w:rsidR="00770D75" w:rsidRPr="009D3B53" w14:paraId="51F1760C" w14:textId="77777777" w:rsidTr="00770D75">
        <w:trPr>
          <w:tblHeader/>
        </w:trPr>
        <w:tc>
          <w:tcPr>
            <w:tcW w:w="4678" w:type="dxa"/>
            <w:shd w:val="clear" w:color="auto" w:fill="0070C0"/>
          </w:tcPr>
          <w:p w14:paraId="4DA42E58" w14:textId="77777777" w:rsidR="00770D75" w:rsidRPr="00770D75" w:rsidRDefault="00770D75" w:rsidP="00F22082">
            <w:pPr>
              <w:keepNext/>
              <w:keepLines/>
              <w:ind w:left="176" w:right="-27"/>
              <w:rPr>
                <w:rFonts w:cs="Arial"/>
                <w:b/>
                <w:noProof/>
                <w:color w:val="FFFFFF" w:themeColor="background1"/>
                <w:sz w:val="20"/>
                <w:szCs w:val="20"/>
              </w:rPr>
            </w:pPr>
            <w:r w:rsidRPr="00770D75">
              <w:rPr>
                <w:rFonts w:cs="Arial"/>
                <w:b/>
                <w:noProof/>
                <w:color w:val="FFFFFF" w:themeColor="background1"/>
                <w:sz w:val="20"/>
                <w:szCs w:val="20"/>
              </w:rPr>
              <w:t>Continuing Community Pharmacy Programs</w:t>
            </w:r>
          </w:p>
        </w:tc>
        <w:tc>
          <w:tcPr>
            <w:tcW w:w="2632" w:type="dxa"/>
            <w:shd w:val="clear" w:color="auto" w:fill="0070C0"/>
          </w:tcPr>
          <w:p w14:paraId="2E92D490" w14:textId="77777777" w:rsidR="00770D75" w:rsidRPr="00770D75" w:rsidRDefault="00770D75" w:rsidP="00F22082">
            <w:pPr>
              <w:keepNext/>
              <w:keepLines/>
              <w:ind w:left="176" w:right="-27"/>
              <w:rPr>
                <w:rFonts w:cs="Arial"/>
                <w:b/>
                <w:noProof/>
                <w:color w:val="FFFFFF" w:themeColor="background1"/>
                <w:sz w:val="20"/>
                <w:szCs w:val="20"/>
              </w:rPr>
            </w:pPr>
            <w:r w:rsidRPr="00770D75">
              <w:rPr>
                <w:rFonts w:cs="Arial"/>
                <w:b/>
                <w:noProof/>
                <w:color w:val="FFFFFF" w:themeColor="background1"/>
                <w:sz w:val="20"/>
                <w:szCs w:val="20"/>
              </w:rPr>
              <w:t>Indicative allocation for 2020</w:t>
            </w:r>
            <w:r w:rsidRPr="00770D75">
              <w:rPr>
                <w:rFonts w:cs="Arial"/>
                <w:b/>
                <w:noProof/>
                <w:color w:val="FFFFFF" w:themeColor="background1"/>
                <w:sz w:val="20"/>
                <w:szCs w:val="20"/>
              </w:rPr>
              <w:noBreakHyphen/>
              <w:t>21 ($ million)</w:t>
            </w:r>
          </w:p>
        </w:tc>
      </w:tr>
      <w:tr w:rsidR="00770D75" w14:paraId="3BA0E616" w14:textId="77777777" w:rsidTr="00770D75">
        <w:tc>
          <w:tcPr>
            <w:tcW w:w="4678" w:type="dxa"/>
          </w:tcPr>
          <w:p w14:paraId="374A8D1E" w14:textId="77777777" w:rsidR="00770D75" w:rsidRPr="00770D75" w:rsidRDefault="00770D75" w:rsidP="00F22082">
            <w:pPr>
              <w:keepNext/>
              <w:keepLines/>
              <w:spacing w:before="20" w:afterLines="20" w:after="48"/>
              <w:rPr>
                <w:sz w:val="20"/>
                <w:szCs w:val="20"/>
              </w:rPr>
            </w:pPr>
            <w:r w:rsidRPr="00770D75">
              <w:rPr>
                <w:sz w:val="20"/>
                <w:szCs w:val="20"/>
              </w:rPr>
              <w:t>Medication Adherence Programs:</w:t>
            </w:r>
          </w:p>
          <w:p w14:paraId="42147ACF" w14:textId="77777777" w:rsidR="00770D75" w:rsidRPr="00770D75" w:rsidRDefault="00770D75" w:rsidP="00F22082">
            <w:pPr>
              <w:pStyle w:val="ListParagraph"/>
              <w:keepNext/>
              <w:keepLines/>
              <w:numPr>
                <w:ilvl w:val="0"/>
                <w:numId w:val="48"/>
              </w:numPr>
              <w:spacing w:before="20" w:afterLines="20" w:after="48"/>
              <w:rPr>
                <w:sz w:val="20"/>
                <w:szCs w:val="20"/>
              </w:rPr>
            </w:pPr>
            <w:r w:rsidRPr="00770D75">
              <w:rPr>
                <w:sz w:val="20"/>
                <w:szCs w:val="20"/>
              </w:rPr>
              <w:t>Dose Administration Aids</w:t>
            </w:r>
          </w:p>
          <w:p w14:paraId="26B838E8" w14:textId="77777777" w:rsidR="00770D75" w:rsidRPr="00770D75" w:rsidRDefault="00770D75" w:rsidP="00F22082">
            <w:pPr>
              <w:pStyle w:val="ListParagraph"/>
              <w:keepNext/>
              <w:keepLines/>
              <w:numPr>
                <w:ilvl w:val="0"/>
                <w:numId w:val="48"/>
              </w:numPr>
              <w:spacing w:before="20" w:afterLines="20" w:after="48"/>
              <w:rPr>
                <w:sz w:val="20"/>
                <w:szCs w:val="20"/>
              </w:rPr>
            </w:pPr>
            <w:r w:rsidRPr="00770D75">
              <w:rPr>
                <w:sz w:val="20"/>
                <w:szCs w:val="20"/>
              </w:rPr>
              <w:t>Staged Supply</w:t>
            </w:r>
          </w:p>
        </w:tc>
        <w:tc>
          <w:tcPr>
            <w:tcW w:w="2632" w:type="dxa"/>
          </w:tcPr>
          <w:p w14:paraId="046BF0BB" w14:textId="77777777" w:rsidR="00770D75" w:rsidRPr="00770D75" w:rsidRDefault="00770D75" w:rsidP="00F22082">
            <w:pPr>
              <w:keepNext/>
              <w:keepLines/>
              <w:spacing w:before="20" w:afterLines="20" w:after="48"/>
              <w:jc w:val="center"/>
              <w:rPr>
                <w:sz w:val="20"/>
                <w:szCs w:val="20"/>
              </w:rPr>
            </w:pPr>
          </w:p>
          <w:p w14:paraId="3BFEDE3F" w14:textId="77777777" w:rsidR="00770D75" w:rsidRPr="00770D75" w:rsidRDefault="00770D75" w:rsidP="00F22082">
            <w:pPr>
              <w:keepNext/>
              <w:keepLines/>
              <w:spacing w:before="20" w:afterLines="20" w:after="48"/>
              <w:jc w:val="center"/>
              <w:rPr>
                <w:sz w:val="20"/>
                <w:szCs w:val="20"/>
              </w:rPr>
            </w:pPr>
            <w:r w:rsidRPr="00770D75">
              <w:rPr>
                <w:sz w:val="20"/>
                <w:szCs w:val="20"/>
              </w:rPr>
              <w:t>105.5</w:t>
            </w:r>
          </w:p>
        </w:tc>
      </w:tr>
      <w:tr w:rsidR="00770D75" w14:paraId="327B4E08" w14:textId="77777777" w:rsidTr="00770D75">
        <w:tc>
          <w:tcPr>
            <w:tcW w:w="4678" w:type="dxa"/>
          </w:tcPr>
          <w:p w14:paraId="26A7B39C" w14:textId="77777777" w:rsidR="00770D75" w:rsidRPr="00770D75" w:rsidRDefault="00770D75" w:rsidP="00F22082">
            <w:pPr>
              <w:keepNext/>
              <w:keepLines/>
              <w:spacing w:before="20" w:afterLines="20" w:after="48"/>
              <w:rPr>
                <w:sz w:val="20"/>
                <w:szCs w:val="20"/>
              </w:rPr>
            </w:pPr>
            <w:r w:rsidRPr="00770D75">
              <w:rPr>
                <w:sz w:val="20"/>
                <w:szCs w:val="20"/>
              </w:rPr>
              <w:t>Medication Management Programs</w:t>
            </w:r>
          </w:p>
          <w:p w14:paraId="0AA22471" w14:textId="77777777" w:rsidR="00770D75" w:rsidRPr="00770D75" w:rsidRDefault="00770D75" w:rsidP="00F22082">
            <w:pPr>
              <w:pStyle w:val="ListParagraph"/>
              <w:keepNext/>
              <w:keepLines/>
              <w:numPr>
                <w:ilvl w:val="0"/>
                <w:numId w:val="48"/>
              </w:numPr>
              <w:spacing w:before="20" w:afterLines="20" w:after="48"/>
              <w:rPr>
                <w:sz w:val="20"/>
                <w:szCs w:val="20"/>
              </w:rPr>
            </w:pPr>
            <w:r w:rsidRPr="00770D75">
              <w:rPr>
                <w:sz w:val="20"/>
                <w:szCs w:val="20"/>
              </w:rPr>
              <w:t>Home Medicines Review</w:t>
            </w:r>
          </w:p>
          <w:p w14:paraId="095CC272" w14:textId="77777777" w:rsidR="00770D75" w:rsidRPr="00770D75" w:rsidRDefault="00770D75" w:rsidP="00F22082">
            <w:pPr>
              <w:pStyle w:val="ListParagraph"/>
              <w:keepNext/>
              <w:keepLines/>
              <w:numPr>
                <w:ilvl w:val="0"/>
                <w:numId w:val="48"/>
              </w:numPr>
              <w:spacing w:before="20" w:afterLines="20" w:after="48"/>
              <w:rPr>
                <w:sz w:val="20"/>
                <w:szCs w:val="20"/>
              </w:rPr>
            </w:pPr>
            <w:r w:rsidRPr="00770D75">
              <w:rPr>
                <w:sz w:val="20"/>
                <w:szCs w:val="20"/>
              </w:rPr>
              <w:t>Residential Medication Management Review</w:t>
            </w:r>
          </w:p>
          <w:p w14:paraId="469C3627" w14:textId="77777777" w:rsidR="00770D75" w:rsidRPr="00770D75" w:rsidRDefault="00770D75" w:rsidP="00F22082">
            <w:pPr>
              <w:pStyle w:val="ListParagraph"/>
              <w:keepNext/>
              <w:keepLines/>
              <w:numPr>
                <w:ilvl w:val="0"/>
                <w:numId w:val="48"/>
              </w:numPr>
              <w:spacing w:before="20" w:afterLines="20" w:after="48"/>
              <w:rPr>
                <w:sz w:val="20"/>
                <w:szCs w:val="20"/>
              </w:rPr>
            </w:pPr>
            <w:r w:rsidRPr="00770D75">
              <w:rPr>
                <w:sz w:val="20"/>
                <w:szCs w:val="20"/>
              </w:rPr>
              <w:t>Quality Use of Medicines in Residential Aged Care Facilities</w:t>
            </w:r>
          </w:p>
          <w:p w14:paraId="71D64C7C" w14:textId="77777777" w:rsidR="00770D75" w:rsidRPr="00770D75" w:rsidRDefault="00770D75" w:rsidP="00F22082">
            <w:pPr>
              <w:pStyle w:val="ListParagraph"/>
              <w:keepNext/>
              <w:keepLines/>
              <w:numPr>
                <w:ilvl w:val="0"/>
                <w:numId w:val="48"/>
              </w:numPr>
              <w:spacing w:before="20" w:afterLines="20" w:after="48"/>
              <w:rPr>
                <w:sz w:val="20"/>
                <w:szCs w:val="20"/>
              </w:rPr>
            </w:pPr>
            <w:r w:rsidRPr="00770D75">
              <w:rPr>
                <w:sz w:val="20"/>
                <w:szCs w:val="20"/>
              </w:rPr>
              <w:t xml:space="preserve">MedsCheck </w:t>
            </w:r>
          </w:p>
          <w:p w14:paraId="4541147A" w14:textId="77777777" w:rsidR="00770D75" w:rsidRPr="00770D75" w:rsidRDefault="00770D75" w:rsidP="00F22082">
            <w:pPr>
              <w:pStyle w:val="ListParagraph"/>
              <w:keepNext/>
              <w:keepLines/>
              <w:numPr>
                <w:ilvl w:val="0"/>
                <w:numId w:val="48"/>
              </w:numPr>
              <w:spacing w:before="20" w:afterLines="20" w:after="48"/>
              <w:rPr>
                <w:sz w:val="20"/>
                <w:szCs w:val="20"/>
              </w:rPr>
            </w:pPr>
            <w:r w:rsidRPr="00770D75">
              <w:rPr>
                <w:sz w:val="20"/>
                <w:szCs w:val="20"/>
              </w:rPr>
              <w:t>Diabetes MedsCheck</w:t>
            </w:r>
          </w:p>
        </w:tc>
        <w:tc>
          <w:tcPr>
            <w:tcW w:w="2632" w:type="dxa"/>
          </w:tcPr>
          <w:p w14:paraId="6CBB67A8" w14:textId="77777777" w:rsidR="00770D75" w:rsidRPr="00770D75" w:rsidRDefault="00770D75" w:rsidP="00F22082">
            <w:pPr>
              <w:keepNext/>
              <w:keepLines/>
              <w:spacing w:before="20" w:afterLines="20" w:after="48"/>
              <w:jc w:val="center"/>
              <w:rPr>
                <w:sz w:val="20"/>
                <w:szCs w:val="20"/>
              </w:rPr>
            </w:pPr>
          </w:p>
          <w:p w14:paraId="6C8481FA" w14:textId="77777777" w:rsidR="00770D75" w:rsidRPr="00770D75" w:rsidRDefault="00770D75" w:rsidP="00F22082">
            <w:pPr>
              <w:keepNext/>
              <w:keepLines/>
              <w:spacing w:before="20" w:afterLines="20" w:after="48"/>
              <w:jc w:val="center"/>
              <w:rPr>
                <w:sz w:val="20"/>
                <w:szCs w:val="20"/>
              </w:rPr>
            </w:pPr>
            <w:r w:rsidRPr="00770D75">
              <w:rPr>
                <w:sz w:val="20"/>
                <w:szCs w:val="20"/>
              </w:rPr>
              <w:t>96.4</w:t>
            </w:r>
          </w:p>
        </w:tc>
      </w:tr>
      <w:tr w:rsidR="00770D75" w14:paraId="0C2D8214" w14:textId="77777777" w:rsidTr="00770D75">
        <w:tc>
          <w:tcPr>
            <w:tcW w:w="4678" w:type="dxa"/>
          </w:tcPr>
          <w:p w14:paraId="3F6D4646" w14:textId="77777777" w:rsidR="00770D75" w:rsidRPr="00770D75" w:rsidRDefault="00770D75" w:rsidP="00F22082">
            <w:pPr>
              <w:keepNext/>
              <w:keepLines/>
              <w:spacing w:before="20" w:afterLines="20" w:after="48"/>
              <w:rPr>
                <w:sz w:val="20"/>
                <w:szCs w:val="20"/>
              </w:rPr>
            </w:pPr>
            <w:r w:rsidRPr="00770D75">
              <w:rPr>
                <w:sz w:val="20"/>
                <w:szCs w:val="20"/>
              </w:rPr>
              <w:t>Aboriginal and Torres Strait Islander Specific Programs</w:t>
            </w:r>
          </w:p>
          <w:p w14:paraId="5E2DBC33" w14:textId="77777777" w:rsidR="00770D75" w:rsidRPr="00770D75" w:rsidRDefault="00770D75" w:rsidP="00F22082">
            <w:pPr>
              <w:pStyle w:val="ListParagraph"/>
              <w:keepNext/>
              <w:keepLines/>
              <w:numPr>
                <w:ilvl w:val="0"/>
                <w:numId w:val="48"/>
              </w:numPr>
              <w:spacing w:before="20" w:afterLines="20" w:after="48"/>
              <w:rPr>
                <w:sz w:val="20"/>
                <w:szCs w:val="20"/>
              </w:rPr>
            </w:pPr>
            <w:r w:rsidRPr="00770D75">
              <w:rPr>
                <w:sz w:val="20"/>
                <w:szCs w:val="20"/>
              </w:rPr>
              <w:t>QUMAX/S100 Support</w:t>
            </w:r>
          </w:p>
          <w:p w14:paraId="1B99E964" w14:textId="7CA6FD2F" w:rsidR="00770D75" w:rsidRPr="00770D75" w:rsidRDefault="00770D75" w:rsidP="00F22082">
            <w:pPr>
              <w:pStyle w:val="ListParagraph"/>
              <w:keepNext/>
              <w:keepLines/>
              <w:numPr>
                <w:ilvl w:val="0"/>
                <w:numId w:val="48"/>
              </w:numPr>
              <w:spacing w:before="20" w:afterLines="20" w:after="48"/>
              <w:rPr>
                <w:sz w:val="20"/>
                <w:szCs w:val="20"/>
              </w:rPr>
            </w:pPr>
            <w:r w:rsidRPr="00770D75">
              <w:rPr>
                <w:sz w:val="20"/>
                <w:szCs w:val="20"/>
              </w:rPr>
              <w:t xml:space="preserve">Closing The Gap PBS Copayment Measure </w:t>
            </w:r>
          </w:p>
          <w:p w14:paraId="7A9B5447" w14:textId="77777777" w:rsidR="00770D75" w:rsidRPr="00770D75" w:rsidRDefault="00770D75" w:rsidP="00F22082">
            <w:pPr>
              <w:pStyle w:val="ListParagraph"/>
              <w:keepNext/>
              <w:keepLines/>
              <w:numPr>
                <w:ilvl w:val="0"/>
                <w:numId w:val="48"/>
              </w:numPr>
              <w:spacing w:before="20" w:afterLines="20" w:after="48"/>
              <w:rPr>
                <w:sz w:val="20"/>
                <w:szCs w:val="20"/>
              </w:rPr>
            </w:pPr>
            <w:r w:rsidRPr="00770D75">
              <w:rPr>
                <w:sz w:val="20"/>
                <w:szCs w:val="20"/>
              </w:rPr>
              <w:t>Aboriginal and Torres Strait Islander Workforce Programs</w:t>
            </w:r>
          </w:p>
        </w:tc>
        <w:tc>
          <w:tcPr>
            <w:tcW w:w="2632" w:type="dxa"/>
          </w:tcPr>
          <w:p w14:paraId="33FD156A" w14:textId="77777777" w:rsidR="00770D75" w:rsidRPr="00770D75" w:rsidRDefault="00770D75" w:rsidP="00F22082">
            <w:pPr>
              <w:keepNext/>
              <w:keepLines/>
              <w:spacing w:before="20" w:afterLines="20" w:after="48"/>
              <w:jc w:val="center"/>
              <w:rPr>
                <w:sz w:val="20"/>
                <w:szCs w:val="20"/>
              </w:rPr>
            </w:pPr>
          </w:p>
          <w:p w14:paraId="0F2B5376" w14:textId="77777777" w:rsidR="00770D75" w:rsidRPr="00770D75" w:rsidRDefault="00770D75" w:rsidP="00F22082">
            <w:pPr>
              <w:keepNext/>
              <w:keepLines/>
              <w:spacing w:before="20" w:afterLines="20" w:after="48"/>
              <w:jc w:val="center"/>
              <w:rPr>
                <w:sz w:val="20"/>
                <w:szCs w:val="20"/>
              </w:rPr>
            </w:pPr>
            <w:r w:rsidRPr="00770D75">
              <w:rPr>
                <w:sz w:val="20"/>
                <w:szCs w:val="20"/>
              </w:rPr>
              <w:t>12.6</w:t>
            </w:r>
          </w:p>
        </w:tc>
      </w:tr>
      <w:tr w:rsidR="00770D75" w14:paraId="21FE8CE6" w14:textId="77777777" w:rsidTr="00770D75">
        <w:tc>
          <w:tcPr>
            <w:tcW w:w="4678" w:type="dxa"/>
          </w:tcPr>
          <w:p w14:paraId="48E3F32F" w14:textId="77777777" w:rsidR="00770D75" w:rsidRPr="00770D75" w:rsidRDefault="00770D75" w:rsidP="00F22082">
            <w:pPr>
              <w:keepNext/>
              <w:keepLines/>
              <w:spacing w:before="20" w:afterLines="20" w:after="48"/>
              <w:rPr>
                <w:sz w:val="20"/>
                <w:szCs w:val="20"/>
              </w:rPr>
            </w:pPr>
            <w:r w:rsidRPr="00770D75">
              <w:rPr>
                <w:sz w:val="20"/>
                <w:szCs w:val="20"/>
              </w:rPr>
              <w:t>Rural Support Programs</w:t>
            </w:r>
          </w:p>
          <w:p w14:paraId="6BF53B92" w14:textId="77777777" w:rsidR="00770D75" w:rsidRPr="00770D75" w:rsidRDefault="00770D75" w:rsidP="00F22082">
            <w:pPr>
              <w:pStyle w:val="ListParagraph"/>
              <w:keepNext/>
              <w:keepLines/>
              <w:numPr>
                <w:ilvl w:val="0"/>
                <w:numId w:val="48"/>
              </w:numPr>
              <w:spacing w:before="20" w:afterLines="20" w:after="48"/>
              <w:rPr>
                <w:sz w:val="20"/>
                <w:szCs w:val="20"/>
              </w:rPr>
            </w:pPr>
            <w:r w:rsidRPr="00770D75">
              <w:rPr>
                <w:sz w:val="20"/>
                <w:szCs w:val="20"/>
              </w:rPr>
              <w:t>Rural Pharmacy Maintenance Allowance</w:t>
            </w:r>
          </w:p>
          <w:p w14:paraId="39FB46A7" w14:textId="77777777" w:rsidR="00770D75" w:rsidRPr="00770D75" w:rsidRDefault="00770D75" w:rsidP="00F22082">
            <w:pPr>
              <w:pStyle w:val="ListParagraph"/>
              <w:keepNext/>
              <w:keepLines/>
              <w:numPr>
                <w:ilvl w:val="0"/>
                <w:numId w:val="48"/>
              </w:numPr>
              <w:spacing w:before="20" w:afterLines="20" w:after="48"/>
              <w:rPr>
                <w:sz w:val="20"/>
                <w:szCs w:val="20"/>
              </w:rPr>
            </w:pPr>
            <w:r w:rsidRPr="00770D75">
              <w:rPr>
                <w:sz w:val="20"/>
                <w:szCs w:val="20"/>
              </w:rPr>
              <w:t>Rural Workforce Programs</w:t>
            </w:r>
          </w:p>
        </w:tc>
        <w:tc>
          <w:tcPr>
            <w:tcW w:w="2632" w:type="dxa"/>
          </w:tcPr>
          <w:p w14:paraId="77D23CD2" w14:textId="77777777" w:rsidR="00770D75" w:rsidRPr="00770D75" w:rsidRDefault="00770D75" w:rsidP="00F22082">
            <w:pPr>
              <w:keepNext/>
              <w:keepLines/>
              <w:spacing w:before="20" w:afterLines="20" w:after="48"/>
              <w:jc w:val="center"/>
              <w:rPr>
                <w:sz w:val="20"/>
                <w:szCs w:val="20"/>
              </w:rPr>
            </w:pPr>
          </w:p>
          <w:p w14:paraId="5774416B" w14:textId="77777777" w:rsidR="00770D75" w:rsidRPr="00770D75" w:rsidRDefault="00770D75" w:rsidP="00F22082">
            <w:pPr>
              <w:keepNext/>
              <w:keepLines/>
              <w:spacing w:before="20" w:afterLines="20" w:after="48"/>
              <w:jc w:val="center"/>
              <w:rPr>
                <w:sz w:val="20"/>
                <w:szCs w:val="20"/>
              </w:rPr>
            </w:pPr>
            <w:r w:rsidRPr="00770D75">
              <w:rPr>
                <w:sz w:val="20"/>
                <w:szCs w:val="20"/>
              </w:rPr>
              <w:t>24.6</w:t>
            </w:r>
          </w:p>
        </w:tc>
      </w:tr>
      <w:tr w:rsidR="00770D75" w14:paraId="05C3D809" w14:textId="77777777" w:rsidTr="00770D75">
        <w:tc>
          <w:tcPr>
            <w:tcW w:w="4678" w:type="dxa"/>
          </w:tcPr>
          <w:p w14:paraId="3D702407" w14:textId="77777777" w:rsidR="00770D75" w:rsidRPr="00770D75" w:rsidRDefault="00770D75" w:rsidP="00F22082">
            <w:pPr>
              <w:keepNext/>
              <w:keepLines/>
              <w:spacing w:before="20" w:afterLines="20" w:after="48"/>
              <w:rPr>
                <w:sz w:val="20"/>
                <w:szCs w:val="20"/>
              </w:rPr>
            </w:pPr>
            <w:r w:rsidRPr="00770D75">
              <w:rPr>
                <w:sz w:val="20"/>
                <w:szCs w:val="20"/>
              </w:rPr>
              <w:t>eHealth</w:t>
            </w:r>
          </w:p>
          <w:p w14:paraId="1222FD88" w14:textId="77777777" w:rsidR="00770D75" w:rsidRPr="00770D75" w:rsidRDefault="00770D75" w:rsidP="00F22082">
            <w:pPr>
              <w:pStyle w:val="ListParagraph"/>
              <w:keepNext/>
              <w:keepLines/>
              <w:numPr>
                <w:ilvl w:val="0"/>
                <w:numId w:val="48"/>
              </w:numPr>
              <w:spacing w:before="20" w:afterLines="20" w:after="48"/>
              <w:rPr>
                <w:sz w:val="20"/>
                <w:szCs w:val="20"/>
              </w:rPr>
            </w:pPr>
            <w:r w:rsidRPr="00770D75">
              <w:rPr>
                <w:sz w:val="20"/>
                <w:szCs w:val="20"/>
              </w:rPr>
              <w:t>Electronic Prescription Fee</w:t>
            </w:r>
          </w:p>
        </w:tc>
        <w:tc>
          <w:tcPr>
            <w:tcW w:w="2632" w:type="dxa"/>
          </w:tcPr>
          <w:p w14:paraId="63650DD7" w14:textId="77777777" w:rsidR="00770D75" w:rsidRPr="00770D75" w:rsidRDefault="00770D75" w:rsidP="00F22082">
            <w:pPr>
              <w:keepNext/>
              <w:keepLines/>
              <w:spacing w:before="20" w:afterLines="20" w:after="48"/>
              <w:jc w:val="center"/>
              <w:rPr>
                <w:sz w:val="20"/>
                <w:szCs w:val="20"/>
              </w:rPr>
            </w:pPr>
          </w:p>
          <w:p w14:paraId="36D0DD3A" w14:textId="77777777" w:rsidR="00770D75" w:rsidRPr="00770D75" w:rsidRDefault="00770D75" w:rsidP="00F22082">
            <w:pPr>
              <w:keepNext/>
              <w:keepLines/>
              <w:spacing w:before="20" w:afterLines="20" w:after="48"/>
              <w:jc w:val="center"/>
              <w:rPr>
                <w:sz w:val="20"/>
                <w:szCs w:val="20"/>
              </w:rPr>
            </w:pPr>
            <w:r w:rsidRPr="00770D75">
              <w:rPr>
                <w:sz w:val="20"/>
                <w:szCs w:val="20"/>
              </w:rPr>
              <w:t>18</w:t>
            </w:r>
          </w:p>
        </w:tc>
      </w:tr>
      <w:tr w:rsidR="00770D75" w14:paraId="429C9F91" w14:textId="77777777" w:rsidTr="00770D75">
        <w:tc>
          <w:tcPr>
            <w:tcW w:w="4678" w:type="dxa"/>
          </w:tcPr>
          <w:p w14:paraId="45437C34" w14:textId="7AC91337" w:rsidR="00770D75" w:rsidRPr="00770D75" w:rsidRDefault="00770D75" w:rsidP="00F22082">
            <w:pPr>
              <w:keepNext/>
              <w:keepLines/>
              <w:spacing w:before="20" w:afterLines="20" w:after="48"/>
              <w:rPr>
                <w:sz w:val="20"/>
                <w:szCs w:val="20"/>
              </w:rPr>
            </w:pPr>
            <w:r w:rsidRPr="00770D75">
              <w:rPr>
                <w:sz w:val="20"/>
                <w:szCs w:val="20"/>
              </w:rPr>
              <w:t>Other activity</w:t>
            </w:r>
          </w:p>
          <w:p w14:paraId="4900B3CD" w14:textId="2D874F62" w:rsidR="00770D75" w:rsidRPr="00770D75" w:rsidRDefault="00770D75" w:rsidP="00F22082">
            <w:pPr>
              <w:pStyle w:val="ListParagraph"/>
              <w:keepNext/>
              <w:keepLines/>
              <w:numPr>
                <w:ilvl w:val="0"/>
                <w:numId w:val="48"/>
              </w:numPr>
              <w:spacing w:before="20" w:afterLines="20" w:after="48"/>
              <w:rPr>
                <w:sz w:val="20"/>
                <w:szCs w:val="20"/>
              </w:rPr>
            </w:pPr>
            <w:r w:rsidRPr="00770D75">
              <w:rPr>
                <w:sz w:val="20"/>
                <w:szCs w:val="20"/>
              </w:rPr>
              <w:t>Program administration</w:t>
            </w:r>
            <w:r>
              <w:rPr>
                <w:sz w:val="20"/>
                <w:szCs w:val="20"/>
              </w:rPr>
              <w:t>, oversight and assessment</w:t>
            </w:r>
          </w:p>
        </w:tc>
        <w:tc>
          <w:tcPr>
            <w:tcW w:w="2632" w:type="dxa"/>
          </w:tcPr>
          <w:p w14:paraId="3AFEA24E" w14:textId="77777777" w:rsidR="00770D75" w:rsidRPr="00770D75" w:rsidRDefault="00770D75" w:rsidP="00F22082">
            <w:pPr>
              <w:keepNext/>
              <w:keepLines/>
              <w:spacing w:before="20" w:afterLines="20" w:after="48"/>
              <w:jc w:val="center"/>
              <w:rPr>
                <w:sz w:val="20"/>
                <w:szCs w:val="20"/>
              </w:rPr>
            </w:pPr>
          </w:p>
          <w:p w14:paraId="55A55437" w14:textId="77777777" w:rsidR="00770D75" w:rsidRPr="00770D75" w:rsidRDefault="00770D75" w:rsidP="00F22082">
            <w:pPr>
              <w:keepNext/>
              <w:keepLines/>
              <w:spacing w:before="20" w:afterLines="20" w:after="48"/>
              <w:jc w:val="center"/>
              <w:rPr>
                <w:sz w:val="20"/>
                <w:szCs w:val="20"/>
              </w:rPr>
            </w:pPr>
            <w:r w:rsidRPr="00770D75">
              <w:rPr>
                <w:sz w:val="20"/>
                <w:szCs w:val="20"/>
              </w:rPr>
              <w:t>11</w:t>
            </w:r>
          </w:p>
        </w:tc>
      </w:tr>
      <w:tr w:rsidR="00770D75" w14:paraId="67F600D7" w14:textId="77777777" w:rsidTr="00770D75">
        <w:tc>
          <w:tcPr>
            <w:tcW w:w="4678" w:type="dxa"/>
          </w:tcPr>
          <w:p w14:paraId="0DA2527F" w14:textId="7C183D77" w:rsidR="00770D75" w:rsidRPr="00770D75" w:rsidRDefault="00770D75" w:rsidP="000C38E2">
            <w:pPr>
              <w:keepNext/>
              <w:keepLines/>
              <w:spacing w:before="20" w:afterLines="20" w:after="48"/>
              <w:rPr>
                <w:b/>
                <w:sz w:val="20"/>
                <w:szCs w:val="20"/>
              </w:rPr>
            </w:pPr>
            <w:r w:rsidRPr="00770D75">
              <w:rPr>
                <w:b/>
                <w:sz w:val="20"/>
                <w:szCs w:val="20"/>
              </w:rPr>
              <w:t>Indicative</w:t>
            </w:r>
            <w:r w:rsidRPr="00770D75">
              <w:rPr>
                <w:b/>
                <w:sz w:val="20"/>
                <w:szCs w:val="20"/>
                <w:vertAlign w:val="superscript"/>
              </w:rPr>
              <w:t>[</w:t>
            </w:r>
            <w:r w:rsidRPr="00770D75">
              <w:rPr>
                <w:rStyle w:val="FootnoteReference"/>
                <w:b/>
                <w:sz w:val="20"/>
                <w:szCs w:val="20"/>
              </w:rPr>
              <w:footnoteReference w:id="8"/>
            </w:r>
            <w:r w:rsidRPr="00770D75">
              <w:rPr>
                <w:b/>
                <w:sz w:val="20"/>
                <w:szCs w:val="20"/>
                <w:vertAlign w:val="superscript"/>
              </w:rPr>
              <w:t xml:space="preserve">] </w:t>
            </w:r>
            <w:r w:rsidRPr="00770D75">
              <w:rPr>
                <w:b/>
                <w:sz w:val="20"/>
                <w:szCs w:val="20"/>
              </w:rPr>
              <w:t>Total</w:t>
            </w:r>
          </w:p>
        </w:tc>
        <w:tc>
          <w:tcPr>
            <w:tcW w:w="2632" w:type="dxa"/>
          </w:tcPr>
          <w:p w14:paraId="27439D4B" w14:textId="77777777" w:rsidR="00770D75" w:rsidRPr="00770D75" w:rsidRDefault="00770D75" w:rsidP="00F22082">
            <w:pPr>
              <w:keepNext/>
              <w:keepLines/>
              <w:spacing w:before="20" w:afterLines="20" w:after="48"/>
              <w:jc w:val="center"/>
              <w:rPr>
                <w:b/>
                <w:sz w:val="20"/>
                <w:szCs w:val="20"/>
              </w:rPr>
            </w:pPr>
            <w:r w:rsidRPr="00770D75">
              <w:rPr>
                <w:b/>
                <w:sz w:val="20"/>
                <w:szCs w:val="20"/>
              </w:rPr>
              <w:t>268.1</w:t>
            </w:r>
          </w:p>
        </w:tc>
      </w:tr>
    </w:tbl>
    <w:p w14:paraId="27F9FBCE" w14:textId="47766F36" w:rsidR="000A5D53" w:rsidRPr="000E29DC" w:rsidRDefault="000A5D53" w:rsidP="000A5D53">
      <w:pPr>
        <w:pStyle w:val="Heading3"/>
        <w:numPr>
          <w:ilvl w:val="2"/>
          <w:numId w:val="22"/>
        </w:numPr>
        <w:spacing w:after="120"/>
      </w:pPr>
      <w:r>
        <w:t>T</w:t>
      </w:r>
      <w:r w:rsidRPr="000E29DC">
        <w:t>he</w:t>
      </w:r>
      <w:r>
        <w:t xml:space="preserve"> </w:t>
      </w:r>
      <w:r w:rsidR="00D23273">
        <w:t xml:space="preserve">Commonwealth and the Guild </w:t>
      </w:r>
      <w:r>
        <w:t>intend that the</w:t>
      </w:r>
      <w:r w:rsidRPr="000E29DC">
        <w:t xml:space="preserve"> above </w:t>
      </w:r>
      <w:r>
        <w:t>Community Pharmacy P</w:t>
      </w:r>
      <w:r w:rsidRPr="000E29DC">
        <w:t xml:space="preserve">rograms will </w:t>
      </w:r>
      <w:r>
        <w:t>be</w:t>
      </w:r>
      <w:r w:rsidRPr="000E29DC">
        <w:t xml:space="preserve"> largely unchanged during the first </w:t>
      </w:r>
      <w:r w:rsidR="00E42D8B">
        <w:t>Financial Year</w:t>
      </w:r>
      <w:r w:rsidRPr="000E29DC">
        <w:t xml:space="preserve">, noting the </w:t>
      </w:r>
      <w:r>
        <w:t>intention</w:t>
      </w:r>
      <w:r w:rsidRPr="000E29DC">
        <w:t xml:space="preserve"> </w:t>
      </w:r>
      <w:r>
        <w:t>of the Commonwealth to</w:t>
      </w:r>
      <w:r w:rsidRPr="000E29DC">
        <w:t>:</w:t>
      </w:r>
    </w:p>
    <w:p w14:paraId="3C3DD518" w14:textId="65BDA0D6" w:rsidR="000A5D53" w:rsidRDefault="000A5D53" w:rsidP="000A5D53">
      <w:pPr>
        <w:pStyle w:val="Heading4"/>
      </w:pPr>
      <w:r>
        <w:t>increase the investment in regional, rural and remote areas through an increased investment of ten (10) per cent in the Rural Pharmacy Maintenance Allowance (increasing further in subsequent years);</w:t>
      </w:r>
    </w:p>
    <w:p w14:paraId="2B24C998" w14:textId="128C8596" w:rsidR="000A5D53" w:rsidRDefault="000A5D53" w:rsidP="000A5D53">
      <w:pPr>
        <w:pStyle w:val="Heading4"/>
      </w:pPr>
      <w:r>
        <w:t xml:space="preserve">enhance the Dose Administration Aid Program, by doubling the base cap during the first </w:t>
      </w:r>
      <w:r w:rsidR="00E42D8B">
        <w:t>Financial Year</w:t>
      </w:r>
      <w:r>
        <w:t xml:space="preserve"> and providing uncapped access for Aboriginal and Torres Strait Islander people; and</w:t>
      </w:r>
    </w:p>
    <w:p w14:paraId="3D5697D2" w14:textId="779B9DDA" w:rsidR="000A5D53" w:rsidRPr="000E29DC" w:rsidRDefault="000A5D53" w:rsidP="000A5D53">
      <w:pPr>
        <w:pStyle w:val="Heading4"/>
      </w:pPr>
      <w:r>
        <w:t>maintain the increased investment in Community Pharmacy Programs designed to support older Australians and arising from the Interim Report of the Royal Commission into Aged Care Quality and Safety.</w:t>
      </w:r>
    </w:p>
    <w:p w14:paraId="59A2951D" w14:textId="5C447F28" w:rsidR="00D86118" w:rsidRPr="00B86422" w:rsidRDefault="00D86118" w:rsidP="00D86118">
      <w:pPr>
        <w:pStyle w:val="Heading3"/>
        <w:spacing w:after="120"/>
        <w:rPr>
          <w:b/>
        </w:rPr>
      </w:pPr>
      <w:r>
        <w:t>The Minister may make other changes to Community Pharmacy Programs during the Term, including following any assessment under clause</w:t>
      </w:r>
      <w:r w:rsidR="004B762B">
        <w:t xml:space="preserve"> </w:t>
      </w:r>
      <w:r w:rsidR="004B762B">
        <w:fldChar w:fldCharType="begin"/>
      </w:r>
      <w:r w:rsidR="004B762B">
        <w:instrText xml:space="preserve"> REF _Ref42616651 \w \h </w:instrText>
      </w:r>
      <w:r w:rsidR="004B762B">
        <w:fldChar w:fldCharType="separate"/>
      </w:r>
      <w:r w:rsidR="00982D02">
        <w:t>9.6</w:t>
      </w:r>
      <w:r w:rsidR="004B762B">
        <w:fldChar w:fldCharType="end"/>
      </w:r>
      <w:r>
        <w:t>.</w:t>
      </w:r>
    </w:p>
    <w:p w14:paraId="4D3F6E33" w14:textId="77777777" w:rsidR="00D86118" w:rsidRDefault="00D86118" w:rsidP="00D86118">
      <w:pPr>
        <w:pStyle w:val="Heading2"/>
      </w:pPr>
      <w:bookmarkStart w:id="341" w:name="_Toc42783622"/>
      <w:r>
        <w:t>Arrangements for prescribing</w:t>
      </w:r>
      <w:bookmarkEnd w:id="341"/>
    </w:p>
    <w:p w14:paraId="15736D40" w14:textId="77777777" w:rsidR="00D86118" w:rsidRDefault="00D86118" w:rsidP="00D86118">
      <w:pPr>
        <w:pStyle w:val="Heading3"/>
        <w:keepNext/>
      </w:pPr>
      <w:r>
        <w:t xml:space="preserve">To continue to support the uptake of electronic prescriptions by Approved Pharmacists, the </w:t>
      </w:r>
      <w:r w:rsidRPr="00305A33">
        <w:t>Commonwealth</w:t>
      </w:r>
      <w:r>
        <w:t xml:space="preserve"> intends to:</w:t>
      </w:r>
    </w:p>
    <w:p w14:paraId="0832F81C" w14:textId="77777777" w:rsidR="00D86118" w:rsidRDefault="00D86118" w:rsidP="00D86118">
      <w:pPr>
        <w:pStyle w:val="Heading4"/>
        <w:keepNext/>
      </w:pPr>
      <w:r>
        <w:t>continue the Electronic Prescription Fee arrangements in place under the Sixth Community Pharmacy Agreement during the first Financial Year; and</w:t>
      </w:r>
    </w:p>
    <w:p w14:paraId="26650511" w14:textId="77777777" w:rsidR="00D86118" w:rsidRDefault="00D86118" w:rsidP="00D86118">
      <w:pPr>
        <w:pStyle w:val="Heading4"/>
      </w:pPr>
      <w:bookmarkStart w:id="342" w:name="_Ref42616682"/>
      <w:r>
        <w:t>after the first Financial Year, establish (instead of the payment by the Commonwealth of the Electronic Prescription Fee to Approved Pharmacists) direct arrangements between the Commonwealth and prescription exchange services to facilitate pharmacists’ receipt of electronic prescriptions.</w:t>
      </w:r>
      <w:bookmarkEnd w:id="342"/>
    </w:p>
    <w:p w14:paraId="0C802E2D" w14:textId="77777777" w:rsidR="00D86118" w:rsidRDefault="00D86118" w:rsidP="00D86118">
      <w:pPr>
        <w:pStyle w:val="Heading3"/>
        <w:keepNext/>
        <w:ind w:left="1702" w:hanging="851"/>
      </w:pPr>
      <w:r>
        <w:t>The Commonwealth will consult with the Guild:</w:t>
      </w:r>
    </w:p>
    <w:p w14:paraId="2C783563" w14:textId="40CFD901" w:rsidR="00D86118" w:rsidRDefault="00D86118" w:rsidP="00D86118">
      <w:pPr>
        <w:pStyle w:val="Heading4"/>
      </w:pPr>
      <w:r>
        <w:t>prior to the establishment of the direct arrangements between the Commonwealth and prescription exchange services described in clause</w:t>
      </w:r>
      <w:r w:rsidR="0012656C">
        <w:t> </w:t>
      </w:r>
      <w:r w:rsidR="002A2010">
        <w:fldChar w:fldCharType="begin"/>
      </w:r>
      <w:r w:rsidR="002A2010">
        <w:instrText xml:space="preserve"> REF _Ref42616682 \w \h </w:instrText>
      </w:r>
      <w:r w:rsidR="002A2010">
        <w:fldChar w:fldCharType="separate"/>
      </w:r>
      <w:r w:rsidR="00982D02">
        <w:t>9.4.1(b)</w:t>
      </w:r>
      <w:r w:rsidR="002A2010">
        <w:fldChar w:fldCharType="end"/>
      </w:r>
      <w:r>
        <w:t>, on measures to be implemented to safeguard against Commonwealth funded prescription exchange services charging Approved Pharmacists fees intended to be paid or otherwise addressed by the Commonwealth arrangements; and</w:t>
      </w:r>
    </w:p>
    <w:p w14:paraId="1AA4E3EB" w14:textId="77777777" w:rsidR="00D86118" w:rsidRDefault="00D86118" w:rsidP="00D86118">
      <w:pPr>
        <w:pStyle w:val="Heading4"/>
      </w:pPr>
      <w:r>
        <w:t xml:space="preserve">throughout the Term, on mechanisms related to prescribing that enable choice by patients in relation to their selection of pharmacies while maintaining patient privacy.  </w:t>
      </w:r>
      <w:r w:rsidRPr="007B5E83">
        <w:t xml:space="preserve">The </w:t>
      </w:r>
      <w:r>
        <w:t>Signatories</w:t>
      </w:r>
      <w:r w:rsidRPr="007B5E83">
        <w:t xml:space="preserve"> acknowledge that the National Requirements for Electronic Prescriptions published by the Australian Digital Health Agency and approved under the </w:t>
      </w:r>
      <w:r w:rsidRPr="007B5E83">
        <w:rPr>
          <w:i/>
        </w:rPr>
        <w:t>National Health (Pharmaceutical Benefits) Regulations 2017</w:t>
      </w:r>
      <w:r w:rsidRPr="007B5E83">
        <w:t xml:space="preserve"> already provide that electronic prescriptions are to be capable of being dispensed in any pharmacy or other authorised place irrespective of which authorised prescriber issued the prescription and which </w:t>
      </w:r>
      <w:r>
        <w:t>S</w:t>
      </w:r>
      <w:r w:rsidRPr="007B5E83">
        <w:t xml:space="preserve">tate or </w:t>
      </w:r>
      <w:r>
        <w:t>T</w:t>
      </w:r>
      <w:r w:rsidRPr="007B5E83">
        <w:t>erritory it was issued in (subject to regulatory constraints).</w:t>
      </w:r>
    </w:p>
    <w:p w14:paraId="42C876C1" w14:textId="77777777" w:rsidR="00D86118" w:rsidRPr="00495C19" w:rsidRDefault="00D86118" w:rsidP="00D86118">
      <w:pPr>
        <w:pStyle w:val="Heading3"/>
      </w:pPr>
      <w:r>
        <w:t>The Department will put in place such direct arrangements between the Commonwealth and prescription exchange services as it considers represent best value for money for the Commonwealth, which may involve the Department undertaking a formal process in accordance with the Commonwealth Procurement Rules (20 April 2019) or the Commonwealth Grant Rules and Guidelines 2017.</w:t>
      </w:r>
    </w:p>
    <w:p w14:paraId="1F808F6D" w14:textId="77777777" w:rsidR="00D86118" w:rsidRDefault="00D86118" w:rsidP="00D86118">
      <w:pPr>
        <w:pStyle w:val="Heading2"/>
        <w:rPr>
          <w:rFonts w:eastAsia="Calibri"/>
          <w:lang w:eastAsia="zh-CN"/>
        </w:rPr>
      </w:pPr>
      <w:bookmarkStart w:id="343" w:name="_Toc42783623"/>
      <w:r>
        <w:rPr>
          <w:rFonts w:eastAsia="Calibri"/>
          <w:lang w:eastAsia="zh-CN"/>
        </w:rPr>
        <w:t>Administration of Community Pharmacy Programs</w:t>
      </w:r>
      <w:bookmarkEnd w:id="343"/>
    </w:p>
    <w:p w14:paraId="220AFCC0" w14:textId="050D9400" w:rsidR="00D86118" w:rsidRDefault="00D86118" w:rsidP="00D86118">
      <w:pPr>
        <w:pStyle w:val="Heading3"/>
        <w:rPr>
          <w:rFonts w:eastAsia="Calibri"/>
          <w:lang w:eastAsia="zh-CN"/>
        </w:rPr>
      </w:pPr>
      <w:r>
        <w:rPr>
          <w:rFonts w:eastAsia="Calibri"/>
          <w:lang w:eastAsia="zh-CN"/>
        </w:rPr>
        <w:t>The cost of administering Community Pharmacy Programs will be met from within the funding referred to in clause</w:t>
      </w:r>
      <w:r w:rsidR="00F105FA">
        <w:rPr>
          <w:rFonts w:eastAsia="Calibri"/>
          <w:lang w:eastAsia="zh-CN"/>
        </w:rPr>
        <w:t xml:space="preserve"> </w:t>
      </w:r>
      <w:r w:rsidR="00F105FA">
        <w:rPr>
          <w:rFonts w:eastAsia="Calibri"/>
          <w:lang w:eastAsia="zh-CN"/>
        </w:rPr>
        <w:fldChar w:fldCharType="begin"/>
      </w:r>
      <w:r w:rsidR="00F105FA">
        <w:rPr>
          <w:rFonts w:eastAsia="Calibri"/>
          <w:lang w:eastAsia="zh-CN"/>
        </w:rPr>
        <w:instrText xml:space="preserve"> REF _Ref42616615 \r \h </w:instrText>
      </w:r>
      <w:r w:rsidR="00F105FA">
        <w:rPr>
          <w:rFonts w:eastAsia="Calibri"/>
          <w:lang w:eastAsia="zh-CN"/>
        </w:rPr>
      </w:r>
      <w:r w:rsidR="00F105FA">
        <w:rPr>
          <w:rFonts w:eastAsia="Calibri"/>
          <w:lang w:eastAsia="zh-CN"/>
        </w:rPr>
        <w:fldChar w:fldCharType="separate"/>
      </w:r>
      <w:r w:rsidR="00982D02">
        <w:rPr>
          <w:rFonts w:eastAsia="Calibri"/>
          <w:lang w:eastAsia="zh-CN"/>
        </w:rPr>
        <w:t>9.1.1</w:t>
      </w:r>
      <w:r w:rsidR="00F105FA">
        <w:rPr>
          <w:rFonts w:eastAsia="Calibri"/>
          <w:lang w:eastAsia="zh-CN"/>
        </w:rPr>
        <w:fldChar w:fldCharType="end"/>
      </w:r>
      <w:r w:rsidR="00F105FA">
        <w:rPr>
          <w:rFonts w:eastAsia="Calibri"/>
          <w:lang w:eastAsia="zh-CN"/>
        </w:rPr>
        <w:t>.</w:t>
      </w:r>
      <w:r>
        <w:rPr>
          <w:rFonts w:eastAsia="Calibri"/>
          <w:lang w:eastAsia="zh-CN"/>
        </w:rPr>
        <w:t xml:space="preserve"> </w:t>
      </w:r>
    </w:p>
    <w:p w14:paraId="1A8F156A" w14:textId="77777777" w:rsidR="00D86118" w:rsidRPr="00854393" w:rsidRDefault="00D86118" w:rsidP="00D86118">
      <w:pPr>
        <w:pStyle w:val="Heading3"/>
        <w:rPr>
          <w:rFonts w:eastAsia="Calibri"/>
          <w:lang w:eastAsia="zh-CN"/>
        </w:rPr>
      </w:pPr>
      <w:r>
        <w:t xml:space="preserve">The arrangements for the administration of Community Pharmacy Programs were established via a competitive tender process conducted during the term of the Sixth Community Pharmacy Agreement.  At the end of the current administration arrangements, the Department will put in place such new arrangements for the administration of Community Pharmacy Programs as it considers represent best value for money for the Commonwealth, which may involve the Department undertaking a formal competitive tender process in accordance with the Commonwealth Procurement Rules (20 April 2019) to appoint a Pharmacy Program administrator. </w:t>
      </w:r>
    </w:p>
    <w:p w14:paraId="7E3537CE" w14:textId="77777777" w:rsidR="00D86118" w:rsidRDefault="00D86118" w:rsidP="00E42D8B">
      <w:pPr>
        <w:pStyle w:val="Heading2"/>
        <w:keepNext w:val="0"/>
        <w:rPr>
          <w:rFonts w:eastAsia="Calibri"/>
          <w:lang w:eastAsia="zh-CN"/>
        </w:rPr>
      </w:pPr>
      <w:bookmarkStart w:id="344" w:name="_Ref42616651"/>
      <w:bookmarkStart w:id="345" w:name="_Toc42783624"/>
      <w:r>
        <w:rPr>
          <w:rFonts w:eastAsia="Calibri"/>
          <w:lang w:eastAsia="zh-CN"/>
        </w:rPr>
        <w:t>Community Pharmacy Program assessment</w:t>
      </w:r>
      <w:bookmarkEnd w:id="344"/>
      <w:bookmarkEnd w:id="345"/>
    </w:p>
    <w:p w14:paraId="5AAAD1CB" w14:textId="77777777" w:rsidR="00D86118" w:rsidRDefault="00D86118" w:rsidP="00E42D8B">
      <w:pPr>
        <w:pStyle w:val="Heading3"/>
        <w:ind w:left="1707" w:hanging="839"/>
        <w:rPr>
          <w:rFonts w:eastAsia="Calibri"/>
          <w:lang w:eastAsia="zh-CN"/>
        </w:rPr>
      </w:pPr>
      <w:r>
        <w:rPr>
          <w:rFonts w:eastAsia="Calibri"/>
          <w:lang w:eastAsia="zh-CN"/>
        </w:rPr>
        <w:t xml:space="preserve">Appropriate oversight and assessment of Community </w:t>
      </w:r>
      <w:r w:rsidRPr="009338EF">
        <w:t>Pharmacy</w:t>
      </w:r>
      <w:r>
        <w:rPr>
          <w:rFonts w:eastAsia="Calibri"/>
          <w:lang w:eastAsia="zh-CN"/>
        </w:rPr>
        <w:t xml:space="preserve"> Programs will occur during the Term to ensure that the program outcomes achieved continue to result in a Proper use of Public Resources.  Such oversight will occur, at least in part, via the work undertaken by the administrator of Community Pharmacy Programs.</w:t>
      </w:r>
    </w:p>
    <w:p w14:paraId="663F519A" w14:textId="77777777" w:rsidR="00D86118" w:rsidRDefault="00D86118" w:rsidP="00E42D8B">
      <w:pPr>
        <w:pStyle w:val="Heading3"/>
        <w:ind w:left="1707" w:hanging="839"/>
        <w:rPr>
          <w:rFonts w:eastAsia="Calibri"/>
          <w:lang w:eastAsia="zh-CN"/>
        </w:rPr>
      </w:pPr>
      <w:r>
        <w:rPr>
          <w:rFonts w:eastAsia="Calibri"/>
          <w:lang w:eastAsia="zh-CN"/>
        </w:rPr>
        <w:t>The Commonwealth intends to undertake or commission an assessment of Commonwealth funded services under Community Pharmacy Programs during the Term to identify and assess the outcomes, efficiency and effectiveness of such programs. Such an assessment may include seeking patient feedback.</w:t>
      </w:r>
    </w:p>
    <w:p w14:paraId="262A80A0" w14:textId="77777777" w:rsidR="00D86118" w:rsidRDefault="00D86118" w:rsidP="00D86118">
      <w:pPr>
        <w:pStyle w:val="Heading3"/>
        <w:ind w:left="1708" w:hanging="840"/>
        <w:rPr>
          <w:rFonts w:eastAsia="Calibri"/>
          <w:lang w:eastAsia="zh-CN"/>
        </w:rPr>
      </w:pPr>
      <w:r>
        <w:rPr>
          <w:rFonts w:eastAsia="Calibri"/>
          <w:lang w:eastAsia="zh-CN"/>
        </w:rPr>
        <w:t>It is expected that the assessment will commence during the second Financial Year.  Following the conclusion of the assessment, results will be published.</w:t>
      </w:r>
    </w:p>
    <w:p w14:paraId="2A7FE61D" w14:textId="130935F7" w:rsidR="002571D2" w:rsidRDefault="002571D2" w:rsidP="00770D75">
      <w:pPr>
        <w:pStyle w:val="Heading1"/>
      </w:pPr>
      <w:bookmarkStart w:id="346" w:name="_Toc42783625"/>
      <w:bookmarkEnd w:id="335"/>
      <w:r w:rsidRPr="00304877">
        <w:t>The Closing the Gap - PBS Copayment Measure</w:t>
      </w:r>
      <w:bookmarkEnd w:id="346"/>
    </w:p>
    <w:p w14:paraId="07AB9FA2" w14:textId="77777777" w:rsidR="002571D2" w:rsidRPr="00304877" w:rsidRDefault="002571D2" w:rsidP="00770D75">
      <w:pPr>
        <w:pStyle w:val="Headingpara2"/>
        <w:keepNext/>
      </w:pPr>
      <w:r>
        <w:rPr>
          <w:rFonts w:cs="Arial"/>
          <w:color w:val="222222"/>
          <w:shd w:val="clear" w:color="auto" w:fill="FFFFFF"/>
        </w:rPr>
        <w:t>The Closing the Gap PBS Copayment Measure (</w:t>
      </w:r>
      <w:r w:rsidRPr="001B5135">
        <w:rPr>
          <w:rFonts w:cs="Arial"/>
          <w:b/>
          <w:color w:val="222222"/>
          <w:shd w:val="clear" w:color="auto" w:fill="FFFFFF"/>
        </w:rPr>
        <w:t>Measure</w:t>
      </w:r>
      <w:r>
        <w:rPr>
          <w:rFonts w:cs="Arial"/>
          <w:color w:val="222222"/>
          <w:shd w:val="clear" w:color="auto" w:fill="FFFFFF"/>
        </w:rPr>
        <w:t>) was implemented on 1 July 2010 to reduce the cost of PBS medicines for eligible Aboriginal and Torres Strait Islander people living with, or at risk of, chronic disease.</w:t>
      </w:r>
    </w:p>
    <w:p w14:paraId="5E17CD10" w14:textId="08E56BA8" w:rsidR="002571D2" w:rsidRDefault="002571D2" w:rsidP="00770D75">
      <w:pPr>
        <w:pStyle w:val="Headingpara2"/>
        <w:keepNext/>
      </w:pPr>
      <w:r>
        <w:t>As part of the Australian Government’s ongoing commitment to improving the health outcomes of Aboriginal and Torres Strait Islander people, the Measure will be enhanced to:</w:t>
      </w:r>
    </w:p>
    <w:p w14:paraId="5222B607" w14:textId="77777777" w:rsidR="002571D2" w:rsidRDefault="002571D2" w:rsidP="00770D75">
      <w:pPr>
        <w:pStyle w:val="Heading3"/>
        <w:keepNext/>
      </w:pPr>
      <w:r>
        <w:t>expand the range of health care professionals who can register patients for the Measure; and</w:t>
      </w:r>
    </w:p>
    <w:p w14:paraId="18AE14DE" w14:textId="77777777" w:rsidR="002571D2" w:rsidRDefault="002571D2" w:rsidP="006C015C">
      <w:pPr>
        <w:pStyle w:val="Heading3"/>
      </w:pPr>
      <w:r>
        <w:t>enable Aboriginal and Torres Strait Islander patients to register for the Measure regardless of where they are located at the time of registration and their chronic disease status.</w:t>
      </w:r>
    </w:p>
    <w:p w14:paraId="696358D2" w14:textId="77777777" w:rsidR="002571D2" w:rsidRPr="00304877" w:rsidRDefault="002571D2" w:rsidP="006C015C">
      <w:pPr>
        <w:pStyle w:val="Headingpara2"/>
      </w:pPr>
      <w:r>
        <w:t>Enhancements to the Measure will be funded from within the available Agreement funding.</w:t>
      </w:r>
    </w:p>
    <w:p w14:paraId="3945BD62" w14:textId="5BC3EA63" w:rsidR="00C179CE" w:rsidRDefault="002E59D1" w:rsidP="00E5407B">
      <w:pPr>
        <w:pStyle w:val="Heading1"/>
        <w:keepLines/>
      </w:pPr>
      <w:bookmarkStart w:id="347" w:name="_Toc42783626"/>
      <w:r>
        <w:t>New or enhanced co</w:t>
      </w:r>
      <w:r w:rsidR="00C179CE">
        <w:t xml:space="preserve">mmunity </w:t>
      </w:r>
      <w:r w:rsidR="00F30F37">
        <w:t>p</w:t>
      </w:r>
      <w:r w:rsidR="00C179CE">
        <w:t>harmacy initiatives</w:t>
      </w:r>
      <w:r>
        <w:t xml:space="preserve"> and incentives</w:t>
      </w:r>
      <w:bookmarkEnd w:id="347"/>
    </w:p>
    <w:p w14:paraId="62CAFB75" w14:textId="0F9B0E2C" w:rsidR="00127CF4" w:rsidRDefault="00F30F37" w:rsidP="00E5407B">
      <w:pPr>
        <w:pStyle w:val="Headingpara2"/>
        <w:keepNext/>
        <w:keepLines/>
      </w:pPr>
      <w:r>
        <w:t>T</w:t>
      </w:r>
      <w:r w:rsidR="008070A1">
        <w:t xml:space="preserve">he Department and the Guild will </w:t>
      </w:r>
      <w:r>
        <w:t xml:space="preserve">consult during the Term regarding </w:t>
      </w:r>
      <w:r w:rsidR="00127CF4">
        <w:rPr>
          <w:bCs/>
        </w:rPr>
        <w:t xml:space="preserve">the </w:t>
      </w:r>
      <w:r>
        <w:t xml:space="preserve">possible </w:t>
      </w:r>
      <w:r w:rsidR="002571D2">
        <w:rPr>
          <w:bCs/>
        </w:rPr>
        <w:t xml:space="preserve">implementation of appropriately funded </w:t>
      </w:r>
      <w:r>
        <w:t xml:space="preserve">new or enhanced </w:t>
      </w:r>
      <w:r w:rsidR="008070A1">
        <w:t>initiatives and incentives for community pharmac</w:t>
      </w:r>
      <w:r w:rsidR="005C3B0A">
        <w:t>y</w:t>
      </w:r>
      <w:r w:rsidR="008070A1">
        <w:t xml:space="preserve"> that support implementation of Australian Government policies to improve </w:t>
      </w:r>
      <w:r>
        <w:t xml:space="preserve">health services and outcomes for </w:t>
      </w:r>
      <w:r w:rsidR="008070A1">
        <w:t>Australians</w:t>
      </w:r>
      <w:r w:rsidR="00F5715F">
        <w:t>.</w:t>
      </w:r>
      <w:r w:rsidR="002571D2" w:rsidRPr="002571D2">
        <w:rPr>
          <w:vertAlign w:val="superscript"/>
        </w:rPr>
        <w:t>[</w:t>
      </w:r>
      <w:r w:rsidR="002571D2" w:rsidRPr="002571D2">
        <w:rPr>
          <w:rStyle w:val="FootnoteReference"/>
        </w:rPr>
        <w:footnoteReference w:id="9"/>
      </w:r>
      <w:r w:rsidR="002571D2" w:rsidRPr="002571D2">
        <w:rPr>
          <w:vertAlign w:val="superscript"/>
        </w:rPr>
        <w:t>]</w:t>
      </w:r>
    </w:p>
    <w:p w14:paraId="52F17A81" w14:textId="77777777" w:rsidR="003B4641" w:rsidRDefault="002A1AF1" w:rsidP="00E5407B">
      <w:pPr>
        <w:pStyle w:val="Headingpara2"/>
        <w:keepNext/>
        <w:keepLines/>
      </w:pPr>
      <w:r>
        <w:t xml:space="preserve">Examples </w:t>
      </w:r>
      <w:r w:rsidR="00224D35">
        <w:t>of i</w:t>
      </w:r>
      <w:r w:rsidR="00F30F37">
        <w:t xml:space="preserve">nitiatives and incentives </w:t>
      </w:r>
      <w:r w:rsidR="00224D35">
        <w:t xml:space="preserve">to be discussed </w:t>
      </w:r>
      <w:r>
        <w:t xml:space="preserve">could include </w:t>
      </w:r>
      <w:r w:rsidR="00F30F37">
        <w:t xml:space="preserve">measures that </w:t>
      </w:r>
      <w:r w:rsidR="00224D35">
        <w:t xml:space="preserve">drive innovation and </w:t>
      </w:r>
      <w:r w:rsidR="005C3B0A">
        <w:t>technological</w:t>
      </w:r>
      <w:r w:rsidR="00224D35">
        <w:t xml:space="preserve"> changes that </w:t>
      </w:r>
      <w:r w:rsidR="00F30F37">
        <w:t xml:space="preserve">enhance </w:t>
      </w:r>
      <w:r w:rsidR="00F34CA7">
        <w:t>patient</w:t>
      </w:r>
      <w:r w:rsidR="00F30F37">
        <w:t>s’ access to medicines</w:t>
      </w:r>
      <w:r w:rsidR="008C0AE4">
        <w:t>, information</w:t>
      </w:r>
      <w:r w:rsidR="00F30F37">
        <w:t xml:space="preserve"> and other health services</w:t>
      </w:r>
      <w:r w:rsidR="00224D35">
        <w:t>. S</w:t>
      </w:r>
      <w:r w:rsidR="00F25A9D">
        <w:t xml:space="preserve">uch </w:t>
      </w:r>
      <w:r w:rsidR="00224D35">
        <w:t xml:space="preserve">measures </w:t>
      </w:r>
      <w:r>
        <w:t xml:space="preserve">could </w:t>
      </w:r>
      <w:r w:rsidR="00224D35">
        <w:t>include</w:t>
      </w:r>
      <w:r w:rsidR="003B4641">
        <w:t>:</w:t>
      </w:r>
    </w:p>
    <w:p w14:paraId="49E570C9" w14:textId="33461784" w:rsidR="003B4641" w:rsidRDefault="00F25A9D" w:rsidP="003B4641">
      <w:pPr>
        <w:pStyle w:val="Heading3"/>
      </w:pPr>
      <w:r>
        <w:t>eHealth and e-prescribing initiatives</w:t>
      </w:r>
      <w:r w:rsidR="003B4641">
        <w:t>;</w:t>
      </w:r>
      <w:r w:rsidR="00224D35">
        <w:t xml:space="preserve"> </w:t>
      </w:r>
    </w:p>
    <w:p w14:paraId="56996D1F" w14:textId="2300F321" w:rsidR="003B4641" w:rsidRDefault="00224D35" w:rsidP="003B4641">
      <w:pPr>
        <w:pStyle w:val="Heading3"/>
      </w:pPr>
      <w:r>
        <w:t xml:space="preserve">measures that make it easier and more affordable for </w:t>
      </w:r>
      <w:r w:rsidR="00F34CA7">
        <w:t>patient</w:t>
      </w:r>
      <w:r>
        <w:t>s to access medicines where they live</w:t>
      </w:r>
      <w:r w:rsidR="003B4641">
        <w:t>;</w:t>
      </w:r>
    </w:p>
    <w:p w14:paraId="2434D815" w14:textId="3EF54591" w:rsidR="003B4641" w:rsidRDefault="000D2010" w:rsidP="003B4641">
      <w:pPr>
        <w:pStyle w:val="Heading3"/>
      </w:pPr>
      <w:r w:rsidRPr="00F655E0">
        <w:t>initiatives</w:t>
      </w:r>
      <w:r w:rsidR="003B4641" w:rsidRPr="003B4641">
        <w:t xml:space="preserve"> </w:t>
      </w:r>
      <w:r w:rsidR="003B4641">
        <w:t xml:space="preserve">that support improved </w:t>
      </w:r>
      <w:r w:rsidR="003B4641" w:rsidRPr="00F655E0">
        <w:t>mental health</w:t>
      </w:r>
      <w:r w:rsidR="003B4641">
        <w:t>;</w:t>
      </w:r>
    </w:p>
    <w:p w14:paraId="65EC88B9" w14:textId="21DC1E76" w:rsidR="003B4641" w:rsidRDefault="000D2010" w:rsidP="003B4641">
      <w:pPr>
        <w:pStyle w:val="Heading3"/>
      </w:pPr>
      <w:r w:rsidRPr="00F655E0">
        <w:t>initiatives to be developed in response to recommendations from the Royal Commission into Aged Care Quality and Safety</w:t>
      </w:r>
      <w:r w:rsidR="003B4641">
        <w:t>;</w:t>
      </w:r>
      <w:r w:rsidRPr="00F655E0">
        <w:t xml:space="preserve"> </w:t>
      </w:r>
      <w:r w:rsidR="003B4641">
        <w:t>and</w:t>
      </w:r>
    </w:p>
    <w:p w14:paraId="01714E38" w14:textId="767BFA19" w:rsidR="008070A1" w:rsidRDefault="000D2010" w:rsidP="003B4641">
      <w:pPr>
        <w:pStyle w:val="Heading3"/>
      </w:pPr>
      <w:r w:rsidRPr="00F655E0">
        <w:t xml:space="preserve">any </w:t>
      </w:r>
      <w:r w:rsidR="000206B2">
        <w:t>p</w:t>
      </w:r>
      <w:r w:rsidRPr="00F655E0">
        <w:t xml:space="preserve">harmacy </w:t>
      </w:r>
      <w:r w:rsidR="000206B2">
        <w:t>p</w:t>
      </w:r>
      <w:r w:rsidRPr="00F655E0">
        <w:t xml:space="preserve">rogram </w:t>
      </w:r>
      <w:r w:rsidR="000206B2" w:rsidRPr="00F655E0">
        <w:t xml:space="preserve">trial </w:t>
      </w:r>
      <w:r w:rsidRPr="00F655E0">
        <w:t xml:space="preserve">assessed as being suitable for </w:t>
      </w:r>
      <w:r w:rsidR="000206B2">
        <w:t xml:space="preserve">ongoing </w:t>
      </w:r>
      <w:r w:rsidRPr="00F655E0">
        <w:t>funding</w:t>
      </w:r>
      <w:r w:rsidR="00F30F37">
        <w:t>.</w:t>
      </w:r>
    </w:p>
    <w:p w14:paraId="72D2698C" w14:textId="7D0EA07C" w:rsidR="00072CC8" w:rsidRDefault="00072CC8" w:rsidP="00C954DF">
      <w:pPr>
        <w:pStyle w:val="Heading1"/>
      </w:pPr>
      <w:bookmarkStart w:id="348" w:name="_Toc41335181"/>
      <w:bookmarkStart w:id="349" w:name="_Toc41335350"/>
      <w:bookmarkStart w:id="350" w:name="_Toc41340177"/>
      <w:bookmarkStart w:id="351" w:name="_Toc41346037"/>
      <w:bookmarkStart w:id="352" w:name="_Toc42783627"/>
      <w:bookmarkEnd w:id="348"/>
      <w:bookmarkEnd w:id="349"/>
      <w:bookmarkEnd w:id="350"/>
      <w:bookmarkEnd w:id="351"/>
      <w:r>
        <w:t>Other commitments by the Australian Government and the Guild</w:t>
      </w:r>
      <w:bookmarkEnd w:id="352"/>
    </w:p>
    <w:p w14:paraId="06F8382F" w14:textId="24308C3F" w:rsidR="00CD0BA1" w:rsidRDefault="00CD0BA1" w:rsidP="00C954DF">
      <w:pPr>
        <w:pStyle w:val="Heading2"/>
      </w:pPr>
      <w:bookmarkStart w:id="353" w:name="_Toc37179793"/>
      <w:bookmarkStart w:id="354" w:name="_Toc37179795"/>
      <w:bookmarkStart w:id="355" w:name="_Toc37179796"/>
      <w:bookmarkStart w:id="356" w:name="_Toc42783628"/>
      <w:bookmarkStart w:id="357" w:name="_Hlk42717476"/>
      <w:bookmarkStart w:id="358" w:name="_Ref30596262"/>
      <w:bookmarkStart w:id="359" w:name="_Ref37179004"/>
      <w:bookmarkEnd w:id="353"/>
      <w:bookmarkEnd w:id="354"/>
      <w:bookmarkEnd w:id="355"/>
      <w:r>
        <w:t>Clinical Governance Framework for community pharmacy</w:t>
      </w:r>
      <w:bookmarkEnd w:id="356"/>
    </w:p>
    <w:p w14:paraId="75810EF8" w14:textId="28EAAE25" w:rsidR="00CD0BA1" w:rsidRPr="00CD0BA1" w:rsidRDefault="00CD0BA1" w:rsidP="00CD0BA1">
      <w:pPr>
        <w:pStyle w:val="BodyIndent1"/>
      </w:pPr>
      <w:r>
        <w:t>The Guild is recognised as the custodian of the Clinical Governance Framework for community pharmacy.</w:t>
      </w:r>
    </w:p>
    <w:p w14:paraId="7E25D032" w14:textId="3132DA94" w:rsidR="002F0527" w:rsidRDefault="00027825" w:rsidP="00C954DF">
      <w:pPr>
        <w:pStyle w:val="Heading2"/>
      </w:pPr>
      <w:bookmarkStart w:id="360" w:name="_Ref42781861"/>
      <w:bookmarkStart w:id="361" w:name="_Toc42783629"/>
      <w:bookmarkEnd w:id="357"/>
      <w:r>
        <w:t>Pharmacists administering vaccines</w:t>
      </w:r>
      <w:bookmarkEnd w:id="358"/>
      <w:bookmarkEnd w:id="359"/>
      <w:bookmarkEnd w:id="360"/>
      <w:bookmarkEnd w:id="361"/>
    </w:p>
    <w:p w14:paraId="0BB0FD49" w14:textId="77777777" w:rsidR="005C5711" w:rsidRDefault="007E1A2E" w:rsidP="00C954DF">
      <w:pPr>
        <w:pStyle w:val="Heading3"/>
        <w:keepNext/>
      </w:pPr>
      <w:r>
        <w:t>Recognising that</w:t>
      </w:r>
      <w:r w:rsidR="005C5711">
        <w:t>:</w:t>
      </w:r>
    </w:p>
    <w:p w14:paraId="1FF19B62" w14:textId="77777777" w:rsidR="007E1A2E" w:rsidRDefault="007E1A2E" w:rsidP="00C954DF">
      <w:pPr>
        <w:pStyle w:val="Heading4"/>
        <w:keepNext/>
      </w:pPr>
      <w:r>
        <w:t xml:space="preserve">appropriately trained registered pharmacists </w:t>
      </w:r>
      <w:r w:rsidR="005C5711">
        <w:t xml:space="preserve">can </w:t>
      </w:r>
      <w:r>
        <w:t xml:space="preserve">administer </w:t>
      </w:r>
      <w:r w:rsidR="007A6354">
        <w:t xml:space="preserve">certain </w:t>
      </w:r>
      <w:r w:rsidR="005C5711">
        <w:t xml:space="preserve">approved </w:t>
      </w:r>
      <w:r w:rsidR="007A6354">
        <w:t>vaccines</w:t>
      </w:r>
      <w:r w:rsidR="005C5711">
        <w:t>, where such arrangements are approved in their State or Territory;</w:t>
      </w:r>
    </w:p>
    <w:p w14:paraId="12E2CB7B" w14:textId="2DAEFB90" w:rsidR="005C5711" w:rsidRDefault="005C5711" w:rsidP="005C5711">
      <w:pPr>
        <w:pStyle w:val="Heading4"/>
      </w:pPr>
      <w:r>
        <w:t>the scope of these pharmacist administered vaccinations can differ depending on the State or Territory where the pharmacist practices;</w:t>
      </w:r>
      <w:r w:rsidR="006E1693">
        <w:t xml:space="preserve"> and</w:t>
      </w:r>
    </w:p>
    <w:p w14:paraId="6BCE1D72" w14:textId="352FB64D" w:rsidR="0053499F" w:rsidRDefault="005C5711" w:rsidP="00E37313">
      <w:pPr>
        <w:pStyle w:val="Heading4"/>
        <w:keepNext/>
      </w:pPr>
      <w:r>
        <w:t xml:space="preserve">the Australian Government and the Guild </w:t>
      </w:r>
      <w:r w:rsidR="0053499F">
        <w:t>both:</w:t>
      </w:r>
    </w:p>
    <w:p w14:paraId="7D133C2D" w14:textId="532459BF" w:rsidR="0053499F" w:rsidRPr="0053499F" w:rsidRDefault="0053499F" w:rsidP="00E37313">
      <w:pPr>
        <w:pStyle w:val="Heading5"/>
      </w:pPr>
      <w:r>
        <w:t xml:space="preserve">consider </w:t>
      </w:r>
      <w:r w:rsidR="00E85ED4">
        <w:t>it desirable that</w:t>
      </w:r>
      <w:r>
        <w:t xml:space="preserve"> </w:t>
      </w:r>
      <w:r w:rsidRPr="0053499F">
        <w:t xml:space="preserve">a nationally consistent approach </w:t>
      </w:r>
      <w:r w:rsidR="00E85ED4">
        <w:t xml:space="preserve">be adopted </w:t>
      </w:r>
      <w:r w:rsidRPr="0053499F">
        <w:t xml:space="preserve">in relation to appropriately trained registered pharmacists administering vaccines </w:t>
      </w:r>
      <w:r w:rsidR="00E85ED4">
        <w:t>included</w:t>
      </w:r>
      <w:r w:rsidRPr="0053499F">
        <w:t xml:space="preserve"> </w:t>
      </w:r>
      <w:r w:rsidR="003C5D61">
        <w:t>o</w:t>
      </w:r>
      <w:r w:rsidRPr="0053499F">
        <w:t>n the National Immunisation Program Schedule</w:t>
      </w:r>
      <w:r w:rsidR="00AD1085">
        <w:t>, as appropriate</w:t>
      </w:r>
      <w:r w:rsidRPr="0053499F">
        <w:t>;</w:t>
      </w:r>
      <w:r>
        <w:t xml:space="preserve"> and</w:t>
      </w:r>
    </w:p>
    <w:p w14:paraId="21A4EF19" w14:textId="77777777" w:rsidR="005C5711" w:rsidRDefault="005C5711" w:rsidP="00777134">
      <w:pPr>
        <w:pStyle w:val="Heading5"/>
        <w:keepNext/>
        <w:keepLines/>
      </w:pPr>
      <w:r>
        <w:t>believe that there may be</w:t>
      </w:r>
      <w:r w:rsidR="000E4453">
        <w:t xml:space="preserve"> improved health outcomes for Australians if the arrangements for pharmacists administering vaccines are </w:t>
      </w:r>
      <w:r w:rsidR="00C245A8">
        <w:t>harmonised</w:t>
      </w:r>
      <w:r w:rsidR="000E4453">
        <w:t xml:space="preserve"> across Australia,</w:t>
      </w:r>
    </w:p>
    <w:p w14:paraId="4F755B83" w14:textId="791970E9" w:rsidR="000E4453" w:rsidRDefault="000E4453" w:rsidP="00777134">
      <w:pPr>
        <w:pStyle w:val="Heading4"/>
        <w:keepNext/>
        <w:keepLines/>
        <w:numPr>
          <w:ilvl w:val="0"/>
          <w:numId w:val="0"/>
        </w:numPr>
        <w:ind w:left="1701"/>
      </w:pPr>
      <w:r>
        <w:t xml:space="preserve">the Australian Government </w:t>
      </w:r>
      <w:r w:rsidR="00A60428">
        <w:t xml:space="preserve">intends to </w:t>
      </w:r>
      <w:r w:rsidR="00C245A8">
        <w:t>support</w:t>
      </w:r>
      <w:r w:rsidR="00E8786A">
        <w:t>,</w:t>
      </w:r>
      <w:r w:rsidR="00C245A8">
        <w:t xml:space="preserve"> </w:t>
      </w:r>
      <w:r w:rsidR="00E8786A">
        <w:t>via the Council of Australian Governments Health Council</w:t>
      </w:r>
      <w:r w:rsidR="00F7201A">
        <w:t xml:space="preserve"> (</w:t>
      </w:r>
      <w:r w:rsidR="00F71401">
        <w:t>or equivalent body</w:t>
      </w:r>
      <w:r w:rsidR="00A73E0A" w:rsidRPr="00A73E0A">
        <w:t xml:space="preserve"> between </w:t>
      </w:r>
      <w:r w:rsidR="006A0493">
        <w:t xml:space="preserve">Commonwealth, </w:t>
      </w:r>
      <w:r w:rsidR="00A73E0A" w:rsidRPr="00A73E0A">
        <w:t>State</w:t>
      </w:r>
      <w:r w:rsidR="006A0493">
        <w:t xml:space="preserve"> and</w:t>
      </w:r>
      <w:r w:rsidR="00A73E0A" w:rsidRPr="00A73E0A">
        <w:t xml:space="preserve"> Territory </w:t>
      </w:r>
      <w:r w:rsidR="006A0493">
        <w:t>Health Ministers</w:t>
      </w:r>
      <w:r w:rsidR="00F7201A">
        <w:t>)</w:t>
      </w:r>
      <w:r w:rsidR="00E8786A">
        <w:t xml:space="preserve">, </w:t>
      </w:r>
      <w:r w:rsidR="00C245A8">
        <w:t xml:space="preserve">the adoption of a nationally consistent approach in respect of the vaccines that may be administered by </w:t>
      </w:r>
      <w:r>
        <w:t>appropriately trained registered pharmacists</w:t>
      </w:r>
      <w:r w:rsidR="006F2ECF">
        <w:t>.</w:t>
      </w:r>
      <w:r w:rsidR="00C245A8">
        <w:t xml:space="preserve"> </w:t>
      </w:r>
    </w:p>
    <w:p w14:paraId="7F5C7AEC" w14:textId="04D20A65" w:rsidR="00E37313" w:rsidRDefault="00E37313" w:rsidP="000E4453">
      <w:pPr>
        <w:pStyle w:val="Heading3"/>
      </w:pPr>
      <w:r>
        <w:t>The Australian Government</w:t>
      </w:r>
      <w:r w:rsidR="00350B3C">
        <w:t xml:space="preserve"> and the Guild support the </w:t>
      </w:r>
      <w:r w:rsidR="00350B3C" w:rsidRPr="00350B3C">
        <w:t xml:space="preserve">development of </w:t>
      </w:r>
      <w:r w:rsidR="00213449">
        <w:rPr>
          <w:rFonts w:eastAsia="Calibri"/>
          <w:lang w:eastAsia="zh-CN"/>
        </w:rPr>
        <w:t>The 10 Year Primary Health Care Plan</w:t>
      </w:r>
      <w:r w:rsidR="00350B3C" w:rsidRPr="00350B3C">
        <w:t>.</w:t>
      </w:r>
    </w:p>
    <w:p w14:paraId="64448ABA" w14:textId="02B4EF7B" w:rsidR="000E4453" w:rsidRPr="000E4453" w:rsidRDefault="00350B3C" w:rsidP="000E4453">
      <w:pPr>
        <w:pStyle w:val="Heading3"/>
      </w:pPr>
      <w:r>
        <w:t>T</w:t>
      </w:r>
      <w:r w:rsidR="000E4453" w:rsidRPr="000E4453">
        <w:t xml:space="preserve">he Department will provide </w:t>
      </w:r>
      <w:r>
        <w:t xml:space="preserve">twice yearly </w:t>
      </w:r>
      <w:r w:rsidR="000E4453" w:rsidRPr="000E4453">
        <w:t>updates to the Guild on the progress of the arrangements described in this clause</w:t>
      </w:r>
      <w:r w:rsidR="0012656C">
        <w:t xml:space="preserve"> </w:t>
      </w:r>
      <w:r w:rsidR="0012656C">
        <w:fldChar w:fldCharType="begin"/>
      </w:r>
      <w:r w:rsidR="0012656C">
        <w:instrText xml:space="preserve"> REF _Ref42781861 \r \h </w:instrText>
      </w:r>
      <w:r w:rsidR="0012656C">
        <w:fldChar w:fldCharType="separate"/>
      </w:r>
      <w:r w:rsidR="0012656C">
        <w:t>12.2</w:t>
      </w:r>
      <w:r w:rsidR="0012656C">
        <w:fldChar w:fldCharType="end"/>
      </w:r>
      <w:r w:rsidR="000E4453" w:rsidRPr="000E4453">
        <w:t>.</w:t>
      </w:r>
    </w:p>
    <w:p w14:paraId="1CA489ED" w14:textId="227BBB7B" w:rsidR="00540E0D" w:rsidRPr="00EC4752" w:rsidRDefault="00540E0D" w:rsidP="00EC4752">
      <w:pPr>
        <w:pStyle w:val="Heading2"/>
      </w:pPr>
      <w:bookmarkStart w:id="362" w:name="_Toc41335185"/>
      <w:bookmarkStart w:id="363" w:name="_Toc41335354"/>
      <w:bookmarkStart w:id="364" w:name="_Toc41340181"/>
      <w:bookmarkStart w:id="365" w:name="_Toc41346041"/>
      <w:bookmarkStart w:id="366" w:name="_Toc41335186"/>
      <w:bookmarkStart w:id="367" w:name="_Toc41335355"/>
      <w:bookmarkStart w:id="368" w:name="_Toc41340182"/>
      <w:bookmarkStart w:id="369" w:name="_Toc41346042"/>
      <w:bookmarkStart w:id="370" w:name="_Toc41335187"/>
      <w:bookmarkStart w:id="371" w:name="_Toc41335356"/>
      <w:bookmarkStart w:id="372" w:name="_Toc41340183"/>
      <w:bookmarkStart w:id="373" w:name="_Toc41346043"/>
      <w:bookmarkStart w:id="374" w:name="_Toc41335188"/>
      <w:bookmarkStart w:id="375" w:name="_Toc41335357"/>
      <w:bookmarkStart w:id="376" w:name="_Toc41340184"/>
      <w:bookmarkStart w:id="377" w:name="_Toc41346044"/>
      <w:bookmarkStart w:id="378" w:name="_Toc41335189"/>
      <w:bookmarkStart w:id="379" w:name="_Toc41335358"/>
      <w:bookmarkStart w:id="380" w:name="_Toc41340185"/>
      <w:bookmarkStart w:id="381" w:name="_Toc41346045"/>
      <w:bookmarkStart w:id="382" w:name="_Toc41335193"/>
      <w:bookmarkStart w:id="383" w:name="_Toc41335362"/>
      <w:bookmarkStart w:id="384" w:name="_Toc41340189"/>
      <w:bookmarkStart w:id="385" w:name="_Toc41346049"/>
      <w:bookmarkStart w:id="386" w:name="_Toc37143317"/>
      <w:bookmarkStart w:id="387" w:name="_Toc42783630"/>
      <w:bookmarkStart w:id="388" w:name="_Ref31810725"/>
      <w:bookmarkStart w:id="389" w:name="_Ref31810737"/>
      <w:bookmarkStart w:id="390" w:name="_Ref31810739"/>
      <w:bookmarkStart w:id="391" w:name="_Ref31810763"/>
      <w:bookmarkStart w:id="392" w:name="_Ref31811041"/>
      <w:bookmarkStart w:id="393" w:name="_Ref31811063"/>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EC4752">
        <w:t>Location Rules</w:t>
      </w:r>
      <w:bookmarkEnd w:id="386"/>
      <w:r w:rsidR="00EC4752" w:rsidRPr="00EC4752">
        <w:t xml:space="preserve"> arrangements</w:t>
      </w:r>
      <w:bookmarkEnd w:id="387"/>
    </w:p>
    <w:p w14:paraId="27ED9209" w14:textId="233D2DB1" w:rsidR="00661BF2" w:rsidRPr="00905DCE" w:rsidRDefault="00291A97" w:rsidP="00905DCE">
      <w:pPr>
        <w:pStyle w:val="Heading3"/>
        <w:rPr>
          <w:rFonts w:eastAsia="Calibri"/>
        </w:rPr>
      </w:pPr>
      <w:bookmarkStart w:id="394" w:name="_Hlk40271471"/>
      <w:r w:rsidRPr="00815630">
        <w:t>The</w:t>
      </w:r>
      <w:r w:rsidR="00540E0D" w:rsidRPr="00815630">
        <w:t xml:space="preserve"> </w:t>
      </w:r>
      <w:r w:rsidRPr="00815630">
        <w:t xml:space="preserve">Australian Government has legislated to ensure the </w:t>
      </w:r>
      <w:r w:rsidR="00540E0D" w:rsidRPr="00815630">
        <w:t>continuation of the Location Rules</w:t>
      </w:r>
      <w:r w:rsidR="007E1D0A" w:rsidRPr="00815630">
        <w:t xml:space="preserve"> and has no plan to change the Location Rules during the Term</w:t>
      </w:r>
      <w:r w:rsidR="00540E0D" w:rsidRPr="00815630">
        <w:t>.</w:t>
      </w:r>
      <w:bookmarkStart w:id="395" w:name="_Ref41326961"/>
      <w:bookmarkEnd w:id="388"/>
      <w:bookmarkEnd w:id="389"/>
      <w:bookmarkEnd w:id="390"/>
      <w:bookmarkEnd w:id="391"/>
      <w:bookmarkEnd w:id="392"/>
      <w:bookmarkEnd w:id="393"/>
      <w:bookmarkEnd w:id="394"/>
    </w:p>
    <w:p w14:paraId="758B0D8D" w14:textId="5FCD8571" w:rsidR="00905DCE" w:rsidRDefault="0096763A" w:rsidP="00905DCE">
      <w:pPr>
        <w:pStyle w:val="Heading3"/>
        <w:rPr>
          <w:rFonts w:eastAsia="Calibri"/>
        </w:rPr>
      </w:pPr>
      <w:r w:rsidRPr="0096763A">
        <w:rPr>
          <w:rFonts w:eastAsia="Calibri"/>
        </w:rPr>
        <w:t>The Commonwealth will consult with the Guild</w:t>
      </w:r>
      <w:r w:rsidR="00F7201A">
        <w:rPr>
          <w:rFonts w:eastAsia="Calibri"/>
        </w:rPr>
        <w:t>,</w:t>
      </w:r>
      <w:r w:rsidRPr="0096763A">
        <w:rPr>
          <w:rFonts w:eastAsia="Calibri"/>
        </w:rPr>
        <w:t xml:space="preserve"> </w:t>
      </w:r>
      <w:r w:rsidR="00F71401">
        <w:rPr>
          <w:rFonts w:eastAsia="Calibri"/>
        </w:rPr>
        <w:t xml:space="preserve">and will provide reasonable time </w:t>
      </w:r>
      <w:r w:rsidR="00F7201A">
        <w:rPr>
          <w:rFonts w:eastAsia="Calibri"/>
        </w:rPr>
        <w:t>for</w:t>
      </w:r>
      <w:r w:rsidR="00F71401">
        <w:rPr>
          <w:rFonts w:eastAsia="Calibri"/>
        </w:rPr>
        <w:t xml:space="preserve"> the Guild to comment on any proposal</w:t>
      </w:r>
      <w:r w:rsidR="00F7201A">
        <w:rPr>
          <w:rFonts w:eastAsia="Calibri"/>
        </w:rPr>
        <w:t xml:space="preserve">, </w:t>
      </w:r>
      <w:r w:rsidR="00F71401">
        <w:rPr>
          <w:rFonts w:eastAsia="Calibri"/>
        </w:rPr>
        <w:t xml:space="preserve">prior to </w:t>
      </w:r>
      <w:r w:rsidR="00F7201A">
        <w:rPr>
          <w:rFonts w:eastAsia="Calibri"/>
        </w:rPr>
        <w:t xml:space="preserve">any change being made to </w:t>
      </w:r>
      <w:r>
        <w:rPr>
          <w:rFonts w:eastAsia="Calibri"/>
        </w:rPr>
        <w:t xml:space="preserve">the Location Rules </w:t>
      </w:r>
      <w:r w:rsidRPr="0096763A">
        <w:rPr>
          <w:rFonts w:eastAsia="Calibri"/>
        </w:rPr>
        <w:t>during the Term</w:t>
      </w:r>
      <w:r w:rsidR="00856A4E">
        <w:rPr>
          <w:rFonts w:eastAsia="Calibri"/>
        </w:rPr>
        <w:t>.</w:t>
      </w:r>
    </w:p>
    <w:p w14:paraId="178620B6" w14:textId="77777777" w:rsidR="007B5E83" w:rsidRPr="007B5E83" w:rsidRDefault="007B5E83" w:rsidP="007B5E83">
      <w:pPr>
        <w:pStyle w:val="Heading2"/>
        <w:rPr>
          <w:rFonts w:eastAsia="Calibri"/>
        </w:rPr>
      </w:pPr>
      <w:bookmarkStart w:id="396" w:name="_Toc42783631"/>
      <w:r w:rsidRPr="007B5E83">
        <w:rPr>
          <w:rFonts w:eastAsia="Calibri"/>
        </w:rPr>
        <w:t>Doctor of Pharmacy</w:t>
      </w:r>
      <w:bookmarkEnd w:id="396"/>
    </w:p>
    <w:p w14:paraId="6CA9C8AC" w14:textId="5770A00F" w:rsidR="007B5E83" w:rsidRDefault="007B5E83" w:rsidP="007B5E83">
      <w:pPr>
        <w:pStyle w:val="BodyIndent1"/>
        <w:rPr>
          <w:rFonts w:eastAsia="Calibri"/>
        </w:rPr>
      </w:pPr>
      <w:r w:rsidRPr="007B5E83">
        <w:rPr>
          <w:rFonts w:eastAsia="Calibri"/>
        </w:rPr>
        <w:t>The Signatories agree to take all reasonable steps available to them to enable the holder of an Australian Qualifications Framework Level 9 Masters Degree (extended) in pharmacy to be treated by exemption as a level 10 qualification similar to the treatment of other health professions covered under the National Registration and Accreditation Scheme</w:t>
      </w:r>
      <w:r>
        <w:rPr>
          <w:rFonts w:eastAsia="Calibri"/>
        </w:rPr>
        <w:t>.</w:t>
      </w:r>
    </w:p>
    <w:p w14:paraId="1A3B3772" w14:textId="7CECEA83" w:rsidR="00D00994" w:rsidRDefault="00D00994" w:rsidP="00594EDE">
      <w:pPr>
        <w:pStyle w:val="Heading1"/>
        <w:rPr>
          <w:rFonts w:eastAsia="Calibri"/>
          <w:lang w:eastAsia="zh-CN"/>
        </w:rPr>
      </w:pPr>
      <w:bookmarkStart w:id="397" w:name="_Ref41341845"/>
      <w:bookmarkStart w:id="398" w:name="_Ref41345012"/>
      <w:bookmarkStart w:id="399" w:name="_Toc42783632"/>
      <w:r w:rsidRPr="00CE599F">
        <w:rPr>
          <w:rFonts w:eastAsia="Calibri"/>
          <w:lang w:eastAsia="zh-CN"/>
        </w:rPr>
        <w:t>Indexation</w:t>
      </w:r>
      <w:bookmarkEnd w:id="395"/>
      <w:bookmarkEnd w:id="397"/>
      <w:bookmarkEnd w:id="398"/>
      <w:bookmarkEnd w:id="399"/>
    </w:p>
    <w:p w14:paraId="33662932" w14:textId="77777777" w:rsidR="00ED007A" w:rsidRDefault="00D00994" w:rsidP="00594EDE">
      <w:pPr>
        <w:pStyle w:val="Headingpara2"/>
        <w:keepNext/>
      </w:pPr>
      <w:r w:rsidRPr="009D3B53">
        <w:t xml:space="preserve">Where this Agreement specifies that an amount is to be Indexed under this Agreement, the amount will be varied on the </w:t>
      </w:r>
      <w:r>
        <w:t xml:space="preserve">relevant </w:t>
      </w:r>
      <w:r w:rsidRPr="009D3B53">
        <w:t>Indexation Date by</w:t>
      </w:r>
      <w:r w:rsidR="00ED007A">
        <w:t>:</w:t>
      </w:r>
    </w:p>
    <w:p w14:paraId="64649EFB" w14:textId="31584AA7" w:rsidR="00ED007A" w:rsidRDefault="00ED007A" w:rsidP="00770D75">
      <w:pPr>
        <w:pStyle w:val="Heading3"/>
        <w:keepNext/>
        <w:keepLines/>
      </w:pPr>
      <w:r>
        <w:t>on the Indexation Dates on 1 July 2021</w:t>
      </w:r>
      <w:r w:rsidR="002C1A3A" w:rsidRPr="002C1A3A">
        <w:t xml:space="preserve"> </w:t>
      </w:r>
      <w:r w:rsidR="002C1A3A">
        <w:t>and</w:t>
      </w:r>
      <w:r>
        <w:t xml:space="preserve"> 1 July 2022, applying the following formula:</w:t>
      </w:r>
    </w:p>
    <w:p w14:paraId="4D9008D3" w14:textId="2DD52ADF" w:rsidR="00ED007A" w:rsidRDefault="00ED007A" w:rsidP="00770D75">
      <w:pPr>
        <w:pStyle w:val="BodyIndent2"/>
        <w:keepNext/>
        <w:keepLines/>
        <w:ind w:left="1702"/>
      </w:pPr>
    </w:p>
    <w:tbl>
      <w:tblPr>
        <w:tblW w:w="4705" w:type="dxa"/>
        <w:tblInd w:w="2660" w:type="dxa"/>
        <w:tblLook w:val="0000" w:firstRow="0" w:lastRow="0" w:firstColumn="0" w:lastColumn="0" w:noHBand="0" w:noVBand="0"/>
      </w:tblPr>
      <w:tblGrid>
        <w:gridCol w:w="4705"/>
      </w:tblGrid>
      <w:tr w:rsidR="00ED007A" w:rsidRPr="009D3B53" w14:paraId="4C50592C" w14:textId="77777777" w:rsidTr="00E23762">
        <w:trPr>
          <w:trHeight w:val="460"/>
        </w:trPr>
        <w:tc>
          <w:tcPr>
            <w:tcW w:w="4705" w:type="dxa"/>
            <w:vAlign w:val="center"/>
          </w:tcPr>
          <w:p w14:paraId="7B000F1A" w14:textId="48610A4F" w:rsidR="00ED007A" w:rsidRPr="00ED007A" w:rsidRDefault="00ED007A" w:rsidP="00770D75">
            <w:pPr>
              <w:pStyle w:val="BodyIndent2"/>
              <w:keepNext/>
              <w:keepLines/>
              <w:spacing w:before="0"/>
              <w:ind w:left="0"/>
              <w:rPr>
                <w:b/>
              </w:rPr>
            </w:pPr>
            <w:r w:rsidRPr="009D3B53">
              <w:rPr>
                <w:b/>
              </w:rPr>
              <w:t xml:space="preserve">New Amount  =  Last Amount  x </w:t>
            </w:r>
            <w:r>
              <w:rPr>
                <w:b/>
              </w:rPr>
              <w:t xml:space="preserve"> </w:t>
            </w:r>
            <w:r w:rsidR="00533EA3">
              <w:rPr>
                <w:b/>
              </w:rPr>
              <w:t>1</w:t>
            </w:r>
            <w:r>
              <w:rPr>
                <w:b/>
              </w:rPr>
              <w:t>.0</w:t>
            </w:r>
            <w:r w:rsidR="00533EA3">
              <w:rPr>
                <w:b/>
              </w:rPr>
              <w:t>0</w:t>
            </w:r>
            <w:r>
              <w:rPr>
                <w:b/>
              </w:rPr>
              <w:t>5</w:t>
            </w:r>
          </w:p>
        </w:tc>
      </w:tr>
    </w:tbl>
    <w:p w14:paraId="183608FC" w14:textId="3F43B551" w:rsidR="00ED007A" w:rsidRDefault="00ED007A" w:rsidP="00770D75">
      <w:pPr>
        <w:pStyle w:val="BodyIndent2"/>
        <w:keepNext/>
        <w:keepLines/>
      </w:pPr>
      <w:r>
        <w:t>or</w:t>
      </w:r>
    </w:p>
    <w:p w14:paraId="515FCAEC" w14:textId="2271EE44" w:rsidR="00D00994" w:rsidRPr="009D3B53" w:rsidRDefault="002C1A3A" w:rsidP="00ED007A">
      <w:pPr>
        <w:pStyle w:val="Heading3"/>
        <w:spacing w:before="360"/>
        <w:ind w:left="1702" w:hanging="851"/>
      </w:pPr>
      <w:r>
        <w:t>on the Indexation Dates on 1 July 2023</w:t>
      </w:r>
      <w:r w:rsidRPr="002C1A3A">
        <w:t xml:space="preserve"> </w:t>
      </w:r>
      <w:r>
        <w:t>and 1 July 2024</w:t>
      </w:r>
      <w:r w:rsidR="00ED007A">
        <w:t xml:space="preserve">, </w:t>
      </w:r>
      <w:r w:rsidR="00D00994" w:rsidRPr="009D3B53">
        <w:t>applying the following formula:</w:t>
      </w:r>
    </w:p>
    <w:p w14:paraId="62F8941A" w14:textId="77777777" w:rsidR="00D00994" w:rsidRPr="009D3B53" w:rsidRDefault="00D00994" w:rsidP="00594EDE">
      <w:pPr>
        <w:pStyle w:val="BodyIndent2"/>
        <w:keepNext/>
        <w:ind w:left="1702"/>
      </w:pPr>
    </w:p>
    <w:tbl>
      <w:tblPr>
        <w:tblW w:w="4705" w:type="dxa"/>
        <w:tblInd w:w="2660" w:type="dxa"/>
        <w:tblLook w:val="0000" w:firstRow="0" w:lastRow="0" w:firstColumn="0" w:lastColumn="0" w:noHBand="0" w:noVBand="0"/>
      </w:tblPr>
      <w:tblGrid>
        <w:gridCol w:w="3260"/>
        <w:gridCol w:w="277"/>
        <w:gridCol w:w="851"/>
        <w:gridCol w:w="317"/>
      </w:tblGrid>
      <w:tr w:rsidR="00D00994" w:rsidRPr="009D3B53" w14:paraId="1E0B01ED" w14:textId="77777777" w:rsidTr="00D00994">
        <w:tc>
          <w:tcPr>
            <w:tcW w:w="3260" w:type="dxa"/>
            <w:vMerge w:val="restart"/>
            <w:vAlign w:val="center"/>
          </w:tcPr>
          <w:p w14:paraId="75569783" w14:textId="77777777" w:rsidR="00D00994" w:rsidRPr="009D3B53" w:rsidRDefault="00D00994" w:rsidP="00594EDE">
            <w:pPr>
              <w:pStyle w:val="BodyIndent2"/>
              <w:keepNext/>
              <w:spacing w:before="0"/>
              <w:ind w:left="0"/>
              <w:jc w:val="right"/>
              <w:rPr>
                <w:b/>
              </w:rPr>
            </w:pPr>
            <w:bookmarkStart w:id="400" w:name="_Hlk41572683"/>
            <w:r w:rsidRPr="009D3B53">
              <w:rPr>
                <w:b/>
              </w:rPr>
              <w:t xml:space="preserve">New Amount  =  Last Amount  x </w:t>
            </w:r>
          </w:p>
        </w:tc>
        <w:tc>
          <w:tcPr>
            <w:tcW w:w="277" w:type="dxa"/>
            <w:vMerge w:val="restart"/>
            <w:vAlign w:val="center"/>
          </w:tcPr>
          <w:p w14:paraId="15FF7647" w14:textId="77777777" w:rsidR="00D00994" w:rsidRPr="009D3B53" w:rsidRDefault="00D00994" w:rsidP="00594EDE">
            <w:pPr>
              <w:pStyle w:val="BodyIndent2"/>
              <w:keepNext/>
              <w:spacing w:before="0"/>
              <w:ind w:left="-41"/>
              <w:rPr>
                <w:b/>
                <w:sz w:val="28"/>
                <w:szCs w:val="28"/>
              </w:rPr>
            </w:pPr>
            <w:r w:rsidRPr="009D3B53">
              <w:rPr>
                <w:b/>
                <w:sz w:val="28"/>
                <w:szCs w:val="28"/>
              </w:rPr>
              <w:t>(</w:t>
            </w:r>
          </w:p>
        </w:tc>
        <w:tc>
          <w:tcPr>
            <w:tcW w:w="851" w:type="dxa"/>
            <w:tcBorders>
              <w:bottom w:val="single" w:sz="4" w:space="0" w:color="auto"/>
            </w:tcBorders>
            <w:vAlign w:val="center"/>
          </w:tcPr>
          <w:p w14:paraId="046934AC" w14:textId="77777777" w:rsidR="00D00994" w:rsidRPr="009D3B53" w:rsidRDefault="00D00994" w:rsidP="00594EDE">
            <w:pPr>
              <w:pStyle w:val="BodyIndent2"/>
              <w:keepNext/>
              <w:spacing w:before="0"/>
              <w:ind w:left="0"/>
              <w:jc w:val="center"/>
              <w:rPr>
                <w:b/>
              </w:rPr>
            </w:pPr>
            <w:r w:rsidRPr="009D3B53">
              <w:rPr>
                <w:b/>
              </w:rPr>
              <w:t>MRIN</w:t>
            </w:r>
          </w:p>
        </w:tc>
        <w:tc>
          <w:tcPr>
            <w:tcW w:w="317" w:type="dxa"/>
            <w:vMerge w:val="restart"/>
            <w:vAlign w:val="center"/>
          </w:tcPr>
          <w:p w14:paraId="53166AC6" w14:textId="77777777" w:rsidR="00D00994" w:rsidRPr="009D3B53" w:rsidRDefault="00D00994" w:rsidP="00594EDE">
            <w:pPr>
              <w:pStyle w:val="BodyIndent2"/>
              <w:keepNext/>
              <w:spacing w:before="0"/>
              <w:ind w:left="0"/>
              <w:rPr>
                <w:b/>
                <w:sz w:val="28"/>
                <w:szCs w:val="28"/>
              </w:rPr>
            </w:pPr>
            <w:r w:rsidRPr="009D3B53">
              <w:rPr>
                <w:b/>
                <w:sz w:val="28"/>
                <w:szCs w:val="28"/>
              </w:rPr>
              <w:t>)</w:t>
            </w:r>
          </w:p>
        </w:tc>
      </w:tr>
      <w:tr w:rsidR="00D00994" w:rsidRPr="009D3B53" w14:paraId="05046FAF" w14:textId="77777777" w:rsidTr="00D00994">
        <w:tc>
          <w:tcPr>
            <w:tcW w:w="3260" w:type="dxa"/>
            <w:vMerge/>
          </w:tcPr>
          <w:p w14:paraId="2755AC54" w14:textId="77777777" w:rsidR="00D00994" w:rsidRPr="009D3B53" w:rsidRDefault="00D00994" w:rsidP="00D00994">
            <w:pPr>
              <w:pStyle w:val="BodyIndent2"/>
              <w:ind w:left="0"/>
              <w:rPr>
                <w:b/>
              </w:rPr>
            </w:pPr>
          </w:p>
        </w:tc>
        <w:tc>
          <w:tcPr>
            <w:tcW w:w="277" w:type="dxa"/>
            <w:vMerge/>
          </w:tcPr>
          <w:p w14:paraId="1CC0D415" w14:textId="77777777" w:rsidR="00D00994" w:rsidRPr="009D3B53" w:rsidRDefault="00D00994" w:rsidP="00D00994">
            <w:pPr>
              <w:pStyle w:val="BodyIndent2"/>
              <w:spacing w:before="0"/>
              <w:ind w:left="0"/>
              <w:rPr>
                <w:b/>
              </w:rPr>
            </w:pPr>
          </w:p>
        </w:tc>
        <w:tc>
          <w:tcPr>
            <w:tcW w:w="851" w:type="dxa"/>
            <w:tcBorders>
              <w:top w:val="single" w:sz="4" w:space="0" w:color="auto"/>
            </w:tcBorders>
            <w:vAlign w:val="center"/>
          </w:tcPr>
          <w:p w14:paraId="2C94DAA2" w14:textId="77777777" w:rsidR="00D00994" w:rsidRPr="009D3B53" w:rsidRDefault="00D00994" w:rsidP="00D00994">
            <w:pPr>
              <w:pStyle w:val="BodyIndent2"/>
              <w:spacing w:before="0"/>
              <w:ind w:left="0"/>
              <w:jc w:val="center"/>
              <w:rPr>
                <w:b/>
              </w:rPr>
            </w:pPr>
            <w:r w:rsidRPr="009D3B53">
              <w:rPr>
                <w:b/>
              </w:rPr>
              <w:t>LIN</w:t>
            </w:r>
          </w:p>
        </w:tc>
        <w:tc>
          <w:tcPr>
            <w:tcW w:w="317" w:type="dxa"/>
            <w:vMerge/>
          </w:tcPr>
          <w:p w14:paraId="65944ABF" w14:textId="77777777" w:rsidR="00D00994" w:rsidRPr="009D3B53" w:rsidRDefault="00D00994" w:rsidP="00D00994">
            <w:pPr>
              <w:pStyle w:val="BodyIndent2"/>
              <w:spacing w:before="0"/>
              <w:ind w:left="0"/>
              <w:rPr>
                <w:b/>
              </w:rPr>
            </w:pPr>
          </w:p>
        </w:tc>
      </w:tr>
    </w:tbl>
    <w:bookmarkEnd w:id="400"/>
    <w:p w14:paraId="163D4E70" w14:textId="00099106" w:rsidR="00D00994" w:rsidRPr="009D3B53" w:rsidRDefault="00D00994" w:rsidP="00162717">
      <w:pPr>
        <w:pStyle w:val="Headingpara2"/>
        <w:keepNext/>
      </w:pPr>
      <w:r w:rsidRPr="009D3B53">
        <w:t>In this clause</w:t>
      </w:r>
      <w:r w:rsidR="00D57127">
        <w:t xml:space="preserve"> </w:t>
      </w:r>
      <w:r w:rsidR="00D57127">
        <w:fldChar w:fldCharType="begin"/>
      </w:r>
      <w:r w:rsidR="00D57127">
        <w:instrText xml:space="preserve"> REF _Ref41345012 \w \h </w:instrText>
      </w:r>
      <w:r w:rsidR="00D57127">
        <w:fldChar w:fldCharType="separate"/>
      </w:r>
      <w:r w:rsidR="00982D02">
        <w:t>13</w:t>
      </w:r>
      <w:r w:rsidR="00D57127">
        <w:fldChar w:fldCharType="end"/>
      </w:r>
      <w:r w:rsidRPr="009D3B53">
        <w:t>:</w:t>
      </w:r>
    </w:p>
    <w:p w14:paraId="48F6EB90" w14:textId="77777777" w:rsidR="00D00994" w:rsidRPr="009D3B53" w:rsidRDefault="00D00994" w:rsidP="00D00994">
      <w:pPr>
        <w:pStyle w:val="BodyIndent1"/>
      </w:pPr>
      <w:r w:rsidRPr="009D3B53">
        <w:rPr>
          <w:b/>
        </w:rPr>
        <w:t>index number</w:t>
      </w:r>
      <w:r w:rsidRPr="009D3B53">
        <w:t xml:space="preserve">, in relation to a quarter, means the All Groups Consumer Price Index number that is the weighted average of the </w:t>
      </w:r>
      <w:r>
        <w:t>eight</w:t>
      </w:r>
      <w:r w:rsidRPr="009D3B53">
        <w:t xml:space="preserve"> capital cities and is published by the Australian Statistician in respect of that quarter. </w:t>
      </w:r>
    </w:p>
    <w:p w14:paraId="43B7DB17" w14:textId="77777777" w:rsidR="00D00994" w:rsidRPr="009D3B53" w:rsidRDefault="00D00994" w:rsidP="00D00994">
      <w:pPr>
        <w:pStyle w:val="BodyIndent1"/>
      </w:pPr>
      <w:r w:rsidRPr="009D3B53">
        <w:rPr>
          <w:b/>
        </w:rPr>
        <w:t>Last Amount</w:t>
      </w:r>
      <w:r w:rsidRPr="009D3B53">
        <w:t xml:space="preserve"> means the amount immediately before the </w:t>
      </w:r>
      <w:r>
        <w:t xml:space="preserve">relevant </w:t>
      </w:r>
      <w:r w:rsidRPr="009D3B53">
        <w:t>Indexation Date.</w:t>
      </w:r>
    </w:p>
    <w:p w14:paraId="7F5CCAC8" w14:textId="77777777" w:rsidR="00D00994" w:rsidRPr="009D3B53" w:rsidRDefault="00D00994" w:rsidP="00D00994">
      <w:pPr>
        <w:pStyle w:val="BodyIndent1"/>
      </w:pPr>
      <w:r w:rsidRPr="009D3B53">
        <w:rPr>
          <w:b/>
        </w:rPr>
        <w:t xml:space="preserve">LIN </w:t>
      </w:r>
      <w:r w:rsidRPr="009D3B53">
        <w:t>means the quarterly index number, as published for the same quarter as the MRIN in the year immediately preceding the year of the MRIN.</w:t>
      </w:r>
    </w:p>
    <w:p w14:paraId="25DC5B29" w14:textId="77777777" w:rsidR="00D00994" w:rsidRPr="009D3B53" w:rsidRDefault="00D00994" w:rsidP="00D00994">
      <w:pPr>
        <w:pStyle w:val="BodyIndent1"/>
      </w:pPr>
      <w:r w:rsidRPr="009D3B53">
        <w:rPr>
          <w:b/>
        </w:rPr>
        <w:t>MRIN</w:t>
      </w:r>
      <w:r w:rsidRPr="009D3B53">
        <w:t xml:space="preserve"> means the most recently published quarterly index number as at the </w:t>
      </w:r>
      <w:r>
        <w:t xml:space="preserve">relevant </w:t>
      </w:r>
      <w:r w:rsidRPr="009D3B53">
        <w:t>Indexation Date.</w:t>
      </w:r>
    </w:p>
    <w:p w14:paraId="626E1CD8" w14:textId="5BD33F7C" w:rsidR="00D00994" w:rsidRPr="003423D6" w:rsidRDefault="00D00994" w:rsidP="005C081D">
      <w:pPr>
        <w:pStyle w:val="BodyIndent1"/>
      </w:pPr>
      <w:r w:rsidRPr="009D3B53">
        <w:rPr>
          <w:b/>
        </w:rPr>
        <w:t>New Amount</w:t>
      </w:r>
      <w:r w:rsidRPr="009D3B53">
        <w:t xml:space="preserve"> means the amount, rounded to the nearest cent, on and from the </w:t>
      </w:r>
      <w:r>
        <w:t xml:space="preserve">relevant </w:t>
      </w:r>
      <w:r w:rsidRPr="009D3B53">
        <w:t>Indexation Date.</w:t>
      </w:r>
    </w:p>
    <w:p w14:paraId="7F3EF1FA" w14:textId="7F838582" w:rsidR="000665DD" w:rsidRPr="000665DD" w:rsidRDefault="0016135C" w:rsidP="000D6BB8">
      <w:r>
        <w:br w:type="page"/>
      </w:r>
    </w:p>
    <w:p w14:paraId="558A79E0" w14:textId="31EB2BFB" w:rsidR="005A5FD0" w:rsidRPr="005A5FD0" w:rsidRDefault="005A5FD0" w:rsidP="005A5FD0">
      <w:pPr>
        <w:pStyle w:val="legalPart"/>
      </w:pPr>
      <w:bookmarkStart w:id="401" w:name="_Toc419754418"/>
      <w:bookmarkStart w:id="402" w:name="_Toc420157575"/>
      <w:bookmarkStart w:id="403" w:name="_Toc420160281"/>
      <w:bookmarkStart w:id="404" w:name="_Toc419972412"/>
      <w:bookmarkStart w:id="405" w:name="_Toc419972413"/>
      <w:bookmarkStart w:id="406" w:name="_Toc419972414"/>
      <w:bookmarkStart w:id="407" w:name="_Toc419972415"/>
      <w:bookmarkStart w:id="408" w:name="_Toc419972416"/>
      <w:bookmarkStart w:id="409" w:name="_Toc419754421"/>
      <w:bookmarkStart w:id="410" w:name="_Toc419754422"/>
      <w:bookmarkStart w:id="411" w:name="_Toc419754423"/>
      <w:bookmarkStart w:id="412" w:name="_Toc419754424"/>
      <w:bookmarkStart w:id="413" w:name="_Toc419754425"/>
      <w:bookmarkStart w:id="414" w:name="_Toc29314608"/>
      <w:bookmarkStart w:id="415" w:name="_Toc29314731"/>
      <w:bookmarkStart w:id="416" w:name="_Toc29315775"/>
      <w:bookmarkStart w:id="417" w:name="_Toc29315896"/>
      <w:bookmarkStart w:id="418" w:name="_Toc40020097"/>
      <w:bookmarkStart w:id="419" w:name="_Toc40020279"/>
      <w:bookmarkStart w:id="420" w:name="_Toc40020099"/>
      <w:bookmarkStart w:id="421" w:name="_Toc40020281"/>
      <w:bookmarkStart w:id="422" w:name="_Toc40020101"/>
      <w:bookmarkStart w:id="423" w:name="_Toc40020283"/>
      <w:bookmarkStart w:id="424" w:name="_Toc40020102"/>
      <w:bookmarkStart w:id="425" w:name="_Toc40020284"/>
      <w:bookmarkStart w:id="426" w:name="_Toc40020104"/>
      <w:bookmarkStart w:id="427" w:name="_Toc40020286"/>
      <w:bookmarkStart w:id="428" w:name="_Ref419752078"/>
      <w:bookmarkStart w:id="429" w:name="_Ref419704031"/>
      <w:bookmarkStart w:id="430" w:name="_Ref419623107"/>
      <w:bookmarkStart w:id="431" w:name="_Hlk29310109"/>
      <w:bookmarkEnd w:id="288"/>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Pr="005A5FD0">
        <w:tab/>
      </w:r>
      <w:bookmarkStart w:id="432" w:name="_Toc42783633"/>
      <w:r w:rsidRPr="005A5FD0">
        <w:t>Arrangements between the Commonwealth and the PSA</w:t>
      </w:r>
      <w:bookmarkEnd w:id="432"/>
    </w:p>
    <w:p w14:paraId="021A6177" w14:textId="77777777" w:rsidR="00C954DF" w:rsidRDefault="00C954DF">
      <w:r>
        <w:br w:type="page"/>
      </w:r>
    </w:p>
    <w:p w14:paraId="7354992F" w14:textId="0C181E96" w:rsidR="00A8497F" w:rsidRDefault="00A8497F" w:rsidP="00A8497F">
      <w:pPr>
        <w:pStyle w:val="mainTitle"/>
      </w:pPr>
      <w:bookmarkStart w:id="433" w:name="_Toc29314616"/>
      <w:bookmarkStart w:id="434" w:name="_Toc29314739"/>
      <w:bookmarkStart w:id="435" w:name="_Toc29315783"/>
      <w:bookmarkStart w:id="436" w:name="_Toc29315904"/>
      <w:bookmarkStart w:id="437" w:name="_Toc29646245"/>
      <w:bookmarkStart w:id="438" w:name="_Toc29646246"/>
      <w:bookmarkStart w:id="439" w:name="_Toc29646244"/>
      <w:bookmarkStart w:id="440" w:name="_Toc29646248"/>
      <w:bookmarkStart w:id="441" w:name="_Toc419972419"/>
      <w:bookmarkStart w:id="442" w:name="_Toc420157594"/>
      <w:bookmarkStart w:id="443" w:name="_Toc420160300"/>
      <w:bookmarkStart w:id="444" w:name="_Toc420157595"/>
      <w:bookmarkStart w:id="445" w:name="_Toc420160301"/>
      <w:bookmarkStart w:id="446" w:name="_Toc420157596"/>
      <w:bookmarkStart w:id="447" w:name="_Toc420160302"/>
      <w:bookmarkStart w:id="448" w:name="_Toc419754447"/>
      <w:bookmarkStart w:id="449" w:name="_Toc29300793"/>
      <w:bookmarkStart w:id="450" w:name="_Toc29314625"/>
      <w:bookmarkStart w:id="451" w:name="_Toc29314748"/>
      <w:bookmarkStart w:id="452" w:name="_Toc29315792"/>
      <w:bookmarkStart w:id="453" w:name="_Toc29315913"/>
      <w:bookmarkStart w:id="454" w:name="_Toc29300794"/>
      <w:bookmarkStart w:id="455" w:name="_Toc29314626"/>
      <w:bookmarkStart w:id="456" w:name="_Toc29314749"/>
      <w:bookmarkStart w:id="457" w:name="_Toc29315793"/>
      <w:bookmarkStart w:id="458" w:name="_Toc29315914"/>
      <w:bookmarkStart w:id="459" w:name="_Toc29300797"/>
      <w:bookmarkStart w:id="460" w:name="_Toc29314629"/>
      <w:bookmarkStart w:id="461" w:name="_Toc29314752"/>
      <w:bookmarkStart w:id="462" w:name="_Toc29315796"/>
      <w:bookmarkStart w:id="463" w:name="_Toc29315917"/>
      <w:bookmarkStart w:id="464" w:name="_Toc29300798"/>
      <w:bookmarkStart w:id="465" w:name="_Toc29314630"/>
      <w:bookmarkStart w:id="466" w:name="_Toc29314753"/>
      <w:bookmarkStart w:id="467" w:name="_Toc29315797"/>
      <w:bookmarkStart w:id="468" w:name="_Toc29315918"/>
      <w:bookmarkStart w:id="469" w:name="_Toc29300799"/>
      <w:bookmarkStart w:id="470" w:name="_Toc29314631"/>
      <w:bookmarkStart w:id="471" w:name="_Toc29314754"/>
      <w:bookmarkStart w:id="472" w:name="_Toc29315798"/>
      <w:bookmarkStart w:id="473" w:name="_Toc29315919"/>
      <w:bookmarkStart w:id="474" w:name="_Toc29300800"/>
      <w:bookmarkStart w:id="475" w:name="_Toc29314632"/>
      <w:bookmarkStart w:id="476" w:name="_Toc29314755"/>
      <w:bookmarkStart w:id="477" w:name="_Toc29315799"/>
      <w:bookmarkStart w:id="478" w:name="_Toc29315920"/>
      <w:bookmarkStart w:id="479" w:name="_Toc29300801"/>
      <w:bookmarkStart w:id="480" w:name="_Toc29314633"/>
      <w:bookmarkStart w:id="481" w:name="_Toc29314756"/>
      <w:bookmarkStart w:id="482" w:name="_Toc29315800"/>
      <w:bookmarkStart w:id="483" w:name="_Toc29315921"/>
      <w:bookmarkStart w:id="484" w:name="_Toc29300803"/>
      <w:bookmarkStart w:id="485" w:name="_Toc29314635"/>
      <w:bookmarkStart w:id="486" w:name="_Toc29314758"/>
      <w:bookmarkStart w:id="487" w:name="_Toc29315802"/>
      <w:bookmarkStart w:id="488" w:name="_Toc29315923"/>
      <w:bookmarkStart w:id="489" w:name="_Toc29300804"/>
      <w:bookmarkStart w:id="490" w:name="_Toc29314636"/>
      <w:bookmarkStart w:id="491" w:name="_Toc29314759"/>
      <w:bookmarkStart w:id="492" w:name="_Toc29315803"/>
      <w:bookmarkStart w:id="493" w:name="_Toc29315924"/>
      <w:bookmarkStart w:id="494" w:name="_Toc29300809"/>
      <w:bookmarkStart w:id="495" w:name="_Toc29314641"/>
      <w:bookmarkStart w:id="496" w:name="_Toc29314764"/>
      <w:bookmarkStart w:id="497" w:name="_Toc29315808"/>
      <w:bookmarkStart w:id="498" w:name="_Toc29315929"/>
      <w:bookmarkStart w:id="499" w:name="_Toc29300789"/>
      <w:bookmarkStart w:id="500" w:name="_Toc29314621"/>
      <w:bookmarkStart w:id="501" w:name="_Toc29314744"/>
      <w:bookmarkStart w:id="502" w:name="_Toc29315788"/>
      <w:bookmarkStart w:id="503" w:name="_Toc29315909"/>
      <w:bookmarkStart w:id="504" w:name="_Toc42783634"/>
      <w:bookmarkStart w:id="505" w:name="_Toc29208142"/>
      <w:bookmarkStart w:id="506" w:name="_Toc29283949"/>
      <w:bookmarkStart w:id="507" w:name="_Toc29299060"/>
      <w:bookmarkStart w:id="508" w:name="_Toc29299456"/>
      <w:bookmarkStart w:id="509" w:name="_Toc29299540"/>
      <w:bookmarkStart w:id="510" w:name="_Toc29299625"/>
      <w:bookmarkStart w:id="511" w:name="_Toc29299709"/>
      <w:bookmarkStart w:id="512" w:name="_Ref26465146"/>
      <w:bookmarkStart w:id="513" w:name="_Ref419653872"/>
      <w:bookmarkStart w:id="514" w:name="_Ref419654146"/>
      <w:bookmarkEnd w:id="428"/>
      <w:bookmarkEnd w:id="429"/>
      <w:bookmarkEnd w:id="430"/>
      <w:bookmarkEnd w:id="431"/>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t>Signing page for Part 2</w:t>
      </w:r>
      <w:bookmarkEnd w:id="504"/>
    </w:p>
    <w:p w14:paraId="0F85A4DA" w14:textId="77777777" w:rsidR="00A8497F" w:rsidRDefault="00A8497F" w:rsidP="00A8497F"/>
    <w:p w14:paraId="1511ED94" w14:textId="77777777" w:rsidR="00A8497F" w:rsidRDefault="00A8497F" w:rsidP="00A8497F"/>
    <w:p w14:paraId="6BD40AF3" w14:textId="77777777" w:rsidR="00A8497F" w:rsidRDefault="00A8497F" w:rsidP="00A8497F"/>
    <w:p w14:paraId="40B4F15B" w14:textId="77777777" w:rsidR="00A8497F" w:rsidRPr="009D3B53" w:rsidRDefault="00A8497F" w:rsidP="00A8497F"/>
    <w:tbl>
      <w:tblPr>
        <w:tblW w:w="9408" w:type="dxa"/>
        <w:tblInd w:w="-336" w:type="dxa"/>
        <w:tblLayout w:type="fixed"/>
        <w:tblCellMar>
          <w:left w:w="360" w:type="dxa"/>
          <w:right w:w="360" w:type="dxa"/>
        </w:tblCellMar>
        <w:tblLook w:val="0000" w:firstRow="0" w:lastRow="0" w:firstColumn="0" w:lastColumn="0" w:noHBand="0" w:noVBand="0"/>
      </w:tblPr>
      <w:tblGrid>
        <w:gridCol w:w="4873"/>
        <w:gridCol w:w="4535"/>
      </w:tblGrid>
      <w:tr w:rsidR="00A8497F" w:rsidRPr="009D3B53" w14:paraId="7205366E" w14:textId="77777777" w:rsidTr="00F5714D">
        <w:tc>
          <w:tcPr>
            <w:tcW w:w="4873" w:type="dxa"/>
          </w:tcPr>
          <w:p w14:paraId="789C0B3E" w14:textId="4871492A" w:rsidR="00A8497F" w:rsidRPr="009D3B53" w:rsidRDefault="00A8497F" w:rsidP="00F5714D">
            <w:pPr>
              <w:keepNext/>
              <w:keepLines/>
            </w:pPr>
            <w:r w:rsidRPr="009D3B53">
              <w:rPr>
                <w:b/>
              </w:rPr>
              <w:t xml:space="preserve">Signed </w:t>
            </w:r>
            <w:r w:rsidRPr="009D3B53">
              <w:t xml:space="preserve">by </w:t>
            </w:r>
            <w:r w:rsidRPr="009D3B53">
              <w:rPr>
                <w:b/>
              </w:rPr>
              <w:t xml:space="preserve">The Honourable </w:t>
            </w:r>
            <w:r>
              <w:rPr>
                <w:b/>
              </w:rPr>
              <w:t>Greg Hunt</w:t>
            </w:r>
            <w:r w:rsidRPr="009D3B53">
              <w:rPr>
                <w:b/>
              </w:rPr>
              <w:t xml:space="preserve"> MP, Minister </w:t>
            </w:r>
            <w:r>
              <w:rPr>
                <w:b/>
              </w:rPr>
              <w:t>f</w:t>
            </w:r>
            <w:r w:rsidRPr="009D3B53">
              <w:rPr>
                <w:b/>
              </w:rPr>
              <w:t>or Health</w:t>
            </w:r>
            <w:r w:rsidRPr="009D3B53">
              <w:rPr>
                <w:spacing w:val="-3"/>
              </w:rPr>
              <w:t xml:space="preserve"> </w:t>
            </w:r>
            <w:r w:rsidRPr="009D3B53">
              <w:t xml:space="preserve">on behalf of the </w:t>
            </w:r>
            <w:r>
              <w:rPr>
                <w:b/>
              </w:rPr>
              <w:br/>
            </w:r>
            <w:r w:rsidRPr="009D3B53">
              <w:rPr>
                <w:b/>
              </w:rPr>
              <w:t>Commonwealth of Australia</w:t>
            </w:r>
            <w:r w:rsidRPr="009D3B53">
              <w:t xml:space="preserve"> </w:t>
            </w:r>
          </w:p>
          <w:p w14:paraId="15684BE7" w14:textId="77777777" w:rsidR="00A8497F" w:rsidRPr="009D3B53" w:rsidRDefault="00A8497F" w:rsidP="00F5714D">
            <w:pPr>
              <w:keepNext/>
              <w:keepLines/>
            </w:pPr>
          </w:p>
          <w:p w14:paraId="5D34927E" w14:textId="77777777" w:rsidR="00A8497F" w:rsidRPr="009D3B53" w:rsidRDefault="00A8497F" w:rsidP="00F5714D">
            <w:pPr>
              <w:keepNext/>
              <w:keepLines/>
            </w:pPr>
            <w:r w:rsidRPr="009D3B53">
              <w:t>in the presence of:</w:t>
            </w:r>
          </w:p>
        </w:tc>
        <w:tc>
          <w:tcPr>
            <w:tcW w:w="4535" w:type="dxa"/>
          </w:tcPr>
          <w:p w14:paraId="44E4C0BE" w14:textId="77777777" w:rsidR="00A8497F" w:rsidRPr="009D3B53" w:rsidRDefault="00A8497F" w:rsidP="00F5714D">
            <w:pPr>
              <w:keepNext/>
              <w:keepLines/>
            </w:pPr>
          </w:p>
          <w:p w14:paraId="16C3121E" w14:textId="77777777" w:rsidR="00A8497F" w:rsidRPr="009D3B53" w:rsidRDefault="00A8497F" w:rsidP="00F5714D">
            <w:pPr>
              <w:keepNext/>
              <w:keepLines/>
            </w:pPr>
          </w:p>
          <w:p w14:paraId="549ABB40" w14:textId="77777777" w:rsidR="00A8497F" w:rsidRDefault="00A8497F" w:rsidP="00F5714D">
            <w:pPr>
              <w:keepNext/>
              <w:keepLines/>
              <w:tabs>
                <w:tab w:val="left" w:pos="227"/>
                <w:tab w:val="left" w:leader="dot" w:pos="4253"/>
              </w:tabs>
            </w:pPr>
          </w:p>
          <w:p w14:paraId="4F0E627C" w14:textId="77777777" w:rsidR="00A8497F" w:rsidRPr="009D3B53" w:rsidRDefault="00A8497F" w:rsidP="00F5714D">
            <w:pPr>
              <w:keepNext/>
              <w:keepLines/>
              <w:tabs>
                <w:tab w:val="left" w:pos="227"/>
                <w:tab w:val="left" w:leader="dot" w:pos="4253"/>
              </w:tabs>
            </w:pPr>
          </w:p>
          <w:p w14:paraId="75E51FE3" w14:textId="77777777" w:rsidR="00A8497F" w:rsidRPr="009D3B53" w:rsidRDefault="00A8497F" w:rsidP="00F5714D">
            <w:pPr>
              <w:keepNext/>
              <w:keepLines/>
              <w:tabs>
                <w:tab w:val="left" w:leader="dot" w:pos="4536"/>
              </w:tabs>
              <w:rPr>
                <w:rFonts w:ascii="CG Times (W1)" w:hAnsi="CG Times (W1)"/>
                <w:spacing w:val="-3"/>
              </w:rPr>
            </w:pPr>
            <w:r w:rsidRPr="009D3B53">
              <w:tab/>
            </w:r>
          </w:p>
        </w:tc>
      </w:tr>
    </w:tbl>
    <w:p w14:paraId="4D061A9D" w14:textId="77777777" w:rsidR="00A8497F" w:rsidRPr="009D3B53" w:rsidRDefault="00A8497F" w:rsidP="00A8497F">
      <w:pPr>
        <w:keepNext/>
        <w:keepLines/>
      </w:pPr>
    </w:p>
    <w:p w14:paraId="7E37CE3A" w14:textId="77777777" w:rsidR="00A8497F" w:rsidRPr="009D3B53" w:rsidRDefault="00A8497F" w:rsidP="00A8497F">
      <w:pPr>
        <w:keepNext/>
        <w:keepLines/>
      </w:pPr>
    </w:p>
    <w:p w14:paraId="3DEF7511" w14:textId="77777777" w:rsidR="00A8497F" w:rsidRPr="009D3B53" w:rsidRDefault="00A8497F" w:rsidP="00A8497F">
      <w:pPr>
        <w:keepNext/>
        <w:keepLines/>
        <w:tabs>
          <w:tab w:val="left" w:leader="dot" w:pos="4536"/>
        </w:tabs>
      </w:pPr>
      <w:r w:rsidRPr="009D3B53">
        <w:tab/>
      </w:r>
    </w:p>
    <w:p w14:paraId="266AD988" w14:textId="77777777" w:rsidR="00A8497F" w:rsidRPr="009D3B53" w:rsidRDefault="00A8497F" w:rsidP="00A8497F">
      <w:pPr>
        <w:keepLines/>
      </w:pPr>
      <w:r w:rsidRPr="009D3B53">
        <w:t>Witness</w:t>
      </w:r>
    </w:p>
    <w:p w14:paraId="6C27ED67" w14:textId="77777777" w:rsidR="00A8497F" w:rsidRPr="009D3B53" w:rsidRDefault="00A8497F" w:rsidP="00A8497F"/>
    <w:p w14:paraId="52CB6EB2" w14:textId="77777777" w:rsidR="00A8497F" w:rsidRDefault="00A8497F" w:rsidP="00A8497F">
      <w:pPr>
        <w:keepNext/>
        <w:keepLines/>
        <w:suppressAutoHyphens/>
      </w:pPr>
    </w:p>
    <w:p w14:paraId="61627A41" w14:textId="77777777" w:rsidR="00A8497F" w:rsidRPr="009D3B53" w:rsidRDefault="00A8497F" w:rsidP="00A8497F">
      <w:pPr>
        <w:keepNext/>
        <w:keepLines/>
        <w:tabs>
          <w:tab w:val="left" w:leader="dot" w:pos="4536"/>
        </w:tabs>
      </w:pPr>
      <w:r w:rsidRPr="009D3B53">
        <w:tab/>
      </w:r>
    </w:p>
    <w:p w14:paraId="19F8F66B" w14:textId="77777777" w:rsidR="00A8497F" w:rsidRPr="009D3B53" w:rsidRDefault="00A8497F" w:rsidP="00A8497F">
      <w:pPr>
        <w:keepLines/>
      </w:pPr>
      <w:r>
        <w:t>Name of w</w:t>
      </w:r>
      <w:r w:rsidRPr="009D3B53">
        <w:t>itness</w:t>
      </w:r>
    </w:p>
    <w:p w14:paraId="7F122270" w14:textId="77777777" w:rsidR="00A8497F" w:rsidRDefault="00A8497F" w:rsidP="00A8497F">
      <w:pPr>
        <w:keepNext/>
        <w:keepLines/>
        <w:suppressAutoHyphens/>
      </w:pPr>
    </w:p>
    <w:p w14:paraId="75C00C09" w14:textId="77777777" w:rsidR="00A8497F" w:rsidRDefault="00A8497F" w:rsidP="00A8497F">
      <w:pPr>
        <w:keepNext/>
        <w:keepLines/>
        <w:suppressAutoHyphens/>
      </w:pPr>
    </w:p>
    <w:p w14:paraId="639A9E18" w14:textId="77777777" w:rsidR="00A8497F" w:rsidRPr="009D3B53" w:rsidRDefault="00A8497F" w:rsidP="00A8497F">
      <w:pPr>
        <w:keepNext/>
        <w:keepLines/>
        <w:tabs>
          <w:tab w:val="left" w:leader="dot" w:pos="4536"/>
        </w:tabs>
      </w:pPr>
      <w:r w:rsidRPr="009D3B53">
        <w:tab/>
      </w:r>
    </w:p>
    <w:p w14:paraId="3DAFDD0E" w14:textId="77777777" w:rsidR="00A8497F" w:rsidRPr="009D3B53" w:rsidRDefault="00A8497F" w:rsidP="00A8497F">
      <w:pPr>
        <w:keepLines/>
      </w:pPr>
      <w:r>
        <w:t>Date</w:t>
      </w:r>
    </w:p>
    <w:p w14:paraId="1EC02FDD" w14:textId="77777777" w:rsidR="00A8497F" w:rsidRDefault="00A8497F" w:rsidP="00A8497F">
      <w:pPr>
        <w:keepNext/>
        <w:keepLines/>
        <w:suppressAutoHyphens/>
      </w:pPr>
    </w:p>
    <w:p w14:paraId="4DF8F997" w14:textId="145A23C8" w:rsidR="00A8497F" w:rsidRDefault="00A8497F" w:rsidP="00A8497F">
      <w:pPr>
        <w:keepNext/>
        <w:keepLines/>
        <w:suppressAutoHyphens/>
      </w:pPr>
    </w:p>
    <w:p w14:paraId="611B677A" w14:textId="735D9985" w:rsidR="00A8497F" w:rsidRDefault="00A8497F" w:rsidP="00A8497F">
      <w:pPr>
        <w:keepNext/>
        <w:keepLines/>
        <w:suppressAutoHyphens/>
      </w:pPr>
    </w:p>
    <w:p w14:paraId="09A65294" w14:textId="77777777" w:rsidR="00A8497F" w:rsidRDefault="00A8497F" w:rsidP="00A8497F">
      <w:pPr>
        <w:keepNext/>
        <w:keepLines/>
        <w:suppressAutoHyphens/>
      </w:pPr>
    </w:p>
    <w:tbl>
      <w:tblPr>
        <w:tblW w:w="8931" w:type="dxa"/>
        <w:tblLayout w:type="fixed"/>
        <w:tblCellMar>
          <w:left w:w="0" w:type="dxa"/>
          <w:right w:w="0" w:type="dxa"/>
        </w:tblCellMar>
        <w:tblLook w:val="0000" w:firstRow="0" w:lastRow="0" w:firstColumn="0" w:lastColumn="0" w:noHBand="0" w:noVBand="0"/>
      </w:tblPr>
      <w:tblGrid>
        <w:gridCol w:w="4873"/>
        <w:gridCol w:w="4058"/>
      </w:tblGrid>
      <w:tr w:rsidR="00A8497F" w14:paraId="0FED479D" w14:textId="77777777" w:rsidTr="00F5714D">
        <w:tc>
          <w:tcPr>
            <w:tcW w:w="4873" w:type="dxa"/>
          </w:tcPr>
          <w:p w14:paraId="3341F8ED" w14:textId="77777777" w:rsidR="00A8497F" w:rsidRPr="006C58CB" w:rsidRDefault="00A8497F" w:rsidP="00F5714D">
            <w:pPr>
              <w:keepNext/>
              <w:keepLines/>
            </w:pPr>
            <w:r>
              <w:rPr>
                <w:b/>
              </w:rPr>
              <w:t>Signed</w:t>
            </w:r>
            <w:r>
              <w:t xml:space="preserve"> by </w:t>
            </w:r>
            <w:r w:rsidRPr="00A13ADE">
              <w:rPr>
                <w:b/>
              </w:rPr>
              <w:t xml:space="preserve">Pharmaceutical Society of Australia Limited </w:t>
            </w:r>
            <w:r w:rsidRPr="007E4F56">
              <w:t>ACN 008 532 072</w:t>
            </w:r>
            <w:r>
              <w:rPr>
                <w:b/>
              </w:rPr>
              <w:t xml:space="preserve"> </w:t>
            </w:r>
            <w:r>
              <w:t>by</w:t>
            </w:r>
            <w:r w:rsidRPr="006C58CB">
              <w:t>:</w:t>
            </w:r>
          </w:p>
        </w:tc>
        <w:tc>
          <w:tcPr>
            <w:tcW w:w="4058" w:type="dxa"/>
          </w:tcPr>
          <w:p w14:paraId="04F76395" w14:textId="77777777" w:rsidR="00A8497F" w:rsidRDefault="00A8497F" w:rsidP="00F5714D">
            <w:pPr>
              <w:keepNext/>
              <w:keepLines/>
            </w:pPr>
            <w:r>
              <w:t>)</w:t>
            </w:r>
          </w:p>
          <w:p w14:paraId="21B4098C" w14:textId="77777777" w:rsidR="00A8497F" w:rsidRDefault="00A8497F" w:rsidP="00F5714D">
            <w:pPr>
              <w:keepNext/>
              <w:keepLines/>
            </w:pPr>
            <w:r>
              <w:t>)</w:t>
            </w:r>
          </w:p>
          <w:p w14:paraId="12DEFF1A" w14:textId="77777777" w:rsidR="00A8497F" w:rsidRDefault="00A8497F" w:rsidP="00F5714D">
            <w:pPr>
              <w:keepNext/>
              <w:keepLines/>
            </w:pPr>
            <w:r>
              <w:t>)</w:t>
            </w:r>
          </w:p>
        </w:tc>
      </w:tr>
    </w:tbl>
    <w:p w14:paraId="1CE10A3C" w14:textId="77777777" w:rsidR="00A8497F" w:rsidRDefault="00A8497F" w:rsidP="00A8497F">
      <w:pPr>
        <w:keepNext/>
        <w:keepLines/>
      </w:pPr>
    </w:p>
    <w:p w14:paraId="00525C1E" w14:textId="77777777" w:rsidR="00A8497F" w:rsidRDefault="00A8497F" w:rsidP="00A8497F">
      <w:pPr>
        <w:keepNext/>
        <w:keepLines/>
      </w:pPr>
    </w:p>
    <w:p w14:paraId="72A4A6D7" w14:textId="77777777" w:rsidR="00A8497F" w:rsidRDefault="00A8497F" w:rsidP="00A8497F">
      <w:pPr>
        <w:keepNext/>
        <w:keepLines/>
        <w:tabs>
          <w:tab w:val="left" w:leader="dot" w:pos="4253"/>
          <w:tab w:val="left" w:pos="4536"/>
          <w:tab w:val="left" w:leader="dot" w:pos="8789"/>
        </w:tabs>
      </w:pPr>
      <w:r>
        <w:tab/>
      </w:r>
      <w:r>
        <w:tab/>
      </w:r>
      <w:r>
        <w:tab/>
      </w:r>
    </w:p>
    <w:p w14:paraId="31A16BF0" w14:textId="43FDE8FC" w:rsidR="00A8497F" w:rsidRPr="009D3B53" w:rsidRDefault="00A8497F" w:rsidP="00A8497F">
      <w:pPr>
        <w:keepNext/>
        <w:keepLines/>
        <w:tabs>
          <w:tab w:val="left" w:pos="4510"/>
        </w:tabs>
      </w:pPr>
      <w:r w:rsidRPr="009D3B53">
        <w:t>National President</w:t>
      </w:r>
      <w:r w:rsidRPr="009D3B53">
        <w:tab/>
      </w:r>
      <w:r>
        <w:t>Chief Executive Office</w:t>
      </w:r>
      <w:r w:rsidR="009216B1">
        <w:t>r</w:t>
      </w:r>
    </w:p>
    <w:p w14:paraId="18B6925C" w14:textId="77777777" w:rsidR="00A8497F" w:rsidRPr="009D3B53" w:rsidRDefault="00A8497F" w:rsidP="00A8497F">
      <w:pPr>
        <w:keepNext/>
        <w:keepLines/>
        <w:tabs>
          <w:tab w:val="left" w:pos="4510"/>
        </w:tabs>
      </w:pPr>
    </w:p>
    <w:p w14:paraId="2F19816E" w14:textId="77777777" w:rsidR="00A8497F" w:rsidRPr="009D3B53" w:rsidRDefault="00A8497F" w:rsidP="00A8497F">
      <w:pPr>
        <w:keepNext/>
        <w:keepLines/>
        <w:tabs>
          <w:tab w:val="left" w:pos="550"/>
          <w:tab w:val="left" w:pos="3410"/>
        </w:tabs>
      </w:pPr>
    </w:p>
    <w:p w14:paraId="008720AC" w14:textId="77777777" w:rsidR="00A8497F" w:rsidRDefault="00A8497F" w:rsidP="00A8497F">
      <w:pPr>
        <w:keepNext/>
        <w:keepLines/>
        <w:tabs>
          <w:tab w:val="left" w:leader="dot" w:pos="4253"/>
          <w:tab w:val="left" w:pos="4536"/>
          <w:tab w:val="left" w:leader="dot" w:pos="8789"/>
        </w:tabs>
      </w:pPr>
      <w:r>
        <w:tab/>
      </w:r>
      <w:r>
        <w:tab/>
      </w:r>
      <w:r>
        <w:tab/>
      </w:r>
    </w:p>
    <w:p w14:paraId="5AFD1371" w14:textId="77777777" w:rsidR="00A8497F" w:rsidRDefault="00A8497F" w:rsidP="00A8497F">
      <w:pPr>
        <w:keepNext/>
        <w:keepLines/>
        <w:tabs>
          <w:tab w:val="left" w:pos="4510"/>
        </w:tabs>
      </w:pPr>
      <w:r w:rsidRPr="009D3B53">
        <w:t>Full name</w:t>
      </w:r>
      <w:r w:rsidRPr="009D3B53">
        <w:tab/>
        <w:t>Full name</w:t>
      </w:r>
    </w:p>
    <w:p w14:paraId="39DFAF4B" w14:textId="77777777" w:rsidR="00A8497F" w:rsidRDefault="00A8497F" w:rsidP="00A8497F">
      <w:pPr>
        <w:keepNext/>
        <w:keepLines/>
        <w:tabs>
          <w:tab w:val="left" w:pos="4510"/>
        </w:tabs>
      </w:pPr>
    </w:p>
    <w:p w14:paraId="55549BFF" w14:textId="77777777" w:rsidR="00A8497F" w:rsidRDefault="00A8497F" w:rsidP="00A8497F">
      <w:pPr>
        <w:keepNext/>
        <w:keepLines/>
        <w:tabs>
          <w:tab w:val="left" w:pos="4510"/>
        </w:tabs>
      </w:pPr>
    </w:p>
    <w:p w14:paraId="29F177FB" w14:textId="77777777" w:rsidR="00A8497F" w:rsidRDefault="00A8497F" w:rsidP="00A8497F">
      <w:pPr>
        <w:keepNext/>
        <w:keepLines/>
        <w:tabs>
          <w:tab w:val="left" w:leader="dot" w:pos="4253"/>
          <w:tab w:val="left" w:pos="4536"/>
          <w:tab w:val="left" w:leader="dot" w:pos="8789"/>
        </w:tabs>
      </w:pPr>
      <w:r>
        <w:tab/>
      </w:r>
      <w:r>
        <w:tab/>
      </w:r>
      <w:r>
        <w:tab/>
      </w:r>
    </w:p>
    <w:p w14:paraId="68D77A3A" w14:textId="5A22578E" w:rsidR="00A8497F" w:rsidRDefault="00A8497F" w:rsidP="00A8497F">
      <w:pPr>
        <w:keepNext/>
        <w:keepLines/>
        <w:tabs>
          <w:tab w:val="left" w:pos="4510"/>
        </w:tabs>
      </w:pPr>
      <w:r>
        <w:t>Date</w:t>
      </w:r>
      <w:r>
        <w:tab/>
        <w:t>Date</w:t>
      </w:r>
    </w:p>
    <w:p w14:paraId="7285DA78" w14:textId="77777777" w:rsidR="00A8497F" w:rsidRDefault="00A8497F">
      <w:r>
        <w:br w:type="page"/>
      </w:r>
    </w:p>
    <w:p w14:paraId="3AB6B6A4" w14:textId="77777777" w:rsidR="003339D0" w:rsidRDefault="003339D0" w:rsidP="000D6BB8">
      <w:pPr>
        <w:pStyle w:val="Heading1"/>
      </w:pPr>
      <w:bookmarkStart w:id="515" w:name="_Toc29300790"/>
      <w:bookmarkStart w:id="516" w:name="_Toc29314622"/>
      <w:bookmarkStart w:id="517" w:name="_Toc29314745"/>
      <w:bookmarkStart w:id="518" w:name="_Toc29315789"/>
      <w:bookmarkStart w:id="519" w:name="_Toc29315910"/>
      <w:bookmarkStart w:id="520" w:name="_Toc41335196"/>
      <w:bookmarkStart w:id="521" w:name="_Toc41335365"/>
      <w:bookmarkStart w:id="522" w:name="_Toc41340192"/>
      <w:bookmarkStart w:id="523" w:name="_Toc41346052"/>
      <w:bookmarkStart w:id="524" w:name="_Toc29208143"/>
      <w:bookmarkStart w:id="525" w:name="_Toc29283950"/>
      <w:bookmarkStart w:id="526" w:name="_Toc29299061"/>
      <w:bookmarkStart w:id="527" w:name="_Toc29299457"/>
      <w:bookmarkStart w:id="528" w:name="_Toc29299541"/>
      <w:bookmarkStart w:id="529" w:name="_Toc29299626"/>
      <w:bookmarkStart w:id="530" w:name="_Toc29299710"/>
      <w:bookmarkStart w:id="531" w:name="_Toc42783635"/>
      <w:bookmarkEnd w:id="505"/>
      <w:bookmarkEnd w:id="506"/>
      <w:bookmarkEnd w:id="507"/>
      <w:bookmarkEnd w:id="508"/>
      <w:bookmarkEnd w:id="509"/>
      <w:bookmarkEnd w:id="510"/>
      <w:bookmarkEnd w:id="511"/>
      <w:bookmarkEnd w:id="515"/>
      <w:bookmarkEnd w:id="516"/>
      <w:bookmarkEnd w:id="517"/>
      <w:bookmarkEnd w:id="518"/>
      <w:bookmarkEnd w:id="519"/>
      <w:bookmarkEnd w:id="520"/>
      <w:bookmarkEnd w:id="521"/>
      <w:bookmarkEnd w:id="522"/>
      <w:bookmarkEnd w:id="523"/>
      <w:r>
        <w:t>Professional practice of pharmacists in Australia</w:t>
      </w:r>
      <w:bookmarkStart w:id="532" w:name="_Toc29300795"/>
      <w:bookmarkStart w:id="533" w:name="_Toc29314627"/>
      <w:bookmarkStart w:id="534" w:name="_Toc29314750"/>
      <w:bookmarkStart w:id="535" w:name="_Toc29315794"/>
      <w:bookmarkStart w:id="536" w:name="_Toc29315915"/>
      <w:bookmarkEnd w:id="524"/>
      <w:bookmarkEnd w:id="525"/>
      <w:bookmarkEnd w:id="526"/>
      <w:bookmarkEnd w:id="527"/>
      <w:bookmarkEnd w:id="528"/>
      <w:bookmarkEnd w:id="529"/>
      <w:bookmarkEnd w:id="530"/>
      <w:bookmarkEnd w:id="531"/>
      <w:bookmarkEnd w:id="532"/>
      <w:bookmarkEnd w:id="533"/>
      <w:bookmarkEnd w:id="534"/>
      <w:bookmarkEnd w:id="535"/>
      <w:bookmarkEnd w:id="536"/>
    </w:p>
    <w:p w14:paraId="2EB98662" w14:textId="77777777" w:rsidR="00E42D8B" w:rsidRPr="00565280" w:rsidRDefault="00E42D8B" w:rsidP="00E42D8B">
      <w:pPr>
        <w:pStyle w:val="Heading2"/>
        <w:rPr>
          <w:rFonts w:asciiTheme="minorHAnsi" w:hAnsiTheme="minorHAnsi" w:cstheme="minorHAnsi"/>
        </w:rPr>
      </w:pPr>
      <w:bookmarkStart w:id="537" w:name="_Toc42783636"/>
      <w:bookmarkStart w:id="538" w:name="_Toc42603935"/>
      <w:bookmarkStart w:id="539" w:name="_Toc29208144"/>
      <w:bookmarkStart w:id="540" w:name="_Toc29283951"/>
      <w:bookmarkStart w:id="541" w:name="_Toc29299062"/>
      <w:bookmarkStart w:id="542" w:name="_Toc29299458"/>
      <w:bookmarkStart w:id="543" w:name="_Toc29299542"/>
      <w:bookmarkStart w:id="544" w:name="_Toc29299627"/>
      <w:bookmarkStart w:id="545" w:name="_Toc29299711"/>
      <w:r w:rsidRPr="00565280">
        <w:rPr>
          <w:rFonts w:asciiTheme="minorHAnsi" w:hAnsiTheme="minorHAnsi" w:cstheme="minorHAnsi"/>
        </w:rPr>
        <w:t>Role of PSA</w:t>
      </w:r>
      <w:bookmarkEnd w:id="537"/>
    </w:p>
    <w:p w14:paraId="1E65198C" w14:textId="77777777" w:rsidR="00E42D8B" w:rsidRPr="00565280" w:rsidRDefault="00E42D8B" w:rsidP="00E42D8B">
      <w:pPr>
        <w:pStyle w:val="BodyIndent1"/>
        <w:rPr>
          <w:rFonts w:asciiTheme="minorHAnsi" w:hAnsiTheme="minorHAnsi" w:cstheme="minorHAnsi"/>
          <w:b/>
        </w:rPr>
      </w:pPr>
      <w:r w:rsidRPr="00565280">
        <w:rPr>
          <w:rFonts w:asciiTheme="minorHAnsi" w:hAnsiTheme="minorHAnsi" w:cstheme="minorHAnsi"/>
        </w:rPr>
        <w:t xml:space="preserve">The PSA is recognised as the national peak body for pharmacists in Australia, and is the custodian of the Code of Ethics, National Competency Standards Framework for Pharmacists, </w:t>
      </w:r>
      <w:r>
        <w:rPr>
          <w:rFonts w:asciiTheme="minorHAnsi" w:hAnsiTheme="minorHAnsi" w:cstheme="minorHAnsi"/>
        </w:rPr>
        <w:t>P</w:t>
      </w:r>
      <w:r w:rsidRPr="00565280">
        <w:rPr>
          <w:rFonts w:asciiTheme="minorHAnsi" w:hAnsiTheme="minorHAnsi" w:cstheme="minorHAnsi"/>
        </w:rPr>
        <w:t xml:space="preserve">rofessional </w:t>
      </w:r>
      <w:r>
        <w:rPr>
          <w:rFonts w:asciiTheme="minorHAnsi" w:hAnsiTheme="minorHAnsi" w:cstheme="minorHAnsi"/>
        </w:rPr>
        <w:t>P</w:t>
      </w:r>
      <w:r w:rsidRPr="00565280">
        <w:rPr>
          <w:rFonts w:asciiTheme="minorHAnsi" w:hAnsiTheme="minorHAnsi" w:cstheme="minorHAnsi"/>
        </w:rPr>
        <w:t xml:space="preserve">ractice </w:t>
      </w:r>
      <w:r>
        <w:rPr>
          <w:rFonts w:asciiTheme="minorHAnsi" w:hAnsiTheme="minorHAnsi" w:cstheme="minorHAnsi"/>
        </w:rPr>
        <w:t>S</w:t>
      </w:r>
      <w:r w:rsidRPr="00565280">
        <w:rPr>
          <w:rFonts w:asciiTheme="minorHAnsi" w:hAnsiTheme="minorHAnsi" w:cstheme="minorHAnsi"/>
        </w:rPr>
        <w:t xml:space="preserve">tandards, and </w:t>
      </w:r>
      <w:r>
        <w:rPr>
          <w:rFonts w:asciiTheme="minorHAnsi" w:hAnsiTheme="minorHAnsi" w:cstheme="minorHAnsi"/>
        </w:rPr>
        <w:t>P</w:t>
      </w:r>
      <w:r w:rsidRPr="00565280">
        <w:rPr>
          <w:rFonts w:asciiTheme="minorHAnsi" w:hAnsiTheme="minorHAnsi" w:cstheme="minorHAnsi"/>
        </w:rPr>
        <w:t xml:space="preserve">ractice </w:t>
      </w:r>
      <w:r>
        <w:rPr>
          <w:rFonts w:asciiTheme="minorHAnsi" w:hAnsiTheme="minorHAnsi" w:cstheme="minorHAnsi"/>
        </w:rPr>
        <w:t>G</w:t>
      </w:r>
      <w:r w:rsidRPr="00565280">
        <w:rPr>
          <w:rFonts w:asciiTheme="minorHAnsi" w:hAnsiTheme="minorHAnsi" w:cstheme="minorHAnsi"/>
        </w:rPr>
        <w:t>uidelines governing the professional practice of pharmacists in Australia.</w:t>
      </w:r>
    </w:p>
    <w:p w14:paraId="2791CF53" w14:textId="77777777" w:rsidR="00E42D8B" w:rsidRPr="00565280" w:rsidRDefault="00E42D8B" w:rsidP="00E42D8B">
      <w:pPr>
        <w:pStyle w:val="Heading2"/>
        <w:rPr>
          <w:rFonts w:asciiTheme="minorHAnsi" w:hAnsiTheme="minorHAnsi" w:cstheme="minorHAnsi"/>
        </w:rPr>
      </w:pPr>
      <w:bookmarkStart w:id="546" w:name="_Toc42783637"/>
      <w:r w:rsidRPr="00565280">
        <w:rPr>
          <w:rFonts w:asciiTheme="minorHAnsi" w:hAnsiTheme="minorHAnsi" w:cstheme="minorHAnsi"/>
        </w:rPr>
        <w:t>Code of Ethics</w:t>
      </w:r>
      <w:bookmarkEnd w:id="546"/>
    </w:p>
    <w:p w14:paraId="1FCB7739" w14:textId="77777777" w:rsidR="00E42D8B" w:rsidRPr="00565280" w:rsidRDefault="00E42D8B" w:rsidP="00E42D8B">
      <w:pPr>
        <w:pStyle w:val="BodyIndent1"/>
        <w:rPr>
          <w:rFonts w:asciiTheme="minorHAnsi" w:hAnsiTheme="minorHAnsi" w:cstheme="minorHAnsi"/>
        </w:rPr>
      </w:pPr>
      <w:r w:rsidRPr="00565280">
        <w:rPr>
          <w:rFonts w:asciiTheme="minorHAnsi" w:hAnsiTheme="minorHAnsi" w:cstheme="minorHAnsi"/>
        </w:rPr>
        <w:t>The PSA agrees to work with the Commonwealth in relation to the further development and support of the PSA Code of Ethics that underpins the practice of pharmacists in Australia.</w:t>
      </w:r>
    </w:p>
    <w:p w14:paraId="5BA997E7" w14:textId="77777777" w:rsidR="00E42D8B" w:rsidRPr="00565280" w:rsidRDefault="00E42D8B" w:rsidP="00E42D8B">
      <w:pPr>
        <w:pStyle w:val="Heading2"/>
        <w:rPr>
          <w:rFonts w:asciiTheme="minorHAnsi" w:hAnsiTheme="minorHAnsi" w:cstheme="minorHAnsi"/>
        </w:rPr>
      </w:pPr>
      <w:bookmarkStart w:id="547" w:name="_Toc42783638"/>
      <w:r w:rsidRPr="00565280">
        <w:rPr>
          <w:rFonts w:asciiTheme="minorHAnsi" w:hAnsiTheme="minorHAnsi" w:cstheme="minorHAnsi"/>
        </w:rPr>
        <w:t>Assistance in the design, implementation and evaluation of Community Pharmacy Programs</w:t>
      </w:r>
      <w:bookmarkEnd w:id="547"/>
    </w:p>
    <w:p w14:paraId="14355CBA" w14:textId="77777777" w:rsidR="00E42D8B" w:rsidRPr="00565280" w:rsidRDefault="00E42D8B" w:rsidP="00E42D8B">
      <w:pPr>
        <w:pStyle w:val="BodyIndent1"/>
        <w:rPr>
          <w:rFonts w:asciiTheme="minorHAnsi" w:hAnsiTheme="minorHAnsi" w:cstheme="minorHAnsi"/>
        </w:rPr>
      </w:pPr>
      <w:r w:rsidRPr="00565280">
        <w:rPr>
          <w:rFonts w:asciiTheme="minorHAnsi" w:hAnsiTheme="minorHAnsi" w:cstheme="minorHAnsi"/>
        </w:rPr>
        <w:t>The PSA will support:</w:t>
      </w:r>
    </w:p>
    <w:p w14:paraId="5E32FCF2" w14:textId="77777777" w:rsidR="00E42D8B" w:rsidRPr="00565280" w:rsidRDefault="00E42D8B" w:rsidP="00E42D8B">
      <w:pPr>
        <w:pStyle w:val="Heading3"/>
        <w:rPr>
          <w:rFonts w:asciiTheme="minorHAnsi" w:hAnsiTheme="minorHAnsi" w:cstheme="minorHAnsi"/>
        </w:rPr>
      </w:pPr>
      <w:r w:rsidRPr="00565280">
        <w:rPr>
          <w:rFonts w:asciiTheme="minorHAnsi" w:hAnsiTheme="minorHAnsi" w:cstheme="minorHAnsi"/>
        </w:rPr>
        <w:t xml:space="preserve">the design of Community Pharmacy Programs, including by reference to the PSA’s </w:t>
      </w:r>
      <w:r>
        <w:rPr>
          <w:rFonts w:asciiTheme="minorHAnsi" w:hAnsiTheme="minorHAnsi" w:cstheme="minorHAnsi"/>
        </w:rPr>
        <w:t>p</w:t>
      </w:r>
      <w:r w:rsidRPr="00565280">
        <w:rPr>
          <w:rFonts w:asciiTheme="minorHAnsi" w:hAnsiTheme="minorHAnsi" w:cstheme="minorHAnsi"/>
        </w:rPr>
        <w:t xml:space="preserve">rofessional </w:t>
      </w:r>
      <w:r>
        <w:rPr>
          <w:rFonts w:asciiTheme="minorHAnsi" w:hAnsiTheme="minorHAnsi" w:cstheme="minorHAnsi"/>
        </w:rPr>
        <w:t>s</w:t>
      </w:r>
      <w:r w:rsidRPr="00565280">
        <w:rPr>
          <w:rFonts w:asciiTheme="minorHAnsi" w:hAnsiTheme="minorHAnsi" w:cstheme="minorHAnsi"/>
        </w:rPr>
        <w:t xml:space="preserve">tandards and </w:t>
      </w:r>
      <w:r>
        <w:rPr>
          <w:rFonts w:asciiTheme="minorHAnsi" w:hAnsiTheme="minorHAnsi" w:cstheme="minorHAnsi"/>
        </w:rPr>
        <w:t>g</w:t>
      </w:r>
      <w:r w:rsidRPr="00565280">
        <w:rPr>
          <w:rFonts w:asciiTheme="minorHAnsi" w:hAnsiTheme="minorHAnsi" w:cstheme="minorHAnsi"/>
        </w:rPr>
        <w:t>uidelines; and</w:t>
      </w:r>
    </w:p>
    <w:p w14:paraId="651EC4A7" w14:textId="77777777" w:rsidR="00E42D8B" w:rsidRPr="00565280" w:rsidRDefault="00E42D8B" w:rsidP="00E42D8B">
      <w:pPr>
        <w:pStyle w:val="Heading3"/>
        <w:rPr>
          <w:rFonts w:asciiTheme="minorHAnsi" w:hAnsiTheme="minorHAnsi" w:cstheme="minorHAnsi"/>
        </w:rPr>
      </w:pPr>
      <w:r w:rsidRPr="00565280">
        <w:rPr>
          <w:rFonts w:asciiTheme="minorHAnsi" w:hAnsiTheme="minorHAnsi" w:cstheme="minorHAnsi"/>
        </w:rPr>
        <w:t>the implementation and evaluation of Community Pharmacy Programs, including through its representation on the PSCC.</w:t>
      </w:r>
    </w:p>
    <w:p w14:paraId="686B145B" w14:textId="77777777" w:rsidR="00E42D8B" w:rsidRPr="00565280" w:rsidRDefault="00E42D8B" w:rsidP="00E42D8B">
      <w:pPr>
        <w:pStyle w:val="Heading2"/>
        <w:rPr>
          <w:rFonts w:asciiTheme="minorHAnsi" w:hAnsiTheme="minorHAnsi" w:cstheme="minorHAnsi"/>
        </w:rPr>
      </w:pPr>
      <w:bookmarkStart w:id="548" w:name="_Toc42783639"/>
      <w:r w:rsidRPr="00565280">
        <w:rPr>
          <w:rFonts w:asciiTheme="minorHAnsi" w:hAnsiTheme="minorHAnsi" w:cstheme="minorHAnsi"/>
        </w:rPr>
        <w:t>Professional pharmacy standards</w:t>
      </w:r>
      <w:bookmarkEnd w:id="538"/>
      <w:bookmarkEnd w:id="548"/>
    </w:p>
    <w:p w14:paraId="6EF8D128" w14:textId="77777777" w:rsidR="00E42D8B" w:rsidRPr="00565280" w:rsidRDefault="00E42D8B" w:rsidP="00E42D8B">
      <w:pPr>
        <w:pStyle w:val="BodyIndent1"/>
        <w:rPr>
          <w:rFonts w:asciiTheme="minorHAnsi" w:hAnsiTheme="minorHAnsi" w:cstheme="minorHAnsi"/>
        </w:rPr>
      </w:pPr>
      <w:r w:rsidRPr="00565280">
        <w:rPr>
          <w:rFonts w:asciiTheme="minorHAnsi" w:hAnsiTheme="minorHAnsi" w:cstheme="minorHAnsi"/>
        </w:rPr>
        <w:t xml:space="preserve">The Australian Government and the PSA are committed to supporting the highest standard of professionalism in the pharmacy sector </w:t>
      </w:r>
      <w:r w:rsidRPr="00565280">
        <w:rPr>
          <w:rFonts w:asciiTheme="minorHAnsi" w:hAnsiTheme="minorHAnsi" w:cstheme="minorHAnsi"/>
          <w:color w:val="000000"/>
          <w:lang w:eastAsia="en-US"/>
        </w:rPr>
        <w:t>to support access to primary health care through community pharmacy</w:t>
      </w:r>
      <w:r>
        <w:rPr>
          <w:rFonts w:asciiTheme="minorHAnsi" w:hAnsiTheme="minorHAnsi" w:cstheme="minorHAnsi"/>
          <w:color w:val="000000"/>
          <w:lang w:eastAsia="en-US"/>
        </w:rPr>
        <w:t>,</w:t>
      </w:r>
      <w:r w:rsidRPr="00565280">
        <w:rPr>
          <w:rFonts w:asciiTheme="minorHAnsi" w:hAnsiTheme="minorHAnsi" w:cstheme="minorHAnsi"/>
          <w:color w:val="000000"/>
          <w:lang w:eastAsia="en-US"/>
        </w:rPr>
        <w:t xml:space="preserve"> and the safe and quality use of medicines</w:t>
      </w:r>
      <w:r w:rsidRPr="00565280">
        <w:rPr>
          <w:rFonts w:asciiTheme="minorHAnsi" w:hAnsiTheme="minorHAnsi" w:cstheme="minorHAnsi"/>
        </w:rPr>
        <w:t xml:space="preserve">. </w:t>
      </w:r>
    </w:p>
    <w:p w14:paraId="5A7CCD29" w14:textId="77777777" w:rsidR="00E42D8B" w:rsidRPr="00565280" w:rsidRDefault="00E42D8B" w:rsidP="00E42D8B">
      <w:pPr>
        <w:pStyle w:val="Heading2"/>
        <w:rPr>
          <w:rFonts w:asciiTheme="minorHAnsi" w:hAnsiTheme="minorHAnsi" w:cstheme="minorHAnsi"/>
        </w:rPr>
      </w:pPr>
      <w:bookmarkStart w:id="549" w:name="_Toc42603936"/>
      <w:bookmarkStart w:id="550" w:name="_Toc42783640"/>
      <w:r w:rsidRPr="00565280">
        <w:rPr>
          <w:rFonts w:asciiTheme="minorHAnsi" w:hAnsiTheme="minorHAnsi" w:cstheme="minorHAnsi"/>
        </w:rPr>
        <w:t>Commonwealth support of professional pharmacy</w:t>
      </w:r>
      <w:bookmarkEnd w:id="549"/>
      <w:bookmarkEnd w:id="550"/>
    </w:p>
    <w:p w14:paraId="00D791D0" w14:textId="37D481F2" w:rsidR="00E42D8B" w:rsidRPr="00565280" w:rsidRDefault="00E42D8B" w:rsidP="00E42D8B">
      <w:pPr>
        <w:pStyle w:val="BodyIndent1"/>
        <w:rPr>
          <w:rFonts w:asciiTheme="minorHAnsi" w:eastAsia="Calibri" w:hAnsiTheme="minorHAnsi" w:cstheme="minorHAnsi"/>
          <w:lang w:eastAsia="zh-CN"/>
        </w:rPr>
      </w:pPr>
      <w:r w:rsidRPr="00565280">
        <w:rPr>
          <w:rFonts w:asciiTheme="minorHAnsi" w:eastAsia="Calibri" w:hAnsiTheme="minorHAnsi" w:cstheme="minorHAnsi"/>
          <w:lang w:eastAsia="zh-CN"/>
        </w:rPr>
        <w:t xml:space="preserve">The Commonwealth intends to provide funding to the PSA during the Term to be directed to achieving the objective of further promoting the standards of professionalism in the pharmacy </w:t>
      </w:r>
      <w:r w:rsidR="00A52307">
        <w:rPr>
          <w:rFonts w:asciiTheme="minorHAnsi" w:eastAsia="Calibri" w:hAnsiTheme="minorHAnsi" w:cstheme="minorHAnsi"/>
          <w:lang w:eastAsia="zh-CN"/>
        </w:rPr>
        <w:t>profession</w:t>
      </w:r>
      <w:r w:rsidRPr="00565280">
        <w:rPr>
          <w:rFonts w:asciiTheme="minorHAnsi" w:eastAsia="Calibri" w:hAnsiTheme="minorHAnsi" w:cstheme="minorHAnsi"/>
          <w:lang w:eastAsia="zh-CN"/>
        </w:rPr>
        <w:t xml:space="preserve">. </w:t>
      </w:r>
    </w:p>
    <w:p w14:paraId="69018BF6" w14:textId="77777777" w:rsidR="00E42D8B" w:rsidRPr="00565280" w:rsidRDefault="00E42D8B" w:rsidP="00E42D8B">
      <w:pPr>
        <w:pStyle w:val="Heading2"/>
        <w:rPr>
          <w:rFonts w:asciiTheme="minorHAnsi" w:hAnsiTheme="minorHAnsi" w:cstheme="minorHAnsi"/>
        </w:rPr>
      </w:pPr>
      <w:bookmarkStart w:id="551" w:name="_Toc42603937"/>
      <w:bookmarkStart w:id="552" w:name="_Toc42783641"/>
      <w:r w:rsidRPr="00565280">
        <w:rPr>
          <w:rFonts w:asciiTheme="minorHAnsi" w:hAnsiTheme="minorHAnsi" w:cstheme="minorHAnsi"/>
        </w:rPr>
        <w:t xml:space="preserve">Professional Practice Standards and </w:t>
      </w:r>
      <w:bookmarkEnd w:id="551"/>
      <w:r>
        <w:rPr>
          <w:rFonts w:asciiTheme="minorHAnsi" w:hAnsiTheme="minorHAnsi" w:cstheme="minorHAnsi"/>
        </w:rPr>
        <w:t>g</w:t>
      </w:r>
      <w:r w:rsidRPr="00565280">
        <w:rPr>
          <w:rFonts w:asciiTheme="minorHAnsi" w:hAnsiTheme="minorHAnsi" w:cstheme="minorHAnsi"/>
        </w:rPr>
        <w:t>uidelines</w:t>
      </w:r>
      <w:bookmarkEnd w:id="552"/>
    </w:p>
    <w:p w14:paraId="7B634D6F" w14:textId="3A0070D8" w:rsidR="00E42D8B" w:rsidRPr="00565280" w:rsidRDefault="00E42D8B" w:rsidP="00E42D8B">
      <w:pPr>
        <w:pStyle w:val="BodyIndent1"/>
        <w:rPr>
          <w:rFonts w:asciiTheme="minorHAnsi" w:hAnsiTheme="minorHAnsi" w:cstheme="minorHAnsi"/>
        </w:rPr>
      </w:pPr>
      <w:r w:rsidRPr="00565280">
        <w:rPr>
          <w:rFonts w:asciiTheme="minorHAnsi" w:eastAsia="Calibri" w:hAnsiTheme="minorHAnsi" w:cstheme="minorHAnsi"/>
          <w:lang w:eastAsia="zh-CN"/>
        </w:rPr>
        <w:t xml:space="preserve">With support from the Commonwealth, the PSA will continue to maintain the </w:t>
      </w:r>
      <w:r>
        <w:rPr>
          <w:rFonts w:asciiTheme="minorHAnsi" w:eastAsia="Calibri" w:hAnsiTheme="minorHAnsi" w:cstheme="minorHAnsi"/>
          <w:lang w:eastAsia="zh-CN"/>
        </w:rPr>
        <w:t>P</w:t>
      </w:r>
      <w:r w:rsidRPr="00565280">
        <w:rPr>
          <w:rFonts w:asciiTheme="minorHAnsi" w:eastAsia="Calibri" w:hAnsiTheme="minorHAnsi" w:cstheme="minorHAnsi"/>
          <w:lang w:eastAsia="zh-CN"/>
        </w:rPr>
        <w:t xml:space="preserve">rofessional </w:t>
      </w:r>
      <w:r>
        <w:rPr>
          <w:rFonts w:asciiTheme="minorHAnsi" w:eastAsia="Calibri" w:hAnsiTheme="minorHAnsi" w:cstheme="minorHAnsi"/>
          <w:lang w:eastAsia="zh-CN"/>
        </w:rPr>
        <w:t>P</w:t>
      </w:r>
      <w:r w:rsidRPr="00565280">
        <w:rPr>
          <w:rFonts w:asciiTheme="minorHAnsi" w:eastAsia="Calibri" w:hAnsiTheme="minorHAnsi" w:cstheme="minorHAnsi"/>
          <w:lang w:eastAsia="zh-CN"/>
        </w:rPr>
        <w:t xml:space="preserve">ractice </w:t>
      </w:r>
      <w:r>
        <w:rPr>
          <w:rFonts w:asciiTheme="minorHAnsi" w:eastAsia="Calibri" w:hAnsiTheme="minorHAnsi" w:cstheme="minorHAnsi"/>
          <w:lang w:eastAsia="zh-CN"/>
        </w:rPr>
        <w:t>S</w:t>
      </w:r>
      <w:r w:rsidRPr="00565280">
        <w:rPr>
          <w:rFonts w:asciiTheme="minorHAnsi" w:eastAsia="Calibri" w:hAnsiTheme="minorHAnsi" w:cstheme="minorHAnsi"/>
          <w:lang w:eastAsia="zh-CN"/>
        </w:rPr>
        <w:t xml:space="preserve">tandards and relevant </w:t>
      </w:r>
      <w:r>
        <w:rPr>
          <w:rFonts w:asciiTheme="minorHAnsi" w:eastAsia="Calibri" w:hAnsiTheme="minorHAnsi" w:cstheme="minorHAnsi"/>
          <w:lang w:eastAsia="zh-CN"/>
        </w:rPr>
        <w:t>c</w:t>
      </w:r>
      <w:r w:rsidRPr="00565280">
        <w:rPr>
          <w:rFonts w:asciiTheme="minorHAnsi" w:eastAsia="Calibri" w:hAnsiTheme="minorHAnsi" w:cstheme="minorHAnsi"/>
          <w:lang w:eastAsia="zh-CN"/>
        </w:rPr>
        <w:t xml:space="preserve">linical guidelines with the aim of providing pharmacists with practice information to support the safe and quality use of medicines. Implementation and support materials will be developed to support the </w:t>
      </w:r>
      <w:r>
        <w:rPr>
          <w:rFonts w:asciiTheme="minorHAnsi" w:eastAsia="Calibri" w:hAnsiTheme="minorHAnsi" w:cstheme="minorHAnsi"/>
          <w:lang w:eastAsia="zh-CN"/>
        </w:rPr>
        <w:t>P</w:t>
      </w:r>
      <w:r w:rsidRPr="00565280">
        <w:rPr>
          <w:rFonts w:asciiTheme="minorHAnsi" w:eastAsia="Calibri" w:hAnsiTheme="minorHAnsi" w:cstheme="minorHAnsi"/>
          <w:lang w:eastAsia="zh-CN"/>
        </w:rPr>
        <w:t xml:space="preserve">rofessional </w:t>
      </w:r>
      <w:r>
        <w:rPr>
          <w:rFonts w:asciiTheme="minorHAnsi" w:eastAsia="Calibri" w:hAnsiTheme="minorHAnsi" w:cstheme="minorHAnsi"/>
          <w:lang w:eastAsia="zh-CN"/>
        </w:rPr>
        <w:t>P</w:t>
      </w:r>
      <w:r w:rsidRPr="00565280">
        <w:rPr>
          <w:rFonts w:asciiTheme="minorHAnsi" w:eastAsia="Calibri" w:hAnsiTheme="minorHAnsi" w:cstheme="minorHAnsi"/>
          <w:lang w:eastAsia="zh-CN"/>
        </w:rPr>
        <w:t xml:space="preserve">ractice </w:t>
      </w:r>
      <w:r>
        <w:rPr>
          <w:rFonts w:asciiTheme="minorHAnsi" w:eastAsia="Calibri" w:hAnsiTheme="minorHAnsi" w:cstheme="minorHAnsi"/>
          <w:lang w:eastAsia="zh-CN"/>
        </w:rPr>
        <w:t>S</w:t>
      </w:r>
      <w:r w:rsidRPr="00565280">
        <w:rPr>
          <w:rFonts w:asciiTheme="minorHAnsi" w:eastAsia="Calibri" w:hAnsiTheme="minorHAnsi" w:cstheme="minorHAnsi"/>
          <w:lang w:eastAsia="zh-CN"/>
        </w:rPr>
        <w:t>tandards and clinical guidelines</w:t>
      </w:r>
      <w:r>
        <w:rPr>
          <w:rFonts w:asciiTheme="minorHAnsi" w:eastAsia="Calibri" w:hAnsiTheme="minorHAnsi" w:cstheme="minorHAnsi"/>
          <w:lang w:eastAsia="zh-CN"/>
        </w:rPr>
        <w:t>,</w:t>
      </w:r>
      <w:r w:rsidRPr="00565280">
        <w:rPr>
          <w:rFonts w:asciiTheme="minorHAnsi" w:eastAsia="Calibri" w:hAnsiTheme="minorHAnsi" w:cstheme="minorHAnsi"/>
          <w:lang w:eastAsia="zh-CN"/>
        </w:rPr>
        <w:t xml:space="preserve"> including for </w:t>
      </w:r>
      <w:r>
        <w:rPr>
          <w:rFonts w:asciiTheme="minorHAnsi" w:eastAsia="Calibri" w:hAnsiTheme="minorHAnsi" w:cstheme="minorHAnsi"/>
          <w:lang w:eastAsia="zh-CN"/>
        </w:rPr>
        <w:t xml:space="preserve">the </w:t>
      </w:r>
      <w:r w:rsidRPr="00565280">
        <w:rPr>
          <w:rFonts w:asciiTheme="minorHAnsi" w:eastAsia="Calibri" w:hAnsiTheme="minorHAnsi" w:cstheme="minorHAnsi"/>
          <w:lang w:eastAsia="zh-CN"/>
        </w:rPr>
        <w:t xml:space="preserve">new or enhanced Community Pharmacy Programs referred to </w:t>
      </w:r>
      <w:r>
        <w:rPr>
          <w:rFonts w:asciiTheme="minorHAnsi" w:eastAsia="Calibri" w:hAnsiTheme="minorHAnsi" w:cstheme="minorHAnsi"/>
          <w:lang w:eastAsia="zh-CN"/>
        </w:rPr>
        <w:t xml:space="preserve">in </w:t>
      </w:r>
      <w:r>
        <w:rPr>
          <w:rFonts w:asciiTheme="minorHAnsi" w:eastAsia="Calibri" w:hAnsiTheme="minorHAnsi" w:cstheme="minorHAnsi"/>
          <w:lang w:eastAsia="zh-CN"/>
        </w:rPr>
        <w:fldChar w:fldCharType="begin"/>
      </w:r>
      <w:r>
        <w:rPr>
          <w:rFonts w:asciiTheme="minorHAnsi" w:eastAsia="Calibri" w:hAnsiTheme="minorHAnsi" w:cstheme="minorHAnsi"/>
          <w:lang w:eastAsia="zh-CN"/>
        </w:rPr>
        <w:instrText xml:space="preserve"> REF _Ref42518861 \r \h </w:instrText>
      </w:r>
      <w:r>
        <w:rPr>
          <w:rFonts w:asciiTheme="minorHAnsi" w:eastAsia="Calibri" w:hAnsiTheme="minorHAnsi" w:cstheme="minorHAnsi"/>
          <w:lang w:eastAsia="zh-CN"/>
        </w:rPr>
      </w:r>
      <w:r>
        <w:rPr>
          <w:rFonts w:asciiTheme="minorHAnsi" w:eastAsia="Calibri" w:hAnsiTheme="minorHAnsi" w:cstheme="minorHAnsi"/>
          <w:lang w:eastAsia="zh-CN"/>
        </w:rPr>
        <w:fldChar w:fldCharType="separate"/>
      </w:r>
      <w:r w:rsidR="00982D02">
        <w:rPr>
          <w:rFonts w:asciiTheme="minorHAnsi" w:eastAsia="Calibri" w:hAnsiTheme="minorHAnsi" w:cstheme="minorHAnsi"/>
          <w:lang w:eastAsia="zh-CN"/>
        </w:rPr>
        <w:t>Part 1</w:t>
      </w:r>
      <w:r>
        <w:rPr>
          <w:rFonts w:asciiTheme="minorHAnsi" w:eastAsia="Calibri" w:hAnsiTheme="minorHAnsi" w:cstheme="minorHAnsi"/>
          <w:lang w:eastAsia="zh-CN"/>
        </w:rPr>
        <w:fldChar w:fldCharType="end"/>
      </w:r>
      <w:r w:rsidRPr="00565280">
        <w:rPr>
          <w:rFonts w:asciiTheme="minorHAnsi" w:eastAsia="Calibri" w:hAnsiTheme="minorHAnsi" w:cstheme="minorHAnsi"/>
          <w:lang w:eastAsia="zh-CN"/>
        </w:rPr>
        <w:t>.</w:t>
      </w:r>
    </w:p>
    <w:p w14:paraId="35D7CF17" w14:textId="77777777" w:rsidR="00594EDE" w:rsidRDefault="00594EDE">
      <w:bookmarkStart w:id="553" w:name="_Toc29300806"/>
      <w:bookmarkStart w:id="554" w:name="_Toc29314638"/>
      <w:bookmarkStart w:id="555" w:name="_Toc29314761"/>
      <w:bookmarkStart w:id="556" w:name="_Toc29315805"/>
      <w:bookmarkStart w:id="557" w:name="_Toc29315926"/>
      <w:bookmarkStart w:id="558" w:name="_Toc29300807"/>
      <w:bookmarkStart w:id="559" w:name="_Toc29314639"/>
      <w:bookmarkStart w:id="560" w:name="_Toc29314762"/>
      <w:bookmarkStart w:id="561" w:name="_Toc29315806"/>
      <w:bookmarkStart w:id="562" w:name="_Toc29315927"/>
      <w:bookmarkStart w:id="563" w:name="_Toc29300812"/>
      <w:bookmarkStart w:id="564" w:name="_Toc29314644"/>
      <w:bookmarkStart w:id="565" w:name="_Toc29314767"/>
      <w:bookmarkStart w:id="566" w:name="_Toc29315811"/>
      <w:bookmarkStart w:id="567" w:name="_Toc29315932"/>
      <w:bookmarkStart w:id="568" w:name="_Toc35167780"/>
      <w:bookmarkStart w:id="569" w:name="_Toc35167863"/>
      <w:bookmarkStart w:id="570" w:name="_Toc35168016"/>
      <w:bookmarkStart w:id="571" w:name="_Toc35171546"/>
      <w:bookmarkStart w:id="572" w:name="_Toc20331775"/>
      <w:bookmarkEnd w:id="512"/>
      <w:bookmarkEnd w:id="539"/>
      <w:bookmarkEnd w:id="540"/>
      <w:bookmarkEnd w:id="541"/>
      <w:bookmarkEnd w:id="542"/>
      <w:bookmarkEnd w:id="543"/>
      <w:bookmarkEnd w:id="544"/>
      <w:bookmarkEnd w:id="545"/>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br w:type="page"/>
      </w:r>
    </w:p>
    <w:p w14:paraId="71856A25" w14:textId="7C3536AD" w:rsidR="005A5FD0" w:rsidRPr="005A5FD0" w:rsidRDefault="005A5FD0" w:rsidP="005A5FD0">
      <w:pPr>
        <w:pStyle w:val="legalPart"/>
      </w:pPr>
      <w:bookmarkStart w:id="573" w:name="_Toc419754449"/>
      <w:bookmarkStart w:id="574" w:name="_Toc419754450"/>
      <w:bookmarkStart w:id="575" w:name="_Toc420157600"/>
      <w:bookmarkStart w:id="576" w:name="_Toc420160306"/>
      <w:bookmarkStart w:id="577" w:name="_Toc419754454"/>
      <w:bookmarkStart w:id="578" w:name="_Ref29217985"/>
      <w:bookmarkEnd w:id="513"/>
      <w:bookmarkEnd w:id="514"/>
      <w:bookmarkEnd w:id="572"/>
      <w:bookmarkEnd w:id="573"/>
      <w:bookmarkEnd w:id="574"/>
      <w:bookmarkEnd w:id="575"/>
      <w:bookmarkEnd w:id="576"/>
      <w:bookmarkEnd w:id="577"/>
      <w:r w:rsidRPr="005A5FD0">
        <w:tab/>
      </w:r>
      <w:bookmarkStart w:id="579" w:name="_Toc42014332"/>
      <w:bookmarkStart w:id="580" w:name="_Ref42518633"/>
      <w:bookmarkStart w:id="581" w:name="_Ref42519034"/>
      <w:bookmarkStart w:id="582" w:name="_Toc42783642"/>
      <w:r w:rsidRPr="005A5FD0">
        <w:t>Arrangements between the Commonwealth, the Guild and the PSA</w:t>
      </w:r>
      <w:bookmarkEnd w:id="579"/>
      <w:bookmarkEnd w:id="580"/>
      <w:bookmarkEnd w:id="581"/>
      <w:bookmarkEnd w:id="582"/>
    </w:p>
    <w:p w14:paraId="0D51C183" w14:textId="77777777" w:rsidR="00B41FE7" w:rsidRDefault="00B41FE7">
      <w:pPr>
        <w:rPr>
          <w:rStyle w:val="IntenseReference"/>
          <w:rFonts w:cs="Arial"/>
          <w:bCs w:val="0"/>
          <w:i w:val="0"/>
          <w:smallCaps w:val="0"/>
          <w:sz w:val="36"/>
          <w:szCs w:val="36"/>
          <w:lang w:eastAsia="en-US"/>
        </w:rPr>
      </w:pPr>
      <w:r>
        <w:rPr>
          <w:rStyle w:val="IntenseReference"/>
          <w:rFonts w:cs="Arial"/>
          <w:b w:val="0"/>
          <w:bCs w:val="0"/>
          <w:i w:val="0"/>
          <w:smallCaps w:val="0"/>
          <w:sz w:val="36"/>
          <w:szCs w:val="36"/>
        </w:rPr>
        <w:br w:type="page"/>
      </w:r>
    </w:p>
    <w:p w14:paraId="4AB931FF" w14:textId="05F64E13" w:rsidR="00B41FE7" w:rsidRDefault="00B41FE7" w:rsidP="00B41FE7">
      <w:pPr>
        <w:pStyle w:val="mainTitle"/>
      </w:pPr>
      <w:bookmarkStart w:id="583" w:name="_Toc42783643"/>
      <w:r>
        <w:t>Signing page for Part 3</w:t>
      </w:r>
      <w:bookmarkEnd w:id="583"/>
    </w:p>
    <w:p w14:paraId="03785051" w14:textId="77777777" w:rsidR="00B41FE7" w:rsidRDefault="00B41FE7" w:rsidP="00B41FE7"/>
    <w:p w14:paraId="5FCD9A19" w14:textId="16F5A158" w:rsidR="00B41FE7" w:rsidRDefault="00B41FE7" w:rsidP="00B41FE7"/>
    <w:p w14:paraId="683B622B" w14:textId="77777777" w:rsidR="00B41FE7" w:rsidRPr="009D3B53" w:rsidRDefault="00B41FE7" w:rsidP="00B41FE7"/>
    <w:tbl>
      <w:tblPr>
        <w:tblW w:w="9408" w:type="dxa"/>
        <w:tblInd w:w="-336" w:type="dxa"/>
        <w:tblLayout w:type="fixed"/>
        <w:tblCellMar>
          <w:left w:w="360" w:type="dxa"/>
          <w:right w:w="360" w:type="dxa"/>
        </w:tblCellMar>
        <w:tblLook w:val="0000" w:firstRow="0" w:lastRow="0" w:firstColumn="0" w:lastColumn="0" w:noHBand="0" w:noVBand="0"/>
      </w:tblPr>
      <w:tblGrid>
        <w:gridCol w:w="4873"/>
        <w:gridCol w:w="4535"/>
      </w:tblGrid>
      <w:tr w:rsidR="00B41FE7" w:rsidRPr="009D3B53" w14:paraId="6ECB67E6" w14:textId="77777777" w:rsidTr="00F5714D">
        <w:tc>
          <w:tcPr>
            <w:tcW w:w="4873" w:type="dxa"/>
          </w:tcPr>
          <w:p w14:paraId="6D9D8E4A" w14:textId="43ADAF01" w:rsidR="00B41FE7" w:rsidRPr="009D3B53" w:rsidRDefault="00B41FE7" w:rsidP="00F5714D">
            <w:pPr>
              <w:keepNext/>
              <w:keepLines/>
            </w:pPr>
            <w:r w:rsidRPr="009D3B53">
              <w:rPr>
                <w:b/>
              </w:rPr>
              <w:t xml:space="preserve">Signed </w:t>
            </w:r>
            <w:r w:rsidRPr="009D3B53">
              <w:t xml:space="preserve">by </w:t>
            </w:r>
            <w:r w:rsidRPr="009D3B53">
              <w:rPr>
                <w:b/>
              </w:rPr>
              <w:t xml:space="preserve">The Honourable </w:t>
            </w:r>
            <w:r>
              <w:rPr>
                <w:b/>
              </w:rPr>
              <w:t>Greg Hunt</w:t>
            </w:r>
            <w:r w:rsidRPr="009D3B53">
              <w:rPr>
                <w:b/>
              </w:rPr>
              <w:t xml:space="preserve"> MP, Minister </w:t>
            </w:r>
            <w:r>
              <w:rPr>
                <w:b/>
              </w:rPr>
              <w:t>f</w:t>
            </w:r>
            <w:r w:rsidRPr="009D3B53">
              <w:rPr>
                <w:b/>
              </w:rPr>
              <w:t>or Health</w:t>
            </w:r>
            <w:r w:rsidRPr="009D3B53">
              <w:rPr>
                <w:spacing w:val="-3"/>
              </w:rPr>
              <w:t xml:space="preserve"> </w:t>
            </w:r>
            <w:r w:rsidRPr="009D3B53">
              <w:t xml:space="preserve">on behalf of the </w:t>
            </w:r>
            <w:r>
              <w:rPr>
                <w:b/>
              </w:rPr>
              <w:br/>
            </w:r>
            <w:r w:rsidRPr="009D3B53">
              <w:rPr>
                <w:b/>
              </w:rPr>
              <w:t>Commonwealth of Australia</w:t>
            </w:r>
            <w:r w:rsidRPr="009D3B53">
              <w:t xml:space="preserve"> </w:t>
            </w:r>
          </w:p>
          <w:p w14:paraId="5068AB96" w14:textId="77777777" w:rsidR="00B41FE7" w:rsidRPr="009D3B53" w:rsidRDefault="00B41FE7" w:rsidP="00F5714D">
            <w:pPr>
              <w:keepNext/>
              <w:keepLines/>
            </w:pPr>
          </w:p>
          <w:p w14:paraId="5A8B7953" w14:textId="77777777" w:rsidR="00B41FE7" w:rsidRPr="009D3B53" w:rsidRDefault="00B41FE7" w:rsidP="00F5714D">
            <w:pPr>
              <w:keepNext/>
              <w:keepLines/>
            </w:pPr>
            <w:r w:rsidRPr="009D3B53">
              <w:t>in the presence of:</w:t>
            </w:r>
          </w:p>
        </w:tc>
        <w:tc>
          <w:tcPr>
            <w:tcW w:w="4535" w:type="dxa"/>
          </w:tcPr>
          <w:p w14:paraId="33BA4B35" w14:textId="77777777" w:rsidR="00B41FE7" w:rsidRPr="009D3B53" w:rsidRDefault="00B41FE7" w:rsidP="00F5714D">
            <w:pPr>
              <w:keepNext/>
              <w:keepLines/>
            </w:pPr>
          </w:p>
          <w:p w14:paraId="0CE3F2DE" w14:textId="77777777" w:rsidR="00B41FE7" w:rsidRPr="009D3B53" w:rsidRDefault="00B41FE7" w:rsidP="00F5714D">
            <w:pPr>
              <w:keepNext/>
              <w:keepLines/>
            </w:pPr>
          </w:p>
          <w:p w14:paraId="1FE8F47C" w14:textId="77777777" w:rsidR="00B41FE7" w:rsidRDefault="00B41FE7" w:rsidP="00F5714D">
            <w:pPr>
              <w:keepNext/>
              <w:keepLines/>
              <w:tabs>
                <w:tab w:val="left" w:pos="227"/>
                <w:tab w:val="left" w:leader="dot" w:pos="4253"/>
              </w:tabs>
            </w:pPr>
          </w:p>
          <w:p w14:paraId="46F7F79D" w14:textId="77777777" w:rsidR="00B41FE7" w:rsidRPr="009D3B53" w:rsidRDefault="00B41FE7" w:rsidP="00F5714D">
            <w:pPr>
              <w:keepNext/>
              <w:keepLines/>
              <w:tabs>
                <w:tab w:val="left" w:pos="227"/>
                <w:tab w:val="left" w:leader="dot" w:pos="4253"/>
              </w:tabs>
            </w:pPr>
          </w:p>
          <w:p w14:paraId="31E30F36" w14:textId="77777777" w:rsidR="00B41FE7" w:rsidRPr="009D3B53" w:rsidRDefault="00B41FE7" w:rsidP="00F5714D">
            <w:pPr>
              <w:keepNext/>
              <w:keepLines/>
              <w:tabs>
                <w:tab w:val="left" w:leader="dot" w:pos="4536"/>
              </w:tabs>
              <w:rPr>
                <w:rFonts w:ascii="CG Times (W1)" w:hAnsi="CG Times (W1)"/>
                <w:spacing w:val="-3"/>
              </w:rPr>
            </w:pPr>
            <w:r w:rsidRPr="009D3B53">
              <w:tab/>
            </w:r>
          </w:p>
        </w:tc>
      </w:tr>
    </w:tbl>
    <w:p w14:paraId="0C5DE83B" w14:textId="77777777" w:rsidR="00B41FE7" w:rsidRPr="009D3B53" w:rsidRDefault="00B41FE7" w:rsidP="00B41FE7">
      <w:pPr>
        <w:keepNext/>
        <w:keepLines/>
      </w:pPr>
    </w:p>
    <w:p w14:paraId="09A2D4B6" w14:textId="77777777" w:rsidR="00B41FE7" w:rsidRPr="009D3B53" w:rsidRDefault="00B41FE7" w:rsidP="00B41FE7">
      <w:pPr>
        <w:keepNext/>
        <w:keepLines/>
      </w:pPr>
    </w:p>
    <w:p w14:paraId="46C70336" w14:textId="77777777" w:rsidR="00B41FE7" w:rsidRPr="009D3B53" w:rsidRDefault="00B41FE7" w:rsidP="00B41FE7">
      <w:pPr>
        <w:keepNext/>
        <w:keepLines/>
        <w:tabs>
          <w:tab w:val="left" w:leader="dot" w:pos="4536"/>
        </w:tabs>
      </w:pPr>
      <w:r w:rsidRPr="009D3B53">
        <w:tab/>
      </w:r>
    </w:p>
    <w:p w14:paraId="5BD31831" w14:textId="77777777" w:rsidR="00B41FE7" w:rsidRPr="009D3B53" w:rsidRDefault="00B41FE7" w:rsidP="00B41FE7">
      <w:pPr>
        <w:keepLines/>
      </w:pPr>
      <w:r w:rsidRPr="009D3B53">
        <w:t>Witness</w:t>
      </w:r>
    </w:p>
    <w:p w14:paraId="4C53E704" w14:textId="77777777" w:rsidR="00B41FE7" w:rsidRPr="009D3B53" w:rsidRDefault="00B41FE7" w:rsidP="00B41FE7"/>
    <w:p w14:paraId="49D26EC7" w14:textId="77777777" w:rsidR="00B41FE7" w:rsidRDefault="00B41FE7" w:rsidP="00B41FE7">
      <w:pPr>
        <w:keepNext/>
        <w:keepLines/>
        <w:suppressAutoHyphens/>
      </w:pPr>
    </w:p>
    <w:p w14:paraId="28F09878" w14:textId="77777777" w:rsidR="00B41FE7" w:rsidRPr="009D3B53" w:rsidRDefault="00B41FE7" w:rsidP="00B41FE7">
      <w:pPr>
        <w:keepNext/>
        <w:keepLines/>
        <w:tabs>
          <w:tab w:val="left" w:leader="dot" w:pos="4536"/>
        </w:tabs>
      </w:pPr>
      <w:r w:rsidRPr="009D3B53">
        <w:tab/>
      </w:r>
    </w:p>
    <w:p w14:paraId="3115F4B5" w14:textId="77777777" w:rsidR="00B41FE7" w:rsidRPr="009D3B53" w:rsidRDefault="00B41FE7" w:rsidP="00B41FE7">
      <w:pPr>
        <w:keepLines/>
      </w:pPr>
      <w:r>
        <w:t>Name of w</w:t>
      </w:r>
      <w:r w:rsidRPr="009D3B53">
        <w:t>itness</w:t>
      </w:r>
    </w:p>
    <w:p w14:paraId="325997AD" w14:textId="77777777" w:rsidR="00B41FE7" w:rsidRDefault="00B41FE7" w:rsidP="00B41FE7">
      <w:pPr>
        <w:keepNext/>
        <w:keepLines/>
        <w:suppressAutoHyphens/>
      </w:pPr>
    </w:p>
    <w:p w14:paraId="321C8C1C" w14:textId="77777777" w:rsidR="00B41FE7" w:rsidRDefault="00B41FE7" w:rsidP="00B41FE7">
      <w:pPr>
        <w:keepNext/>
        <w:keepLines/>
        <w:suppressAutoHyphens/>
      </w:pPr>
    </w:p>
    <w:p w14:paraId="0C37D3DC" w14:textId="77777777" w:rsidR="00B41FE7" w:rsidRPr="009D3B53" w:rsidRDefault="00B41FE7" w:rsidP="00B41FE7">
      <w:pPr>
        <w:keepNext/>
        <w:keepLines/>
        <w:tabs>
          <w:tab w:val="left" w:leader="dot" w:pos="4536"/>
        </w:tabs>
      </w:pPr>
      <w:r w:rsidRPr="009D3B53">
        <w:tab/>
      </w:r>
    </w:p>
    <w:p w14:paraId="27CFD51E" w14:textId="2C2A060B" w:rsidR="00B41FE7" w:rsidRDefault="00B41FE7" w:rsidP="00B41FE7">
      <w:pPr>
        <w:keepLines/>
      </w:pPr>
      <w:r>
        <w:t>Date</w:t>
      </w:r>
    </w:p>
    <w:p w14:paraId="1532417B" w14:textId="045C0E61" w:rsidR="00B41FE7" w:rsidRDefault="00B41FE7" w:rsidP="00B41FE7">
      <w:pPr>
        <w:keepNext/>
        <w:keepLines/>
        <w:suppressAutoHyphens/>
      </w:pPr>
    </w:p>
    <w:p w14:paraId="5AA046F3" w14:textId="51CEBC75" w:rsidR="00B41FE7" w:rsidRDefault="00B41FE7" w:rsidP="00B41FE7">
      <w:pPr>
        <w:keepNext/>
        <w:keepLines/>
        <w:suppressAutoHyphens/>
      </w:pPr>
    </w:p>
    <w:p w14:paraId="0320A8BA" w14:textId="77777777" w:rsidR="00B41FE7" w:rsidRPr="009D3B53" w:rsidRDefault="00B41FE7" w:rsidP="00B41FE7">
      <w:pPr>
        <w:keepNext/>
        <w:keepLines/>
        <w:suppressAutoHyphens/>
      </w:pPr>
    </w:p>
    <w:tbl>
      <w:tblPr>
        <w:tblW w:w="9746" w:type="dxa"/>
        <w:tblInd w:w="-322" w:type="dxa"/>
        <w:tblLayout w:type="fixed"/>
        <w:tblCellMar>
          <w:left w:w="360" w:type="dxa"/>
          <w:right w:w="360" w:type="dxa"/>
        </w:tblCellMar>
        <w:tblLook w:val="0000" w:firstRow="0" w:lastRow="0" w:firstColumn="0" w:lastColumn="0" w:noHBand="0" w:noVBand="0"/>
      </w:tblPr>
      <w:tblGrid>
        <w:gridCol w:w="4873"/>
        <w:gridCol w:w="4873"/>
      </w:tblGrid>
      <w:tr w:rsidR="00B41FE7" w:rsidRPr="009D3B53" w14:paraId="2009C3E0" w14:textId="77777777" w:rsidTr="00F5714D">
        <w:tc>
          <w:tcPr>
            <w:tcW w:w="4873" w:type="dxa"/>
          </w:tcPr>
          <w:p w14:paraId="4406C321" w14:textId="77777777" w:rsidR="00B41FE7" w:rsidRPr="009D3B53" w:rsidRDefault="00B41FE7" w:rsidP="00B41FE7">
            <w:pPr>
              <w:keepLines/>
            </w:pPr>
            <w:r w:rsidRPr="009D3B53">
              <w:rPr>
                <w:b/>
              </w:rPr>
              <w:t>The Common Seal</w:t>
            </w:r>
            <w:r w:rsidRPr="009D3B53">
              <w:t xml:space="preserve"> of </w:t>
            </w:r>
            <w:r w:rsidRPr="009D3B53">
              <w:rPr>
                <w:b/>
                <w:spacing w:val="-3"/>
              </w:rPr>
              <w:t xml:space="preserve">The Pharmacy Guild of Australia </w:t>
            </w:r>
            <w:r w:rsidRPr="009D3B53">
              <w:t>was affixed pursuant to a resolution of its National Council in the presence of:</w:t>
            </w:r>
          </w:p>
        </w:tc>
        <w:tc>
          <w:tcPr>
            <w:tcW w:w="4873" w:type="dxa"/>
          </w:tcPr>
          <w:p w14:paraId="5278B2B6" w14:textId="77777777" w:rsidR="00B41FE7" w:rsidRPr="009D3B53" w:rsidRDefault="00B41FE7" w:rsidP="00B41FE7">
            <w:pPr>
              <w:keepLines/>
            </w:pPr>
            <w:r w:rsidRPr="009D3B53">
              <w:t>)</w:t>
            </w:r>
          </w:p>
          <w:p w14:paraId="7B6CD544" w14:textId="77777777" w:rsidR="00B41FE7" w:rsidRPr="009D3B53" w:rsidRDefault="00B41FE7" w:rsidP="00B41FE7">
            <w:pPr>
              <w:keepLines/>
            </w:pPr>
            <w:r w:rsidRPr="009D3B53">
              <w:t>)</w:t>
            </w:r>
          </w:p>
          <w:p w14:paraId="193E9A26" w14:textId="77777777" w:rsidR="00B41FE7" w:rsidRPr="009D3B53" w:rsidRDefault="00B41FE7" w:rsidP="00B41FE7">
            <w:pPr>
              <w:keepLines/>
            </w:pPr>
            <w:r w:rsidRPr="009D3B53">
              <w:t>)</w:t>
            </w:r>
          </w:p>
          <w:p w14:paraId="11AC74CE" w14:textId="77777777" w:rsidR="00B41FE7" w:rsidRPr="009D3B53" w:rsidRDefault="00B41FE7" w:rsidP="00B41FE7">
            <w:pPr>
              <w:keepLines/>
            </w:pPr>
          </w:p>
        </w:tc>
      </w:tr>
    </w:tbl>
    <w:p w14:paraId="31AC3554" w14:textId="77777777" w:rsidR="00B41FE7" w:rsidRPr="009D3B53" w:rsidRDefault="00B41FE7" w:rsidP="00B41FE7">
      <w:pPr>
        <w:keepLines/>
      </w:pPr>
    </w:p>
    <w:p w14:paraId="36869FE6" w14:textId="77777777" w:rsidR="00B41FE7" w:rsidRPr="009D3B53" w:rsidRDefault="00B41FE7" w:rsidP="00B41FE7">
      <w:pPr>
        <w:keepLines/>
      </w:pPr>
    </w:p>
    <w:p w14:paraId="65B0FFDD" w14:textId="77777777" w:rsidR="00B41FE7" w:rsidRDefault="00B41FE7" w:rsidP="00B41FE7">
      <w:pPr>
        <w:keepLines/>
        <w:tabs>
          <w:tab w:val="left" w:leader="dot" w:pos="4253"/>
          <w:tab w:val="left" w:pos="4536"/>
          <w:tab w:val="left" w:leader="dot" w:pos="8789"/>
        </w:tabs>
      </w:pPr>
      <w:r>
        <w:tab/>
      </w:r>
      <w:r>
        <w:tab/>
      </w:r>
      <w:r>
        <w:tab/>
      </w:r>
    </w:p>
    <w:p w14:paraId="52549BCC" w14:textId="77777777" w:rsidR="00B41FE7" w:rsidRPr="009D3B53" w:rsidRDefault="00B41FE7" w:rsidP="00B41FE7">
      <w:pPr>
        <w:keepLines/>
        <w:tabs>
          <w:tab w:val="left" w:pos="4510"/>
        </w:tabs>
      </w:pPr>
      <w:r w:rsidRPr="009D3B53">
        <w:t>National President</w:t>
      </w:r>
      <w:r w:rsidRPr="009D3B53">
        <w:tab/>
      </w:r>
      <w:r>
        <w:t>Executive Director</w:t>
      </w:r>
    </w:p>
    <w:p w14:paraId="12E9CB23" w14:textId="77777777" w:rsidR="00B41FE7" w:rsidRPr="009D3B53" w:rsidRDefault="00B41FE7" w:rsidP="00B41FE7">
      <w:pPr>
        <w:keepLines/>
        <w:tabs>
          <w:tab w:val="left" w:pos="4510"/>
        </w:tabs>
      </w:pPr>
    </w:p>
    <w:p w14:paraId="2E22B204" w14:textId="77777777" w:rsidR="00B41FE7" w:rsidRPr="009D3B53" w:rsidRDefault="00B41FE7" w:rsidP="00B41FE7">
      <w:pPr>
        <w:keepLines/>
        <w:tabs>
          <w:tab w:val="left" w:pos="550"/>
          <w:tab w:val="left" w:pos="3410"/>
        </w:tabs>
      </w:pPr>
    </w:p>
    <w:p w14:paraId="0414150E" w14:textId="77777777" w:rsidR="00B41FE7" w:rsidRDefault="00B41FE7" w:rsidP="00B41FE7">
      <w:pPr>
        <w:keepLines/>
        <w:tabs>
          <w:tab w:val="left" w:leader="dot" w:pos="4253"/>
          <w:tab w:val="left" w:pos="4536"/>
          <w:tab w:val="left" w:leader="dot" w:pos="8789"/>
        </w:tabs>
      </w:pPr>
      <w:r>
        <w:tab/>
      </w:r>
      <w:r>
        <w:tab/>
      </w:r>
      <w:r>
        <w:tab/>
      </w:r>
    </w:p>
    <w:p w14:paraId="11786626" w14:textId="77777777" w:rsidR="00B41FE7" w:rsidRDefault="00B41FE7" w:rsidP="00B41FE7">
      <w:pPr>
        <w:keepLines/>
        <w:tabs>
          <w:tab w:val="left" w:pos="4510"/>
        </w:tabs>
      </w:pPr>
      <w:r w:rsidRPr="009D3B53">
        <w:t>Full name</w:t>
      </w:r>
      <w:r w:rsidRPr="009D3B53">
        <w:tab/>
        <w:t>Full name</w:t>
      </w:r>
    </w:p>
    <w:p w14:paraId="52F36BC9" w14:textId="77777777" w:rsidR="00B41FE7" w:rsidRDefault="00B41FE7" w:rsidP="00B41FE7">
      <w:pPr>
        <w:keepLines/>
        <w:tabs>
          <w:tab w:val="left" w:pos="4510"/>
        </w:tabs>
      </w:pPr>
    </w:p>
    <w:p w14:paraId="5F7AEFC2" w14:textId="77777777" w:rsidR="00B41FE7" w:rsidRDefault="00B41FE7" w:rsidP="00B41FE7">
      <w:pPr>
        <w:keepLines/>
        <w:tabs>
          <w:tab w:val="left" w:pos="4510"/>
        </w:tabs>
      </w:pPr>
    </w:p>
    <w:p w14:paraId="0A4CDB58" w14:textId="77777777" w:rsidR="00B41FE7" w:rsidRDefault="00B41FE7" w:rsidP="00B41FE7">
      <w:pPr>
        <w:keepLines/>
        <w:tabs>
          <w:tab w:val="left" w:leader="dot" w:pos="4253"/>
          <w:tab w:val="left" w:pos="4536"/>
          <w:tab w:val="left" w:leader="dot" w:pos="8789"/>
        </w:tabs>
      </w:pPr>
      <w:r>
        <w:tab/>
      </w:r>
      <w:r>
        <w:tab/>
      </w:r>
      <w:r>
        <w:tab/>
      </w:r>
    </w:p>
    <w:p w14:paraId="418767BB" w14:textId="77777777" w:rsidR="00B41FE7" w:rsidRDefault="00B41FE7" w:rsidP="00B41FE7">
      <w:pPr>
        <w:keepLines/>
        <w:tabs>
          <w:tab w:val="left" w:pos="4510"/>
        </w:tabs>
      </w:pPr>
      <w:r>
        <w:t>Date</w:t>
      </w:r>
      <w:r>
        <w:tab/>
        <w:t>Date</w:t>
      </w:r>
    </w:p>
    <w:p w14:paraId="6B2F9FF6" w14:textId="551DD3FE" w:rsidR="00B41FE7" w:rsidRDefault="00B41FE7" w:rsidP="00B41FE7">
      <w:pPr>
        <w:keepLines/>
        <w:suppressAutoHyphens/>
      </w:pPr>
    </w:p>
    <w:p w14:paraId="745A8DBD" w14:textId="50FC7D07" w:rsidR="00B41FE7" w:rsidRDefault="00B41FE7" w:rsidP="00B41FE7">
      <w:pPr>
        <w:keepLines/>
        <w:suppressAutoHyphens/>
      </w:pPr>
    </w:p>
    <w:p w14:paraId="1D1885D3" w14:textId="77777777" w:rsidR="00B41FE7" w:rsidRDefault="00B41FE7" w:rsidP="00B41FE7">
      <w:pPr>
        <w:keepLines/>
        <w:suppressAutoHyphens/>
      </w:pPr>
    </w:p>
    <w:tbl>
      <w:tblPr>
        <w:tblW w:w="8931" w:type="dxa"/>
        <w:tblLayout w:type="fixed"/>
        <w:tblCellMar>
          <w:left w:w="0" w:type="dxa"/>
          <w:right w:w="0" w:type="dxa"/>
        </w:tblCellMar>
        <w:tblLook w:val="0000" w:firstRow="0" w:lastRow="0" w:firstColumn="0" w:lastColumn="0" w:noHBand="0" w:noVBand="0"/>
      </w:tblPr>
      <w:tblGrid>
        <w:gridCol w:w="4873"/>
        <w:gridCol w:w="4058"/>
      </w:tblGrid>
      <w:tr w:rsidR="00B41FE7" w14:paraId="2EF6354F" w14:textId="77777777" w:rsidTr="00F5714D">
        <w:tc>
          <w:tcPr>
            <w:tcW w:w="4873" w:type="dxa"/>
          </w:tcPr>
          <w:p w14:paraId="50D2A108" w14:textId="77777777" w:rsidR="00B41FE7" w:rsidRPr="006C58CB" w:rsidRDefault="00B41FE7" w:rsidP="00B41FE7">
            <w:pPr>
              <w:keepLines/>
            </w:pPr>
            <w:r>
              <w:rPr>
                <w:b/>
              </w:rPr>
              <w:t>Signed</w:t>
            </w:r>
            <w:r>
              <w:t xml:space="preserve"> by </w:t>
            </w:r>
            <w:r w:rsidRPr="00A13ADE">
              <w:rPr>
                <w:b/>
              </w:rPr>
              <w:t xml:space="preserve">Pharmaceutical Society of Australia Limited </w:t>
            </w:r>
            <w:r w:rsidRPr="007E4F56">
              <w:t>ACN 008 532 072</w:t>
            </w:r>
            <w:r>
              <w:rPr>
                <w:b/>
              </w:rPr>
              <w:t xml:space="preserve"> </w:t>
            </w:r>
            <w:r>
              <w:t>by</w:t>
            </w:r>
            <w:r w:rsidRPr="006C58CB">
              <w:t>:</w:t>
            </w:r>
          </w:p>
        </w:tc>
        <w:tc>
          <w:tcPr>
            <w:tcW w:w="4058" w:type="dxa"/>
          </w:tcPr>
          <w:p w14:paraId="3B787E48" w14:textId="77777777" w:rsidR="00B41FE7" w:rsidRDefault="00B41FE7" w:rsidP="00B41FE7">
            <w:pPr>
              <w:keepLines/>
            </w:pPr>
            <w:r>
              <w:t>)</w:t>
            </w:r>
          </w:p>
          <w:p w14:paraId="189169D9" w14:textId="77777777" w:rsidR="00B41FE7" w:rsidRDefault="00B41FE7" w:rsidP="00B41FE7">
            <w:pPr>
              <w:keepLines/>
            </w:pPr>
            <w:r>
              <w:t>)</w:t>
            </w:r>
          </w:p>
          <w:p w14:paraId="1D966D92" w14:textId="77777777" w:rsidR="00B41FE7" w:rsidRDefault="00B41FE7" w:rsidP="00B41FE7">
            <w:pPr>
              <w:keepLines/>
            </w:pPr>
            <w:r>
              <w:t>)</w:t>
            </w:r>
          </w:p>
        </w:tc>
      </w:tr>
    </w:tbl>
    <w:p w14:paraId="3667E52D" w14:textId="77777777" w:rsidR="00B41FE7" w:rsidRDefault="00B41FE7" w:rsidP="00B41FE7">
      <w:pPr>
        <w:keepLines/>
      </w:pPr>
    </w:p>
    <w:p w14:paraId="4ACFC225" w14:textId="77777777" w:rsidR="00B41FE7" w:rsidRDefault="00B41FE7" w:rsidP="00B41FE7">
      <w:pPr>
        <w:keepLines/>
      </w:pPr>
    </w:p>
    <w:p w14:paraId="1F57D445" w14:textId="77777777" w:rsidR="00B41FE7" w:rsidRDefault="00B41FE7" w:rsidP="00B41FE7">
      <w:pPr>
        <w:keepLines/>
        <w:tabs>
          <w:tab w:val="left" w:leader="dot" w:pos="4253"/>
          <w:tab w:val="left" w:pos="4536"/>
          <w:tab w:val="left" w:leader="dot" w:pos="8789"/>
        </w:tabs>
      </w:pPr>
      <w:r>
        <w:tab/>
      </w:r>
      <w:r>
        <w:tab/>
      </w:r>
      <w:r>
        <w:tab/>
      </w:r>
    </w:p>
    <w:p w14:paraId="077711D8" w14:textId="7EDFD20D" w:rsidR="00B41FE7" w:rsidRPr="009D3B53" w:rsidRDefault="00B41FE7" w:rsidP="00B41FE7">
      <w:pPr>
        <w:keepLines/>
        <w:tabs>
          <w:tab w:val="left" w:pos="4510"/>
        </w:tabs>
      </w:pPr>
      <w:r w:rsidRPr="009D3B53">
        <w:t>National President</w:t>
      </w:r>
      <w:r w:rsidRPr="009D3B53">
        <w:tab/>
      </w:r>
      <w:r>
        <w:t>Chief Executive Office</w:t>
      </w:r>
      <w:r w:rsidR="009216B1">
        <w:t>r</w:t>
      </w:r>
    </w:p>
    <w:p w14:paraId="7DF43679" w14:textId="77777777" w:rsidR="00B41FE7" w:rsidRPr="009D3B53" w:rsidRDefault="00B41FE7" w:rsidP="00B41FE7">
      <w:pPr>
        <w:keepLines/>
        <w:tabs>
          <w:tab w:val="left" w:pos="4510"/>
        </w:tabs>
      </w:pPr>
    </w:p>
    <w:p w14:paraId="1CDACA34" w14:textId="77777777" w:rsidR="00B41FE7" w:rsidRPr="009D3B53" w:rsidRDefault="00B41FE7" w:rsidP="00B41FE7">
      <w:pPr>
        <w:keepLines/>
        <w:tabs>
          <w:tab w:val="left" w:pos="550"/>
          <w:tab w:val="left" w:pos="3410"/>
        </w:tabs>
      </w:pPr>
    </w:p>
    <w:p w14:paraId="108BE551" w14:textId="77777777" w:rsidR="00B41FE7" w:rsidRDefault="00B41FE7" w:rsidP="00B41FE7">
      <w:pPr>
        <w:keepLines/>
        <w:tabs>
          <w:tab w:val="left" w:leader="dot" w:pos="4253"/>
          <w:tab w:val="left" w:pos="4536"/>
          <w:tab w:val="left" w:leader="dot" w:pos="8789"/>
        </w:tabs>
      </w:pPr>
      <w:r>
        <w:tab/>
      </w:r>
      <w:r>
        <w:tab/>
      </w:r>
      <w:r>
        <w:tab/>
      </w:r>
    </w:p>
    <w:p w14:paraId="61E8FF48" w14:textId="77777777" w:rsidR="00B41FE7" w:rsidRDefault="00B41FE7" w:rsidP="00B41FE7">
      <w:pPr>
        <w:keepLines/>
        <w:tabs>
          <w:tab w:val="left" w:pos="4510"/>
        </w:tabs>
      </w:pPr>
      <w:r w:rsidRPr="009D3B53">
        <w:t>Full name</w:t>
      </w:r>
      <w:r w:rsidRPr="009D3B53">
        <w:tab/>
        <w:t>Full name</w:t>
      </w:r>
    </w:p>
    <w:p w14:paraId="42966976" w14:textId="77777777" w:rsidR="00B41FE7" w:rsidRDefault="00B41FE7" w:rsidP="00B41FE7">
      <w:pPr>
        <w:keepLines/>
        <w:tabs>
          <w:tab w:val="left" w:pos="4510"/>
        </w:tabs>
      </w:pPr>
    </w:p>
    <w:p w14:paraId="1F58BAD2" w14:textId="77777777" w:rsidR="00B41FE7" w:rsidRDefault="00B41FE7" w:rsidP="00B41FE7">
      <w:pPr>
        <w:keepLines/>
        <w:tabs>
          <w:tab w:val="left" w:pos="4510"/>
        </w:tabs>
      </w:pPr>
    </w:p>
    <w:p w14:paraId="2A03D3CC" w14:textId="77777777" w:rsidR="00B41FE7" w:rsidRDefault="00B41FE7" w:rsidP="00B41FE7">
      <w:pPr>
        <w:keepLines/>
        <w:tabs>
          <w:tab w:val="left" w:leader="dot" w:pos="4253"/>
          <w:tab w:val="left" w:pos="4536"/>
          <w:tab w:val="left" w:leader="dot" w:pos="8789"/>
        </w:tabs>
      </w:pPr>
      <w:r>
        <w:tab/>
      </w:r>
      <w:r>
        <w:tab/>
      </w:r>
      <w:r>
        <w:tab/>
      </w:r>
    </w:p>
    <w:p w14:paraId="23F7DB9F" w14:textId="22F15EED" w:rsidR="00B41FE7" w:rsidRDefault="00B41FE7" w:rsidP="00B41FE7">
      <w:pPr>
        <w:keepLines/>
        <w:tabs>
          <w:tab w:val="left" w:pos="4510"/>
        </w:tabs>
      </w:pPr>
      <w:r>
        <w:t>Date</w:t>
      </w:r>
      <w:r>
        <w:tab/>
        <w:t>Date</w:t>
      </w:r>
      <w:r>
        <w:br w:type="page"/>
      </w:r>
    </w:p>
    <w:p w14:paraId="71069864" w14:textId="4CCCBB83" w:rsidR="005C081D" w:rsidRDefault="005C081D" w:rsidP="005C081D">
      <w:pPr>
        <w:pStyle w:val="Heading1"/>
      </w:pPr>
      <w:bookmarkStart w:id="584" w:name="_Toc41335376"/>
      <w:bookmarkStart w:id="585" w:name="_Toc41340203"/>
      <w:bookmarkStart w:id="586" w:name="_Toc41346063"/>
      <w:bookmarkStart w:id="587" w:name="_Toc41335207"/>
      <w:bookmarkStart w:id="588" w:name="_Toc41335377"/>
      <w:bookmarkStart w:id="589" w:name="_Toc41340204"/>
      <w:bookmarkStart w:id="590" w:name="_Toc41346064"/>
      <w:bookmarkStart w:id="591" w:name="_Toc41335209"/>
      <w:bookmarkStart w:id="592" w:name="_Toc41335379"/>
      <w:bookmarkStart w:id="593" w:name="_Toc41340206"/>
      <w:bookmarkStart w:id="594" w:name="_Toc41346066"/>
      <w:bookmarkStart w:id="595" w:name="_Toc42266494"/>
      <w:bookmarkStart w:id="596" w:name="_Toc42783644"/>
      <w:bookmarkStart w:id="597" w:name="_Ref41326701"/>
      <w:bookmarkStart w:id="598" w:name="_Ref419536204"/>
      <w:bookmarkEnd w:id="578"/>
      <w:bookmarkEnd w:id="584"/>
      <w:bookmarkEnd w:id="585"/>
      <w:bookmarkEnd w:id="586"/>
      <w:bookmarkEnd w:id="587"/>
      <w:bookmarkEnd w:id="588"/>
      <w:bookmarkEnd w:id="589"/>
      <w:bookmarkEnd w:id="590"/>
      <w:bookmarkEnd w:id="591"/>
      <w:bookmarkEnd w:id="592"/>
      <w:bookmarkEnd w:id="593"/>
      <w:bookmarkEnd w:id="594"/>
      <w:bookmarkEnd w:id="595"/>
      <w:r>
        <w:t>Consumer medicines information</w:t>
      </w:r>
      <w:bookmarkEnd w:id="596"/>
    </w:p>
    <w:p w14:paraId="25113069" w14:textId="77777777" w:rsidR="005C081D" w:rsidRDefault="005C081D" w:rsidP="005C081D">
      <w:pPr>
        <w:pStyle w:val="Headingpara2"/>
        <w:keepNext/>
      </w:pPr>
      <w:r>
        <w:t>Consumer medicines information (</w:t>
      </w:r>
      <w:r w:rsidRPr="008438F8">
        <w:rPr>
          <w:b/>
        </w:rPr>
        <w:t>CMI</w:t>
      </w:r>
      <w:r>
        <w:t>):</w:t>
      </w:r>
    </w:p>
    <w:p w14:paraId="1F7AFE31" w14:textId="77777777" w:rsidR="005C081D" w:rsidRDefault="005C081D" w:rsidP="005C081D">
      <w:pPr>
        <w:pStyle w:val="Heading3"/>
        <w:keepNext/>
      </w:pPr>
      <w:r>
        <w:t>is free, reader-friendly documentation that provides information about prescription medicines;</w:t>
      </w:r>
    </w:p>
    <w:p w14:paraId="4C7673AB" w14:textId="77777777" w:rsidR="005C081D" w:rsidRDefault="005C081D" w:rsidP="005C081D">
      <w:pPr>
        <w:pStyle w:val="Heading3"/>
        <w:keepNext/>
      </w:pPr>
      <w:r>
        <w:t>answers common questions about the medicine; and</w:t>
      </w:r>
    </w:p>
    <w:p w14:paraId="7740471A" w14:textId="77777777" w:rsidR="005C081D" w:rsidRDefault="005C081D" w:rsidP="007817E1">
      <w:pPr>
        <w:pStyle w:val="Heading3"/>
        <w:ind w:left="1702" w:hanging="851"/>
      </w:pPr>
      <w:r>
        <w:t xml:space="preserve">is a valuable resource for patients and should be provided in conjunction with counselling from a health professional. </w:t>
      </w:r>
    </w:p>
    <w:p w14:paraId="77F4A46E" w14:textId="77777777" w:rsidR="005C081D" w:rsidRDefault="005C081D" w:rsidP="005C081D">
      <w:pPr>
        <w:pStyle w:val="Headingpara2"/>
      </w:pPr>
      <w:r>
        <w:t>Recognising the benefits of CMI, the Guild will ensure that Approved Pharmacists provide CMI to patients in accordance with all relevant professional practice standards and guidelines, including Standard 6 (Medicines Information) of the PSA’s Professional Practice Standards, as clinically appropriate.</w:t>
      </w:r>
    </w:p>
    <w:p w14:paraId="08F81547" w14:textId="5E9F95D7" w:rsidR="005C081D" w:rsidRDefault="005C081D" w:rsidP="005C081D">
      <w:pPr>
        <w:pStyle w:val="Heading1"/>
      </w:pPr>
      <w:bookmarkStart w:id="599" w:name="_Ref41331776"/>
      <w:bookmarkStart w:id="600" w:name="_Toc42783645"/>
      <w:bookmarkEnd w:id="597"/>
      <w:r w:rsidRPr="001D16E5">
        <w:t>Consultation</w:t>
      </w:r>
      <w:bookmarkEnd w:id="599"/>
      <w:bookmarkEnd w:id="600"/>
    </w:p>
    <w:p w14:paraId="305503E2" w14:textId="556E966B" w:rsidR="005C081D" w:rsidRDefault="00434DF0" w:rsidP="005C081D">
      <w:pPr>
        <w:pStyle w:val="Heading2"/>
      </w:pPr>
      <w:bookmarkStart w:id="601" w:name="_Ref41332371"/>
      <w:bookmarkStart w:id="602" w:name="_Toc42783646"/>
      <w:r>
        <w:t xml:space="preserve">Community Pharmacy </w:t>
      </w:r>
      <w:r w:rsidR="00771AEC">
        <w:t>Consultation Committee</w:t>
      </w:r>
      <w:bookmarkEnd w:id="601"/>
      <w:bookmarkEnd w:id="602"/>
    </w:p>
    <w:p w14:paraId="4882CCB1" w14:textId="1182653C" w:rsidR="005C081D" w:rsidRDefault="005C081D" w:rsidP="005C081D">
      <w:pPr>
        <w:pStyle w:val="Heading3"/>
        <w:ind w:left="1708" w:hanging="840"/>
      </w:pPr>
      <w:r>
        <w:t xml:space="preserve">The Commonwealth and the Guild establish </w:t>
      </w:r>
      <w:r w:rsidRPr="001D16E5">
        <w:t>the</w:t>
      </w:r>
      <w:r w:rsidRPr="00BC30C1">
        <w:t xml:space="preserve"> </w:t>
      </w:r>
      <w:r w:rsidR="007C44B2">
        <w:t>Community Pharm</w:t>
      </w:r>
      <w:r w:rsidR="00434DF0">
        <w:t>acy</w:t>
      </w:r>
      <w:r w:rsidRPr="00771AEC">
        <w:t xml:space="preserve"> Consultation Committee </w:t>
      </w:r>
      <w:r w:rsidR="00771AEC" w:rsidRPr="00771AEC">
        <w:t>(</w:t>
      </w:r>
      <w:r w:rsidR="00434DF0">
        <w:rPr>
          <w:b/>
        </w:rPr>
        <w:t>CPCC</w:t>
      </w:r>
      <w:r w:rsidR="00771AEC" w:rsidRPr="00771AEC">
        <w:t xml:space="preserve">) </w:t>
      </w:r>
      <w:bookmarkStart w:id="603" w:name="_Hlk41330793"/>
      <w:r w:rsidR="00771AEC" w:rsidRPr="00771AEC">
        <w:t xml:space="preserve">to enable consultation </w:t>
      </w:r>
      <w:r w:rsidR="00F7201A">
        <w:t>by</w:t>
      </w:r>
      <w:r w:rsidR="00F7201A" w:rsidRPr="00771AEC">
        <w:t xml:space="preserve"> </w:t>
      </w:r>
      <w:r w:rsidR="00771AEC" w:rsidRPr="00771AEC">
        <w:t>them in relation to</w:t>
      </w:r>
      <w:r w:rsidR="00591D02">
        <w:t xml:space="preserve"> matters between them in this Agreement</w:t>
      </w:r>
      <w:bookmarkEnd w:id="603"/>
      <w:r>
        <w:t>.</w:t>
      </w:r>
    </w:p>
    <w:p w14:paraId="5CF3891A" w14:textId="4E955C62" w:rsidR="005C081D" w:rsidRDefault="005C081D" w:rsidP="00777134">
      <w:pPr>
        <w:pStyle w:val="Heading3"/>
        <w:keepNext/>
        <w:keepLines/>
        <w:ind w:left="1707" w:hanging="839"/>
      </w:pPr>
      <w:r>
        <w:t xml:space="preserve">The </w:t>
      </w:r>
      <w:r w:rsidR="00434DF0">
        <w:t>CP</w:t>
      </w:r>
      <w:r w:rsidR="00771AEC">
        <w:t>CC</w:t>
      </w:r>
      <w:r>
        <w:t xml:space="preserve"> is to be the primary consultation mechanism to support the achievement of the </w:t>
      </w:r>
      <w:r w:rsidR="00771AEC">
        <w:t>Commonwealth and the Guild’s objectives</w:t>
      </w:r>
      <w:r>
        <w:t xml:space="preserve"> under this Agreement</w:t>
      </w:r>
      <w:r w:rsidR="00771AEC">
        <w:t xml:space="preserve"> and will meet up to two (2) times per year, unless the Department and the Guild agree that one or more additional meetings are required.</w:t>
      </w:r>
    </w:p>
    <w:p w14:paraId="6B40AEFF" w14:textId="46A8437C" w:rsidR="005C081D" w:rsidRPr="00906718" w:rsidRDefault="005C081D" w:rsidP="00777134">
      <w:pPr>
        <w:pStyle w:val="Heading3"/>
        <w:keepNext/>
      </w:pPr>
      <w:bookmarkStart w:id="604" w:name="_Hlk41331591"/>
      <w:r>
        <w:t xml:space="preserve">The </w:t>
      </w:r>
      <w:r w:rsidR="00434DF0">
        <w:t>CPCC</w:t>
      </w:r>
      <w:r>
        <w:t xml:space="preserve"> will not be a decision-making body</w:t>
      </w:r>
      <w:r w:rsidR="00877EE6">
        <w:t xml:space="preserve"> and r</w:t>
      </w:r>
      <w:r>
        <w:t xml:space="preserve">ecommendations arising from the </w:t>
      </w:r>
      <w:r w:rsidR="00434DF0">
        <w:t>CPCC</w:t>
      </w:r>
      <w:r w:rsidR="00771AEC">
        <w:t xml:space="preserve"> need not be unanimous</w:t>
      </w:r>
      <w:r>
        <w:t xml:space="preserve">. </w:t>
      </w:r>
    </w:p>
    <w:bookmarkEnd w:id="604"/>
    <w:p w14:paraId="301CA443" w14:textId="41DB1CCA" w:rsidR="005C081D" w:rsidRDefault="005C081D" w:rsidP="00F5714D">
      <w:pPr>
        <w:pStyle w:val="Heading3"/>
      </w:pPr>
      <w:r>
        <w:t xml:space="preserve">The terms of reference for the </w:t>
      </w:r>
      <w:r w:rsidR="00434DF0">
        <w:t>CP</w:t>
      </w:r>
      <w:r w:rsidR="00877EE6">
        <w:t>CC</w:t>
      </w:r>
      <w:r>
        <w:t xml:space="preserve"> are set out in Appendix C (</w:t>
      </w:r>
      <w:r w:rsidR="00434DF0">
        <w:rPr>
          <w:b/>
        </w:rPr>
        <w:t>CP</w:t>
      </w:r>
      <w:r w:rsidR="00505959" w:rsidRPr="00505959">
        <w:rPr>
          <w:b/>
        </w:rPr>
        <w:t xml:space="preserve">CC </w:t>
      </w:r>
      <w:r w:rsidRPr="00771AEC">
        <w:rPr>
          <w:b/>
        </w:rPr>
        <w:t>Terms of Reference</w:t>
      </w:r>
      <w:r>
        <w:t>).</w:t>
      </w:r>
      <w:r w:rsidR="00771AEC">
        <w:t xml:space="preserve">  </w:t>
      </w:r>
      <w:bookmarkStart w:id="605" w:name="_Hlk41331705"/>
      <w:r>
        <w:t xml:space="preserve">Meetings of the </w:t>
      </w:r>
      <w:r w:rsidR="00877EE6">
        <w:t>C</w:t>
      </w:r>
      <w:r w:rsidR="00434DF0">
        <w:t>PCC</w:t>
      </w:r>
      <w:r>
        <w:t xml:space="preserve"> will be conducted in accordance with the </w:t>
      </w:r>
      <w:r w:rsidR="00434DF0">
        <w:t>CPCC</w:t>
      </w:r>
      <w:r w:rsidR="00505959">
        <w:t xml:space="preserve"> </w:t>
      </w:r>
      <w:r>
        <w:t>Terms of Reference.</w:t>
      </w:r>
      <w:bookmarkEnd w:id="605"/>
    </w:p>
    <w:p w14:paraId="057F47D3" w14:textId="6D5F28ED" w:rsidR="005C081D" w:rsidRPr="002A78FF" w:rsidRDefault="005C081D" w:rsidP="00F5714D">
      <w:pPr>
        <w:pStyle w:val="Heading3"/>
      </w:pPr>
      <w:r>
        <w:t xml:space="preserve">Each of the Department and the Guild may appoint up to three </w:t>
      </w:r>
      <w:r w:rsidR="00E449B7">
        <w:t xml:space="preserve">(3) </w:t>
      </w:r>
      <w:r>
        <w:t xml:space="preserve">people to be members of the </w:t>
      </w:r>
      <w:r w:rsidR="00434DF0">
        <w:t>CPCC</w:t>
      </w:r>
      <w:r>
        <w:t>.</w:t>
      </w:r>
      <w:r w:rsidR="00771AEC">
        <w:t xml:space="preserve"> </w:t>
      </w:r>
      <w:r w:rsidR="00434DF0">
        <w:t xml:space="preserve"> Either of the Department or the Guild </w:t>
      </w:r>
      <w:r>
        <w:t>may invite additional stakeholders to attend a committee meeting</w:t>
      </w:r>
      <w:r w:rsidR="00434DF0">
        <w:t>, with prior notice to the Chair of that meeting</w:t>
      </w:r>
      <w:r>
        <w:t>.</w:t>
      </w:r>
    </w:p>
    <w:p w14:paraId="4DEE00F7" w14:textId="0C787471" w:rsidR="005C081D" w:rsidRDefault="005C081D" w:rsidP="00771AEC">
      <w:pPr>
        <w:pStyle w:val="Heading3"/>
      </w:pPr>
      <w:r>
        <w:t xml:space="preserve">The </w:t>
      </w:r>
      <w:r w:rsidR="00434DF0">
        <w:t>CPCC</w:t>
      </w:r>
      <w:r>
        <w:t xml:space="preserve"> will be chaired by a senior representative of the Department or the Guild, in turn, on a revolving basis.</w:t>
      </w:r>
    </w:p>
    <w:p w14:paraId="5B6D5FC8" w14:textId="1D7B47FF" w:rsidR="007B6076" w:rsidRDefault="007B6076" w:rsidP="00434DF0">
      <w:pPr>
        <w:pStyle w:val="Heading2"/>
        <w:keepNext w:val="0"/>
      </w:pPr>
      <w:bookmarkStart w:id="606" w:name="_Ref41332375"/>
      <w:bookmarkStart w:id="607" w:name="_Toc42783647"/>
      <w:r>
        <w:t>Consultation with others</w:t>
      </w:r>
      <w:bookmarkEnd w:id="606"/>
      <w:bookmarkEnd w:id="607"/>
    </w:p>
    <w:p w14:paraId="7C07F341" w14:textId="239976E3" w:rsidR="007B6076" w:rsidRPr="004D0D4E" w:rsidRDefault="007B6076" w:rsidP="00434DF0">
      <w:pPr>
        <w:pStyle w:val="Heading3"/>
      </w:pPr>
      <w:bookmarkStart w:id="608" w:name="_Ref42543267"/>
      <w:r w:rsidRPr="004D0D4E">
        <w:t xml:space="preserve">The </w:t>
      </w:r>
      <w:r w:rsidR="00B34AA5">
        <w:t xml:space="preserve">Commonwealth </w:t>
      </w:r>
      <w:r w:rsidR="004D0D4E" w:rsidRPr="004D0D4E">
        <w:t xml:space="preserve">and the Guild </w:t>
      </w:r>
      <w:r w:rsidRPr="004D0D4E">
        <w:t xml:space="preserve">establish the </w:t>
      </w:r>
      <w:r w:rsidR="00434DF0" w:rsidRPr="004D0D4E">
        <w:t>Pharmacy Stakeholder</w:t>
      </w:r>
      <w:r w:rsidRPr="004D0D4E">
        <w:t xml:space="preserve"> Consultation </w:t>
      </w:r>
      <w:r w:rsidR="005C081D" w:rsidRPr="004D0D4E">
        <w:t xml:space="preserve">Committee </w:t>
      </w:r>
      <w:r w:rsidRPr="004D0D4E">
        <w:t>(</w:t>
      </w:r>
      <w:r w:rsidR="00434DF0" w:rsidRPr="004D0D4E">
        <w:rPr>
          <w:b/>
        </w:rPr>
        <w:t>PS</w:t>
      </w:r>
      <w:r w:rsidRPr="004D0D4E">
        <w:rPr>
          <w:b/>
        </w:rPr>
        <w:t>CC</w:t>
      </w:r>
      <w:r w:rsidRPr="004D0D4E">
        <w:t xml:space="preserve">) to enable </w:t>
      </w:r>
      <w:r w:rsidR="00A4339F" w:rsidRPr="004D0D4E">
        <w:t xml:space="preserve">wider </w:t>
      </w:r>
      <w:r w:rsidRPr="004D0D4E">
        <w:t>consultation between the Department and the broader pharmacy sector.</w:t>
      </w:r>
      <w:bookmarkEnd w:id="608"/>
    </w:p>
    <w:p w14:paraId="3E3A2304" w14:textId="5D38B17E" w:rsidR="00505959" w:rsidRPr="004D0D4E" w:rsidRDefault="007B6076" w:rsidP="00434DF0">
      <w:pPr>
        <w:pStyle w:val="Heading3"/>
      </w:pPr>
      <w:r w:rsidRPr="004D0D4E">
        <w:t>The P</w:t>
      </w:r>
      <w:r w:rsidR="00434DF0" w:rsidRPr="004D0D4E">
        <w:t>S</w:t>
      </w:r>
      <w:r w:rsidRPr="004D0D4E">
        <w:t xml:space="preserve">CC is a consultation mechanism </w:t>
      </w:r>
      <w:r w:rsidR="00505959" w:rsidRPr="004D0D4E">
        <w:t>intended to facilitate broad engagement</w:t>
      </w:r>
      <w:r w:rsidR="00C22CD5" w:rsidRPr="004D0D4E">
        <w:t xml:space="preserve"> </w:t>
      </w:r>
      <w:r w:rsidR="004D0D4E" w:rsidRPr="004D0D4E">
        <w:t>between</w:t>
      </w:r>
      <w:r w:rsidR="00C22CD5" w:rsidRPr="004D0D4E">
        <w:t xml:space="preserve"> parties interested in the operation and development of the elements of </w:t>
      </w:r>
      <w:r w:rsidR="00505959" w:rsidRPr="004D0D4E">
        <w:t>the pharmacy sector</w:t>
      </w:r>
      <w:r w:rsidR="00C22CD5" w:rsidRPr="004D0D4E">
        <w:t xml:space="preserve"> funded by the Commonwealth</w:t>
      </w:r>
      <w:r w:rsidR="00D86118">
        <w:t>, including Community Pharmacy Programs</w:t>
      </w:r>
      <w:r w:rsidR="00505959" w:rsidRPr="004D0D4E">
        <w:t xml:space="preserve">.  </w:t>
      </w:r>
    </w:p>
    <w:p w14:paraId="4783695C" w14:textId="642E9A47" w:rsidR="007B6076" w:rsidRDefault="00505959" w:rsidP="00E449B7">
      <w:pPr>
        <w:pStyle w:val="Heading3"/>
        <w:keepNext/>
        <w:keepLines/>
        <w:ind w:left="1702" w:hanging="851"/>
      </w:pPr>
      <w:r>
        <w:t>The P</w:t>
      </w:r>
      <w:r w:rsidR="00434DF0">
        <w:t>S</w:t>
      </w:r>
      <w:r>
        <w:t>CC will</w:t>
      </w:r>
      <w:r w:rsidR="007B6076" w:rsidRPr="007B6076">
        <w:t xml:space="preserve"> meet up to two (2) times per year, unless the Department </w:t>
      </w:r>
      <w:r>
        <w:t>considers</w:t>
      </w:r>
      <w:r w:rsidR="007B6076" w:rsidRPr="007B6076">
        <w:t xml:space="preserve"> that one or more additional meetings are required.</w:t>
      </w:r>
      <w:r>
        <w:t xml:space="preserve">  It is the Department’s intention that any meetings of the </w:t>
      </w:r>
      <w:r w:rsidR="00434DF0">
        <w:t>C</w:t>
      </w:r>
      <w:r>
        <w:t xml:space="preserve">PCC and </w:t>
      </w:r>
      <w:r w:rsidR="00434DF0">
        <w:t>PS</w:t>
      </w:r>
      <w:r>
        <w:t>CC will occur on the same day, if possible.</w:t>
      </w:r>
    </w:p>
    <w:p w14:paraId="50827F59" w14:textId="3E9E9803" w:rsidR="00505959" w:rsidRDefault="00505959" w:rsidP="007B6076">
      <w:pPr>
        <w:pStyle w:val="Heading3"/>
        <w:keepNext/>
      </w:pPr>
      <w:r>
        <w:t>The Guild and the PSA will be standing members of the P</w:t>
      </w:r>
      <w:r w:rsidR="00434DF0">
        <w:t>S</w:t>
      </w:r>
      <w:r>
        <w:t>CC, and the Department may invite other stakeholders (including</w:t>
      </w:r>
      <w:r w:rsidRPr="00505959">
        <w:t xml:space="preserve"> NACCHO</w:t>
      </w:r>
      <w:r w:rsidR="00CB65AC">
        <w:t xml:space="preserve"> and</w:t>
      </w:r>
      <w:r w:rsidRPr="00505959">
        <w:t xml:space="preserve"> Consumers Health Forum</w:t>
      </w:r>
      <w:r>
        <w:t>) as it considers appropriate.</w:t>
      </w:r>
    </w:p>
    <w:p w14:paraId="0904A13B" w14:textId="60B51C6A" w:rsidR="00505959" w:rsidRPr="00906718" w:rsidRDefault="00505959" w:rsidP="00505959">
      <w:pPr>
        <w:pStyle w:val="Heading3"/>
      </w:pPr>
      <w:r>
        <w:t>The P</w:t>
      </w:r>
      <w:r w:rsidR="00434DF0">
        <w:t>S</w:t>
      </w:r>
      <w:r>
        <w:t>CC will not be a decision-making body and recommendations arising from the P</w:t>
      </w:r>
      <w:r w:rsidR="00434DF0">
        <w:t>S</w:t>
      </w:r>
      <w:r>
        <w:t xml:space="preserve">CC need not be unanimous. </w:t>
      </w:r>
    </w:p>
    <w:p w14:paraId="48174548" w14:textId="3DCEE6AB" w:rsidR="005C081D" w:rsidRDefault="00505959" w:rsidP="007B6076">
      <w:pPr>
        <w:pStyle w:val="Heading3"/>
        <w:keepNext/>
      </w:pPr>
      <w:r>
        <w:t>The terms of reference for the P</w:t>
      </w:r>
      <w:r w:rsidR="00434DF0">
        <w:t>S</w:t>
      </w:r>
      <w:r>
        <w:t xml:space="preserve">CC </w:t>
      </w:r>
      <w:r w:rsidR="00A4339F">
        <w:t>(</w:t>
      </w:r>
      <w:r w:rsidR="00A4339F" w:rsidRPr="00505959">
        <w:rPr>
          <w:b/>
        </w:rPr>
        <w:t>P</w:t>
      </w:r>
      <w:r w:rsidR="00434DF0">
        <w:rPr>
          <w:b/>
        </w:rPr>
        <w:t>S</w:t>
      </w:r>
      <w:r w:rsidR="00A4339F" w:rsidRPr="00505959">
        <w:rPr>
          <w:b/>
        </w:rPr>
        <w:t>CC Terms of Reference</w:t>
      </w:r>
      <w:r w:rsidR="00A4339F">
        <w:t xml:space="preserve">) </w:t>
      </w:r>
      <w:r>
        <w:t>will be developed by the Department</w:t>
      </w:r>
      <w:r w:rsidR="00F05DFB">
        <w:t>, in consultation with the Guild</w:t>
      </w:r>
      <w:r w:rsidR="001924E9">
        <w:t xml:space="preserve"> and the PSA</w:t>
      </w:r>
      <w:r w:rsidR="00F05DFB">
        <w:t>,</w:t>
      </w:r>
      <w:r>
        <w:t xml:space="preserve"> and endorsed by the Minister </w:t>
      </w:r>
      <w:r w:rsidR="00A4339F">
        <w:t>from time to time</w:t>
      </w:r>
      <w:r>
        <w:t>.  Meetings of the P</w:t>
      </w:r>
      <w:r w:rsidR="00434DF0">
        <w:t>SCC</w:t>
      </w:r>
      <w:r>
        <w:t xml:space="preserve"> will be conducted in accordance with the P</w:t>
      </w:r>
      <w:r w:rsidR="00434DF0">
        <w:t>S</w:t>
      </w:r>
      <w:r>
        <w:t>CC Terms of Reference.</w:t>
      </w:r>
    </w:p>
    <w:p w14:paraId="6C5E2829" w14:textId="6615A37D" w:rsidR="00A4339F" w:rsidRDefault="00A4339F" w:rsidP="007B6076">
      <w:pPr>
        <w:pStyle w:val="Heading3"/>
        <w:keepNext/>
      </w:pPr>
      <w:r>
        <w:t xml:space="preserve">Each of the Department, the Guild and the PSA may appoint up to three </w:t>
      </w:r>
      <w:r w:rsidR="00E449B7">
        <w:t xml:space="preserve">(3) </w:t>
      </w:r>
      <w:r>
        <w:t>people to be members of the P</w:t>
      </w:r>
      <w:r w:rsidR="00434DF0">
        <w:t>S</w:t>
      </w:r>
      <w:r>
        <w:t>CC.  The number of representatives of other attendees will be determined by the Chair of the P</w:t>
      </w:r>
      <w:r w:rsidR="00434DF0">
        <w:t>S</w:t>
      </w:r>
      <w:r>
        <w:t>CC from time to time.</w:t>
      </w:r>
    </w:p>
    <w:p w14:paraId="505CE471" w14:textId="37A8760E" w:rsidR="00A4339F" w:rsidRDefault="00D57127" w:rsidP="00F5714D">
      <w:pPr>
        <w:pStyle w:val="Heading3"/>
        <w:keepNext/>
      </w:pPr>
      <w:r>
        <w:t>Meetings of th</w:t>
      </w:r>
      <w:r w:rsidR="00A4339F" w:rsidRPr="00A4339F">
        <w:t xml:space="preserve">e </w:t>
      </w:r>
      <w:r w:rsidR="00A4339F">
        <w:t>P</w:t>
      </w:r>
      <w:r w:rsidR="00434DF0">
        <w:t>S</w:t>
      </w:r>
      <w:r w:rsidR="00A4339F" w:rsidRPr="00A4339F">
        <w:t>CC will be chaired by a senior representative of the Department or</w:t>
      </w:r>
      <w:r w:rsidR="00A4339F">
        <w:t>, where the P</w:t>
      </w:r>
      <w:r w:rsidR="00434DF0">
        <w:t>S</w:t>
      </w:r>
      <w:r w:rsidR="00A4339F">
        <w:t>CC is considering matters relevant to the Aboriginal and Torres Strait Islander peoples, a representative of the Aboriginal and Torres Strait Islander community.</w:t>
      </w:r>
    </w:p>
    <w:p w14:paraId="240D7C42" w14:textId="106D7B8D" w:rsidR="00A4339F" w:rsidRDefault="00A4339F" w:rsidP="00E449B7">
      <w:pPr>
        <w:pStyle w:val="Heading2"/>
        <w:keepLines/>
      </w:pPr>
      <w:bookmarkStart w:id="609" w:name="_Toc42783648"/>
      <w:r>
        <w:t>Consultation on policy reforms</w:t>
      </w:r>
      <w:bookmarkEnd w:id="609"/>
    </w:p>
    <w:p w14:paraId="3464A673" w14:textId="77777777" w:rsidR="00A4339F" w:rsidRDefault="00A4339F" w:rsidP="00E449B7">
      <w:pPr>
        <w:pStyle w:val="Heading3"/>
        <w:keepNext/>
        <w:keepLines/>
      </w:pPr>
      <w:r>
        <w:t xml:space="preserve">Nothing in this Agreement, or any other document connected with this Agreement, limits the ability of the Australian Government to </w:t>
      </w:r>
      <w:r w:rsidRPr="00AE430C">
        <w:t>announce or implement policy</w:t>
      </w:r>
      <w:r>
        <w:t xml:space="preserve"> reforms that may impact the community pharmacy sector or the pharmacy profession.</w:t>
      </w:r>
    </w:p>
    <w:p w14:paraId="145265A4" w14:textId="77777777" w:rsidR="00A4339F" w:rsidRDefault="00A4339F" w:rsidP="00E449B7">
      <w:pPr>
        <w:pStyle w:val="Heading3"/>
        <w:keepNext/>
        <w:keepLines/>
      </w:pPr>
      <w:bookmarkStart w:id="610" w:name="_Ref41339946"/>
      <w:r>
        <w:t>If:</w:t>
      </w:r>
      <w:bookmarkEnd w:id="610"/>
    </w:p>
    <w:p w14:paraId="38121294" w14:textId="653A7ABD" w:rsidR="00A4339F" w:rsidRDefault="00A4339F" w:rsidP="00E449B7">
      <w:pPr>
        <w:pStyle w:val="Heading4"/>
        <w:keepNext/>
        <w:keepLines/>
      </w:pPr>
      <w:r>
        <w:t xml:space="preserve">the Australian Government </w:t>
      </w:r>
      <w:r w:rsidR="00CB65AC">
        <w:t xml:space="preserve">intends to </w:t>
      </w:r>
      <w:r>
        <w:t>announce a Health portfolio policy reform that is relevant to the community pharmacy sector or the pharmacy profession (or both); and</w:t>
      </w:r>
    </w:p>
    <w:p w14:paraId="285F94FA" w14:textId="77777777" w:rsidR="00A4339F" w:rsidRDefault="00A4339F" w:rsidP="00A4339F">
      <w:pPr>
        <w:pStyle w:val="Heading4"/>
      </w:pPr>
      <w:r>
        <w:t>the Guild or the PSA (or both) can demonstrate that the implementation of the Health portfolio policy reform is likely to have a significant and sustained impact on the viability of the community pharmacy sector or the pharmacy profession (or both),</w:t>
      </w:r>
    </w:p>
    <w:p w14:paraId="75E31328" w14:textId="77777777" w:rsidR="00A4339F" w:rsidRDefault="00A4339F" w:rsidP="00A4339F">
      <w:pPr>
        <w:pStyle w:val="BodyIndent2"/>
      </w:pPr>
      <w:r>
        <w:t>the Guild or the PSA (or both) may request that the Department consults with the Guild or the PSA (or both) with respect to the implementation of that policy reform.</w:t>
      </w:r>
    </w:p>
    <w:p w14:paraId="2362EBA8" w14:textId="1C9CB6CF" w:rsidR="00A4339F" w:rsidRPr="00527995" w:rsidRDefault="00A4339F" w:rsidP="00A4339F">
      <w:pPr>
        <w:pStyle w:val="Heading3"/>
      </w:pPr>
      <w:r>
        <w:t>If the Guild or the PSA (or both) requests a consultation under clause</w:t>
      </w:r>
      <w:r w:rsidR="00AD0465">
        <w:t xml:space="preserve"> </w:t>
      </w:r>
      <w:r w:rsidR="00AD0465">
        <w:fldChar w:fldCharType="begin"/>
      </w:r>
      <w:r w:rsidR="00AD0465">
        <w:instrText xml:space="preserve"> REF _Ref41339946 \w \h </w:instrText>
      </w:r>
      <w:r w:rsidR="00AD0465">
        <w:fldChar w:fldCharType="separate"/>
      </w:r>
      <w:r w:rsidR="00982D02">
        <w:t>16.3.2</w:t>
      </w:r>
      <w:r w:rsidR="00AD0465">
        <w:fldChar w:fldCharType="end"/>
      </w:r>
      <w:r>
        <w:t>, the Australian Government will consider (but is not obliged to adopt) the views of the Guild and PSA provided via the consultation when finalising the arrangements for the implementation of the announced policy reform or reviewing its outcomes.</w:t>
      </w:r>
    </w:p>
    <w:p w14:paraId="76B58F3F" w14:textId="724960BF" w:rsidR="00505959" w:rsidRDefault="00505959" w:rsidP="005C081D">
      <w:pPr>
        <w:pStyle w:val="Heading2"/>
      </w:pPr>
      <w:bookmarkStart w:id="611" w:name="_Toc42783649"/>
      <w:r>
        <w:t>Consultation generally</w:t>
      </w:r>
      <w:bookmarkEnd w:id="611"/>
    </w:p>
    <w:p w14:paraId="682FEC5B" w14:textId="6A73E002" w:rsidR="00505959" w:rsidRPr="00505959" w:rsidRDefault="005F667E" w:rsidP="00A4339F">
      <w:pPr>
        <w:pStyle w:val="Heading3"/>
      </w:pPr>
      <w:r>
        <w:t xml:space="preserve">Nothing in this clause </w:t>
      </w:r>
      <w:r>
        <w:fldChar w:fldCharType="begin"/>
      </w:r>
      <w:r>
        <w:instrText xml:space="preserve"> REF _Ref41331776 \w \h </w:instrText>
      </w:r>
      <w:r>
        <w:fldChar w:fldCharType="separate"/>
      </w:r>
      <w:r w:rsidR="00982D02">
        <w:t>16</w:t>
      </w:r>
      <w:r>
        <w:fldChar w:fldCharType="end"/>
      </w:r>
      <w:r>
        <w:t xml:space="preserve"> precludes the </w:t>
      </w:r>
      <w:r w:rsidR="00A4339F">
        <w:t>Department from</w:t>
      </w:r>
      <w:r>
        <w:t xml:space="preserve"> consulting with any person at any time.</w:t>
      </w:r>
    </w:p>
    <w:p w14:paraId="5A726777" w14:textId="1D729090" w:rsidR="005C081D" w:rsidRDefault="005C081D" w:rsidP="00D57127">
      <w:pPr>
        <w:pStyle w:val="Heading3"/>
        <w:keepLines/>
        <w:ind w:left="1702" w:hanging="851"/>
      </w:pPr>
      <w:bookmarkStart w:id="612" w:name="_Ref41334182"/>
      <w:r>
        <w:t xml:space="preserve">In the second </w:t>
      </w:r>
      <w:r w:rsidR="005D6C59">
        <w:t>Financial Y</w:t>
      </w:r>
      <w:r>
        <w:t xml:space="preserve">ear, the Department may conduct a review of the arrangements under </w:t>
      </w:r>
      <w:r w:rsidR="00A4339F">
        <w:t xml:space="preserve">clauses </w:t>
      </w:r>
      <w:r w:rsidR="00A4339F">
        <w:fldChar w:fldCharType="begin"/>
      </w:r>
      <w:r w:rsidR="00A4339F">
        <w:instrText xml:space="preserve"> REF _Ref41332371 \w \h </w:instrText>
      </w:r>
      <w:r w:rsidR="00A4339F">
        <w:fldChar w:fldCharType="separate"/>
      </w:r>
      <w:r w:rsidR="00982D02">
        <w:t>16.1</w:t>
      </w:r>
      <w:r w:rsidR="00A4339F">
        <w:fldChar w:fldCharType="end"/>
      </w:r>
      <w:r w:rsidR="00A4339F">
        <w:t xml:space="preserve"> and </w:t>
      </w:r>
      <w:r w:rsidR="00A4339F">
        <w:fldChar w:fldCharType="begin"/>
      </w:r>
      <w:r w:rsidR="00A4339F">
        <w:instrText xml:space="preserve"> REF _Ref41332375 \w \h </w:instrText>
      </w:r>
      <w:r w:rsidR="00A4339F">
        <w:fldChar w:fldCharType="separate"/>
      </w:r>
      <w:r w:rsidR="00982D02">
        <w:t>16.2</w:t>
      </w:r>
      <w:r w:rsidR="00A4339F">
        <w:fldChar w:fldCharType="end"/>
      </w:r>
      <w:r w:rsidR="00A4339F">
        <w:t xml:space="preserve"> </w:t>
      </w:r>
      <w:r>
        <w:t xml:space="preserve">to assess their continued suitability. </w:t>
      </w:r>
      <w:bookmarkEnd w:id="612"/>
    </w:p>
    <w:p w14:paraId="42885FA8" w14:textId="47A45DE1" w:rsidR="00E9176D" w:rsidRPr="009D3B53" w:rsidRDefault="00CC7B6D" w:rsidP="00E850B4">
      <w:pPr>
        <w:pStyle w:val="Heading1"/>
      </w:pPr>
      <w:bookmarkStart w:id="613" w:name="_Toc41335231"/>
      <w:bookmarkStart w:id="614" w:name="_Toc41335401"/>
      <w:bookmarkStart w:id="615" w:name="_Toc41340228"/>
      <w:bookmarkStart w:id="616" w:name="_Toc41346088"/>
      <w:bookmarkStart w:id="617" w:name="_Toc41335233"/>
      <w:bookmarkStart w:id="618" w:name="_Toc41335403"/>
      <w:bookmarkStart w:id="619" w:name="_Toc41340230"/>
      <w:bookmarkStart w:id="620" w:name="_Toc41346090"/>
      <w:bookmarkStart w:id="621" w:name="_Toc41328671"/>
      <w:bookmarkStart w:id="622" w:name="_Toc41335234"/>
      <w:bookmarkStart w:id="623" w:name="_Toc41335404"/>
      <w:bookmarkStart w:id="624" w:name="_Toc41340231"/>
      <w:bookmarkStart w:id="625" w:name="_Toc41346091"/>
      <w:bookmarkStart w:id="626" w:name="_Toc41328672"/>
      <w:bookmarkStart w:id="627" w:name="_Toc41335235"/>
      <w:bookmarkStart w:id="628" w:name="_Toc41335405"/>
      <w:bookmarkStart w:id="629" w:name="_Toc41340232"/>
      <w:bookmarkStart w:id="630" w:name="_Toc41346092"/>
      <w:bookmarkStart w:id="631" w:name="_Toc41328673"/>
      <w:bookmarkStart w:id="632" w:name="_Toc41335236"/>
      <w:bookmarkStart w:id="633" w:name="_Toc41335406"/>
      <w:bookmarkStart w:id="634" w:name="_Toc41340233"/>
      <w:bookmarkStart w:id="635" w:name="_Toc41346093"/>
      <w:bookmarkStart w:id="636" w:name="_Toc41328675"/>
      <w:bookmarkStart w:id="637" w:name="_Toc41335238"/>
      <w:bookmarkStart w:id="638" w:name="_Toc41335408"/>
      <w:bookmarkStart w:id="639" w:name="_Toc41340235"/>
      <w:bookmarkStart w:id="640" w:name="_Toc41346095"/>
      <w:bookmarkStart w:id="641" w:name="_Toc41328681"/>
      <w:bookmarkStart w:id="642" w:name="_Toc41335244"/>
      <w:bookmarkStart w:id="643" w:name="_Toc41335414"/>
      <w:bookmarkStart w:id="644" w:name="_Toc41340241"/>
      <w:bookmarkStart w:id="645" w:name="_Toc41346101"/>
      <w:bookmarkStart w:id="646" w:name="_Toc41328691"/>
      <w:bookmarkStart w:id="647" w:name="_Toc41335254"/>
      <w:bookmarkStart w:id="648" w:name="_Toc41335424"/>
      <w:bookmarkStart w:id="649" w:name="_Toc41340251"/>
      <w:bookmarkStart w:id="650" w:name="_Toc41346111"/>
      <w:bookmarkStart w:id="651" w:name="_Ref29207164"/>
      <w:bookmarkStart w:id="652" w:name="_Ref29314178"/>
      <w:bookmarkStart w:id="653" w:name="_Toc42783650"/>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sidRPr="009D3B53">
        <w:t xml:space="preserve">Issue </w:t>
      </w:r>
      <w:r w:rsidR="00E9176D" w:rsidRPr="009D3B53">
        <w:t>resolution</w:t>
      </w:r>
      <w:bookmarkEnd w:id="598"/>
      <w:bookmarkEnd w:id="651"/>
      <w:bookmarkEnd w:id="652"/>
      <w:bookmarkEnd w:id="653"/>
    </w:p>
    <w:p w14:paraId="04CA7CEA" w14:textId="3E4A3AC9" w:rsidR="00E9176D" w:rsidRPr="009D3B53" w:rsidRDefault="00E9176D" w:rsidP="00E850B4">
      <w:pPr>
        <w:pStyle w:val="Headingpara2"/>
        <w:keepNext/>
      </w:pPr>
      <w:bookmarkStart w:id="654" w:name="_Ref419467550"/>
      <w:r w:rsidRPr="009D3B53">
        <w:t xml:space="preserve">Any </w:t>
      </w:r>
      <w:r w:rsidR="00AE430C">
        <w:t>I</w:t>
      </w:r>
      <w:r w:rsidR="00CC7B6D" w:rsidRPr="009D3B53">
        <w:t>ssue</w:t>
      </w:r>
      <w:r w:rsidR="00352F67">
        <w:t xml:space="preserve"> arising in connection with, or </w:t>
      </w:r>
      <w:r w:rsidRPr="009D3B53">
        <w:t>from the operation of</w:t>
      </w:r>
      <w:r w:rsidR="000877E7">
        <w:t>,</w:t>
      </w:r>
      <w:r w:rsidRPr="009D3B53">
        <w:t xml:space="preserve"> th</w:t>
      </w:r>
      <w:r w:rsidR="00B17013" w:rsidRPr="009D3B53">
        <w:t>is</w:t>
      </w:r>
      <w:r w:rsidRPr="009D3B53">
        <w:t xml:space="preserve"> Agreement (other</w:t>
      </w:r>
      <w:r w:rsidR="00F6018D">
        <w:t xml:space="preserve"> than</w:t>
      </w:r>
      <w:r w:rsidRPr="009D3B53">
        <w:t xml:space="preserve"> </w:t>
      </w:r>
      <w:r w:rsidR="00322AEF">
        <w:t xml:space="preserve">an Issue </w:t>
      </w:r>
      <w:r w:rsidR="00885D6F">
        <w:t>to which clause</w:t>
      </w:r>
      <w:r w:rsidR="00CE599F">
        <w:t xml:space="preserve"> </w:t>
      </w:r>
      <w:r w:rsidR="00374880">
        <w:fldChar w:fldCharType="begin"/>
      </w:r>
      <w:r w:rsidR="00374880">
        <w:instrText xml:space="preserve"> REF _Ref41328255 \r \h </w:instrText>
      </w:r>
      <w:r w:rsidR="00374880">
        <w:fldChar w:fldCharType="separate"/>
      </w:r>
      <w:r w:rsidR="00982D02">
        <w:t>17.3</w:t>
      </w:r>
      <w:r w:rsidR="00374880">
        <w:fldChar w:fldCharType="end"/>
      </w:r>
      <w:r w:rsidR="00374880">
        <w:t xml:space="preserve"> </w:t>
      </w:r>
      <w:r w:rsidR="00885D6F">
        <w:t>applies</w:t>
      </w:r>
      <w:r w:rsidRPr="009D3B53">
        <w:t xml:space="preserve">) </w:t>
      </w:r>
      <w:r w:rsidR="00A403FD" w:rsidRPr="009D3B53">
        <w:t xml:space="preserve">will </w:t>
      </w:r>
      <w:r w:rsidRPr="009D3B53">
        <w:t xml:space="preserve">be </w:t>
      </w:r>
      <w:r w:rsidR="005B270D" w:rsidRPr="009D3B53">
        <w:t>resolved</w:t>
      </w:r>
      <w:r w:rsidRPr="009D3B53">
        <w:t xml:space="preserve"> as follows:</w:t>
      </w:r>
      <w:bookmarkEnd w:id="654"/>
    </w:p>
    <w:p w14:paraId="6726C385" w14:textId="77777777" w:rsidR="00E9176D" w:rsidRPr="009D3B53" w:rsidRDefault="00E9176D" w:rsidP="004A0AFF">
      <w:pPr>
        <w:pStyle w:val="Heading3"/>
      </w:pPr>
      <w:bookmarkStart w:id="655" w:name="_Ref419467597"/>
      <w:r w:rsidRPr="009D3B53">
        <w:t xml:space="preserve">the </w:t>
      </w:r>
      <w:r w:rsidR="0084288E">
        <w:t>Signatory</w:t>
      </w:r>
      <w:r w:rsidR="0084288E" w:rsidRPr="009D3B53">
        <w:t xml:space="preserve"> </w:t>
      </w:r>
      <w:r w:rsidR="00CC7B6D" w:rsidRPr="009D3B53">
        <w:t xml:space="preserve">with the </w:t>
      </w:r>
      <w:r w:rsidR="00AE430C">
        <w:t>I</w:t>
      </w:r>
      <w:r w:rsidR="00CC7B6D" w:rsidRPr="009D3B53">
        <w:t>ssue</w:t>
      </w:r>
      <w:r w:rsidRPr="009D3B53">
        <w:t xml:space="preserve"> will send to th</w:t>
      </w:r>
      <w:r w:rsidR="0084288E">
        <w:t>os</w:t>
      </w:r>
      <w:r w:rsidRPr="009D3B53">
        <w:t xml:space="preserve">e </w:t>
      </w:r>
      <w:r w:rsidR="0084288E">
        <w:t xml:space="preserve">Signatories </w:t>
      </w:r>
      <w:r w:rsidR="001C375D">
        <w:t xml:space="preserve">it considers </w:t>
      </w:r>
      <w:r w:rsidR="0084288E">
        <w:t xml:space="preserve">are </w:t>
      </w:r>
      <w:r w:rsidR="001C375D">
        <w:t>counterpart</w:t>
      </w:r>
      <w:r w:rsidR="0084288E">
        <w:t>ies</w:t>
      </w:r>
      <w:r w:rsidR="001C375D">
        <w:t xml:space="preserve"> to the </w:t>
      </w:r>
      <w:r w:rsidR="00AE430C">
        <w:t>I</w:t>
      </w:r>
      <w:r w:rsidR="001C375D">
        <w:t>ssue (</w:t>
      </w:r>
      <w:r w:rsidR="001C375D" w:rsidRPr="001C375D">
        <w:rPr>
          <w:b/>
        </w:rPr>
        <w:t>Counterparty</w:t>
      </w:r>
      <w:r w:rsidR="001C375D">
        <w:t xml:space="preserve">) </w:t>
      </w:r>
      <w:r w:rsidRPr="009D3B53">
        <w:t>a notice setting out</w:t>
      </w:r>
      <w:r w:rsidR="0062385F" w:rsidRPr="009D3B53">
        <w:t xml:space="preserve"> the nature of the </w:t>
      </w:r>
      <w:r w:rsidR="00AE430C">
        <w:t>I</w:t>
      </w:r>
      <w:r w:rsidR="0062385F" w:rsidRPr="009D3B53">
        <w:t>ssue</w:t>
      </w:r>
      <w:r w:rsidR="00352F67">
        <w:t xml:space="preserve"> (</w:t>
      </w:r>
      <w:r w:rsidR="00AE430C">
        <w:rPr>
          <w:b/>
        </w:rPr>
        <w:t xml:space="preserve">Issue </w:t>
      </w:r>
      <w:r w:rsidR="00352F67" w:rsidRPr="000877E7">
        <w:rPr>
          <w:b/>
        </w:rPr>
        <w:t>Notice</w:t>
      </w:r>
      <w:r w:rsidR="00352F67">
        <w:t>)</w:t>
      </w:r>
      <w:r w:rsidRPr="009D3B53">
        <w:t>;</w:t>
      </w:r>
      <w:bookmarkEnd w:id="655"/>
    </w:p>
    <w:p w14:paraId="5527AD17" w14:textId="1E26930F" w:rsidR="005866F2" w:rsidRDefault="001C375D" w:rsidP="004A0AFF">
      <w:pPr>
        <w:pStyle w:val="Heading3"/>
      </w:pPr>
      <w:bookmarkStart w:id="656" w:name="_Ref419536356"/>
      <w:r>
        <w:t xml:space="preserve">if </w:t>
      </w:r>
      <w:r w:rsidR="005866F2">
        <w:t xml:space="preserve">a </w:t>
      </w:r>
      <w:r>
        <w:t xml:space="preserve">Counterparty considers that </w:t>
      </w:r>
      <w:r w:rsidR="007E4F56">
        <w:t>another</w:t>
      </w:r>
      <w:r w:rsidR="005866F2">
        <w:t xml:space="preserve"> </w:t>
      </w:r>
      <w:r w:rsidR="0084288E">
        <w:t>Signatory</w:t>
      </w:r>
      <w:r w:rsidR="005866F2">
        <w:t xml:space="preserve"> should </w:t>
      </w:r>
      <w:r w:rsidR="00322AEF">
        <w:t xml:space="preserve">also </w:t>
      </w:r>
      <w:r w:rsidR="005866F2">
        <w:t xml:space="preserve">be </w:t>
      </w:r>
      <w:r>
        <w:t xml:space="preserve">a </w:t>
      </w:r>
      <w:r w:rsidR="005866F2">
        <w:t>counter</w:t>
      </w:r>
      <w:r>
        <w:t xml:space="preserve">party to the </w:t>
      </w:r>
      <w:r w:rsidR="00AE430C">
        <w:t>I</w:t>
      </w:r>
      <w:r>
        <w:t xml:space="preserve">ssue, the Counterparty may </w:t>
      </w:r>
      <w:r w:rsidR="005866F2">
        <w:t xml:space="preserve">give that </w:t>
      </w:r>
      <w:r w:rsidR="0084288E">
        <w:t xml:space="preserve">Signatory </w:t>
      </w:r>
      <w:r w:rsidR="005866F2">
        <w:t xml:space="preserve">a notice enclosing the </w:t>
      </w:r>
      <w:r w:rsidR="00AE430C">
        <w:t xml:space="preserve">Issue </w:t>
      </w:r>
      <w:r w:rsidR="005866F2">
        <w:t>Notice and joining it as Counterparty;</w:t>
      </w:r>
    </w:p>
    <w:p w14:paraId="6E283B25" w14:textId="04063C0F" w:rsidR="00E9176D" w:rsidRPr="009D3B53" w:rsidRDefault="00E9176D" w:rsidP="004A0AFF">
      <w:pPr>
        <w:pStyle w:val="Heading3"/>
      </w:pPr>
      <w:bookmarkStart w:id="657" w:name="_Ref29319804"/>
      <w:r w:rsidRPr="009D3B53">
        <w:t>the</w:t>
      </w:r>
      <w:r w:rsidR="005866F2">
        <w:t xml:space="preserve"> </w:t>
      </w:r>
      <w:r w:rsidR="00822CA9">
        <w:t xml:space="preserve">Representatives of the </w:t>
      </w:r>
      <w:r w:rsidR="00213071">
        <w:t xml:space="preserve">relevant Signatories </w:t>
      </w:r>
      <w:r w:rsidR="0062385F" w:rsidRPr="009D3B53">
        <w:t xml:space="preserve">will </w:t>
      </w:r>
      <w:r w:rsidR="005866F2">
        <w:t xml:space="preserve">attempt </w:t>
      </w:r>
      <w:r w:rsidRPr="009D3B53">
        <w:t xml:space="preserve">to resolve the </w:t>
      </w:r>
      <w:r w:rsidR="00AE430C">
        <w:t>I</w:t>
      </w:r>
      <w:r w:rsidR="0062385F" w:rsidRPr="009D3B53">
        <w:t xml:space="preserve">ssue </w:t>
      </w:r>
      <w:r w:rsidRPr="009D3B53">
        <w:t>by direct negotiation;</w:t>
      </w:r>
      <w:bookmarkEnd w:id="656"/>
      <w:bookmarkEnd w:id="657"/>
      <w:r w:rsidR="00942675" w:rsidRPr="009D3B53">
        <w:t xml:space="preserve"> </w:t>
      </w:r>
      <w:r w:rsidR="004B762B">
        <w:t>and</w:t>
      </w:r>
    </w:p>
    <w:p w14:paraId="1871FAF2" w14:textId="62192223" w:rsidR="000877E7" w:rsidRDefault="00E9176D" w:rsidP="004A0AFF">
      <w:pPr>
        <w:pStyle w:val="Heading3"/>
      </w:pPr>
      <w:bookmarkStart w:id="658" w:name="_Ref18420141"/>
      <w:bookmarkStart w:id="659" w:name="_Ref419971686"/>
      <w:bookmarkStart w:id="660" w:name="_Ref30585438"/>
      <w:r w:rsidRPr="009D3B53">
        <w:t xml:space="preserve">if the </w:t>
      </w:r>
      <w:r w:rsidR="00AE430C">
        <w:t>I</w:t>
      </w:r>
      <w:r w:rsidR="0062385F" w:rsidRPr="009D3B53">
        <w:t xml:space="preserve">ssue </w:t>
      </w:r>
      <w:r w:rsidRPr="009D3B53">
        <w:t xml:space="preserve">is not so resolved </w:t>
      </w:r>
      <w:r w:rsidR="0062385F" w:rsidRPr="009D3B53">
        <w:t>by direct negotiation under clause</w:t>
      </w:r>
      <w:r w:rsidR="002F23A2">
        <w:t xml:space="preserve"> </w:t>
      </w:r>
      <w:r w:rsidR="002F23A2">
        <w:fldChar w:fldCharType="begin"/>
      </w:r>
      <w:r w:rsidR="002F23A2">
        <w:instrText xml:space="preserve"> REF _Ref29319804 \r \h </w:instrText>
      </w:r>
      <w:r w:rsidR="002F23A2">
        <w:fldChar w:fldCharType="separate"/>
      </w:r>
      <w:r w:rsidR="00982D02">
        <w:t>17.1.3</w:t>
      </w:r>
      <w:r w:rsidR="002F23A2">
        <w:fldChar w:fldCharType="end"/>
      </w:r>
      <w:r w:rsidR="00A8503B">
        <w:t xml:space="preserve"> </w:t>
      </w:r>
      <w:r w:rsidR="002F287D" w:rsidRPr="009D3B53">
        <w:t xml:space="preserve">within </w:t>
      </w:r>
      <w:r w:rsidR="00B35C62">
        <w:t>three</w:t>
      </w:r>
      <w:r w:rsidR="005806BD">
        <w:t> </w:t>
      </w:r>
      <w:r w:rsidR="00B35C62">
        <w:t>(</w:t>
      </w:r>
      <w:r w:rsidR="005D59B0">
        <w:t>3</w:t>
      </w:r>
      <w:r w:rsidR="00B35C62">
        <w:t>)</w:t>
      </w:r>
      <w:r w:rsidR="005806BD">
        <w:t> </w:t>
      </w:r>
      <w:r w:rsidR="005D59B0">
        <w:t xml:space="preserve">months, or such longer period agreed between the </w:t>
      </w:r>
      <w:r w:rsidR="00B35C62">
        <w:t>relevant Signatories</w:t>
      </w:r>
      <w:r w:rsidR="005D59B0">
        <w:t xml:space="preserve">, </w:t>
      </w:r>
      <w:r w:rsidR="002F287D" w:rsidRPr="009D3B53">
        <w:t xml:space="preserve">from the date the </w:t>
      </w:r>
      <w:r w:rsidR="00AE430C">
        <w:t xml:space="preserve">Issue </w:t>
      </w:r>
      <w:r w:rsidR="00352F67">
        <w:t>N</w:t>
      </w:r>
      <w:r w:rsidR="00352F67" w:rsidRPr="009D3B53">
        <w:t>otice</w:t>
      </w:r>
      <w:r w:rsidR="00352F67">
        <w:t xml:space="preserve"> </w:t>
      </w:r>
      <w:r w:rsidR="002F287D" w:rsidRPr="009D3B53">
        <w:t xml:space="preserve">is given, </w:t>
      </w:r>
      <w:bookmarkStart w:id="661" w:name="_Ref420153487"/>
      <w:bookmarkStart w:id="662" w:name="_Ref420254081"/>
      <w:bookmarkEnd w:id="658"/>
      <w:bookmarkEnd w:id="659"/>
      <w:r w:rsidR="00D801CB">
        <w:t xml:space="preserve">a </w:t>
      </w:r>
      <w:r w:rsidR="00213071">
        <w:t xml:space="preserve">Signatory involved in the negotiation </w:t>
      </w:r>
      <w:r w:rsidR="000877E7">
        <w:t xml:space="preserve">may immediately request the </w:t>
      </w:r>
      <w:r w:rsidR="00AE430C">
        <w:t xml:space="preserve">Issue </w:t>
      </w:r>
      <w:r w:rsidR="000877E7">
        <w:t>be referred to</w:t>
      </w:r>
      <w:r w:rsidR="00542F4B">
        <w:t xml:space="preserve"> confidential</w:t>
      </w:r>
      <w:r w:rsidR="000877E7">
        <w:t xml:space="preserve"> mediation, </w:t>
      </w:r>
      <w:r w:rsidR="002702A4">
        <w:t xml:space="preserve">to </w:t>
      </w:r>
      <w:r w:rsidR="00622525">
        <w:t xml:space="preserve">be </w:t>
      </w:r>
      <w:r w:rsidR="000877E7">
        <w:t xml:space="preserve">conducted by a person agreed between the </w:t>
      </w:r>
      <w:r w:rsidR="00213071">
        <w:t>relevant Signatories</w:t>
      </w:r>
      <w:r w:rsidR="000877E7">
        <w:t>.</w:t>
      </w:r>
      <w:bookmarkEnd w:id="661"/>
      <w:r w:rsidR="0064734C">
        <w:t xml:space="preserve">  </w:t>
      </w:r>
      <w:r w:rsidR="0064734C" w:rsidRPr="0064734C">
        <w:t xml:space="preserve">If the </w:t>
      </w:r>
      <w:r w:rsidR="00213071">
        <w:t xml:space="preserve">relevant Signatories </w:t>
      </w:r>
      <w:r w:rsidR="0064734C" w:rsidRPr="0064734C">
        <w:t xml:space="preserve">cannot agree on a mediator within </w:t>
      </w:r>
      <w:r w:rsidR="00B35C62">
        <w:t>one (</w:t>
      </w:r>
      <w:r w:rsidR="005D59B0">
        <w:t>1</w:t>
      </w:r>
      <w:r w:rsidR="00B35C62">
        <w:t>)</w:t>
      </w:r>
      <w:r w:rsidR="005D59B0">
        <w:t xml:space="preserve"> month</w:t>
      </w:r>
      <w:r w:rsidR="0064734C" w:rsidRPr="0064734C">
        <w:t xml:space="preserve"> after a request for mediation under this clause</w:t>
      </w:r>
      <w:r w:rsidR="0064734C">
        <w:t xml:space="preserve"> </w:t>
      </w:r>
      <w:r w:rsidR="0064734C">
        <w:fldChar w:fldCharType="begin"/>
      </w:r>
      <w:r w:rsidR="0064734C">
        <w:instrText xml:space="preserve"> REF _Ref420254081 \w \h </w:instrText>
      </w:r>
      <w:r w:rsidR="0064734C">
        <w:fldChar w:fldCharType="separate"/>
      </w:r>
      <w:r w:rsidR="00982D02">
        <w:t>17.1.4</w:t>
      </w:r>
      <w:r w:rsidR="0064734C">
        <w:fldChar w:fldCharType="end"/>
      </w:r>
      <w:r w:rsidR="0064734C" w:rsidRPr="0064734C">
        <w:t xml:space="preserve">, </w:t>
      </w:r>
      <w:r w:rsidR="00AE430C">
        <w:t xml:space="preserve">a </w:t>
      </w:r>
      <w:r w:rsidR="00213071">
        <w:t xml:space="preserve">Signatory involved in </w:t>
      </w:r>
      <w:r w:rsidR="00AE430C">
        <w:t xml:space="preserve">the Issue </w:t>
      </w:r>
      <w:r w:rsidR="0064734C">
        <w:t>may ask the</w:t>
      </w:r>
      <w:r w:rsidR="0064734C" w:rsidRPr="0064734C">
        <w:t xml:space="preserve"> </w:t>
      </w:r>
      <w:r w:rsidR="0049528C">
        <w:t xml:space="preserve">Chair of the Resolution Institute </w:t>
      </w:r>
      <w:r w:rsidR="00D57127">
        <w:t xml:space="preserve">ACN 008 651 232 </w:t>
      </w:r>
      <w:r w:rsidR="0049528C">
        <w:t xml:space="preserve">or their delegate </w:t>
      </w:r>
      <w:r w:rsidR="0064734C">
        <w:t>to</w:t>
      </w:r>
      <w:r w:rsidR="0064734C" w:rsidRPr="0064734C">
        <w:t xml:space="preserve"> appoint a mediator.</w:t>
      </w:r>
      <w:bookmarkEnd w:id="662"/>
      <w:r w:rsidR="006E256A">
        <w:t xml:space="preserve"> The mediation will be conducted in accordance with the rules specified by the mediator.</w:t>
      </w:r>
      <w:bookmarkEnd w:id="660"/>
    </w:p>
    <w:p w14:paraId="67B4DD2B" w14:textId="125120CE" w:rsidR="00E25158" w:rsidRDefault="00E25158" w:rsidP="004A0AFF">
      <w:pPr>
        <w:pStyle w:val="Headingpara2"/>
      </w:pPr>
      <w:r>
        <w:t xml:space="preserve">If an Issue is not resolved during a mediation conducted under clause </w:t>
      </w:r>
      <w:r>
        <w:fldChar w:fldCharType="begin"/>
      </w:r>
      <w:r>
        <w:instrText xml:space="preserve"> REF _Ref30585438 \r \h </w:instrText>
      </w:r>
      <w:r>
        <w:fldChar w:fldCharType="separate"/>
      </w:r>
      <w:r w:rsidR="00982D02">
        <w:t>17.1.4</w:t>
      </w:r>
      <w:r>
        <w:fldChar w:fldCharType="end"/>
      </w:r>
      <w:r>
        <w:t xml:space="preserve">, or within </w:t>
      </w:r>
      <w:r w:rsidR="00B35C62">
        <w:t>ten</w:t>
      </w:r>
      <w:r w:rsidR="00322AEF">
        <w:t> </w:t>
      </w:r>
      <w:r w:rsidR="00B35C62">
        <w:t>(</w:t>
      </w:r>
      <w:r>
        <w:t>10</w:t>
      </w:r>
      <w:r w:rsidR="00B35C62">
        <w:t>)</w:t>
      </w:r>
      <w:r w:rsidR="00322AEF">
        <w:t> </w:t>
      </w:r>
      <w:r>
        <w:t xml:space="preserve">Business Days after the conclusion of that mediation, then any of the relevant Signatories to the Issue may refer the matter for direct negotiation between the Minister and the National President(s) of the other Signatory or Signatories involved in the mediation. </w:t>
      </w:r>
    </w:p>
    <w:p w14:paraId="1C73C8C4" w14:textId="6B8D9137" w:rsidR="00374880" w:rsidRDefault="00374880" w:rsidP="00374880">
      <w:pPr>
        <w:pStyle w:val="Headingpara2"/>
      </w:pPr>
      <w:bookmarkStart w:id="663" w:name="_Ref41328255"/>
      <w:r>
        <w:t>Any Issue between the Commonwealth and the Guild during the Term in relation to the Commonwealth Price and the arrangements set out clause</w:t>
      </w:r>
      <w:r w:rsidR="00FA6D23">
        <w:t>s</w:t>
      </w:r>
      <w:r>
        <w:t xml:space="preserve"> </w:t>
      </w:r>
      <w:r>
        <w:fldChar w:fldCharType="begin"/>
      </w:r>
      <w:r>
        <w:instrText xml:space="preserve"> REF _Ref26807057 \r \h  \* MERGEFORMAT </w:instrText>
      </w:r>
      <w:r>
        <w:fldChar w:fldCharType="separate"/>
      </w:r>
      <w:r w:rsidR="00982D02">
        <w:t>2</w:t>
      </w:r>
      <w:r>
        <w:fldChar w:fldCharType="end"/>
      </w:r>
      <w:r>
        <w:t xml:space="preserve"> </w:t>
      </w:r>
      <w:r w:rsidR="00FA6D23">
        <w:t xml:space="preserve">and </w:t>
      </w:r>
      <w:r w:rsidR="00FA6D23">
        <w:fldChar w:fldCharType="begin"/>
      </w:r>
      <w:r w:rsidR="00FA6D23">
        <w:instrText xml:space="preserve"> REF _Ref37061777 \r \h </w:instrText>
      </w:r>
      <w:r w:rsidR="00FA6D23">
        <w:fldChar w:fldCharType="separate"/>
      </w:r>
      <w:r w:rsidR="00982D02">
        <w:t>3</w:t>
      </w:r>
      <w:r w:rsidR="00FA6D23">
        <w:fldChar w:fldCharType="end"/>
      </w:r>
      <w:r w:rsidR="00FA6D23">
        <w:t xml:space="preserve"> </w:t>
      </w:r>
      <w:r>
        <w:t>and Appendix B will be determined as follows:</w:t>
      </w:r>
      <w:bookmarkEnd w:id="663"/>
    </w:p>
    <w:p w14:paraId="20E9C266" w14:textId="55517709" w:rsidR="00374880" w:rsidRDefault="00374880" w:rsidP="00374880">
      <w:pPr>
        <w:pStyle w:val="Heading3"/>
      </w:pPr>
      <w:bookmarkStart w:id="664" w:name="_Ref41341643"/>
      <w:r>
        <w:t xml:space="preserve">the Signatory </w:t>
      </w:r>
      <w:bookmarkStart w:id="665" w:name="_Hlk41328207"/>
      <w:r>
        <w:t>(being either the Commonwealth or the Guild, but not the PSA)</w:t>
      </w:r>
      <w:bookmarkEnd w:id="665"/>
      <w:r>
        <w:t xml:space="preserve"> claiming that there is an Issue will send to the other Signatory (being either the Commonwealth or the Guild, but not the PSA) a notice setting out the nature of the issue;</w:t>
      </w:r>
      <w:bookmarkEnd w:id="664"/>
    </w:p>
    <w:p w14:paraId="42D38990" w14:textId="77777777" w:rsidR="00374880" w:rsidRDefault="00374880" w:rsidP="00374880">
      <w:pPr>
        <w:pStyle w:val="Heading3"/>
      </w:pPr>
      <w:r>
        <w:t xml:space="preserve">the Department Representative and the Guild Representative will then attempt to resolve the Issue by direct negotiation; </w:t>
      </w:r>
    </w:p>
    <w:p w14:paraId="4851303B" w14:textId="17A03C19" w:rsidR="00374880" w:rsidRPr="00305A33" w:rsidRDefault="00374880" w:rsidP="00305A33">
      <w:pPr>
        <w:pStyle w:val="Heading3"/>
      </w:pPr>
      <w:bookmarkStart w:id="666" w:name="_Ref42530254"/>
      <w:r>
        <w:t xml:space="preserve">if the Issue is not resolved within ninety (90) days after the date of the notice given under clause </w:t>
      </w:r>
      <w:r w:rsidR="0049528C">
        <w:fldChar w:fldCharType="begin"/>
      </w:r>
      <w:r w:rsidR="0049528C">
        <w:instrText xml:space="preserve"> REF _Ref41341643 \r \h </w:instrText>
      </w:r>
      <w:r w:rsidR="0049528C">
        <w:fldChar w:fldCharType="separate"/>
      </w:r>
      <w:r w:rsidR="00982D02">
        <w:t>17.3.1</w:t>
      </w:r>
      <w:r w:rsidR="0049528C">
        <w:fldChar w:fldCharType="end"/>
      </w:r>
      <w:r>
        <w:t xml:space="preserve"> in respect of the Issue, then the Minister may, after the expiry of that period, refer the Issue to the </w:t>
      </w:r>
      <w:r w:rsidRPr="00305A33">
        <w:t xml:space="preserve">Tribunal for </w:t>
      </w:r>
      <w:r w:rsidR="00FA6D23" w:rsidRPr="00305A33">
        <w:t xml:space="preserve">a binding </w:t>
      </w:r>
      <w:r w:rsidRPr="00305A33">
        <w:t>determination; and</w:t>
      </w:r>
      <w:bookmarkEnd w:id="666"/>
    </w:p>
    <w:p w14:paraId="6DB415E2" w14:textId="271B72E5" w:rsidR="00374880" w:rsidRDefault="00374880" w:rsidP="00305A33">
      <w:pPr>
        <w:pStyle w:val="Heading3"/>
      </w:pPr>
      <w:bookmarkStart w:id="667" w:name="_Ref42530256"/>
      <w:r>
        <w:t xml:space="preserve">if the Commonwealth and the Guild resolve the Issue </w:t>
      </w:r>
      <w:r w:rsidR="008D7DE9">
        <w:t>by agreeing to vary any of clause</w:t>
      </w:r>
      <w:r w:rsidR="00FA6D23">
        <w:t>s</w:t>
      </w:r>
      <w:r w:rsidR="008D7DE9">
        <w:t xml:space="preserve"> </w:t>
      </w:r>
      <w:r w:rsidR="008D7DE9">
        <w:fldChar w:fldCharType="begin"/>
      </w:r>
      <w:r w:rsidR="008D7DE9">
        <w:instrText xml:space="preserve"> REF _Ref26807057 \r \h </w:instrText>
      </w:r>
      <w:r w:rsidR="00982178">
        <w:instrText xml:space="preserve"> \* MERGEFORMAT </w:instrText>
      </w:r>
      <w:r w:rsidR="008D7DE9">
        <w:fldChar w:fldCharType="separate"/>
      </w:r>
      <w:r w:rsidR="00982D02">
        <w:t>2</w:t>
      </w:r>
      <w:r w:rsidR="008D7DE9">
        <w:fldChar w:fldCharType="end"/>
      </w:r>
      <w:r w:rsidR="00C05AAC">
        <w:t xml:space="preserve"> or</w:t>
      </w:r>
      <w:r w:rsidR="008D7DE9">
        <w:t xml:space="preserve"> </w:t>
      </w:r>
      <w:r w:rsidR="008D7DE9">
        <w:fldChar w:fldCharType="begin"/>
      </w:r>
      <w:r w:rsidR="008D7DE9">
        <w:instrText xml:space="preserve"> REF _Ref37061777 \r \h </w:instrText>
      </w:r>
      <w:r w:rsidR="00982178">
        <w:instrText xml:space="preserve"> \* MERGEFORMAT </w:instrText>
      </w:r>
      <w:r w:rsidR="008D7DE9">
        <w:fldChar w:fldCharType="separate"/>
      </w:r>
      <w:r w:rsidR="00982D02">
        <w:t>3</w:t>
      </w:r>
      <w:r w:rsidR="008D7DE9">
        <w:fldChar w:fldCharType="end"/>
      </w:r>
      <w:r w:rsidR="00C05AAC">
        <w:t>,</w:t>
      </w:r>
      <w:r w:rsidR="008D7DE9">
        <w:t xml:space="preserve"> or Appendix B, the Minister shall</w:t>
      </w:r>
      <w:r>
        <w:t xml:space="preserve"> present the </w:t>
      </w:r>
      <w:r w:rsidR="008D7DE9">
        <w:t xml:space="preserve">varied </w:t>
      </w:r>
      <w:r>
        <w:t xml:space="preserve">agreement to the Tribunal </w:t>
      </w:r>
      <w:r w:rsidR="008D7DE9">
        <w:t xml:space="preserve">to enable it to give effect to the agreement as required </w:t>
      </w:r>
      <w:r>
        <w:t>under section</w:t>
      </w:r>
      <w:r w:rsidR="0012656C">
        <w:t> </w:t>
      </w:r>
      <w:r>
        <w:t>98B</w:t>
      </w:r>
      <w:r w:rsidR="008D7DE9">
        <w:t>AA</w:t>
      </w:r>
      <w:r>
        <w:t>(1) of the Act.</w:t>
      </w:r>
      <w:bookmarkEnd w:id="667"/>
    </w:p>
    <w:p w14:paraId="29AEB387" w14:textId="012286AD" w:rsidR="00E9018C" w:rsidRPr="00E9018C" w:rsidRDefault="00E9018C" w:rsidP="00305A33">
      <w:pPr>
        <w:pStyle w:val="Headingpara2"/>
      </w:pPr>
      <w:r w:rsidRPr="00E9018C">
        <w:t xml:space="preserve">Despite the reference of </w:t>
      </w:r>
      <w:r w:rsidR="007530EB">
        <w:t>an</w:t>
      </w:r>
      <w:r w:rsidRPr="00E9018C">
        <w:t xml:space="preserve"> </w:t>
      </w:r>
      <w:r w:rsidR="002F23A2">
        <w:t>I</w:t>
      </w:r>
      <w:r w:rsidRPr="00E9018C">
        <w:t xml:space="preserve">ssue to </w:t>
      </w:r>
      <w:r w:rsidR="007530EB">
        <w:t>negotiation</w:t>
      </w:r>
      <w:r w:rsidR="009216B1">
        <w:t>,</w:t>
      </w:r>
      <w:r w:rsidR="007530EB">
        <w:t xml:space="preserve"> </w:t>
      </w:r>
      <w:r w:rsidRPr="00E9018C">
        <w:t>medi</w:t>
      </w:r>
      <w:r w:rsidR="000135C6">
        <w:t>ation</w:t>
      </w:r>
      <w:r w:rsidRPr="00E9018C">
        <w:t xml:space="preserve"> </w:t>
      </w:r>
      <w:r w:rsidR="009216B1">
        <w:t xml:space="preserve">or the Tribunal </w:t>
      </w:r>
      <w:r w:rsidRPr="00E9018C">
        <w:t xml:space="preserve">under </w:t>
      </w:r>
      <w:r w:rsidR="00072CC8">
        <w:t xml:space="preserve">this </w:t>
      </w:r>
      <w:r w:rsidRPr="00E9018C">
        <w:t>clause</w:t>
      </w:r>
      <w:r w:rsidR="00B34AA5">
        <w:t> </w:t>
      </w:r>
      <w:r w:rsidR="00E25158">
        <w:fldChar w:fldCharType="begin"/>
      </w:r>
      <w:r w:rsidR="00E25158">
        <w:instrText xml:space="preserve"> REF _Ref29314178 \r \h </w:instrText>
      </w:r>
      <w:r w:rsidR="00305A33">
        <w:instrText xml:space="preserve"> \* MERGEFORMAT </w:instrText>
      </w:r>
      <w:r w:rsidR="00E25158">
        <w:fldChar w:fldCharType="separate"/>
      </w:r>
      <w:r w:rsidR="00982D02">
        <w:t>17</w:t>
      </w:r>
      <w:r w:rsidR="00E25158">
        <w:fldChar w:fldCharType="end"/>
      </w:r>
      <w:r w:rsidR="000877E7">
        <w:t xml:space="preserve">, </w:t>
      </w:r>
      <w:r w:rsidRPr="00E9018C">
        <w:t xml:space="preserve">the </w:t>
      </w:r>
      <w:r w:rsidR="00213071">
        <w:t>Signatories</w:t>
      </w:r>
      <w:r w:rsidR="00213071" w:rsidRPr="00E9018C">
        <w:t xml:space="preserve"> </w:t>
      </w:r>
      <w:r w:rsidRPr="00E9018C">
        <w:t xml:space="preserve">must continue to perform their obligations under this Agreement. </w:t>
      </w:r>
    </w:p>
    <w:p w14:paraId="2E2A0016" w14:textId="0C585572" w:rsidR="00E9176D" w:rsidRDefault="00E9176D" w:rsidP="00305A33">
      <w:pPr>
        <w:pStyle w:val="Headingpara2"/>
      </w:pPr>
      <w:r w:rsidRPr="009D3B53">
        <w:t xml:space="preserve">Each </w:t>
      </w:r>
      <w:r w:rsidR="00213071">
        <w:t>Signatory</w:t>
      </w:r>
      <w:r w:rsidR="009519C0" w:rsidRPr="009D3B53">
        <w:t xml:space="preserve"> </w:t>
      </w:r>
      <w:r w:rsidRPr="009D3B53">
        <w:t>will bear its own costs arising from</w:t>
      </w:r>
      <w:r w:rsidR="005B270D" w:rsidRPr="009D3B53">
        <w:t xml:space="preserve"> the</w:t>
      </w:r>
      <w:r w:rsidRPr="009D3B53">
        <w:t xml:space="preserve"> process</w:t>
      </w:r>
      <w:r w:rsidR="005B270D" w:rsidRPr="009D3B53">
        <w:t xml:space="preserve"> set out in this clause</w:t>
      </w:r>
      <w:r w:rsidR="0005108B">
        <w:t xml:space="preserve"> </w:t>
      </w:r>
      <w:r w:rsidR="0005108B">
        <w:fldChar w:fldCharType="begin"/>
      </w:r>
      <w:r w:rsidR="0005108B">
        <w:instrText xml:space="preserve"> REF _Ref29314178 \r \h </w:instrText>
      </w:r>
      <w:r w:rsidR="00305A33">
        <w:instrText xml:space="preserve"> \* MERGEFORMAT </w:instrText>
      </w:r>
      <w:r w:rsidR="0005108B">
        <w:fldChar w:fldCharType="separate"/>
      </w:r>
      <w:r w:rsidR="00982D02">
        <w:t>17</w:t>
      </w:r>
      <w:r w:rsidR="0005108B">
        <w:fldChar w:fldCharType="end"/>
      </w:r>
      <w:r w:rsidRPr="009D3B53">
        <w:t>.</w:t>
      </w:r>
    </w:p>
    <w:p w14:paraId="61278EBE" w14:textId="274CA965" w:rsidR="00865BCA" w:rsidRPr="00865BCA" w:rsidRDefault="00865BCA" w:rsidP="008926EC">
      <w:pPr>
        <w:pStyle w:val="Headingpara2"/>
        <w:keepNext/>
        <w:keepLines/>
      </w:pPr>
      <w:bookmarkStart w:id="668" w:name="_Ref42594345"/>
      <w:r w:rsidRPr="00865BCA">
        <w:t xml:space="preserve">The Commonwealth and the Guild agree for the purposes of section 98B(1) of the Act that the Tribunal has the function of determining </w:t>
      </w:r>
      <w:r>
        <w:t>I</w:t>
      </w:r>
      <w:r w:rsidRPr="00865BCA">
        <w:t xml:space="preserve">ssues arising between the Commonwealth and the Guild in relation to the Commonwealth Price and the arrangements set out in clauses </w:t>
      </w:r>
      <w:r w:rsidRPr="00865BCA">
        <w:fldChar w:fldCharType="begin"/>
      </w:r>
      <w:r w:rsidRPr="00865BCA">
        <w:instrText xml:space="preserve"> REF _Ref26807057 \r \h  \* MERGEFORMAT </w:instrText>
      </w:r>
      <w:r w:rsidRPr="00865BCA">
        <w:fldChar w:fldCharType="separate"/>
      </w:r>
      <w:r w:rsidR="00982D02">
        <w:t>2</w:t>
      </w:r>
      <w:r w:rsidRPr="00865BCA">
        <w:fldChar w:fldCharType="end"/>
      </w:r>
      <w:r w:rsidRPr="00865BCA">
        <w:t xml:space="preserve"> and </w:t>
      </w:r>
      <w:r w:rsidRPr="00865BCA">
        <w:fldChar w:fldCharType="begin"/>
      </w:r>
      <w:r w:rsidRPr="00865BCA">
        <w:instrText xml:space="preserve"> REF _Ref37061777 \r \h  \* MERGEFORMAT </w:instrText>
      </w:r>
      <w:r w:rsidRPr="00865BCA">
        <w:fldChar w:fldCharType="separate"/>
      </w:r>
      <w:r w:rsidR="00982D02">
        <w:t>3</w:t>
      </w:r>
      <w:r w:rsidRPr="00865BCA">
        <w:fldChar w:fldCharType="end"/>
      </w:r>
      <w:r w:rsidRPr="00865BCA">
        <w:t xml:space="preserve"> and Appendix B.</w:t>
      </w:r>
      <w:bookmarkEnd w:id="668"/>
    </w:p>
    <w:p w14:paraId="1FF5E31D" w14:textId="3D8652DF" w:rsidR="00527DE8" w:rsidRDefault="00E96937" w:rsidP="000D6BB8">
      <w:pPr>
        <w:pStyle w:val="Heading1"/>
      </w:pPr>
      <w:bookmarkStart w:id="669" w:name="_Toc42783651"/>
      <w:bookmarkStart w:id="670" w:name="_Ref418233948"/>
      <w:r>
        <w:t>Assistance with inquiries</w:t>
      </w:r>
      <w:bookmarkEnd w:id="669"/>
    </w:p>
    <w:p w14:paraId="3101E6CD" w14:textId="0D49056A" w:rsidR="005C7BA1" w:rsidRDefault="005C7BA1" w:rsidP="00CD0BA1">
      <w:pPr>
        <w:pStyle w:val="Headingpara2"/>
      </w:pPr>
      <w:bookmarkStart w:id="671" w:name="_Ref37102307"/>
      <w:r>
        <w:t>The Signatories will consider, in good faith, requests made by the Commonwealth to provide assistance to specific inquiries identified by the Commonwealth and determine:</w:t>
      </w:r>
    </w:p>
    <w:p w14:paraId="31000DBB" w14:textId="7583CE44" w:rsidR="005C7BA1" w:rsidRDefault="005C7BA1" w:rsidP="00CD0BA1">
      <w:pPr>
        <w:pStyle w:val="Heading3"/>
      </w:pPr>
      <w:r>
        <w:t>the nature of assistance to be provided by the Signatory; and</w:t>
      </w:r>
    </w:p>
    <w:p w14:paraId="146EAAE1" w14:textId="094C8ECE" w:rsidR="005C7BA1" w:rsidRPr="005C7BA1" w:rsidRDefault="005C7BA1" w:rsidP="00CD0BA1">
      <w:pPr>
        <w:pStyle w:val="Heading3"/>
        <w:rPr>
          <w:rFonts w:cs="Arial"/>
        </w:rPr>
      </w:pPr>
      <w:r>
        <w:t>the advice provided to members as to the nature of assistance that should be provided by members of the Signatory.</w:t>
      </w:r>
    </w:p>
    <w:p w14:paraId="132F921D" w14:textId="6C47A4DC" w:rsidR="005C081D" w:rsidRDefault="005C081D" w:rsidP="00E449B7">
      <w:pPr>
        <w:pStyle w:val="Heading1"/>
        <w:keepLines/>
      </w:pPr>
      <w:bookmarkStart w:id="672" w:name="_Toc42783652"/>
      <w:bookmarkStart w:id="673" w:name="_Ref40089020"/>
      <w:bookmarkEnd w:id="671"/>
      <w:r>
        <w:t>Other general matters</w:t>
      </w:r>
      <w:bookmarkEnd w:id="672"/>
    </w:p>
    <w:p w14:paraId="605DE3E7" w14:textId="77777777" w:rsidR="005C081D" w:rsidRDefault="005C081D" w:rsidP="00E449B7">
      <w:pPr>
        <w:pStyle w:val="Heading2"/>
        <w:keepLines/>
      </w:pPr>
      <w:bookmarkStart w:id="674" w:name="_Ref41332467"/>
      <w:bookmarkStart w:id="675" w:name="_Toc42783653"/>
      <w:r>
        <w:t>Term and commencement</w:t>
      </w:r>
      <w:bookmarkEnd w:id="674"/>
      <w:bookmarkEnd w:id="675"/>
    </w:p>
    <w:p w14:paraId="0CFD0A56" w14:textId="77777777" w:rsidR="005C081D" w:rsidRDefault="005C081D" w:rsidP="00E449B7">
      <w:pPr>
        <w:pStyle w:val="BodyIndent1"/>
        <w:keepNext/>
        <w:keepLines/>
      </w:pPr>
      <w:r>
        <w:t>This Agreement commences on 1 July 2020 and expires on 30 June 2025.</w:t>
      </w:r>
    </w:p>
    <w:p w14:paraId="1C520EC1" w14:textId="713ED99F" w:rsidR="00E9176D" w:rsidRPr="009D3B53" w:rsidRDefault="00E9176D" w:rsidP="00E449B7">
      <w:pPr>
        <w:pStyle w:val="Heading2"/>
        <w:keepLines/>
      </w:pPr>
      <w:bookmarkStart w:id="676" w:name="_Toc42783654"/>
      <w:r w:rsidRPr="009D3B53">
        <w:t>Variation</w:t>
      </w:r>
      <w:bookmarkEnd w:id="670"/>
      <w:bookmarkEnd w:id="673"/>
      <w:bookmarkEnd w:id="676"/>
    </w:p>
    <w:p w14:paraId="130CD5E3" w14:textId="77777777" w:rsidR="00F06FCC" w:rsidRPr="00A8497F" w:rsidRDefault="005B270D" w:rsidP="00E449B7">
      <w:pPr>
        <w:pStyle w:val="BodyIndent1"/>
        <w:keepNext/>
        <w:keepLines/>
      </w:pPr>
      <w:r w:rsidRPr="00A8497F">
        <w:t>This</w:t>
      </w:r>
      <w:r w:rsidR="00E9176D" w:rsidRPr="00A8497F">
        <w:t xml:space="preserve"> Agreement may only be varied </w:t>
      </w:r>
      <w:r w:rsidR="00F06FCC" w:rsidRPr="00A8497F">
        <w:t>as follows:</w:t>
      </w:r>
    </w:p>
    <w:p w14:paraId="6E761BC9" w14:textId="2B61A007" w:rsidR="00F06FCC" w:rsidRPr="00A8497F" w:rsidRDefault="00E20D25" w:rsidP="00E449B7">
      <w:pPr>
        <w:pStyle w:val="Heading3"/>
        <w:keepNext/>
        <w:keepLines/>
      </w:pPr>
      <w:r>
        <w:fldChar w:fldCharType="begin"/>
      </w:r>
      <w:r>
        <w:instrText xml:space="preserve"> REF _Ref42518861 \r \h </w:instrText>
      </w:r>
      <w:r>
        <w:fldChar w:fldCharType="separate"/>
      </w:r>
      <w:r w:rsidR="00982D02">
        <w:t>Part 1</w:t>
      </w:r>
      <w:r>
        <w:fldChar w:fldCharType="end"/>
      </w:r>
      <w:r w:rsidR="00CA07B0">
        <w:t>,</w:t>
      </w:r>
      <w:r w:rsidR="007530EB" w:rsidRPr="00A8497F">
        <w:t xml:space="preserve"> </w:t>
      </w:r>
      <w:r w:rsidR="00A8497F" w:rsidRPr="00A8497F">
        <w:t>clause</w:t>
      </w:r>
      <w:r w:rsidR="00D57127">
        <w:t>s</w:t>
      </w:r>
      <w:r w:rsidR="00A8497F" w:rsidRPr="00A8497F">
        <w:t xml:space="preserve"> </w:t>
      </w:r>
      <w:r w:rsidR="00A8497F" w:rsidRPr="00A8497F">
        <w:fldChar w:fldCharType="begin"/>
      </w:r>
      <w:r w:rsidR="00A8497F" w:rsidRPr="00A8497F">
        <w:instrText xml:space="preserve"> REF _Ref41332371 \w \h </w:instrText>
      </w:r>
      <w:r w:rsidR="00A8497F">
        <w:instrText xml:space="preserve"> \* MERGEFORMAT </w:instrText>
      </w:r>
      <w:r w:rsidR="00A8497F" w:rsidRPr="00A8497F">
        <w:fldChar w:fldCharType="separate"/>
      </w:r>
      <w:r w:rsidR="00982D02">
        <w:t>16.1</w:t>
      </w:r>
      <w:r w:rsidR="00A8497F" w:rsidRPr="00A8497F">
        <w:fldChar w:fldCharType="end"/>
      </w:r>
      <w:r w:rsidR="00D57127">
        <w:t xml:space="preserve"> and </w:t>
      </w:r>
      <w:r w:rsidR="000C244F">
        <w:fldChar w:fldCharType="begin"/>
      </w:r>
      <w:r w:rsidR="000C244F">
        <w:instrText xml:space="preserve"> REF _Ref41328255 \w \h </w:instrText>
      </w:r>
      <w:r w:rsidR="000C244F">
        <w:fldChar w:fldCharType="separate"/>
      </w:r>
      <w:r w:rsidR="00982D02">
        <w:t>17.3</w:t>
      </w:r>
      <w:r w:rsidR="000C244F">
        <w:fldChar w:fldCharType="end"/>
      </w:r>
      <w:r w:rsidR="00A8497F" w:rsidRPr="00A8497F">
        <w:t xml:space="preserve">, </w:t>
      </w:r>
      <w:r w:rsidR="00C93EF0" w:rsidRPr="00A8497F">
        <w:t>Appendix B</w:t>
      </w:r>
      <w:r w:rsidR="00A8497F" w:rsidRPr="00A8497F">
        <w:t xml:space="preserve"> and Appendix C </w:t>
      </w:r>
      <w:r w:rsidR="00F06FCC" w:rsidRPr="00A8497F">
        <w:t xml:space="preserve">can only be varied by a document </w:t>
      </w:r>
      <w:r w:rsidR="00E9176D" w:rsidRPr="00A8497F">
        <w:t xml:space="preserve">signed by </w:t>
      </w:r>
      <w:r w:rsidR="00F06FCC" w:rsidRPr="00A8497F">
        <w:t>the Minister</w:t>
      </w:r>
      <w:r w:rsidR="00906718" w:rsidRPr="00A8497F">
        <w:t xml:space="preserve"> </w:t>
      </w:r>
      <w:r w:rsidR="00F06FCC" w:rsidRPr="00A8497F">
        <w:t xml:space="preserve">and </w:t>
      </w:r>
      <w:r w:rsidR="00E9176D" w:rsidRPr="00A8497F">
        <w:t>the</w:t>
      </w:r>
      <w:r w:rsidR="00F508E3" w:rsidRPr="00A8497F">
        <w:t xml:space="preserve"> </w:t>
      </w:r>
      <w:r w:rsidR="00E9176D" w:rsidRPr="00A8497F">
        <w:t>Guild</w:t>
      </w:r>
      <w:r w:rsidR="00F06FCC" w:rsidRPr="00A8497F">
        <w:t>;</w:t>
      </w:r>
      <w:r w:rsidR="007530EB" w:rsidRPr="00A8497F">
        <w:t xml:space="preserve"> </w:t>
      </w:r>
    </w:p>
    <w:p w14:paraId="128C3F58" w14:textId="1EC79BFA" w:rsidR="00A8497F" w:rsidRPr="00A8497F" w:rsidRDefault="00A8497F" w:rsidP="005C081D">
      <w:pPr>
        <w:pStyle w:val="Heading3"/>
      </w:pPr>
      <w:r w:rsidRPr="00A8497F">
        <w:t>Part 2 can only be varied by a document signed by the Minister and the PSA; and</w:t>
      </w:r>
    </w:p>
    <w:p w14:paraId="4414E24F" w14:textId="2BBD5ACD" w:rsidR="00E9176D" w:rsidRPr="00A8497F" w:rsidRDefault="00F06FCC" w:rsidP="005C081D">
      <w:pPr>
        <w:pStyle w:val="Heading3"/>
      </w:pPr>
      <w:r w:rsidRPr="00A8497F">
        <w:t xml:space="preserve">the </w:t>
      </w:r>
      <w:r w:rsidR="00906718" w:rsidRPr="00A8497F">
        <w:t>remainder</w:t>
      </w:r>
      <w:r w:rsidRPr="00A8497F">
        <w:t xml:space="preserve"> of this Agreement </w:t>
      </w:r>
      <w:r w:rsidR="009E6842">
        <w:t>can only</w:t>
      </w:r>
      <w:r w:rsidR="009E6842" w:rsidRPr="00A8497F">
        <w:t xml:space="preserve"> </w:t>
      </w:r>
      <w:r w:rsidRPr="00A8497F">
        <w:t>be varied by a document signed by the Minister, the Guild and the PSA</w:t>
      </w:r>
      <w:r w:rsidR="00E9176D" w:rsidRPr="00A8497F">
        <w:t>.</w:t>
      </w:r>
    </w:p>
    <w:p w14:paraId="703AC6F0" w14:textId="3AFF8514" w:rsidR="005B270D" w:rsidRPr="009D3B53" w:rsidRDefault="005B270D" w:rsidP="005C081D">
      <w:pPr>
        <w:pStyle w:val="Heading2"/>
      </w:pPr>
      <w:bookmarkStart w:id="677" w:name="_Toc42783655"/>
      <w:r w:rsidRPr="009D3B53">
        <w:t xml:space="preserve">Arrangements at the end of </w:t>
      </w:r>
      <w:r w:rsidR="00B17013" w:rsidRPr="009D3B53">
        <w:t xml:space="preserve">this </w:t>
      </w:r>
      <w:r w:rsidRPr="009D3B53">
        <w:t>Agreement</w:t>
      </w:r>
      <w:bookmarkEnd w:id="677"/>
    </w:p>
    <w:p w14:paraId="19EEE804" w14:textId="2BC1C418" w:rsidR="005B270D" w:rsidRDefault="005B270D" w:rsidP="000D6BB8">
      <w:pPr>
        <w:pStyle w:val="BodyIndent1"/>
      </w:pPr>
      <w:r w:rsidRPr="009D3B53">
        <w:t>The</w:t>
      </w:r>
      <w:r w:rsidR="002F23A2">
        <w:t xml:space="preserve"> </w:t>
      </w:r>
      <w:r w:rsidR="00213071">
        <w:t>Signatories</w:t>
      </w:r>
      <w:r w:rsidR="004C55D2" w:rsidRPr="009D3B53">
        <w:t xml:space="preserve"> </w:t>
      </w:r>
      <w:r w:rsidRPr="009D3B53">
        <w:t>will use their best endeavours to ensure that negotiations for a</w:t>
      </w:r>
      <w:r w:rsidR="00E81E3B" w:rsidRPr="009D3B53">
        <w:t>ny</w:t>
      </w:r>
      <w:r w:rsidRPr="009D3B53">
        <w:t xml:space="preserve"> new community pharmacy agreement to apply after the expiry of this Agreement will commence </w:t>
      </w:r>
      <w:r w:rsidR="00DB1997">
        <w:t>twelve (</w:t>
      </w:r>
      <w:r w:rsidRPr="009D3B53">
        <w:t>12</w:t>
      </w:r>
      <w:r w:rsidR="00DB1997">
        <w:t>)</w:t>
      </w:r>
      <w:r w:rsidR="00CF5B8D">
        <w:t> </w:t>
      </w:r>
      <w:r w:rsidRPr="009D3B53">
        <w:t xml:space="preserve">months prior to the expiry of </w:t>
      </w:r>
      <w:r w:rsidR="00B17013" w:rsidRPr="009D3B53">
        <w:t xml:space="preserve">this </w:t>
      </w:r>
      <w:r w:rsidR="00BB2A6D" w:rsidRPr="009D3B53">
        <w:t>Agreement and</w:t>
      </w:r>
      <w:r w:rsidRPr="009D3B53">
        <w:t xml:space="preserve"> conclude by 31 </w:t>
      </w:r>
      <w:r w:rsidR="00C55204" w:rsidRPr="009D3B53">
        <w:t xml:space="preserve">March </w:t>
      </w:r>
      <w:r w:rsidR="005866F2" w:rsidRPr="009D3B53">
        <w:t>202</w:t>
      </w:r>
      <w:r w:rsidR="005866F2">
        <w:t>5</w:t>
      </w:r>
      <w:r w:rsidRPr="009D3B53">
        <w:t xml:space="preserve">. </w:t>
      </w:r>
    </w:p>
    <w:p w14:paraId="5610F753" w14:textId="77777777" w:rsidR="005C081D" w:rsidRPr="009D3B53" w:rsidRDefault="005C081D" w:rsidP="005C081D">
      <w:pPr>
        <w:pStyle w:val="Heading1"/>
      </w:pPr>
      <w:bookmarkStart w:id="678" w:name="_Toc42783656"/>
      <w:r w:rsidRPr="009D3B53">
        <w:t>Notices</w:t>
      </w:r>
      <w:bookmarkEnd w:id="678"/>
    </w:p>
    <w:p w14:paraId="63ED14A6" w14:textId="77777777" w:rsidR="005C081D" w:rsidRPr="009D3B53" w:rsidRDefault="005C081D" w:rsidP="005C081D">
      <w:pPr>
        <w:pStyle w:val="Headingpara2"/>
        <w:keepNext/>
        <w:keepLines/>
      </w:pPr>
      <w:r w:rsidRPr="009D3B53">
        <w:t xml:space="preserve">A notice under this Agreement is only effective if it is in writing, and </w:t>
      </w:r>
      <w:r>
        <w:t>addressed to the relevant Signatory or Signatories as specified in Appendix A, or as otherwise notified by that Signatory to the other Signatories in writing from time to time.</w:t>
      </w:r>
    </w:p>
    <w:p w14:paraId="193E1AEB" w14:textId="77777777" w:rsidR="005C081D" w:rsidRPr="009D3B53" w:rsidRDefault="005C081D" w:rsidP="005C081D">
      <w:pPr>
        <w:pStyle w:val="Headingpara2"/>
        <w:keepNext/>
      </w:pPr>
      <w:r w:rsidRPr="009D3B53">
        <w:t>A notice is to be:</w:t>
      </w:r>
    </w:p>
    <w:p w14:paraId="7E9B7173" w14:textId="77777777" w:rsidR="005C081D" w:rsidRPr="009D3B53" w:rsidRDefault="005C081D" w:rsidP="005C081D">
      <w:pPr>
        <w:pStyle w:val="Heading3"/>
        <w:keepNext/>
      </w:pPr>
      <w:r w:rsidRPr="009D3B53">
        <w:t>signed by the person giving the notice and delivered by hand;</w:t>
      </w:r>
    </w:p>
    <w:p w14:paraId="2C5C3EF1" w14:textId="77777777" w:rsidR="005C081D" w:rsidRPr="009D3B53" w:rsidRDefault="005C081D" w:rsidP="005C081D">
      <w:pPr>
        <w:pStyle w:val="Heading3"/>
      </w:pPr>
      <w:r w:rsidRPr="009D3B53">
        <w:t>signed by the person giving the notice and sent by pre-paid post; or</w:t>
      </w:r>
    </w:p>
    <w:p w14:paraId="69E76842" w14:textId="77777777" w:rsidR="005C081D" w:rsidRPr="009D3B53" w:rsidRDefault="005C081D" w:rsidP="005C081D">
      <w:pPr>
        <w:pStyle w:val="Heading3"/>
      </w:pPr>
      <w:r w:rsidRPr="009D3B53">
        <w:t xml:space="preserve">transmitted electronically by the person giving the notice by </w:t>
      </w:r>
      <w:r>
        <w:t>e</w:t>
      </w:r>
      <w:r w:rsidRPr="009D3B53">
        <w:t>mail.</w:t>
      </w:r>
    </w:p>
    <w:p w14:paraId="6D979B78" w14:textId="024683F4" w:rsidR="005C081D" w:rsidRPr="009D3B53" w:rsidRDefault="005C081D" w:rsidP="005C081D">
      <w:pPr>
        <w:pStyle w:val="Headingpara2"/>
      </w:pPr>
      <w:r w:rsidRPr="009D3B53">
        <w:t xml:space="preserve">Communications take effect from the time they are received or taken to be received under clause </w:t>
      </w:r>
      <w:r w:rsidR="0049528C">
        <w:fldChar w:fldCharType="begin"/>
      </w:r>
      <w:r w:rsidR="0049528C">
        <w:instrText xml:space="preserve"> REF _Ref41341750 \r \h </w:instrText>
      </w:r>
      <w:r w:rsidR="0049528C">
        <w:fldChar w:fldCharType="separate"/>
      </w:r>
      <w:r w:rsidR="00982D02">
        <w:t>20.4</w:t>
      </w:r>
      <w:r w:rsidR="0049528C">
        <w:fldChar w:fldCharType="end"/>
      </w:r>
      <w:r w:rsidRPr="009D3B53">
        <w:t xml:space="preserve"> (whichever happens first) unless a later time is specified.</w:t>
      </w:r>
    </w:p>
    <w:p w14:paraId="6C342F38" w14:textId="77777777" w:rsidR="005C081D" w:rsidRPr="009D3B53" w:rsidRDefault="005C081D" w:rsidP="005C081D">
      <w:pPr>
        <w:pStyle w:val="Headingpara2"/>
        <w:keepNext/>
      </w:pPr>
      <w:bookmarkStart w:id="679" w:name="_Ref41341750"/>
      <w:r w:rsidRPr="009D3B53">
        <w:t>Communications are taken to be received:</w:t>
      </w:r>
      <w:bookmarkEnd w:id="679"/>
    </w:p>
    <w:p w14:paraId="29047573" w14:textId="77777777" w:rsidR="005C081D" w:rsidRPr="009D3B53" w:rsidRDefault="005C081D" w:rsidP="005C081D">
      <w:pPr>
        <w:pStyle w:val="Heading3"/>
        <w:keepNext/>
      </w:pPr>
      <w:r w:rsidRPr="009D3B53">
        <w:t xml:space="preserve">if sent by post, </w:t>
      </w:r>
      <w:r>
        <w:t>six (6)</w:t>
      </w:r>
      <w:r w:rsidRPr="009D3B53">
        <w:t xml:space="preserve"> days after posting (or </w:t>
      </w:r>
      <w:r>
        <w:t>ten</w:t>
      </w:r>
      <w:r w:rsidRPr="009D3B53">
        <w:t xml:space="preserve"> </w:t>
      </w:r>
      <w:r>
        <w:t xml:space="preserve">(10) </w:t>
      </w:r>
      <w:r w:rsidRPr="009D3B53">
        <w:t>days after posting if sent from one country to another); or</w:t>
      </w:r>
    </w:p>
    <w:p w14:paraId="2B1A8B3B" w14:textId="77777777" w:rsidR="005C081D" w:rsidRPr="009D3B53" w:rsidRDefault="005C081D" w:rsidP="00CA07B0">
      <w:pPr>
        <w:pStyle w:val="Heading3"/>
        <w:keepNext/>
      </w:pPr>
      <w:r w:rsidRPr="009D3B53">
        <w:t>if sent by email;</w:t>
      </w:r>
    </w:p>
    <w:p w14:paraId="345C10BB" w14:textId="77777777" w:rsidR="005C081D" w:rsidRPr="009D3B53" w:rsidRDefault="005C081D" w:rsidP="00CA07B0">
      <w:pPr>
        <w:pStyle w:val="Heading4"/>
        <w:keepNext/>
      </w:pPr>
      <w:r w:rsidRPr="009D3B53">
        <w:t>when the sender receives an automated message confirming delivery; or</w:t>
      </w:r>
    </w:p>
    <w:p w14:paraId="4AFA958C" w14:textId="6BB87696" w:rsidR="005C081D" w:rsidRPr="009D3B53" w:rsidRDefault="00305D38" w:rsidP="005C081D">
      <w:pPr>
        <w:pStyle w:val="Heading4"/>
      </w:pPr>
      <w:r>
        <w:t>four (</w:t>
      </w:r>
      <w:r w:rsidR="005C081D">
        <w:t>4</w:t>
      </w:r>
      <w:r>
        <w:t>)</w:t>
      </w:r>
      <w:r w:rsidR="005C081D" w:rsidRPr="009D3B53">
        <w:t xml:space="preserve"> hours after the time sent (as recorded on the device from which the sender sent the email) unless the sender receives an automated message that the email has not been delivered, </w:t>
      </w:r>
    </w:p>
    <w:p w14:paraId="0A47FDDF" w14:textId="77777777" w:rsidR="005C081D" w:rsidRPr="009D3B53" w:rsidRDefault="005C081D" w:rsidP="005C081D">
      <w:pPr>
        <w:pStyle w:val="BodyIndent2"/>
      </w:pPr>
      <w:r w:rsidRPr="009D3B53">
        <w:t>whichever happens first.</w:t>
      </w:r>
    </w:p>
    <w:p w14:paraId="06E2F79B" w14:textId="60178B99" w:rsidR="005C081D" w:rsidRDefault="005C081D" w:rsidP="005C081D">
      <w:pPr>
        <w:pStyle w:val="Headingpara2"/>
      </w:pPr>
      <w:r w:rsidRPr="009D3B53">
        <w:t>A notice received, or taken to be received</w:t>
      </w:r>
      <w:r>
        <w:t>,</w:t>
      </w:r>
      <w:r w:rsidRPr="009D3B53">
        <w:t xml:space="preserve"> under clause </w:t>
      </w:r>
      <w:r w:rsidR="0049528C">
        <w:fldChar w:fldCharType="begin"/>
      </w:r>
      <w:r w:rsidR="0049528C">
        <w:instrText xml:space="preserve"> REF _Ref41341750 \r \h </w:instrText>
      </w:r>
      <w:r w:rsidR="0049528C">
        <w:fldChar w:fldCharType="separate"/>
      </w:r>
      <w:r w:rsidR="00982D02">
        <w:t>20.4</w:t>
      </w:r>
      <w:r w:rsidR="0049528C">
        <w:fldChar w:fldCharType="end"/>
      </w:r>
      <w:r w:rsidRPr="009D3B53">
        <w:t xml:space="preserve"> after 5.00 pm, or on a day that is not a </w:t>
      </w:r>
      <w:r>
        <w:t>Business D</w:t>
      </w:r>
      <w:r w:rsidRPr="009D3B53">
        <w:t xml:space="preserve">ay, is deemed to be effected on the next </w:t>
      </w:r>
      <w:r>
        <w:t>B</w:t>
      </w:r>
      <w:r w:rsidRPr="009D3B53">
        <w:t xml:space="preserve">usiness </w:t>
      </w:r>
      <w:r>
        <w:t>D</w:t>
      </w:r>
      <w:r w:rsidRPr="009D3B53">
        <w:t xml:space="preserve">ay. </w:t>
      </w:r>
    </w:p>
    <w:p w14:paraId="7D479A9F" w14:textId="474D59DE" w:rsidR="002A78FF" w:rsidRDefault="002A78FF" w:rsidP="000D6BB8">
      <w:pPr>
        <w:pStyle w:val="Heading1"/>
      </w:pPr>
      <w:bookmarkStart w:id="680" w:name="_Toc42783657"/>
      <w:r>
        <w:t>Interpretation</w:t>
      </w:r>
      <w:bookmarkEnd w:id="680"/>
    </w:p>
    <w:p w14:paraId="4658B024" w14:textId="352A6379" w:rsidR="007D3E14" w:rsidRDefault="007D3E14" w:rsidP="005B270D">
      <w:pPr>
        <w:pStyle w:val="Heading2"/>
      </w:pPr>
      <w:bookmarkStart w:id="681" w:name="_Toc40020136"/>
      <w:bookmarkStart w:id="682" w:name="_Toc40020318"/>
      <w:bookmarkStart w:id="683" w:name="_Toc29314666"/>
      <w:bookmarkStart w:id="684" w:name="_Toc29314789"/>
      <w:bookmarkStart w:id="685" w:name="_Toc29315833"/>
      <w:bookmarkStart w:id="686" w:name="_Toc29315954"/>
      <w:bookmarkStart w:id="687" w:name="_Toc42783658"/>
      <w:bookmarkEnd w:id="681"/>
      <w:bookmarkEnd w:id="682"/>
      <w:bookmarkEnd w:id="683"/>
      <w:bookmarkEnd w:id="684"/>
      <w:bookmarkEnd w:id="685"/>
      <w:bookmarkEnd w:id="686"/>
      <w:r>
        <w:t>Structure</w:t>
      </w:r>
      <w:r w:rsidR="00D00994">
        <w:t xml:space="preserve"> of this Agreement</w:t>
      </w:r>
      <w:bookmarkEnd w:id="687"/>
    </w:p>
    <w:p w14:paraId="226EA5F0" w14:textId="2ABB1F3F" w:rsidR="007D3E14" w:rsidRDefault="007D3E14" w:rsidP="007D3E14">
      <w:pPr>
        <w:pStyle w:val="Heading3"/>
      </w:pPr>
      <w:bookmarkStart w:id="688" w:name="_Ref41640146"/>
      <w:r>
        <w:t>This Agreement consists of:</w:t>
      </w:r>
      <w:bookmarkEnd w:id="688"/>
    </w:p>
    <w:p w14:paraId="09E0B032" w14:textId="1FD959E7" w:rsidR="007D3E14" w:rsidRDefault="007D3E14" w:rsidP="007D3E14">
      <w:pPr>
        <w:pStyle w:val="Heading4"/>
      </w:pPr>
      <w:r>
        <w:t xml:space="preserve">Part 1 </w:t>
      </w:r>
      <w:r w:rsidR="00A8497F">
        <w:t xml:space="preserve">and Appendices B and C </w:t>
      </w:r>
      <w:r>
        <w:t>between the Commonwealth and the Guild;</w:t>
      </w:r>
    </w:p>
    <w:p w14:paraId="0BD436FF" w14:textId="112956FE" w:rsidR="007D3E14" w:rsidRDefault="007D3E14" w:rsidP="007D3E14">
      <w:pPr>
        <w:pStyle w:val="Heading4"/>
      </w:pPr>
      <w:r>
        <w:t>Part 2 between the Commonwealth and PSA; and</w:t>
      </w:r>
    </w:p>
    <w:p w14:paraId="3320B6FC" w14:textId="130F5335" w:rsidR="007D3E14" w:rsidRDefault="007D3E14" w:rsidP="007D3E14">
      <w:pPr>
        <w:pStyle w:val="Heading4"/>
      </w:pPr>
      <w:r>
        <w:t xml:space="preserve">this Part 3 </w:t>
      </w:r>
      <w:r w:rsidR="00A8497F">
        <w:t xml:space="preserve">and Appendix A </w:t>
      </w:r>
      <w:r>
        <w:t>between the Commonwealth, the Guild and the PSA.</w:t>
      </w:r>
    </w:p>
    <w:p w14:paraId="57D2CFD1" w14:textId="5C12CEBB" w:rsidR="007D3E14" w:rsidRPr="007D3E14" w:rsidRDefault="007D3E14" w:rsidP="007D3E14">
      <w:pPr>
        <w:pStyle w:val="Heading3"/>
      </w:pPr>
      <w:r>
        <w:t xml:space="preserve">Notwithstanding their inclusion in this Part 3, clauses </w:t>
      </w:r>
      <w:r w:rsidR="000C244F">
        <w:fldChar w:fldCharType="begin"/>
      </w:r>
      <w:r w:rsidR="000C244F">
        <w:instrText xml:space="preserve"> REF _Ref29314178 \w \h </w:instrText>
      </w:r>
      <w:r w:rsidR="000C244F">
        <w:fldChar w:fldCharType="separate"/>
      </w:r>
      <w:r w:rsidR="00982D02">
        <w:t>17</w:t>
      </w:r>
      <w:r w:rsidR="000C244F">
        <w:fldChar w:fldCharType="end"/>
      </w:r>
      <w:r w:rsidR="000C244F">
        <w:t xml:space="preserve"> </w:t>
      </w:r>
      <w:r>
        <w:t xml:space="preserve">to </w:t>
      </w:r>
      <w:r w:rsidR="00CA07B0">
        <w:fldChar w:fldCharType="begin"/>
      </w:r>
      <w:r w:rsidR="00CA07B0">
        <w:instrText xml:space="preserve"> REF _Ref41423320 \r \h </w:instrText>
      </w:r>
      <w:r w:rsidR="00CA07B0">
        <w:fldChar w:fldCharType="separate"/>
      </w:r>
      <w:r w:rsidR="00982D02">
        <w:t>22</w:t>
      </w:r>
      <w:r w:rsidR="00CA07B0">
        <w:fldChar w:fldCharType="end"/>
      </w:r>
      <w:r>
        <w:t xml:space="preserve"> (inclusive) </w:t>
      </w:r>
      <w:r w:rsidR="00D00994">
        <w:t xml:space="preserve">also </w:t>
      </w:r>
      <w:r>
        <w:t>apply</w:t>
      </w:r>
      <w:r w:rsidR="000C244F">
        <w:t xml:space="preserve"> </w:t>
      </w:r>
      <w:r>
        <w:t>to Part 1</w:t>
      </w:r>
      <w:r w:rsidR="00305D38">
        <w:t xml:space="preserve">, </w:t>
      </w:r>
      <w:r>
        <w:t xml:space="preserve">Part 2 </w:t>
      </w:r>
      <w:r w:rsidR="00305D38">
        <w:t>and the Appendices to</w:t>
      </w:r>
      <w:r>
        <w:t xml:space="preserve"> this Agreement.</w:t>
      </w:r>
    </w:p>
    <w:p w14:paraId="6DBD6AD3" w14:textId="396DDA33" w:rsidR="007F6E59" w:rsidRPr="009D3B53" w:rsidRDefault="007F6E59" w:rsidP="005B270D">
      <w:pPr>
        <w:pStyle w:val="Heading2"/>
      </w:pPr>
      <w:bookmarkStart w:id="689" w:name="_Toc42783659"/>
      <w:r w:rsidRPr="009D3B53">
        <w:t>Words and headings</w:t>
      </w:r>
      <w:bookmarkEnd w:id="689"/>
    </w:p>
    <w:p w14:paraId="16B81AA3" w14:textId="77777777" w:rsidR="007F6E59" w:rsidRPr="009D3B53" w:rsidRDefault="007F6E59" w:rsidP="005B270D">
      <w:pPr>
        <w:pStyle w:val="BodyIndent1"/>
        <w:keepNext/>
      </w:pPr>
      <w:r w:rsidRPr="009D3B53">
        <w:t xml:space="preserve">In this Agreement, unless expressed to the contrary: </w:t>
      </w:r>
    </w:p>
    <w:p w14:paraId="2FE2ADF7" w14:textId="77777777" w:rsidR="007F6E59" w:rsidRPr="009D3B53" w:rsidRDefault="007F6E59" w:rsidP="009338EF">
      <w:pPr>
        <w:pStyle w:val="Heading3"/>
        <w:ind w:left="1708" w:hanging="840"/>
      </w:pPr>
      <w:r w:rsidRPr="009D3B53">
        <w:t>words denoting the singular include the plural and vice versa;</w:t>
      </w:r>
    </w:p>
    <w:p w14:paraId="2638B2E6" w14:textId="77777777" w:rsidR="007F6E59" w:rsidRPr="009D3B53" w:rsidRDefault="007F6E59" w:rsidP="009338EF">
      <w:pPr>
        <w:pStyle w:val="Heading3"/>
        <w:ind w:left="1708" w:hanging="840"/>
      </w:pPr>
      <w:r w:rsidRPr="009D3B53">
        <w:t>the word 'includes' in any form is not a word of limitation;</w:t>
      </w:r>
    </w:p>
    <w:p w14:paraId="6833F70C" w14:textId="77777777" w:rsidR="007F6E59" w:rsidRPr="009D3B53" w:rsidRDefault="007F6E59" w:rsidP="009338EF">
      <w:pPr>
        <w:pStyle w:val="Heading3"/>
        <w:ind w:left="1708" w:hanging="840"/>
      </w:pPr>
      <w:r w:rsidRPr="009D3B53">
        <w:t xml:space="preserve">where a word or phrase is defined, another part of speech or grammatical form of that word or phrase has a corresponding meaning; </w:t>
      </w:r>
    </w:p>
    <w:p w14:paraId="2C996ADE" w14:textId="77777777" w:rsidR="007F6E59" w:rsidRPr="009D3B53" w:rsidRDefault="007F6E59" w:rsidP="009338EF">
      <w:pPr>
        <w:pStyle w:val="Heading3"/>
        <w:ind w:left="1708" w:hanging="840"/>
      </w:pPr>
      <w:r w:rsidRPr="009D3B53">
        <w:t>headings and sub-headings are for ease of reference only and do not affect the interpretation of this Agreement; and</w:t>
      </w:r>
    </w:p>
    <w:p w14:paraId="14A58285" w14:textId="77777777" w:rsidR="007F6E59" w:rsidRPr="009D3B53" w:rsidRDefault="007F6E59" w:rsidP="009338EF">
      <w:pPr>
        <w:pStyle w:val="Heading3"/>
        <w:ind w:left="1708" w:hanging="840"/>
      </w:pPr>
      <w:r w:rsidRPr="009D3B53">
        <w:t xml:space="preserve">no rule of construction applies to the disadvantage of the </w:t>
      </w:r>
      <w:r w:rsidR="00223700">
        <w:t xml:space="preserve">person </w:t>
      </w:r>
      <w:r w:rsidRPr="009D3B53">
        <w:t>preparing this Agreement on the basis that it prepared or put forward this Agreement or any part of it.</w:t>
      </w:r>
    </w:p>
    <w:p w14:paraId="2C8CE0D0" w14:textId="3B1D0AE9" w:rsidR="007F6E59" w:rsidRPr="009D3B53" w:rsidRDefault="007F6E59" w:rsidP="00305D38">
      <w:pPr>
        <w:pStyle w:val="Heading2"/>
        <w:keepLines/>
      </w:pPr>
      <w:bookmarkStart w:id="690" w:name="_Toc42783660"/>
      <w:r w:rsidRPr="009D3B53">
        <w:t>Specific references</w:t>
      </w:r>
      <w:bookmarkEnd w:id="690"/>
    </w:p>
    <w:p w14:paraId="339963C1" w14:textId="77777777" w:rsidR="007F6E59" w:rsidRPr="009D3B53" w:rsidRDefault="007F6E59" w:rsidP="00305D38">
      <w:pPr>
        <w:pStyle w:val="BodyIndent1"/>
        <w:keepNext/>
        <w:keepLines/>
      </w:pPr>
      <w:r w:rsidRPr="009D3B53">
        <w:t xml:space="preserve">In this Agreement, unless expressed to the contrary, a reference to: </w:t>
      </w:r>
    </w:p>
    <w:p w14:paraId="1E94B4F0" w14:textId="77777777" w:rsidR="00B26022" w:rsidRPr="00B26022" w:rsidRDefault="00B26022" w:rsidP="00305D38">
      <w:pPr>
        <w:pStyle w:val="Heading3"/>
        <w:keepNext/>
        <w:keepLines/>
        <w:ind w:left="1708" w:hanging="840"/>
        <w:rPr>
          <w:rStyle w:val="IntenseReference"/>
          <w:b w:val="0"/>
          <w:bCs w:val="0"/>
          <w:i w:val="0"/>
          <w:smallCaps w:val="0"/>
          <w:color w:val="auto"/>
          <w:spacing w:val="0"/>
        </w:rPr>
      </w:pPr>
      <w:r>
        <w:rPr>
          <w:rStyle w:val="IntenseReference"/>
          <w:b w:val="0"/>
          <w:bCs w:val="0"/>
          <w:i w:val="0"/>
          <w:smallCaps w:val="0"/>
          <w:color w:val="auto"/>
          <w:spacing w:val="0"/>
        </w:rPr>
        <w:t>a decision or a determination of the Minister includes a decision or determination of the Minister’s delegate;</w:t>
      </w:r>
    </w:p>
    <w:p w14:paraId="2CE37719" w14:textId="1EF09331" w:rsidR="003C5D61" w:rsidRPr="003C5D61" w:rsidRDefault="003C5D61" w:rsidP="00305D38">
      <w:pPr>
        <w:pStyle w:val="Heading3"/>
        <w:keepNext/>
        <w:keepLines/>
        <w:ind w:left="1708" w:hanging="840"/>
        <w:rPr>
          <w:rStyle w:val="IntenseReference"/>
          <w:b w:val="0"/>
          <w:bCs w:val="0"/>
          <w:i w:val="0"/>
          <w:smallCaps w:val="0"/>
          <w:color w:val="auto"/>
          <w:spacing w:val="0"/>
        </w:rPr>
      </w:pPr>
      <w:r w:rsidRPr="003C5D61">
        <w:rPr>
          <w:rStyle w:val="IntenseReference"/>
          <w:b w:val="0"/>
          <w:bCs w:val="0"/>
          <w:i w:val="0"/>
          <w:smallCaps w:val="0"/>
          <w:color w:val="auto"/>
          <w:spacing w:val="0"/>
        </w:rPr>
        <w:t>consult</w:t>
      </w:r>
      <w:r>
        <w:rPr>
          <w:rStyle w:val="IntenseReference"/>
          <w:b w:val="0"/>
          <w:bCs w:val="0"/>
          <w:i w:val="0"/>
          <w:smallCaps w:val="0"/>
          <w:color w:val="auto"/>
          <w:spacing w:val="0"/>
        </w:rPr>
        <w:t>ing</w:t>
      </w:r>
      <w:r w:rsidRPr="003C5D61">
        <w:rPr>
          <w:rStyle w:val="IntenseReference"/>
          <w:b w:val="0"/>
          <w:bCs w:val="0"/>
          <w:i w:val="0"/>
          <w:smallCaps w:val="0"/>
          <w:color w:val="auto"/>
          <w:spacing w:val="0"/>
        </w:rPr>
        <w:t xml:space="preserve"> on a matter, </w:t>
      </w:r>
      <w:r>
        <w:rPr>
          <w:rStyle w:val="IntenseReference"/>
          <w:b w:val="0"/>
          <w:bCs w:val="0"/>
          <w:i w:val="0"/>
          <w:smallCaps w:val="0"/>
          <w:color w:val="auto"/>
          <w:spacing w:val="0"/>
        </w:rPr>
        <w:t xml:space="preserve">means </w:t>
      </w:r>
      <w:r w:rsidRPr="003C5D61">
        <w:rPr>
          <w:rStyle w:val="IntenseReference"/>
          <w:b w:val="0"/>
          <w:bCs w:val="0"/>
          <w:i w:val="0"/>
          <w:smallCaps w:val="0"/>
          <w:color w:val="auto"/>
          <w:spacing w:val="0"/>
        </w:rPr>
        <w:t>seek</w:t>
      </w:r>
      <w:r>
        <w:rPr>
          <w:rStyle w:val="IntenseReference"/>
          <w:b w:val="0"/>
          <w:bCs w:val="0"/>
          <w:i w:val="0"/>
          <w:smallCaps w:val="0"/>
          <w:color w:val="auto"/>
          <w:spacing w:val="0"/>
        </w:rPr>
        <w:t>ing</w:t>
      </w:r>
      <w:r w:rsidRPr="003C5D61">
        <w:rPr>
          <w:rStyle w:val="IntenseReference"/>
          <w:b w:val="0"/>
          <w:bCs w:val="0"/>
          <w:i w:val="0"/>
          <w:smallCaps w:val="0"/>
          <w:color w:val="auto"/>
          <w:spacing w:val="0"/>
        </w:rPr>
        <w:t xml:space="preserve"> the views of the relevant other Signatory or third party and is not an obligation to seek or obtain the agreement of any other Signatory or third party</w:t>
      </w:r>
      <w:r>
        <w:rPr>
          <w:rStyle w:val="IntenseReference"/>
          <w:b w:val="0"/>
          <w:bCs w:val="0"/>
          <w:i w:val="0"/>
          <w:smallCaps w:val="0"/>
          <w:color w:val="auto"/>
          <w:spacing w:val="0"/>
        </w:rPr>
        <w:t>;</w:t>
      </w:r>
    </w:p>
    <w:p w14:paraId="49EE1C26" w14:textId="5511F4A6" w:rsidR="007F6E59" w:rsidRPr="009D3B53" w:rsidRDefault="007F6E59" w:rsidP="009338EF">
      <w:pPr>
        <w:pStyle w:val="Heading3"/>
        <w:ind w:left="1708" w:hanging="840"/>
      </w:pPr>
      <w:r w:rsidRPr="009D3B53">
        <w:rPr>
          <w:rStyle w:val="IntenseReference"/>
          <w:rFonts w:cs="Arial"/>
          <w:b w:val="0"/>
          <w:bCs w:val="0"/>
          <w:i w:val="0"/>
          <w:smallCaps w:val="0"/>
          <w:color w:val="auto"/>
          <w:spacing w:val="0"/>
        </w:rPr>
        <w:t xml:space="preserve">a section </w:t>
      </w:r>
      <w:r w:rsidRPr="00597B93">
        <w:t>is a reference to a section of the Act;</w:t>
      </w:r>
    </w:p>
    <w:p w14:paraId="4EBACA27" w14:textId="77777777" w:rsidR="007F6E59" w:rsidRPr="009D3B53" w:rsidRDefault="007F6E59" w:rsidP="009338EF">
      <w:pPr>
        <w:pStyle w:val="Heading3"/>
        <w:ind w:left="1708" w:hanging="840"/>
      </w:pPr>
      <w:r w:rsidRPr="009D3B53">
        <w:t>any legislation (including subordinate legislation) is to that legislation as amended, re-enacted or replaced and includes any subordinate legislation issued under it;</w:t>
      </w:r>
    </w:p>
    <w:p w14:paraId="6EEA06AB" w14:textId="77777777" w:rsidR="007F6E59" w:rsidRPr="009D3B53" w:rsidRDefault="007F6E59" w:rsidP="009338EF">
      <w:pPr>
        <w:pStyle w:val="Heading3"/>
        <w:ind w:left="1708" w:hanging="840"/>
      </w:pPr>
      <w:r w:rsidRPr="009D3B53">
        <w:t xml:space="preserve">any document (such as a deed, agreement or other document) is to that document (or, if required by the context, to a part of it) as amended, novated, substituted or supplemented at any time; </w:t>
      </w:r>
    </w:p>
    <w:p w14:paraId="230EB96C" w14:textId="77777777" w:rsidR="007F6E59" w:rsidRPr="009D3B53" w:rsidRDefault="007F6E59" w:rsidP="009338EF">
      <w:pPr>
        <w:pStyle w:val="Heading3"/>
        <w:ind w:left="1708" w:hanging="840"/>
      </w:pPr>
      <w:r w:rsidRPr="009D3B53">
        <w:t xml:space="preserve">writing includes writing in digital form; </w:t>
      </w:r>
    </w:p>
    <w:p w14:paraId="06EC1BE9" w14:textId="77777777" w:rsidR="007F6E59" w:rsidRPr="009D3B53" w:rsidRDefault="007F6E59" w:rsidP="009338EF">
      <w:pPr>
        <w:pStyle w:val="Heading3"/>
        <w:ind w:left="1708" w:hanging="840"/>
      </w:pPr>
      <w:r w:rsidRPr="009D3B53">
        <w:t>‘this Agreement’ is to this Agreement as amended from time to time;</w:t>
      </w:r>
    </w:p>
    <w:p w14:paraId="2AF76B8C" w14:textId="77777777" w:rsidR="007F6E59" w:rsidRPr="009D3B53" w:rsidRDefault="007F6E59" w:rsidP="009338EF">
      <w:pPr>
        <w:pStyle w:val="Heading3"/>
        <w:ind w:left="1708" w:hanging="840"/>
      </w:pPr>
      <w:r w:rsidRPr="009D3B53">
        <w:t>'A$', '$', 'AUD'</w:t>
      </w:r>
      <w:r w:rsidR="002D6CEF" w:rsidRPr="009D3B53">
        <w:t>,</w:t>
      </w:r>
      <w:r w:rsidRPr="009D3B53">
        <w:t xml:space="preserve"> 'dollars' </w:t>
      </w:r>
      <w:r w:rsidR="002D6CEF" w:rsidRPr="009D3B53">
        <w:t xml:space="preserve">or 'cents' </w:t>
      </w:r>
      <w:r w:rsidRPr="009D3B53">
        <w:t xml:space="preserve">is a reference to Australian </w:t>
      </w:r>
      <w:r w:rsidR="002D6CEF" w:rsidRPr="009D3B53">
        <w:t>units of currency</w:t>
      </w:r>
      <w:r w:rsidRPr="009D3B53">
        <w:t>;</w:t>
      </w:r>
    </w:p>
    <w:p w14:paraId="70E5B2A6" w14:textId="77777777" w:rsidR="007F6E59" w:rsidRPr="009D3B53" w:rsidRDefault="007F6E59" w:rsidP="009338EF">
      <w:pPr>
        <w:pStyle w:val="Heading3"/>
        <w:ind w:left="1708" w:hanging="840"/>
      </w:pPr>
      <w:r w:rsidRPr="009D3B53">
        <w:t xml:space="preserve">a clause, </w:t>
      </w:r>
      <w:r w:rsidR="007E4F56">
        <w:t>appendix, part</w:t>
      </w:r>
      <w:r w:rsidR="005D75D9" w:rsidRPr="009D3B53">
        <w:t>, table</w:t>
      </w:r>
      <w:r w:rsidRPr="009D3B53">
        <w:t xml:space="preserve"> or attachment is a reference to a clause, </w:t>
      </w:r>
      <w:r w:rsidR="007E4F56">
        <w:t>appendix, part</w:t>
      </w:r>
      <w:r w:rsidR="005D75D9" w:rsidRPr="009D3B53">
        <w:t>, table</w:t>
      </w:r>
      <w:r w:rsidRPr="009D3B53">
        <w:t xml:space="preserve"> or attachment in or to this Agreement; </w:t>
      </w:r>
    </w:p>
    <w:p w14:paraId="37036D83" w14:textId="77777777" w:rsidR="007F6E59" w:rsidRPr="009D3B53" w:rsidRDefault="007F6E59" w:rsidP="009338EF">
      <w:pPr>
        <w:pStyle w:val="Heading3"/>
        <w:ind w:left="1708" w:hanging="840"/>
      </w:pPr>
      <w:r w:rsidRPr="00597B93">
        <w:t>to a ‘</w:t>
      </w:r>
      <w:r w:rsidRPr="009D3B53">
        <w:t>person’</w:t>
      </w:r>
      <w:r w:rsidRPr="00597B93">
        <w:t xml:space="preserve"> includes an individual</w:t>
      </w:r>
      <w:r w:rsidRPr="009338EF">
        <w:t xml:space="preserve">, a firm, a body corporate, a partnership, a joint venture, an unincorporated body or association, or any Government Agency; </w:t>
      </w:r>
      <w:r w:rsidRPr="009D3B53">
        <w:t>and</w:t>
      </w:r>
    </w:p>
    <w:p w14:paraId="198D00F3" w14:textId="77777777" w:rsidR="007F6E59" w:rsidRPr="009D3B53" w:rsidRDefault="007F6E59" w:rsidP="009338EF">
      <w:pPr>
        <w:pStyle w:val="Heading3"/>
        <w:ind w:left="1708" w:hanging="840"/>
      </w:pPr>
      <w:r w:rsidRPr="009D3B53">
        <w:t>any body (</w:t>
      </w:r>
      <w:r w:rsidRPr="009216B1">
        <w:rPr>
          <w:b/>
        </w:rPr>
        <w:t>Original Body</w:t>
      </w:r>
      <w:r w:rsidRPr="009D3B53">
        <w:t xml:space="preserve">) which no longer exists or has been reconstituted, renamed, replaced or whose powers or functions have been removed or transferred to another body or agency, is a reference to the body which most closely serves the purposes or objects of the Original Body. </w:t>
      </w:r>
    </w:p>
    <w:p w14:paraId="04B72EF1" w14:textId="5AF9F908" w:rsidR="00A41B45" w:rsidRDefault="00A41B45" w:rsidP="00A8497F">
      <w:pPr>
        <w:pStyle w:val="Heading1"/>
      </w:pPr>
      <w:bookmarkStart w:id="691" w:name="_Toc41335267"/>
      <w:bookmarkStart w:id="692" w:name="_Toc41335437"/>
      <w:bookmarkStart w:id="693" w:name="_Toc41340264"/>
      <w:bookmarkStart w:id="694" w:name="_Toc41346124"/>
      <w:bookmarkStart w:id="695" w:name="_Toc41335277"/>
      <w:bookmarkStart w:id="696" w:name="_Toc41335447"/>
      <w:bookmarkStart w:id="697" w:name="_Toc41340274"/>
      <w:bookmarkStart w:id="698" w:name="_Toc41346134"/>
      <w:bookmarkStart w:id="699" w:name="_Ref41387127"/>
      <w:bookmarkStart w:id="700" w:name="_Ref41326717"/>
      <w:bookmarkStart w:id="701" w:name="_Ref41423320"/>
      <w:bookmarkStart w:id="702" w:name="_Toc42783661"/>
      <w:bookmarkEnd w:id="691"/>
      <w:bookmarkEnd w:id="692"/>
      <w:bookmarkEnd w:id="693"/>
      <w:bookmarkEnd w:id="694"/>
      <w:bookmarkEnd w:id="695"/>
      <w:bookmarkEnd w:id="696"/>
      <w:bookmarkEnd w:id="697"/>
      <w:bookmarkEnd w:id="698"/>
      <w:r>
        <w:t>Definitions</w:t>
      </w:r>
      <w:bookmarkEnd w:id="699"/>
      <w:bookmarkEnd w:id="700"/>
      <w:bookmarkEnd w:id="701"/>
      <w:bookmarkEnd w:id="702"/>
    </w:p>
    <w:p w14:paraId="62A8C772" w14:textId="77777777" w:rsidR="00A41B45" w:rsidRPr="009D3B53" w:rsidRDefault="00A41B45" w:rsidP="00A8497F">
      <w:pPr>
        <w:pStyle w:val="Headingpara2"/>
        <w:keepNext/>
      </w:pPr>
      <w:r w:rsidRPr="009D3B53">
        <w:t>In this Agreement, unless the contrary intention appears:</w:t>
      </w:r>
    </w:p>
    <w:p w14:paraId="053511E6" w14:textId="77777777" w:rsidR="00A41B45" w:rsidRPr="009D3B53" w:rsidRDefault="00A41B45" w:rsidP="00A8497F">
      <w:pPr>
        <w:pStyle w:val="BodyIndent1"/>
        <w:keepNext/>
        <w:rPr>
          <w:rStyle w:val="IntenseReference"/>
          <w:b w:val="0"/>
          <w:bCs w:val="0"/>
          <w:i w:val="0"/>
          <w:smallCaps w:val="0"/>
          <w:color w:val="auto"/>
        </w:rPr>
      </w:pPr>
      <w:r w:rsidRPr="009D3B53">
        <w:rPr>
          <w:rStyle w:val="IntenseReference"/>
          <w:bCs w:val="0"/>
          <w:i w:val="0"/>
          <w:smallCaps w:val="0"/>
          <w:color w:val="auto"/>
        </w:rPr>
        <w:t xml:space="preserve">Act </w:t>
      </w:r>
      <w:r w:rsidRPr="009D3B53">
        <w:t>means</w:t>
      </w:r>
      <w:r w:rsidRPr="009D3B53">
        <w:rPr>
          <w:rStyle w:val="IntenseReference"/>
          <w:b w:val="0"/>
          <w:bCs w:val="0"/>
          <w:i w:val="0"/>
          <w:smallCaps w:val="0"/>
          <w:color w:val="auto"/>
        </w:rPr>
        <w:t xml:space="preserve"> the </w:t>
      </w:r>
      <w:r w:rsidRPr="009D3B53">
        <w:rPr>
          <w:rStyle w:val="IntenseReference"/>
          <w:b w:val="0"/>
          <w:bCs w:val="0"/>
          <w:smallCaps w:val="0"/>
          <w:color w:val="auto"/>
        </w:rPr>
        <w:t xml:space="preserve">National Health Act </w:t>
      </w:r>
      <w:r w:rsidRPr="005B0279">
        <w:rPr>
          <w:rStyle w:val="IntenseReference"/>
          <w:b w:val="0"/>
          <w:bCs w:val="0"/>
          <w:smallCaps w:val="0"/>
          <w:color w:val="auto"/>
        </w:rPr>
        <w:t>1953</w:t>
      </w:r>
      <w:r>
        <w:rPr>
          <w:rStyle w:val="IntenseReference"/>
          <w:b w:val="0"/>
          <w:bCs w:val="0"/>
          <w:smallCaps w:val="0"/>
          <w:color w:val="auto"/>
        </w:rPr>
        <w:t xml:space="preserve"> </w:t>
      </w:r>
      <w:r>
        <w:t>(Cth)</w:t>
      </w:r>
      <w:r w:rsidRPr="009D3B53">
        <w:rPr>
          <w:rStyle w:val="IntenseReference"/>
          <w:b w:val="0"/>
          <w:bCs w:val="0"/>
          <w:i w:val="0"/>
          <w:smallCaps w:val="0"/>
          <w:color w:val="auto"/>
        </w:rPr>
        <w:t>.</w:t>
      </w:r>
    </w:p>
    <w:p w14:paraId="5FFC528F" w14:textId="7C827FC8" w:rsidR="00A41B45" w:rsidRPr="00F21D6D" w:rsidRDefault="00A41B45" w:rsidP="00A41B45">
      <w:pPr>
        <w:pStyle w:val="BodyIndent1"/>
      </w:pPr>
      <w:r w:rsidRPr="00147A5F">
        <w:rPr>
          <w:b/>
        </w:rPr>
        <w:t>Additional Patient Charge</w:t>
      </w:r>
      <w:r w:rsidRPr="00147A5F">
        <w:t xml:space="preserve"> </w:t>
      </w:r>
      <w:r>
        <w:t xml:space="preserve">means the fees specified in clauses </w:t>
      </w:r>
      <w:r>
        <w:fldChar w:fldCharType="begin"/>
      </w:r>
      <w:r>
        <w:instrText xml:space="preserve"> REF _Ref419561872 \r \h </w:instrText>
      </w:r>
      <w:r>
        <w:fldChar w:fldCharType="separate"/>
      </w:r>
      <w:r w:rsidR="00982D02">
        <w:t>4.2.1(c)</w:t>
      </w:r>
      <w:r>
        <w:fldChar w:fldCharType="end"/>
      </w:r>
      <w:r>
        <w:t xml:space="preserve"> and </w:t>
      </w:r>
      <w:r>
        <w:fldChar w:fldCharType="begin"/>
      </w:r>
      <w:r>
        <w:instrText xml:space="preserve"> REF _Ref39926306 \r \h </w:instrText>
      </w:r>
      <w:r>
        <w:fldChar w:fldCharType="separate"/>
      </w:r>
      <w:r w:rsidR="00982D02">
        <w:t>4.2.2(c)</w:t>
      </w:r>
      <w:r>
        <w:fldChar w:fldCharType="end"/>
      </w:r>
      <w:r>
        <w:t>.</w:t>
      </w:r>
    </w:p>
    <w:p w14:paraId="6DF82604" w14:textId="71EB5A01" w:rsidR="00A41B45" w:rsidRPr="009D3B53" w:rsidRDefault="00A41B45" w:rsidP="00A41B45">
      <w:pPr>
        <w:pStyle w:val="BodyIndent1"/>
      </w:pPr>
      <w:bookmarkStart w:id="703" w:name="_Hlk41387280"/>
      <w:r w:rsidRPr="004B65A1">
        <w:rPr>
          <w:b/>
        </w:rPr>
        <w:t>Administration</w:t>
      </w:r>
      <w:r>
        <w:rPr>
          <w:b/>
        </w:rPr>
        <w:t>,</w:t>
      </w:r>
      <w:r w:rsidRPr="004B65A1">
        <w:rPr>
          <w:b/>
        </w:rPr>
        <w:t xml:space="preserve"> Handling and Infrastructure Fee</w:t>
      </w:r>
      <w:r w:rsidRPr="009D3B53">
        <w:t xml:space="preserve"> </w:t>
      </w:r>
      <w:bookmarkStart w:id="704" w:name="_Hlk41387221"/>
      <w:bookmarkEnd w:id="703"/>
      <w:r w:rsidRPr="009D3B53">
        <w:t xml:space="preserve">means the fee </w:t>
      </w:r>
      <w:r>
        <w:t>described as such in Table 2</w:t>
      </w:r>
      <w:bookmarkEnd w:id="704"/>
      <w:r>
        <w:t xml:space="preserve">. </w:t>
      </w:r>
      <w:r w:rsidR="009216B1" w:rsidRPr="009216B1">
        <w:rPr>
          <w:b/>
        </w:rPr>
        <w:t>AHI Fee</w:t>
      </w:r>
      <w:r w:rsidR="009216B1">
        <w:t xml:space="preserve"> has the same meaning.</w:t>
      </w:r>
    </w:p>
    <w:p w14:paraId="63D76123" w14:textId="77777777" w:rsidR="00A41B45" w:rsidRDefault="00A41B45" w:rsidP="00A41B45">
      <w:pPr>
        <w:pStyle w:val="BodyIndent1"/>
      </w:pPr>
      <w:r w:rsidRPr="009D3B53">
        <w:rPr>
          <w:b/>
        </w:rPr>
        <w:t xml:space="preserve">Agreement </w:t>
      </w:r>
      <w:r w:rsidRPr="009D3B53">
        <w:t xml:space="preserve">means this </w:t>
      </w:r>
      <w:r>
        <w:t>Seventh</w:t>
      </w:r>
      <w:r w:rsidRPr="009D3B53">
        <w:t xml:space="preserve"> Community Pharmacy Agreement.</w:t>
      </w:r>
    </w:p>
    <w:p w14:paraId="58B654F4" w14:textId="77777777" w:rsidR="00A41B45" w:rsidRPr="00F24378" w:rsidRDefault="00A41B45" w:rsidP="00A41B45">
      <w:pPr>
        <w:pStyle w:val="BodyIndent1"/>
        <w:rPr>
          <w:rStyle w:val="IntenseReference"/>
          <w:b w:val="0"/>
          <w:bCs w:val="0"/>
          <w:i w:val="0"/>
          <w:smallCaps w:val="0"/>
          <w:color w:val="auto"/>
        </w:rPr>
      </w:pPr>
      <w:r>
        <w:rPr>
          <w:rStyle w:val="IntenseReference"/>
          <w:bCs w:val="0"/>
          <w:i w:val="0"/>
          <w:smallCaps w:val="0"/>
          <w:color w:val="auto"/>
        </w:rPr>
        <w:t>Appendix</w:t>
      </w:r>
      <w:r>
        <w:rPr>
          <w:rStyle w:val="IntenseReference"/>
          <w:b w:val="0"/>
          <w:bCs w:val="0"/>
          <w:i w:val="0"/>
          <w:smallCaps w:val="0"/>
          <w:color w:val="auto"/>
        </w:rPr>
        <w:t xml:space="preserve"> means an </w:t>
      </w:r>
      <w:r w:rsidRPr="00A41B45">
        <w:t>appendix</w:t>
      </w:r>
      <w:r>
        <w:rPr>
          <w:rStyle w:val="IntenseReference"/>
          <w:b w:val="0"/>
          <w:bCs w:val="0"/>
          <w:i w:val="0"/>
          <w:smallCaps w:val="0"/>
          <w:color w:val="auto"/>
        </w:rPr>
        <w:t xml:space="preserve"> to this Agreement.</w:t>
      </w:r>
    </w:p>
    <w:p w14:paraId="65E5FB4A" w14:textId="77777777" w:rsidR="00A41B45" w:rsidRPr="009216B1" w:rsidRDefault="00A41B45" w:rsidP="00A41B45">
      <w:pPr>
        <w:pStyle w:val="BodyIndent1"/>
      </w:pPr>
      <w:r w:rsidRPr="009216B1">
        <w:rPr>
          <w:b/>
        </w:rPr>
        <w:t>Approved Ex-Manufacturer Price</w:t>
      </w:r>
      <w:r w:rsidRPr="009216B1">
        <w:t xml:space="preserve"> has the meaning given in Part VII of the Act.</w:t>
      </w:r>
    </w:p>
    <w:p w14:paraId="42E6403E" w14:textId="77777777" w:rsidR="00A41B45" w:rsidRPr="009D3B53" w:rsidRDefault="00A41B45" w:rsidP="00A41B45">
      <w:pPr>
        <w:pStyle w:val="BodyIndent1"/>
      </w:pPr>
      <w:r w:rsidRPr="009D3B53">
        <w:rPr>
          <w:b/>
        </w:rPr>
        <w:t>Approved Pharmacist</w:t>
      </w:r>
      <w:r w:rsidRPr="009D3B53">
        <w:t xml:space="preserve"> has the meaning given in Part VII of the Act.</w:t>
      </w:r>
    </w:p>
    <w:p w14:paraId="163B55C1" w14:textId="77777777" w:rsidR="00A41B45" w:rsidRPr="009D3B53" w:rsidRDefault="00A41B45" w:rsidP="00A41B45">
      <w:pPr>
        <w:pStyle w:val="BodyIndent1"/>
      </w:pPr>
      <w:r w:rsidRPr="009D3B53">
        <w:rPr>
          <w:b/>
        </w:rPr>
        <w:t>Approved Supplier</w:t>
      </w:r>
      <w:r w:rsidRPr="009D3B53">
        <w:t xml:space="preserve"> has the meaning given in Part VII of the Act.</w:t>
      </w:r>
    </w:p>
    <w:p w14:paraId="7D558EAC" w14:textId="758B8762" w:rsidR="00A41B45" w:rsidRPr="009D3B53" w:rsidRDefault="00A41B45" w:rsidP="00A41B45">
      <w:pPr>
        <w:pStyle w:val="BodyIndent1"/>
      </w:pPr>
      <w:r w:rsidRPr="009D3B53">
        <w:rPr>
          <w:b/>
        </w:rPr>
        <w:t>Business Day</w:t>
      </w:r>
      <w:r w:rsidRPr="009D3B53">
        <w:t xml:space="preserve"> means a day other than a Saturday, Sunday or public holiday in the Australian Capital Territory.</w:t>
      </w:r>
    </w:p>
    <w:p w14:paraId="564F5A37" w14:textId="77777777" w:rsidR="00A41B45" w:rsidRPr="007A14DD" w:rsidRDefault="00A41B45" w:rsidP="00A41B45">
      <w:pPr>
        <w:pStyle w:val="BodyIndent1"/>
      </w:pPr>
      <w:r>
        <w:rPr>
          <w:b/>
        </w:rPr>
        <w:t>Commonwealth</w:t>
      </w:r>
      <w:r>
        <w:t xml:space="preserve"> means the Minister on behalf of the Commonwealth of Australia.</w:t>
      </w:r>
    </w:p>
    <w:p w14:paraId="3D44C207" w14:textId="77777777" w:rsidR="00A41B45" w:rsidRPr="009D3B53" w:rsidRDefault="00A41B45" w:rsidP="00A41B45">
      <w:pPr>
        <w:pStyle w:val="BodyIndent1"/>
      </w:pPr>
      <w:r w:rsidRPr="009D3B53">
        <w:rPr>
          <w:b/>
        </w:rPr>
        <w:t xml:space="preserve">Commonwealth </w:t>
      </w:r>
      <w:r>
        <w:rPr>
          <w:b/>
        </w:rPr>
        <w:t>P</w:t>
      </w:r>
      <w:r w:rsidRPr="009D3B53">
        <w:rPr>
          <w:b/>
        </w:rPr>
        <w:t>rice</w:t>
      </w:r>
      <w:r w:rsidRPr="009D3B53">
        <w:t xml:space="preserve"> means the price for a Pharmaceutical Benefit of a particular quantity or number of units</w:t>
      </w:r>
      <w:r>
        <w:t>,</w:t>
      </w:r>
      <w:r w:rsidRPr="009D3B53">
        <w:t xml:space="preserve"> as set out in the Determination.</w:t>
      </w:r>
    </w:p>
    <w:p w14:paraId="7DFA79DD" w14:textId="3645937F" w:rsidR="00861D0C" w:rsidRDefault="00135097" w:rsidP="00A41B45">
      <w:pPr>
        <w:pStyle w:val="BodyIndent1"/>
      </w:pPr>
      <w:r w:rsidRPr="00E20D25">
        <w:rPr>
          <w:b/>
        </w:rPr>
        <w:t>Community Pharmacy Programs</w:t>
      </w:r>
      <w:r w:rsidRPr="00E20D25">
        <w:t xml:space="preserve"> means programs of the kind described in</w:t>
      </w:r>
      <w:r w:rsidR="00E20D25" w:rsidRPr="00E20D25">
        <w:t xml:space="preserve"> </w:t>
      </w:r>
      <w:r w:rsidR="002B3FC4">
        <w:fldChar w:fldCharType="begin"/>
      </w:r>
      <w:r w:rsidR="002B3FC4">
        <w:instrText xml:space="preserve"> REF _Ref42518861 \r \h </w:instrText>
      </w:r>
      <w:r w:rsidR="002B3FC4">
        <w:fldChar w:fldCharType="separate"/>
      </w:r>
      <w:r w:rsidR="00982D02">
        <w:t>Part 1</w:t>
      </w:r>
      <w:r w:rsidR="002B3FC4">
        <w:fldChar w:fldCharType="end"/>
      </w:r>
      <w:r w:rsidR="002B3FC4">
        <w:t xml:space="preserve"> </w:t>
      </w:r>
      <w:r w:rsidRPr="00E20D25">
        <w:t>that are funded by the Commonwealth</w:t>
      </w:r>
      <w:r w:rsidR="00E050E3" w:rsidRPr="00E20D25">
        <w:t xml:space="preserve"> and delivered in </w:t>
      </w:r>
      <w:r w:rsidR="00481702" w:rsidRPr="00E20D25">
        <w:t>a</w:t>
      </w:r>
      <w:r w:rsidR="00E050E3" w:rsidRPr="00E20D25">
        <w:t xml:space="preserve"> clinically effective and cost effective way</w:t>
      </w:r>
      <w:r w:rsidRPr="00E20D25">
        <w:t>.</w:t>
      </w:r>
    </w:p>
    <w:p w14:paraId="11D45C6A" w14:textId="1E1D0B17" w:rsidR="00A41B45" w:rsidRPr="007255D7" w:rsidRDefault="00A41B45" w:rsidP="00A41B45">
      <w:pPr>
        <w:pStyle w:val="BodyIndent1"/>
      </w:pPr>
      <w:r w:rsidRPr="00C000D3">
        <w:rPr>
          <w:b/>
        </w:rPr>
        <w:t>Community Service Obligation</w:t>
      </w:r>
      <w:r>
        <w:t xml:space="preserve"> means the Commonwealth prescribed timeframes and services standards which eligible pharmaceutical wholesalers must satisfy when providing the full range of PBS medicines to pharmacies in order to be eligible for Commonwealth funding. </w:t>
      </w:r>
      <w:r w:rsidRPr="00C000D3">
        <w:rPr>
          <w:b/>
        </w:rPr>
        <w:t>CSO</w:t>
      </w:r>
      <w:r>
        <w:rPr>
          <w:b/>
        </w:rPr>
        <w:t xml:space="preserve"> </w:t>
      </w:r>
      <w:r w:rsidRPr="00C028C7">
        <w:t>has</w:t>
      </w:r>
      <w:r>
        <w:t xml:space="preserve"> the same meaning.</w:t>
      </w:r>
    </w:p>
    <w:p w14:paraId="1AEA0821" w14:textId="77777777" w:rsidR="00A41B45" w:rsidRPr="003C7389" w:rsidRDefault="00A41B45" w:rsidP="00A41B45">
      <w:pPr>
        <w:pStyle w:val="BodyIndent1"/>
      </w:pPr>
      <w:r w:rsidRPr="008C7AD3">
        <w:rPr>
          <w:b/>
        </w:rPr>
        <w:t>Consumers Health Forum</w:t>
      </w:r>
      <w:r w:rsidRPr="008C7AD3">
        <w:t xml:space="preserve"> means the Consumers Health Forum of Australia Limited A</w:t>
      </w:r>
      <w:r>
        <w:t>C</w:t>
      </w:r>
      <w:r w:rsidRPr="008C7AD3">
        <w:t>N 146 988 927.</w:t>
      </w:r>
    </w:p>
    <w:p w14:paraId="1F46A79E" w14:textId="77777777" w:rsidR="00A41B45" w:rsidRDefault="00A41B45" w:rsidP="00A41B45">
      <w:pPr>
        <w:pStyle w:val="BodyIndent1"/>
      </w:pPr>
      <w:r w:rsidRPr="009D3B53">
        <w:rPr>
          <w:b/>
        </w:rPr>
        <w:t>Dangerous Drug</w:t>
      </w:r>
      <w:r w:rsidRPr="009D3B53">
        <w:t xml:space="preserve"> </w:t>
      </w:r>
      <w:r>
        <w:t>means:</w:t>
      </w:r>
    </w:p>
    <w:p w14:paraId="749912C4" w14:textId="77777777" w:rsidR="00A41B45" w:rsidRDefault="00A41B45" w:rsidP="00A41B45">
      <w:pPr>
        <w:pStyle w:val="legalDefinition"/>
        <w:numPr>
          <w:ilvl w:val="0"/>
          <w:numId w:val="13"/>
        </w:numPr>
      </w:pPr>
      <w:r>
        <w:t xml:space="preserve">a Pharmaceutical Benefit mentioned in Schedule 3 to the </w:t>
      </w:r>
      <w:r w:rsidRPr="00DB6A7C">
        <w:rPr>
          <w:i/>
        </w:rPr>
        <w:t>National Health (Commonwealth Price and Conditions for Commonwealth Payments for Supply of Pharmaceutical Benefits) Determination 2019</w:t>
      </w:r>
      <w:r>
        <w:t>; or</w:t>
      </w:r>
    </w:p>
    <w:p w14:paraId="2F71D626" w14:textId="77777777" w:rsidR="00A41B45" w:rsidRPr="009D3B53" w:rsidRDefault="00A41B45" w:rsidP="00A41B45">
      <w:pPr>
        <w:pStyle w:val="legalDefinition"/>
      </w:pPr>
      <w:r>
        <w:t>a Pharmaceutical Benefit that, under the law of a State or Territory, is classified as a dangerous drug.</w:t>
      </w:r>
    </w:p>
    <w:p w14:paraId="3D314DD7" w14:textId="77777777" w:rsidR="00A41B45" w:rsidRPr="009D3B53" w:rsidRDefault="00A41B45" w:rsidP="00A41B45">
      <w:pPr>
        <w:pStyle w:val="BodyIndent1"/>
      </w:pPr>
      <w:r w:rsidRPr="009D3B53">
        <w:rPr>
          <w:b/>
        </w:rPr>
        <w:t>Department</w:t>
      </w:r>
      <w:r w:rsidRPr="009D3B53">
        <w:t xml:space="preserve"> means:</w:t>
      </w:r>
    </w:p>
    <w:p w14:paraId="2784095F" w14:textId="77777777" w:rsidR="00A41B45" w:rsidRPr="009D3B53" w:rsidRDefault="00A41B45" w:rsidP="005053C9">
      <w:pPr>
        <w:pStyle w:val="legalDefinition"/>
        <w:keepNext/>
        <w:numPr>
          <w:ilvl w:val="0"/>
          <w:numId w:val="29"/>
        </w:numPr>
      </w:pPr>
      <w:r w:rsidRPr="009D3B53">
        <w:t>the Department of Health; or</w:t>
      </w:r>
    </w:p>
    <w:p w14:paraId="0F685A4E" w14:textId="77777777" w:rsidR="00A41B45" w:rsidRPr="009D3B53" w:rsidRDefault="00A41B45" w:rsidP="006D11FB">
      <w:pPr>
        <w:pStyle w:val="legalDefinition"/>
      </w:pPr>
      <w:r w:rsidRPr="009D3B53">
        <w:t>any successor department or agency of the Commonwealth having responsibility for the administration of Part VII of the Act.</w:t>
      </w:r>
    </w:p>
    <w:p w14:paraId="315D1F2E" w14:textId="77777777" w:rsidR="00A41B45" w:rsidRPr="009D3B53" w:rsidRDefault="00A41B45" w:rsidP="00661BF2">
      <w:pPr>
        <w:pStyle w:val="BodyIndent1"/>
        <w:keepNext/>
      </w:pPr>
      <w:r w:rsidRPr="009D3B53">
        <w:rPr>
          <w:b/>
        </w:rPr>
        <w:t>Department</w:t>
      </w:r>
      <w:r w:rsidRPr="009D3B53">
        <w:t xml:space="preserve"> </w:t>
      </w:r>
      <w:r w:rsidRPr="009D3B53">
        <w:rPr>
          <w:b/>
        </w:rPr>
        <w:t xml:space="preserve">Representative </w:t>
      </w:r>
      <w:r w:rsidRPr="009D3B53">
        <w:t>means:</w:t>
      </w:r>
    </w:p>
    <w:p w14:paraId="5C81EE11" w14:textId="77777777" w:rsidR="00A41B45" w:rsidRPr="009D3B53" w:rsidRDefault="00A41B45" w:rsidP="005053C9">
      <w:pPr>
        <w:pStyle w:val="legalDefinition"/>
        <w:keepNext/>
        <w:numPr>
          <w:ilvl w:val="0"/>
          <w:numId w:val="30"/>
        </w:numPr>
      </w:pPr>
      <w:r w:rsidRPr="009D3B53">
        <w:t xml:space="preserve">the person from time to </w:t>
      </w:r>
      <w:r w:rsidRPr="009338EF">
        <w:t xml:space="preserve">time holding or acting in the position of First Assistant Secretary, Technology Assessment </w:t>
      </w:r>
      <w:r>
        <w:t>and</w:t>
      </w:r>
      <w:r w:rsidRPr="009338EF">
        <w:t xml:space="preserve"> Access Division</w:t>
      </w:r>
      <w:r w:rsidRPr="009D3B53">
        <w:t xml:space="preserve"> within the Department; or</w:t>
      </w:r>
    </w:p>
    <w:p w14:paraId="7F96F184" w14:textId="77777777" w:rsidR="00A41B45" w:rsidRPr="009D3B53" w:rsidRDefault="00A41B45" w:rsidP="0031363A">
      <w:pPr>
        <w:pStyle w:val="legalDefinition"/>
        <w:keepNext/>
        <w:numPr>
          <w:ilvl w:val="0"/>
          <w:numId w:val="30"/>
        </w:numPr>
      </w:pPr>
      <w:r w:rsidRPr="009D3B53">
        <w:t xml:space="preserve">a person from time to time holding or acting in such other position notified by the Commonwealth to the </w:t>
      </w:r>
      <w:r>
        <w:t>other Signatories</w:t>
      </w:r>
      <w:r w:rsidRPr="009D3B53">
        <w:t xml:space="preserve"> in writing from time to time.</w:t>
      </w:r>
    </w:p>
    <w:p w14:paraId="5CBC5202" w14:textId="4AA2A3FF" w:rsidR="00A41B45" w:rsidRPr="009D3B53" w:rsidRDefault="00A41B45" w:rsidP="00A41B45">
      <w:pPr>
        <w:pStyle w:val="BodyIndent1"/>
      </w:pPr>
      <w:r w:rsidRPr="009D3B53">
        <w:rPr>
          <w:b/>
        </w:rPr>
        <w:t>Determination</w:t>
      </w:r>
      <w:r w:rsidRPr="009D3B53">
        <w:t xml:space="preserve"> means the determination in force from time to time under </w:t>
      </w:r>
      <w:r>
        <w:t>sub</w:t>
      </w:r>
      <w:r w:rsidRPr="009D3B53">
        <w:t>section</w:t>
      </w:r>
      <w:r w:rsidR="00BF6D50">
        <w:t> </w:t>
      </w:r>
      <w:r w:rsidRPr="009D3B53">
        <w:t>98B(1)(a) of the Act.</w:t>
      </w:r>
    </w:p>
    <w:p w14:paraId="3FA2F6B6" w14:textId="77777777" w:rsidR="00A41B45" w:rsidRPr="00DC0637" w:rsidRDefault="00A41B45" w:rsidP="00A41B45">
      <w:pPr>
        <w:pStyle w:val="BodyIndent1"/>
      </w:pPr>
      <w:r w:rsidRPr="00DC0637">
        <w:rPr>
          <w:b/>
        </w:rPr>
        <w:t>Extemporaneously-Prepared Pharmaceutical Benefit</w:t>
      </w:r>
      <w:r w:rsidRPr="00DC0637">
        <w:t xml:space="preserve"> means a Pharmaceutical Benefit that is not a Ready-Prepared Pharmaceutical Benefit.</w:t>
      </w:r>
    </w:p>
    <w:p w14:paraId="69DF71BE" w14:textId="77777777" w:rsidR="00A41B45" w:rsidRPr="009216B1" w:rsidRDefault="00A41B45" w:rsidP="009216B1">
      <w:pPr>
        <w:pStyle w:val="BodyIndent1"/>
      </w:pPr>
      <w:r w:rsidRPr="009216B1">
        <w:rPr>
          <w:b/>
        </w:rPr>
        <w:t xml:space="preserve">Ex-Manufacturer Price </w:t>
      </w:r>
      <w:r w:rsidRPr="009216B1">
        <w:t>means, as applicable, the:</w:t>
      </w:r>
    </w:p>
    <w:p w14:paraId="3C1B66C2" w14:textId="77777777" w:rsidR="00A41B45" w:rsidRPr="009216B1" w:rsidRDefault="00A41B45" w:rsidP="009216B1">
      <w:pPr>
        <w:pStyle w:val="legalDefinition"/>
        <w:keepNext/>
        <w:numPr>
          <w:ilvl w:val="0"/>
          <w:numId w:val="35"/>
        </w:numPr>
      </w:pPr>
      <w:r w:rsidRPr="009216B1">
        <w:t xml:space="preserve">Approved Ex-Manufacturer Price; or </w:t>
      </w:r>
    </w:p>
    <w:p w14:paraId="0241E710" w14:textId="77777777" w:rsidR="00A41B45" w:rsidRPr="009216B1" w:rsidRDefault="00A41B45" w:rsidP="009216B1">
      <w:pPr>
        <w:pStyle w:val="legalDefinition"/>
        <w:keepNext/>
        <w:numPr>
          <w:ilvl w:val="0"/>
          <w:numId w:val="35"/>
        </w:numPr>
      </w:pPr>
      <w:r w:rsidRPr="009216B1">
        <w:t>Proportional Ex-Manufacturer Price for a Pack Quantity (other than the Pricing Quantity),</w:t>
      </w:r>
    </w:p>
    <w:p w14:paraId="354A0856" w14:textId="77777777" w:rsidR="00A41B45" w:rsidRPr="009216B1" w:rsidRDefault="00A41B45" w:rsidP="00A41B45">
      <w:pPr>
        <w:pStyle w:val="BodyIndent1"/>
      </w:pPr>
      <w:r w:rsidRPr="009216B1">
        <w:t xml:space="preserve">of a Listed </w:t>
      </w:r>
      <w:r w:rsidRPr="00A41B45">
        <w:t>Brand</w:t>
      </w:r>
      <w:r w:rsidRPr="009216B1">
        <w:t>.</w:t>
      </w:r>
    </w:p>
    <w:p w14:paraId="742E9592" w14:textId="77777777" w:rsidR="00A41B45" w:rsidRPr="009D3B53" w:rsidRDefault="00A41B45" w:rsidP="00A41B45">
      <w:pPr>
        <w:pStyle w:val="BodyIndent1"/>
        <w:rPr>
          <w:rStyle w:val="IntenseReference"/>
          <w:b w:val="0"/>
          <w:bCs w:val="0"/>
          <w:i w:val="0"/>
          <w:smallCaps w:val="0"/>
          <w:color w:val="auto"/>
        </w:rPr>
      </w:pPr>
      <w:r w:rsidRPr="009D3B53">
        <w:rPr>
          <w:rStyle w:val="IntenseReference"/>
          <w:bCs w:val="0"/>
          <w:i w:val="0"/>
          <w:smallCaps w:val="0"/>
          <w:color w:val="auto"/>
        </w:rPr>
        <w:t>Financial Year</w:t>
      </w:r>
      <w:r w:rsidRPr="009D3B53">
        <w:rPr>
          <w:rStyle w:val="IntenseReference"/>
          <w:b w:val="0"/>
          <w:bCs w:val="0"/>
          <w:i w:val="0"/>
          <w:smallCaps w:val="0"/>
          <w:color w:val="auto"/>
        </w:rPr>
        <w:t xml:space="preserve"> </w:t>
      </w:r>
      <w:r w:rsidRPr="009D3B53">
        <w:t>means</w:t>
      </w:r>
      <w:r w:rsidRPr="009D3B53">
        <w:rPr>
          <w:rStyle w:val="IntenseReference"/>
          <w:b w:val="0"/>
          <w:bCs w:val="0"/>
          <w:i w:val="0"/>
          <w:smallCaps w:val="0"/>
          <w:color w:val="auto"/>
        </w:rPr>
        <w:t xml:space="preserve"> each </w:t>
      </w:r>
      <w:r w:rsidRPr="009D3B53">
        <w:t xml:space="preserve">successive period of twelve </w:t>
      </w:r>
      <w:r>
        <w:t xml:space="preserve">(12) </w:t>
      </w:r>
      <w:r w:rsidRPr="009D3B53">
        <w:t xml:space="preserve">months </w:t>
      </w:r>
      <w:r>
        <w:t xml:space="preserve">during the Term </w:t>
      </w:r>
      <w:r w:rsidRPr="009D3B53">
        <w:t>commencing on 1 July and ending on the immediately following 30 June</w:t>
      </w:r>
      <w:r w:rsidRPr="009D3B53">
        <w:rPr>
          <w:rStyle w:val="IntenseReference"/>
          <w:b w:val="0"/>
          <w:bCs w:val="0"/>
          <w:i w:val="0"/>
          <w:smallCaps w:val="0"/>
          <w:color w:val="auto"/>
        </w:rPr>
        <w:t>.</w:t>
      </w:r>
    </w:p>
    <w:p w14:paraId="3A2CFA13" w14:textId="77777777" w:rsidR="00A41B45" w:rsidRPr="009216B1" w:rsidRDefault="00A41B45" w:rsidP="00A41B45">
      <w:pPr>
        <w:pStyle w:val="BodyIndent1"/>
      </w:pPr>
      <w:r w:rsidRPr="00C05AAC">
        <w:rPr>
          <w:b/>
        </w:rPr>
        <w:t>Government Agency</w:t>
      </w:r>
      <w:r w:rsidRPr="009216B1">
        <w:t xml:space="preserve"> means any governmental, semi-governmental, administrative, fiscal, judicial or quasi-judicial body, </w:t>
      </w:r>
      <w:r w:rsidRPr="00A41B45">
        <w:t>department</w:t>
      </w:r>
      <w:r w:rsidRPr="009216B1">
        <w:t>, commission, authority, tribunal, agency or entity.</w:t>
      </w:r>
    </w:p>
    <w:p w14:paraId="6A828470" w14:textId="77777777" w:rsidR="00A41B45" w:rsidRPr="00F744CC" w:rsidRDefault="00A41B45" w:rsidP="00A41B45">
      <w:pPr>
        <w:pStyle w:val="BodyIndent1"/>
        <w:rPr>
          <w:rStyle w:val="IntenseReference"/>
          <w:b w:val="0"/>
          <w:bCs w:val="0"/>
          <w:i w:val="0"/>
          <w:smallCaps w:val="0"/>
          <w:color w:val="auto"/>
          <w:spacing w:val="0"/>
        </w:rPr>
      </w:pPr>
      <w:r>
        <w:rPr>
          <w:rStyle w:val="IntenseReference"/>
          <w:bCs w:val="0"/>
          <w:i w:val="0"/>
          <w:smallCaps w:val="0"/>
          <w:color w:val="auto"/>
          <w:spacing w:val="0"/>
        </w:rPr>
        <w:t>Guild</w:t>
      </w:r>
      <w:r>
        <w:rPr>
          <w:rStyle w:val="IntenseReference"/>
          <w:b w:val="0"/>
          <w:bCs w:val="0"/>
          <w:i w:val="0"/>
          <w:smallCaps w:val="0"/>
          <w:color w:val="auto"/>
          <w:spacing w:val="0"/>
        </w:rPr>
        <w:t xml:space="preserve"> means the</w:t>
      </w:r>
      <w:r w:rsidRPr="007A14DD">
        <w:rPr>
          <w:rStyle w:val="IntenseReference"/>
          <w:b w:val="0"/>
          <w:bCs w:val="0"/>
          <w:i w:val="0"/>
          <w:smallCaps w:val="0"/>
          <w:color w:val="auto"/>
          <w:spacing w:val="0"/>
        </w:rPr>
        <w:t xml:space="preserve"> Pharmacy Guild of Australia</w:t>
      </w:r>
      <w:r>
        <w:rPr>
          <w:rStyle w:val="IntenseReference"/>
          <w:b w:val="0"/>
          <w:bCs w:val="0"/>
          <w:i w:val="0"/>
          <w:smallCaps w:val="0"/>
          <w:color w:val="auto"/>
          <w:spacing w:val="0"/>
        </w:rPr>
        <w:t>.</w:t>
      </w:r>
    </w:p>
    <w:p w14:paraId="2C1FBF37" w14:textId="77777777" w:rsidR="00A41B45" w:rsidRPr="009D3B53" w:rsidRDefault="00A41B45" w:rsidP="006261CC">
      <w:pPr>
        <w:pStyle w:val="BodyIndent1"/>
        <w:keepNext/>
        <w:rPr>
          <w:rStyle w:val="IntenseReference"/>
          <w:b w:val="0"/>
          <w:bCs w:val="0"/>
          <w:i w:val="0"/>
          <w:smallCaps w:val="0"/>
          <w:color w:val="auto"/>
          <w:spacing w:val="0"/>
        </w:rPr>
      </w:pPr>
      <w:r w:rsidRPr="009D3B53">
        <w:rPr>
          <w:rStyle w:val="IntenseReference"/>
          <w:bCs w:val="0"/>
          <w:i w:val="0"/>
          <w:smallCaps w:val="0"/>
          <w:color w:val="auto"/>
          <w:spacing w:val="0"/>
        </w:rPr>
        <w:t>Guild Representative</w:t>
      </w:r>
      <w:r w:rsidRPr="009D3B53">
        <w:rPr>
          <w:rStyle w:val="IntenseReference"/>
          <w:b w:val="0"/>
          <w:bCs w:val="0"/>
          <w:i w:val="0"/>
          <w:smallCaps w:val="0"/>
          <w:color w:val="auto"/>
          <w:spacing w:val="0"/>
        </w:rPr>
        <w:t xml:space="preserve"> </w:t>
      </w:r>
      <w:r w:rsidRPr="00A41B45">
        <w:t>means</w:t>
      </w:r>
      <w:r w:rsidRPr="009D3B53">
        <w:rPr>
          <w:rStyle w:val="IntenseReference"/>
          <w:b w:val="0"/>
          <w:bCs w:val="0"/>
          <w:i w:val="0"/>
          <w:smallCaps w:val="0"/>
          <w:color w:val="auto"/>
          <w:spacing w:val="0"/>
        </w:rPr>
        <w:t>:</w:t>
      </w:r>
    </w:p>
    <w:p w14:paraId="58F7647D" w14:textId="77777777" w:rsidR="00A41B45" w:rsidRPr="009D3B53" w:rsidRDefault="00A41B45" w:rsidP="00A41B45">
      <w:pPr>
        <w:pStyle w:val="legalDefinition"/>
        <w:keepNext/>
        <w:numPr>
          <w:ilvl w:val="0"/>
          <w:numId w:val="10"/>
        </w:numPr>
      </w:pPr>
      <w:r w:rsidRPr="009D3B53">
        <w:t xml:space="preserve">the person from time to time holding or acting in the position of Executive </w:t>
      </w:r>
      <w:r>
        <w:t>Director</w:t>
      </w:r>
      <w:r w:rsidRPr="009D3B53">
        <w:t xml:space="preserve"> of the Guild; or</w:t>
      </w:r>
    </w:p>
    <w:p w14:paraId="25D70280" w14:textId="77777777" w:rsidR="00A41B45" w:rsidRPr="009D3B53" w:rsidRDefault="00A41B45" w:rsidP="00A41B45">
      <w:pPr>
        <w:pStyle w:val="legalDefinition"/>
        <w:numPr>
          <w:ilvl w:val="0"/>
          <w:numId w:val="10"/>
        </w:numPr>
      </w:pPr>
      <w:r w:rsidRPr="009D3B53">
        <w:t xml:space="preserve">a person from time to time holding or acting in such other position notified by the Guild to the </w:t>
      </w:r>
      <w:r>
        <w:t>other Signatories</w:t>
      </w:r>
      <w:r w:rsidRPr="009D3B53">
        <w:t xml:space="preserve"> in writing from time to time.</w:t>
      </w:r>
    </w:p>
    <w:p w14:paraId="4487C257" w14:textId="77777777" w:rsidR="00A41B45" w:rsidRPr="009D3B53" w:rsidRDefault="00A41B45" w:rsidP="00A41B45">
      <w:pPr>
        <w:pStyle w:val="BodyIndent1"/>
        <w:rPr>
          <w:rStyle w:val="IntenseReference"/>
          <w:b w:val="0"/>
          <w:bCs w:val="0"/>
          <w:i w:val="0"/>
          <w:smallCaps w:val="0"/>
          <w:color w:val="auto"/>
          <w:spacing w:val="0"/>
        </w:rPr>
      </w:pPr>
      <w:r w:rsidRPr="009D3B53">
        <w:rPr>
          <w:rStyle w:val="IntenseReference"/>
          <w:bCs w:val="0"/>
          <w:i w:val="0"/>
          <w:smallCaps w:val="0"/>
          <w:color w:val="auto"/>
          <w:spacing w:val="0"/>
        </w:rPr>
        <w:t>Indexation Date</w:t>
      </w:r>
      <w:r w:rsidRPr="009D3B53">
        <w:rPr>
          <w:rStyle w:val="IntenseReference"/>
          <w:b w:val="0"/>
          <w:bCs w:val="0"/>
          <w:i w:val="0"/>
          <w:smallCaps w:val="0"/>
          <w:color w:val="auto"/>
          <w:spacing w:val="0"/>
        </w:rPr>
        <w:t xml:space="preserve"> </w:t>
      </w:r>
      <w:r w:rsidRPr="009D3B53">
        <w:t xml:space="preserve">means each </w:t>
      </w:r>
      <w:r w:rsidRPr="009D3B53">
        <w:rPr>
          <w:rStyle w:val="IntenseReference"/>
          <w:b w:val="0"/>
          <w:bCs w:val="0"/>
          <w:i w:val="0"/>
          <w:smallCaps w:val="0"/>
          <w:color w:val="auto"/>
          <w:spacing w:val="0"/>
        </w:rPr>
        <w:t>1 July during the Term commencing on 1 July 20</w:t>
      </w:r>
      <w:r>
        <w:rPr>
          <w:rStyle w:val="IntenseReference"/>
          <w:b w:val="0"/>
          <w:bCs w:val="0"/>
          <w:i w:val="0"/>
          <w:smallCaps w:val="0"/>
          <w:color w:val="auto"/>
          <w:spacing w:val="0"/>
        </w:rPr>
        <w:t>21</w:t>
      </w:r>
      <w:r w:rsidRPr="009D3B53">
        <w:rPr>
          <w:rStyle w:val="IntenseReference"/>
          <w:b w:val="0"/>
          <w:bCs w:val="0"/>
          <w:i w:val="0"/>
          <w:smallCaps w:val="0"/>
          <w:color w:val="auto"/>
          <w:spacing w:val="0"/>
        </w:rPr>
        <w:t>.</w:t>
      </w:r>
    </w:p>
    <w:p w14:paraId="27375547" w14:textId="579998E6" w:rsidR="00A41B45" w:rsidRPr="009D3B53" w:rsidRDefault="00A41B45" w:rsidP="00A41B45">
      <w:pPr>
        <w:pStyle w:val="BodyIndent1"/>
        <w:rPr>
          <w:rStyle w:val="IntenseReference"/>
          <w:b w:val="0"/>
          <w:bCs w:val="0"/>
          <w:i w:val="0"/>
          <w:smallCaps w:val="0"/>
          <w:color w:val="auto"/>
          <w:spacing w:val="0"/>
        </w:rPr>
      </w:pPr>
      <w:r w:rsidRPr="009D3B53">
        <w:rPr>
          <w:rStyle w:val="IntenseReference"/>
          <w:bCs w:val="0"/>
          <w:i w:val="0"/>
          <w:smallCaps w:val="0"/>
          <w:color w:val="auto"/>
          <w:spacing w:val="0"/>
        </w:rPr>
        <w:t>Indexed</w:t>
      </w:r>
      <w:r w:rsidRPr="009D3B53">
        <w:rPr>
          <w:rStyle w:val="IntenseReference"/>
          <w:b w:val="0"/>
          <w:bCs w:val="0"/>
          <w:i w:val="0"/>
          <w:smallCaps w:val="0"/>
          <w:color w:val="auto"/>
          <w:spacing w:val="0"/>
        </w:rPr>
        <w:t xml:space="preserve"> means indexed in accordance with clause</w:t>
      </w:r>
      <w:r w:rsidR="0049528C">
        <w:rPr>
          <w:rStyle w:val="IntenseReference"/>
          <w:b w:val="0"/>
          <w:bCs w:val="0"/>
          <w:i w:val="0"/>
          <w:smallCaps w:val="0"/>
          <w:color w:val="auto"/>
          <w:spacing w:val="0"/>
        </w:rPr>
        <w:t xml:space="preserve"> </w:t>
      </w:r>
      <w:r w:rsidR="0049528C">
        <w:rPr>
          <w:rStyle w:val="IntenseReference"/>
          <w:b w:val="0"/>
          <w:bCs w:val="0"/>
          <w:i w:val="0"/>
          <w:smallCaps w:val="0"/>
          <w:color w:val="auto"/>
          <w:spacing w:val="0"/>
        </w:rPr>
        <w:fldChar w:fldCharType="begin"/>
      </w:r>
      <w:r w:rsidR="0049528C">
        <w:rPr>
          <w:rStyle w:val="IntenseReference"/>
          <w:b w:val="0"/>
          <w:bCs w:val="0"/>
          <w:i w:val="0"/>
          <w:smallCaps w:val="0"/>
          <w:color w:val="auto"/>
          <w:spacing w:val="0"/>
        </w:rPr>
        <w:instrText xml:space="preserve"> REF _Ref41341845 \r \h </w:instrText>
      </w:r>
      <w:r w:rsidR="0049528C">
        <w:rPr>
          <w:rStyle w:val="IntenseReference"/>
          <w:b w:val="0"/>
          <w:bCs w:val="0"/>
          <w:i w:val="0"/>
          <w:smallCaps w:val="0"/>
          <w:color w:val="auto"/>
          <w:spacing w:val="0"/>
        </w:rPr>
      </w:r>
      <w:r w:rsidR="0049528C">
        <w:rPr>
          <w:rStyle w:val="IntenseReference"/>
          <w:b w:val="0"/>
          <w:bCs w:val="0"/>
          <w:i w:val="0"/>
          <w:smallCaps w:val="0"/>
          <w:color w:val="auto"/>
          <w:spacing w:val="0"/>
        </w:rPr>
        <w:fldChar w:fldCharType="separate"/>
      </w:r>
      <w:r w:rsidR="00982D02">
        <w:rPr>
          <w:rStyle w:val="IntenseReference"/>
          <w:b w:val="0"/>
          <w:bCs w:val="0"/>
          <w:i w:val="0"/>
          <w:smallCaps w:val="0"/>
          <w:color w:val="auto"/>
          <w:spacing w:val="0"/>
        </w:rPr>
        <w:t>13</w:t>
      </w:r>
      <w:r w:rsidR="0049528C">
        <w:rPr>
          <w:rStyle w:val="IntenseReference"/>
          <w:b w:val="0"/>
          <w:bCs w:val="0"/>
          <w:i w:val="0"/>
          <w:smallCaps w:val="0"/>
          <w:color w:val="auto"/>
          <w:spacing w:val="0"/>
        </w:rPr>
        <w:fldChar w:fldCharType="end"/>
      </w:r>
      <w:r w:rsidRPr="009D3B53">
        <w:rPr>
          <w:rStyle w:val="IntenseReference"/>
          <w:b w:val="0"/>
          <w:bCs w:val="0"/>
          <w:i w:val="0"/>
          <w:smallCaps w:val="0"/>
          <w:color w:val="auto"/>
          <w:spacing w:val="0"/>
        </w:rPr>
        <w:t>.</w:t>
      </w:r>
      <w:r w:rsidR="000A2A86">
        <w:rPr>
          <w:rStyle w:val="IntenseReference"/>
          <w:b w:val="0"/>
          <w:bCs w:val="0"/>
          <w:i w:val="0"/>
          <w:smallCaps w:val="0"/>
          <w:color w:val="auto"/>
          <w:spacing w:val="0"/>
        </w:rPr>
        <w:t xml:space="preserve"> </w:t>
      </w:r>
      <w:r w:rsidR="000A2A86" w:rsidRPr="000A2A86">
        <w:rPr>
          <w:rStyle w:val="IntenseReference"/>
          <w:bCs w:val="0"/>
          <w:i w:val="0"/>
          <w:smallCaps w:val="0"/>
          <w:color w:val="auto"/>
          <w:spacing w:val="0"/>
        </w:rPr>
        <w:t>Indexation</w:t>
      </w:r>
      <w:r w:rsidR="000A2A86">
        <w:rPr>
          <w:rStyle w:val="IntenseReference"/>
          <w:b w:val="0"/>
          <w:bCs w:val="0"/>
          <w:i w:val="0"/>
          <w:smallCaps w:val="0"/>
          <w:color w:val="auto"/>
          <w:spacing w:val="0"/>
        </w:rPr>
        <w:t xml:space="preserve"> has </w:t>
      </w:r>
      <w:r w:rsidR="00E449B7">
        <w:rPr>
          <w:rStyle w:val="IntenseReference"/>
          <w:b w:val="0"/>
          <w:bCs w:val="0"/>
          <w:i w:val="0"/>
          <w:smallCaps w:val="0"/>
          <w:color w:val="auto"/>
          <w:spacing w:val="0"/>
        </w:rPr>
        <w:t>the same</w:t>
      </w:r>
      <w:r w:rsidR="000A2A86">
        <w:rPr>
          <w:rStyle w:val="IntenseReference"/>
          <w:b w:val="0"/>
          <w:bCs w:val="0"/>
          <w:i w:val="0"/>
          <w:smallCaps w:val="0"/>
          <w:color w:val="auto"/>
          <w:spacing w:val="0"/>
        </w:rPr>
        <w:t xml:space="preserve"> meaning.</w:t>
      </w:r>
    </w:p>
    <w:p w14:paraId="10CF5E30" w14:textId="77777777" w:rsidR="00A41B45" w:rsidRPr="00F330B5" w:rsidRDefault="00A41B45" w:rsidP="00A41B45">
      <w:pPr>
        <w:pStyle w:val="BodyIndent1"/>
        <w:rPr>
          <w:rStyle w:val="IntenseReference"/>
          <w:b w:val="0"/>
          <w:bCs w:val="0"/>
          <w:i w:val="0"/>
          <w:smallCaps w:val="0"/>
          <w:color w:val="auto"/>
          <w:spacing w:val="0"/>
        </w:rPr>
      </w:pPr>
      <w:r>
        <w:rPr>
          <w:rStyle w:val="IntenseReference"/>
          <w:bCs w:val="0"/>
          <w:i w:val="0"/>
          <w:smallCaps w:val="0"/>
          <w:color w:val="auto"/>
          <w:spacing w:val="0"/>
        </w:rPr>
        <w:t>Issue</w:t>
      </w:r>
      <w:r>
        <w:rPr>
          <w:rStyle w:val="IntenseReference"/>
          <w:b w:val="0"/>
          <w:bCs w:val="0"/>
          <w:i w:val="0"/>
          <w:smallCaps w:val="0"/>
          <w:color w:val="auto"/>
          <w:spacing w:val="0"/>
        </w:rPr>
        <w:t xml:space="preserve"> includes a dispute, issue or disagreement.</w:t>
      </w:r>
    </w:p>
    <w:p w14:paraId="7E5CFF4C" w14:textId="77777777" w:rsidR="00A41B45" w:rsidRPr="009D3B53" w:rsidRDefault="00A41B45" w:rsidP="00A41B45">
      <w:pPr>
        <w:pStyle w:val="BodyIndent1"/>
        <w:rPr>
          <w:rStyle w:val="IntenseReference"/>
          <w:b w:val="0"/>
          <w:bCs w:val="0"/>
          <w:i w:val="0"/>
          <w:smallCaps w:val="0"/>
          <w:color w:val="auto"/>
          <w:spacing w:val="0"/>
        </w:rPr>
      </w:pPr>
      <w:r w:rsidRPr="009D3B53">
        <w:rPr>
          <w:rStyle w:val="IntenseReference"/>
          <w:bCs w:val="0"/>
          <w:i w:val="0"/>
          <w:smallCaps w:val="0"/>
          <w:color w:val="auto"/>
          <w:spacing w:val="0"/>
        </w:rPr>
        <w:t>Listed Brand</w:t>
      </w:r>
      <w:r w:rsidRPr="009D3B53">
        <w:rPr>
          <w:rStyle w:val="IntenseReference"/>
          <w:b w:val="0"/>
          <w:bCs w:val="0"/>
          <w:i w:val="0"/>
          <w:smallCaps w:val="0"/>
          <w:color w:val="auto"/>
          <w:spacing w:val="0"/>
        </w:rPr>
        <w:t xml:space="preserve"> has the </w:t>
      </w:r>
      <w:r w:rsidRPr="00A41B45">
        <w:t>meaning</w:t>
      </w:r>
      <w:r w:rsidRPr="009D3B53">
        <w:rPr>
          <w:rStyle w:val="IntenseReference"/>
          <w:b w:val="0"/>
          <w:bCs w:val="0"/>
          <w:i w:val="0"/>
          <w:smallCaps w:val="0"/>
          <w:color w:val="auto"/>
          <w:spacing w:val="0"/>
        </w:rPr>
        <w:t xml:space="preserve"> given in Part VII of the Act.</w:t>
      </w:r>
    </w:p>
    <w:p w14:paraId="50BAF8B9" w14:textId="77777777" w:rsidR="00A41B45" w:rsidRPr="007C75AB" w:rsidRDefault="00A41B45" w:rsidP="00A41B45">
      <w:pPr>
        <w:pStyle w:val="BodyIndent1"/>
        <w:rPr>
          <w:rStyle w:val="IntenseReference"/>
          <w:b w:val="0"/>
          <w:bCs w:val="0"/>
          <w:i w:val="0"/>
          <w:smallCaps w:val="0"/>
          <w:color w:val="auto"/>
          <w:spacing w:val="0"/>
        </w:rPr>
      </w:pPr>
      <w:r>
        <w:rPr>
          <w:rStyle w:val="IntenseReference"/>
          <w:bCs w:val="0"/>
          <w:i w:val="0"/>
          <w:smallCaps w:val="0"/>
          <w:color w:val="auto"/>
          <w:spacing w:val="0"/>
        </w:rPr>
        <w:t>Location Rules</w:t>
      </w:r>
      <w:r>
        <w:rPr>
          <w:rStyle w:val="IntenseReference"/>
          <w:b w:val="0"/>
          <w:bCs w:val="0"/>
          <w:i w:val="0"/>
          <w:smallCaps w:val="0"/>
          <w:color w:val="auto"/>
          <w:spacing w:val="0"/>
        </w:rPr>
        <w:t xml:space="preserve"> means the </w:t>
      </w:r>
      <w:r w:rsidRPr="00A41B45">
        <w:t>rules</w:t>
      </w:r>
      <w:r>
        <w:rPr>
          <w:rStyle w:val="IntenseReference"/>
          <w:b w:val="0"/>
          <w:bCs w:val="0"/>
          <w:i w:val="0"/>
          <w:smallCaps w:val="0"/>
          <w:color w:val="auto"/>
          <w:spacing w:val="0"/>
        </w:rPr>
        <w:t xml:space="preserve"> determined by the Minister under section 99L of the Act.</w:t>
      </w:r>
    </w:p>
    <w:p w14:paraId="2FE4C3A0" w14:textId="77777777" w:rsidR="00A41B45" w:rsidRPr="00044987" w:rsidRDefault="00A41B45" w:rsidP="00434DF0">
      <w:pPr>
        <w:pStyle w:val="BodyIndent1"/>
        <w:keepNext/>
        <w:rPr>
          <w:rStyle w:val="IntenseReference"/>
          <w:b w:val="0"/>
          <w:bCs w:val="0"/>
          <w:i w:val="0"/>
          <w:smallCaps w:val="0"/>
          <w:color w:val="auto"/>
          <w:spacing w:val="0"/>
        </w:rPr>
      </w:pPr>
      <w:r w:rsidRPr="00044987">
        <w:rPr>
          <w:rStyle w:val="IntenseReference"/>
          <w:bCs w:val="0"/>
          <w:i w:val="0"/>
          <w:smallCaps w:val="0"/>
          <w:color w:val="auto"/>
          <w:spacing w:val="0"/>
        </w:rPr>
        <w:t>Maximum Co</w:t>
      </w:r>
      <w:r>
        <w:rPr>
          <w:rStyle w:val="IntenseReference"/>
          <w:bCs w:val="0"/>
          <w:i w:val="0"/>
          <w:smallCaps w:val="0"/>
          <w:color w:val="auto"/>
          <w:spacing w:val="0"/>
        </w:rPr>
        <w:t>p</w:t>
      </w:r>
      <w:r w:rsidRPr="00044987">
        <w:rPr>
          <w:rStyle w:val="IntenseReference"/>
          <w:bCs w:val="0"/>
          <w:i w:val="0"/>
          <w:smallCaps w:val="0"/>
          <w:color w:val="auto"/>
          <w:spacing w:val="0"/>
        </w:rPr>
        <w:t>ayment</w:t>
      </w:r>
      <w:r w:rsidRPr="00044987">
        <w:rPr>
          <w:rStyle w:val="IntenseReference"/>
          <w:b w:val="0"/>
          <w:bCs w:val="0"/>
          <w:i w:val="0"/>
          <w:smallCaps w:val="0"/>
          <w:color w:val="auto"/>
          <w:spacing w:val="0"/>
        </w:rPr>
        <w:t xml:space="preserve"> means </w:t>
      </w:r>
      <w:r>
        <w:rPr>
          <w:rStyle w:val="IntenseReference"/>
          <w:b w:val="0"/>
          <w:bCs w:val="0"/>
          <w:i w:val="0"/>
          <w:smallCaps w:val="0"/>
          <w:color w:val="auto"/>
          <w:spacing w:val="0"/>
        </w:rPr>
        <w:t xml:space="preserve">the following (as defined in Part VII of the Act), </w:t>
      </w:r>
      <w:r w:rsidRPr="00044987">
        <w:rPr>
          <w:rStyle w:val="IntenseReference"/>
          <w:b w:val="0"/>
          <w:bCs w:val="0"/>
          <w:i w:val="0"/>
          <w:smallCaps w:val="0"/>
          <w:color w:val="auto"/>
          <w:spacing w:val="0"/>
        </w:rPr>
        <w:t>as applicable:</w:t>
      </w:r>
    </w:p>
    <w:p w14:paraId="7631929C" w14:textId="77777777" w:rsidR="00A41B45" w:rsidRPr="00044987" w:rsidRDefault="00A41B45" w:rsidP="00434DF0">
      <w:pPr>
        <w:pStyle w:val="legalDefinition"/>
        <w:keepNext/>
        <w:numPr>
          <w:ilvl w:val="0"/>
          <w:numId w:val="11"/>
        </w:numPr>
        <w:rPr>
          <w:rStyle w:val="IntenseReference"/>
          <w:bCs w:val="0"/>
          <w:i w:val="0"/>
          <w:smallCaps w:val="0"/>
          <w:color w:val="auto"/>
          <w:spacing w:val="0"/>
        </w:rPr>
      </w:pPr>
      <w:r w:rsidRPr="00044987">
        <w:rPr>
          <w:rStyle w:val="IntenseReference"/>
          <w:b w:val="0"/>
          <w:bCs w:val="0"/>
          <w:i w:val="0"/>
          <w:smallCaps w:val="0"/>
          <w:color w:val="auto"/>
          <w:spacing w:val="0"/>
        </w:rPr>
        <w:t xml:space="preserve">the </w:t>
      </w:r>
      <w:r>
        <w:rPr>
          <w:rStyle w:val="IntenseReference"/>
          <w:b w:val="0"/>
          <w:bCs w:val="0"/>
          <w:i w:val="0"/>
          <w:smallCaps w:val="0"/>
          <w:color w:val="auto"/>
          <w:spacing w:val="0"/>
        </w:rPr>
        <w:t>general patient reduced charge</w:t>
      </w:r>
      <w:r w:rsidRPr="00044987">
        <w:rPr>
          <w:rStyle w:val="IntenseReference"/>
          <w:b w:val="0"/>
          <w:bCs w:val="0"/>
          <w:i w:val="0"/>
          <w:smallCaps w:val="0"/>
          <w:color w:val="auto"/>
          <w:spacing w:val="0"/>
        </w:rPr>
        <w:t>;</w:t>
      </w:r>
    </w:p>
    <w:p w14:paraId="66D2616E" w14:textId="77777777" w:rsidR="00A41B45" w:rsidRPr="00044987" w:rsidRDefault="00A41B45" w:rsidP="00A41B45">
      <w:pPr>
        <w:pStyle w:val="legalDefinition"/>
        <w:numPr>
          <w:ilvl w:val="0"/>
          <w:numId w:val="11"/>
        </w:numPr>
        <w:rPr>
          <w:rStyle w:val="IntenseReference"/>
          <w:bCs w:val="0"/>
          <w:i w:val="0"/>
          <w:smallCaps w:val="0"/>
          <w:color w:val="auto"/>
          <w:spacing w:val="0"/>
        </w:rPr>
      </w:pPr>
      <w:r w:rsidRPr="00044987">
        <w:rPr>
          <w:rStyle w:val="IntenseReference"/>
          <w:b w:val="0"/>
          <w:bCs w:val="0"/>
          <w:i w:val="0"/>
          <w:smallCaps w:val="0"/>
          <w:color w:val="auto"/>
          <w:spacing w:val="0"/>
        </w:rPr>
        <w:t>the concessional beneficiary charge; or</w:t>
      </w:r>
    </w:p>
    <w:p w14:paraId="2FF0B56B" w14:textId="77777777" w:rsidR="00A41B45" w:rsidRPr="00044987" w:rsidRDefault="00A41B45" w:rsidP="00A41B45">
      <w:pPr>
        <w:pStyle w:val="legalDefinition"/>
        <w:numPr>
          <w:ilvl w:val="0"/>
          <w:numId w:val="11"/>
        </w:numPr>
        <w:rPr>
          <w:rStyle w:val="IntenseReference"/>
          <w:bCs w:val="0"/>
          <w:i w:val="0"/>
          <w:smallCaps w:val="0"/>
          <w:color w:val="auto"/>
          <w:spacing w:val="0"/>
        </w:rPr>
      </w:pPr>
      <w:r w:rsidRPr="00044987">
        <w:rPr>
          <w:rStyle w:val="IntenseReference"/>
          <w:b w:val="0"/>
          <w:bCs w:val="0"/>
          <w:i w:val="0"/>
          <w:smallCaps w:val="0"/>
          <w:color w:val="auto"/>
          <w:spacing w:val="0"/>
        </w:rPr>
        <w:t xml:space="preserve">the </w:t>
      </w:r>
      <w:r>
        <w:rPr>
          <w:rStyle w:val="IntenseReference"/>
          <w:b w:val="0"/>
          <w:bCs w:val="0"/>
          <w:i w:val="0"/>
          <w:smallCaps w:val="0"/>
          <w:color w:val="auto"/>
          <w:spacing w:val="0"/>
        </w:rPr>
        <w:t>general patient charge</w:t>
      </w:r>
      <w:r w:rsidRPr="00044987">
        <w:rPr>
          <w:rStyle w:val="IntenseReference"/>
          <w:b w:val="0"/>
          <w:bCs w:val="0"/>
          <w:i w:val="0"/>
          <w:smallCaps w:val="0"/>
          <w:color w:val="auto"/>
          <w:spacing w:val="0"/>
        </w:rPr>
        <w:t>,</w:t>
      </w:r>
    </w:p>
    <w:p w14:paraId="406C9865" w14:textId="77777777" w:rsidR="00A41B45" w:rsidRPr="009D3B53" w:rsidRDefault="00A41B45" w:rsidP="00A41B45">
      <w:pPr>
        <w:pStyle w:val="BodyIndent1"/>
        <w:rPr>
          <w:rStyle w:val="IntenseReference"/>
          <w:bCs w:val="0"/>
          <w:i w:val="0"/>
          <w:smallCaps w:val="0"/>
          <w:color w:val="auto"/>
          <w:spacing w:val="0"/>
        </w:rPr>
      </w:pPr>
      <w:r w:rsidRPr="00044987">
        <w:rPr>
          <w:rStyle w:val="IntenseReference"/>
          <w:b w:val="0"/>
          <w:bCs w:val="0"/>
          <w:i w:val="0"/>
          <w:smallCaps w:val="0"/>
          <w:color w:val="auto"/>
          <w:spacing w:val="0"/>
        </w:rPr>
        <w:t xml:space="preserve">as applying from time to </w:t>
      </w:r>
      <w:r w:rsidRPr="00A41B45">
        <w:t>time</w:t>
      </w:r>
      <w:r w:rsidRPr="00044987">
        <w:rPr>
          <w:rStyle w:val="IntenseReference"/>
          <w:b w:val="0"/>
          <w:bCs w:val="0"/>
          <w:i w:val="0"/>
          <w:smallCaps w:val="0"/>
          <w:color w:val="auto"/>
          <w:spacing w:val="0"/>
        </w:rPr>
        <w:t xml:space="preserve"> under Part VII of the Act.</w:t>
      </w:r>
    </w:p>
    <w:p w14:paraId="211F4252" w14:textId="77777777" w:rsidR="00A41B45" w:rsidRPr="00821A50" w:rsidRDefault="00A41B45" w:rsidP="00A41B45">
      <w:pPr>
        <w:pStyle w:val="BodyIndent1"/>
        <w:rPr>
          <w:rStyle w:val="IntenseReference"/>
          <w:b w:val="0"/>
          <w:bCs w:val="0"/>
          <w:i w:val="0"/>
          <w:smallCaps w:val="0"/>
          <w:color w:val="auto"/>
          <w:spacing w:val="0"/>
        </w:rPr>
      </w:pPr>
      <w:r w:rsidRPr="00821A50">
        <w:rPr>
          <w:rStyle w:val="IntenseReference"/>
          <w:bCs w:val="0"/>
          <w:i w:val="0"/>
          <w:smallCaps w:val="0"/>
          <w:color w:val="auto"/>
          <w:spacing w:val="0"/>
        </w:rPr>
        <w:t>Maximum Quantity</w:t>
      </w:r>
      <w:r w:rsidRPr="00821A50">
        <w:rPr>
          <w:rStyle w:val="IntenseReference"/>
          <w:b w:val="0"/>
          <w:bCs w:val="0"/>
          <w:i w:val="0"/>
          <w:smallCaps w:val="0"/>
          <w:color w:val="auto"/>
          <w:spacing w:val="0"/>
        </w:rPr>
        <w:t xml:space="preserve"> has the meaning given in the Determination.</w:t>
      </w:r>
    </w:p>
    <w:p w14:paraId="473FFF48" w14:textId="77777777" w:rsidR="00A41B45" w:rsidRPr="009D3B53" w:rsidRDefault="00A41B45" w:rsidP="00A41B45">
      <w:pPr>
        <w:pStyle w:val="BodyIndent1"/>
        <w:rPr>
          <w:rStyle w:val="IntenseReference"/>
          <w:b w:val="0"/>
          <w:bCs w:val="0"/>
          <w:i w:val="0"/>
          <w:smallCaps w:val="0"/>
          <w:color w:val="auto"/>
        </w:rPr>
      </w:pPr>
      <w:r w:rsidRPr="009D3B53">
        <w:rPr>
          <w:rStyle w:val="IntenseReference"/>
          <w:bCs w:val="0"/>
          <w:i w:val="0"/>
          <w:smallCaps w:val="0"/>
          <w:color w:val="auto"/>
          <w:spacing w:val="0"/>
        </w:rPr>
        <w:t xml:space="preserve">Minister </w:t>
      </w:r>
      <w:r w:rsidRPr="009D3B53">
        <w:t>means</w:t>
      </w:r>
      <w:r w:rsidRPr="009D3B53">
        <w:rPr>
          <w:rStyle w:val="IntenseReference"/>
          <w:b w:val="0"/>
          <w:bCs w:val="0"/>
          <w:i w:val="0"/>
          <w:smallCaps w:val="0"/>
          <w:color w:val="auto"/>
          <w:spacing w:val="0"/>
        </w:rPr>
        <w:t xml:space="preserve"> the Minister </w:t>
      </w:r>
      <w:r w:rsidRPr="00A41B45">
        <w:t>who</w:t>
      </w:r>
      <w:r w:rsidRPr="009D3B53">
        <w:rPr>
          <w:rStyle w:val="IntenseReference"/>
          <w:b w:val="0"/>
          <w:bCs w:val="0"/>
          <w:i w:val="0"/>
          <w:smallCaps w:val="0"/>
          <w:color w:val="auto"/>
          <w:spacing w:val="0"/>
        </w:rPr>
        <w:t xml:space="preserve"> administers the Act.</w:t>
      </w:r>
    </w:p>
    <w:p w14:paraId="7D314F89" w14:textId="77777777" w:rsidR="00A41B45" w:rsidRPr="003111EA" w:rsidRDefault="00A41B45" w:rsidP="00A41B45">
      <w:pPr>
        <w:pStyle w:val="BodyIndent1"/>
        <w:rPr>
          <w:rStyle w:val="IntenseReference"/>
          <w:b w:val="0"/>
          <w:bCs w:val="0"/>
          <w:i w:val="0"/>
          <w:smallCaps w:val="0"/>
          <w:color w:val="auto"/>
          <w:spacing w:val="0"/>
        </w:rPr>
      </w:pPr>
      <w:r w:rsidRPr="008C7AD3">
        <w:rPr>
          <w:rStyle w:val="IntenseReference"/>
          <w:bCs w:val="0"/>
          <w:i w:val="0"/>
          <w:smallCaps w:val="0"/>
          <w:color w:val="auto"/>
          <w:spacing w:val="0"/>
        </w:rPr>
        <w:t>NACCHO</w:t>
      </w:r>
      <w:r w:rsidRPr="008C7AD3">
        <w:rPr>
          <w:rStyle w:val="IntenseReference"/>
          <w:b w:val="0"/>
          <w:bCs w:val="0"/>
          <w:i w:val="0"/>
          <w:smallCaps w:val="0"/>
          <w:color w:val="auto"/>
          <w:spacing w:val="0"/>
        </w:rPr>
        <w:t xml:space="preserve"> means the National Aboriginal Community Controlled Health Organisation A</w:t>
      </w:r>
      <w:r>
        <w:rPr>
          <w:rStyle w:val="IntenseReference"/>
          <w:b w:val="0"/>
          <w:bCs w:val="0"/>
          <w:i w:val="0"/>
          <w:smallCaps w:val="0"/>
          <w:color w:val="auto"/>
          <w:spacing w:val="0"/>
        </w:rPr>
        <w:t>C</w:t>
      </w:r>
      <w:r w:rsidRPr="008C7AD3">
        <w:rPr>
          <w:rStyle w:val="IntenseReference"/>
          <w:b w:val="0"/>
          <w:bCs w:val="0"/>
          <w:i w:val="0"/>
          <w:smallCaps w:val="0"/>
          <w:color w:val="auto"/>
          <w:spacing w:val="0"/>
        </w:rPr>
        <w:t>N 078 949 710.</w:t>
      </w:r>
    </w:p>
    <w:p w14:paraId="67C52790" w14:textId="3D8F836E" w:rsidR="00A41B45" w:rsidRPr="0006768F" w:rsidRDefault="00A41B45" w:rsidP="00A41B45">
      <w:pPr>
        <w:pStyle w:val="BodyIndent1"/>
        <w:rPr>
          <w:rStyle w:val="IntenseReference"/>
          <w:b w:val="0"/>
          <w:bCs w:val="0"/>
          <w:i w:val="0"/>
          <w:smallCaps w:val="0"/>
          <w:color w:val="auto"/>
          <w:spacing w:val="0"/>
        </w:rPr>
      </w:pPr>
      <w:r w:rsidRPr="0006768F">
        <w:rPr>
          <w:rStyle w:val="IntenseReference"/>
          <w:bCs w:val="0"/>
          <w:i w:val="0"/>
          <w:smallCaps w:val="0"/>
          <w:color w:val="auto"/>
          <w:spacing w:val="0"/>
        </w:rPr>
        <w:t>National Diabetes Services Scheme</w:t>
      </w:r>
      <w:r w:rsidRPr="0006768F" w:rsidDel="0006768F">
        <w:rPr>
          <w:rStyle w:val="IntenseReference"/>
          <w:bCs w:val="0"/>
          <w:i w:val="0"/>
          <w:smallCaps w:val="0"/>
          <w:color w:val="auto"/>
          <w:spacing w:val="0"/>
        </w:rPr>
        <w:t xml:space="preserve"> </w:t>
      </w:r>
      <w:r>
        <w:rPr>
          <w:rStyle w:val="IntenseReference"/>
          <w:b w:val="0"/>
          <w:bCs w:val="0"/>
          <w:i w:val="0"/>
          <w:smallCaps w:val="0"/>
          <w:color w:val="auto"/>
          <w:spacing w:val="0"/>
        </w:rPr>
        <w:t xml:space="preserve">means the Australian Government’s scheme aimed at enhancing the capacity of people with </w:t>
      </w:r>
      <w:r w:rsidRPr="00A41B45">
        <w:t>diabetes</w:t>
      </w:r>
      <w:r>
        <w:rPr>
          <w:rStyle w:val="IntenseReference"/>
          <w:b w:val="0"/>
          <w:bCs w:val="0"/>
          <w:i w:val="0"/>
          <w:smallCaps w:val="0"/>
          <w:color w:val="auto"/>
          <w:spacing w:val="0"/>
        </w:rPr>
        <w:t xml:space="preserve"> to understand and manage their life with diabetes. </w:t>
      </w:r>
      <w:r>
        <w:rPr>
          <w:rStyle w:val="IntenseReference"/>
          <w:bCs w:val="0"/>
          <w:i w:val="0"/>
          <w:smallCaps w:val="0"/>
          <w:color w:val="auto"/>
          <w:spacing w:val="0"/>
        </w:rPr>
        <w:t>NDSS</w:t>
      </w:r>
      <w:r>
        <w:rPr>
          <w:rStyle w:val="IntenseReference"/>
          <w:b w:val="0"/>
          <w:bCs w:val="0"/>
          <w:i w:val="0"/>
          <w:smallCaps w:val="0"/>
          <w:color w:val="auto"/>
          <w:spacing w:val="0"/>
        </w:rPr>
        <w:t xml:space="preserve"> has the same meaning.</w:t>
      </w:r>
    </w:p>
    <w:p w14:paraId="118BB5A1" w14:textId="77777777" w:rsidR="00A41B45" w:rsidRPr="009D3B53" w:rsidRDefault="00A41B45" w:rsidP="00A41B45">
      <w:pPr>
        <w:pStyle w:val="BodyIndent1"/>
        <w:rPr>
          <w:rStyle w:val="IntenseReference"/>
          <w:b w:val="0"/>
          <w:bCs w:val="0"/>
          <w:i w:val="0"/>
          <w:smallCaps w:val="0"/>
          <w:color w:val="auto"/>
          <w:spacing w:val="0"/>
        </w:rPr>
      </w:pPr>
      <w:r w:rsidRPr="009D3B53">
        <w:rPr>
          <w:rStyle w:val="IntenseReference"/>
          <w:bCs w:val="0"/>
          <w:i w:val="0"/>
          <w:smallCaps w:val="0"/>
          <w:color w:val="auto"/>
          <w:spacing w:val="0"/>
        </w:rPr>
        <w:t xml:space="preserve">Pack Quantity </w:t>
      </w:r>
      <w:r w:rsidRPr="009D3B53">
        <w:rPr>
          <w:rStyle w:val="IntenseReference"/>
          <w:b w:val="0"/>
          <w:bCs w:val="0"/>
          <w:i w:val="0"/>
          <w:smallCaps w:val="0"/>
          <w:color w:val="auto"/>
          <w:spacing w:val="0"/>
        </w:rPr>
        <w:t xml:space="preserve">has the meaning </w:t>
      </w:r>
      <w:r w:rsidRPr="00A41B45">
        <w:t>given</w:t>
      </w:r>
      <w:r w:rsidRPr="009D3B53">
        <w:rPr>
          <w:rStyle w:val="IntenseReference"/>
          <w:b w:val="0"/>
          <w:bCs w:val="0"/>
          <w:i w:val="0"/>
          <w:smallCaps w:val="0"/>
          <w:color w:val="auto"/>
          <w:spacing w:val="0"/>
        </w:rPr>
        <w:t xml:space="preserve"> in Part VII of the Act.</w:t>
      </w:r>
    </w:p>
    <w:p w14:paraId="37C38DB2" w14:textId="77777777" w:rsidR="00A41B45" w:rsidRPr="00EB2857" w:rsidRDefault="00A41B45" w:rsidP="00A41B45">
      <w:pPr>
        <w:pStyle w:val="BodyIndent1"/>
        <w:rPr>
          <w:rStyle w:val="IntenseReference"/>
          <w:b w:val="0"/>
          <w:bCs w:val="0"/>
          <w:i w:val="0"/>
          <w:smallCaps w:val="0"/>
          <w:color w:val="auto"/>
          <w:spacing w:val="0"/>
        </w:rPr>
      </w:pPr>
      <w:r>
        <w:rPr>
          <w:rStyle w:val="IntenseReference"/>
          <w:bCs w:val="0"/>
          <w:i w:val="0"/>
          <w:smallCaps w:val="0"/>
          <w:color w:val="auto"/>
          <w:spacing w:val="0"/>
        </w:rPr>
        <w:t>Part</w:t>
      </w:r>
      <w:r>
        <w:rPr>
          <w:rStyle w:val="IntenseReference"/>
          <w:b w:val="0"/>
          <w:bCs w:val="0"/>
          <w:i w:val="0"/>
          <w:smallCaps w:val="0"/>
          <w:color w:val="auto"/>
          <w:spacing w:val="0"/>
        </w:rPr>
        <w:t xml:space="preserve"> means a part of this </w:t>
      </w:r>
      <w:r w:rsidRPr="00A41B45">
        <w:t>Agreement</w:t>
      </w:r>
      <w:r>
        <w:rPr>
          <w:rStyle w:val="IntenseReference"/>
          <w:b w:val="0"/>
          <w:bCs w:val="0"/>
          <w:i w:val="0"/>
          <w:smallCaps w:val="0"/>
          <w:color w:val="auto"/>
          <w:spacing w:val="0"/>
        </w:rPr>
        <w:t xml:space="preserve">. </w:t>
      </w:r>
    </w:p>
    <w:p w14:paraId="641FC5F2" w14:textId="77777777" w:rsidR="00A41B45" w:rsidRPr="009D3B53" w:rsidRDefault="00A41B45" w:rsidP="00A41B45">
      <w:pPr>
        <w:pStyle w:val="BodyIndent1"/>
        <w:rPr>
          <w:rStyle w:val="IntenseReference"/>
          <w:b w:val="0"/>
          <w:bCs w:val="0"/>
          <w:i w:val="0"/>
          <w:smallCaps w:val="0"/>
          <w:color w:val="auto"/>
          <w:spacing w:val="0"/>
        </w:rPr>
      </w:pPr>
      <w:r w:rsidRPr="009D3B53">
        <w:rPr>
          <w:rStyle w:val="IntenseReference"/>
          <w:bCs w:val="0"/>
          <w:i w:val="0"/>
          <w:smallCaps w:val="0"/>
          <w:color w:val="auto"/>
          <w:spacing w:val="0"/>
        </w:rPr>
        <w:t>PBAC</w:t>
      </w:r>
      <w:r w:rsidRPr="009D3B53">
        <w:rPr>
          <w:rStyle w:val="IntenseReference"/>
          <w:b w:val="0"/>
          <w:bCs w:val="0"/>
          <w:i w:val="0"/>
          <w:smallCaps w:val="0"/>
          <w:color w:val="auto"/>
          <w:spacing w:val="0"/>
        </w:rPr>
        <w:t xml:space="preserve"> means the </w:t>
      </w:r>
      <w:r w:rsidRPr="00A41B45">
        <w:t>Pharmaceutical</w:t>
      </w:r>
      <w:r w:rsidRPr="009D3B53">
        <w:rPr>
          <w:rStyle w:val="IntenseReference"/>
          <w:b w:val="0"/>
          <w:bCs w:val="0"/>
          <w:i w:val="0"/>
          <w:smallCaps w:val="0"/>
          <w:color w:val="auto"/>
          <w:spacing w:val="0"/>
        </w:rPr>
        <w:t xml:space="preserve"> Benefits Advisory Committee established under section</w:t>
      </w:r>
      <w:r>
        <w:rPr>
          <w:rStyle w:val="IntenseReference"/>
          <w:b w:val="0"/>
          <w:bCs w:val="0"/>
          <w:i w:val="0"/>
          <w:smallCaps w:val="0"/>
          <w:color w:val="auto"/>
          <w:spacing w:val="0"/>
        </w:rPr>
        <w:t> </w:t>
      </w:r>
      <w:r w:rsidRPr="009D3B53">
        <w:rPr>
          <w:rStyle w:val="IntenseReference"/>
          <w:b w:val="0"/>
          <w:bCs w:val="0"/>
          <w:i w:val="0"/>
          <w:smallCaps w:val="0"/>
          <w:color w:val="auto"/>
          <w:spacing w:val="0"/>
        </w:rPr>
        <w:t>100A of the Act.</w:t>
      </w:r>
    </w:p>
    <w:p w14:paraId="31F9BE6A" w14:textId="77777777" w:rsidR="00A41B45" w:rsidRDefault="00A41B45" w:rsidP="00A41B45">
      <w:pPr>
        <w:pStyle w:val="BodyIndent1"/>
        <w:rPr>
          <w:rStyle w:val="IntenseReference"/>
          <w:b w:val="0"/>
          <w:bCs w:val="0"/>
          <w:i w:val="0"/>
          <w:smallCaps w:val="0"/>
          <w:color w:val="auto"/>
          <w:spacing w:val="0"/>
        </w:rPr>
      </w:pPr>
      <w:r w:rsidRPr="009D3B53">
        <w:rPr>
          <w:rStyle w:val="IntenseReference"/>
          <w:bCs w:val="0"/>
          <w:i w:val="0"/>
          <w:smallCaps w:val="0"/>
          <w:color w:val="auto"/>
          <w:spacing w:val="0"/>
        </w:rPr>
        <w:t>PBS</w:t>
      </w:r>
      <w:r w:rsidRPr="009D3B53">
        <w:rPr>
          <w:rStyle w:val="IntenseReference"/>
          <w:b w:val="0"/>
          <w:bCs w:val="0"/>
          <w:i w:val="0"/>
          <w:smallCaps w:val="0"/>
          <w:color w:val="auto"/>
          <w:spacing w:val="0"/>
        </w:rPr>
        <w:t xml:space="preserve"> means the </w:t>
      </w:r>
      <w:r w:rsidRPr="00A41B45">
        <w:t>Pharmaceutical</w:t>
      </w:r>
      <w:r w:rsidRPr="009D3B53">
        <w:rPr>
          <w:rStyle w:val="IntenseReference"/>
          <w:b w:val="0"/>
          <w:bCs w:val="0"/>
          <w:i w:val="0"/>
          <w:smallCaps w:val="0"/>
          <w:color w:val="auto"/>
          <w:spacing w:val="0"/>
        </w:rPr>
        <w:t xml:space="preserve"> Benefits Scheme established under Part VII of the Act.</w:t>
      </w:r>
    </w:p>
    <w:p w14:paraId="550AB8C1" w14:textId="77777777" w:rsidR="00A41B45" w:rsidRPr="007935EE" w:rsidRDefault="00A41B45" w:rsidP="00A41B45">
      <w:pPr>
        <w:pStyle w:val="BodyIndent1"/>
        <w:rPr>
          <w:rStyle w:val="IntenseReference"/>
          <w:b w:val="0"/>
          <w:bCs w:val="0"/>
          <w:i w:val="0"/>
          <w:smallCaps w:val="0"/>
          <w:color w:val="auto"/>
        </w:rPr>
      </w:pPr>
      <w:r>
        <w:rPr>
          <w:rStyle w:val="IntenseReference"/>
          <w:bCs w:val="0"/>
          <w:i w:val="0"/>
          <w:smallCaps w:val="0"/>
          <w:color w:val="auto"/>
          <w:spacing w:val="0"/>
        </w:rPr>
        <w:t>PBS Prescriber</w:t>
      </w:r>
      <w:r>
        <w:rPr>
          <w:rStyle w:val="IntenseReference"/>
          <w:b w:val="0"/>
          <w:bCs w:val="0"/>
          <w:i w:val="0"/>
          <w:smallCaps w:val="0"/>
          <w:color w:val="auto"/>
          <w:spacing w:val="0"/>
        </w:rPr>
        <w:t xml:space="preserve"> </w:t>
      </w:r>
      <w:r w:rsidRPr="009D3B53">
        <w:t>has the meaning given in Part VII of the Act.</w:t>
      </w:r>
    </w:p>
    <w:p w14:paraId="175EB28F" w14:textId="77777777" w:rsidR="00A41B45" w:rsidRDefault="00A41B45" w:rsidP="00A41B45">
      <w:pPr>
        <w:pStyle w:val="BodyIndent1"/>
        <w:rPr>
          <w:rStyle w:val="IntenseReference"/>
          <w:bCs w:val="0"/>
          <w:i w:val="0"/>
          <w:smallCaps w:val="0"/>
          <w:color w:val="auto"/>
          <w:spacing w:val="0"/>
        </w:rPr>
      </w:pPr>
      <w:r w:rsidRPr="009839BC">
        <w:rPr>
          <w:b/>
        </w:rPr>
        <w:t>PGPA Act</w:t>
      </w:r>
      <w:r>
        <w:t xml:space="preserve"> means the </w:t>
      </w:r>
      <w:r w:rsidRPr="00705249">
        <w:rPr>
          <w:i/>
        </w:rPr>
        <w:t xml:space="preserve">Public Governance, Performance and Accountability Act </w:t>
      </w:r>
      <w:r w:rsidRPr="005B0279">
        <w:rPr>
          <w:i/>
        </w:rPr>
        <w:t>2013</w:t>
      </w:r>
      <w:r>
        <w:rPr>
          <w:rStyle w:val="IntenseReference"/>
          <w:b w:val="0"/>
          <w:bCs w:val="0"/>
          <w:smallCaps w:val="0"/>
          <w:color w:val="auto"/>
        </w:rPr>
        <w:t xml:space="preserve"> </w:t>
      </w:r>
      <w:r>
        <w:t>(Cth)</w:t>
      </w:r>
      <w:r w:rsidRPr="00F330B5">
        <w:t>.</w:t>
      </w:r>
    </w:p>
    <w:p w14:paraId="64A58A17" w14:textId="29A09846" w:rsidR="0059260C" w:rsidRPr="009D3B53" w:rsidRDefault="00A41B45" w:rsidP="00A41B45">
      <w:pPr>
        <w:pStyle w:val="BodyIndent1"/>
        <w:rPr>
          <w:rStyle w:val="IntenseReference"/>
          <w:b w:val="0"/>
          <w:bCs w:val="0"/>
          <w:i w:val="0"/>
          <w:smallCaps w:val="0"/>
          <w:color w:val="auto"/>
          <w:spacing w:val="0"/>
        </w:rPr>
      </w:pPr>
      <w:r w:rsidRPr="009D3B53">
        <w:rPr>
          <w:rStyle w:val="IntenseReference"/>
          <w:bCs w:val="0"/>
          <w:i w:val="0"/>
          <w:smallCaps w:val="0"/>
          <w:color w:val="auto"/>
          <w:spacing w:val="0"/>
        </w:rPr>
        <w:t xml:space="preserve">Pharmaceutical Benefit </w:t>
      </w:r>
      <w:r w:rsidRPr="009D3B53">
        <w:rPr>
          <w:rStyle w:val="IntenseReference"/>
          <w:b w:val="0"/>
          <w:bCs w:val="0"/>
          <w:i w:val="0"/>
          <w:smallCaps w:val="0"/>
          <w:color w:val="auto"/>
          <w:spacing w:val="0"/>
        </w:rPr>
        <w:t>has the meaning given in Part VII of the Act.</w:t>
      </w:r>
    </w:p>
    <w:p w14:paraId="61831920" w14:textId="77777777" w:rsidR="00A41B45" w:rsidRPr="009D3B53" w:rsidRDefault="00A41B45" w:rsidP="00A41B45">
      <w:pPr>
        <w:pStyle w:val="BodyIndent1"/>
        <w:rPr>
          <w:rStyle w:val="IntenseReference"/>
          <w:b w:val="0"/>
          <w:bCs w:val="0"/>
          <w:i w:val="0"/>
          <w:smallCaps w:val="0"/>
          <w:color w:val="auto"/>
          <w:spacing w:val="0"/>
        </w:rPr>
      </w:pPr>
      <w:r w:rsidRPr="009D3B53">
        <w:rPr>
          <w:rStyle w:val="IntenseReference"/>
          <w:bCs w:val="0"/>
          <w:i w:val="0"/>
          <w:smallCaps w:val="0"/>
          <w:color w:val="auto"/>
          <w:spacing w:val="0"/>
        </w:rPr>
        <w:t>Price to Pharmacists</w:t>
      </w:r>
      <w:r w:rsidRPr="009D3B53">
        <w:rPr>
          <w:rStyle w:val="IntenseReference"/>
          <w:b w:val="0"/>
          <w:bCs w:val="0"/>
          <w:i w:val="0"/>
          <w:smallCaps w:val="0"/>
          <w:color w:val="auto"/>
          <w:spacing w:val="0"/>
        </w:rPr>
        <w:t xml:space="preserve"> has the meaning given in the Determination.</w:t>
      </w:r>
    </w:p>
    <w:p w14:paraId="7D67C95F" w14:textId="77777777" w:rsidR="00A41B45" w:rsidRPr="009D3B53" w:rsidRDefault="00A41B45" w:rsidP="00A41B45">
      <w:pPr>
        <w:pStyle w:val="BodyIndent1"/>
        <w:rPr>
          <w:rStyle w:val="IntenseReference"/>
          <w:b w:val="0"/>
          <w:bCs w:val="0"/>
          <w:i w:val="0"/>
          <w:smallCaps w:val="0"/>
          <w:color w:val="auto"/>
        </w:rPr>
      </w:pPr>
      <w:r w:rsidRPr="009D3B53">
        <w:rPr>
          <w:rStyle w:val="IntenseReference"/>
          <w:bCs w:val="0"/>
          <w:i w:val="0"/>
          <w:smallCaps w:val="0"/>
          <w:color w:val="auto"/>
        </w:rPr>
        <w:t>Pricing Quantity</w:t>
      </w:r>
      <w:r w:rsidRPr="009D3B53">
        <w:rPr>
          <w:rStyle w:val="IntenseReference"/>
          <w:b w:val="0"/>
          <w:bCs w:val="0"/>
          <w:i w:val="0"/>
          <w:smallCaps w:val="0"/>
          <w:color w:val="auto"/>
        </w:rPr>
        <w:t xml:space="preserve"> has the </w:t>
      </w:r>
      <w:r w:rsidRPr="00A41B45">
        <w:t>meaning</w:t>
      </w:r>
      <w:r w:rsidRPr="009D3B53">
        <w:rPr>
          <w:rStyle w:val="IntenseReference"/>
          <w:b w:val="0"/>
          <w:bCs w:val="0"/>
          <w:i w:val="0"/>
          <w:smallCaps w:val="0"/>
          <w:color w:val="auto"/>
        </w:rPr>
        <w:t xml:space="preserve"> given in Part VII of the Act.</w:t>
      </w:r>
    </w:p>
    <w:p w14:paraId="11A53F2B" w14:textId="77777777" w:rsidR="00A41B45" w:rsidRPr="000B2601" w:rsidRDefault="00A41B45" w:rsidP="00A41B45">
      <w:pPr>
        <w:pStyle w:val="BodyIndent1"/>
        <w:rPr>
          <w:rStyle w:val="IntenseReference"/>
          <w:b w:val="0"/>
          <w:bCs w:val="0"/>
          <w:i w:val="0"/>
          <w:smallCaps w:val="0"/>
          <w:color w:val="auto"/>
        </w:rPr>
      </w:pPr>
      <w:r>
        <w:rPr>
          <w:rStyle w:val="IntenseReference"/>
          <w:bCs w:val="0"/>
          <w:i w:val="0"/>
          <w:smallCaps w:val="0"/>
          <w:color w:val="auto"/>
        </w:rPr>
        <w:t>Proper</w:t>
      </w:r>
      <w:r>
        <w:rPr>
          <w:rStyle w:val="IntenseReference"/>
          <w:b w:val="0"/>
          <w:bCs w:val="0"/>
          <w:i w:val="0"/>
          <w:smallCaps w:val="0"/>
          <w:color w:val="auto"/>
        </w:rPr>
        <w:t xml:space="preserve"> has the meaning </w:t>
      </w:r>
      <w:r w:rsidRPr="00A41B45">
        <w:t>given</w:t>
      </w:r>
      <w:r>
        <w:rPr>
          <w:rStyle w:val="IntenseReference"/>
          <w:b w:val="0"/>
          <w:bCs w:val="0"/>
          <w:i w:val="0"/>
          <w:smallCaps w:val="0"/>
          <w:color w:val="auto"/>
        </w:rPr>
        <w:t xml:space="preserve"> in the PGPA Act.</w:t>
      </w:r>
    </w:p>
    <w:p w14:paraId="0B751FA1" w14:textId="77777777" w:rsidR="00A41B45" w:rsidRPr="006D11FB" w:rsidRDefault="00A41B45" w:rsidP="00A41B45">
      <w:pPr>
        <w:pStyle w:val="BodyIndent1"/>
      </w:pPr>
      <w:r w:rsidRPr="006D11FB">
        <w:rPr>
          <w:b/>
        </w:rPr>
        <w:t xml:space="preserve">Proportional Ex-Manufacturer Price </w:t>
      </w:r>
      <w:r w:rsidRPr="006D11FB">
        <w:t xml:space="preserve">has the </w:t>
      </w:r>
      <w:r w:rsidRPr="00A41B45">
        <w:t>meaning</w:t>
      </w:r>
      <w:r w:rsidRPr="006D11FB">
        <w:t xml:space="preserve"> given in Part VII of the Act.</w:t>
      </w:r>
    </w:p>
    <w:p w14:paraId="274B1026" w14:textId="77777777" w:rsidR="00A41B45" w:rsidRPr="006D11FB" w:rsidRDefault="00A41B45" w:rsidP="00A41B45">
      <w:pPr>
        <w:pStyle w:val="BodyIndent1"/>
      </w:pPr>
      <w:r w:rsidRPr="006D11FB">
        <w:rPr>
          <w:b/>
        </w:rPr>
        <w:t xml:space="preserve">PSA </w:t>
      </w:r>
      <w:r w:rsidRPr="006D11FB">
        <w:t xml:space="preserve">means the </w:t>
      </w:r>
      <w:r w:rsidRPr="00A41B45">
        <w:t>Pharmaceutical</w:t>
      </w:r>
      <w:r w:rsidRPr="006D11FB">
        <w:t xml:space="preserve"> Society of Australia Limited ACN 008 532 072.</w:t>
      </w:r>
    </w:p>
    <w:p w14:paraId="05B73F2D" w14:textId="77777777" w:rsidR="00A41B45" w:rsidRDefault="00A41B45" w:rsidP="00A41B45">
      <w:pPr>
        <w:pStyle w:val="BodyIndent1"/>
        <w:rPr>
          <w:rStyle w:val="IntenseReference"/>
          <w:b w:val="0"/>
          <w:bCs w:val="0"/>
          <w:i w:val="0"/>
          <w:smallCaps w:val="0"/>
          <w:color w:val="auto"/>
        </w:rPr>
      </w:pPr>
      <w:r>
        <w:rPr>
          <w:rStyle w:val="IntenseReference"/>
          <w:bCs w:val="0"/>
          <w:i w:val="0"/>
          <w:smallCaps w:val="0"/>
          <w:color w:val="auto"/>
        </w:rPr>
        <w:t>PSA Representative</w:t>
      </w:r>
      <w:r>
        <w:rPr>
          <w:rStyle w:val="IntenseReference"/>
          <w:b w:val="0"/>
          <w:bCs w:val="0"/>
          <w:i w:val="0"/>
          <w:smallCaps w:val="0"/>
          <w:color w:val="auto"/>
        </w:rPr>
        <w:t xml:space="preserve"> </w:t>
      </w:r>
      <w:r w:rsidRPr="00A41B45">
        <w:t>means</w:t>
      </w:r>
      <w:r>
        <w:rPr>
          <w:rStyle w:val="IntenseReference"/>
          <w:b w:val="0"/>
          <w:bCs w:val="0"/>
          <w:i w:val="0"/>
          <w:smallCaps w:val="0"/>
          <w:color w:val="auto"/>
        </w:rPr>
        <w:t>:</w:t>
      </w:r>
    </w:p>
    <w:p w14:paraId="61FF4BC1" w14:textId="77777777" w:rsidR="00A41B45" w:rsidRPr="009D3B53" w:rsidRDefault="00A41B45" w:rsidP="00EB1651">
      <w:pPr>
        <w:pStyle w:val="legalDefinition"/>
        <w:keepNext/>
        <w:numPr>
          <w:ilvl w:val="0"/>
          <w:numId w:val="25"/>
        </w:numPr>
      </w:pPr>
      <w:r w:rsidRPr="009D3B53">
        <w:t xml:space="preserve">the person from time to time holding or acting in the position of </w:t>
      </w:r>
      <w:r>
        <w:t xml:space="preserve">Chief </w:t>
      </w:r>
      <w:r w:rsidRPr="009D3B53">
        <w:t xml:space="preserve">Executive </w:t>
      </w:r>
      <w:r>
        <w:t xml:space="preserve">Officer </w:t>
      </w:r>
      <w:r w:rsidRPr="009D3B53">
        <w:t xml:space="preserve">of the </w:t>
      </w:r>
      <w:r>
        <w:t>PSA</w:t>
      </w:r>
      <w:r w:rsidRPr="009D3B53">
        <w:t>; or</w:t>
      </w:r>
    </w:p>
    <w:p w14:paraId="1A0A23FA" w14:textId="77777777" w:rsidR="00A41B45" w:rsidRPr="00822CA9" w:rsidRDefault="00A41B45" w:rsidP="00A41B45">
      <w:pPr>
        <w:pStyle w:val="legalDefinition"/>
        <w:numPr>
          <w:ilvl w:val="0"/>
          <w:numId w:val="10"/>
        </w:numPr>
        <w:rPr>
          <w:rStyle w:val="IntenseReference"/>
          <w:b w:val="0"/>
          <w:bCs w:val="0"/>
          <w:i w:val="0"/>
          <w:smallCaps w:val="0"/>
          <w:color w:val="auto"/>
        </w:rPr>
      </w:pPr>
      <w:r w:rsidRPr="009D3B53">
        <w:t xml:space="preserve">a person from time to time holding or acting in such other position notified by the </w:t>
      </w:r>
      <w:r>
        <w:t>PSA</w:t>
      </w:r>
      <w:r w:rsidRPr="009D3B53">
        <w:t xml:space="preserve"> to the </w:t>
      </w:r>
      <w:r>
        <w:t>other Signatories</w:t>
      </w:r>
      <w:r w:rsidRPr="009D3B53">
        <w:t xml:space="preserve"> in writing from time to time.</w:t>
      </w:r>
    </w:p>
    <w:p w14:paraId="48642E5B" w14:textId="15F79B4E" w:rsidR="00C05AAC" w:rsidRPr="00C05AAC" w:rsidRDefault="00C05AAC" w:rsidP="00A41B45">
      <w:pPr>
        <w:pStyle w:val="BodyIndent1"/>
      </w:pPr>
      <w:r>
        <w:rPr>
          <w:b/>
        </w:rPr>
        <w:t>PSCC</w:t>
      </w:r>
      <w:r>
        <w:t xml:space="preserve"> has the meaning given in clause </w:t>
      </w:r>
      <w:r>
        <w:fldChar w:fldCharType="begin"/>
      </w:r>
      <w:r>
        <w:instrText xml:space="preserve"> REF _Ref42543267 \r \h </w:instrText>
      </w:r>
      <w:r>
        <w:fldChar w:fldCharType="separate"/>
      </w:r>
      <w:r w:rsidR="00982D02">
        <w:t>16.2.1</w:t>
      </w:r>
      <w:r>
        <w:fldChar w:fldCharType="end"/>
      </w:r>
      <w:r>
        <w:t>.</w:t>
      </w:r>
    </w:p>
    <w:p w14:paraId="1212E0C6" w14:textId="5E0030FC" w:rsidR="00A41B45" w:rsidRPr="006D11FB" w:rsidRDefault="00A41B45" w:rsidP="00A41B45">
      <w:pPr>
        <w:pStyle w:val="BodyIndent1"/>
      </w:pPr>
      <w:r w:rsidRPr="006D11FB">
        <w:rPr>
          <w:b/>
        </w:rPr>
        <w:t>Public Resources</w:t>
      </w:r>
      <w:r w:rsidRPr="006D11FB">
        <w:t xml:space="preserve"> has the meaning given in the PGPA Act.</w:t>
      </w:r>
    </w:p>
    <w:p w14:paraId="7945D32F" w14:textId="77777777" w:rsidR="00A41B45" w:rsidRPr="006D11FB" w:rsidRDefault="00A41B45" w:rsidP="00A41B45">
      <w:pPr>
        <w:pStyle w:val="BodyIndent1"/>
      </w:pPr>
      <w:r w:rsidRPr="006D11FB">
        <w:rPr>
          <w:b/>
        </w:rPr>
        <w:t>Ready-Prepared Pharmaceutical Benefits</w:t>
      </w:r>
      <w:r w:rsidRPr="006D11FB">
        <w:t xml:space="preserve"> </w:t>
      </w:r>
      <w:r w:rsidRPr="00A41B45">
        <w:t>means</w:t>
      </w:r>
      <w:r w:rsidRPr="006D11FB">
        <w:t xml:space="preserve"> a brand of a pharmaceutical item included in an operative determination in place under subsection 85(6) of the Act. </w:t>
      </w:r>
      <w:r w:rsidRPr="006D11FB">
        <w:rPr>
          <w:b/>
        </w:rPr>
        <w:t>RPPBs</w:t>
      </w:r>
      <w:r w:rsidRPr="006D11FB">
        <w:t xml:space="preserve"> has the same meaning.</w:t>
      </w:r>
    </w:p>
    <w:p w14:paraId="06C3A851" w14:textId="77777777" w:rsidR="00A41B45" w:rsidRPr="009D3B53" w:rsidRDefault="00A41B45" w:rsidP="00A41B45">
      <w:pPr>
        <w:pStyle w:val="BodyIndent1"/>
        <w:rPr>
          <w:rStyle w:val="IntenseReference"/>
          <w:b w:val="0"/>
          <w:bCs w:val="0"/>
          <w:i w:val="0"/>
          <w:smallCaps w:val="0"/>
          <w:color w:val="auto"/>
        </w:rPr>
      </w:pPr>
      <w:r w:rsidRPr="009D3B53">
        <w:rPr>
          <w:rStyle w:val="IntenseReference"/>
          <w:bCs w:val="0"/>
          <w:i w:val="0"/>
          <w:smallCaps w:val="0"/>
          <w:color w:val="auto"/>
        </w:rPr>
        <w:t>Relevant Quantity</w:t>
      </w:r>
      <w:r w:rsidRPr="009D3B53">
        <w:rPr>
          <w:rStyle w:val="IntenseReference"/>
          <w:b w:val="0"/>
          <w:bCs w:val="0"/>
          <w:i w:val="0"/>
          <w:smallCaps w:val="0"/>
          <w:color w:val="auto"/>
        </w:rPr>
        <w:t xml:space="preserve"> has the meaning </w:t>
      </w:r>
      <w:r w:rsidRPr="00A41B45">
        <w:t>given</w:t>
      </w:r>
      <w:r w:rsidRPr="009D3B53">
        <w:rPr>
          <w:rStyle w:val="IntenseReference"/>
          <w:b w:val="0"/>
          <w:bCs w:val="0"/>
          <w:i w:val="0"/>
          <w:smallCaps w:val="0"/>
          <w:color w:val="auto"/>
        </w:rPr>
        <w:t xml:space="preserve"> in Part 2 of the Determination.</w:t>
      </w:r>
    </w:p>
    <w:p w14:paraId="1B1CD0D1" w14:textId="77777777" w:rsidR="00A41B45" w:rsidRDefault="00A41B45" w:rsidP="00E449B7">
      <w:pPr>
        <w:pStyle w:val="BodyIndent1"/>
        <w:keepNext/>
        <w:rPr>
          <w:rStyle w:val="IntenseReference"/>
          <w:b w:val="0"/>
          <w:bCs w:val="0"/>
          <w:i w:val="0"/>
          <w:smallCaps w:val="0"/>
          <w:color w:val="auto"/>
        </w:rPr>
      </w:pPr>
      <w:r>
        <w:rPr>
          <w:rStyle w:val="IntenseReference"/>
          <w:bCs w:val="0"/>
          <w:i w:val="0"/>
          <w:smallCaps w:val="0"/>
          <w:color w:val="auto"/>
        </w:rPr>
        <w:t>Representative</w:t>
      </w:r>
      <w:r>
        <w:rPr>
          <w:rStyle w:val="IntenseReference"/>
          <w:b w:val="0"/>
          <w:bCs w:val="0"/>
          <w:i w:val="0"/>
          <w:smallCaps w:val="0"/>
          <w:color w:val="auto"/>
        </w:rPr>
        <w:t xml:space="preserve"> means, as the context </w:t>
      </w:r>
      <w:r w:rsidRPr="00A41B45">
        <w:t>requires</w:t>
      </w:r>
      <w:r>
        <w:rPr>
          <w:rStyle w:val="IntenseReference"/>
          <w:b w:val="0"/>
          <w:bCs w:val="0"/>
          <w:i w:val="0"/>
          <w:smallCaps w:val="0"/>
          <w:color w:val="auto"/>
        </w:rPr>
        <w:t>, one or more of:</w:t>
      </w:r>
    </w:p>
    <w:p w14:paraId="3B83ADE7" w14:textId="77777777" w:rsidR="00A41B45" w:rsidRPr="00196173" w:rsidRDefault="00A41B45" w:rsidP="00E449B7">
      <w:pPr>
        <w:pStyle w:val="legalDefinition"/>
        <w:keepNext/>
        <w:numPr>
          <w:ilvl w:val="0"/>
          <w:numId w:val="38"/>
        </w:numPr>
        <w:ind w:left="1702" w:hanging="851"/>
      </w:pPr>
      <w:r w:rsidRPr="00196173">
        <w:t>the Department Representative;</w:t>
      </w:r>
    </w:p>
    <w:p w14:paraId="45B357CD" w14:textId="77777777" w:rsidR="00A41B45" w:rsidRPr="00196173" w:rsidRDefault="00A41B45" w:rsidP="00E449B7">
      <w:pPr>
        <w:pStyle w:val="legalDefinition"/>
        <w:keepNext/>
        <w:numPr>
          <w:ilvl w:val="0"/>
          <w:numId w:val="25"/>
        </w:numPr>
        <w:ind w:left="1702" w:hanging="851"/>
      </w:pPr>
      <w:r w:rsidRPr="00196173">
        <w:t xml:space="preserve">the Guild Representative; and </w:t>
      </w:r>
    </w:p>
    <w:p w14:paraId="0C3C27FF" w14:textId="77777777" w:rsidR="00A41B45" w:rsidRPr="00196173" w:rsidRDefault="00A41B45" w:rsidP="00777134">
      <w:pPr>
        <w:pStyle w:val="legalDefinition"/>
        <w:numPr>
          <w:ilvl w:val="0"/>
          <w:numId w:val="25"/>
        </w:numPr>
        <w:ind w:left="1702" w:hanging="851"/>
      </w:pPr>
      <w:r w:rsidRPr="00196173">
        <w:t>the PSA Representative.</w:t>
      </w:r>
    </w:p>
    <w:p w14:paraId="7AD710EA" w14:textId="77777777" w:rsidR="00A41B45" w:rsidRDefault="00A41B45" w:rsidP="00777134">
      <w:pPr>
        <w:pStyle w:val="BodyIndent1"/>
        <w:keepNext/>
        <w:keepLines/>
        <w:rPr>
          <w:rStyle w:val="IntenseReference"/>
          <w:b w:val="0"/>
          <w:bCs w:val="0"/>
          <w:i w:val="0"/>
          <w:smallCaps w:val="0"/>
          <w:color w:val="auto"/>
        </w:rPr>
      </w:pPr>
      <w:r w:rsidRPr="009D3B53">
        <w:rPr>
          <w:rStyle w:val="IntenseReference"/>
          <w:bCs w:val="0"/>
          <w:i w:val="0"/>
          <w:smallCaps w:val="0"/>
          <w:color w:val="auto"/>
        </w:rPr>
        <w:t>RPBS</w:t>
      </w:r>
      <w:r w:rsidRPr="009D3B53">
        <w:rPr>
          <w:rStyle w:val="IntenseReference"/>
          <w:b w:val="0"/>
          <w:bCs w:val="0"/>
          <w:i w:val="0"/>
          <w:smallCaps w:val="0"/>
          <w:color w:val="auto"/>
        </w:rPr>
        <w:t xml:space="preserve"> means the Repatriation </w:t>
      </w:r>
      <w:r w:rsidRPr="00A41B45">
        <w:t>Pharmaceutical</w:t>
      </w:r>
      <w:r w:rsidRPr="009D3B53">
        <w:rPr>
          <w:rStyle w:val="IntenseReference"/>
          <w:b w:val="0"/>
          <w:bCs w:val="0"/>
          <w:i w:val="0"/>
          <w:smallCaps w:val="0"/>
          <w:color w:val="auto"/>
        </w:rPr>
        <w:t xml:space="preserve"> Benefits Scheme established under the</w:t>
      </w:r>
      <w:r>
        <w:rPr>
          <w:rStyle w:val="IntenseReference"/>
          <w:b w:val="0"/>
          <w:bCs w:val="0"/>
          <w:i w:val="0"/>
          <w:smallCaps w:val="0"/>
          <w:color w:val="auto"/>
        </w:rPr>
        <w:t xml:space="preserve">: </w:t>
      </w:r>
    </w:p>
    <w:p w14:paraId="27B0D273" w14:textId="77777777" w:rsidR="00A41B45" w:rsidRPr="006D11FB" w:rsidRDefault="00A41B45" w:rsidP="00777134">
      <w:pPr>
        <w:pStyle w:val="legalDefinition"/>
        <w:keepNext/>
        <w:keepLines/>
        <w:numPr>
          <w:ilvl w:val="0"/>
          <w:numId w:val="42"/>
        </w:numPr>
      </w:pPr>
      <w:r w:rsidRPr="006D11FB">
        <w:rPr>
          <w:i/>
        </w:rPr>
        <w:t xml:space="preserve">Veterans’ Entitlements Act 1986 </w:t>
      </w:r>
      <w:r>
        <w:t>(Cth)</w:t>
      </w:r>
      <w:r w:rsidRPr="006D11FB">
        <w:t xml:space="preserve">; </w:t>
      </w:r>
    </w:p>
    <w:p w14:paraId="45865FEB" w14:textId="77777777" w:rsidR="00A41B45" w:rsidRPr="006D11FB" w:rsidRDefault="00A41B45" w:rsidP="00777134">
      <w:pPr>
        <w:pStyle w:val="legalDefinition"/>
        <w:keepNext/>
        <w:keepLines/>
        <w:numPr>
          <w:ilvl w:val="0"/>
          <w:numId w:val="25"/>
        </w:numPr>
      </w:pPr>
      <w:r w:rsidRPr="006D11FB">
        <w:rPr>
          <w:i/>
        </w:rPr>
        <w:t xml:space="preserve">Military Rehabilitation and Compensation Act 2004 </w:t>
      </w:r>
      <w:r>
        <w:t>(Cth)</w:t>
      </w:r>
      <w:r w:rsidRPr="006D11FB">
        <w:t>; and</w:t>
      </w:r>
    </w:p>
    <w:p w14:paraId="4F1A818D" w14:textId="77777777" w:rsidR="00A41B45" w:rsidRPr="006D11FB" w:rsidRDefault="00A41B45" w:rsidP="006D11FB">
      <w:pPr>
        <w:pStyle w:val="legalDefinition"/>
        <w:keepNext/>
        <w:numPr>
          <w:ilvl w:val="0"/>
          <w:numId w:val="25"/>
        </w:numPr>
      </w:pPr>
      <w:r w:rsidRPr="006D11FB">
        <w:rPr>
          <w:i/>
        </w:rPr>
        <w:t xml:space="preserve">Australian Participants in British Nuclear Tests and British Commonwealth Occupation Force (Treatment) Act 2006 </w:t>
      </w:r>
      <w:r>
        <w:t>(Cth)</w:t>
      </w:r>
      <w:r w:rsidRPr="006D11FB">
        <w:t>.</w:t>
      </w:r>
    </w:p>
    <w:p w14:paraId="46E8ED7E" w14:textId="77777777" w:rsidR="00A41B45" w:rsidRPr="00D043C8" w:rsidRDefault="00A41B45" w:rsidP="00A41B45">
      <w:pPr>
        <w:pStyle w:val="BodyIndent1"/>
        <w:rPr>
          <w:rStyle w:val="IntenseReference"/>
          <w:b w:val="0"/>
          <w:bCs w:val="0"/>
          <w:i w:val="0"/>
          <w:smallCaps w:val="0"/>
          <w:color w:val="auto"/>
        </w:rPr>
      </w:pPr>
      <w:r w:rsidRPr="00D043C8">
        <w:rPr>
          <w:rStyle w:val="IntenseReference"/>
          <w:bCs w:val="0"/>
          <w:i w:val="0"/>
          <w:smallCaps w:val="0"/>
          <w:color w:val="auto"/>
        </w:rPr>
        <w:t>Safety Net</w:t>
      </w:r>
      <w:r w:rsidRPr="00D043C8">
        <w:rPr>
          <w:rStyle w:val="IntenseReference"/>
          <w:b w:val="0"/>
          <w:bCs w:val="0"/>
          <w:i w:val="0"/>
          <w:smallCaps w:val="0"/>
          <w:color w:val="auto"/>
        </w:rPr>
        <w:t xml:space="preserve"> means</w:t>
      </w:r>
      <w:r>
        <w:rPr>
          <w:rStyle w:val="IntenseReference"/>
          <w:b w:val="0"/>
          <w:bCs w:val="0"/>
          <w:i w:val="0"/>
          <w:smallCaps w:val="0"/>
          <w:color w:val="auto"/>
        </w:rPr>
        <w:t xml:space="preserve"> the following (as defined in Part VII of the Act)</w:t>
      </w:r>
      <w:r w:rsidRPr="00D043C8">
        <w:rPr>
          <w:rStyle w:val="IntenseReference"/>
          <w:b w:val="0"/>
          <w:bCs w:val="0"/>
          <w:i w:val="0"/>
          <w:smallCaps w:val="0"/>
          <w:color w:val="auto"/>
        </w:rPr>
        <w:t>, as applicable:</w:t>
      </w:r>
    </w:p>
    <w:p w14:paraId="70EBCA7F" w14:textId="77777777" w:rsidR="00A41B45" w:rsidRPr="00196173" w:rsidRDefault="00A41B45" w:rsidP="00196173">
      <w:pPr>
        <w:pStyle w:val="legalDefinition"/>
        <w:numPr>
          <w:ilvl w:val="0"/>
          <w:numId w:val="40"/>
        </w:numPr>
        <w:rPr>
          <w:rStyle w:val="IntenseReference"/>
          <w:b w:val="0"/>
          <w:bCs w:val="0"/>
          <w:i w:val="0"/>
          <w:smallCaps w:val="0"/>
          <w:color w:val="auto"/>
        </w:rPr>
      </w:pPr>
      <w:r w:rsidRPr="00196173">
        <w:rPr>
          <w:rStyle w:val="IntenseReference"/>
          <w:b w:val="0"/>
          <w:bCs w:val="0"/>
          <w:i w:val="0"/>
          <w:smallCaps w:val="0"/>
          <w:color w:val="auto"/>
        </w:rPr>
        <w:t>the concessional beneficiary safety net; or</w:t>
      </w:r>
    </w:p>
    <w:p w14:paraId="20C44E2B" w14:textId="77777777" w:rsidR="00A41B45" w:rsidRPr="00196173" w:rsidRDefault="00A41B45" w:rsidP="00196173">
      <w:pPr>
        <w:pStyle w:val="legalDefinition"/>
        <w:numPr>
          <w:ilvl w:val="0"/>
          <w:numId w:val="40"/>
        </w:numPr>
        <w:rPr>
          <w:rStyle w:val="IntenseReference"/>
          <w:b w:val="0"/>
          <w:bCs w:val="0"/>
          <w:i w:val="0"/>
          <w:smallCaps w:val="0"/>
          <w:color w:val="auto"/>
        </w:rPr>
      </w:pPr>
      <w:r w:rsidRPr="00196173">
        <w:rPr>
          <w:rStyle w:val="IntenseReference"/>
          <w:b w:val="0"/>
          <w:bCs w:val="0"/>
          <w:i w:val="0"/>
          <w:smallCaps w:val="0"/>
          <w:color w:val="auto"/>
        </w:rPr>
        <w:t>the general patient safety net,</w:t>
      </w:r>
    </w:p>
    <w:p w14:paraId="25F78DFB" w14:textId="77777777" w:rsidR="00A41B45" w:rsidRPr="009D3B53" w:rsidRDefault="00A41B45" w:rsidP="00A41B45">
      <w:pPr>
        <w:pStyle w:val="BodyIndent1"/>
        <w:rPr>
          <w:rStyle w:val="IntenseReference"/>
          <w:b w:val="0"/>
          <w:bCs w:val="0"/>
          <w:i w:val="0"/>
          <w:smallCaps w:val="0"/>
          <w:color w:val="auto"/>
        </w:rPr>
      </w:pPr>
      <w:r w:rsidRPr="00D043C8">
        <w:rPr>
          <w:rStyle w:val="IntenseReference"/>
          <w:b w:val="0"/>
          <w:bCs w:val="0"/>
          <w:i w:val="0"/>
          <w:smallCaps w:val="0"/>
          <w:color w:val="auto"/>
        </w:rPr>
        <w:t xml:space="preserve">as </w:t>
      </w:r>
      <w:r>
        <w:rPr>
          <w:rStyle w:val="IntenseReference"/>
          <w:b w:val="0"/>
          <w:bCs w:val="0"/>
          <w:i w:val="0"/>
          <w:smallCaps w:val="0"/>
          <w:color w:val="auto"/>
        </w:rPr>
        <w:t xml:space="preserve">applying from time to </w:t>
      </w:r>
      <w:r w:rsidRPr="00A41B45">
        <w:t>time</w:t>
      </w:r>
      <w:r>
        <w:rPr>
          <w:rStyle w:val="IntenseReference"/>
          <w:b w:val="0"/>
          <w:bCs w:val="0"/>
          <w:i w:val="0"/>
          <w:smallCaps w:val="0"/>
          <w:color w:val="auto"/>
        </w:rPr>
        <w:t xml:space="preserve"> under</w:t>
      </w:r>
      <w:r w:rsidRPr="00D043C8">
        <w:rPr>
          <w:rStyle w:val="IntenseReference"/>
          <w:b w:val="0"/>
          <w:bCs w:val="0"/>
          <w:i w:val="0"/>
          <w:smallCaps w:val="0"/>
          <w:color w:val="auto"/>
        </w:rPr>
        <w:t xml:space="preserve"> Part VII of the Act. </w:t>
      </w:r>
    </w:p>
    <w:p w14:paraId="250E9F2A" w14:textId="531867E9" w:rsidR="00A41B45" w:rsidRDefault="00A41B45" w:rsidP="00A41B45">
      <w:pPr>
        <w:pStyle w:val="BodyIndent1"/>
        <w:rPr>
          <w:rStyle w:val="IntenseReference"/>
          <w:bCs w:val="0"/>
          <w:i w:val="0"/>
          <w:smallCaps w:val="0"/>
          <w:color w:val="auto"/>
        </w:rPr>
      </w:pPr>
      <w:r w:rsidRPr="00F21D6D">
        <w:rPr>
          <w:b/>
        </w:rPr>
        <w:t>Safety Net Recording Fee</w:t>
      </w:r>
      <w:r w:rsidRPr="00737C05">
        <w:t xml:space="preserve"> </w:t>
      </w:r>
      <w:r>
        <w:t xml:space="preserve">means the fees specified </w:t>
      </w:r>
      <w:r w:rsidRPr="00DB13F6">
        <w:t>in clause</w:t>
      </w:r>
      <w:r>
        <w:t>s</w:t>
      </w:r>
      <w:r w:rsidRPr="00DB13F6">
        <w:t xml:space="preserve"> </w:t>
      </w:r>
      <w:r w:rsidR="00177396">
        <w:fldChar w:fldCharType="begin"/>
      </w:r>
      <w:r w:rsidR="00177396">
        <w:instrText xml:space="preserve"> REF _Ref41647147 \r \h </w:instrText>
      </w:r>
      <w:r w:rsidR="00177396">
        <w:fldChar w:fldCharType="separate"/>
      </w:r>
      <w:r w:rsidR="00982D02">
        <w:t>4.2.1(b)</w:t>
      </w:r>
      <w:r w:rsidR="00177396">
        <w:fldChar w:fldCharType="end"/>
      </w:r>
      <w:r>
        <w:t xml:space="preserve"> and</w:t>
      </w:r>
      <w:r w:rsidR="00C05AAC">
        <w:t xml:space="preserve"> </w:t>
      </w:r>
      <w:r w:rsidR="00177396">
        <w:fldChar w:fldCharType="begin"/>
      </w:r>
      <w:r w:rsidR="00177396">
        <w:instrText xml:space="preserve"> REF _Ref41647160 \r \h </w:instrText>
      </w:r>
      <w:r w:rsidR="00177396">
        <w:fldChar w:fldCharType="separate"/>
      </w:r>
      <w:r w:rsidR="00982D02">
        <w:t>4.2.2(b)</w:t>
      </w:r>
      <w:r w:rsidR="00177396">
        <w:fldChar w:fldCharType="end"/>
      </w:r>
      <w:r>
        <w:t>.</w:t>
      </w:r>
    </w:p>
    <w:p w14:paraId="3CFCE4F3" w14:textId="305D7BD9" w:rsidR="00A41B45" w:rsidRPr="006D11FB" w:rsidRDefault="009E6842" w:rsidP="00A41B45">
      <w:pPr>
        <w:pStyle w:val="BodyIndent1"/>
      </w:pPr>
      <w:r w:rsidRPr="006D11FB">
        <w:rPr>
          <w:b/>
        </w:rPr>
        <w:t xml:space="preserve">Signatory </w:t>
      </w:r>
      <w:r w:rsidR="00A41B45" w:rsidRPr="006D11FB">
        <w:t xml:space="preserve">means, as the context </w:t>
      </w:r>
      <w:r w:rsidR="00A41B45" w:rsidRPr="00A41B45">
        <w:t>requires</w:t>
      </w:r>
      <w:r w:rsidR="00A41B45" w:rsidRPr="006D11FB">
        <w:t xml:space="preserve"> in respect of a relevant Part or Appendix, one of the Commonwealth, the Guild and the PSA</w:t>
      </w:r>
      <w:r w:rsidRPr="006D11FB">
        <w:t xml:space="preserve"> and </w:t>
      </w:r>
      <w:r w:rsidRPr="006D11FB">
        <w:rPr>
          <w:b/>
        </w:rPr>
        <w:t>Signatories</w:t>
      </w:r>
      <w:r w:rsidRPr="006D11FB">
        <w:t xml:space="preserve"> means </w:t>
      </w:r>
      <w:r w:rsidR="00C801D9" w:rsidRPr="006D11FB">
        <w:t>the Signatories to a Part or Appendix</w:t>
      </w:r>
      <w:r w:rsidR="00AB1B22" w:rsidRPr="006D11FB">
        <w:t xml:space="preserve"> as set out in clause </w:t>
      </w:r>
      <w:r w:rsidR="00AB1B22" w:rsidRPr="006D11FB">
        <w:fldChar w:fldCharType="begin"/>
      </w:r>
      <w:r w:rsidR="00AB1B22" w:rsidRPr="006D11FB">
        <w:instrText xml:space="preserve"> REF _Ref41640146 \r \h </w:instrText>
      </w:r>
      <w:r w:rsidR="006D11FB">
        <w:instrText xml:space="preserve"> \* MERGEFORMAT </w:instrText>
      </w:r>
      <w:r w:rsidR="00AB1B22" w:rsidRPr="006D11FB">
        <w:fldChar w:fldCharType="separate"/>
      </w:r>
      <w:r w:rsidR="00982D02">
        <w:t>21.1.1</w:t>
      </w:r>
      <w:r w:rsidR="00AB1B22" w:rsidRPr="006D11FB">
        <w:fldChar w:fldCharType="end"/>
      </w:r>
      <w:r w:rsidR="00A41B45" w:rsidRPr="006D11FB">
        <w:t>.</w:t>
      </w:r>
    </w:p>
    <w:p w14:paraId="4CE81E2F" w14:textId="3EC875D2" w:rsidR="00A41B45" w:rsidRPr="006D11FB" w:rsidRDefault="00A41B45" w:rsidP="00A41B45">
      <w:pPr>
        <w:pStyle w:val="BodyIndent1"/>
      </w:pPr>
      <w:r w:rsidRPr="006D11FB">
        <w:rPr>
          <w:b/>
        </w:rPr>
        <w:t>Sixth Community Pharmacy Agreement</w:t>
      </w:r>
      <w:r w:rsidRPr="006D11FB">
        <w:t xml:space="preserve"> means the Sixth Community Pharmacy Agreement between the Commonwealth and the Guild for the purposes of section 98BAA</w:t>
      </w:r>
      <w:r w:rsidR="00305D38">
        <w:t>(1)</w:t>
      </w:r>
      <w:r w:rsidRPr="006D11FB">
        <w:t xml:space="preserve"> of the Act and for related purposes.  </w:t>
      </w:r>
    </w:p>
    <w:p w14:paraId="0A872393" w14:textId="740A67DC" w:rsidR="00A41B45" w:rsidRPr="009D3B53" w:rsidRDefault="00A41B45" w:rsidP="00A41B45">
      <w:pPr>
        <w:pStyle w:val="BodyIndent1"/>
        <w:rPr>
          <w:rStyle w:val="IntenseReference"/>
          <w:b w:val="0"/>
          <w:bCs w:val="0"/>
          <w:i w:val="0"/>
          <w:smallCaps w:val="0"/>
          <w:color w:val="auto"/>
        </w:rPr>
      </w:pPr>
      <w:r w:rsidRPr="006D11FB">
        <w:rPr>
          <w:b/>
        </w:rPr>
        <w:t>Term</w:t>
      </w:r>
      <w:r w:rsidRPr="006D11FB">
        <w:t xml:space="preserve"> means the term of this Agreement</w:t>
      </w:r>
      <w:r w:rsidR="00661BF2" w:rsidRPr="006D11FB">
        <w:t xml:space="preserve"> as set out in clause </w:t>
      </w:r>
      <w:r w:rsidR="00661BF2">
        <w:rPr>
          <w:rStyle w:val="IntenseReference"/>
          <w:b w:val="0"/>
          <w:bCs w:val="0"/>
          <w:i w:val="0"/>
          <w:smallCaps w:val="0"/>
          <w:color w:val="auto"/>
        </w:rPr>
        <w:fldChar w:fldCharType="begin"/>
      </w:r>
      <w:r w:rsidR="00661BF2">
        <w:rPr>
          <w:rStyle w:val="IntenseReference"/>
          <w:b w:val="0"/>
          <w:bCs w:val="0"/>
          <w:i w:val="0"/>
          <w:smallCaps w:val="0"/>
          <w:color w:val="auto"/>
        </w:rPr>
        <w:instrText xml:space="preserve"> REF _Ref41332467 \w \h </w:instrText>
      </w:r>
      <w:r w:rsidR="00196173">
        <w:rPr>
          <w:rStyle w:val="IntenseReference"/>
          <w:b w:val="0"/>
          <w:bCs w:val="0"/>
          <w:i w:val="0"/>
          <w:smallCaps w:val="0"/>
          <w:color w:val="auto"/>
        </w:rPr>
        <w:instrText xml:space="preserve"> \* MERGEFORMAT </w:instrText>
      </w:r>
      <w:r w:rsidR="00661BF2">
        <w:rPr>
          <w:rStyle w:val="IntenseReference"/>
          <w:b w:val="0"/>
          <w:bCs w:val="0"/>
          <w:i w:val="0"/>
          <w:smallCaps w:val="0"/>
          <w:color w:val="auto"/>
        </w:rPr>
      </w:r>
      <w:r w:rsidR="00661BF2">
        <w:rPr>
          <w:rStyle w:val="IntenseReference"/>
          <w:b w:val="0"/>
          <w:bCs w:val="0"/>
          <w:i w:val="0"/>
          <w:smallCaps w:val="0"/>
          <w:color w:val="auto"/>
        </w:rPr>
        <w:fldChar w:fldCharType="separate"/>
      </w:r>
      <w:r w:rsidR="00982D02">
        <w:rPr>
          <w:rStyle w:val="IntenseReference"/>
          <w:b w:val="0"/>
          <w:bCs w:val="0"/>
          <w:i w:val="0"/>
          <w:smallCaps w:val="0"/>
          <w:color w:val="auto"/>
        </w:rPr>
        <w:t>19.1</w:t>
      </w:r>
      <w:r w:rsidR="00661BF2">
        <w:rPr>
          <w:rStyle w:val="IntenseReference"/>
          <w:b w:val="0"/>
          <w:bCs w:val="0"/>
          <w:i w:val="0"/>
          <w:smallCaps w:val="0"/>
          <w:color w:val="auto"/>
        </w:rPr>
        <w:fldChar w:fldCharType="end"/>
      </w:r>
      <w:r>
        <w:rPr>
          <w:rStyle w:val="IntenseReference"/>
          <w:b w:val="0"/>
          <w:bCs w:val="0"/>
          <w:i w:val="0"/>
          <w:smallCaps w:val="0"/>
          <w:color w:val="auto"/>
        </w:rPr>
        <w:t>.</w:t>
      </w:r>
    </w:p>
    <w:p w14:paraId="2FB6735F" w14:textId="77777777" w:rsidR="00524D87" w:rsidRPr="006D11FB" w:rsidRDefault="00524D87" w:rsidP="00524D87">
      <w:pPr>
        <w:pStyle w:val="BodyIndent1"/>
      </w:pPr>
      <w:r w:rsidRPr="006D11FB">
        <w:rPr>
          <w:b/>
        </w:rPr>
        <w:t>Tier One AHI Fee</w:t>
      </w:r>
      <w:r w:rsidRPr="006D11FB">
        <w:t xml:space="preserve"> means the tier of the Administration, Handling and Infrastructure Fee described as such in Table 2.</w:t>
      </w:r>
    </w:p>
    <w:p w14:paraId="0574C42E" w14:textId="77777777" w:rsidR="00524D87" w:rsidRPr="006D11FB" w:rsidRDefault="00524D87" w:rsidP="00524D87">
      <w:pPr>
        <w:pStyle w:val="BodyIndent1"/>
      </w:pPr>
      <w:r w:rsidRPr="006D11FB">
        <w:rPr>
          <w:b/>
        </w:rPr>
        <w:t>Tier Three AHI Fee</w:t>
      </w:r>
      <w:r w:rsidRPr="006D11FB">
        <w:t xml:space="preserve"> means the tier of the Administration, Handling and Infrastructure Fee described as such in Table 2.</w:t>
      </w:r>
    </w:p>
    <w:p w14:paraId="6B96C2D1" w14:textId="77777777" w:rsidR="00524D87" w:rsidRPr="006D11FB" w:rsidRDefault="00524D87" w:rsidP="00524D87">
      <w:pPr>
        <w:pStyle w:val="BodyIndent1"/>
      </w:pPr>
      <w:r w:rsidRPr="006D11FB">
        <w:rPr>
          <w:b/>
        </w:rPr>
        <w:t>Tier Two AHI Fee</w:t>
      </w:r>
      <w:r w:rsidRPr="006D11FB">
        <w:t xml:space="preserve"> means the tier of the Administration, Handling and Infrastructure Fee described as such in Table 2.</w:t>
      </w:r>
    </w:p>
    <w:p w14:paraId="472DF5D2" w14:textId="77777777" w:rsidR="00A41B45" w:rsidRPr="006D11FB" w:rsidRDefault="00A41B45" w:rsidP="00A41B45">
      <w:pPr>
        <w:pStyle w:val="BodyIndent1"/>
      </w:pPr>
      <w:r w:rsidRPr="006D11FB">
        <w:rPr>
          <w:b/>
        </w:rPr>
        <w:t>Tribunal</w:t>
      </w:r>
      <w:r w:rsidRPr="006D11FB">
        <w:t xml:space="preserve"> means the Pharmaceutical Benefits Remuneration Tribunal established under section 98A of the Act.</w:t>
      </w:r>
    </w:p>
    <w:p w14:paraId="493C5021" w14:textId="77777777" w:rsidR="00A41B45" w:rsidRPr="00BF6D50" w:rsidRDefault="00A41B45" w:rsidP="00BF6D50">
      <w:pPr>
        <w:pStyle w:val="Headingpara2"/>
        <w:keepNext/>
      </w:pPr>
      <w:r w:rsidRPr="00BF6D50">
        <w:t xml:space="preserve">Unless otherwise defined in this Agreement, a term (including a term that is not capitalised) that is given a particular meaning in Part VII of the Act has the same meaning in </w:t>
      </w:r>
      <w:r w:rsidRPr="009D3B53">
        <w:t>this</w:t>
      </w:r>
      <w:r w:rsidRPr="00BF6D50">
        <w:rPr>
          <w:b/>
        </w:rPr>
        <w:t xml:space="preserve"> </w:t>
      </w:r>
      <w:r w:rsidRPr="00BF6D50">
        <w:t>Agreement as it has in Part VII of the Act.</w:t>
      </w:r>
    </w:p>
    <w:p w14:paraId="29DAEFD6" w14:textId="77777777" w:rsidR="00A41B45" w:rsidRPr="005A5FD0" w:rsidRDefault="00A41B45" w:rsidP="005A5FD0">
      <w:pPr>
        <w:pStyle w:val="legalPart"/>
        <w:rPr>
          <w:rStyle w:val="IntenseReference"/>
          <w:b/>
          <w:bCs w:val="0"/>
          <w:i w:val="0"/>
          <w:smallCaps w:val="0"/>
          <w:color w:val="82002A"/>
          <w:spacing w:val="0"/>
        </w:rPr>
        <w:sectPr w:rsidR="00A41B45" w:rsidRPr="005A5FD0" w:rsidSect="00F42B88">
          <w:pgSz w:w="11906" w:h="16838" w:code="9"/>
          <w:pgMar w:top="1276" w:right="1418" w:bottom="1134" w:left="1418" w:header="567" w:footer="659" w:gutter="0"/>
          <w:cols w:space="708"/>
          <w:docGrid w:linePitch="360"/>
        </w:sectPr>
      </w:pPr>
    </w:p>
    <w:p w14:paraId="71437BB9" w14:textId="07BFDB1B" w:rsidR="00B35BBA" w:rsidRDefault="00B35BBA" w:rsidP="00B35BBA">
      <w:pPr>
        <w:pStyle w:val="mainTitle"/>
      </w:pPr>
      <w:bookmarkStart w:id="705" w:name="_Toc42783662"/>
      <w:r>
        <w:t>Appendix A – Signatories</w:t>
      </w:r>
      <w:bookmarkEnd w:id="705"/>
    </w:p>
    <w:p w14:paraId="6C0BF58A" w14:textId="5F0A86A1" w:rsidR="00B35BBA" w:rsidRDefault="00B35BBA" w:rsidP="00B35BBA">
      <w:pPr>
        <w:pStyle w:val="mainTitle"/>
      </w:pPr>
    </w:p>
    <w:p w14:paraId="31DBA69B" w14:textId="77777777" w:rsidR="00F744CC" w:rsidRPr="00F744CC" w:rsidRDefault="00F744CC" w:rsidP="00F744CC"/>
    <w:tbl>
      <w:tblPr>
        <w:tblW w:w="0" w:type="auto"/>
        <w:tblInd w:w="-851" w:type="dxa"/>
        <w:tblLook w:val="01E0" w:firstRow="1" w:lastRow="1" w:firstColumn="1" w:lastColumn="1" w:noHBand="0" w:noVBand="0"/>
      </w:tblPr>
      <w:tblGrid>
        <w:gridCol w:w="2088"/>
        <w:gridCol w:w="7198"/>
      </w:tblGrid>
      <w:tr w:rsidR="00B35BBA" w:rsidRPr="009D3B53" w14:paraId="2C3F1167" w14:textId="77777777" w:rsidTr="00072C9B">
        <w:tc>
          <w:tcPr>
            <w:tcW w:w="2088" w:type="dxa"/>
            <w:tcBorders>
              <w:top w:val="nil"/>
              <w:left w:val="nil"/>
              <w:bottom w:val="nil"/>
              <w:right w:val="single" w:sz="4" w:space="0" w:color="auto"/>
            </w:tcBorders>
            <w:shd w:val="clear" w:color="auto" w:fill="auto"/>
          </w:tcPr>
          <w:p w14:paraId="21D79809" w14:textId="77777777" w:rsidR="00B35BBA" w:rsidRPr="009D3B53" w:rsidRDefault="00B35BBA" w:rsidP="00B35BBA">
            <w:pPr>
              <w:spacing w:after="120"/>
              <w:ind w:left="851"/>
              <w:jc w:val="both"/>
              <w:rPr>
                <w:b/>
                <w:sz w:val="18"/>
                <w:szCs w:val="18"/>
              </w:rPr>
            </w:pPr>
            <w:r w:rsidRPr="009D3B53">
              <w:rPr>
                <w:sz w:val="18"/>
                <w:szCs w:val="18"/>
              </w:rPr>
              <w:t>Name</w:t>
            </w:r>
          </w:p>
        </w:tc>
        <w:tc>
          <w:tcPr>
            <w:tcW w:w="7198" w:type="dxa"/>
            <w:tcBorders>
              <w:top w:val="nil"/>
              <w:left w:val="single" w:sz="4" w:space="0" w:color="auto"/>
              <w:bottom w:val="nil"/>
              <w:right w:val="nil"/>
            </w:tcBorders>
            <w:shd w:val="clear" w:color="auto" w:fill="auto"/>
          </w:tcPr>
          <w:p w14:paraId="5579F2D7" w14:textId="7EDF9C41" w:rsidR="00B35BBA" w:rsidRDefault="00B35BBA" w:rsidP="00B35BBA">
            <w:pPr>
              <w:ind w:left="210"/>
              <w:rPr>
                <w:b/>
                <w:spacing w:val="-3"/>
              </w:rPr>
            </w:pPr>
            <w:r w:rsidRPr="009D3B53">
              <w:rPr>
                <w:b/>
                <w:spacing w:val="-3"/>
              </w:rPr>
              <w:t xml:space="preserve">The Honourable </w:t>
            </w:r>
            <w:r>
              <w:rPr>
                <w:b/>
                <w:spacing w:val="-3"/>
              </w:rPr>
              <w:t>Greg Hunt</w:t>
            </w:r>
            <w:r w:rsidRPr="009D3B53">
              <w:rPr>
                <w:b/>
                <w:spacing w:val="-3"/>
              </w:rPr>
              <w:t xml:space="preserve"> MP</w:t>
            </w:r>
            <w:r w:rsidR="00212C19">
              <w:rPr>
                <w:b/>
                <w:spacing w:val="-3"/>
              </w:rPr>
              <w:t>,</w:t>
            </w:r>
            <w:r w:rsidRPr="009D3B53">
              <w:rPr>
                <w:b/>
                <w:spacing w:val="-3"/>
              </w:rPr>
              <w:t xml:space="preserve"> Minister </w:t>
            </w:r>
            <w:r>
              <w:rPr>
                <w:b/>
                <w:spacing w:val="-3"/>
              </w:rPr>
              <w:t>f</w:t>
            </w:r>
            <w:r w:rsidRPr="009D3B53">
              <w:rPr>
                <w:b/>
                <w:spacing w:val="-3"/>
              </w:rPr>
              <w:t>or Health</w:t>
            </w:r>
            <w:r w:rsidRPr="009D3B53">
              <w:rPr>
                <w:spacing w:val="-3"/>
              </w:rPr>
              <w:t xml:space="preserve"> </w:t>
            </w:r>
            <w:r w:rsidRPr="00A405F7">
              <w:rPr>
                <w:spacing w:val="-3"/>
              </w:rPr>
              <w:t>on</w:t>
            </w:r>
            <w:r>
              <w:rPr>
                <w:spacing w:val="-3"/>
              </w:rPr>
              <w:t> </w:t>
            </w:r>
            <w:r w:rsidRPr="009D3B53">
              <w:rPr>
                <w:spacing w:val="-3"/>
              </w:rPr>
              <w:t xml:space="preserve">behalf of the </w:t>
            </w:r>
            <w:r w:rsidRPr="009D3B53">
              <w:rPr>
                <w:b/>
                <w:spacing w:val="-3"/>
              </w:rPr>
              <w:t>Commonwealth of Australia</w:t>
            </w:r>
          </w:p>
          <w:p w14:paraId="66F05022" w14:textId="027173F3" w:rsidR="008662DD" w:rsidRPr="009D3B53" w:rsidRDefault="008662DD" w:rsidP="00B35BBA">
            <w:pPr>
              <w:ind w:left="210"/>
              <w:rPr>
                <w:b/>
                <w:spacing w:val="-3"/>
              </w:rPr>
            </w:pPr>
          </w:p>
        </w:tc>
      </w:tr>
      <w:tr w:rsidR="008662DD" w:rsidRPr="009D3B53" w14:paraId="44AB9194" w14:textId="77777777" w:rsidTr="00072C9B">
        <w:tc>
          <w:tcPr>
            <w:tcW w:w="2088" w:type="dxa"/>
            <w:tcBorders>
              <w:top w:val="nil"/>
              <w:left w:val="nil"/>
              <w:bottom w:val="nil"/>
              <w:right w:val="single" w:sz="4" w:space="0" w:color="auto"/>
            </w:tcBorders>
            <w:shd w:val="clear" w:color="auto" w:fill="auto"/>
          </w:tcPr>
          <w:p w14:paraId="1DA19720" w14:textId="3BE4B67D" w:rsidR="008662DD" w:rsidRPr="009D3B53" w:rsidRDefault="008662DD" w:rsidP="008662DD">
            <w:pPr>
              <w:spacing w:before="120" w:after="120"/>
              <w:ind w:left="851"/>
              <w:rPr>
                <w:sz w:val="18"/>
                <w:szCs w:val="18"/>
              </w:rPr>
            </w:pPr>
            <w:r>
              <w:rPr>
                <w:sz w:val="18"/>
                <w:szCs w:val="18"/>
              </w:rPr>
              <w:t>Address for notices</w:t>
            </w:r>
          </w:p>
        </w:tc>
        <w:tc>
          <w:tcPr>
            <w:tcW w:w="7198" w:type="dxa"/>
            <w:tcBorders>
              <w:top w:val="nil"/>
              <w:left w:val="single" w:sz="4" w:space="0" w:color="auto"/>
              <w:bottom w:val="nil"/>
              <w:right w:val="nil"/>
            </w:tcBorders>
            <w:shd w:val="clear" w:color="auto" w:fill="auto"/>
          </w:tcPr>
          <w:p w14:paraId="1B849E19" w14:textId="55E96BBD" w:rsidR="008662DD" w:rsidRDefault="008662DD" w:rsidP="008662DD">
            <w:pPr>
              <w:pStyle w:val="BodyIndent2"/>
              <w:keepNext/>
              <w:keepLines/>
              <w:spacing w:before="120"/>
              <w:ind w:left="209"/>
            </w:pPr>
            <w:r w:rsidRPr="009D3B53">
              <w:t>First Assistant Secretary</w:t>
            </w:r>
            <w:r>
              <w:br/>
              <w:t>Technology Assessment and Access</w:t>
            </w:r>
            <w:r w:rsidRPr="009D3B53">
              <w:t xml:space="preserve"> Division</w:t>
            </w:r>
            <w:r>
              <w:br/>
              <w:t>Department of Health</w:t>
            </w:r>
            <w:r w:rsidRPr="009D3B53">
              <w:t xml:space="preserve"> </w:t>
            </w:r>
            <w:r>
              <w:br/>
              <w:t xml:space="preserve">Email: </w:t>
            </w:r>
            <w:r w:rsidR="00A955D5" w:rsidRPr="00A955D5">
              <w:rPr>
                <w:rStyle w:val="Hyperlink"/>
                <w:color w:val="auto"/>
                <w:u w:val="none"/>
              </w:rPr>
              <w:t>adriana.platona@health.gov.au</w:t>
            </w:r>
          </w:p>
          <w:p w14:paraId="38F6B414" w14:textId="77777777" w:rsidR="008662DD" w:rsidRDefault="008662DD" w:rsidP="008662DD">
            <w:pPr>
              <w:pStyle w:val="BodyIndent2"/>
              <w:keepNext/>
              <w:ind w:left="209"/>
            </w:pPr>
            <w:r w:rsidRPr="009D3B53">
              <w:t xml:space="preserve">MDP </w:t>
            </w:r>
            <w:r>
              <w:t>900</w:t>
            </w:r>
            <w:r w:rsidRPr="009D3B53">
              <w:br/>
              <w:t>GPO Box 9848</w:t>
            </w:r>
            <w:r w:rsidRPr="009D3B53">
              <w:br/>
              <w:t>CANBERRA</w:t>
            </w:r>
            <w:r>
              <w:t xml:space="preserve"> </w:t>
            </w:r>
            <w:r w:rsidRPr="009D3B53">
              <w:t xml:space="preserve"> ACT </w:t>
            </w:r>
            <w:r>
              <w:t xml:space="preserve"> </w:t>
            </w:r>
            <w:r w:rsidRPr="009D3B53">
              <w:t>2601</w:t>
            </w:r>
            <w:r>
              <w:br/>
            </w:r>
          </w:p>
          <w:p w14:paraId="5B2F67BD" w14:textId="26A5929F" w:rsidR="00072C9B" w:rsidRPr="008662DD" w:rsidRDefault="00072C9B" w:rsidP="008662DD">
            <w:pPr>
              <w:pStyle w:val="BodyIndent2"/>
              <w:keepNext/>
              <w:ind w:left="209"/>
            </w:pPr>
          </w:p>
        </w:tc>
      </w:tr>
    </w:tbl>
    <w:p w14:paraId="51D1979B" w14:textId="168DE6A4" w:rsidR="00B35BBA" w:rsidRDefault="00B35BBA" w:rsidP="00B35BBA"/>
    <w:p w14:paraId="5CD5D61A" w14:textId="77777777" w:rsidR="00072C9B" w:rsidRPr="009D3B53" w:rsidRDefault="00072C9B" w:rsidP="00B35BBA"/>
    <w:p w14:paraId="70B2065F" w14:textId="77777777" w:rsidR="00B35BBA" w:rsidRPr="009D3B53" w:rsidRDefault="00B35BBA" w:rsidP="00B35BBA"/>
    <w:tbl>
      <w:tblPr>
        <w:tblW w:w="0" w:type="auto"/>
        <w:tblInd w:w="-851" w:type="dxa"/>
        <w:tblLook w:val="01E0" w:firstRow="1" w:lastRow="1" w:firstColumn="1" w:lastColumn="1" w:noHBand="0" w:noVBand="0"/>
      </w:tblPr>
      <w:tblGrid>
        <w:gridCol w:w="2075"/>
        <w:gridCol w:w="6995"/>
      </w:tblGrid>
      <w:tr w:rsidR="00B35BBA" w:rsidRPr="009D3B53" w14:paraId="6F37B646" w14:textId="77777777" w:rsidTr="00072C9B">
        <w:tc>
          <w:tcPr>
            <w:tcW w:w="2075" w:type="dxa"/>
            <w:tcBorders>
              <w:top w:val="nil"/>
              <w:left w:val="nil"/>
              <w:bottom w:val="nil"/>
              <w:right w:val="single" w:sz="4" w:space="0" w:color="auto"/>
            </w:tcBorders>
            <w:shd w:val="clear" w:color="auto" w:fill="auto"/>
          </w:tcPr>
          <w:p w14:paraId="78AB6E62" w14:textId="77777777" w:rsidR="00B35BBA" w:rsidRPr="009D3B53" w:rsidRDefault="00B35BBA" w:rsidP="00B35BBA">
            <w:pPr>
              <w:spacing w:after="120"/>
              <w:ind w:left="851"/>
              <w:jc w:val="both"/>
              <w:rPr>
                <w:b/>
                <w:sz w:val="18"/>
                <w:szCs w:val="18"/>
              </w:rPr>
            </w:pPr>
            <w:r w:rsidRPr="009D3B53">
              <w:rPr>
                <w:sz w:val="18"/>
                <w:szCs w:val="18"/>
              </w:rPr>
              <w:t>Name</w:t>
            </w:r>
          </w:p>
        </w:tc>
        <w:tc>
          <w:tcPr>
            <w:tcW w:w="6995" w:type="dxa"/>
            <w:tcBorders>
              <w:top w:val="nil"/>
              <w:left w:val="single" w:sz="4" w:space="0" w:color="auto"/>
              <w:bottom w:val="nil"/>
              <w:right w:val="nil"/>
            </w:tcBorders>
            <w:shd w:val="clear" w:color="auto" w:fill="auto"/>
          </w:tcPr>
          <w:p w14:paraId="4AB45018" w14:textId="77777777" w:rsidR="00B35BBA" w:rsidRDefault="00B35BBA" w:rsidP="00B35BBA">
            <w:pPr>
              <w:ind w:left="210"/>
              <w:rPr>
                <w:b/>
                <w:spacing w:val="-3"/>
              </w:rPr>
            </w:pPr>
            <w:bookmarkStart w:id="706" w:name="_Hlk39924838"/>
            <w:r w:rsidRPr="009D3B53">
              <w:rPr>
                <w:b/>
                <w:spacing w:val="-3"/>
              </w:rPr>
              <w:t>The Pharmacy Guild of Australia</w:t>
            </w:r>
            <w:bookmarkEnd w:id="706"/>
          </w:p>
          <w:p w14:paraId="63B699D0" w14:textId="5E6458EC" w:rsidR="008662DD" w:rsidRPr="009D3B53" w:rsidRDefault="008662DD" w:rsidP="00B35BBA">
            <w:pPr>
              <w:ind w:left="210"/>
              <w:rPr>
                <w:b/>
                <w:spacing w:val="-3"/>
              </w:rPr>
            </w:pPr>
          </w:p>
        </w:tc>
      </w:tr>
      <w:tr w:rsidR="008662DD" w:rsidRPr="009D3B53" w14:paraId="14ED70C5" w14:textId="77777777" w:rsidTr="00072C9B">
        <w:tc>
          <w:tcPr>
            <w:tcW w:w="2075" w:type="dxa"/>
            <w:tcBorders>
              <w:top w:val="nil"/>
              <w:left w:val="nil"/>
              <w:bottom w:val="nil"/>
              <w:right w:val="single" w:sz="4" w:space="0" w:color="auto"/>
            </w:tcBorders>
            <w:shd w:val="clear" w:color="auto" w:fill="auto"/>
          </w:tcPr>
          <w:p w14:paraId="15D67116" w14:textId="5132FD7C" w:rsidR="008662DD" w:rsidRPr="009D3B53" w:rsidRDefault="008662DD" w:rsidP="008662DD">
            <w:pPr>
              <w:spacing w:after="120"/>
              <w:ind w:left="851"/>
              <w:rPr>
                <w:sz w:val="18"/>
                <w:szCs w:val="18"/>
              </w:rPr>
            </w:pPr>
            <w:r>
              <w:rPr>
                <w:sz w:val="18"/>
                <w:szCs w:val="18"/>
              </w:rPr>
              <w:t>Address for notices</w:t>
            </w:r>
          </w:p>
        </w:tc>
        <w:tc>
          <w:tcPr>
            <w:tcW w:w="6995" w:type="dxa"/>
            <w:tcBorders>
              <w:top w:val="nil"/>
              <w:left w:val="single" w:sz="4" w:space="0" w:color="auto"/>
              <w:bottom w:val="nil"/>
              <w:right w:val="nil"/>
            </w:tcBorders>
            <w:shd w:val="clear" w:color="auto" w:fill="auto"/>
          </w:tcPr>
          <w:p w14:paraId="295DC421" w14:textId="76D71370" w:rsidR="00072C9B" w:rsidRDefault="008662DD" w:rsidP="008662DD">
            <w:pPr>
              <w:pStyle w:val="BodyIndent2"/>
              <w:keepNext/>
              <w:keepLines/>
              <w:spacing w:before="0"/>
              <w:ind w:left="232"/>
            </w:pPr>
            <w:r w:rsidRPr="009D3B53">
              <w:t xml:space="preserve">Executive </w:t>
            </w:r>
            <w:r>
              <w:t>Director</w:t>
            </w:r>
            <w:r w:rsidRPr="009D3B53">
              <w:br/>
              <w:t>The Pharmacy Guild of Australia</w:t>
            </w:r>
            <w:r w:rsidRPr="000B2540">
              <w:t xml:space="preserve"> </w:t>
            </w:r>
            <w:r>
              <w:br/>
              <w:t xml:space="preserve">Email: </w:t>
            </w:r>
            <w:r w:rsidR="00A955D5" w:rsidRPr="00A955D5">
              <w:rPr>
                <w:rStyle w:val="Hyperlink"/>
                <w:color w:val="auto"/>
                <w:u w:val="none"/>
              </w:rPr>
              <w:t>suzanne.greenwood@guild.org.au</w:t>
            </w:r>
          </w:p>
          <w:p w14:paraId="653AFF71" w14:textId="6C34439A" w:rsidR="008662DD" w:rsidRDefault="008662DD" w:rsidP="008662DD">
            <w:pPr>
              <w:pStyle w:val="BodyIndent2"/>
              <w:keepNext/>
              <w:keepLines/>
              <w:spacing w:before="0"/>
              <w:ind w:left="232"/>
            </w:pPr>
            <w:r>
              <w:br/>
              <w:t>Level 2, 15 National Circuit</w:t>
            </w:r>
            <w:r>
              <w:br/>
              <w:t>BARTON  ACT  2600</w:t>
            </w:r>
          </w:p>
          <w:p w14:paraId="2829D953" w14:textId="359F4929" w:rsidR="008662DD" w:rsidRDefault="008260C5" w:rsidP="008662DD">
            <w:pPr>
              <w:pStyle w:val="BodyIndent2"/>
              <w:ind w:left="232"/>
              <w:rPr>
                <w:b/>
              </w:rPr>
            </w:pPr>
            <w:r w:rsidRPr="00F655E0">
              <w:t>PO Box 310</w:t>
            </w:r>
            <w:r w:rsidR="008662DD" w:rsidRPr="009D3B53">
              <w:br/>
            </w:r>
            <w:r w:rsidRPr="00F655E0">
              <w:t>FYSHWICK</w:t>
            </w:r>
            <w:r w:rsidR="008662DD" w:rsidRPr="009D3B53">
              <w:t xml:space="preserve"> </w:t>
            </w:r>
            <w:r w:rsidR="008662DD">
              <w:t xml:space="preserve"> </w:t>
            </w:r>
            <w:r w:rsidR="008662DD" w:rsidRPr="009D3B53">
              <w:t xml:space="preserve">ACT </w:t>
            </w:r>
            <w:r w:rsidR="008662DD">
              <w:t xml:space="preserve"> </w:t>
            </w:r>
            <w:r w:rsidRPr="00F655E0">
              <w:t>2609</w:t>
            </w:r>
            <w:r w:rsidR="008662DD">
              <w:br/>
            </w:r>
          </w:p>
          <w:p w14:paraId="5EBD081F" w14:textId="3F0E71A0" w:rsidR="00072C9B" w:rsidRPr="009D3B53" w:rsidRDefault="00072C9B" w:rsidP="008662DD">
            <w:pPr>
              <w:pStyle w:val="BodyIndent2"/>
              <w:ind w:left="232"/>
              <w:rPr>
                <w:b/>
              </w:rPr>
            </w:pPr>
          </w:p>
        </w:tc>
      </w:tr>
    </w:tbl>
    <w:p w14:paraId="727E96D5" w14:textId="77777777" w:rsidR="00B35BBA" w:rsidRPr="009D3B53" w:rsidRDefault="00B35BBA" w:rsidP="00B35BBA"/>
    <w:p w14:paraId="7D6D63F5" w14:textId="71E1C0A9" w:rsidR="00B35BBA" w:rsidRDefault="00B35BBA" w:rsidP="00B35BBA"/>
    <w:p w14:paraId="7CA91731" w14:textId="77777777" w:rsidR="00072C9B" w:rsidRDefault="00072C9B" w:rsidP="00B35BBA"/>
    <w:tbl>
      <w:tblPr>
        <w:tblW w:w="0" w:type="auto"/>
        <w:tblInd w:w="-851" w:type="dxa"/>
        <w:shd w:val="clear" w:color="auto" w:fill="BFBFBF" w:themeFill="background1" w:themeFillShade="BF"/>
        <w:tblLook w:val="01E0" w:firstRow="1" w:lastRow="1" w:firstColumn="1" w:lastColumn="1" w:noHBand="0" w:noVBand="0"/>
      </w:tblPr>
      <w:tblGrid>
        <w:gridCol w:w="2079"/>
        <w:gridCol w:w="6996"/>
      </w:tblGrid>
      <w:tr w:rsidR="00B35BBA" w:rsidRPr="009D3B53" w14:paraId="4E43142C" w14:textId="77777777" w:rsidTr="00072C9B">
        <w:tc>
          <w:tcPr>
            <w:tcW w:w="2079" w:type="dxa"/>
            <w:tcBorders>
              <w:top w:val="nil"/>
              <w:left w:val="nil"/>
              <w:bottom w:val="nil"/>
              <w:right w:val="single" w:sz="4" w:space="0" w:color="auto"/>
            </w:tcBorders>
            <w:shd w:val="clear" w:color="auto" w:fill="auto"/>
          </w:tcPr>
          <w:p w14:paraId="68A0B47F" w14:textId="77777777" w:rsidR="00B35BBA" w:rsidRPr="009D3B53" w:rsidRDefault="00B35BBA" w:rsidP="00B35BBA">
            <w:pPr>
              <w:spacing w:after="120"/>
              <w:ind w:left="851"/>
              <w:jc w:val="both"/>
              <w:rPr>
                <w:b/>
                <w:sz w:val="18"/>
                <w:szCs w:val="18"/>
              </w:rPr>
            </w:pPr>
            <w:r w:rsidRPr="009D3B53">
              <w:rPr>
                <w:sz w:val="18"/>
                <w:szCs w:val="18"/>
              </w:rPr>
              <w:t>Name</w:t>
            </w:r>
          </w:p>
        </w:tc>
        <w:tc>
          <w:tcPr>
            <w:tcW w:w="6996" w:type="dxa"/>
            <w:tcBorders>
              <w:top w:val="nil"/>
              <w:left w:val="single" w:sz="4" w:space="0" w:color="auto"/>
              <w:bottom w:val="nil"/>
              <w:right w:val="nil"/>
            </w:tcBorders>
            <w:shd w:val="clear" w:color="auto" w:fill="auto"/>
          </w:tcPr>
          <w:p w14:paraId="5565A17C" w14:textId="77777777" w:rsidR="00B35BBA" w:rsidRDefault="00B35BBA" w:rsidP="00B35BBA">
            <w:pPr>
              <w:ind w:left="210"/>
              <w:rPr>
                <w:spacing w:val="-3"/>
              </w:rPr>
            </w:pPr>
            <w:bookmarkStart w:id="707" w:name="_Hlk39924912"/>
            <w:r w:rsidRPr="009D3B53">
              <w:rPr>
                <w:b/>
                <w:spacing w:val="-3"/>
              </w:rPr>
              <w:t>Pharmac</w:t>
            </w:r>
            <w:r>
              <w:rPr>
                <w:b/>
                <w:spacing w:val="-3"/>
              </w:rPr>
              <w:t>eutical</w:t>
            </w:r>
            <w:r w:rsidRPr="009D3B53">
              <w:rPr>
                <w:b/>
                <w:spacing w:val="-3"/>
              </w:rPr>
              <w:t xml:space="preserve"> </w:t>
            </w:r>
            <w:r>
              <w:rPr>
                <w:b/>
                <w:spacing w:val="-3"/>
              </w:rPr>
              <w:t xml:space="preserve">Society </w:t>
            </w:r>
            <w:r w:rsidRPr="009D3B53">
              <w:rPr>
                <w:b/>
                <w:spacing w:val="-3"/>
              </w:rPr>
              <w:t xml:space="preserve">of Australia </w:t>
            </w:r>
            <w:r>
              <w:rPr>
                <w:b/>
                <w:spacing w:val="-3"/>
              </w:rPr>
              <w:t xml:space="preserve">Limited </w:t>
            </w:r>
            <w:r w:rsidRPr="003052DA">
              <w:rPr>
                <w:spacing w:val="-3"/>
              </w:rPr>
              <w:t>ACN 008 532 072</w:t>
            </w:r>
            <w:bookmarkEnd w:id="707"/>
          </w:p>
          <w:p w14:paraId="78396E22" w14:textId="62C908DB" w:rsidR="008662DD" w:rsidRPr="009D3B53" w:rsidRDefault="008662DD" w:rsidP="00B35BBA">
            <w:pPr>
              <w:ind w:left="210"/>
              <w:rPr>
                <w:b/>
                <w:spacing w:val="-3"/>
              </w:rPr>
            </w:pPr>
          </w:p>
        </w:tc>
      </w:tr>
      <w:tr w:rsidR="008662DD" w:rsidRPr="009D3B53" w14:paraId="1A9C0ACA" w14:textId="77777777" w:rsidTr="00072C9B">
        <w:tc>
          <w:tcPr>
            <w:tcW w:w="2079" w:type="dxa"/>
            <w:tcBorders>
              <w:top w:val="nil"/>
              <w:left w:val="nil"/>
              <w:bottom w:val="nil"/>
              <w:right w:val="single" w:sz="4" w:space="0" w:color="auto"/>
            </w:tcBorders>
            <w:shd w:val="clear" w:color="auto" w:fill="auto"/>
          </w:tcPr>
          <w:p w14:paraId="133EF96B" w14:textId="2C33684C" w:rsidR="008662DD" w:rsidRPr="009D3B53" w:rsidRDefault="008662DD" w:rsidP="008662DD">
            <w:pPr>
              <w:spacing w:after="120"/>
              <w:ind w:left="851"/>
              <w:rPr>
                <w:sz w:val="18"/>
                <w:szCs w:val="18"/>
              </w:rPr>
            </w:pPr>
            <w:r>
              <w:rPr>
                <w:sz w:val="18"/>
                <w:szCs w:val="18"/>
              </w:rPr>
              <w:t>Address for notices</w:t>
            </w:r>
          </w:p>
        </w:tc>
        <w:tc>
          <w:tcPr>
            <w:tcW w:w="6996" w:type="dxa"/>
            <w:tcBorders>
              <w:top w:val="nil"/>
              <w:left w:val="single" w:sz="4" w:space="0" w:color="auto"/>
              <w:bottom w:val="nil"/>
              <w:right w:val="nil"/>
            </w:tcBorders>
            <w:shd w:val="clear" w:color="auto" w:fill="auto"/>
          </w:tcPr>
          <w:p w14:paraId="3F59E71A" w14:textId="3411B177" w:rsidR="00072C9B" w:rsidRDefault="008662DD" w:rsidP="00072C9B">
            <w:pPr>
              <w:pStyle w:val="BodyIndent3"/>
              <w:spacing w:before="0"/>
              <w:ind w:left="232"/>
            </w:pPr>
            <w:r>
              <w:t>Chief Executive Officer</w:t>
            </w:r>
            <w:r>
              <w:br/>
              <w:t>Pharmaceutical Society of Australia Limited</w:t>
            </w:r>
            <w:r>
              <w:br/>
              <w:t xml:space="preserve">Email: </w:t>
            </w:r>
            <w:r w:rsidR="00A955D5" w:rsidRPr="00A955D5">
              <w:rPr>
                <w:rStyle w:val="Hyperlink"/>
                <w:color w:val="auto"/>
                <w:u w:val="none"/>
              </w:rPr>
              <w:t>mark.kinsela@psa.org.au</w:t>
            </w:r>
          </w:p>
          <w:p w14:paraId="36F0E96A" w14:textId="63001E0E" w:rsidR="008662DD" w:rsidRDefault="008662DD" w:rsidP="00072C9B">
            <w:pPr>
              <w:pStyle w:val="BodyIndent3"/>
              <w:spacing w:before="0"/>
              <w:ind w:left="232"/>
            </w:pPr>
            <w:r>
              <w:br/>
              <w:t>Level 1, 17 Denison Street</w:t>
            </w:r>
            <w:r>
              <w:br/>
              <w:t>DEAKIN  ACT  2600</w:t>
            </w:r>
          </w:p>
          <w:p w14:paraId="686124D1" w14:textId="112BEB79" w:rsidR="00072C9B" w:rsidRDefault="008662DD" w:rsidP="00072C9B">
            <w:pPr>
              <w:pStyle w:val="BodyIndent3"/>
              <w:ind w:left="232"/>
              <w:rPr>
                <w:b/>
              </w:rPr>
            </w:pPr>
            <w:r>
              <w:t>PO Box 42</w:t>
            </w:r>
            <w:r>
              <w:br/>
              <w:t>DEAKIN WEST  ACT  2600</w:t>
            </w:r>
            <w:r w:rsidR="00072C9B">
              <w:br/>
            </w:r>
          </w:p>
          <w:p w14:paraId="71F33743" w14:textId="20A155B1" w:rsidR="00072C9B" w:rsidRDefault="00072C9B" w:rsidP="00072C9B">
            <w:pPr>
              <w:pStyle w:val="BodyIndent3"/>
              <w:ind w:left="232"/>
              <w:rPr>
                <w:b/>
              </w:rPr>
            </w:pPr>
          </w:p>
        </w:tc>
      </w:tr>
    </w:tbl>
    <w:p w14:paraId="7AC18F59" w14:textId="77777777" w:rsidR="008673AE" w:rsidRDefault="008673AE" w:rsidP="00DB6458">
      <w:pPr>
        <w:pStyle w:val="mainTitle"/>
        <w:sectPr w:rsidR="008673AE" w:rsidSect="00EA6E05">
          <w:pgSz w:w="11906" w:h="16838" w:code="9"/>
          <w:pgMar w:top="1560" w:right="1133" w:bottom="1418" w:left="1418" w:header="567" w:footer="659" w:gutter="0"/>
          <w:cols w:space="708"/>
          <w:docGrid w:linePitch="360"/>
        </w:sectPr>
      </w:pPr>
    </w:p>
    <w:p w14:paraId="0DC80FD3" w14:textId="6EA54509" w:rsidR="00DB6458" w:rsidRDefault="00DB6458" w:rsidP="00DB6458">
      <w:pPr>
        <w:pStyle w:val="mainTitle"/>
      </w:pPr>
      <w:bookmarkStart w:id="708" w:name="_Toc42783663"/>
      <w:r>
        <w:t xml:space="preserve">Appendix </w:t>
      </w:r>
      <w:r w:rsidR="00B35BBA">
        <w:t xml:space="preserve">B </w:t>
      </w:r>
      <w:r>
        <w:t xml:space="preserve">– Remuneration </w:t>
      </w:r>
      <w:r w:rsidR="00EF7AB9">
        <w:t>a</w:t>
      </w:r>
      <w:r>
        <w:t xml:space="preserve">djustment </w:t>
      </w:r>
      <w:r w:rsidR="00EF7AB9">
        <w:t>m</w:t>
      </w:r>
      <w:r>
        <w:t>echanism</w:t>
      </w:r>
      <w:bookmarkEnd w:id="708"/>
    </w:p>
    <w:p w14:paraId="1B95F6D8" w14:textId="77777777" w:rsidR="00090B2D" w:rsidRPr="00090B2D" w:rsidRDefault="00090B2D" w:rsidP="00EB1651">
      <w:pPr>
        <w:pStyle w:val="Numpara1"/>
        <w:numPr>
          <w:ilvl w:val="0"/>
          <w:numId w:val="23"/>
        </w:numPr>
        <w:rPr>
          <w:b/>
        </w:rPr>
      </w:pPr>
      <w:bookmarkStart w:id="709" w:name="_Ref31877252"/>
      <w:bookmarkStart w:id="710" w:name="_Toc33090565"/>
      <w:r w:rsidRPr="00090B2D">
        <w:rPr>
          <w:b/>
        </w:rPr>
        <w:t>Interpretation</w:t>
      </w:r>
      <w:bookmarkEnd w:id="709"/>
      <w:bookmarkEnd w:id="710"/>
    </w:p>
    <w:p w14:paraId="632B8F7D" w14:textId="55566646" w:rsidR="00090B2D" w:rsidRPr="00090B2D" w:rsidRDefault="00090B2D" w:rsidP="00090B2D">
      <w:pPr>
        <w:spacing w:before="240"/>
        <w:ind w:left="851"/>
        <w:rPr>
          <w:rFonts w:cs="Arial"/>
        </w:rPr>
      </w:pPr>
      <w:r w:rsidRPr="00090B2D">
        <w:rPr>
          <w:rFonts w:cs="Arial"/>
        </w:rPr>
        <w:t xml:space="preserve">For the purposes of this </w:t>
      </w:r>
      <w:r w:rsidR="00C93EF0">
        <w:rPr>
          <w:rFonts w:cs="Arial"/>
        </w:rPr>
        <w:t>Appendix B</w:t>
      </w:r>
      <w:r w:rsidRPr="00090B2D">
        <w:rPr>
          <w:rFonts w:cs="Arial"/>
        </w:rPr>
        <w:t>:</w:t>
      </w:r>
    </w:p>
    <w:p w14:paraId="192C9224" w14:textId="45EC4FDD" w:rsidR="00090B2D" w:rsidRPr="00090B2D" w:rsidRDefault="00090B2D" w:rsidP="00090B2D">
      <w:pPr>
        <w:spacing w:before="240"/>
        <w:ind w:left="851"/>
        <w:rPr>
          <w:rFonts w:cs="Arial"/>
        </w:rPr>
      </w:pPr>
      <w:r w:rsidRPr="00090B2D">
        <w:rPr>
          <w:rFonts w:cs="Arial"/>
          <w:b/>
        </w:rPr>
        <w:t xml:space="preserve">Actual Subsidised </w:t>
      </w:r>
      <w:r w:rsidR="00081D11">
        <w:rPr>
          <w:rFonts w:cs="Arial"/>
          <w:b/>
        </w:rPr>
        <w:t xml:space="preserve">Prescriptions </w:t>
      </w:r>
      <w:r w:rsidRPr="00090B2D">
        <w:rPr>
          <w:rFonts w:cs="Arial"/>
        </w:rPr>
        <w:t xml:space="preserve">means </w:t>
      </w:r>
      <w:r w:rsidR="00081D11">
        <w:rPr>
          <w:rFonts w:cs="Arial"/>
        </w:rPr>
        <w:t>the</w:t>
      </w:r>
      <w:r w:rsidR="00D609AE">
        <w:rPr>
          <w:rFonts w:cs="Arial"/>
        </w:rPr>
        <w:t xml:space="preserve"> actual</w:t>
      </w:r>
      <w:r w:rsidR="00081D11">
        <w:rPr>
          <w:rFonts w:cs="Arial"/>
        </w:rPr>
        <w:t xml:space="preserve"> number of </w:t>
      </w:r>
      <w:r w:rsidR="00D609AE">
        <w:rPr>
          <w:rFonts w:cs="Arial"/>
        </w:rPr>
        <w:t>Commonwealth Subsidised P</w:t>
      </w:r>
      <w:r w:rsidR="00084BB0" w:rsidRPr="00084BB0">
        <w:rPr>
          <w:rFonts w:cs="Arial"/>
        </w:rPr>
        <w:t>rescriptions</w:t>
      </w:r>
      <w:r w:rsidR="00196173">
        <w:rPr>
          <w:rFonts w:cs="Arial"/>
        </w:rPr>
        <w:t xml:space="preserve"> </w:t>
      </w:r>
      <w:r w:rsidR="00196173" w:rsidRPr="00196173">
        <w:rPr>
          <w:rFonts w:cs="Arial"/>
        </w:rPr>
        <w:t xml:space="preserve">for the relevant Assessment Period reported in </w:t>
      </w:r>
      <w:r w:rsidR="00E050E3">
        <w:rPr>
          <w:rFonts w:cs="Arial"/>
        </w:rPr>
        <w:t>D</w:t>
      </w:r>
      <w:r w:rsidR="00E050E3" w:rsidRPr="00196173">
        <w:rPr>
          <w:rFonts w:cs="Arial"/>
        </w:rPr>
        <w:t xml:space="preserve">ate </w:t>
      </w:r>
      <w:r w:rsidR="00196173" w:rsidRPr="00196173">
        <w:rPr>
          <w:rFonts w:cs="Arial"/>
        </w:rPr>
        <w:t xml:space="preserve">of </w:t>
      </w:r>
      <w:r w:rsidR="00E050E3">
        <w:rPr>
          <w:rFonts w:cs="Arial"/>
        </w:rPr>
        <w:t>S</w:t>
      </w:r>
      <w:r w:rsidR="00E050E3" w:rsidRPr="00196173">
        <w:rPr>
          <w:rFonts w:cs="Arial"/>
        </w:rPr>
        <w:t xml:space="preserve">upply </w:t>
      </w:r>
      <w:r w:rsidR="00E050E3">
        <w:rPr>
          <w:rFonts w:cs="Arial"/>
        </w:rPr>
        <w:t>D</w:t>
      </w:r>
      <w:r w:rsidR="00E050E3" w:rsidRPr="00196173">
        <w:rPr>
          <w:rFonts w:cs="Arial"/>
        </w:rPr>
        <w:t>ata</w:t>
      </w:r>
      <w:r w:rsidR="00196173" w:rsidRPr="00196173">
        <w:rPr>
          <w:rFonts w:cs="Arial"/>
        </w:rPr>
        <w:t xml:space="preserve"> at the time of the Census Date</w:t>
      </w:r>
      <w:r w:rsidR="00D609AE">
        <w:rPr>
          <w:rFonts w:cs="Arial"/>
        </w:rPr>
        <w:t>.</w:t>
      </w:r>
    </w:p>
    <w:p w14:paraId="5DEF3FD9" w14:textId="211CCB59" w:rsidR="00090B2D" w:rsidRPr="00090B2D" w:rsidRDefault="00090B2D" w:rsidP="00090B2D">
      <w:pPr>
        <w:spacing w:before="240"/>
        <w:ind w:left="851"/>
        <w:rPr>
          <w:rFonts w:cs="Arial"/>
        </w:rPr>
      </w:pPr>
      <w:r w:rsidRPr="00090B2D">
        <w:rPr>
          <w:rFonts w:cs="Arial"/>
          <w:b/>
        </w:rPr>
        <w:t xml:space="preserve">Actual Unsubsidised </w:t>
      </w:r>
      <w:r w:rsidR="000367CE">
        <w:rPr>
          <w:rFonts w:cs="Arial"/>
          <w:b/>
        </w:rPr>
        <w:t>Prescription</w:t>
      </w:r>
      <w:r w:rsidR="00A07306">
        <w:rPr>
          <w:rFonts w:cs="Arial"/>
          <w:b/>
        </w:rPr>
        <w:t>s</w:t>
      </w:r>
      <w:r w:rsidR="000367CE">
        <w:rPr>
          <w:rFonts w:cs="Arial"/>
          <w:b/>
        </w:rPr>
        <w:t xml:space="preserve"> </w:t>
      </w:r>
      <w:r w:rsidRPr="00090B2D">
        <w:rPr>
          <w:rFonts w:cs="Arial"/>
        </w:rPr>
        <w:t xml:space="preserve">means </w:t>
      </w:r>
      <w:r w:rsidR="00A14C09">
        <w:rPr>
          <w:rFonts w:cs="Arial"/>
        </w:rPr>
        <w:t xml:space="preserve">the </w:t>
      </w:r>
      <w:r w:rsidR="00D609AE">
        <w:rPr>
          <w:rFonts w:cs="Arial"/>
        </w:rPr>
        <w:t xml:space="preserve">actual </w:t>
      </w:r>
      <w:r w:rsidR="00A14C09">
        <w:rPr>
          <w:rFonts w:cs="Arial"/>
        </w:rPr>
        <w:t xml:space="preserve">number of </w:t>
      </w:r>
      <w:r w:rsidR="00D609AE">
        <w:rPr>
          <w:rFonts w:cs="Arial"/>
        </w:rPr>
        <w:t>Unsubsidised P</w:t>
      </w:r>
      <w:r w:rsidR="00084BB0" w:rsidRPr="00084BB0">
        <w:rPr>
          <w:rFonts w:cs="Arial"/>
        </w:rPr>
        <w:t>rescriptions</w:t>
      </w:r>
      <w:r w:rsidR="00196173" w:rsidRPr="00196173">
        <w:t xml:space="preserve"> </w:t>
      </w:r>
      <w:r w:rsidR="006D11FB">
        <w:t xml:space="preserve">for </w:t>
      </w:r>
      <w:r w:rsidR="00196173" w:rsidRPr="00196173">
        <w:rPr>
          <w:rFonts w:cs="Arial"/>
        </w:rPr>
        <w:t xml:space="preserve">the relevant Assessment Period reported in </w:t>
      </w:r>
      <w:r w:rsidR="00E050E3">
        <w:rPr>
          <w:rFonts w:cs="Arial"/>
        </w:rPr>
        <w:t>D</w:t>
      </w:r>
      <w:r w:rsidR="00E050E3" w:rsidRPr="00196173">
        <w:rPr>
          <w:rFonts w:cs="Arial"/>
        </w:rPr>
        <w:t xml:space="preserve">ate </w:t>
      </w:r>
      <w:r w:rsidR="00196173" w:rsidRPr="00196173">
        <w:rPr>
          <w:rFonts w:cs="Arial"/>
        </w:rPr>
        <w:t xml:space="preserve">of </w:t>
      </w:r>
      <w:r w:rsidR="00E050E3">
        <w:rPr>
          <w:rFonts w:cs="Arial"/>
        </w:rPr>
        <w:t>S</w:t>
      </w:r>
      <w:r w:rsidR="00E050E3" w:rsidRPr="00196173">
        <w:rPr>
          <w:rFonts w:cs="Arial"/>
        </w:rPr>
        <w:t xml:space="preserve">upply </w:t>
      </w:r>
      <w:r w:rsidR="00E050E3">
        <w:rPr>
          <w:rFonts w:cs="Arial"/>
        </w:rPr>
        <w:t>D</w:t>
      </w:r>
      <w:r w:rsidR="00E050E3" w:rsidRPr="00196173">
        <w:rPr>
          <w:rFonts w:cs="Arial"/>
        </w:rPr>
        <w:t>ata</w:t>
      </w:r>
      <w:r w:rsidR="00196173" w:rsidRPr="00196173">
        <w:rPr>
          <w:rFonts w:cs="Arial"/>
        </w:rPr>
        <w:t xml:space="preserve"> at the time of the Census Date</w:t>
      </w:r>
      <w:r w:rsidRPr="00090B2D">
        <w:rPr>
          <w:rFonts w:cs="Arial"/>
        </w:rPr>
        <w:t xml:space="preserve">.  </w:t>
      </w:r>
    </w:p>
    <w:p w14:paraId="3E7160B1" w14:textId="6E9E7CF2" w:rsidR="00090B2D" w:rsidRPr="00090B2D" w:rsidRDefault="00090B2D" w:rsidP="00090B2D">
      <w:pPr>
        <w:spacing w:before="240"/>
        <w:ind w:left="851"/>
        <w:rPr>
          <w:rFonts w:cs="Arial"/>
        </w:rPr>
      </w:pPr>
      <w:r w:rsidRPr="00090B2D">
        <w:rPr>
          <w:rFonts w:cs="Arial"/>
          <w:b/>
        </w:rPr>
        <w:t>Assessment Period</w:t>
      </w:r>
      <w:r w:rsidRPr="00090B2D">
        <w:rPr>
          <w:rFonts w:cs="Arial"/>
        </w:rPr>
        <w:t xml:space="preserve"> means an Assessment Period described in Table 4 in the Attachment to this </w:t>
      </w:r>
      <w:r w:rsidR="00C93EF0">
        <w:rPr>
          <w:rFonts w:cs="Arial"/>
        </w:rPr>
        <w:t>Appendix B</w:t>
      </w:r>
      <w:r w:rsidRPr="00090B2D">
        <w:rPr>
          <w:rFonts w:cs="Arial"/>
        </w:rPr>
        <w:t>.</w:t>
      </w:r>
    </w:p>
    <w:p w14:paraId="256B8223" w14:textId="2F2DF7E1" w:rsidR="00196173" w:rsidRDefault="00196173" w:rsidP="00090B2D">
      <w:pPr>
        <w:spacing w:before="240"/>
        <w:ind w:left="851"/>
        <w:rPr>
          <w:rFonts w:cs="Arial"/>
          <w:b/>
        </w:rPr>
      </w:pPr>
      <w:r w:rsidRPr="00196173">
        <w:rPr>
          <w:rFonts w:cs="Arial"/>
          <w:b/>
        </w:rPr>
        <w:t xml:space="preserve">Census Date </w:t>
      </w:r>
      <w:r w:rsidRPr="00196173">
        <w:rPr>
          <w:rFonts w:cs="Arial"/>
        </w:rPr>
        <w:t xml:space="preserve">means the date at which the actual number of Commonwealth Subsidised </w:t>
      </w:r>
      <w:r>
        <w:rPr>
          <w:rFonts w:cs="Arial"/>
        </w:rPr>
        <w:t xml:space="preserve">Prescriptions </w:t>
      </w:r>
      <w:r w:rsidRPr="00196173">
        <w:rPr>
          <w:rFonts w:cs="Arial"/>
        </w:rPr>
        <w:t xml:space="preserve">and Unsubsidised Prescriptions will be calculated, being 1 March </w:t>
      </w:r>
      <w:r w:rsidR="00427EE6">
        <w:rPr>
          <w:rFonts w:cs="Arial"/>
        </w:rPr>
        <w:t xml:space="preserve">immediately </w:t>
      </w:r>
      <w:r w:rsidRPr="00196173">
        <w:rPr>
          <w:rFonts w:cs="Arial"/>
        </w:rPr>
        <w:t>following the relevant Assessment Period.</w:t>
      </w:r>
    </w:p>
    <w:p w14:paraId="29684BB6" w14:textId="16F9A15C" w:rsidR="00C40EF2" w:rsidDel="00FB7BEC" w:rsidRDefault="00090B2D" w:rsidP="00090B2D">
      <w:pPr>
        <w:spacing w:before="240"/>
        <w:ind w:left="851"/>
        <w:rPr>
          <w:rFonts w:cs="Arial"/>
        </w:rPr>
      </w:pPr>
      <w:r w:rsidRPr="00090B2D" w:rsidDel="00FB7BEC">
        <w:rPr>
          <w:rFonts w:cs="Arial"/>
          <w:b/>
        </w:rPr>
        <w:t xml:space="preserve">Commonwealth Subsidised </w:t>
      </w:r>
      <w:r w:rsidR="000367CE" w:rsidDel="00FB7BEC">
        <w:rPr>
          <w:rFonts w:cs="Arial"/>
          <w:b/>
        </w:rPr>
        <w:t xml:space="preserve">Prescription </w:t>
      </w:r>
      <w:r w:rsidRPr="00090B2D" w:rsidDel="00FB7BEC">
        <w:rPr>
          <w:rFonts w:cs="Arial"/>
        </w:rPr>
        <w:t xml:space="preserve">means a </w:t>
      </w:r>
      <w:r w:rsidR="00A14C09" w:rsidDel="00FB7BEC">
        <w:rPr>
          <w:rFonts w:cs="Arial"/>
        </w:rPr>
        <w:t xml:space="preserve">PBS or RPBS </w:t>
      </w:r>
      <w:r w:rsidR="009A062F" w:rsidDel="00FB7BEC">
        <w:rPr>
          <w:rFonts w:cs="Arial"/>
        </w:rPr>
        <w:t>prescription</w:t>
      </w:r>
      <w:r w:rsidR="00A14C09" w:rsidRPr="00090B2D" w:rsidDel="00FB7BEC">
        <w:rPr>
          <w:rFonts w:cs="Arial"/>
        </w:rPr>
        <w:t xml:space="preserve"> </w:t>
      </w:r>
      <w:r w:rsidR="00DB3C7F">
        <w:rPr>
          <w:rFonts w:cs="Arial"/>
        </w:rPr>
        <w:t xml:space="preserve">for an item listed under </w:t>
      </w:r>
      <w:r w:rsidR="00F35D80">
        <w:rPr>
          <w:rFonts w:cs="Arial"/>
        </w:rPr>
        <w:t xml:space="preserve">section 85 </w:t>
      </w:r>
      <w:r w:rsidR="00DB3C7F">
        <w:rPr>
          <w:rFonts w:cs="Arial"/>
        </w:rPr>
        <w:t>of the Act</w:t>
      </w:r>
      <w:r w:rsidR="00F35D80">
        <w:rPr>
          <w:rFonts w:cs="Arial"/>
        </w:rPr>
        <w:t xml:space="preserve"> </w:t>
      </w:r>
      <w:r w:rsidR="00D609AE">
        <w:rPr>
          <w:rFonts w:cs="Arial"/>
        </w:rPr>
        <w:t>that is subsidised by the Commonwealth</w:t>
      </w:r>
      <w:r w:rsidR="004B43D7" w:rsidDel="00FB7BEC">
        <w:rPr>
          <w:rFonts w:cs="Arial"/>
        </w:rPr>
        <w:t>,</w:t>
      </w:r>
      <w:r w:rsidR="00D609AE" w:rsidDel="00FB7BEC">
        <w:rPr>
          <w:rFonts w:cs="Arial"/>
        </w:rPr>
        <w:t xml:space="preserve"> </w:t>
      </w:r>
      <w:r w:rsidR="00F518A5" w:rsidDel="00FB7BEC">
        <w:rPr>
          <w:rFonts w:cs="Arial"/>
        </w:rPr>
        <w:t xml:space="preserve">as </w:t>
      </w:r>
      <w:r w:rsidR="00D609AE" w:rsidDel="00FB7BEC">
        <w:rPr>
          <w:rFonts w:cs="Arial"/>
        </w:rPr>
        <w:t>included</w:t>
      </w:r>
      <w:r w:rsidR="00F518A5" w:rsidDel="00FB7BEC">
        <w:rPr>
          <w:rFonts w:cs="Arial"/>
        </w:rPr>
        <w:t xml:space="preserve"> in </w:t>
      </w:r>
      <w:r w:rsidR="00E050E3">
        <w:rPr>
          <w:rFonts w:cs="Arial"/>
        </w:rPr>
        <w:t>D</w:t>
      </w:r>
      <w:r w:rsidR="00E050E3" w:rsidRPr="00D609AE" w:rsidDel="00FB7BEC">
        <w:rPr>
          <w:rFonts w:cs="Arial"/>
        </w:rPr>
        <w:t xml:space="preserve">ate </w:t>
      </w:r>
      <w:r w:rsidR="00F518A5" w:rsidRPr="00D609AE" w:rsidDel="00FB7BEC">
        <w:rPr>
          <w:rFonts w:cs="Arial"/>
        </w:rPr>
        <w:t xml:space="preserve">of </w:t>
      </w:r>
      <w:r w:rsidR="00E050E3">
        <w:rPr>
          <w:rFonts w:cs="Arial"/>
        </w:rPr>
        <w:t>S</w:t>
      </w:r>
      <w:r w:rsidR="00E050E3" w:rsidRPr="00D609AE" w:rsidDel="00FB7BEC">
        <w:rPr>
          <w:rFonts w:cs="Arial"/>
        </w:rPr>
        <w:t xml:space="preserve">upply </w:t>
      </w:r>
      <w:r w:rsidR="00E050E3">
        <w:rPr>
          <w:rFonts w:cs="Arial"/>
        </w:rPr>
        <w:t>D</w:t>
      </w:r>
      <w:r w:rsidR="00E050E3" w:rsidRPr="00D609AE" w:rsidDel="00FB7BEC">
        <w:rPr>
          <w:rFonts w:cs="Arial"/>
        </w:rPr>
        <w:t>ata</w:t>
      </w:r>
      <w:r w:rsidR="00C40EF2" w:rsidDel="00FB7BEC">
        <w:rPr>
          <w:rFonts w:cs="Arial"/>
        </w:rPr>
        <w:t>.</w:t>
      </w:r>
    </w:p>
    <w:p w14:paraId="739ED7BD" w14:textId="0ACC6F2D" w:rsidR="00D66F53" w:rsidRPr="00E050E3" w:rsidRDefault="00D66F53" w:rsidP="00D66F53">
      <w:pPr>
        <w:spacing w:before="240"/>
        <w:ind w:left="851"/>
        <w:rPr>
          <w:rFonts w:cs="Arial"/>
        </w:rPr>
      </w:pPr>
      <w:r>
        <w:rPr>
          <w:rFonts w:cs="Arial"/>
          <w:b/>
        </w:rPr>
        <w:t>Date of Supply Data</w:t>
      </w:r>
      <w:r>
        <w:rPr>
          <w:rFonts w:cs="Arial"/>
        </w:rPr>
        <w:t xml:space="preserve"> means the </w:t>
      </w:r>
      <w:r w:rsidRPr="00D609AE" w:rsidDel="00FB7BEC">
        <w:rPr>
          <w:rFonts w:cs="Arial"/>
        </w:rPr>
        <w:t>PBS and RPBS date of supply data</w:t>
      </w:r>
      <w:r w:rsidRPr="00C40EF2" w:rsidDel="00FB7BEC">
        <w:rPr>
          <w:rStyle w:val="FootnoteReference"/>
        </w:rPr>
        <w:t xml:space="preserve"> </w:t>
      </w:r>
      <w:r w:rsidRPr="00D609AE" w:rsidDel="00FB7BEC">
        <w:rPr>
          <w:rFonts w:cs="Arial"/>
        </w:rPr>
        <w:t>published by the Department from time to time</w:t>
      </w:r>
      <w:r>
        <w:rPr>
          <w:rFonts w:cs="Arial"/>
        </w:rPr>
        <w:t xml:space="preserve"> in relation to Approved Pharmacists, which does not include data regarding medicines supplied under section 100 special arrangements and R</w:t>
      </w:r>
      <w:r w:rsidR="009A5D54">
        <w:rPr>
          <w:rFonts w:cs="Arial"/>
        </w:rPr>
        <w:t>P</w:t>
      </w:r>
      <w:r>
        <w:rPr>
          <w:rFonts w:cs="Arial"/>
        </w:rPr>
        <w:t>BS only items.</w:t>
      </w:r>
    </w:p>
    <w:p w14:paraId="0FDF97E8" w14:textId="512C30DF" w:rsidR="00090B2D" w:rsidRPr="00090B2D" w:rsidRDefault="00090B2D" w:rsidP="00090B2D">
      <w:pPr>
        <w:spacing w:before="240"/>
        <w:ind w:left="851"/>
        <w:rPr>
          <w:rFonts w:cs="Arial"/>
        </w:rPr>
      </w:pPr>
      <w:r w:rsidRPr="00090B2D">
        <w:rPr>
          <w:rFonts w:cs="Arial"/>
          <w:b/>
        </w:rPr>
        <w:t xml:space="preserve">Estimated Subsidised </w:t>
      </w:r>
      <w:r w:rsidR="000367CE">
        <w:rPr>
          <w:rFonts w:cs="Arial"/>
          <w:b/>
        </w:rPr>
        <w:t>Prescription</w:t>
      </w:r>
      <w:r w:rsidR="00A07306">
        <w:rPr>
          <w:rFonts w:cs="Arial"/>
          <w:b/>
        </w:rPr>
        <w:t>s</w:t>
      </w:r>
      <w:r w:rsidR="000367CE">
        <w:rPr>
          <w:rFonts w:cs="Arial"/>
          <w:b/>
        </w:rPr>
        <w:t xml:space="preserve"> </w:t>
      </w:r>
      <w:r w:rsidRPr="00090B2D">
        <w:rPr>
          <w:rFonts w:cs="Arial"/>
        </w:rPr>
        <w:t xml:space="preserve">means the estimated number of Commonwealth Subsidised </w:t>
      </w:r>
      <w:r w:rsidR="000367CE" w:rsidRPr="000367CE">
        <w:rPr>
          <w:rFonts w:cs="Arial"/>
        </w:rPr>
        <w:t>Prescriptions</w:t>
      </w:r>
      <w:r w:rsidR="000367CE">
        <w:rPr>
          <w:rFonts w:cs="Arial"/>
          <w:b/>
        </w:rPr>
        <w:t xml:space="preserve"> </w:t>
      </w:r>
      <w:r w:rsidRPr="00090B2D">
        <w:rPr>
          <w:rFonts w:cs="Arial"/>
        </w:rPr>
        <w:t xml:space="preserve">during an Assessment Period as set out in Table 4 in the Attachment to this </w:t>
      </w:r>
      <w:r w:rsidR="00C93EF0">
        <w:rPr>
          <w:rFonts w:cs="Arial"/>
        </w:rPr>
        <w:t>Appendix B</w:t>
      </w:r>
      <w:r w:rsidRPr="00090B2D">
        <w:rPr>
          <w:rFonts w:cs="Arial"/>
        </w:rPr>
        <w:t>.</w:t>
      </w:r>
    </w:p>
    <w:p w14:paraId="0FD36AE3" w14:textId="275BB6A7" w:rsidR="00090B2D" w:rsidRPr="00090B2D" w:rsidRDefault="00090B2D" w:rsidP="00090B2D">
      <w:pPr>
        <w:spacing w:before="240"/>
        <w:ind w:left="851"/>
        <w:rPr>
          <w:rFonts w:cs="Arial"/>
        </w:rPr>
      </w:pPr>
      <w:r w:rsidRPr="00090B2D">
        <w:rPr>
          <w:rFonts w:cs="Arial"/>
          <w:b/>
        </w:rPr>
        <w:t xml:space="preserve">Estimated Unsubsidised </w:t>
      </w:r>
      <w:r w:rsidR="000367CE">
        <w:rPr>
          <w:rFonts w:cs="Arial"/>
          <w:b/>
        </w:rPr>
        <w:t>Prescription</w:t>
      </w:r>
      <w:r w:rsidR="00A07306">
        <w:rPr>
          <w:rFonts w:cs="Arial"/>
          <w:b/>
        </w:rPr>
        <w:t>s</w:t>
      </w:r>
      <w:r w:rsidR="000367CE">
        <w:rPr>
          <w:rFonts w:cs="Arial"/>
          <w:b/>
        </w:rPr>
        <w:t xml:space="preserve"> </w:t>
      </w:r>
      <w:r w:rsidRPr="00090B2D">
        <w:rPr>
          <w:rFonts w:cs="Arial"/>
        </w:rPr>
        <w:t xml:space="preserve">means the estimated number of </w:t>
      </w:r>
      <w:r w:rsidR="00D609AE">
        <w:rPr>
          <w:rFonts w:cs="Arial"/>
        </w:rPr>
        <w:t>Unsubsidised P</w:t>
      </w:r>
      <w:r w:rsidR="00084BB0">
        <w:rPr>
          <w:rFonts w:cs="Arial"/>
        </w:rPr>
        <w:t>rescriptions</w:t>
      </w:r>
      <w:r w:rsidRPr="00090B2D">
        <w:rPr>
          <w:rFonts w:cs="Arial"/>
        </w:rPr>
        <w:t xml:space="preserve"> as set out in Table 4 in the Attachment to this </w:t>
      </w:r>
      <w:r w:rsidR="00C93EF0">
        <w:rPr>
          <w:rFonts w:cs="Arial"/>
        </w:rPr>
        <w:t>Appendix B</w:t>
      </w:r>
      <w:r w:rsidRPr="00090B2D">
        <w:rPr>
          <w:rFonts w:cs="Arial"/>
        </w:rPr>
        <w:t>.</w:t>
      </w:r>
    </w:p>
    <w:p w14:paraId="0428F1FE" w14:textId="77777777" w:rsidR="00090B2D" w:rsidRPr="00090B2D" w:rsidRDefault="00090B2D" w:rsidP="00090B2D">
      <w:pPr>
        <w:spacing w:before="240"/>
        <w:ind w:left="851"/>
        <w:rPr>
          <w:rFonts w:cs="Arial"/>
        </w:rPr>
      </w:pPr>
      <w:r w:rsidRPr="00090B2D">
        <w:rPr>
          <w:rFonts w:cs="Arial"/>
          <w:b/>
        </w:rPr>
        <w:t>Next Financial Year</w:t>
      </w:r>
      <w:r w:rsidRPr="00090B2D">
        <w:rPr>
          <w:rFonts w:cs="Arial"/>
        </w:rPr>
        <w:t xml:space="preserve"> means the Financial Year commencing immediately after the Assessment Period just ended.</w:t>
      </w:r>
    </w:p>
    <w:p w14:paraId="51B5D1E5" w14:textId="37CC1D22" w:rsidR="00090B2D" w:rsidRDefault="00090B2D" w:rsidP="00090B2D">
      <w:pPr>
        <w:spacing w:before="240"/>
        <w:ind w:left="851"/>
        <w:rPr>
          <w:rFonts w:eastAsiaTheme="minorHAnsi" w:cs="Arial"/>
          <w:lang w:eastAsia="en-US"/>
        </w:rPr>
      </w:pPr>
      <w:r w:rsidRPr="00090B2D">
        <w:rPr>
          <w:rFonts w:cs="Arial"/>
          <w:b/>
        </w:rPr>
        <w:t xml:space="preserve">Total Estimated </w:t>
      </w:r>
      <w:r w:rsidR="00A07306">
        <w:rPr>
          <w:rFonts w:cs="Arial"/>
          <w:b/>
        </w:rPr>
        <w:t>Prescriptions</w:t>
      </w:r>
      <w:r w:rsidR="00A07306" w:rsidRPr="00090B2D">
        <w:rPr>
          <w:rFonts w:cs="Arial"/>
        </w:rPr>
        <w:t xml:space="preserve"> </w:t>
      </w:r>
      <w:r w:rsidRPr="00090B2D">
        <w:rPr>
          <w:rFonts w:cs="Arial"/>
        </w:rPr>
        <w:t xml:space="preserve">means the </w:t>
      </w:r>
      <w:r w:rsidR="0059053D">
        <w:rPr>
          <w:rFonts w:cs="Arial"/>
        </w:rPr>
        <w:t>sum of</w:t>
      </w:r>
      <w:r w:rsidR="0059053D" w:rsidRPr="00090B2D">
        <w:rPr>
          <w:rFonts w:eastAsiaTheme="minorHAnsi" w:cs="Arial"/>
          <w:lang w:eastAsia="en-US"/>
        </w:rPr>
        <w:t xml:space="preserve"> </w:t>
      </w:r>
      <w:r w:rsidR="00B32D4B">
        <w:rPr>
          <w:rFonts w:eastAsiaTheme="minorHAnsi" w:cs="Arial"/>
          <w:lang w:eastAsia="en-US"/>
        </w:rPr>
        <w:t>E</w:t>
      </w:r>
      <w:r w:rsidRPr="00090B2D">
        <w:rPr>
          <w:rFonts w:eastAsiaTheme="minorHAnsi" w:cs="Arial"/>
          <w:lang w:eastAsia="en-US"/>
        </w:rPr>
        <w:t xml:space="preserve">stimated </w:t>
      </w:r>
      <w:r w:rsidR="00B32D4B">
        <w:rPr>
          <w:rFonts w:eastAsiaTheme="minorHAnsi" w:cs="Arial"/>
          <w:lang w:eastAsia="en-US"/>
        </w:rPr>
        <w:t xml:space="preserve">Subsidised Prescriptions and </w:t>
      </w:r>
      <w:r w:rsidR="009A062F">
        <w:rPr>
          <w:rFonts w:eastAsiaTheme="minorHAnsi" w:cs="Arial"/>
          <w:lang w:eastAsia="en-US"/>
        </w:rPr>
        <w:t xml:space="preserve">Estimated </w:t>
      </w:r>
      <w:r w:rsidR="00B32D4B">
        <w:rPr>
          <w:rFonts w:eastAsiaTheme="minorHAnsi" w:cs="Arial"/>
          <w:lang w:eastAsia="en-US"/>
        </w:rPr>
        <w:t xml:space="preserve">Unsubsidised Prescriptions </w:t>
      </w:r>
      <w:r w:rsidRPr="00090B2D">
        <w:rPr>
          <w:rFonts w:eastAsiaTheme="minorHAnsi" w:cs="Arial"/>
          <w:lang w:eastAsia="en-US"/>
        </w:rPr>
        <w:t>for a Financial Year as set out in Table 5 in the Attachment</w:t>
      </w:r>
      <w:r w:rsidRPr="00090B2D">
        <w:rPr>
          <w:rFonts w:cs="Arial"/>
        </w:rPr>
        <w:t xml:space="preserve"> to this </w:t>
      </w:r>
      <w:r w:rsidR="00C93EF0">
        <w:rPr>
          <w:rFonts w:cs="Arial"/>
        </w:rPr>
        <w:t>Appendix B</w:t>
      </w:r>
      <w:r w:rsidRPr="00090B2D">
        <w:rPr>
          <w:rFonts w:eastAsiaTheme="minorHAnsi" w:cs="Arial"/>
          <w:lang w:eastAsia="en-US"/>
        </w:rPr>
        <w:t>.</w:t>
      </w:r>
    </w:p>
    <w:p w14:paraId="35C2C991" w14:textId="34B6424B" w:rsidR="00D609AE" w:rsidRPr="00D609AE" w:rsidRDefault="00D609AE" w:rsidP="00D854D9">
      <w:pPr>
        <w:spacing w:before="240"/>
        <w:ind w:left="851"/>
        <w:rPr>
          <w:rFonts w:cs="Arial"/>
        </w:rPr>
      </w:pPr>
      <w:r>
        <w:rPr>
          <w:rFonts w:cs="Arial"/>
          <w:b/>
        </w:rPr>
        <w:t>Unsubsidised Prescription</w:t>
      </w:r>
      <w:r>
        <w:rPr>
          <w:rFonts w:cs="Arial"/>
        </w:rPr>
        <w:t xml:space="preserve"> means </w:t>
      </w:r>
      <w:r w:rsidRPr="00090B2D">
        <w:rPr>
          <w:rFonts w:cs="Arial"/>
        </w:rPr>
        <w:t xml:space="preserve">a </w:t>
      </w:r>
      <w:r w:rsidR="000D6BB8" w:rsidDel="00FB7BEC">
        <w:rPr>
          <w:rFonts w:cs="Arial"/>
        </w:rPr>
        <w:t xml:space="preserve">PBS or RPBS </w:t>
      </w:r>
      <w:r>
        <w:rPr>
          <w:rFonts w:cs="Arial"/>
        </w:rPr>
        <w:t xml:space="preserve">prescription </w:t>
      </w:r>
      <w:r w:rsidR="000D6BB8">
        <w:rPr>
          <w:rFonts w:cs="Arial"/>
        </w:rPr>
        <w:t>for an item listed under section 85 of the Act that is not subsidised by the Commonwealth</w:t>
      </w:r>
      <w:r w:rsidR="00D854D9">
        <w:rPr>
          <w:rFonts w:cs="Arial"/>
        </w:rPr>
        <w:t xml:space="preserve">, as </w:t>
      </w:r>
      <w:r>
        <w:rPr>
          <w:rFonts w:cs="Arial"/>
        </w:rPr>
        <w:t xml:space="preserve">included in </w:t>
      </w:r>
      <w:r w:rsidR="00E050E3">
        <w:rPr>
          <w:rFonts w:cs="Arial"/>
        </w:rPr>
        <w:t>D</w:t>
      </w:r>
      <w:r w:rsidR="00E050E3" w:rsidRPr="00D609AE">
        <w:rPr>
          <w:rFonts w:cs="Arial"/>
        </w:rPr>
        <w:t xml:space="preserve">ate </w:t>
      </w:r>
      <w:r w:rsidRPr="00D609AE">
        <w:rPr>
          <w:rFonts w:cs="Arial"/>
        </w:rPr>
        <w:t xml:space="preserve">of </w:t>
      </w:r>
      <w:r w:rsidR="00E050E3">
        <w:rPr>
          <w:rFonts w:cs="Arial"/>
        </w:rPr>
        <w:t>S</w:t>
      </w:r>
      <w:r w:rsidR="00E050E3" w:rsidRPr="00D609AE">
        <w:rPr>
          <w:rFonts w:cs="Arial"/>
        </w:rPr>
        <w:t xml:space="preserve">upply </w:t>
      </w:r>
      <w:r w:rsidR="00E050E3">
        <w:rPr>
          <w:rFonts w:cs="Arial"/>
        </w:rPr>
        <w:t>D</w:t>
      </w:r>
      <w:r w:rsidR="00E050E3" w:rsidRPr="00D609AE">
        <w:rPr>
          <w:rFonts w:cs="Arial"/>
        </w:rPr>
        <w:t>ata</w:t>
      </w:r>
      <w:r w:rsidR="00D854D9" w:rsidDel="00FB7BEC">
        <w:rPr>
          <w:rFonts w:cs="Arial"/>
        </w:rPr>
        <w:t>.</w:t>
      </w:r>
    </w:p>
    <w:p w14:paraId="4742327B" w14:textId="77777777" w:rsidR="00090B2D" w:rsidRPr="00090B2D" w:rsidRDefault="00090B2D" w:rsidP="00D66F53">
      <w:pPr>
        <w:pStyle w:val="Numpara1"/>
        <w:keepNext/>
        <w:rPr>
          <w:b/>
        </w:rPr>
      </w:pPr>
      <w:r w:rsidRPr="00090B2D">
        <w:rPr>
          <w:b/>
        </w:rPr>
        <w:t>Initial assessment</w:t>
      </w:r>
    </w:p>
    <w:p w14:paraId="51976EED" w14:textId="48527F60" w:rsidR="00090B2D" w:rsidRPr="00090B2D" w:rsidRDefault="00090B2D" w:rsidP="00D66F53">
      <w:pPr>
        <w:pStyle w:val="Numpara2"/>
        <w:keepNext/>
      </w:pPr>
      <w:r w:rsidRPr="00090B2D">
        <w:t xml:space="preserve">The Department will perform the following calculations under this </w:t>
      </w:r>
      <w:r w:rsidR="00C93EF0">
        <w:t>Appendix B</w:t>
      </w:r>
      <w:r w:rsidRPr="00090B2D">
        <w:t xml:space="preserve"> as soon as possible after the end of each Assessment Period.</w:t>
      </w:r>
    </w:p>
    <w:p w14:paraId="3987568F" w14:textId="77777777" w:rsidR="00090B2D" w:rsidRPr="00090B2D" w:rsidRDefault="00090B2D" w:rsidP="00D66F53">
      <w:pPr>
        <w:keepNext/>
        <w:keepLines/>
        <w:spacing w:before="240"/>
        <w:ind w:left="851"/>
        <w:outlineLvl w:val="2"/>
        <w:rPr>
          <w:i/>
        </w:rPr>
      </w:pPr>
      <w:r w:rsidRPr="00090B2D">
        <w:rPr>
          <w:i/>
        </w:rPr>
        <w:t>Calculation 1</w:t>
      </w:r>
    </w:p>
    <w:p w14:paraId="22732D12" w14:textId="77777777" w:rsidR="00D441EB" w:rsidRDefault="00D441EB" w:rsidP="000E25D6">
      <w:pPr>
        <w:pStyle w:val="Numpara2"/>
        <w:keepNext/>
        <w:keepLines/>
      </w:pPr>
      <w:r>
        <w:t>In the first three (3) Assessment Periods of the Agreement as set out in Table 4:</w:t>
      </w:r>
    </w:p>
    <w:p w14:paraId="3A70692C" w14:textId="4F19F643" w:rsidR="00D441EB" w:rsidRDefault="00D441EB" w:rsidP="000E25D6">
      <w:pPr>
        <w:pStyle w:val="Numpara3"/>
        <w:keepLines/>
      </w:pPr>
      <w:r>
        <w:t xml:space="preserve">if Actual Subsidised Prescriptions during </w:t>
      </w:r>
      <w:r w:rsidR="008C0B96">
        <w:t>the</w:t>
      </w:r>
      <w:r>
        <w:t xml:space="preserve"> </w:t>
      </w:r>
      <w:r w:rsidR="00FC6F20">
        <w:t xml:space="preserve">relevant </w:t>
      </w:r>
      <w:r>
        <w:t xml:space="preserve">Assessment Period </w:t>
      </w:r>
      <w:r w:rsidR="008C0B96">
        <w:t>is</w:t>
      </w:r>
      <w:r>
        <w:t xml:space="preserve"> </w:t>
      </w:r>
      <w:r w:rsidR="00E050E3">
        <w:t xml:space="preserve">less than </w:t>
      </w:r>
      <w:r w:rsidR="00C349D9">
        <w:t>a number equal to</w:t>
      </w:r>
      <w:r w:rsidR="00C349D9" w:rsidRPr="00090B2D">
        <w:t xml:space="preserve"> </w:t>
      </w:r>
      <w:r>
        <w:t>Estimated Subsidised Prescriptions for the relevant Assessment Period, the Department will proceed with Calculation 2 below; or</w:t>
      </w:r>
    </w:p>
    <w:p w14:paraId="057F9913" w14:textId="320938F7" w:rsidR="00D441EB" w:rsidRDefault="00D441EB" w:rsidP="00D441EB">
      <w:pPr>
        <w:pStyle w:val="Numpara3"/>
      </w:pPr>
      <w:r>
        <w:t xml:space="preserve">if Actual Subsidised Prescriptions during </w:t>
      </w:r>
      <w:r w:rsidR="008C0B96">
        <w:t>the</w:t>
      </w:r>
      <w:r>
        <w:t xml:space="preserve"> </w:t>
      </w:r>
      <w:r w:rsidR="00FC6F20">
        <w:t xml:space="preserve">relevant </w:t>
      </w:r>
      <w:r>
        <w:t>Assessment Period is within five</w:t>
      </w:r>
      <w:r w:rsidR="00B34AA5">
        <w:t> </w:t>
      </w:r>
      <w:r>
        <w:t>(5</w:t>
      </w:r>
      <w:r w:rsidR="00E050E3">
        <w:t>.0</w:t>
      </w:r>
      <w:r>
        <w:t xml:space="preserve">) per cent above </w:t>
      </w:r>
      <w:r w:rsidR="00C349D9">
        <w:t>a number equal to</w:t>
      </w:r>
      <w:r w:rsidR="00C349D9" w:rsidRPr="00090B2D">
        <w:t xml:space="preserve"> </w:t>
      </w:r>
      <w:r>
        <w:t>Estimated Subsidised Prescriptions for the relevant Assessment Period, there will be no adjustment to the Commonwealth Price in the Next Financial Year.</w:t>
      </w:r>
    </w:p>
    <w:p w14:paraId="021A1531" w14:textId="77777777" w:rsidR="00D441EB" w:rsidRDefault="00D441EB" w:rsidP="00D441EB">
      <w:pPr>
        <w:pStyle w:val="Numpara2"/>
      </w:pPr>
      <w:r>
        <w:t>In the fourth Assessment Period of the Agreement as set out in Table 4:</w:t>
      </w:r>
    </w:p>
    <w:p w14:paraId="0B202A73" w14:textId="7B6D8BBC" w:rsidR="00D441EB" w:rsidRDefault="00D441EB" w:rsidP="00D441EB">
      <w:pPr>
        <w:pStyle w:val="Numpara3"/>
      </w:pPr>
      <w:r>
        <w:t xml:space="preserve">if Actual Subsidised Prescriptions during </w:t>
      </w:r>
      <w:r w:rsidR="00C05AAC">
        <w:t>that</w:t>
      </w:r>
      <w:r w:rsidR="00FC6F20">
        <w:t xml:space="preserve"> </w:t>
      </w:r>
      <w:r>
        <w:t xml:space="preserve">Assessment Period </w:t>
      </w:r>
      <w:r w:rsidR="005C5AE0">
        <w:t>is</w:t>
      </w:r>
      <w:r>
        <w:t xml:space="preserve"> two</w:t>
      </w:r>
      <w:r w:rsidR="00F02D97">
        <w:t> </w:t>
      </w:r>
      <w:r>
        <w:t>(2</w:t>
      </w:r>
      <w:r w:rsidR="00576E2E">
        <w:t>.0</w:t>
      </w:r>
      <w:r>
        <w:t>)</w:t>
      </w:r>
      <w:r w:rsidR="00F02D97">
        <w:t> </w:t>
      </w:r>
      <w:r>
        <w:t xml:space="preserve">per cent or more below </w:t>
      </w:r>
      <w:r w:rsidR="00C349D9">
        <w:t>a number equal to</w:t>
      </w:r>
      <w:r w:rsidR="00C349D9" w:rsidRPr="00090B2D">
        <w:t xml:space="preserve"> </w:t>
      </w:r>
      <w:r>
        <w:t xml:space="preserve">Estimated Subsidised Prescriptions for </w:t>
      </w:r>
      <w:r w:rsidR="00C05AAC">
        <w:t>that</w:t>
      </w:r>
      <w:r>
        <w:t xml:space="preserve"> Assessment Period, the Department will proceed with Calculation 2 below; or</w:t>
      </w:r>
    </w:p>
    <w:p w14:paraId="6C092842" w14:textId="722BBFD6" w:rsidR="00D441EB" w:rsidRDefault="00D441EB" w:rsidP="00D441EB">
      <w:pPr>
        <w:pStyle w:val="Numpara3"/>
      </w:pPr>
      <w:r>
        <w:t xml:space="preserve">if Actual Subsidised Prescriptions during </w:t>
      </w:r>
      <w:r w:rsidR="00C05AAC">
        <w:t>that</w:t>
      </w:r>
      <w:r w:rsidR="00FC6F20">
        <w:t xml:space="preserve"> </w:t>
      </w:r>
      <w:r>
        <w:t xml:space="preserve">Assessment Period </w:t>
      </w:r>
      <w:r w:rsidR="005C5AE0">
        <w:t>is</w:t>
      </w:r>
      <w:r>
        <w:t xml:space="preserve"> </w:t>
      </w:r>
      <w:r w:rsidR="00E472A3">
        <w:t>less than</w:t>
      </w:r>
      <w:r>
        <w:t xml:space="preserve"> (2</w:t>
      </w:r>
      <w:r w:rsidR="00E472A3">
        <w:t>.0</w:t>
      </w:r>
      <w:r>
        <w:t xml:space="preserve">) per cent below, or </w:t>
      </w:r>
      <w:r w:rsidR="00AB2D24">
        <w:t xml:space="preserve">within </w:t>
      </w:r>
      <w:r>
        <w:t>five (5</w:t>
      </w:r>
      <w:r w:rsidR="00AB2D24">
        <w:t>.0</w:t>
      </w:r>
      <w:r>
        <w:t>) per cent above</w:t>
      </w:r>
      <w:r w:rsidR="00982178">
        <w:t>,</w:t>
      </w:r>
      <w:r>
        <w:t xml:space="preserve"> </w:t>
      </w:r>
      <w:r w:rsidR="00C349D9">
        <w:t>a number equal to</w:t>
      </w:r>
      <w:r w:rsidR="00C349D9" w:rsidRPr="00090B2D">
        <w:t xml:space="preserve"> </w:t>
      </w:r>
      <w:r>
        <w:t xml:space="preserve">Estimated Subsidised Prescriptions for that Assessment Period, there will be no adjustment to the Commonwealth Price in the </w:t>
      </w:r>
      <w:r w:rsidR="005C5AE0">
        <w:t>N</w:t>
      </w:r>
      <w:r>
        <w:t>ext Financial Year.</w:t>
      </w:r>
    </w:p>
    <w:p w14:paraId="4DBE1E7C" w14:textId="77777777" w:rsidR="00090B2D" w:rsidRPr="00090B2D" w:rsidRDefault="00090B2D" w:rsidP="00090B2D">
      <w:pPr>
        <w:keepNext/>
        <w:spacing w:before="240"/>
        <w:ind w:left="851"/>
        <w:outlineLvl w:val="2"/>
        <w:rPr>
          <w:i/>
        </w:rPr>
      </w:pPr>
      <w:r w:rsidRPr="00090B2D">
        <w:rPr>
          <w:i/>
        </w:rPr>
        <w:t>Calculation 2</w:t>
      </w:r>
    </w:p>
    <w:p w14:paraId="37D95639" w14:textId="5FD1BDDA" w:rsidR="00D441EB" w:rsidRPr="00D441EB" w:rsidRDefault="00D441EB" w:rsidP="00D441EB">
      <w:pPr>
        <w:pStyle w:val="Numpara2"/>
      </w:pPr>
      <w:bookmarkStart w:id="711" w:name="_Ref34227759"/>
      <w:bookmarkStart w:id="712" w:name="_Hlk34226063"/>
      <w:r w:rsidRPr="00D441EB">
        <w:t>If Actual Subsidised Prescriptions within the first three</w:t>
      </w:r>
      <w:r>
        <w:t xml:space="preserve"> (3)</w:t>
      </w:r>
      <w:r w:rsidRPr="00D441EB">
        <w:t xml:space="preserve"> Assessment Periods </w:t>
      </w:r>
      <w:r>
        <w:t>are</w:t>
      </w:r>
      <w:r w:rsidRPr="00D441EB">
        <w:t xml:space="preserve"> below </w:t>
      </w:r>
      <w:r w:rsidR="00C349D9">
        <w:t>a number equal to</w:t>
      </w:r>
      <w:r w:rsidR="00C349D9" w:rsidRPr="00090B2D">
        <w:t xml:space="preserve"> </w:t>
      </w:r>
      <w:r w:rsidRPr="00D441EB">
        <w:t>Estimated Subsidised Prescriptions for the relevant Assessment Period, or two</w:t>
      </w:r>
      <w:r w:rsidR="00305D38">
        <w:t> </w:t>
      </w:r>
      <w:r w:rsidRPr="00D441EB">
        <w:t xml:space="preserve">(2) per cent or more below </w:t>
      </w:r>
      <w:r w:rsidR="00C349D9">
        <w:t>a number equal to</w:t>
      </w:r>
      <w:r w:rsidR="00C349D9" w:rsidRPr="00090B2D">
        <w:t xml:space="preserve"> </w:t>
      </w:r>
      <w:r w:rsidRPr="00D441EB">
        <w:t>Estimated Subsidised Prescriptions in the fourth Assessment Period, and either:</w:t>
      </w:r>
    </w:p>
    <w:p w14:paraId="6892D78C" w14:textId="156049E0" w:rsidR="00090B2D" w:rsidRPr="00090B2D" w:rsidRDefault="00090B2D" w:rsidP="00326000">
      <w:pPr>
        <w:pStyle w:val="Numpara3"/>
      </w:pPr>
      <w:bookmarkStart w:id="713" w:name="_Hlk34225457"/>
      <w:bookmarkEnd w:id="711"/>
      <w:r w:rsidRPr="00090B2D">
        <w:t xml:space="preserve">for that Assessment Period, Actual Unsubsidised </w:t>
      </w:r>
      <w:r w:rsidR="000367CE" w:rsidRPr="000367CE">
        <w:t>Prescription</w:t>
      </w:r>
      <w:r w:rsidR="00A07306">
        <w:t>s</w:t>
      </w:r>
      <w:r w:rsidR="000367CE">
        <w:rPr>
          <w:b/>
        </w:rPr>
        <w:t xml:space="preserve"> </w:t>
      </w:r>
      <w:r w:rsidR="00B32D4B">
        <w:t>are</w:t>
      </w:r>
      <w:r w:rsidRPr="00090B2D">
        <w:t xml:space="preserve"> not higher than </w:t>
      </w:r>
      <w:r w:rsidR="00137927">
        <w:t xml:space="preserve">a number equal to </w:t>
      </w:r>
      <w:r w:rsidRPr="00090B2D">
        <w:t xml:space="preserve">Estimated Unsubsidised </w:t>
      </w:r>
      <w:r w:rsidR="000367CE" w:rsidRPr="000367CE">
        <w:t>Prescription</w:t>
      </w:r>
      <w:r w:rsidR="00A07306">
        <w:t>s</w:t>
      </w:r>
      <w:r w:rsidRPr="00090B2D">
        <w:t>; or</w:t>
      </w:r>
    </w:p>
    <w:p w14:paraId="64640FEA" w14:textId="3B7C0C71" w:rsidR="00090B2D" w:rsidRPr="00090B2D" w:rsidRDefault="00090B2D" w:rsidP="00326000">
      <w:pPr>
        <w:pStyle w:val="Numpara3"/>
      </w:pPr>
      <w:bookmarkStart w:id="714" w:name="_Ref34224963"/>
      <w:bookmarkEnd w:id="713"/>
      <w:r w:rsidRPr="00090B2D">
        <w:t xml:space="preserve">for that Assessment Period, Actual Unsubsidised </w:t>
      </w:r>
      <w:r w:rsidR="000367CE" w:rsidRPr="000367CE">
        <w:t>Prescription</w:t>
      </w:r>
      <w:r w:rsidR="00A07306">
        <w:t>s</w:t>
      </w:r>
      <w:r w:rsidR="000367CE">
        <w:rPr>
          <w:b/>
        </w:rPr>
        <w:t xml:space="preserve"> </w:t>
      </w:r>
      <w:r w:rsidRPr="00090B2D">
        <w:t xml:space="preserve">exceed </w:t>
      </w:r>
      <w:r w:rsidR="00137927">
        <w:t xml:space="preserve">a number equal to </w:t>
      </w:r>
      <w:r w:rsidRPr="00090B2D">
        <w:t xml:space="preserve">Estimated Unsubsidised </w:t>
      </w:r>
      <w:r w:rsidR="000367CE" w:rsidRPr="000367CE">
        <w:t>Prescription</w:t>
      </w:r>
      <w:r w:rsidR="00A07306">
        <w:t>s</w:t>
      </w:r>
      <w:r w:rsidR="00AB2D24">
        <w:t>,</w:t>
      </w:r>
      <w:r w:rsidR="000367CE">
        <w:rPr>
          <w:b/>
        </w:rPr>
        <w:t xml:space="preserve"> </w:t>
      </w:r>
      <w:r w:rsidRPr="00090B2D">
        <w:t>and</w:t>
      </w:r>
      <w:bookmarkEnd w:id="714"/>
      <w:r w:rsidRPr="00090B2D">
        <w:t xml:space="preserve"> the sum of: </w:t>
      </w:r>
    </w:p>
    <w:p w14:paraId="6DC38016" w14:textId="6A497B12" w:rsidR="00090B2D" w:rsidRPr="00090B2D" w:rsidRDefault="00090B2D" w:rsidP="00326000">
      <w:pPr>
        <w:pStyle w:val="Numpara4"/>
      </w:pPr>
      <w:r w:rsidRPr="00090B2D">
        <w:t xml:space="preserve">Actual Subsidised </w:t>
      </w:r>
      <w:r w:rsidR="000367CE" w:rsidRPr="000367CE">
        <w:t>Prescription</w:t>
      </w:r>
      <w:r w:rsidR="00A07306">
        <w:t>s</w:t>
      </w:r>
      <w:r w:rsidRPr="00090B2D">
        <w:t xml:space="preserve">; and </w:t>
      </w:r>
    </w:p>
    <w:p w14:paraId="0015C468" w14:textId="31D13C7E" w:rsidR="00090B2D" w:rsidRPr="00090B2D" w:rsidRDefault="00090B2D" w:rsidP="00326000">
      <w:pPr>
        <w:pStyle w:val="Numpara4"/>
      </w:pPr>
      <w:r w:rsidRPr="00090B2D">
        <w:t xml:space="preserve">the excess in Actual Unsubsidised </w:t>
      </w:r>
      <w:r w:rsidR="000367CE" w:rsidRPr="000367CE">
        <w:t>Prescription</w:t>
      </w:r>
      <w:r w:rsidR="00A07306">
        <w:t>s</w:t>
      </w:r>
      <w:r w:rsidR="000367CE">
        <w:rPr>
          <w:b/>
        </w:rPr>
        <w:t xml:space="preserve"> </w:t>
      </w:r>
      <w:r w:rsidRPr="00090B2D">
        <w:t xml:space="preserve">over </w:t>
      </w:r>
      <w:r w:rsidR="00137927">
        <w:t>a number equal to</w:t>
      </w:r>
      <w:r w:rsidR="00137927" w:rsidRPr="00090B2D">
        <w:t xml:space="preserve"> </w:t>
      </w:r>
      <w:r w:rsidRPr="00090B2D">
        <w:t xml:space="preserve">Estimated Unsubsidised </w:t>
      </w:r>
      <w:r w:rsidR="000367CE" w:rsidRPr="000367CE">
        <w:t>Prescription</w:t>
      </w:r>
      <w:r w:rsidR="00A07306">
        <w:t>s</w:t>
      </w:r>
      <w:r w:rsidRPr="00090B2D">
        <w:t xml:space="preserve">, </w:t>
      </w:r>
    </w:p>
    <w:p w14:paraId="6CB7E6F0" w14:textId="2DAFC804" w:rsidR="00576E2E" w:rsidRDefault="00B32D4B" w:rsidP="00090B2D">
      <w:pPr>
        <w:spacing w:before="240"/>
        <w:ind w:left="1701"/>
        <w:rPr>
          <w:rFonts w:cs="Arial"/>
        </w:rPr>
      </w:pPr>
      <w:r>
        <w:rPr>
          <w:rFonts w:cs="Arial"/>
        </w:rPr>
        <w:t>are</w:t>
      </w:r>
      <w:r w:rsidRPr="00090B2D">
        <w:rPr>
          <w:rFonts w:cs="Arial"/>
        </w:rPr>
        <w:t xml:space="preserve"> </w:t>
      </w:r>
      <w:r w:rsidR="00576E2E" w:rsidRPr="00090B2D">
        <w:rPr>
          <w:rFonts w:cs="Arial"/>
        </w:rPr>
        <w:t>still</w:t>
      </w:r>
      <w:r w:rsidR="00125BE5">
        <w:rPr>
          <w:rFonts w:cs="Arial"/>
        </w:rPr>
        <w:t>:</w:t>
      </w:r>
    </w:p>
    <w:p w14:paraId="690BB721" w14:textId="136B6C2E" w:rsidR="00576E2E" w:rsidRDefault="00A879FC" w:rsidP="00576E2E">
      <w:pPr>
        <w:pStyle w:val="Numpara4"/>
      </w:pPr>
      <w:r>
        <w:t xml:space="preserve">in the first three (3) Assessment Periods, </w:t>
      </w:r>
      <w:r w:rsidR="00090B2D" w:rsidRPr="00090B2D">
        <w:t>below</w:t>
      </w:r>
      <w:r w:rsidR="009E6842">
        <w:t xml:space="preserve"> a number equal to</w:t>
      </w:r>
      <w:r w:rsidR="00090B2D" w:rsidRPr="00090B2D">
        <w:t xml:space="preserve"> the Estimated Subsidised </w:t>
      </w:r>
      <w:r w:rsidR="000367CE" w:rsidRPr="000367CE">
        <w:t>Prescription</w:t>
      </w:r>
      <w:r w:rsidR="00A07306">
        <w:t>s</w:t>
      </w:r>
      <w:r w:rsidR="00576E2E">
        <w:t xml:space="preserve"> for the relevant Assessment Period; or</w:t>
      </w:r>
    </w:p>
    <w:p w14:paraId="5E1C795C" w14:textId="51F34EE1" w:rsidR="00090B2D" w:rsidRPr="00090B2D" w:rsidRDefault="00576E2E" w:rsidP="00576E2E">
      <w:pPr>
        <w:pStyle w:val="Numpara4"/>
      </w:pPr>
      <w:r>
        <w:t>in the fourth Assessment Period, two (2.0) per cent or more below a number equal to the Estimated Subsidised Prescripts for that Assessment Period</w:t>
      </w:r>
      <w:r w:rsidR="009A062F">
        <w:t xml:space="preserve">, </w:t>
      </w:r>
    </w:p>
    <w:p w14:paraId="0568A561" w14:textId="675D086E" w:rsidR="00090B2D" w:rsidRPr="00090B2D" w:rsidRDefault="00090B2D" w:rsidP="00B32D4B">
      <w:pPr>
        <w:pStyle w:val="BodyIndent1"/>
      </w:pPr>
      <w:r w:rsidRPr="00090B2D">
        <w:t>then</w:t>
      </w:r>
      <w:r w:rsidR="00576E2E">
        <w:t xml:space="preserve">, subject to section </w:t>
      </w:r>
      <w:r w:rsidR="00576E2E">
        <w:fldChar w:fldCharType="begin"/>
      </w:r>
      <w:r w:rsidR="00576E2E">
        <w:instrText xml:space="preserve"> REF _Ref41629248 \r \h </w:instrText>
      </w:r>
      <w:r w:rsidR="00576E2E">
        <w:fldChar w:fldCharType="separate"/>
      </w:r>
      <w:r w:rsidR="00982D02">
        <w:t>5.2</w:t>
      </w:r>
      <w:r w:rsidR="00576E2E">
        <w:fldChar w:fldCharType="end"/>
      </w:r>
      <w:r w:rsidR="00576E2E">
        <w:t xml:space="preserve"> below,</w:t>
      </w:r>
      <w:r w:rsidRPr="00090B2D">
        <w:t xml:space="preserve"> there will be an increase in the Commonwealth Price for the Next Financial Year in accordance with section </w:t>
      </w:r>
      <w:r w:rsidR="00326000">
        <w:fldChar w:fldCharType="begin"/>
      </w:r>
      <w:r w:rsidR="00326000">
        <w:instrText xml:space="preserve"> REF _Ref34993113 \r \h </w:instrText>
      </w:r>
      <w:r w:rsidR="00326000">
        <w:fldChar w:fldCharType="separate"/>
      </w:r>
      <w:r w:rsidR="00982D02">
        <w:t>3</w:t>
      </w:r>
      <w:r w:rsidR="00326000">
        <w:fldChar w:fldCharType="end"/>
      </w:r>
      <w:r w:rsidRPr="00090B2D">
        <w:t xml:space="preserve"> below. </w:t>
      </w:r>
    </w:p>
    <w:bookmarkEnd w:id="712"/>
    <w:p w14:paraId="1A9D2B05" w14:textId="77777777" w:rsidR="00090B2D" w:rsidRPr="00090B2D" w:rsidRDefault="00090B2D" w:rsidP="00D441EB">
      <w:pPr>
        <w:keepNext/>
        <w:spacing w:before="240"/>
        <w:ind w:left="851"/>
        <w:outlineLvl w:val="2"/>
        <w:rPr>
          <w:i/>
        </w:rPr>
      </w:pPr>
      <w:r w:rsidRPr="00090B2D">
        <w:rPr>
          <w:i/>
        </w:rPr>
        <w:t>Calculation 3</w:t>
      </w:r>
    </w:p>
    <w:p w14:paraId="49AEA911" w14:textId="77777777" w:rsidR="005D1D1B" w:rsidRDefault="00090B2D" w:rsidP="00326000">
      <w:pPr>
        <w:pStyle w:val="Numpara2"/>
      </w:pPr>
      <w:bookmarkStart w:id="715" w:name="_Ref34897554"/>
      <w:r w:rsidRPr="00090B2D">
        <w:t xml:space="preserve">If Actual Subsidised </w:t>
      </w:r>
      <w:r w:rsidR="000367CE" w:rsidRPr="000367CE">
        <w:t>Prescription</w:t>
      </w:r>
      <w:r w:rsidR="00A07306">
        <w:t>s</w:t>
      </w:r>
      <w:r w:rsidR="000367CE">
        <w:rPr>
          <w:b/>
        </w:rPr>
        <w:t xml:space="preserve"> </w:t>
      </w:r>
      <w:r w:rsidRPr="00090B2D">
        <w:t xml:space="preserve">during </w:t>
      </w:r>
      <w:r w:rsidR="00FC6F20">
        <w:t>the relevant</w:t>
      </w:r>
      <w:r w:rsidR="00FC6F20" w:rsidRPr="00090B2D">
        <w:t xml:space="preserve"> </w:t>
      </w:r>
      <w:r w:rsidRPr="00090B2D">
        <w:t xml:space="preserve">Assessment Period </w:t>
      </w:r>
      <w:r w:rsidR="009A062F">
        <w:t xml:space="preserve">are </w:t>
      </w:r>
      <w:r w:rsidR="00D441EB">
        <w:t>five (5</w:t>
      </w:r>
      <w:r w:rsidR="005D1D1B">
        <w:t>.0</w:t>
      </w:r>
      <w:r w:rsidR="00D441EB">
        <w:t>)</w:t>
      </w:r>
      <w:r w:rsidR="00D441EB" w:rsidRPr="00090B2D">
        <w:t xml:space="preserve"> </w:t>
      </w:r>
      <w:r w:rsidRPr="00090B2D">
        <w:t xml:space="preserve">per cent or more above </w:t>
      </w:r>
      <w:r w:rsidR="009E6842">
        <w:t xml:space="preserve">a number equal to </w:t>
      </w:r>
      <w:r w:rsidRPr="00090B2D">
        <w:t xml:space="preserve">the Estimated Subsidised </w:t>
      </w:r>
      <w:r w:rsidR="000367CE" w:rsidRPr="000367CE">
        <w:t>Prescription</w:t>
      </w:r>
      <w:r w:rsidR="00A07306">
        <w:t>s</w:t>
      </w:r>
      <w:r w:rsidR="000367CE">
        <w:rPr>
          <w:b/>
        </w:rPr>
        <w:t xml:space="preserve"> </w:t>
      </w:r>
      <w:r w:rsidRPr="00090B2D">
        <w:t xml:space="preserve">for that Assessment Period, </w:t>
      </w:r>
      <w:r w:rsidR="005D1D1B">
        <w:t>and either:</w:t>
      </w:r>
    </w:p>
    <w:p w14:paraId="3F466C31" w14:textId="5208F544" w:rsidR="005D1D1B" w:rsidRDefault="005D1D1B" w:rsidP="005D1D1B">
      <w:pPr>
        <w:pStyle w:val="Numpara3"/>
      </w:pPr>
      <w:r>
        <w:t>for that Assessment Period, Actual Unsubsidised Prescriptions</w:t>
      </w:r>
      <w:r>
        <w:rPr>
          <w:b/>
        </w:rPr>
        <w:t xml:space="preserve"> </w:t>
      </w:r>
      <w:r>
        <w:t>are not less than a number equal to Estimated Unsubsidised Prescriptions for the Assessment Period; or</w:t>
      </w:r>
    </w:p>
    <w:p w14:paraId="0BB15CC9" w14:textId="06AD167D" w:rsidR="005D1D1B" w:rsidRDefault="005D1D1B" w:rsidP="005D1D1B">
      <w:pPr>
        <w:pStyle w:val="Numpara3"/>
      </w:pPr>
      <w:r>
        <w:t xml:space="preserve">for that Assessment Period, </w:t>
      </w:r>
      <w:r>
        <w:rPr>
          <w:lang w:eastAsia="en-US"/>
        </w:rPr>
        <w:t>Actual Unsubsidised Prescriptions do not exceed a number equal to the Estimated Unsubsidised Prescription for the Assessment Period</w:t>
      </w:r>
      <w:r>
        <w:t>, and the sum of:</w:t>
      </w:r>
    </w:p>
    <w:p w14:paraId="2E413B5A" w14:textId="5ACD8B34" w:rsidR="005D1D1B" w:rsidRDefault="005D1D1B" w:rsidP="005D1D1B">
      <w:pPr>
        <w:pStyle w:val="Heading4"/>
        <w:numPr>
          <w:ilvl w:val="3"/>
          <w:numId w:val="22"/>
        </w:numPr>
      </w:pPr>
      <w:r>
        <w:t>the number of Actual Subsidised Prescriptions; and</w:t>
      </w:r>
    </w:p>
    <w:p w14:paraId="178EA53E" w14:textId="7CC60878" w:rsidR="005D1D1B" w:rsidRDefault="005D1D1B" w:rsidP="005D1D1B">
      <w:pPr>
        <w:pStyle w:val="Heading4"/>
        <w:numPr>
          <w:ilvl w:val="3"/>
          <w:numId w:val="22"/>
        </w:numPr>
      </w:pPr>
      <w:r>
        <w:t>the shortfall (expressed as a negative number) in Actual Unsubsidised Prescriptions</w:t>
      </w:r>
      <w:r>
        <w:rPr>
          <w:b/>
        </w:rPr>
        <w:t xml:space="preserve"> </w:t>
      </w:r>
      <w:r>
        <w:t xml:space="preserve">below a number equal to Estimated Unsubsidised Prescriptions, </w:t>
      </w:r>
    </w:p>
    <w:p w14:paraId="5666022E" w14:textId="543FCC31" w:rsidR="005D1D1B" w:rsidRDefault="005D1D1B" w:rsidP="005D1D1B">
      <w:pPr>
        <w:spacing w:before="240"/>
        <w:ind w:left="1701"/>
        <w:rPr>
          <w:rFonts w:cs="Arial"/>
        </w:rPr>
      </w:pPr>
      <w:r>
        <w:rPr>
          <w:rFonts w:cs="Arial"/>
        </w:rPr>
        <w:t xml:space="preserve">are still 5.0 per cent or more above </w:t>
      </w:r>
      <w:r>
        <w:t>the Estimated Subsidised Prescriptions</w:t>
      </w:r>
      <w:r>
        <w:rPr>
          <w:rFonts w:cs="Arial"/>
        </w:rPr>
        <w:t xml:space="preserve">, </w:t>
      </w:r>
    </w:p>
    <w:p w14:paraId="1A881BD0" w14:textId="2280C3D0" w:rsidR="00090B2D" w:rsidRPr="00090B2D" w:rsidRDefault="00090B2D" w:rsidP="005D1D1B">
      <w:pPr>
        <w:pStyle w:val="BodyIndent1"/>
      </w:pPr>
      <w:r w:rsidRPr="00090B2D">
        <w:t xml:space="preserve">then there will be a </w:t>
      </w:r>
      <w:r w:rsidR="003751AF">
        <w:t xml:space="preserve">reduction to </w:t>
      </w:r>
      <w:r w:rsidRPr="00090B2D">
        <w:t xml:space="preserve">the Commonwealth Price for the Next Financial Year in accordance with </w:t>
      </w:r>
      <w:bookmarkEnd w:id="715"/>
      <w:r w:rsidRPr="00090B2D">
        <w:t>section</w:t>
      </w:r>
      <w:r w:rsidR="009E6842">
        <w:t> </w:t>
      </w:r>
      <w:r w:rsidR="00326000">
        <w:fldChar w:fldCharType="begin"/>
      </w:r>
      <w:r w:rsidR="00326000">
        <w:instrText xml:space="preserve"> REF _Ref34993131 \r \h </w:instrText>
      </w:r>
      <w:r w:rsidR="00326000">
        <w:fldChar w:fldCharType="separate"/>
      </w:r>
      <w:r w:rsidR="00982D02">
        <w:t>4</w:t>
      </w:r>
      <w:r w:rsidR="00326000">
        <w:fldChar w:fldCharType="end"/>
      </w:r>
      <w:r w:rsidRPr="00090B2D">
        <w:t xml:space="preserve"> below.</w:t>
      </w:r>
    </w:p>
    <w:p w14:paraId="729FA87E" w14:textId="77777777" w:rsidR="00090B2D" w:rsidRPr="00326000" w:rsidRDefault="00090B2D" w:rsidP="000E25D6">
      <w:pPr>
        <w:pStyle w:val="Numpara1"/>
        <w:keepNext/>
        <w:rPr>
          <w:b/>
        </w:rPr>
      </w:pPr>
      <w:bookmarkStart w:id="716" w:name="_Ref31903034"/>
      <w:bookmarkStart w:id="717" w:name="_Toc33090570"/>
      <w:bookmarkStart w:id="718" w:name="_Ref33796835"/>
      <w:bookmarkStart w:id="719" w:name="_Ref34993113"/>
      <w:bookmarkStart w:id="720" w:name="_Ref29807199"/>
      <w:bookmarkStart w:id="721" w:name="_Ref29806982"/>
      <w:bookmarkStart w:id="722" w:name="_Ref29806878"/>
      <w:bookmarkStart w:id="723" w:name="_Hlk30604720"/>
      <w:r w:rsidRPr="00326000">
        <w:rPr>
          <w:b/>
        </w:rPr>
        <w:t xml:space="preserve">Increase in the Commonwealth Price </w:t>
      </w:r>
      <w:bookmarkEnd w:id="716"/>
      <w:bookmarkEnd w:id="717"/>
      <w:bookmarkEnd w:id="718"/>
      <w:r w:rsidRPr="00326000">
        <w:rPr>
          <w:b/>
        </w:rPr>
        <w:t>arising from Calculation 2</w:t>
      </w:r>
      <w:bookmarkEnd w:id="719"/>
    </w:p>
    <w:p w14:paraId="720FD0DF" w14:textId="77777777" w:rsidR="00090B2D" w:rsidRPr="00090B2D" w:rsidRDefault="00090B2D" w:rsidP="00090B2D">
      <w:pPr>
        <w:keepNext/>
        <w:spacing w:before="240"/>
        <w:ind w:left="851"/>
        <w:rPr>
          <w:rFonts w:cs="Arial"/>
        </w:rPr>
      </w:pPr>
      <w:bookmarkStart w:id="724" w:name="_Ref33536999"/>
      <w:r w:rsidRPr="00090B2D">
        <w:rPr>
          <w:rFonts w:cs="Arial"/>
        </w:rPr>
        <w:t xml:space="preserve">If an increase to the Commonwealth Price is required under Calculation 2, then </w:t>
      </w:r>
      <w:bookmarkStart w:id="725" w:name="_Ref30609044"/>
      <w:r w:rsidRPr="00090B2D">
        <w:rPr>
          <w:rFonts w:cs="Arial"/>
        </w:rPr>
        <w:t xml:space="preserve">the Department will determine the </w:t>
      </w:r>
      <w:bookmarkEnd w:id="724"/>
      <w:bookmarkEnd w:id="725"/>
      <w:r w:rsidRPr="00090B2D">
        <w:rPr>
          <w:rFonts w:cs="Arial"/>
        </w:rPr>
        <w:t>increase in the Commonwealth Price for the Next Financial Year by applying the following formula:</w:t>
      </w:r>
    </w:p>
    <w:p w14:paraId="63CCF8D1" w14:textId="77777777" w:rsidR="00090B2D" w:rsidRPr="00090B2D" w:rsidRDefault="00090B2D" w:rsidP="00090B2D">
      <w:pPr>
        <w:keepNext/>
      </w:pPr>
    </w:p>
    <w:tbl>
      <w:tblPr>
        <w:tblW w:w="0" w:type="auto"/>
        <w:tblInd w:w="2445" w:type="dxa"/>
        <w:tblLook w:val="0000" w:firstRow="0" w:lastRow="0" w:firstColumn="0" w:lastColumn="0" w:noHBand="0" w:noVBand="0"/>
      </w:tblPr>
      <w:tblGrid>
        <w:gridCol w:w="709"/>
        <w:gridCol w:w="815"/>
        <w:gridCol w:w="2268"/>
      </w:tblGrid>
      <w:tr w:rsidR="00090B2D" w:rsidRPr="00090B2D" w14:paraId="6D51EBFE" w14:textId="77777777" w:rsidTr="0000161C">
        <w:tc>
          <w:tcPr>
            <w:tcW w:w="709" w:type="dxa"/>
            <w:vMerge w:val="restart"/>
            <w:vAlign w:val="center"/>
          </w:tcPr>
          <w:p w14:paraId="497242DE" w14:textId="77777777" w:rsidR="00090B2D" w:rsidRPr="00090B2D" w:rsidRDefault="00090B2D" w:rsidP="00090B2D">
            <w:pPr>
              <w:keepNext/>
              <w:jc w:val="center"/>
              <w:rPr>
                <w:b/>
              </w:rPr>
            </w:pPr>
            <w:r w:rsidRPr="00090B2D">
              <w:rPr>
                <w:b/>
              </w:rPr>
              <w:t>S</w:t>
            </w:r>
          </w:p>
        </w:tc>
        <w:tc>
          <w:tcPr>
            <w:tcW w:w="815" w:type="dxa"/>
            <w:vMerge w:val="restart"/>
            <w:vAlign w:val="center"/>
          </w:tcPr>
          <w:p w14:paraId="3F7C096D" w14:textId="77777777" w:rsidR="00090B2D" w:rsidRPr="00090B2D" w:rsidRDefault="00090B2D" w:rsidP="00090B2D">
            <w:pPr>
              <w:keepNext/>
              <w:jc w:val="center"/>
            </w:pPr>
            <w:r w:rsidRPr="00090B2D">
              <w:t>=</w:t>
            </w:r>
          </w:p>
        </w:tc>
        <w:tc>
          <w:tcPr>
            <w:tcW w:w="2268" w:type="dxa"/>
            <w:tcBorders>
              <w:bottom w:val="single" w:sz="4" w:space="0" w:color="auto"/>
            </w:tcBorders>
          </w:tcPr>
          <w:p w14:paraId="14827F14" w14:textId="0EF745C4" w:rsidR="00090B2D" w:rsidRPr="00090B2D" w:rsidRDefault="00090B2D" w:rsidP="0000161C">
            <w:pPr>
              <w:keepNext/>
              <w:ind w:left="31"/>
              <w:jc w:val="center"/>
              <w:rPr>
                <w:b/>
              </w:rPr>
            </w:pPr>
            <w:r w:rsidRPr="00090B2D">
              <w:rPr>
                <w:b/>
              </w:rPr>
              <w:t xml:space="preserve">R x </w:t>
            </w:r>
            <w:r w:rsidR="00B516F5">
              <w:rPr>
                <w:b/>
              </w:rPr>
              <w:t>[</w:t>
            </w:r>
            <w:r w:rsidR="00861F5E">
              <w:rPr>
                <w:b/>
              </w:rPr>
              <w:t>(</w:t>
            </w:r>
            <w:r w:rsidR="0000161C">
              <w:rPr>
                <w:b/>
              </w:rPr>
              <w:t>M</w:t>
            </w:r>
            <w:r w:rsidR="00861F5E">
              <w:rPr>
                <w:b/>
              </w:rPr>
              <w:t xml:space="preserve"> x </w:t>
            </w:r>
            <w:r w:rsidRPr="00090B2D">
              <w:rPr>
                <w:b/>
              </w:rPr>
              <w:t>A</w:t>
            </w:r>
            <w:r w:rsidR="00861F5E">
              <w:rPr>
                <w:b/>
              </w:rPr>
              <w:t>)</w:t>
            </w:r>
            <w:r w:rsidRPr="00090B2D">
              <w:rPr>
                <w:b/>
              </w:rPr>
              <w:t xml:space="preserve"> - B</w:t>
            </w:r>
            <w:r w:rsidR="00B516F5">
              <w:rPr>
                <w:b/>
              </w:rPr>
              <w:t>]</w:t>
            </w:r>
          </w:p>
        </w:tc>
      </w:tr>
      <w:tr w:rsidR="00090B2D" w:rsidRPr="00090B2D" w14:paraId="52C6672B" w14:textId="77777777" w:rsidTr="0000161C">
        <w:tc>
          <w:tcPr>
            <w:tcW w:w="709" w:type="dxa"/>
            <w:vMerge/>
          </w:tcPr>
          <w:p w14:paraId="7AD76548" w14:textId="77777777" w:rsidR="00090B2D" w:rsidRPr="00090B2D" w:rsidRDefault="00090B2D" w:rsidP="00090B2D">
            <w:pPr>
              <w:keepNext/>
              <w:jc w:val="center"/>
            </w:pPr>
          </w:p>
        </w:tc>
        <w:tc>
          <w:tcPr>
            <w:tcW w:w="815" w:type="dxa"/>
            <w:vMerge/>
          </w:tcPr>
          <w:p w14:paraId="34557EA8" w14:textId="77777777" w:rsidR="00090B2D" w:rsidRPr="00090B2D" w:rsidRDefault="00090B2D" w:rsidP="00090B2D">
            <w:pPr>
              <w:keepNext/>
              <w:jc w:val="center"/>
            </w:pPr>
          </w:p>
        </w:tc>
        <w:tc>
          <w:tcPr>
            <w:tcW w:w="2268" w:type="dxa"/>
            <w:tcBorders>
              <w:top w:val="single" w:sz="4" w:space="0" w:color="auto"/>
            </w:tcBorders>
          </w:tcPr>
          <w:p w14:paraId="4EE8C47A" w14:textId="77777777" w:rsidR="00090B2D" w:rsidRPr="00090B2D" w:rsidRDefault="00090B2D" w:rsidP="00090B2D">
            <w:pPr>
              <w:keepNext/>
              <w:jc w:val="center"/>
              <w:rPr>
                <w:b/>
              </w:rPr>
            </w:pPr>
            <w:r w:rsidRPr="00090B2D">
              <w:rPr>
                <w:b/>
              </w:rPr>
              <w:t>E</w:t>
            </w:r>
          </w:p>
        </w:tc>
      </w:tr>
    </w:tbl>
    <w:p w14:paraId="2070B736" w14:textId="77777777" w:rsidR="00090B2D" w:rsidRPr="00090B2D" w:rsidRDefault="00090B2D" w:rsidP="00090B2D">
      <w:pPr>
        <w:keepNext/>
        <w:spacing w:before="240"/>
        <w:ind w:left="1702"/>
        <w:rPr>
          <w:rFonts w:cs="Arial"/>
        </w:rPr>
      </w:pPr>
      <w:r w:rsidRPr="00090B2D">
        <w:rPr>
          <w:rFonts w:cs="Arial"/>
        </w:rPr>
        <w:t>where:</w:t>
      </w:r>
    </w:p>
    <w:p w14:paraId="758F008B" w14:textId="11559367" w:rsidR="00B31F58" w:rsidRPr="00090B2D" w:rsidRDefault="00090B2D" w:rsidP="00B31F58">
      <w:pPr>
        <w:spacing w:before="240"/>
        <w:ind w:left="1702"/>
        <w:rPr>
          <w:rFonts w:cs="Arial"/>
        </w:rPr>
      </w:pPr>
      <w:r w:rsidRPr="00090B2D">
        <w:rPr>
          <w:rFonts w:cs="Arial"/>
          <w:b/>
        </w:rPr>
        <w:t>R</w:t>
      </w:r>
      <w:r w:rsidRPr="00090B2D">
        <w:rPr>
          <w:rFonts w:cs="Arial"/>
        </w:rPr>
        <w:t xml:space="preserve"> means the </w:t>
      </w:r>
      <w:r w:rsidR="0059053D">
        <w:rPr>
          <w:rFonts w:cs="Arial"/>
        </w:rPr>
        <w:t xml:space="preserve">sum of the </w:t>
      </w:r>
      <w:r w:rsidRPr="00090B2D">
        <w:rPr>
          <w:rFonts w:cs="Arial"/>
        </w:rPr>
        <w:t xml:space="preserve">Tier </w:t>
      </w:r>
      <w:r w:rsidR="006F14F5">
        <w:rPr>
          <w:rFonts w:cs="Arial"/>
        </w:rPr>
        <w:t>One</w:t>
      </w:r>
      <w:r w:rsidRPr="00090B2D">
        <w:rPr>
          <w:rFonts w:cs="Arial"/>
        </w:rPr>
        <w:t xml:space="preserve"> AHI Fee</w:t>
      </w:r>
      <w:r w:rsidRPr="00090B2D">
        <w:rPr>
          <w:sz w:val="18"/>
        </w:rPr>
        <w:t xml:space="preserve"> </w:t>
      </w:r>
      <w:r w:rsidRPr="00090B2D">
        <w:rPr>
          <w:rFonts w:cs="Arial"/>
        </w:rPr>
        <w:t xml:space="preserve">plus the </w:t>
      </w:r>
      <w:r w:rsidR="00347D1D">
        <w:rPr>
          <w:rFonts w:cs="Arial"/>
        </w:rPr>
        <w:t>d</w:t>
      </w:r>
      <w:r w:rsidRPr="00090B2D">
        <w:rPr>
          <w:rFonts w:cs="Arial"/>
        </w:rPr>
        <w:t xml:space="preserve">ispensing </w:t>
      </w:r>
      <w:r w:rsidR="00347D1D">
        <w:rPr>
          <w:rFonts w:cs="Arial"/>
        </w:rPr>
        <w:t>f</w:t>
      </w:r>
      <w:r w:rsidRPr="00090B2D">
        <w:rPr>
          <w:rFonts w:cs="Arial"/>
        </w:rPr>
        <w:t xml:space="preserve">ee for RPPBs </w:t>
      </w:r>
      <w:r w:rsidR="00347D1D">
        <w:rPr>
          <w:rFonts w:cs="Arial"/>
        </w:rPr>
        <w:t xml:space="preserve">(as applying under the Determination) </w:t>
      </w:r>
      <w:r w:rsidR="00B31F58">
        <w:rPr>
          <w:rFonts w:cs="Arial"/>
        </w:rPr>
        <w:t>as at the end of the Assessment Period just ended</w:t>
      </w:r>
      <w:r w:rsidR="00B31F58" w:rsidRPr="00090B2D">
        <w:rPr>
          <w:rFonts w:eastAsiaTheme="minorHAnsi" w:cs="Arial"/>
          <w:lang w:eastAsia="en-US"/>
        </w:rPr>
        <w:t>.</w:t>
      </w:r>
      <w:r w:rsidR="00B31F58" w:rsidRPr="00090B2D">
        <w:rPr>
          <w:rFonts w:cs="Arial"/>
        </w:rPr>
        <w:t xml:space="preserve"> </w:t>
      </w:r>
    </w:p>
    <w:p w14:paraId="120850D5" w14:textId="75B658F3" w:rsidR="00861F5E" w:rsidRDefault="0000161C" w:rsidP="00861F5E">
      <w:pPr>
        <w:spacing w:before="240"/>
        <w:ind w:left="1702"/>
        <w:rPr>
          <w:rFonts w:cs="Arial"/>
        </w:rPr>
      </w:pPr>
      <w:r>
        <w:rPr>
          <w:rFonts w:cs="Arial"/>
          <w:b/>
        </w:rPr>
        <w:t>M</w:t>
      </w:r>
      <w:r w:rsidR="00861F5E">
        <w:rPr>
          <w:rFonts w:cs="Arial"/>
          <w:b/>
        </w:rPr>
        <w:t xml:space="preserve"> </w:t>
      </w:r>
      <w:r w:rsidR="00861F5E">
        <w:rPr>
          <w:rFonts w:cs="Arial"/>
        </w:rPr>
        <w:t xml:space="preserve">means the relevant multiplier applicable to the Estimated Subsidised Prescriptions value for the relevant </w:t>
      </w:r>
      <w:r w:rsidR="00193184">
        <w:rPr>
          <w:rFonts w:cs="Arial"/>
        </w:rPr>
        <w:t>A</w:t>
      </w:r>
      <w:r w:rsidR="00861F5E">
        <w:rPr>
          <w:rFonts w:cs="Arial"/>
        </w:rPr>
        <w:t xml:space="preserve">ssessment </w:t>
      </w:r>
      <w:r w:rsidR="00193184">
        <w:rPr>
          <w:rFonts w:cs="Arial"/>
        </w:rPr>
        <w:t>P</w:t>
      </w:r>
      <w:r w:rsidR="00861F5E">
        <w:rPr>
          <w:rFonts w:cs="Arial"/>
        </w:rPr>
        <w:t>eriod, being:</w:t>
      </w:r>
    </w:p>
    <w:p w14:paraId="3D557A74" w14:textId="48982EA1" w:rsidR="00861F5E" w:rsidRDefault="00861F5E" w:rsidP="00861F5E">
      <w:pPr>
        <w:pStyle w:val="legalDefinition"/>
        <w:numPr>
          <w:ilvl w:val="0"/>
          <w:numId w:val="47"/>
        </w:numPr>
        <w:ind w:left="2552"/>
      </w:pPr>
      <w:r>
        <w:t xml:space="preserve">1.0 in the first three </w:t>
      </w:r>
      <w:r w:rsidR="00982178">
        <w:t xml:space="preserve">(3) </w:t>
      </w:r>
      <w:r>
        <w:t>Assessment Periods; and</w:t>
      </w:r>
    </w:p>
    <w:p w14:paraId="2AA0BFCC" w14:textId="31F92036" w:rsidR="00861F5E" w:rsidRDefault="00861F5E" w:rsidP="00861F5E">
      <w:pPr>
        <w:pStyle w:val="legalDefinition"/>
        <w:numPr>
          <w:ilvl w:val="0"/>
          <w:numId w:val="47"/>
        </w:numPr>
        <w:ind w:left="2552"/>
      </w:pPr>
      <w:r>
        <w:t>0.98 for the fourth Assessment Period.</w:t>
      </w:r>
    </w:p>
    <w:p w14:paraId="43D3106E" w14:textId="13478EE2" w:rsidR="00090B2D" w:rsidRPr="00090B2D" w:rsidRDefault="00090B2D" w:rsidP="00861F5E">
      <w:pPr>
        <w:spacing w:before="240"/>
        <w:ind w:left="1702"/>
        <w:rPr>
          <w:rFonts w:cs="Arial"/>
        </w:rPr>
      </w:pPr>
      <w:r w:rsidRPr="00090B2D">
        <w:rPr>
          <w:rFonts w:cs="Arial"/>
          <w:b/>
        </w:rPr>
        <w:t>A</w:t>
      </w:r>
      <w:r w:rsidRPr="00090B2D">
        <w:rPr>
          <w:rFonts w:cs="Arial"/>
        </w:rPr>
        <w:t xml:space="preserve"> means Estimated Subsidised </w:t>
      </w:r>
      <w:r w:rsidR="000367CE" w:rsidRPr="000367CE">
        <w:rPr>
          <w:rFonts w:cs="Arial"/>
        </w:rPr>
        <w:t>Prescription</w:t>
      </w:r>
      <w:r w:rsidR="00A07306">
        <w:rPr>
          <w:rFonts w:cs="Arial"/>
        </w:rPr>
        <w:t>s</w:t>
      </w:r>
      <w:r w:rsidR="000367CE">
        <w:rPr>
          <w:rFonts w:cs="Arial"/>
          <w:b/>
        </w:rPr>
        <w:t xml:space="preserve"> </w:t>
      </w:r>
      <w:r w:rsidRPr="00090B2D">
        <w:rPr>
          <w:rFonts w:cs="Arial"/>
        </w:rPr>
        <w:t>for the Assessment Period just ended.</w:t>
      </w:r>
    </w:p>
    <w:p w14:paraId="132A1DF0" w14:textId="71C46F90" w:rsidR="00090B2D" w:rsidRPr="00090B2D" w:rsidRDefault="00090B2D" w:rsidP="00090B2D">
      <w:pPr>
        <w:spacing w:before="240"/>
        <w:ind w:left="1702"/>
        <w:rPr>
          <w:rFonts w:cs="Arial"/>
        </w:rPr>
      </w:pPr>
      <w:r w:rsidRPr="00090B2D">
        <w:rPr>
          <w:rFonts w:cs="Arial"/>
          <w:b/>
        </w:rPr>
        <w:t>B</w:t>
      </w:r>
      <w:r w:rsidRPr="00090B2D">
        <w:rPr>
          <w:rFonts w:cs="Arial"/>
        </w:rPr>
        <w:t xml:space="preserve"> means Actual Subsidised </w:t>
      </w:r>
      <w:r w:rsidR="000367CE" w:rsidRPr="000367CE">
        <w:rPr>
          <w:rFonts w:cs="Arial"/>
        </w:rPr>
        <w:t>Prescription</w:t>
      </w:r>
      <w:r w:rsidR="00A07306">
        <w:rPr>
          <w:rFonts w:cs="Arial"/>
        </w:rPr>
        <w:t>s</w:t>
      </w:r>
      <w:r w:rsidR="000367CE">
        <w:rPr>
          <w:rFonts w:cs="Arial"/>
          <w:b/>
        </w:rPr>
        <w:t xml:space="preserve"> </w:t>
      </w:r>
      <w:r w:rsidRPr="00090B2D">
        <w:rPr>
          <w:rFonts w:cs="Arial"/>
        </w:rPr>
        <w:t>for the Assessment Period just ended.</w:t>
      </w:r>
    </w:p>
    <w:p w14:paraId="51CB28B9" w14:textId="35347A02" w:rsidR="00090B2D" w:rsidRPr="00090B2D" w:rsidRDefault="00090B2D" w:rsidP="00090B2D">
      <w:pPr>
        <w:spacing w:before="240"/>
        <w:ind w:left="1702"/>
        <w:rPr>
          <w:rFonts w:cs="Arial"/>
        </w:rPr>
      </w:pPr>
      <w:r w:rsidRPr="00090B2D">
        <w:rPr>
          <w:rFonts w:cs="Arial"/>
          <w:b/>
        </w:rPr>
        <w:t>E</w:t>
      </w:r>
      <w:r w:rsidRPr="00090B2D">
        <w:rPr>
          <w:rFonts w:cs="Arial"/>
        </w:rPr>
        <w:t xml:space="preserve"> means T</w:t>
      </w:r>
      <w:r w:rsidRPr="00090B2D">
        <w:rPr>
          <w:rFonts w:eastAsiaTheme="minorHAnsi" w:cs="Arial"/>
          <w:lang w:eastAsia="en-US"/>
        </w:rPr>
        <w:t xml:space="preserve">otal Estimated </w:t>
      </w:r>
      <w:r w:rsidR="000367CE" w:rsidRPr="000367CE">
        <w:rPr>
          <w:rFonts w:cs="Arial"/>
        </w:rPr>
        <w:t>Prescription</w:t>
      </w:r>
      <w:r w:rsidR="00A07306">
        <w:rPr>
          <w:rFonts w:cs="Arial"/>
        </w:rPr>
        <w:t>s</w:t>
      </w:r>
      <w:r w:rsidR="000367CE">
        <w:rPr>
          <w:rFonts w:cs="Arial"/>
          <w:b/>
        </w:rPr>
        <w:t xml:space="preserve"> </w:t>
      </w:r>
      <w:r w:rsidRPr="00090B2D">
        <w:rPr>
          <w:rFonts w:eastAsiaTheme="minorHAnsi" w:cs="Arial"/>
          <w:lang w:eastAsia="en-US"/>
        </w:rPr>
        <w:t>for the Next Financial Year</w:t>
      </w:r>
      <w:r w:rsidRPr="00090B2D">
        <w:rPr>
          <w:rFonts w:cs="Arial"/>
        </w:rPr>
        <w:t>.</w:t>
      </w:r>
    </w:p>
    <w:p w14:paraId="79E6254F" w14:textId="329E1FDF" w:rsidR="00090B2D" w:rsidRPr="00090B2D" w:rsidRDefault="00090B2D" w:rsidP="00090B2D">
      <w:pPr>
        <w:spacing w:before="240"/>
        <w:ind w:left="1702"/>
        <w:rPr>
          <w:rFonts w:cs="Arial"/>
        </w:rPr>
      </w:pPr>
      <w:r w:rsidRPr="00090B2D">
        <w:rPr>
          <w:rFonts w:cs="Arial"/>
          <w:b/>
        </w:rPr>
        <w:t>S</w:t>
      </w:r>
      <w:r w:rsidRPr="00090B2D">
        <w:rPr>
          <w:rFonts w:cs="Arial"/>
        </w:rPr>
        <w:t xml:space="preserve"> means the supplement </w:t>
      </w:r>
      <w:r w:rsidR="00BD72A0">
        <w:rPr>
          <w:rFonts w:cs="Arial"/>
        </w:rPr>
        <w:t>(expressed as a dollar amount</w:t>
      </w:r>
      <w:r w:rsidR="0059053D">
        <w:rPr>
          <w:rFonts w:cs="Arial"/>
        </w:rPr>
        <w:t xml:space="preserve"> and rounded to the nearest cent</w:t>
      </w:r>
      <w:r w:rsidR="00BD72A0">
        <w:rPr>
          <w:rFonts w:cs="Arial"/>
        </w:rPr>
        <w:t xml:space="preserve">) </w:t>
      </w:r>
      <w:r w:rsidRPr="00090B2D">
        <w:rPr>
          <w:rFonts w:cs="Arial"/>
        </w:rPr>
        <w:t xml:space="preserve">to be added to </w:t>
      </w:r>
      <w:r w:rsidR="009A062F">
        <w:rPr>
          <w:rFonts w:cs="Arial"/>
        </w:rPr>
        <w:t>the dollar amount</w:t>
      </w:r>
      <w:r w:rsidR="004A500D">
        <w:rPr>
          <w:rFonts w:cs="Arial"/>
        </w:rPr>
        <w:t xml:space="preserve"> </w:t>
      </w:r>
      <w:r w:rsidR="006F14F5">
        <w:rPr>
          <w:rFonts w:cs="Arial"/>
        </w:rPr>
        <w:t>of the Tier One AHI Fee</w:t>
      </w:r>
      <w:r w:rsidRPr="00090B2D">
        <w:rPr>
          <w:rFonts w:cs="Arial"/>
        </w:rPr>
        <w:t xml:space="preserve"> after Indexation at the beginning of the Next Financial Year.</w:t>
      </w:r>
    </w:p>
    <w:p w14:paraId="0D323B51" w14:textId="39397A97" w:rsidR="00090B2D" w:rsidRPr="00326000" w:rsidRDefault="003751AF" w:rsidP="00326000">
      <w:pPr>
        <w:pStyle w:val="Numpara1"/>
        <w:keepNext/>
        <w:rPr>
          <w:b/>
        </w:rPr>
      </w:pPr>
      <w:bookmarkStart w:id="726" w:name="_Ref34993131"/>
      <w:bookmarkStart w:id="727" w:name="_Ref30609021"/>
      <w:r>
        <w:rPr>
          <w:b/>
        </w:rPr>
        <w:t xml:space="preserve">Reduction to </w:t>
      </w:r>
      <w:r w:rsidR="00090B2D" w:rsidRPr="00326000">
        <w:rPr>
          <w:b/>
        </w:rPr>
        <w:t>the Commonwealth Price a</w:t>
      </w:r>
      <w:r w:rsidR="007E59D2">
        <w:rPr>
          <w:b/>
        </w:rPr>
        <w:t>ris</w:t>
      </w:r>
      <w:r w:rsidR="00090B2D" w:rsidRPr="00326000">
        <w:rPr>
          <w:b/>
        </w:rPr>
        <w:t>ing from Calculation 3</w:t>
      </w:r>
      <w:bookmarkEnd w:id="726"/>
    </w:p>
    <w:p w14:paraId="5B1A5064" w14:textId="5F0D53E8" w:rsidR="00090B2D" w:rsidRPr="00090B2D" w:rsidRDefault="00090B2D" w:rsidP="00326000">
      <w:pPr>
        <w:keepNext/>
        <w:spacing w:before="240"/>
        <w:ind w:left="851"/>
        <w:rPr>
          <w:rFonts w:cs="Arial"/>
        </w:rPr>
      </w:pPr>
      <w:r w:rsidRPr="00090B2D">
        <w:rPr>
          <w:rFonts w:cs="Arial"/>
        </w:rPr>
        <w:t xml:space="preserve">If a </w:t>
      </w:r>
      <w:r w:rsidR="003751AF">
        <w:rPr>
          <w:rFonts w:cs="Arial"/>
        </w:rPr>
        <w:t xml:space="preserve">reduction to </w:t>
      </w:r>
      <w:r w:rsidRPr="00090B2D">
        <w:rPr>
          <w:rFonts w:cs="Arial"/>
        </w:rPr>
        <w:t xml:space="preserve">the Commonwealth Price is required under Calculation 3, then the Department will determine the </w:t>
      </w:r>
      <w:r w:rsidR="003751AF">
        <w:rPr>
          <w:rFonts w:cs="Arial"/>
        </w:rPr>
        <w:t>r</w:t>
      </w:r>
      <w:r w:rsidR="003751AF" w:rsidRPr="00090B2D">
        <w:rPr>
          <w:rFonts w:cs="Arial"/>
        </w:rPr>
        <w:t xml:space="preserve">eduction </w:t>
      </w:r>
      <w:r w:rsidR="003751AF">
        <w:rPr>
          <w:rFonts w:cs="Arial"/>
        </w:rPr>
        <w:t>to</w:t>
      </w:r>
      <w:r w:rsidR="003751AF" w:rsidRPr="00090B2D">
        <w:rPr>
          <w:rFonts w:cs="Arial"/>
        </w:rPr>
        <w:t xml:space="preserve"> </w:t>
      </w:r>
      <w:r w:rsidRPr="00090B2D">
        <w:rPr>
          <w:rFonts w:cs="Arial"/>
        </w:rPr>
        <w:t>the Commonwealth Price for the Next Financial Year by applying the following formula:</w:t>
      </w:r>
    </w:p>
    <w:p w14:paraId="1B8AEE7D" w14:textId="77777777" w:rsidR="00090B2D" w:rsidRPr="00090B2D" w:rsidRDefault="00090B2D" w:rsidP="00090B2D">
      <w:pPr>
        <w:keepNext/>
      </w:pPr>
    </w:p>
    <w:tbl>
      <w:tblPr>
        <w:tblW w:w="0" w:type="auto"/>
        <w:tblInd w:w="2445" w:type="dxa"/>
        <w:tblLook w:val="0000" w:firstRow="0" w:lastRow="0" w:firstColumn="0" w:lastColumn="0" w:noHBand="0" w:noVBand="0"/>
      </w:tblPr>
      <w:tblGrid>
        <w:gridCol w:w="709"/>
        <w:gridCol w:w="815"/>
        <w:gridCol w:w="2552"/>
      </w:tblGrid>
      <w:tr w:rsidR="00090B2D" w:rsidRPr="00090B2D" w14:paraId="41F2E6C3" w14:textId="77777777" w:rsidTr="0000161C">
        <w:tc>
          <w:tcPr>
            <w:tcW w:w="709" w:type="dxa"/>
            <w:vMerge w:val="restart"/>
            <w:vAlign w:val="center"/>
          </w:tcPr>
          <w:p w14:paraId="3BEBE2F0" w14:textId="77777777" w:rsidR="00090B2D" w:rsidRPr="00090B2D" w:rsidRDefault="00090B2D" w:rsidP="00090B2D">
            <w:pPr>
              <w:keepNext/>
              <w:jc w:val="center"/>
              <w:rPr>
                <w:b/>
              </w:rPr>
            </w:pPr>
            <w:r w:rsidRPr="00090B2D">
              <w:rPr>
                <w:b/>
              </w:rPr>
              <w:t>D</w:t>
            </w:r>
          </w:p>
        </w:tc>
        <w:tc>
          <w:tcPr>
            <w:tcW w:w="815" w:type="dxa"/>
            <w:vMerge w:val="restart"/>
            <w:vAlign w:val="center"/>
          </w:tcPr>
          <w:p w14:paraId="636DED7F" w14:textId="77777777" w:rsidR="00090B2D" w:rsidRPr="00090B2D" w:rsidRDefault="00090B2D" w:rsidP="00090B2D">
            <w:pPr>
              <w:keepNext/>
              <w:jc w:val="center"/>
            </w:pPr>
            <w:r w:rsidRPr="00090B2D">
              <w:t>=</w:t>
            </w:r>
          </w:p>
        </w:tc>
        <w:tc>
          <w:tcPr>
            <w:tcW w:w="2552" w:type="dxa"/>
            <w:tcBorders>
              <w:bottom w:val="single" w:sz="4" w:space="0" w:color="auto"/>
            </w:tcBorders>
          </w:tcPr>
          <w:p w14:paraId="0B3D18F3" w14:textId="630AE70A" w:rsidR="00090B2D" w:rsidRPr="00090B2D" w:rsidRDefault="00090B2D" w:rsidP="0000161C">
            <w:pPr>
              <w:keepNext/>
              <w:jc w:val="center"/>
              <w:rPr>
                <w:b/>
              </w:rPr>
            </w:pPr>
            <w:r w:rsidRPr="00090B2D">
              <w:rPr>
                <w:b/>
              </w:rPr>
              <w:t xml:space="preserve">R x </w:t>
            </w:r>
            <w:r w:rsidR="00982178">
              <w:rPr>
                <w:b/>
              </w:rPr>
              <w:t>[</w:t>
            </w:r>
            <w:r w:rsidRPr="00090B2D">
              <w:rPr>
                <w:b/>
              </w:rPr>
              <w:t xml:space="preserve">B </w:t>
            </w:r>
            <w:r w:rsidR="00861F5E">
              <w:rPr>
                <w:b/>
              </w:rPr>
              <w:t>–</w:t>
            </w:r>
            <w:r w:rsidRPr="00090B2D">
              <w:rPr>
                <w:b/>
              </w:rPr>
              <w:t xml:space="preserve"> </w:t>
            </w:r>
            <w:r w:rsidR="00861F5E">
              <w:rPr>
                <w:b/>
              </w:rPr>
              <w:t xml:space="preserve">(1.05 x </w:t>
            </w:r>
            <w:r w:rsidRPr="00090B2D">
              <w:rPr>
                <w:b/>
              </w:rPr>
              <w:t>A</w:t>
            </w:r>
            <w:r w:rsidR="00861F5E">
              <w:rPr>
                <w:b/>
              </w:rPr>
              <w:t>)</w:t>
            </w:r>
            <w:r w:rsidR="00982178">
              <w:rPr>
                <w:b/>
              </w:rPr>
              <w:t>]</w:t>
            </w:r>
          </w:p>
        </w:tc>
      </w:tr>
      <w:tr w:rsidR="00090B2D" w:rsidRPr="00090B2D" w14:paraId="3CD4711A" w14:textId="77777777" w:rsidTr="0000161C">
        <w:tc>
          <w:tcPr>
            <w:tcW w:w="709" w:type="dxa"/>
            <w:vMerge/>
          </w:tcPr>
          <w:p w14:paraId="1E8BA16E" w14:textId="77777777" w:rsidR="00090B2D" w:rsidRPr="00090B2D" w:rsidRDefault="00090B2D" w:rsidP="00090B2D">
            <w:pPr>
              <w:keepNext/>
              <w:jc w:val="center"/>
            </w:pPr>
          </w:p>
        </w:tc>
        <w:tc>
          <w:tcPr>
            <w:tcW w:w="815" w:type="dxa"/>
            <w:vMerge/>
          </w:tcPr>
          <w:p w14:paraId="6DBCC396" w14:textId="77777777" w:rsidR="00090B2D" w:rsidRPr="00090B2D" w:rsidRDefault="00090B2D" w:rsidP="00090B2D">
            <w:pPr>
              <w:keepNext/>
              <w:jc w:val="center"/>
            </w:pPr>
          </w:p>
        </w:tc>
        <w:tc>
          <w:tcPr>
            <w:tcW w:w="2552" w:type="dxa"/>
            <w:tcBorders>
              <w:top w:val="single" w:sz="4" w:space="0" w:color="auto"/>
            </w:tcBorders>
          </w:tcPr>
          <w:p w14:paraId="7DA84E65" w14:textId="77777777" w:rsidR="00090B2D" w:rsidRPr="00090B2D" w:rsidRDefault="00090B2D" w:rsidP="00090B2D">
            <w:pPr>
              <w:keepNext/>
              <w:jc w:val="center"/>
              <w:rPr>
                <w:b/>
              </w:rPr>
            </w:pPr>
            <w:r w:rsidRPr="00090B2D">
              <w:rPr>
                <w:b/>
              </w:rPr>
              <w:t>E</w:t>
            </w:r>
          </w:p>
        </w:tc>
      </w:tr>
    </w:tbl>
    <w:p w14:paraId="3D03C863" w14:textId="77777777" w:rsidR="00090B2D" w:rsidRPr="00090B2D" w:rsidRDefault="00090B2D" w:rsidP="00090B2D">
      <w:pPr>
        <w:keepNext/>
        <w:spacing w:before="240"/>
        <w:ind w:left="1702"/>
        <w:rPr>
          <w:rFonts w:cs="Arial"/>
        </w:rPr>
      </w:pPr>
      <w:r w:rsidRPr="00090B2D">
        <w:rPr>
          <w:rFonts w:cs="Arial"/>
        </w:rPr>
        <w:t>where:</w:t>
      </w:r>
    </w:p>
    <w:p w14:paraId="5DB4F48C" w14:textId="5B8CF4CA" w:rsidR="00B31F58" w:rsidRPr="00090B2D" w:rsidRDefault="00090B2D" w:rsidP="00B31F58">
      <w:pPr>
        <w:spacing w:before="240"/>
        <w:ind w:left="1702"/>
        <w:rPr>
          <w:rFonts w:cs="Arial"/>
        </w:rPr>
      </w:pPr>
      <w:r w:rsidRPr="00090B2D">
        <w:rPr>
          <w:rFonts w:cs="Arial"/>
          <w:b/>
        </w:rPr>
        <w:t>R</w:t>
      </w:r>
      <w:r w:rsidRPr="00090B2D">
        <w:rPr>
          <w:rFonts w:cs="Arial"/>
        </w:rPr>
        <w:t xml:space="preserve"> means the </w:t>
      </w:r>
      <w:r w:rsidR="0059053D">
        <w:rPr>
          <w:rFonts w:cs="Arial"/>
        </w:rPr>
        <w:t xml:space="preserve">sum of the </w:t>
      </w:r>
      <w:r w:rsidRPr="00090B2D">
        <w:rPr>
          <w:rFonts w:cs="Arial"/>
        </w:rPr>
        <w:t xml:space="preserve">Tier </w:t>
      </w:r>
      <w:r w:rsidR="006F14F5">
        <w:rPr>
          <w:rFonts w:cs="Arial"/>
        </w:rPr>
        <w:t>One</w:t>
      </w:r>
      <w:r w:rsidR="006F14F5" w:rsidRPr="00090B2D">
        <w:rPr>
          <w:rFonts w:cs="Arial"/>
        </w:rPr>
        <w:t xml:space="preserve"> </w:t>
      </w:r>
      <w:r w:rsidRPr="00090B2D">
        <w:rPr>
          <w:rFonts w:cs="Arial"/>
        </w:rPr>
        <w:t>AHI Fee</w:t>
      </w:r>
      <w:r w:rsidRPr="00090B2D">
        <w:rPr>
          <w:sz w:val="18"/>
        </w:rPr>
        <w:t xml:space="preserve"> </w:t>
      </w:r>
      <w:r w:rsidRPr="00090B2D">
        <w:rPr>
          <w:rFonts w:cs="Arial"/>
        </w:rPr>
        <w:t xml:space="preserve">plus the </w:t>
      </w:r>
      <w:r w:rsidR="00347D1D">
        <w:rPr>
          <w:rFonts w:cs="Arial"/>
        </w:rPr>
        <w:t>d</w:t>
      </w:r>
      <w:r w:rsidRPr="00090B2D">
        <w:rPr>
          <w:rFonts w:cs="Arial"/>
        </w:rPr>
        <w:t xml:space="preserve">ispensing </w:t>
      </w:r>
      <w:r w:rsidR="00347D1D">
        <w:rPr>
          <w:rFonts w:cs="Arial"/>
        </w:rPr>
        <w:t>f</w:t>
      </w:r>
      <w:r w:rsidRPr="00090B2D">
        <w:rPr>
          <w:rFonts w:cs="Arial"/>
        </w:rPr>
        <w:t>ee for RP</w:t>
      </w:r>
      <w:r w:rsidR="00BD72A0">
        <w:rPr>
          <w:rFonts w:cs="Arial"/>
        </w:rPr>
        <w:t>P</w:t>
      </w:r>
      <w:r w:rsidRPr="00090B2D">
        <w:rPr>
          <w:rFonts w:cs="Arial"/>
        </w:rPr>
        <w:t>B</w:t>
      </w:r>
      <w:r w:rsidR="00BD72A0">
        <w:rPr>
          <w:rFonts w:cs="Arial"/>
        </w:rPr>
        <w:t>s</w:t>
      </w:r>
      <w:r w:rsidRPr="00090B2D">
        <w:rPr>
          <w:rFonts w:cs="Arial"/>
        </w:rPr>
        <w:t xml:space="preserve"> </w:t>
      </w:r>
      <w:r w:rsidR="00347D1D">
        <w:rPr>
          <w:rFonts w:cs="Arial"/>
        </w:rPr>
        <w:t xml:space="preserve">(as applying under the Determination) </w:t>
      </w:r>
      <w:r w:rsidR="00B31F58">
        <w:rPr>
          <w:rFonts w:cs="Arial"/>
        </w:rPr>
        <w:t>as at the end of the Assessment Period just ended</w:t>
      </w:r>
      <w:r w:rsidR="00B31F58" w:rsidRPr="00090B2D">
        <w:rPr>
          <w:rFonts w:eastAsiaTheme="minorHAnsi" w:cs="Arial"/>
          <w:lang w:eastAsia="en-US"/>
        </w:rPr>
        <w:t>.</w:t>
      </w:r>
      <w:r w:rsidR="00B31F58" w:rsidRPr="00090B2D">
        <w:rPr>
          <w:rFonts w:cs="Arial"/>
        </w:rPr>
        <w:t xml:space="preserve"> </w:t>
      </w:r>
    </w:p>
    <w:p w14:paraId="7CCB54DF" w14:textId="1D58CB0B" w:rsidR="00090B2D" w:rsidRPr="00090B2D" w:rsidRDefault="00090B2D" w:rsidP="00090B2D">
      <w:pPr>
        <w:spacing w:before="240"/>
        <w:ind w:left="1702"/>
        <w:rPr>
          <w:rFonts w:cs="Arial"/>
        </w:rPr>
      </w:pPr>
      <w:r w:rsidRPr="00090B2D">
        <w:rPr>
          <w:rFonts w:cs="Arial"/>
          <w:b/>
        </w:rPr>
        <w:t>A</w:t>
      </w:r>
      <w:r w:rsidRPr="00090B2D">
        <w:rPr>
          <w:rFonts w:cs="Arial"/>
        </w:rPr>
        <w:t xml:space="preserve"> means Estimated Subsidised </w:t>
      </w:r>
      <w:r w:rsidR="000367CE" w:rsidRPr="000367CE">
        <w:rPr>
          <w:rFonts w:cs="Arial"/>
        </w:rPr>
        <w:t>Prescription</w:t>
      </w:r>
      <w:r w:rsidR="00D72D07">
        <w:rPr>
          <w:rFonts w:cs="Arial"/>
        </w:rPr>
        <w:t>s</w:t>
      </w:r>
      <w:r w:rsidR="000367CE">
        <w:rPr>
          <w:rFonts w:cs="Arial"/>
          <w:b/>
        </w:rPr>
        <w:t xml:space="preserve"> </w:t>
      </w:r>
      <w:r w:rsidRPr="00090B2D">
        <w:rPr>
          <w:rFonts w:cs="Arial"/>
        </w:rPr>
        <w:t>for the Assessment Period just ended.</w:t>
      </w:r>
    </w:p>
    <w:p w14:paraId="1F83F67C" w14:textId="78E53700" w:rsidR="00090B2D" w:rsidRPr="00090B2D" w:rsidRDefault="00090B2D" w:rsidP="00090B2D">
      <w:pPr>
        <w:spacing w:before="240"/>
        <w:ind w:left="1702"/>
        <w:rPr>
          <w:rFonts w:cs="Arial"/>
        </w:rPr>
      </w:pPr>
      <w:r w:rsidRPr="00090B2D">
        <w:rPr>
          <w:rFonts w:cs="Arial"/>
          <w:b/>
        </w:rPr>
        <w:t>B</w:t>
      </w:r>
      <w:r w:rsidRPr="00090B2D">
        <w:rPr>
          <w:rFonts w:cs="Arial"/>
        </w:rPr>
        <w:t xml:space="preserve"> means Actual Subsidised </w:t>
      </w:r>
      <w:r w:rsidR="000367CE" w:rsidRPr="000367CE">
        <w:rPr>
          <w:rFonts w:cs="Arial"/>
        </w:rPr>
        <w:t>Prescription</w:t>
      </w:r>
      <w:r w:rsidR="00D72D07">
        <w:rPr>
          <w:rFonts w:cs="Arial"/>
        </w:rPr>
        <w:t>s</w:t>
      </w:r>
      <w:r w:rsidR="000367CE">
        <w:rPr>
          <w:rFonts w:cs="Arial"/>
          <w:b/>
        </w:rPr>
        <w:t xml:space="preserve"> </w:t>
      </w:r>
      <w:r w:rsidRPr="00090B2D">
        <w:rPr>
          <w:rFonts w:cs="Arial"/>
        </w:rPr>
        <w:t>for the Assessment Period just ended.</w:t>
      </w:r>
    </w:p>
    <w:p w14:paraId="2493B61C" w14:textId="72721DB7" w:rsidR="00090B2D" w:rsidRPr="00090B2D" w:rsidRDefault="00090B2D" w:rsidP="00090B2D">
      <w:pPr>
        <w:spacing w:before="240"/>
        <w:ind w:left="1702"/>
        <w:rPr>
          <w:rFonts w:cs="Arial"/>
        </w:rPr>
      </w:pPr>
      <w:r w:rsidRPr="00090B2D">
        <w:rPr>
          <w:rFonts w:cs="Arial"/>
          <w:b/>
        </w:rPr>
        <w:t>E</w:t>
      </w:r>
      <w:r w:rsidRPr="00090B2D">
        <w:rPr>
          <w:rFonts w:cs="Arial"/>
        </w:rPr>
        <w:t xml:space="preserve"> means T</w:t>
      </w:r>
      <w:r w:rsidRPr="00090B2D">
        <w:rPr>
          <w:rFonts w:eastAsiaTheme="minorHAnsi" w:cs="Arial"/>
          <w:lang w:eastAsia="en-US"/>
        </w:rPr>
        <w:t xml:space="preserve">otal Estimated </w:t>
      </w:r>
      <w:r w:rsidR="000367CE" w:rsidRPr="000367CE">
        <w:rPr>
          <w:rFonts w:cs="Arial"/>
        </w:rPr>
        <w:t>Prescription</w:t>
      </w:r>
      <w:r w:rsidR="00D72D07">
        <w:rPr>
          <w:rFonts w:cs="Arial"/>
        </w:rPr>
        <w:t>s</w:t>
      </w:r>
      <w:r w:rsidR="000367CE">
        <w:rPr>
          <w:rFonts w:cs="Arial"/>
          <w:b/>
        </w:rPr>
        <w:t xml:space="preserve"> </w:t>
      </w:r>
      <w:r w:rsidRPr="00090B2D">
        <w:rPr>
          <w:rFonts w:eastAsiaTheme="minorHAnsi" w:cs="Arial"/>
          <w:lang w:eastAsia="en-US"/>
        </w:rPr>
        <w:t>for the Next Financial Year</w:t>
      </w:r>
      <w:r w:rsidRPr="00090B2D">
        <w:rPr>
          <w:rFonts w:cs="Arial"/>
        </w:rPr>
        <w:t>.</w:t>
      </w:r>
    </w:p>
    <w:p w14:paraId="51BE1973" w14:textId="1EEAE294" w:rsidR="00090B2D" w:rsidRPr="00090B2D" w:rsidRDefault="00090B2D" w:rsidP="00090B2D">
      <w:pPr>
        <w:spacing w:before="240"/>
        <w:ind w:left="1702"/>
        <w:rPr>
          <w:rFonts w:cs="Arial"/>
        </w:rPr>
      </w:pPr>
      <w:r w:rsidRPr="00090B2D">
        <w:rPr>
          <w:rFonts w:cs="Arial"/>
          <w:b/>
        </w:rPr>
        <w:t>D</w:t>
      </w:r>
      <w:r w:rsidRPr="00090B2D">
        <w:rPr>
          <w:rFonts w:cs="Arial"/>
        </w:rPr>
        <w:t xml:space="preserve"> means the </w:t>
      </w:r>
      <w:r w:rsidR="003751AF">
        <w:rPr>
          <w:rFonts w:cs="Arial"/>
        </w:rPr>
        <w:t>reduction</w:t>
      </w:r>
      <w:r w:rsidR="003751AF" w:rsidRPr="00090B2D">
        <w:rPr>
          <w:rFonts w:cs="Arial"/>
        </w:rPr>
        <w:t xml:space="preserve"> </w:t>
      </w:r>
      <w:r w:rsidR="00BD72A0">
        <w:rPr>
          <w:rFonts w:cs="Arial"/>
        </w:rPr>
        <w:t>(expressed as a dollar amount</w:t>
      </w:r>
      <w:r w:rsidR="0059053D">
        <w:rPr>
          <w:rFonts w:cs="Arial"/>
        </w:rPr>
        <w:t xml:space="preserve"> and rounded</w:t>
      </w:r>
      <w:r w:rsidR="009E6842">
        <w:rPr>
          <w:rFonts w:cs="Arial"/>
        </w:rPr>
        <w:t xml:space="preserve"> </w:t>
      </w:r>
      <w:r w:rsidR="0059053D">
        <w:rPr>
          <w:rFonts w:cs="Arial"/>
        </w:rPr>
        <w:t>to the nearest cent</w:t>
      </w:r>
      <w:r w:rsidR="00BD72A0">
        <w:rPr>
          <w:rFonts w:cs="Arial"/>
        </w:rPr>
        <w:t xml:space="preserve">) </w:t>
      </w:r>
      <w:r w:rsidRPr="00090B2D">
        <w:rPr>
          <w:rFonts w:cs="Arial"/>
        </w:rPr>
        <w:t xml:space="preserve">to be made from </w:t>
      </w:r>
      <w:r w:rsidR="006F14F5">
        <w:rPr>
          <w:rFonts w:cs="Arial"/>
        </w:rPr>
        <w:t xml:space="preserve">the Tier One AHI Fee </w:t>
      </w:r>
      <w:r w:rsidRPr="00090B2D">
        <w:rPr>
          <w:rFonts w:cs="Arial"/>
        </w:rPr>
        <w:t>after Indexation is added at the beginning of the Next Financial Year.</w:t>
      </w:r>
      <w:bookmarkStart w:id="728" w:name="_Ref30610510"/>
      <w:bookmarkEnd w:id="727"/>
      <w:r w:rsidRPr="00090B2D">
        <w:rPr>
          <w:rFonts w:cs="Arial"/>
        </w:rPr>
        <w:t xml:space="preserve"> </w:t>
      </w:r>
    </w:p>
    <w:p w14:paraId="04E34359" w14:textId="04EC18B7" w:rsidR="00090B2D" w:rsidRPr="00090B2D" w:rsidRDefault="00090B2D" w:rsidP="00090B2D">
      <w:pPr>
        <w:spacing w:before="240"/>
        <w:ind w:left="851"/>
        <w:rPr>
          <w:rFonts w:cs="Arial"/>
        </w:rPr>
      </w:pPr>
      <w:r w:rsidRPr="00090B2D">
        <w:rPr>
          <w:rFonts w:cs="Arial"/>
        </w:rPr>
        <w:t xml:space="preserve">If the </w:t>
      </w:r>
      <w:r w:rsidR="003751AF">
        <w:rPr>
          <w:rFonts w:cs="Arial"/>
        </w:rPr>
        <w:t>r</w:t>
      </w:r>
      <w:r w:rsidR="003751AF" w:rsidRPr="00090B2D">
        <w:rPr>
          <w:rFonts w:cs="Arial"/>
        </w:rPr>
        <w:t xml:space="preserve">eduction </w:t>
      </w:r>
      <w:r w:rsidRPr="00090B2D">
        <w:rPr>
          <w:rFonts w:cs="Arial"/>
        </w:rPr>
        <w:t>exceeds the Tier</w:t>
      </w:r>
      <w:r w:rsidR="006F14F5">
        <w:rPr>
          <w:rFonts w:cs="Arial"/>
        </w:rPr>
        <w:t xml:space="preserve"> One</w:t>
      </w:r>
      <w:r w:rsidRPr="00090B2D">
        <w:rPr>
          <w:rFonts w:cs="Arial"/>
        </w:rPr>
        <w:t xml:space="preserve"> AHI Fee, the remainder of the </w:t>
      </w:r>
      <w:r w:rsidR="003751AF">
        <w:rPr>
          <w:rFonts w:cs="Arial"/>
        </w:rPr>
        <w:t>r</w:t>
      </w:r>
      <w:r w:rsidR="003751AF" w:rsidRPr="00090B2D">
        <w:rPr>
          <w:rFonts w:cs="Arial"/>
        </w:rPr>
        <w:t xml:space="preserve">eduction </w:t>
      </w:r>
      <w:r w:rsidR="009A062F">
        <w:rPr>
          <w:rFonts w:cs="Arial"/>
        </w:rPr>
        <w:t xml:space="preserve">in excess of the Tier </w:t>
      </w:r>
      <w:r w:rsidR="006F14F5">
        <w:rPr>
          <w:rFonts w:cs="Arial"/>
        </w:rPr>
        <w:t>One</w:t>
      </w:r>
      <w:r w:rsidR="009A062F">
        <w:rPr>
          <w:rFonts w:cs="Arial"/>
        </w:rPr>
        <w:t xml:space="preserve"> AHI Fee </w:t>
      </w:r>
      <w:r w:rsidRPr="00090B2D">
        <w:rPr>
          <w:rFonts w:cs="Arial"/>
        </w:rPr>
        <w:t xml:space="preserve">will be </w:t>
      </w:r>
      <w:r w:rsidR="009A062F">
        <w:rPr>
          <w:rFonts w:cs="Arial"/>
        </w:rPr>
        <w:t>deducted from</w:t>
      </w:r>
      <w:r w:rsidRPr="00090B2D">
        <w:rPr>
          <w:rFonts w:cs="Arial"/>
        </w:rPr>
        <w:t xml:space="preserve"> the dispensing fee</w:t>
      </w:r>
      <w:r w:rsidR="00347D1D">
        <w:rPr>
          <w:rFonts w:cs="Arial"/>
        </w:rPr>
        <w:t xml:space="preserve"> for RPPBs</w:t>
      </w:r>
      <w:r w:rsidRPr="00090B2D">
        <w:rPr>
          <w:rFonts w:cs="Arial"/>
        </w:rPr>
        <w:t xml:space="preserve">. </w:t>
      </w:r>
      <w:r w:rsidR="00524D87">
        <w:rPr>
          <w:rFonts w:cs="Arial"/>
        </w:rPr>
        <w:t>Any</w:t>
      </w:r>
      <w:r w:rsidR="00524D87" w:rsidRPr="00090B2D">
        <w:rPr>
          <w:rFonts w:cs="Arial"/>
        </w:rPr>
        <w:t xml:space="preserve"> </w:t>
      </w:r>
      <w:r w:rsidR="003751AF">
        <w:rPr>
          <w:rFonts w:cs="Arial"/>
        </w:rPr>
        <w:t>r</w:t>
      </w:r>
      <w:r w:rsidR="003751AF" w:rsidRPr="00090B2D">
        <w:rPr>
          <w:rFonts w:cs="Arial"/>
        </w:rPr>
        <w:t xml:space="preserve">eduction </w:t>
      </w:r>
      <w:r w:rsidR="003751AF">
        <w:rPr>
          <w:rFonts w:cs="Arial"/>
        </w:rPr>
        <w:t>to</w:t>
      </w:r>
      <w:r w:rsidR="003751AF" w:rsidRPr="00090B2D">
        <w:rPr>
          <w:rFonts w:cs="Arial"/>
        </w:rPr>
        <w:t xml:space="preserve"> </w:t>
      </w:r>
      <w:r w:rsidRPr="00090B2D">
        <w:rPr>
          <w:rFonts w:cs="Arial"/>
        </w:rPr>
        <w:t xml:space="preserve">the Tier </w:t>
      </w:r>
      <w:r w:rsidR="00524D87">
        <w:rPr>
          <w:rFonts w:cs="Arial"/>
        </w:rPr>
        <w:t>T</w:t>
      </w:r>
      <w:r w:rsidR="006F14F5">
        <w:rPr>
          <w:rFonts w:cs="Arial"/>
        </w:rPr>
        <w:t>wo</w:t>
      </w:r>
      <w:r w:rsidRPr="00090B2D">
        <w:rPr>
          <w:rFonts w:cs="Arial"/>
        </w:rPr>
        <w:t xml:space="preserve"> AHI Fee and the Tier </w:t>
      </w:r>
      <w:r w:rsidR="00524D87">
        <w:rPr>
          <w:rFonts w:cs="Arial"/>
        </w:rPr>
        <w:t>T</w:t>
      </w:r>
      <w:r w:rsidR="006F14F5">
        <w:rPr>
          <w:rFonts w:cs="Arial"/>
        </w:rPr>
        <w:t xml:space="preserve">hree </w:t>
      </w:r>
      <w:r w:rsidRPr="00090B2D">
        <w:rPr>
          <w:rFonts w:cs="Arial"/>
        </w:rPr>
        <w:t xml:space="preserve">AHI Fee will not exceed </w:t>
      </w:r>
      <w:r w:rsidR="00524D87">
        <w:rPr>
          <w:rFonts w:cs="Arial"/>
        </w:rPr>
        <w:t>any</w:t>
      </w:r>
      <w:r w:rsidR="00524D87" w:rsidRPr="00090B2D">
        <w:rPr>
          <w:rFonts w:cs="Arial"/>
        </w:rPr>
        <w:t xml:space="preserve"> </w:t>
      </w:r>
      <w:r w:rsidR="003751AF">
        <w:rPr>
          <w:rFonts w:cs="Arial"/>
        </w:rPr>
        <w:t>r</w:t>
      </w:r>
      <w:r w:rsidR="003751AF" w:rsidRPr="00090B2D">
        <w:rPr>
          <w:rFonts w:cs="Arial"/>
        </w:rPr>
        <w:t xml:space="preserve">eduction </w:t>
      </w:r>
      <w:r w:rsidRPr="00090B2D">
        <w:rPr>
          <w:rFonts w:cs="Arial"/>
        </w:rPr>
        <w:t xml:space="preserve">applied to the Tier </w:t>
      </w:r>
      <w:r w:rsidR="006F14F5">
        <w:rPr>
          <w:rFonts w:cs="Arial"/>
        </w:rPr>
        <w:t>One</w:t>
      </w:r>
      <w:r w:rsidR="006F14F5" w:rsidRPr="00090B2D">
        <w:rPr>
          <w:rFonts w:cs="Arial"/>
        </w:rPr>
        <w:t xml:space="preserve"> </w:t>
      </w:r>
      <w:r w:rsidRPr="00090B2D">
        <w:rPr>
          <w:rFonts w:cs="Arial"/>
        </w:rPr>
        <w:t>AHI Fee.</w:t>
      </w:r>
    </w:p>
    <w:p w14:paraId="49EBEE39" w14:textId="68EDE487" w:rsidR="007E59D2" w:rsidRDefault="007E59D2" w:rsidP="00326000">
      <w:pPr>
        <w:pStyle w:val="Numpara1"/>
        <w:rPr>
          <w:b/>
        </w:rPr>
      </w:pPr>
      <w:bookmarkStart w:id="729" w:name="_Ref35171045"/>
      <w:r>
        <w:rPr>
          <w:b/>
        </w:rPr>
        <w:t>Adjustment of the Additional Patient Charge</w:t>
      </w:r>
    </w:p>
    <w:p w14:paraId="0964F1E1" w14:textId="39A65F8C" w:rsidR="007E59D2" w:rsidRDefault="007E59D2" w:rsidP="007E59D2">
      <w:pPr>
        <w:pStyle w:val="Numpara2"/>
      </w:pPr>
      <w:r>
        <w:t xml:space="preserve">Where the Commonwealth Price is increased </w:t>
      </w:r>
      <w:r w:rsidR="00CB5C04">
        <w:t xml:space="preserve">in the Next Financial Year </w:t>
      </w:r>
      <w:r>
        <w:t xml:space="preserve">as a result of </w:t>
      </w:r>
      <w:r w:rsidR="00CB5C04">
        <w:t xml:space="preserve">a supplement (S) arrived at under </w:t>
      </w:r>
      <w:r w:rsidR="00861F5E">
        <w:t xml:space="preserve">section </w:t>
      </w:r>
      <w:r w:rsidR="00861F5E">
        <w:fldChar w:fldCharType="begin"/>
      </w:r>
      <w:r w:rsidR="00861F5E">
        <w:instrText xml:space="preserve"> REF _Ref34993113 \r \h </w:instrText>
      </w:r>
      <w:r w:rsidR="00861F5E">
        <w:fldChar w:fldCharType="separate"/>
      </w:r>
      <w:r w:rsidR="00982D02">
        <w:t>3</w:t>
      </w:r>
      <w:r w:rsidR="00861F5E">
        <w:fldChar w:fldCharType="end"/>
      </w:r>
      <w:r w:rsidR="00CB5C04">
        <w:t xml:space="preserve"> above</w:t>
      </w:r>
      <w:r>
        <w:t xml:space="preserve">, the </w:t>
      </w:r>
      <w:r w:rsidR="00CB5C04">
        <w:t xml:space="preserve">total </w:t>
      </w:r>
      <w:r>
        <w:t xml:space="preserve">Additional Patient Charge </w:t>
      </w:r>
      <w:r w:rsidR="00CB5C04">
        <w:t>during that Next Financial Year will</w:t>
      </w:r>
      <w:r w:rsidR="00E52166">
        <w:t xml:space="preserve"> also</w:t>
      </w:r>
      <w:r w:rsidR="00CB5C04">
        <w:t xml:space="preserve"> be reduced by a dollar amount equal to th</w:t>
      </w:r>
      <w:r w:rsidR="001B1C55">
        <w:t>at</w:t>
      </w:r>
      <w:r w:rsidR="00CB5C04">
        <w:t xml:space="preserve"> supplement (S) arrived at under </w:t>
      </w:r>
      <w:r w:rsidR="00861F5E">
        <w:t xml:space="preserve">section </w:t>
      </w:r>
      <w:r w:rsidR="00861F5E">
        <w:fldChar w:fldCharType="begin"/>
      </w:r>
      <w:r w:rsidR="00861F5E">
        <w:instrText xml:space="preserve"> REF _Ref34993113 \r \h </w:instrText>
      </w:r>
      <w:r w:rsidR="00861F5E">
        <w:fldChar w:fldCharType="separate"/>
      </w:r>
      <w:r w:rsidR="00982D02">
        <w:t>3</w:t>
      </w:r>
      <w:r w:rsidR="00861F5E">
        <w:fldChar w:fldCharType="end"/>
      </w:r>
      <w:r w:rsidR="00CB5C04">
        <w:t xml:space="preserve"> above, subject to the Guild’s agreement under section 84C(9) of the Act.</w:t>
      </w:r>
    </w:p>
    <w:p w14:paraId="39626BE7" w14:textId="6D805A56" w:rsidR="00CB5C04" w:rsidRDefault="00CB5C04" w:rsidP="007E59D2">
      <w:pPr>
        <w:pStyle w:val="Numpara2"/>
      </w:pPr>
      <w:bookmarkStart w:id="730" w:name="_Ref41629248"/>
      <w:r>
        <w:t xml:space="preserve">The increase in the Commonwealth Price in </w:t>
      </w:r>
      <w:r w:rsidR="009908CA">
        <w:t>a</w:t>
      </w:r>
      <w:r>
        <w:t xml:space="preserve"> Next Financial Year arising as a result of </w:t>
      </w:r>
      <w:r w:rsidR="00861F5E">
        <w:t xml:space="preserve">the calculation under section </w:t>
      </w:r>
      <w:r w:rsidR="00861F5E">
        <w:fldChar w:fldCharType="begin"/>
      </w:r>
      <w:r w:rsidR="00861F5E">
        <w:instrText xml:space="preserve"> REF _Ref34993113 \r \h </w:instrText>
      </w:r>
      <w:r w:rsidR="00861F5E">
        <w:fldChar w:fldCharType="separate"/>
      </w:r>
      <w:r w:rsidR="00982D02">
        <w:t>3</w:t>
      </w:r>
      <w:r w:rsidR="00861F5E">
        <w:fldChar w:fldCharType="end"/>
      </w:r>
      <w:r>
        <w:t xml:space="preserve"> </w:t>
      </w:r>
      <w:r w:rsidR="000C244F">
        <w:t xml:space="preserve">above </w:t>
      </w:r>
      <w:r>
        <w:t>is subject to the Guild agreeing to the corresponding change to the Additional Patient Charge for th</w:t>
      </w:r>
      <w:r w:rsidR="009908CA">
        <w:t>at</w:t>
      </w:r>
      <w:r>
        <w:t xml:space="preserve"> Next Financial Year.</w:t>
      </w:r>
      <w:bookmarkEnd w:id="730"/>
    </w:p>
    <w:p w14:paraId="1D9B5665" w14:textId="17A256E3" w:rsidR="00090B2D" w:rsidRPr="00326000" w:rsidRDefault="00090B2D" w:rsidP="00326000">
      <w:pPr>
        <w:pStyle w:val="Numpara1"/>
        <w:rPr>
          <w:b/>
        </w:rPr>
      </w:pPr>
      <w:r w:rsidRPr="00326000">
        <w:rPr>
          <w:b/>
        </w:rPr>
        <w:t>Disregarding adjustments for future calculations</w:t>
      </w:r>
      <w:bookmarkEnd w:id="729"/>
    </w:p>
    <w:p w14:paraId="6B4E28D8" w14:textId="199517A3" w:rsidR="00090B2D" w:rsidRPr="00090B2D" w:rsidRDefault="00090B2D" w:rsidP="00090B2D">
      <w:pPr>
        <w:spacing w:before="240"/>
        <w:ind w:left="851"/>
        <w:rPr>
          <w:rFonts w:cs="Arial"/>
        </w:rPr>
      </w:pPr>
      <w:r w:rsidRPr="00090B2D">
        <w:rPr>
          <w:rFonts w:cs="Arial"/>
        </w:rPr>
        <w:t xml:space="preserve">Any change made under this </w:t>
      </w:r>
      <w:r w:rsidR="00C93EF0">
        <w:rPr>
          <w:rFonts w:cs="Arial"/>
        </w:rPr>
        <w:t>Appendix B</w:t>
      </w:r>
      <w:r w:rsidRPr="00090B2D">
        <w:rPr>
          <w:rFonts w:cs="Arial"/>
        </w:rPr>
        <w:t xml:space="preserve"> will only apply to the Next Financial Year (following the Assessment Period giving rise to the change). When making changes to be applied in the subsequent Financial Year, Indexation and any adjustment under this </w:t>
      </w:r>
      <w:r w:rsidR="00C93EF0">
        <w:rPr>
          <w:rFonts w:cs="Arial"/>
        </w:rPr>
        <w:t>Appendix B</w:t>
      </w:r>
      <w:r w:rsidRPr="00090B2D">
        <w:rPr>
          <w:rFonts w:cs="Arial"/>
        </w:rPr>
        <w:t xml:space="preserve"> are to be applied on the basis that the change under </w:t>
      </w:r>
      <w:r w:rsidR="00C93EF0">
        <w:rPr>
          <w:rFonts w:cs="Arial"/>
        </w:rPr>
        <w:t>Appendix B</w:t>
      </w:r>
      <w:r w:rsidRPr="00090B2D">
        <w:rPr>
          <w:rFonts w:cs="Arial"/>
        </w:rPr>
        <w:t xml:space="preserve"> in the previous Financial Year had not occurred.</w:t>
      </w:r>
    </w:p>
    <w:p w14:paraId="3081E39A" w14:textId="77777777" w:rsidR="00090B2D" w:rsidRPr="00090B2D" w:rsidRDefault="00090B2D" w:rsidP="00090B2D">
      <w:pPr>
        <w:rPr>
          <w:rFonts w:cs="Arial"/>
        </w:rPr>
      </w:pPr>
      <w:r w:rsidRPr="00090B2D">
        <w:br w:type="page"/>
      </w:r>
    </w:p>
    <w:p w14:paraId="02054B9D" w14:textId="07B87CF8" w:rsidR="00090B2D" w:rsidRPr="00090B2D" w:rsidRDefault="00090B2D" w:rsidP="00090B2D">
      <w:pPr>
        <w:pBdr>
          <w:top w:val="single" w:sz="4" w:space="1" w:color="auto"/>
        </w:pBdr>
        <w:rPr>
          <w:b/>
          <w:sz w:val="34"/>
        </w:rPr>
      </w:pPr>
      <w:r w:rsidRPr="00090B2D">
        <w:rPr>
          <w:b/>
          <w:sz w:val="34"/>
        </w:rPr>
        <w:t xml:space="preserve">Attachment to Appendix </w:t>
      </w:r>
      <w:r w:rsidR="00B35BBA">
        <w:rPr>
          <w:b/>
          <w:sz w:val="34"/>
        </w:rPr>
        <w:t>B</w:t>
      </w:r>
      <w:r w:rsidR="00B35BBA" w:rsidRPr="00090B2D">
        <w:rPr>
          <w:b/>
          <w:sz w:val="34"/>
        </w:rPr>
        <w:t xml:space="preserve"> </w:t>
      </w:r>
      <w:r w:rsidRPr="00090B2D">
        <w:rPr>
          <w:b/>
          <w:sz w:val="34"/>
        </w:rPr>
        <w:t>– Estimates tables</w:t>
      </w:r>
    </w:p>
    <w:bookmarkEnd w:id="720"/>
    <w:bookmarkEnd w:id="721"/>
    <w:bookmarkEnd w:id="722"/>
    <w:bookmarkEnd w:id="723"/>
    <w:bookmarkEnd w:id="728"/>
    <w:p w14:paraId="6EDF5C19" w14:textId="77777777" w:rsidR="00090B2D" w:rsidRDefault="00090B2D" w:rsidP="00090B2D">
      <w:pPr>
        <w:spacing w:before="240" w:after="120"/>
        <w:ind w:left="426"/>
        <w:rPr>
          <w:rFonts w:cs="Arial"/>
          <w:b/>
        </w:rPr>
      </w:pPr>
    </w:p>
    <w:p w14:paraId="20327026" w14:textId="0DB09660" w:rsidR="00090B2D" w:rsidRPr="00090B2D" w:rsidRDefault="00090B2D" w:rsidP="00090B2D">
      <w:pPr>
        <w:spacing w:before="240" w:after="120"/>
        <w:ind w:left="426"/>
        <w:rPr>
          <w:rFonts w:cs="Arial"/>
          <w:b/>
        </w:rPr>
      </w:pPr>
      <w:r w:rsidRPr="00090B2D">
        <w:rPr>
          <w:rFonts w:cs="Arial"/>
          <w:b/>
        </w:rPr>
        <w:t xml:space="preserve">Table 4 – Assessment Periods and estimated PBS &amp; RPBS </w:t>
      </w:r>
      <w:r w:rsidR="009A062F">
        <w:rPr>
          <w:rFonts w:cs="Arial"/>
          <w:b/>
        </w:rPr>
        <w:t>p</w:t>
      </w:r>
      <w:r w:rsidR="00943F8E">
        <w:rPr>
          <w:rFonts w:cs="Arial"/>
          <w:b/>
        </w:rPr>
        <w:t>rescription</w:t>
      </w:r>
      <w:r w:rsidR="00943F8E" w:rsidRPr="00090B2D">
        <w:rPr>
          <w:rFonts w:cs="Arial"/>
          <w:b/>
        </w:rPr>
        <w:t xml:space="preserve"> </w:t>
      </w:r>
      <w:r w:rsidRPr="00090B2D">
        <w:rPr>
          <w:rFonts w:cs="Arial"/>
          <w:b/>
        </w:rPr>
        <w:t>volumes</w:t>
      </w:r>
    </w:p>
    <w:tbl>
      <w:tblPr>
        <w:tblW w:w="5170" w:type="pct"/>
        <w:tblInd w:w="-1" w:type="dxa"/>
        <w:tblCellMar>
          <w:left w:w="0" w:type="dxa"/>
          <w:right w:w="0" w:type="dxa"/>
        </w:tblCellMar>
        <w:tblLook w:val="04A0" w:firstRow="1" w:lastRow="0" w:firstColumn="1" w:lastColumn="0" w:noHBand="0" w:noVBand="1"/>
        <w:tblDescription w:val="Table 4 – Assessment Periods and estimated PBS &amp; RPBS prescription volumes"/>
      </w:tblPr>
      <w:tblGrid>
        <w:gridCol w:w="1966"/>
        <w:gridCol w:w="1921"/>
        <w:gridCol w:w="1921"/>
        <w:gridCol w:w="1921"/>
        <w:gridCol w:w="1923"/>
      </w:tblGrid>
      <w:tr w:rsidR="003751AF" w:rsidRPr="003751AF" w14:paraId="2816D1A9" w14:textId="77777777" w:rsidTr="00B516F5">
        <w:trPr>
          <w:cantSplit/>
          <w:trHeight w:val="357"/>
          <w:tblHeader/>
        </w:trPr>
        <w:tc>
          <w:tcPr>
            <w:tcW w:w="1019" w:type="pct"/>
            <w:vMerge w:val="restart"/>
            <w:tcBorders>
              <w:top w:val="single" w:sz="8" w:space="0" w:color="auto"/>
              <w:left w:val="single" w:sz="8" w:space="0" w:color="auto"/>
              <w:right w:val="single" w:sz="8" w:space="0" w:color="auto"/>
            </w:tcBorders>
            <w:shd w:val="clear" w:color="auto" w:fill="0070C0"/>
            <w:tcMar>
              <w:top w:w="0" w:type="dxa"/>
              <w:left w:w="108" w:type="dxa"/>
              <w:bottom w:w="0" w:type="dxa"/>
              <w:right w:w="108" w:type="dxa"/>
            </w:tcMar>
          </w:tcPr>
          <w:p w14:paraId="31A6BE85" w14:textId="77777777" w:rsidR="003751AF" w:rsidRPr="00090B2D" w:rsidRDefault="003751AF" w:rsidP="00C932F2">
            <w:pPr>
              <w:spacing w:before="20" w:afterLines="20" w:after="48"/>
              <w:rPr>
                <w:rFonts w:eastAsiaTheme="minorHAnsi" w:cs="Arial"/>
                <w:b/>
                <w:bCs/>
                <w:color w:val="FFFFFF"/>
                <w:lang w:eastAsia="en-US"/>
              </w:rPr>
            </w:pPr>
          </w:p>
        </w:tc>
        <w:tc>
          <w:tcPr>
            <w:tcW w:w="3981" w:type="pct"/>
            <w:gridSpan w:val="4"/>
            <w:tcBorders>
              <w:top w:val="single" w:sz="8" w:space="0" w:color="auto"/>
              <w:left w:val="nil"/>
              <w:right w:val="single" w:sz="8" w:space="0" w:color="auto"/>
            </w:tcBorders>
            <w:shd w:val="clear" w:color="auto" w:fill="0070C0"/>
            <w:tcMar>
              <w:top w:w="0" w:type="dxa"/>
              <w:left w:w="108" w:type="dxa"/>
              <w:bottom w:w="0" w:type="dxa"/>
              <w:right w:w="108" w:type="dxa"/>
            </w:tcMar>
            <w:vAlign w:val="center"/>
          </w:tcPr>
          <w:p w14:paraId="64E7B4FA" w14:textId="77777777" w:rsidR="003751AF" w:rsidRPr="003751AF" w:rsidRDefault="003751AF" w:rsidP="00C932F2">
            <w:pPr>
              <w:spacing w:before="20" w:afterLines="20" w:after="48"/>
              <w:jc w:val="center"/>
              <w:rPr>
                <w:rFonts w:eastAsiaTheme="minorHAnsi" w:cs="Arial"/>
                <w:b/>
                <w:bCs/>
                <w:color w:val="FFFFFF"/>
                <w:lang w:eastAsia="en-US"/>
              </w:rPr>
            </w:pPr>
            <w:r w:rsidRPr="003751AF">
              <w:rPr>
                <w:rFonts w:eastAsiaTheme="minorHAnsi" w:cs="Arial"/>
                <w:b/>
                <w:bCs/>
                <w:color w:val="FFFFFF"/>
                <w:lang w:eastAsia="en-US"/>
              </w:rPr>
              <w:t>Assessment Periods</w:t>
            </w:r>
          </w:p>
        </w:tc>
      </w:tr>
      <w:tr w:rsidR="003751AF" w:rsidRPr="003751AF" w14:paraId="31675C88" w14:textId="77777777" w:rsidTr="00B516F5">
        <w:trPr>
          <w:cantSplit/>
          <w:trHeight w:val="357"/>
          <w:tblHeader/>
        </w:trPr>
        <w:tc>
          <w:tcPr>
            <w:tcW w:w="1019" w:type="pct"/>
            <w:vMerge/>
            <w:tcBorders>
              <w:left w:val="single" w:sz="8" w:space="0" w:color="auto"/>
              <w:right w:val="single" w:sz="8" w:space="0" w:color="auto"/>
            </w:tcBorders>
            <w:shd w:val="clear" w:color="auto" w:fill="0070C0"/>
            <w:tcMar>
              <w:top w:w="0" w:type="dxa"/>
              <w:left w:w="108" w:type="dxa"/>
              <w:bottom w:w="0" w:type="dxa"/>
              <w:right w:w="108" w:type="dxa"/>
            </w:tcMar>
            <w:hideMark/>
          </w:tcPr>
          <w:p w14:paraId="0E75F705" w14:textId="77777777" w:rsidR="003751AF" w:rsidRPr="003751AF" w:rsidRDefault="003751AF" w:rsidP="00C932F2">
            <w:pPr>
              <w:spacing w:before="20" w:afterLines="20" w:after="48"/>
              <w:rPr>
                <w:rFonts w:eastAsiaTheme="minorHAnsi" w:cs="Arial"/>
                <w:b/>
                <w:bCs/>
                <w:color w:val="FFFFFF"/>
                <w:lang w:eastAsia="en-US"/>
              </w:rPr>
            </w:pPr>
          </w:p>
        </w:tc>
        <w:tc>
          <w:tcPr>
            <w:tcW w:w="995" w:type="pct"/>
            <w:tcBorders>
              <w:top w:val="single" w:sz="8" w:space="0" w:color="auto"/>
              <w:left w:val="nil"/>
              <w:right w:val="single" w:sz="8" w:space="0" w:color="auto"/>
            </w:tcBorders>
            <w:shd w:val="clear" w:color="auto" w:fill="0070C0"/>
            <w:tcMar>
              <w:top w:w="0" w:type="dxa"/>
              <w:left w:w="108" w:type="dxa"/>
              <w:bottom w:w="0" w:type="dxa"/>
              <w:right w:w="108" w:type="dxa"/>
            </w:tcMar>
            <w:hideMark/>
          </w:tcPr>
          <w:p w14:paraId="5E923E40" w14:textId="77777777" w:rsidR="003751AF" w:rsidRPr="003751AF" w:rsidRDefault="003751AF" w:rsidP="00C932F2">
            <w:pPr>
              <w:spacing w:before="20" w:afterLines="20" w:after="48"/>
              <w:ind w:left="-82"/>
              <w:jc w:val="center"/>
              <w:rPr>
                <w:rFonts w:eastAsiaTheme="minorHAnsi" w:cs="Arial"/>
                <w:b/>
                <w:bCs/>
                <w:color w:val="FFFFFF"/>
                <w:lang w:eastAsia="en-US"/>
              </w:rPr>
            </w:pPr>
            <w:r w:rsidRPr="003751AF">
              <w:rPr>
                <w:rFonts w:eastAsiaTheme="minorHAnsi" w:cs="Arial"/>
                <w:b/>
                <w:bCs/>
                <w:color w:val="FFFFFF"/>
                <w:lang w:eastAsia="en-US"/>
              </w:rPr>
              <w:t>1 July 2020 –</w:t>
            </w:r>
          </w:p>
          <w:p w14:paraId="2B6B0960" w14:textId="77777777" w:rsidR="003751AF" w:rsidRPr="003751AF" w:rsidRDefault="003751AF" w:rsidP="00C932F2">
            <w:pPr>
              <w:spacing w:before="20" w:afterLines="20" w:after="48"/>
              <w:ind w:left="-110"/>
              <w:jc w:val="center"/>
              <w:rPr>
                <w:rFonts w:eastAsiaTheme="minorHAnsi" w:cs="Arial"/>
                <w:b/>
                <w:bCs/>
                <w:color w:val="FFFFFF"/>
                <w:lang w:eastAsia="en-US"/>
              </w:rPr>
            </w:pPr>
            <w:r w:rsidRPr="003751AF">
              <w:rPr>
                <w:rFonts w:eastAsiaTheme="minorHAnsi" w:cs="Arial"/>
                <w:b/>
                <w:bCs/>
                <w:color w:val="FFFFFF"/>
                <w:lang w:eastAsia="en-US"/>
              </w:rPr>
              <w:t>31 December 2020</w:t>
            </w:r>
          </w:p>
        </w:tc>
        <w:tc>
          <w:tcPr>
            <w:tcW w:w="995" w:type="pct"/>
            <w:tcBorders>
              <w:top w:val="single" w:sz="8" w:space="0" w:color="auto"/>
              <w:left w:val="nil"/>
              <w:right w:val="single" w:sz="8" w:space="0" w:color="auto"/>
            </w:tcBorders>
            <w:shd w:val="clear" w:color="auto" w:fill="0070C0"/>
          </w:tcPr>
          <w:p w14:paraId="44535F79" w14:textId="77777777" w:rsidR="003751AF" w:rsidRPr="003751AF" w:rsidRDefault="003751AF" w:rsidP="00C932F2">
            <w:pPr>
              <w:spacing w:before="20" w:afterLines="20" w:after="48"/>
              <w:jc w:val="center"/>
              <w:rPr>
                <w:rFonts w:eastAsiaTheme="minorHAnsi" w:cs="Arial"/>
                <w:b/>
                <w:bCs/>
                <w:color w:val="FFFFFF"/>
                <w:lang w:eastAsia="en-US"/>
              </w:rPr>
            </w:pPr>
            <w:r w:rsidRPr="003751AF">
              <w:rPr>
                <w:rFonts w:eastAsiaTheme="minorHAnsi" w:cs="Arial"/>
                <w:b/>
                <w:bCs/>
                <w:color w:val="FFFFFF"/>
                <w:lang w:eastAsia="en-US"/>
              </w:rPr>
              <w:t>1 January 2021 –</w:t>
            </w:r>
          </w:p>
          <w:p w14:paraId="4D827641" w14:textId="77777777" w:rsidR="003751AF" w:rsidRPr="003751AF" w:rsidRDefault="003751AF" w:rsidP="00C932F2">
            <w:pPr>
              <w:spacing w:before="20" w:afterLines="20" w:after="48"/>
              <w:jc w:val="center"/>
              <w:rPr>
                <w:rFonts w:eastAsiaTheme="minorHAnsi" w:cs="Arial"/>
                <w:b/>
                <w:bCs/>
                <w:color w:val="FFFFFF"/>
                <w:lang w:eastAsia="en-US"/>
              </w:rPr>
            </w:pPr>
            <w:r w:rsidRPr="003751AF">
              <w:rPr>
                <w:rFonts w:eastAsiaTheme="minorHAnsi" w:cs="Arial"/>
                <w:b/>
                <w:bCs/>
                <w:color w:val="FFFFFF"/>
                <w:lang w:eastAsia="en-US"/>
              </w:rPr>
              <w:t>31 December 2021</w:t>
            </w:r>
          </w:p>
        </w:tc>
        <w:tc>
          <w:tcPr>
            <w:tcW w:w="995" w:type="pct"/>
            <w:tcBorders>
              <w:top w:val="single" w:sz="8" w:space="0" w:color="auto"/>
              <w:left w:val="nil"/>
              <w:right w:val="single" w:sz="8" w:space="0" w:color="auto"/>
            </w:tcBorders>
            <w:shd w:val="clear" w:color="auto" w:fill="0070C0"/>
          </w:tcPr>
          <w:p w14:paraId="20FF7887" w14:textId="77777777" w:rsidR="003751AF" w:rsidRPr="003751AF" w:rsidRDefault="003751AF" w:rsidP="00C932F2">
            <w:pPr>
              <w:spacing w:before="20" w:afterLines="20" w:after="48"/>
              <w:jc w:val="center"/>
              <w:rPr>
                <w:rFonts w:eastAsiaTheme="minorHAnsi" w:cs="Arial"/>
                <w:b/>
                <w:bCs/>
                <w:color w:val="FFFFFF"/>
                <w:lang w:eastAsia="en-US"/>
              </w:rPr>
            </w:pPr>
            <w:r w:rsidRPr="003751AF">
              <w:rPr>
                <w:rFonts w:eastAsiaTheme="minorHAnsi" w:cs="Arial"/>
                <w:b/>
                <w:bCs/>
                <w:color w:val="FFFFFF"/>
                <w:lang w:eastAsia="en-US"/>
              </w:rPr>
              <w:t>1 January 2022 –</w:t>
            </w:r>
          </w:p>
          <w:p w14:paraId="03BF8F84" w14:textId="77777777" w:rsidR="003751AF" w:rsidRPr="003751AF" w:rsidRDefault="003751AF" w:rsidP="00C932F2">
            <w:pPr>
              <w:spacing w:before="20" w:afterLines="20" w:after="48"/>
              <w:jc w:val="center"/>
              <w:rPr>
                <w:rFonts w:eastAsiaTheme="minorHAnsi" w:cs="Arial"/>
                <w:b/>
                <w:bCs/>
                <w:color w:val="FFFFFF"/>
                <w:lang w:eastAsia="en-US"/>
              </w:rPr>
            </w:pPr>
            <w:r w:rsidRPr="003751AF">
              <w:rPr>
                <w:rFonts w:eastAsiaTheme="minorHAnsi" w:cs="Arial"/>
                <w:b/>
                <w:bCs/>
                <w:color w:val="FFFFFF"/>
                <w:lang w:eastAsia="en-US"/>
              </w:rPr>
              <w:t>31 December 2022</w:t>
            </w:r>
          </w:p>
        </w:tc>
        <w:tc>
          <w:tcPr>
            <w:tcW w:w="995" w:type="pct"/>
            <w:tcBorders>
              <w:top w:val="single" w:sz="8" w:space="0" w:color="auto"/>
              <w:left w:val="nil"/>
              <w:right w:val="single" w:sz="8" w:space="0" w:color="auto"/>
            </w:tcBorders>
            <w:shd w:val="clear" w:color="auto" w:fill="0070C0"/>
          </w:tcPr>
          <w:p w14:paraId="66F15E78" w14:textId="77777777" w:rsidR="003751AF" w:rsidRPr="003751AF" w:rsidRDefault="003751AF" w:rsidP="00C932F2">
            <w:pPr>
              <w:spacing w:before="20" w:afterLines="20" w:after="48"/>
              <w:jc w:val="center"/>
              <w:rPr>
                <w:rFonts w:eastAsiaTheme="minorHAnsi" w:cs="Arial"/>
                <w:b/>
                <w:bCs/>
                <w:color w:val="FFFFFF"/>
                <w:lang w:eastAsia="en-US"/>
              </w:rPr>
            </w:pPr>
            <w:r w:rsidRPr="003751AF">
              <w:rPr>
                <w:rFonts w:eastAsiaTheme="minorHAnsi" w:cs="Arial"/>
                <w:b/>
                <w:bCs/>
                <w:color w:val="FFFFFF"/>
                <w:lang w:eastAsia="en-US"/>
              </w:rPr>
              <w:t>1 January 2023 –</w:t>
            </w:r>
          </w:p>
          <w:p w14:paraId="54C1FF2E" w14:textId="77777777" w:rsidR="003751AF" w:rsidRPr="003751AF" w:rsidRDefault="003751AF" w:rsidP="00C932F2">
            <w:pPr>
              <w:spacing w:before="20" w:afterLines="20" w:after="48"/>
              <w:jc w:val="center"/>
              <w:rPr>
                <w:rFonts w:eastAsiaTheme="minorHAnsi" w:cs="Arial"/>
                <w:b/>
                <w:bCs/>
                <w:color w:val="FFFFFF"/>
                <w:lang w:eastAsia="en-US"/>
              </w:rPr>
            </w:pPr>
            <w:r w:rsidRPr="003751AF">
              <w:rPr>
                <w:rFonts w:eastAsiaTheme="minorHAnsi" w:cs="Arial"/>
                <w:b/>
                <w:bCs/>
                <w:color w:val="FFFFFF"/>
                <w:lang w:eastAsia="en-US"/>
              </w:rPr>
              <w:t>31 December 2023</w:t>
            </w:r>
          </w:p>
        </w:tc>
      </w:tr>
      <w:tr w:rsidR="003751AF" w:rsidRPr="003751AF" w14:paraId="5200D4AB" w14:textId="77777777" w:rsidTr="00B516F5">
        <w:trPr>
          <w:cantSplit/>
          <w:trHeight w:val="357"/>
        </w:trPr>
        <w:tc>
          <w:tcPr>
            <w:tcW w:w="1019"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6555988F" w14:textId="77777777" w:rsidR="003751AF" w:rsidRPr="003751AF" w:rsidRDefault="003751AF" w:rsidP="00C932F2">
            <w:pPr>
              <w:spacing w:before="20" w:afterLines="20" w:after="48"/>
              <w:rPr>
                <w:rFonts w:eastAsiaTheme="minorHAnsi" w:cs="Arial"/>
                <w:lang w:eastAsia="en-US"/>
              </w:rPr>
            </w:pPr>
          </w:p>
        </w:tc>
        <w:tc>
          <w:tcPr>
            <w:tcW w:w="995" w:type="pct"/>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1FCA86E9" w14:textId="77777777" w:rsidR="003751AF" w:rsidRPr="003751AF" w:rsidRDefault="003751AF" w:rsidP="00C932F2">
            <w:pPr>
              <w:spacing w:before="20" w:afterLines="20" w:after="48"/>
              <w:rPr>
                <w:rFonts w:cs="Arial"/>
                <w:color w:val="000000"/>
              </w:rPr>
            </w:pPr>
            <w:r w:rsidRPr="003751AF">
              <w:rPr>
                <w:rFonts w:cs="Arial"/>
                <w:color w:val="000000"/>
              </w:rPr>
              <w:t xml:space="preserve">First Assessment Period </w:t>
            </w:r>
          </w:p>
        </w:tc>
        <w:tc>
          <w:tcPr>
            <w:tcW w:w="995" w:type="pct"/>
            <w:tcBorders>
              <w:top w:val="nil"/>
              <w:left w:val="nil"/>
              <w:bottom w:val="single" w:sz="4" w:space="0" w:color="auto"/>
              <w:right w:val="single" w:sz="8" w:space="0" w:color="auto"/>
            </w:tcBorders>
            <w:shd w:val="clear" w:color="auto" w:fill="D9D9D9" w:themeFill="background1" w:themeFillShade="D9"/>
            <w:vAlign w:val="center"/>
          </w:tcPr>
          <w:p w14:paraId="37A64DC5" w14:textId="77777777" w:rsidR="003751AF" w:rsidRPr="003751AF" w:rsidRDefault="003751AF" w:rsidP="00063AF5">
            <w:pPr>
              <w:spacing w:before="20" w:afterLines="20" w:after="48"/>
              <w:ind w:left="40"/>
              <w:rPr>
                <w:rFonts w:cs="Arial"/>
                <w:color w:val="000000"/>
              </w:rPr>
            </w:pPr>
            <w:r w:rsidRPr="003751AF">
              <w:rPr>
                <w:rFonts w:cs="Arial"/>
                <w:color w:val="000000"/>
              </w:rPr>
              <w:t xml:space="preserve">Second Assessment Period </w:t>
            </w:r>
          </w:p>
        </w:tc>
        <w:tc>
          <w:tcPr>
            <w:tcW w:w="995" w:type="pct"/>
            <w:tcBorders>
              <w:top w:val="nil"/>
              <w:left w:val="nil"/>
              <w:bottom w:val="single" w:sz="4" w:space="0" w:color="auto"/>
              <w:right w:val="single" w:sz="8" w:space="0" w:color="auto"/>
            </w:tcBorders>
            <w:shd w:val="clear" w:color="auto" w:fill="D9D9D9" w:themeFill="background1" w:themeFillShade="D9"/>
            <w:vAlign w:val="center"/>
          </w:tcPr>
          <w:p w14:paraId="02025018" w14:textId="77777777" w:rsidR="003751AF" w:rsidRPr="003751AF" w:rsidRDefault="003751AF" w:rsidP="00063AF5">
            <w:pPr>
              <w:spacing w:before="20" w:afterLines="20" w:after="48"/>
              <w:ind w:left="93"/>
              <w:rPr>
                <w:rFonts w:cs="Arial"/>
                <w:color w:val="000000"/>
              </w:rPr>
            </w:pPr>
            <w:r w:rsidRPr="003751AF">
              <w:rPr>
                <w:rFonts w:cs="Arial"/>
                <w:color w:val="000000"/>
              </w:rPr>
              <w:t xml:space="preserve">Third Assessment Period </w:t>
            </w:r>
          </w:p>
        </w:tc>
        <w:tc>
          <w:tcPr>
            <w:tcW w:w="995" w:type="pct"/>
            <w:tcBorders>
              <w:top w:val="nil"/>
              <w:left w:val="nil"/>
              <w:bottom w:val="single" w:sz="4" w:space="0" w:color="auto"/>
              <w:right w:val="single" w:sz="8" w:space="0" w:color="auto"/>
            </w:tcBorders>
            <w:shd w:val="clear" w:color="auto" w:fill="D9D9D9" w:themeFill="background1" w:themeFillShade="D9"/>
            <w:vAlign w:val="center"/>
          </w:tcPr>
          <w:p w14:paraId="2DC74DCF" w14:textId="77777777" w:rsidR="003751AF" w:rsidRPr="003751AF" w:rsidRDefault="003751AF" w:rsidP="00063AF5">
            <w:pPr>
              <w:spacing w:before="20" w:afterLines="20" w:after="48"/>
              <w:ind w:left="93"/>
              <w:rPr>
                <w:rFonts w:cs="Arial"/>
                <w:color w:val="000000"/>
              </w:rPr>
            </w:pPr>
            <w:r w:rsidRPr="003751AF">
              <w:rPr>
                <w:rFonts w:cs="Arial"/>
                <w:color w:val="000000"/>
              </w:rPr>
              <w:t xml:space="preserve">Fourth Assessment Period </w:t>
            </w:r>
          </w:p>
        </w:tc>
      </w:tr>
      <w:tr w:rsidR="00B516F5" w:rsidRPr="003751AF" w14:paraId="429EB68D" w14:textId="77777777" w:rsidTr="00777134">
        <w:trPr>
          <w:cantSplit/>
          <w:trHeight w:val="357"/>
        </w:trPr>
        <w:tc>
          <w:tcPr>
            <w:tcW w:w="1019"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4EB8622" w14:textId="666CB911" w:rsidR="00B516F5" w:rsidRPr="003751AF" w:rsidRDefault="00B516F5" w:rsidP="00B516F5">
            <w:pPr>
              <w:spacing w:before="20" w:afterLines="20" w:after="48"/>
              <w:rPr>
                <w:rFonts w:eastAsiaTheme="minorHAnsi" w:cs="Arial"/>
                <w:lang w:eastAsia="en-US"/>
              </w:rPr>
            </w:pPr>
            <w:r w:rsidRPr="003751AF">
              <w:rPr>
                <w:rFonts w:eastAsiaTheme="minorHAnsi" w:cs="Arial"/>
                <w:lang w:eastAsia="en-US"/>
              </w:rPr>
              <w:t xml:space="preserve">Estimated Subsidised </w:t>
            </w:r>
            <w:r w:rsidRPr="003751AF">
              <w:rPr>
                <w:rFonts w:cs="Arial"/>
              </w:rPr>
              <w:t>Prescriptions</w:t>
            </w:r>
          </w:p>
        </w:tc>
        <w:tc>
          <w:tcPr>
            <w:tcW w:w="995"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A8569F1" w14:textId="7802019F" w:rsidR="00B516F5" w:rsidRPr="003751AF" w:rsidRDefault="00B516F5" w:rsidP="00B516F5">
            <w:pPr>
              <w:spacing w:before="20" w:afterLines="20" w:after="48"/>
              <w:jc w:val="center"/>
              <w:rPr>
                <w:rFonts w:eastAsiaTheme="minorHAnsi" w:cs="Arial"/>
                <w:lang w:eastAsia="en-US"/>
              </w:rPr>
            </w:pPr>
            <w:r w:rsidRPr="00477862">
              <w:t>109,521,070</w:t>
            </w:r>
          </w:p>
        </w:tc>
        <w:tc>
          <w:tcPr>
            <w:tcW w:w="995" w:type="pct"/>
            <w:tcBorders>
              <w:top w:val="nil"/>
              <w:left w:val="nil"/>
              <w:bottom w:val="single" w:sz="4" w:space="0" w:color="auto"/>
              <w:right w:val="single" w:sz="8" w:space="0" w:color="auto"/>
            </w:tcBorders>
            <w:shd w:val="clear" w:color="auto" w:fill="auto"/>
            <w:vAlign w:val="center"/>
          </w:tcPr>
          <w:p w14:paraId="4B3E271B" w14:textId="00051F83" w:rsidR="00B516F5" w:rsidRPr="003751AF" w:rsidRDefault="00B516F5" w:rsidP="00B516F5">
            <w:pPr>
              <w:spacing w:before="20" w:afterLines="20" w:after="48"/>
              <w:jc w:val="center"/>
              <w:rPr>
                <w:rFonts w:eastAsiaTheme="minorHAnsi" w:cs="Arial"/>
                <w:lang w:eastAsia="en-US"/>
              </w:rPr>
            </w:pPr>
            <w:r w:rsidRPr="00477862">
              <w:t>207,523,772</w:t>
            </w:r>
          </w:p>
        </w:tc>
        <w:tc>
          <w:tcPr>
            <w:tcW w:w="995" w:type="pct"/>
            <w:tcBorders>
              <w:top w:val="nil"/>
              <w:left w:val="nil"/>
              <w:bottom w:val="single" w:sz="4" w:space="0" w:color="auto"/>
              <w:right w:val="single" w:sz="8" w:space="0" w:color="auto"/>
            </w:tcBorders>
            <w:shd w:val="clear" w:color="auto" w:fill="auto"/>
            <w:vAlign w:val="center"/>
          </w:tcPr>
          <w:p w14:paraId="2A6F0782" w14:textId="5F9683AF" w:rsidR="00B516F5" w:rsidRPr="003751AF" w:rsidRDefault="00B516F5" w:rsidP="00B516F5">
            <w:pPr>
              <w:spacing w:before="20" w:afterLines="20" w:after="48"/>
              <w:jc w:val="center"/>
              <w:rPr>
                <w:rFonts w:eastAsiaTheme="minorHAnsi" w:cs="Arial"/>
                <w:lang w:eastAsia="en-US"/>
              </w:rPr>
            </w:pPr>
            <w:r w:rsidRPr="00477862">
              <w:t>208,099,570</w:t>
            </w:r>
          </w:p>
        </w:tc>
        <w:tc>
          <w:tcPr>
            <w:tcW w:w="995" w:type="pct"/>
            <w:tcBorders>
              <w:top w:val="nil"/>
              <w:left w:val="nil"/>
              <w:bottom w:val="single" w:sz="4" w:space="0" w:color="auto"/>
              <w:right w:val="single" w:sz="8" w:space="0" w:color="auto"/>
            </w:tcBorders>
            <w:shd w:val="clear" w:color="auto" w:fill="auto"/>
            <w:vAlign w:val="center"/>
          </w:tcPr>
          <w:p w14:paraId="007FD1C2" w14:textId="2C46B907" w:rsidR="00B516F5" w:rsidRPr="003751AF" w:rsidRDefault="00B516F5" w:rsidP="00B516F5">
            <w:pPr>
              <w:spacing w:before="20" w:afterLines="20" w:after="48"/>
              <w:jc w:val="center"/>
              <w:rPr>
                <w:rFonts w:eastAsiaTheme="minorHAnsi" w:cs="Arial"/>
                <w:lang w:eastAsia="en-US"/>
              </w:rPr>
            </w:pPr>
            <w:r w:rsidRPr="00477862">
              <w:t>210,456,812</w:t>
            </w:r>
          </w:p>
        </w:tc>
      </w:tr>
      <w:tr w:rsidR="00B516F5" w:rsidRPr="008A026D" w14:paraId="118180F2" w14:textId="77777777" w:rsidTr="00777134">
        <w:trPr>
          <w:cantSplit/>
          <w:trHeight w:val="357"/>
        </w:trPr>
        <w:tc>
          <w:tcPr>
            <w:tcW w:w="101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CE061B" w14:textId="7404B576" w:rsidR="00B516F5" w:rsidRPr="003751AF" w:rsidRDefault="00B516F5" w:rsidP="00B516F5">
            <w:pPr>
              <w:spacing w:before="20" w:afterLines="20" w:after="48"/>
              <w:rPr>
                <w:rFonts w:eastAsiaTheme="minorHAnsi" w:cs="Arial"/>
                <w:lang w:eastAsia="en-US"/>
              </w:rPr>
            </w:pPr>
            <w:r w:rsidRPr="003751AF">
              <w:rPr>
                <w:rFonts w:eastAsiaTheme="minorHAnsi" w:cs="Arial"/>
                <w:lang w:eastAsia="en-US"/>
              </w:rPr>
              <w:t xml:space="preserve">Estimated Unsubsidised </w:t>
            </w:r>
            <w:r w:rsidRPr="003751AF">
              <w:rPr>
                <w:rFonts w:cs="Arial"/>
              </w:rPr>
              <w:t>Prescriptions</w:t>
            </w:r>
          </w:p>
        </w:tc>
        <w:tc>
          <w:tcPr>
            <w:tcW w:w="99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3CD18AB" w14:textId="7DED0CDA" w:rsidR="00B516F5" w:rsidRPr="003751AF" w:rsidRDefault="00B516F5" w:rsidP="00B516F5">
            <w:pPr>
              <w:spacing w:before="20" w:afterLines="20" w:after="48"/>
              <w:jc w:val="center"/>
              <w:rPr>
                <w:rFonts w:eastAsiaTheme="minorHAnsi" w:cs="Arial"/>
                <w:lang w:eastAsia="en-US"/>
              </w:rPr>
            </w:pPr>
            <w:r w:rsidRPr="00477862">
              <w:t>49,456,523</w:t>
            </w:r>
          </w:p>
        </w:tc>
        <w:tc>
          <w:tcPr>
            <w:tcW w:w="995" w:type="pct"/>
            <w:tcBorders>
              <w:top w:val="single" w:sz="4" w:space="0" w:color="auto"/>
              <w:left w:val="nil"/>
              <w:bottom w:val="single" w:sz="4" w:space="0" w:color="auto"/>
              <w:right w:val="single" w:sz="8" w:space="0" w:color="auto"/>
            </w:tcBorders>
            <w:shd w:val="clear" w:color="auto" w:fill="auto"/>
            <w:vAlign w:val="center"/>
          </w:tcPr>
          <w:p w14:paraId="2E383050" w14:textId="0A12FCFC" w:rsidR="00B516F5" w:rsidRPr="003751AF" w:rsidRDefault="00B516F5" w:rsidP="00B516F5">
            <w:pPr>
              <w:spacing w:before="20" w:afterLines="20" w:after="48"/>
              <w:jc w:val="center"/>
              <w:rPr>
                <w:rFonts w:eastAsiaTheme="minorHAnsi" w:cs="Arial"/>
                <w:lang w:eastAsia="en-US"/>
              </w:rPr>
            </w:pPr>
            <w:r w:rsidRPr="00477862">
              <w:t>101,184,232</w:t>
            </w:r>
          </w:p>
        </w:tc>
        <w:tc>
          <w:tcPr>
            <w:tcW w:w="995" w:type="pct"/>
            <w:tcBorders>
              <w:top w:val="single" w:sz="4" w:space="0" w:color="auto"/>
              <w:left w:val="nil"/>
              <w:bottom w:val="single" w:sz="4" w:space="0" w:color="auto"/>
              <w:right w:val="single" w:sz="8" w:space="0" w:color="auto"/>
            </w:tcBorders>
            <w:shd w:val="clear" w:color="auto" w:fill="auto"/>
            <w:vAlign w:val="center"/>
          </w:tcPr>
          <w:p w14:paraId="3CA23EE2" w14:textId="158017B5" w:rsidR="00B516F5" w:rsidRPr="003751AF" w:rsidRDefault="00B516F5" w:rsidP="00B516F5">
            <w:pPr>
              <w:spacing w:before="20" w:afterLines="20" w:after="48"/>
              <w:jc w:val="center"/>
              <w:rPr>
                <w:rFonts w:eastAsiaTheme="minorHAnsi" w:cs="Arial"/>
                <w:lang w:eastAsia="en-US"/>
              </w:rPr>
            </w:pPr>
            <w:r w:rsidRPr="00477862">
              <w:t>104,377,953</w:t>
            </w:r>
          </w:p>
        </w:tc>
        <w:tc>
          <w:tcPr>
            <w:tcW w:w="995" w:type="pct"/>
            <w:tcBorders>
              <w:top w:val="single" w:sz="4" w:space="0" w:color="auto"/>
              <w:left w:val="nil"/>
              <w:bottom w:val="single" w:sz="4" w:space="0" w:color="auto"/>
              <w:right w:val="single" w:sz="8" w:space="0" w:color="auto"/>
            </w:tcBorders>
            <w:shd w:val="clear" w:color="auto" w:fill="auto"/>
            <w:vAlign w:val="center"/>
          </w:tcPr>
          <w:p w14:paraId="37534B6E" w14:textId="6E1A2B28" w:rsidR="00B516F5" w:rsidRPr="003751AF" w:rsidRDefault="00B516F5" w:rsidP="00B516F5">
            <w:pPr>
              <w:spacing w:before="20" w:afterLines="20" w:after="48"/>
              <w:jc w:val="center"/>
              <w:rPr>
                <w:rFonts w:eastAsiaTheme="minorHAnsi" w:cs="Arial"/>
                <w:lang w:eastAsia="en-US"/>
              </w:rPr>
            </w:pPr>
            <w:r w:rsidRPr="00477862">
              <w:t>107,648,589</w:t>
            </w:r>
          </w:p>
        </w:tc>
      </w:tr>
    </w:tbl>
    <w:p w14:paraId="61CFC0A7" w14:textId="77777777" w:rsidR="00090B2D" w:rsidRPr="00090B2D" w:rsidRDefault="00090B2D" w:rsidP="00090B2D">
      <w:pPr>
        <w:spacing w:before="240"/>
        <w:ind w:left="1702"/>
        <w:rPr>
          <w:rFonts w:cs="Arial"/>
        </w:rPr>
      </w:pPr>
    </w:p>
    <w:p w14:paraId="7A1EAA52" w14:textId="50377089" w:rsidR="00090B2D" w:rsidRPr="00090B2D" w:rsidRDefault="00090B2D" w:rsidP="00090B2D">
      <w:pPr>
        <w:keepNext/>
        <w:spacing w:before="240" w:after="120"/>
        <w:ind w:left="425"/>
        <w:rPr>
          <w:rFonts w:cs="Arial"/>
          <w:b/>
        </w:rPr>
      </w:pPr>
      <w:r w:rsidRPr="00090B2D">
        <w:rPr>
          <w:rFonts w:cs="Arial"/>
          <w:b/>
        </w:rPr>
        <w:t xml:space="preserve">Table 5 –Estimated PBS &amp; RPBS </w:t>
      </w:r>
      <w:r w:rsidR="009A062F">
        <w:rPr>
          <w:rFonts w:cs="Arial"/>
          <w:b/>
        </w:rPr>
        <w:t>p</w:t>
      </w:r>
      <w:r w:rsidR="00AF52F2">
        <w:rPr>
          <w:rFonts w:cs="Arial"/>
          <w:b/>
        </w:rPr>
        <w:t>rescription</w:t>
      </w:r>
      <w:r w:rsidR="00AF52F2" w:rsidRPr="00090B2D">
        <w:rPr>
          <w:rFonts w:cs="Arial"/>
          <w:b/>
        </w:rPr>
        <w:t xml:space="preserve"> </w:t>
      </w:r>
      <w:r w:rsidRPr="00090B2D">
        <w:rPr>
          <w:rFonts w:cs="Arial"/>
          <w:b/>
        </w:rPr>
        <w:t>volumes per Financial Year</w:t>
      </w:r>
    </w:p>
    <w:tbl>
      <w:tblPr>
        <w:tblW w:w="5158" w:type="pct"/>
        <w:tblInd w:w="-1" w:type="dxa"/>
        <w:tblLayout w:type="fixed"/>
        <w:tblCellMar>
          <w:left w:w="0" w:type="dxa"/>
          <w:right w:w="0" w:type="dxa"/>
        </w:tblCellMar>
        <w:tblLook w:val="04A0" w:firstRow="1" w:lastRow="0" w:firstColumn="1" w:lastColumn="0" w:noHBand="0" w:noVBand="1"/>
        <w:tblDescription w:val="Table 5 –Estimated PBS &amp; RPBS prescription volumes per Financial Year"/>
      </w:tblPr>
      <w:tblGrid>
        <w:gridCol w:w="1497"/>
        <w:gridCol w:w="1626"/>
        <w:gridCol w:w="1627"/>
        <w:gridCol w:w="1626"/>
        <w:gridCol w:w="1627"/>
        <w:gridCol w:w="1627"/>
      </w:tblGrid>
      <w:tr w:rsidR="003751AF" w:rsidRPr="003751AF" w14:paraId="3A36489B" w14:textId="77777777" w:rsidTr="00B516F5">
        <w:trPr>
          <w:cantSplit/>
          <w:trHeight w:val="357"/>
          <w:tblHeader/>
        </w:trPr>
        <w:tc>
          <w:tcPr>
            <w:tcW w:w="777" w:type="pct"/>
            <w:vMerge w:val="restart"/>
            <w:tcBorders>
              <w:top w:val="single" w:sz="8" w:space="0" w:color="auto"/>
              <w:left w:val="single" w:sz="8" w:space="0" w:color="auto"/>
              <w:right w:val="single" w:sz="8" w:space="0" w:color="auto"/>
            </w:tcBorders>
            <w:shd w:val="clear" w:color="auto" w:fill="0070C0"/>
            <w:tcMar>
              <w:top w:w="0" w:type="dxa"/>
              <w:left w:w="108" w:type="dxa"/>
              <w:bottom w:w="0" w:type="dxa"/>
              <w:right w:w="108" w:type="dxa"/>
            </w:tcMar>
          </w:tcPr>
          <w:p w14:paraId="0CBFAB0E" w14:textId="77777777" w:rsidR="003751AF" w:rsidRPr="003751AF" w:rsidRDefault="003751AF" w:rsidP="00C932F2">
            <w:pPr>
              <w:spacing w:before="20" w:afterLines="20" w:after="48"/>
              <w:rPr>
                <w:rFonts w:eastAsiaTheme="minorHAnsi" w:cs="Arial"/>
                <w:b/>
                <w:bCs/>
                <w:color w:val="FFFFFF"/>
                <w:lang w:eastAsia="en-US"/>
              </w:rPr>
            </w:pPr>
          </w:p>
        </w:tc>
        <w:tc>
          <w:tcPr>
            <w:tcW w:w="4223" w:type="pct"/>
            <w:gridSpan w:val="5"/>
            <w:tcBorders>
              <w:top w:val="single" w:sz="8" w:space="0" w:color="auto"/>
              <w:left w:val="nil"/>
              <w:right w:val="single" w:sz="8" w:space="0" w:color="auto"/>
            </w:tcBorders>
            <w:shd w:val="clear" w:color="auto" w:fill="0070C0"/>
          </w:tcPr>
          <w:p w14:paraId="3011E977" w14:textId="77777777" w:rsidR="003751AF" w:rsidRPr="003751AF" w:rsidRDefault="003751AF" w:rsidP="00C932F2">
            <w:pPr>
              <w:spacing w:before="20" w:afterLines="20" w:after="48"/>
              <w:jc w:val="center"/>
              <w:rPr>
                <w:rFonts w:eastAsiaTheme="minorHAnsi" w:cs="Arial"/>
                <w:b/>
                <w:bCs/>
                <w:color w:val="FFFFFF"/>
                <w:lang w:eastAsia="en-US"/>
              </w:rPr>
            </w:pPr>
            <w:r w:rsidRPr="003751AF">
              <w:rPr>
                <w:rFonts w:eastAsiaTheme="minorHAnsi" w:cs="Arial"/>
                <w:b/>
                <w:bCs/>
                <w:color w:val="FFFFFF"/>
                <w:lang w:eastAsia="en-US"/>
              </w:rPr>
              <w:t>Financial Year</w:t>
            </w:r>
          </w:p>
        </w:tc>
      </w:tr>
      <w:tr w:rsidR="003751AF" w:rsidRPr="003751AF" w14:paraId="1DFC1082" w14:textId="77777777" w:rsidTr="00B516F5">
        <w:trPr>
          <w:cantSplit/>
          <w:trHeight w:val="648"/>
          <w:tblHeader/>
        </w:trPr>
        <w:tc>
          <w:tcPr>
            <w:tcW w:w="777" w:type="pct"/>
            <w:vMerge/>
            <w:tcBorders>
              <w:left w:val="single" w:sz="8" w:space="0" w:color="auto"/>
              <w:right w:val="single" w:sz="8" w:space="0" w:color="auto"/>
            </w:tcBorders>
            <w:shd w:val="clear" w:color="auto" w:fill="0070C0"/>
            <w:tcMar>
              <w:top w:w="0" w:type="dxa"/>
              <w:left w:w="108" w:type="dxa"/>
              <w:bottom w:w="0" w:type="dxa"/>
              <w:right w:w="108" w:type="dxa"/>
            </w:tcMar>
            <w:hideMark/>
          </w:tcPr>
          <w:p w14:paraId="4F8C3BFF" w14:textId="77777777" w:rsidR="003751AF" w:rsidRPr="003751AF" w:rsidRDefault="003751AF" w:rsidP="00C932F2">
            <w:pPr>
              <w:spacing w:before="20" w:afterLines="20" w:after="48"/>
              <w:rPr>
                <w:rFonts w:eastAsiaTheme="minorHAnsi" w:cs="Arial"/>
                <w:b/>
                <w:bCs/>
                <w:color w:val="FFFFFF"/>
                <w:lang w:eastAsia="en-US"/>
              </w:rPr>
            </w:pPr>
          </w:p>
        </w:tc>
        <w:tc>
          <w:tcPr>
            <w:tcW w:w="844" w:type="pct"/>
            <w:tcBorders>
              <w:top w:val="single" w:sz="12" w:space="0" w:color="auto"/>
              <w:left w:val="nil"/>
              <w:right w:val="single" w:sz="8" w:space="0" w:color="auto"/>
            </w:tcBorders>
            <w:shd w:val="clear" w:color="auto" w:fill="0070C0"/>
          </w:tcPr>
          <w:p w14:paraId="51E68FBC" w14:textId="77777777" w:rsidR="003751AF" w:rsidRPr="003751AF" w:rsidRDefault="003751AF" w:rsidP="00C932F2">
            <w:pPr>
              <w:spacing w:before="20" w:afterLines="20" w:after="48"/>
              <w:ind w:left="-82"/>
              <w:jc w:val="center"/>
              <w:rPr>
                <w:rFonts w:eastAsiaTheme="minorHAnsi" w:cs="Arial"/>
                <w:b/>
                <w:bCs/>
                <w:color w:val="FFFFFF"/>
                <w:lang w:eastAsia="en-US"/>
              </w:rPr>
            </w:pPr>
            <w:r w:rsidRPr="003751AF">
              <w:rPr>
                <w:rFonts w:eastAsiaTheme="minorHAnsi" w:cs="Arial"/>
                <w:b/>
                <w:bCs/>
                <w:color w:val="FFFFFF"/>
                <w:lang w:eastAsia="en-US"/>
              </w:rPr>
              <w:t>1 July 2020 –</w:t>
            </w:r>
            <w:r w:rsidRPr="003751AF">
              <w:rPr>
                <w:rFonts w:eastAsiaTheme="minorHAnsi" w:cs="Arial"/>
                <w:b/>
                <w:bCs/>
                <w:color w:val="FFFFFF"/>
                <w:lang w:eastAsia="en-US"/>
              </w:rPr>
              <w:br/>
              <w:t>30 June 2021</w:t>
            </w:r>
          </w:p>
        </w:tc>
        <w:tc>
          <w:tcPr>
            <w:tcW w:w="845" w:type="pct"/>
            <w:tcBorders>
              <w:top w:val="single" w:sz="8" w:space="0" w:color="auto"/>
              <w:left w:val="single" w:sz="8" w:space="0" w:color="auto"/>
              <w:right w:val="single" w:sz="8" w:space="0" w:color="auto"/>
            </w:tcBorders>
            <w:shd w:val="clear" w:color="auto" w:fill="0070C0"/>
            <w:tcMar>
              <w:top w:w="0" w:type="dxa"/>
              <w:left w:w="108" w:type="dxa"/>
              <w:bottom w:w="0" w:type="dxa"/>
              <w:right w:w="108" w:type="dxa"/>
            </w:tcMar>
            <w:hideMark/>
          </w:tcPr>
          <w:p w14:paraId="152500EE" w14:textId="77777777" w:rsidR="003751AF" w:rsidRPr="003751AF" w:rsidRDefault="003751AF" w:rsidP="00C932F2">
            <w:pPr>
              <w:spacing w:before="20" w:afterLines="20" w:after="48"/>
              <w:ind w:left="-82"/>
              <w:jc w:val="center"/>
              <w:rPr>
                <w:rFonts w:eastAsiaTheme="minorHAnsi" w:cs="Arial"/>
                <w:b/>
                <w:bCs/>
                <w:color w:val="FFFFFF"/>
                <w:lang w:eastAsia="en-US"/>
              </w:rPr>
            </w:pPr>
            <w:r w:rsidRPr="003751AF">
              <w:rPr>
                <w:rFonts w:eastAsiaTheme="minorHAnsi" w:cs="Arial"/>
                <w:b/>
                <w:bCs/>
                <w:color w:val="FFFFFF"/>
                <w:lang w:eastAsia="en-US"/>
              </w:rPr>
              <w:t>1 July 2021 –</w:t>
            </w:r>
          </w:p>
          <w:p w14:paraId="47A177F0" w14:textId="77777777" w:rsidR="003751AF" w:rsidRPr="003751AF" w:rsidRDefault="003751AF" w:rsidP="00C932F2">
            <w:pPr>
              <w:spacing w:before="20" w:afterLines="20" w:after="48"/>
              <w:ind w:left="-110"/>
              <w:jc w:val="center"/>
              <w:rPr>
                <w:rFonts w:eastAsiaTheme="minorHAnsi" w:cs="Arial"/>
                <w:b/>
                <w:bCs/>
                <w:color w:val="FFFFFF"/>
                <w:lang w:eastAsia="en-US"/>
              </w:rPr>
            </w:pPr>
            <w:r w:rsidRPr="003751AF">
              <w:rPr>
                <w:rFonts w:eastAsiaTheme="minorHAnsi" w:cs="Arial"/>
                <w:b/>
                <w:bCs/>
                <w:color w:val="FFFFFF"/>
                <w:lang w:eastAsia="en-US"/>
              </w:rPr>
              <w:t>30 June 2022</w:t>
            </w:r>
          </w:p>
        </w:tc>
        <w:tc>
          <w:tcPr>
            <w:tcW w:w="844" w:type="pct"/>
            <w:tcBorders>
              <w:top w:val="single" w:sz="8" w:space="0" w:color="auto"/>
              <w:left w:val="nil"/>
              <w:right w:val="single" w:sz="8" w:space="0" w:color="auto"/>
            </w:tcBorders>
            <w:shd w:val="clear" w:color="auto" w:fill="0070C0"/>
          </w:tcPr>
          <w:p w14:paraId="188304FC" w14:textId="77777777" w:rsidR="003751AF" w:rsidRPr="003751AF" w:rsidRDefault="003751AF" w:rsidP="00C932F2">
            <w:pPr>
              <w:spacing w:before="20" w:afterLines="20" w:after="48"/>
              <w:jc w:val="center"/>
              <w:rPr>
                <w:rFonts w:eastAsiaTheme="minorHAnsi" w:cs="Arial"/>
                <w:b/>
                <w:bCs/>
                <w:color w:val="FFFFFF"/>
                <w:lang w:eastAsia="en-US"/>
              </w:rPr>
            </w:pPr>
            <w:r w:rsidRPr="003751AF">
              <w:rPr>
                <w:rFonts w:eastAsiaTheme="minorHAnsi" w:cs="Arial"/>
                <w:b/>
                <w:bCs/>
                <w:color w:val="FFFFFF"/>
                <w:lang w:eastAsia="en-US"/>
              </w:rPr>
              <w:t>1 July 2022 –</w:t>
            </w:r>
          </w:p>
          <w:p w14:paraId="7563065E" w14:textId="77777777" w:rsidR="003751AF" w:rsidRPr="003751AF" w:rsidRDefault="003751AF" w:rsidP="00C932F2">
            <w:pPr>
              <w:spacing w:before="20" w:afterLines="20" w:after="48"/>
              <w:jc w:val="center"/>
              <w:rPr>
                <w:rFonts w:eastAsiaTheme="minorHAnsi" w:cs="Arial"/>
                <w:b/>
                <w:bCs/>
                <w:color w:val="FFFFFF"/>
                <w:lang w:eastAsia="en-US"/>
              </w:rPr>
            </w:pPr>
            <w:r w:rsidRPr="003751AF">
              <w:rPr>
                <w:rFonts w:eastAsiaTheme="minorHAnsi" w:cs="Arial"/>
                <w:b/>
                <w:bCs/>
                <w:color w:val="FFFFFF"/>
                <w:lang w:eastAsia="en-US"/>
              </w:rPr>
              <w:t>30 June 2023</w:t>
            </w:r>
          </w:p>
        </w:tc>
        <w:tc>
          <w:tcPr>
            <w:tcW w:w="845" w:type="pct"/>
            <w:tcBorders>
              <w:top w:val="single" w:sz="8" w:space="0" w:color="auto"/>
              <w:left w:val="nil"/>
              <w:right w:val="single" w:sz="8" w:space="0" w:color="auto"/>
            </w:tcBorders>
            <w:shd w:val="clear" w:color="auto" w:fill="0070C0"/>
          </w:tcPr>
          <w:p w14:paraId="72F847A5" w14:textId="77777777" w:rsidR="003751AF" w:rsidRPr="003751AF" w:rsidRDefault="003751AF" w:rsidP="00C932F2">
            <w:pPr>
              <w:spacing w:before="20" w:afterLines="20" w:after="48"/>
              <w:jc w:val="center"/>
              <w:rPr>
                <w:rFonts w:eastAsiaTheme="minorHAnsi" w:cs="Arial"/>
                <w:b/>
                <w:bCs/>
                <w:color w:val="FFFFFF"/>
                <w:lang w:eastAsia="en-US"/>
              </w:rPr>
            </w:pPr>
            <w:r w:rsidRPr="003751AF">
              <w:rPr>
                <w:rFonts w:eastAsiaTheme="minorHAnsi" w:cs="Arial"/>
                <w:b/>
                <w:bCs/>
                <w:color w:val="FFFFFF"/>
                <w:lang w:eastAsia="en-US"/>
              </w:rPr>
              <w:t>1 July 2023 –</w:t>
            </w:r>
          </w:p>
          <w:p w14:paraId="39E17CC1" w14:textId="77777777" w:rsidR="003751AF" w:rsidRPr="003751AF" w:rsidRDefault="003751AF" w:rsidP="00C932F2">
            <w:pPr>
              <w:spacing w:before="20" w:afterLines="20" w:after="48"/>
              <w:jc w:val="center"/>
              <w:rPr>
                <w:rFonts w:eastAsiaTheme="minorHAnsi" w:cs="Arial"/>
                <w:b/>
                <w:bCs/>
                <w:color w:val="FFFFFF"/>
                <w:lang w:eastAsia="en-US"/>
              </w:rPr>
            </w:pPr>
            <w:r w:rsidRPr="003751AF">
              <w:rPr>
                <w:rFonts w:eastAsiaTheme="minorHAnsi" w:cs="Arial"/>
                <w:b/>
                <w:bCs/>
                <w:color w:val="FFFFFF"/>
                <w:lang w:eastAsia="en-US"/>
              </w:rPr>
              <w:t>30 June 2024</w:t>
            </w:r>
          </w:p>
        </w:tc>
        <w:tc>
          <w:tcPr>
            <w:tcW w:w="845" w:type="pct"/>
            <w:tcBorders>
              <w:top w:val="single" w:sz="8" w:space="0" w:color="auto"/>
              <w:left w:val="nil"/>
              <w:right w:val="single" w:sz="8" w:space="0" w:color="auto"/>
            </w:tcBorders>
            <w:shd w:val="clear" w:color="auto" w:fill="0070C0"/>
          </w:tcPr>
          <w:p w14:paraId="1A7BBCAD" w14:textId="77777777" w:rsidR="003751AF" w:rsidRPr="003751AF" w:rsidRDefault="003751AF" w:rsidP="00C932F2">
            <w:pPr>
              <w:spacing w:before="20" w:afterLines="20" w:after="48"/>
              <w:jc w:val="center"/>
              <w:rPr>
                <w:rFonts w:eastAsiaTheme="minorHAnsi" w:cs="Arial"/>
                <w:b/>
                <w:bCs/>
                <w:color w:val="FFFFFF"/>
                <w:lang w:eastAsia="en-US"/>
              </w:rPr>
            </w:pPr>
            <w:r w:rsidRPr="003751AF">
              <w:rPr>
                <w:rFonts w:eastAsiaTheme="minorHAnsi" w:cs="Arial"/>
                <w:b/>
                <w:bCs/>
                <w:color w:val="FFFFFF"/>
                <w:lang w:eastAsia="en-US"/>
              </w:rPr>
              <w:t>1 July 2024 –</w:t>
            </w:r>
          </w:p>
          <w:p w14:paraId="1801F40B" w14:textId="77777777" w:rsidR="003751AF" w:rsidRPr="003751AF" w:rsidRDefault="003751AF" w:rsidP="00C932F2">
            <w:pPr>
              <w:spacing w:before="20" w:afterLines="20" w:after="48"/>
              <w:jc w:val="center"/>
              <w:rPr>
                <w:rFonts w:eastAsiaTheme="minorHAnsi" w:cs="Arial"/>
                <w:b/>
                <w:bCs/>
                <w:color w:val="FFFFFF"/>
                <w:lang w:eastAsia="en-US"/>
              </w:rPr>
            </w:pPr>
            <w:r w:rsidRPr="003751AF">
              <w:rPr>
                <w:rFonts w:eastAsiaTheme="minorHAnsi" w:cs="Arial"/>
                <w:b/>
                <w:bCs/>
                <w:color w:val="FFFFFF"/>
                <w:lang w:eastAsia="en-US"/>
              </w:rPr>
              <w:t>30 June 2025</w:t>
            </w:r>
          </w:p>
        </w:tc>
      </w:tr>
      <w:tr w:rsidR="00B516F5" w:rsidRPr="003751AF" w14:paraId="29E1E1CD" w14:textId="77777777" w:rsidTr="00777134">
        <w:trPr>
          <w:cantSplit/>
          <w:trHeight w:val="357"/>
        </w:trPr>
        <w:tc>
          <w:tcPr>
            <w:tcW w:w="777"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6A11FBC7" w14:textId="73B26C78" w:rsidR="00B516F5" w:rsidRPr="003751AF" w:rsidRDefault="00B516F5" w:rsidP="00B516F5">
            <w:pPr>
              <w:spacing w:before="20" w:afterLines="20" w:after="48"/>
              <w:rPr>
                <w:rFonts w:eastAsiaTheme="minorHAnsi" w:cs="Arial"/>
                <w:lang w:eastAsia="en-US"/>
              </w:rPr>
            </w:pPr>
            <w:r w:rsidRPr="003751AF">
              <w:rPr>
                <w:rFonts w:eastAsiaTheme="minorHAnsi" w:cs="Arial"/>
                <w:lang w:eastAsia="en-US"/>
              </w:rPr>
              <w:t xml:space="preserve">Estimated Subsidised </w:t>
            </w:r>
            <w:r w:rsidRPr="003751AF">
              <w:rPr>
                <w:rFonts w:cs="Arial"/>
              </w:rPr>
              <w:t>Prescriptions</w:t>
            </w:r>
            <w:r w:rsidRPr="003751AF">
              <w:rPr>
                <w:rFonts w:cs="Arial"/>
                <w:b/>
              </w:rPr>
              <w:t xml:space="preserve"> </w:t>
            </w:r>
          </w:p>
        </w:tc>
        <w:tc>
          <w:tcPr>
            <w:tcW w:w="844" w:type="pct"/>
            <w:tcBorders>
              <w:top w:val="nil"/>
              <w:left w:val="nil"/>
              <w:bottom w:val="single" w:sz="4" w:space="0" w:color="auto"/>
              <w:right w:val="single" w:sz="8" w:space="0" w:color="auto"/>
            </w:tcBorders>
            <w:shd w:val="clear" w:color="auto" w:fill="auto"/>
            <w:vAlign w:val="center"/>
          </w:tcPr>
          <w:p w14:paraId="4EF4F61B" w14:textId="7CF68468" w:rsidR="00B516F5" w:rsidRPr="00125BE5" w:rsidRDefault="00B516F5" w:rsidP="00B516F5">
            <w:pPr>
              <w:spacing w:before="20" w:afterLines="20" w:after="48"/>
              <w:jc w:val="center"/>
              <w:rPr>
                <w:rFonts w:cs="Arial"/>
                <w:color w:val="000000"/>
              </w:rPr>
            </w:pPr>
            <w:r w:rsidRPr="00404045">
              <w:t>207,813,105</w:t>
            </w:r>
          </w:p>
        </w:tc>
        <w:tc>
          <w:tcPr>
            <w:tcW w:w="845"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6924A78" w14:textId="184272C2" w:rsidR="00B516F5" w:rsidRPr="00125BE5" w:rsidRDefault="00B516F5" w:rsidP="00B516F5">
            <w:pPr>
              <w:spacing w:before="20" w:afterLines="20" w:after="48"/>
              <w:jc w:val="center"/>
              <w:rPr>
                <w:rFonts w:cs="Arial"/>
                <w:color w:val="000000"/>
              </w:rPr>
            </w:pPr>
            <w:r w:rsidRPr="00404045">
              <w:t>207,638,079</w:t>
            </w:r>
          </w:p>
        </w:tc>
        <w:tc>
          <w:tcPr>
            <w:tcW w:w="844" w:type="pct"/>
            <w:tcBorders>
              <w:top w:val="nil"/>
              <w:left w:val="nil"/>
              <w:bottom w:val="single" w:sz="4" w:space="0" w:color="auto"/>
              <w:right w:val="single" w:sz="8" w:space="0" w:color="auto"/>
            </w:tcBorders>
            <w:shd w:val="clear" w:color="auto" w:fill="auto"/>
            <w:vAlign w:val="center"/>
          </w:tcPr>
          <w:p w14:paraId="553F9D35" w14:textId="48394262" w:rsidR="00B516F5" w:rsidRPr="00125BE5" w:rsidRDefault="00B516F5" w:rsidP="00B516F5">
            <w:pPr>
              <w:spacing w:before="20" w:afterLines="20" w:after="48"/>
              <w:jc w:val="center"/>
              <w:rPr>
                <w:rFonts w:cs="Arial"/>
                <w:color w:val="000000"/>
              </w:rPr>
            </w:pPr>
            <w:r w:rsidRPr="00404045">
              <w:t>209,166,163</w:t>
            </w:r>
          </w:p>
        </w:tc>
        <w:tc>
          <w:tcPr>
            <w:tcW w:w="845" w:type="pct"/>
            <w:tcBorders>
              <w:top w:val="nil"/>
              <w:left w:val="nil"/>
              <w:bottom w:val="single" w:sz="4" w:space="0" w:color="auto"/>
              <w:right w:val="single" w:sz="8" w:space="0" w:color="auto"/>
            </w:tcBorders>
            <w:shd w:val="clear" w:color="auto" w:fill="auto"/>
            <w:vAlign w:val="center"/>
          </w:tcPr>
          <w:p w14:paraId="047EDC44" w14:textId="57B4957F" w:rsidR="00B516F5" w:rsidRPr="00125BE5" w:rsidRDefault="00B516F5" w:rsidP="00B516F5">
            <w:pPr>
              <w:spacing w:before="20" w:afterLines="20" w:after="48"/>
              <w:jc w:val="center"/>
              <w:rPr>
                <w:rFonts w:cs="Arial"/>
                <w:color w:val="000000"/>
              </w:rPr>
            </w:pPr>
            <w:r w:rsidRPr="00404045">
              <w:t>211,720,230</w:t>
            </w:r>
          </w:p>
        </w:tc>
        <w:tc>
          <w:tcPr>
            <w:tcW w:w="845" w:type="pct"/>
            <w:tcBorders>
              <w:top w:val="nil"/>
              <w:left w:val="nil"/>
              <w:bottom w:val="single" w:sz="4" w:space="0" w:color="auto"/>
              <w:right w:val="single" w:sz="8" w:space="0" w:color="auto"/>
            </w:tcBorders>
            <w:shd w:val="clear" w:color="auto" w:fill="auto"/>
            <w:vAlign w:val="center"/>
          </w:tcPr>
          <w:p w14:paraId="11D4C04C" w14:textId="45D8188E" w:rsidR="00B516F5" w:rsidRPr="00125BE5" w:rsidRDefault="00B516F5" w:rsidP="00B516F5">
            <w:pPr>
              <w:spacing w:before="20" w:afterLines="20" w:after="48"/>
              <w:jc w:val="center"/>
              <w:rPr>
                <w:rFonts w:cs="Arial"/>
                <w:color w:val="000000"/>
              </w:rPr>
            </w:pPr>
            <w:r w:rsidRPr="00404045">
              <w:t>214,332,499</w:t>
            </w:r>
          </w:p>
        </w:tc>
      </w:tr>
      <w:tr w:rsidR="00B516F5" w:rsidRPr="008A026D" w14:paraId="7CE4846A" w14:textId="77777777" w:rsidTr="00777134">
        <w:trPr>
          <w:cantSplit/>
          <w:trHeight w:val="357"/>
        </w:trPr>
        <w:tc>
          <w:tcPr>
            <w:tcW w:w="7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9A0462B" w14:textId="1EF83A7F" w:rsidR="00B516F5" w:rsidRPr="003751AF" w:rsidRDefault="00B516F5" w:rsidP="00B516F5">
            <w:pPr>
              <w:spacing w:before="20" w:afterLines="20" w:after="48"/>
              <w:rPr>
                <w:rFonts w:eastAsiaTheme="minorHAnsi" w:cs="Arial"/>
                <w:lang w:eastAsia="en-US"/>
              </w:rPr>
            </w:pPr>
            <w:r w:rsidRPr="003751AF">
              <w:rPr>
                <w:rFonts w:eastAsiaTheme="minorHAnsi" w:cs="Arial"/>
                <w:lang w:eastAsia="en-US"/>
              </w:rPr>
              <w:t xml:space="preserve">Estimated Unsubsidised </w:t>
            </w:r>
            <w:r w:rsidRPr="003751AF">
              <w:rPr>
                <w:rFonts w:cs="Arial"/>
              </w:rPr>
              <w:t>Prescriptions</w:t>
            </w:r>
            <w:r w:rsidRPr="003751AF">
              <w:rPr>
                <w:rFonts w:cs="Arial"/>
                <w:b/>
              </w:rPr>
              <w:t xml:space="preserve"> </w:t>
            </w:r>
          </w:p>
        </w:tc>
        <w:tc>
          <w:tcPr>
            <w:tcW w:w="844" w:type="pct"/>
            <w:tcBorders>
              <w:top w:val="single" w:sz="4" w:space="0" w:color="auto"/>
              <w:left w:val="nil"/>
              <w:bottom w:val="single" w:sz="4" w:space="0" w:color="auto"/>
              <w:right w:val="single" w:sz="8" w:space="0" w:color="auto"/>
            </w:tcBorders>
            <w:shd w:val="clear" w:color="auto" w:fill="auto"/>
            <w:vAlign w:val="center"/>
          </w:tcPr>
          <w:p w14:paraId="74B0D182" w14:textId="0E32DD40" w:rsidR="00B516F5" w:rsidRPr="00125BE5" w:rsidRDefault="00B516F5" w:rsidP="00B516F5">
            <w:pPr>
              <w:spacing w:before="20" w:afterLines="20" w:after="48"/>
              <w:jc w:val="center"/>
              <w:rPr>
                <w:rFonts w:cs="Arial"/>
                <w:color w:val="000000"/>
              </w:rPr>
            </w:pPr>
            <w:r w:rsidRPr="00404045">
              <w:t>99,410,720</w:t>
            </w:r>
          </w:p>
        </w:tc>
        <w:tc>
          <w:tcPr>
            <w:tcW w:w="845"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E626C07" w14:textId="505E95AC" w:rsidR="00B516F5" w:rsidRPr="00125BE5" w:rsidRDefault="00B516F5" w:rsidP="00B516F5">
            <w:pPr>
              <w:spacing w:before="20" w:afterLines="20" w:after="48"/>
              <w:jc w:val="center"/>
              <w:rPr>
                <w:rFonts w:cs="Arial"/>
                <w:color w:val="000000"/>
              </w:rPr>
            </w:pPr>
            <w:r w:rsidRPr="00404045">
              <w:t>102,880,240</w:t>
            </w:r>
          </w:p>
        </w:tc>
        <w:tc>
          <w:tcPr>
            <w:tcW w:w="844" w:type="pct"/>
            <w:tcBorders>
              <w:top w:val="single" w:sz="4" w:space="0" w:color="auto"/>
              <w:left w:val="nil"/>
              <w:bottom w:val="single" w:sz="4" w:space="0" w:color="auto"/>
              <w:right w:val="single" w:sz="8" w:space="0" w:color="auto"/>
            </w:tcBorders>
            <w:shd w:val="clear" w:color="auto" w:fill="auto"/>
            <w:vAlign w:val="center"/>
          </w:tcPr>
          <w:p w14:paraId="60D70F80" w14:textId="50139D12" w:rsidR="00B516F5" w:rsidRPr="00125BE5" w:rsidRDefault="00B516F5" w:rsidP="00B516F5">
            <w:pPr>
              <w:spacing w:before="20" w:afterLines="20" w:after="48"/>
              <w:jc w:val="center"/>
              <w:rPr>
                <w:rFonts w:cs="Arial"/>
                <w:color w:val="000000"/>
              </w:rPr>
            </w:pPr>
            <w:r w:rsidRPr="00404045">
              <w:t>106,002,898</w:t>
            </w:r>
          </w:p>
        </w:tc>
        <w:tc>
          <w:tcPr>
            <w:tcW w:w="845" w:type="pct"/>
            <w:tcBorders>
              <w:top w:val="single" w:sz="4" w:space="0" w:color="auto"/>
              <w:left w:val="nil"/>
              <w:bottom w:val="single" w:sz="4" w:space="0" w:color="auto"/>
              <w:right w:val="single" w:sz="8" w:space="0" w:color="auto"/>
            </w:tcBorders>
            <w:shd w:val="clear" w:color="auto" w:fill="auto"/>
            <w:vAlign w:val="center"/>
          </w:tcPr>
          <w:p w14:paraId="357A7BDD" w14:textId="1B7D9382" w:rsidR="00B516F5" w:rsidRPr="00125BE5" w:rsidRDefault="00B516F5" w:rsidP="00B516F5">
            <w:pPr>
              <w:spacing w:before="20" w:afterLines="20" w:after="48"/>
              <w:jc w:val="center"/>
              <w:rPr>
                <w:rFonts w:cs="Arial"/>
                <w:color w:val="000000"/>
              </w:rPr>
            </w:pPr>
            <w:r w:rsidRPr="00404045">
              <w:t>109,279,314</w:t>
            </w:r>
          </w:p>
        </w:tc>
        <w:tc>
          <w:tcPr>
            <w:tcW w:w="845" w:type="pct"/>
            <w:tcBorders>
              <w:top w:val="single" w:sz="4" w:space="0" w:color="auto"/>
              <w:left w:val="nil"/>
              <w:bottom w:val="single" w:sz="4" w:space="0" w:color="auto"/>
              <w:right w:val="single" w:sz="8" w:space="0" w:color="auto"/>
            </w:tcBorders>
            <w:shd w:val="clear" w:color="auto" w:fill="auto"/>
            <w:vAlign w:val="center"/>
          </w:tcPr>
          <w:p w14:paraId="36EEA95F" w14:textId="3B909F25" w:rsidR="00B516F5" w:rsidRPr="00125BE5" w:rsidRDefault="00B516F5" w:rsidP="00B516F5">
            <w:pPr>
              <w:spacing w:before="20" w:afterLines="20" w:after="48"/>
              <w:jc w:val="center"/>
              <w:rPr>
                <w:rFonts w:cs="Arial"/>
                <w:color w:val="000000"/>
              </w:rPr>
            </w:pPr>
            <w:r w:rsidRPr="00404045">
              <w:t>112,577,109</w:t>
            </w:r>
          </w:p>
        </w:tc>
      </w:tr>
      <w:tr w:rsidR="00B516F5" w:rsidRPr="00090B2D" w14:paraId="7B26B0CB" w14:textId="77777777" w:rsidTr="00777134">
        <w:trPr>
          <w:cantSplit/>
          <w:trHeight w:val="357"/>
        </w:trPr>
        <w:tc>
          <w:tcPr>
            <w:tcW w:w="7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B8CDB7" w14:textId="33E8DA34" w:rsidR="00B516F5" w:rsidRPr="00870370" w:rsidRDefault="00B516F5" w:rsidP="00B516F5">
            <w:pPr>
              <w:spacing w:before="20" w:afterLines="20" w:after="48"/>
              <w:rPr>
                <w:rFonts w:eastAsiaTheme="minorHAnsi" w:cs="Arial"/>
                <w:b/>
                <w:lang w:eastAsia="en-US"/>
              </w:rPr>
            </w:pPr>
            <w:r w:rsidRPr="00870370">
              <w:rPr>
                <w:rFonts w:eastAsiaTheme="minorHAnsi" w:cs="Arial"/>
                <w:b/>
                <w:lang w:eastAsia="en-US"/>
              </w:rPr>
              <w:t xml:space="preserve">Total Estimated </w:t>
            </w:r>
            <w:r w:rsidRPr="00870370">
              <w:rPr>
                <w:rFonts w:cs="Arial"/>
                <w:b/>
              </w:rPr>
              <w:t xml:space="preserve">Prescriptions </w:t>
            </w:r>
          </w:p>
        </w:tc>
        <w:tc>
          <w:tcPr>
            <w:tcW w:w="844" w:type="pct"/>
            <w:tcBorders>
              <w:top w:val="single" w:sz="4" w:space="0" w:color="auto"/>
              <w:left w:val="nil"/>
              <w:bottom w:val="single" w:sz="4" w:space="0" w:color="auto"/>
              <w:right w:val="single" w:sz="8" w:space="0" w:color="auto"/>
            </w:tcBorders>
            <w:shd w:val="clear" w:color="auto" w:fill="auto"/>
            <w:vAlign w:val="center"/>
          </w:tcPr>
          <w:p w14:paraId="7DB8E561" w14:textId="36361BC5" w:rsidR="00B516F5" w:rsidRPr="00125BE5" w:rsidRDefault="00B516F5" w:rsidP="00B516F5">
            <w:pPr>
              <w:spacing w:before="20" w:afterLines="20" w:after="48"/>
              <w:jc w:val="center"/>
              <w:rPr>
                <w:rFonts w:cs="Arial"/>
                <w:color w:val="000000"/>
              </w:rPr>
            </w:pPr>
            <w:r w:rsidRPr="00404045">
              <w:t>307,223,824</w:t>
            </w:r>
          </w:p>
        </w:tc>
        <w:tc>
          <w:tcPr>
            <w:tcW w:w="845"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944BCC4" w14:textId="54D4196D" w:rsidR="00B516F5" w:rsidRPr="00125BE5" w:rsidRDefault="00B516F5" w:rsidP="00B516F5">
            <w:pPr>
              <w:spacing w:before="20" w:afterLines="20" w:after="48"/>
              <w:jc w:val="center"/>
              <w:rPr>
                <w:rFonts w:cs="Arial"/>
                <w:color w:val="000000"/>
              </w:rPr>
            </w:pPr>
            <w:r w:rsidRPr="00404045">
              <w:t>310,518,319</w:t>
            </w:r>
          </w:p>
        </w:tc>
        <w:tc>
          <w:tcPr>
            <w:tcW w:w="844" w:type="pct"/>
            <w:tcBorders>
              <w:top w:val="single" w:sz="4" w:space="0" w:color="auto"/>
              <w:left w:val="nil"/>
              <w:bottom w:val="single" w:sz="4" w:space="0" w:color="auto"/>
              <w:right w:val="single" w:sz="8" w:space="0" w:color="auto"/>
            </w:tcBorders>
            <w:shd w:val="clear" w:color="auto" w:fill="auto"/>
            <w:vAlign w:val="center"/>
          </w:tcPr>
          <w:p w14:paraId="1D0A6EDE" w14:textId="67E041AA" w:rsidR="00B516F5" w:rsidRPr="00125BE5" w:rsidRDefault="00B516F5" w:rsidP="00B516F5">
            <w:pPr>
              <w:spacing w:before="20" w:afterLines="20" w:after="48"/>
              <w:jc w:val="center"/>
              <w:rPr>
                <w:rFonts w:cs="Arial"/>
                <w:color w:val="000000"/>
              </w:rPr>
            </w:pPr>
            <w:r w:rsidRPr="00404045">
              <w:t>315,169,063</w:t>
            </w:r>
          </w:p>
        </w:tc>
        <w:tc>
          <w:tcPr>
            <w:tcW w:w="845" w:type="pct"/>
            <w:tcBorders>
              <w:top w:val="single" w:sz="4" w:space="0" w:color="auto"/>
              <w:left w:val="nil"/>
              <w:bottom w:val="single" w:sz="4" w:space="0" w:color="auto"/>
              <w:right w:val="single" w:sz="8" w:space="0" w:color="auto"/>
            </w:tcBorders>
            <w:shd w:val="clear" w:color="auto" w:fill="auto"/>
            <w:vAlign w:val="center"/>
          </w:tcPr>
          <w:p w14:paraId="344BEEF3" w14:textId="2143F326" w:rsidR="00B516F5" w:rsidRPr="00125BE5" w:rsidRDefault="00B516F5" w:rsidP="00B516F5">
            <w:pPr>
              <w:spacing w:before="20" w:afterLines="20" w:after="48"/>
              <w:jc w:val="center"/>
              <w:rPr>
                <w:rFonts w:cs="Arial"/>
                <w:color w:val="000000"/>
              </w:rPr>
            </w:pPr>
            <w:r w:rsidRPr="00404045">
              <w:t>320,999,545</w:t>
            </w:r>
          </w:p>
        </w:tc>
        <w:tc>
          <w:tcPr>
            <w:tcW w:w="845" w:type="pct"/>
            <w:tcBorders>
              <w:top w:val="single" w:sz="4" w:space="0" w:color="auto"/>
              <w:left w:val="nil"/>
              <w:bottom w:val="single" w:sz="4" w:space="0" w:color="auto"/>
              <w:right w:val="single" w:sz="8" w:space="0" w:color="auto"/>
            </w:tcBorders>
            <w:shd w:val="clear" w:color="auto" w:fill="auto"/>
            <w:vAlign w:val="center"/>
          </w:tcPr>
          <w:p w14:paraId="601AB1DF" w14:textId="46D3AADB" w:rsidR="00B516F5" w:rsidRPr="00125BE5" w:rsidRDefault="00B516F5" w:rsidP="00B516F5">
            <w:pPr>
              <w:spacing w:before="20" w:afterLines="20" w:after="48"/>
              <w:jc w:val="center"/>
              <w:rPr>
                <w:rFonts w:cs="Arial"/>
                <w:color w:val="000000"/>
              </w:rPr>
            </w:pPr>
            <w:r w:rsidRPr="00404045">
              <w:t>326,909,608</w:t>
            </w:r>
          </w:p>
        </w:tc>
      </w:tr>
    </w:tbl>
    <w:p w14:paraId="08F3D762" w14:textId="7D5DBE15" w:rsidR="00765E84" w:rsidRDefault="00765E84" w:rsidP="00DB6458"/>
    <w:p w14:paraId="10522B29" w14:textId="77777777" w:rsidR="00765E84" w:rsidRDefault="00765E84">
      <w:r>
        <w:br w:type="page"/>
      </w:r>
    </w:p>
    <w:p w14:paraId="3135F0A5" w14:textId="77777777" w:rsidR="00DB6458" w:rsidRPr="00DB6458" w:rsidRDefault="00DB6458" w:rsidP="00DB6458"/>
    <w:p w14:paraId="2B0D5FC5" w14:textId="6E472AA6" w:rsidR="009C5923" w:rsidRDefault="009C5923" w:rsidP="00765E84">
      <w:pPr>
        <w:pStyle w:val="mainTitle"/>
      </w:pPr>
      <w:bookmarkStart w:id="731" w:name="_Toc42783664"/>
      <w:r>
        <w:t xml:space="preserve">Appendix </w:t>
      </w:r>
      <w:r w:rsidR="00754325">
        <w:t>C</w:t>
      </w:r>
      <w:r w:rsidR="00DB6458">
        <w:t xml:space="preserve"> </w:t>
      </w:r>
      <w:r w:rsidR="00A72DF7">
        <w:t xml:space="preserve">– Terms of reference for the </w:t>
      </w:r>
      <w:r w:rsidR="00434DF0">
        <w:t xml:space="preserve">Community Pharmacy </w:t>
      </w:r>
      <w:r w:rsidR="00A72DF7">
        <w:t xml:space="preserve">Consultation </w:t>
      </w:r>
      <w:r w:rsidR="00754325">
        <w:t>Committee</w:t>
      </w:r>
      <w:bookmarkEnd w:id="731"/>
    </w:p>
    <w:p w14:paraId="3B1FDF8F" w14:textId="77777777" w:rsidR="000665DD" w:rsidRDefault="000665DD" w:rsidP="000665DD"/>
    <w:p w14:paraId="6511FFED" w14:textId="4CF93F5D" w:rsidR="00904677" w:rsidRPr="00904677" w:rsidRDefault="00904677" w:rsidP="00EB1651">
      <w:pPr>
        <w:numPr>
          <w:ilvl w:val="0"/>
          <w:numId w:val="18"/>
        </w:numPr>
        <w:spacing w:after="120" w:line="240" w:lineRule="atLeast"/>
        <w:ind w:left="426" w:hanging="426"/>
        <w:contextualSpacing/>
        <w:rPr>
          <w:rFonts w:ascii="Calibri" w:eastAsia="Calibri" w:hAnsi="Calibri"/>
          <w:b/>
          <w:sz w:val="22"/>
          <w:szCs w:val="22"/>
          <w:lang w:eastAsia="en-US"/>
        </w:rPr>
      </w:pPr>
      <w:r w:rsidRPr="00904677">
        <w:rPr>
          <w:rFonts w:ascii="Calibri" w:eastAsia="Calibri" w:hAnsi="Calibri"/>
          <w:b/>
          <w:sz w:val="22"/>
          <w:szCs w:val="22"/>
          <w:lang w:eastAsia="en-US"/>
        </w:rPr>
        <w:t>Title of Committee</w:t>
      </w:r>
    </w:p>
    <w:p w14:paraId="7E940594" w14:textId="0B2A5C64" w:rsidR="00904677" w:rsidRPr="00904677" w:rsidRDefault="00904677" w:rsidP="00904677">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The </w:t>
      </w:r>
      <w:r w:rsidR="00434DF0">
        <w:rPr>
          <w:rFonts w:ascii="Calibri" w:eastAsia="Calibri" w:hAnsi="Calibri"/>
          <w:sz w:val="22"/>
          <w:szCs w:val="22"/>
          <w:lang w:eastAsia="en-US"/>
        </w:rPr>
        <w:t>Community Pharmacy</w:t>
      </w:r>
      <w:r w:rsidR="00434DF0"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Consultation </w:t>
      </w:r>
      <w:r w:rsidR="00754325">
        <w:rPr>
          <w:rFonts w:ascii="Calibri" w:eastAsia="Calibri" w:hAnsi="Calibri"/>
          <w:sz w:val="22"/>
          <w:szCs w:val="22"/>
          <w:lang w:eastAsia="en-US"/>
        </w:rPr>
        <w:t>Committee.</w:t>
      </w:r>
    </w:p>
    <w:p w14:paraId="0FA700D8" w14:textId="5A1F2DC3" w:rsidR="00904677" w:rsidRPr="00904677" w:rsidRDefault="00904677" w:rsidP="00EB1651">
      <w:pPr>
        <w:numPr>
          <w:ilvl w:val="0"/>
          <w:numId w:val="18"/>
        </w:numPr>
        <w:spacing w:after="120" w:line="240" w:lineRule="atLeast"/>
        <w:ind w:left="426" w:hanging="426"/>
        <w:contextualSpacing/>
        <w:rPr>
          <w:rFonts w:ascii="Calibri" w:eastAsia="Calibri" w:hAnsi="Calibri"/>
          <w:b/>
          <w:sz w:val="22"/>
          <w:szCs w:val="22"/>
          <w:lang w:eastAsia="en-US"/>
        </w:rPr>
      </w:pPr>
      <w:r w:rsidRPr="00904677">
        <w:rPr>
          <w:rFonts w:ascii="Calibri" w:eastAsia="Calibri" w:hAnsi="Calibri"/>
          <w:b/>
          <w:sz w:val="22"/>
          <w:szCs w:val="22"/>
          <w:lang w:eastAsia="en-US"/>
        </w:rPr>
        <w:t>Establishment</w:t>
      </w:r>
    </w:p>
    <w:p w14:paraId="14D81E89" w14:textId="507EF4D9" w:rsidR="00904677" w:rsidRPr="00904677" w:rsidRDefault="00904677" w:rsidP="00904677">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The Seventh Community Pharmacy Agreement (</w:t>
      </w:r>
      <w:r w:rsidRPr="00904677">
        <w:rPr>
          <w:rFonts w:ascii="Calibri" w:eastAsia="Calibri" w:hAnsi="Calibri"/>
          <w:b/>
          <w:sz w:val="22"/>
          <w:szCs w:val="22"/>
          <w:lang w:eastAsia="en-US"/>
        </w:rPr>
        <w:t>7CPA</w:t>
      </w:r>
      <w:r w:rsidRPr="00904677">
        <w:rPr>
          <w:rFonts w:ascii="Calibri" w:eastAsia="Calibri" w:hAnsi="Calibri"/>
          <w:sz w:val="22"/>
          <w:szCs w:val="22"/>
          <w:lang w:eastAsia="en-US"/>
        </w:rPr>
        <w:t xml:space="preserve">) is a five-year agreement between the Minister for Health on behalf of the Commonwealth of Australia, the Pharmacy Guild of Australia (the </w:t>
      </w:r>
      <w:r w:rsidRPr="00904677">
        <w:rPr>
          <w:rFonts w:ascii="Calibri" w:eastAsia="Calibri" w:hAnsi="Calibri"/>
          <w:b/>
          <w:sz w:val="22"/>
          <w:szCs w:val="22"/>
          <w:lang w:eastAsia="en-US"/>
        </w:rPr>
        <w:t>Guild</w:t>
      </w:r>
      <w:r w:rsidRPr="00904677">
        <w:rPr>
          <w:rFonts w:ascii="Calibri" w:eastAsia="Calibri" w:hAnsi="Calibri"/>
          <w:sz w:val="22"/>
          <w:szCs w:val="22"/>
          <w:lang w:eastAsia="en-US"/>
        </w:rPr>
        <w:t>) and the Pharmaceutical Society of Australia (</w:t>
      </w:r>
      <w:r w:rsidRPr="00904677">
        <w:rPr>
          <w:rFonts w:ascii="Calibri" w:eastAsia="Calibri" w:hAnsi="Calibri"/>
          <w:b/>
          <w:sz w:val="22"/>
          <w:szCs w:val="22"/>
          <w:lang w:eastAsia="en-US"/>
        </w:rPr>
        <w:t>PSA</w:t>
      </w:r>
      <w:r w:rsidRPr="00904677">
        <w:rPr>
          <w:rFonts w:ascii="Calibri" w:eastAsia="Calibri" w:hAnsi="Calibri"/>
          <w:sz w:val="22"/>
          <w:szCs w:val="22"/>
          <w:lang w:eastAsia="en-US"/>
        </w:rPr>
        <w:t>)</w:t>
      </w:r>
      <w:r w:rsidR="00AE5FEF">
        <w:rPr>
          <w:rFonts w:ascii="Calibri" w:eastAsia="Calibri" w:hAnsi="Calibri"/>
          <w:sz w:val="22"/>
          <w:szCs w:val="22"/>
          <w:lang w:eastAsia="en-US"/>
        </w:rPr>
        <w:t xml:space="preserve"> that</w:t>
      </w:r>
      <w:r w:rsidRPr="00904677">
        <w:rPr>
          <w:rFonts w:ascii="Calibri" w:eastAsia="Calibri" w:hAnsi="Calibri"/>
          <w:sz w:val="22"/>
          <w:szCs w:val="22"/>
          <w:lang w:eastAsia="en-US"/>
        </w:rPr>
        <w:t xml:space="preserve"> governs, amongst other things, the remuneration arrangements for </w:t>
      </w:r>
      <w:r w:rsidR="000B73EE" w:rsidRPr="00904677">
        <w:rPr>
          <w:rFonts w:ascii="Calibri" w:eastAsia="Calibri" w:hAnsi="Calibri"/>
          <w:sz w:val="22"/>
          <w:szCs w:val="22"/>
          <w:lang w:eastAsia="en-US"/>
        </w:rPr>
        <w:t>Approved Pharmacist</w:t>
      </w:r>
      <w:r w:rsidRPr="00904677">
        <w:rPr>
          <w:rFonts w:ascii="Calibri" w:eastAsia="Calibri" w:hAnsi="Calibri"/>
          <w:sz w:val="22"/>
          <w:szCs w:val="22"/>
          <w:lang w:eastAsia="en-US"/>
        </w:rPr>
        <w:t>s for the supply of medicines listed on the Pharmaceutical Benefits Scheme. The Department of Health (</w:t>
      </w:r>
      <w:r w:rsidRPr="00223700">
        <w:rPr>
          <w:rFonts w:ascii="Calibri" w:eastAsia="Calibri" w:hAnsi="Calibri"/>
          <w:b/>
          <w:sz w:val="22"/>
          <w:szCs w:val="22"/>
          <w:lang w:eastAsia="en-US"/>
        </w:rPr>
        <w:t>Department</w:t>
      </w:r>
      <w:r w:rsidRPr="00904677">
        <w:rPr>
          <w:rFonts w:ascii="Calibri" w:eastAsia="Calibri" w:hAnsi="Calibri"/>
          <w:sz w:val="22"/>
          <w:szCs w:val="22"/>
          <w:lang w:eastAsia="en-US"/>
        </w:rPr>
        <w:t>) has responsibility for the implementation and management of the 7CPA on behalf of the Commonwealth of Australia.</w:t>
      </w:r>
    </w:p>
    <w:p w14:paraId="42182CDC" w14:textId="5862760B" w:rsidR="00904677" w:rsidRPr="00904677" w:rsidRDefault="00434DF0" w:rsidP="00904677">
      <w:pPr>
        <w:spacing w:after="120" w:line="240" w:lineRule="atLeast"/>
        <w:rPr>
          <w:rFonts w:ascii="Calibri" w:eastAsia="Calibri" w:hAnsi="Calibri"/>
          <w:sz w:val="22"/>
          <w:szCs w:val="22"/>
          <w:lang w:eastAsia="en-US"/>
        </w:rPr>
      </w:pPr>
      <w:r>
        <w:rPr>
          <w:rFonts w:ascii="Calibri" w:eastAsia="Calibri" w:hAnsi="Calibri"/>
          <w:sz w:val="22"/>
          <w:szCs w:val="22"/>
          <w:lang w:eastAsia="en-US"/>
        </w:rPr>
        <w:t xml:space="preserve">Clause </w:t>
      </w:r>
      <w:r>
        <w:rPr>
          <w:rFonts w:ascii="Calibri" w:eastAsia="Calibri" w:hAnsi="Calibri"/>
          <w:sz w:val="22"/>
          <w:szCs w:val="22"/>
          <w:lang w:eastAsia="en-US"/>
        </w:rPr>
        <w:fldChar w:fldCharType="begin"/>
      </w:r>
      <w:r>
        <w:rPr>
          <w:rFonts w:ascii="Calibri" w:eastAsia="Calibri" w:hAnsi="Calibri"/>
          <w:sz w:val="22"/>
          <w:szCs w:val="22"/>
          <w:lang w:eastAsia="en-US"/>
        </w:rPr>
        <w:instrText xml:space="preserve"> REF _Ref41331776 \w \h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982D02">
        <w:rPr>
          <w:rFonts w:ascii="Calibri" w:eastAsia="Calibri" w:hAnsi="Calibri"/>
          <w:sz w:val="22"/>
          <w:szCs w:val="22"/>
          <w:lang w:eastAsia="en-US"/>
        </w:rPr>
        <w:t>16</w:t>
      </w:r>
      <w:r>
        <w:rPr>
          <w:rFonts w:ascii="Calibri" w:eastAsia="Calibri" w:hAnsi="Calibri"/>
          <w:sz w:val="22"/>
          <w:szCs w:val="22"/>
          <w:lang w:eastAsia="en-US"/>
        </w:rPr>
        <w:fldChar w:fldCharType="end"/>
      </w:r>
      <w:r>
        <w:rPr>
          <w:rFonts w:ascii="Calibri" w:eastAsia="Calibri" w:hAnsi="Calibri"/>
          <w:sz w:val="22"/>
          <w:szCs w:val="22"/>
          <w:lang w:eastAsia="en-US"/>
        </w:rPr>
        <w:t xml:space="preserve"> </w:t>
      </w:r>
      <w:r w:rsidR="00904677" w:rsidRPr="00904677">
        <w:rPr>
          <w:rFonts w:ascii="Calibri" w:eastAsia="Calibri" w:hAnsi="Calibri"/>
          <w:sz w:val="22"/>
          <w:szCs w:val="22"/>
          <w:lang w:eastAsia="en-US"/>
        </w:rPr>
        <w:t>of the 7CPA establishes consultation arrangements for the term of the Agreement.</w:t>
      </w:r>
    </w:p>
    <w:p w14:paraId="347DCB84" w14:textId="666BE8AF" w:rsidR="00904677" w:rsidRPr="00904677" w:rsidRDefault="00904677" w:rsidP="00904677">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The </w:t>
      </w:r>
      <w:r w:rsidR="00434DF0">
        <w:rPr>
          <w:rFonts w:ascii="Calibri" w:eastAsia="Calibri" w:hAnsi="Calibri"/>
          <w:sz w:val="22"/>
          <w:szCs w:val="22"/>
          <w:lang w:eastAsia="en-US"/>
        </w:rPr>
        <w:t xml:space="preserve">Community Pharmacy </w:t>
      </w:r>
      <w:r w:rsidR="00754325">
        <w:rPr>
          <w:rFonts w:ascii="Calibri" w:eastAsia="Calibri" w:hAnsi="Calibri"/>
          <w:sz w:val="22"/>
          <w:szCs w:val="22"/>
          <w:lang w:eastAsia="en-US"/>
        </w:rPr>
        <w:t>Consultation Committee</w:t>
      </w:r>
      <w:r w:rsidR="00754325" w:rsidRPr="00904677">
        <w:rPr>
          <w:rFonts w:ascii="Calibri" w:eastAsia="Calibri" w:hAnsi="Calibri"/>
          <w:sz w:val="22"/>
          <w:szCs w:val="22"/>
          <w:lang w:eastAsia="en-US"/>
        </w:rPr>
        <w:t xml:space="preserve"> </w:t>
      </w:r>
      <w:r w:rsidR="00434DF0">
        <w:rPr>
          <w:rFonts w:ascii="Calibri" w:eastAsia="Calibri" w:hAnsi="Calibri"/>
          <w:sz w:val="22"/>
          <w:szCs w:val="22"/>
          <w:lang w:eastAsia="en-US"/>
        </w:rPr>
        <w:t>(</w:t>
      </w:r>
      <w:r w:rsidR="00434DF0" w:rsidRPr="00434DF0">
        <w:rPr>
          <w:rFonts w:ascii="Calibri" w:eastAsia="Calibri" w:hAnsi="Calibri"/>
          <w:b/>
          <w:sz w:val="22"/>
          <w:szCs w:val="22"/>
          <w:lang w:eastAsia="en-US"/>
        </w:rPr>
        <w:t>CPCC</w:t>
      </w:r>
      <w:r w:rsidR="00434DF0">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is the primary consultation mechanism to support the achievement of the </w:t>
      </w:r>
      <w:r w:rsidR="00F5714D">
        <w:rPr>
          <w:rFonts w:ascii="Calibri" w:eastAsia="Calibri" w:hAnsi="Calibri"/>
          <w:sz w:val="22"/>
          <w:szCs w:val="22"/>
          <w:lang w:eastAsia="en-US"/>
        </w:rPr>
        <w:t>Commonwealth and the Guild’s</w:t>
      </w:r>
      <w:r w:rsidR="00F5714D"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objectives under the 7CPA.  The </w:t>
      </w:r>
      <w:r w:rsidR="00F5714D">
        <w:rPr>
          <w:rFonts w:ascii="Calibri" w:eastAsia="Calibri" w:hAnsi="Calibri"/>
          <w:sz w:val="22"/>
          <w:szCs w:val="22"/>
          <w:lang w:eastAsia="en-US"/>
        </w:rPr>
        <w:t>CPCC is</w:t>
      </w:r>
      <w:r w:rsidRPr="00904677">
        <w:rPr>
          <w:rFonts w:ascii="Calibri" w:eastAsia="Calibri" w:hAnsi="Calibri"/>
          <w:sz w:val="22"/>
          <w:szCs w:val="22"/>
          <w:lang w:eastAsia="en-US"/>
        </w:rPr>
        <w:t xml:space="preserve"> not a decision making body, but the </w:t>
      </w:r>
      <w:r w:rsidR="00F5714D">
        <w:rPr>
          <w:rFonts w:ascii="Calibri" w:eastAsia="Calibri" w:hAnsi="Calibri"/>
          <w:sz w:val="22"/>
          <w:szCs w:val="22"/>
          <w:lang w:eastAsia="en-US"/>
        </w:rPr>
        <w:t>CPCC</w:t>
      </w:r>
      <w:r w:rsidR="00754325"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may provide advice or options to the </w:t>
      </w:r>
      <w:r w:rsidR="00AE5FEF">
        <w:rPr>
          <w:rFonts w:ascii="Calibri" w:eastAsia="Calibri" w:hAnsi="Calibri"/>
          <w:sz w:val="22"/>
          <w:szCs w:val="22"/>
          <w:lang w:eastAsia="en-US"/>
        </w:rPr>
        <w:t xml:space="preserve">signatories </w:t>
      </w:r>
      <w:r w:rsidRPr="00904677">
        <w:rPr>
          <w:rFonts w:ascii="Calibri" w:eastAsia="Calibri" w:hAnsi="Calibri"/>
          <w:sz w:val="22"/>
          <w:szCs w:val="22"/>
          <w:lang w:eastAsia="en-US"/>
        </w:rPr>
        <w:t xml:space="preserve">to the 7CPA, and to the representative of the </w:t>
      </w:r>
      <w:r w:rsidRPr="00B238B3">
        <w:rPr>
          <w:rFonts w:ascii="Calibri" w:eastAsia="Calibri" w:hAnsi="Calibri"/>
          <w:sz w:val="22"/>
          <w:szCs w:val="22"/>
          <w:lang w:eastAsia="en-US"/>
        </w:rPr>
        <w:t>Australian Government for the</w:t>
      </w:r>
      <w:r w:rsidRPr="00904677">
        <w:rPr>
          <w:rFonts w:ascii="Calibri" w:eastAsia="Calibri" w:hAnsi="Calibri"/>
          <w:sz w:val="22"/>
          <w:szCs w:val="22"/>
          <w:lang w:eastAsia="en-US"/>
        </w:rPr>
        <w:t xml:space="preserve"> purpose of the 7CPA.</w:t>
      </w:r>
    </w:p>
    <w:p w14:paraId="58F54764" w14:textId="4C000BFC" w:rsidR="00904677" w:rsidRPr="00904677" w:rsidRDefault="00904677" w:rsidP="00EB1651">
      <w:pPr>
        <w:numPr>
          <w:ilvl w:val="0"/>
          <w:numId w:val="18"/>
        </w:numPr>
        <w:spacing w:after="120" w:line="240" w:lineRule="atLeast"/>
        <w:ind w:left="426" w:hanging="426"/>
        <w:contextualSpacing/>
        <w:rPr>
          <w:rFonts w:ascii="Calibri" w:eastAsia="Calibri" w:hAnsi="Calibri"/>
          <w:b/>
          <w:sz w:val="22"/>
          <w:szCs w:val="22"/>
          <w:lang w:eastAsia="en-US"/>
        </w:rPr>
      </w:pPr>
      <w:r w:rsidRPr="00904677">
        <w:rPr>
          <w:rFonts w:ascii="Calibri" w:eastAsia="Calibri" w:hAnsi="Calibri"/>
          <w:b/>
          <w:sz w:val="22"/>
          <w:szCs w:val="22"/>
          <w:lang w:eastAsia="en-US"/>
        </w:rPr>
        <w:t>Functions and Responsibilities</w:t>
      </w:r>
    </w:p>
    <w:p w14:paraId="54C0A942" w14:textId="0707BBFC" w:rsidR="00904677" w:rsidRPr="00904677" w:rsidRDefault="00904677" w:rsidP="00904677">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The </w:t>
      </w:r>
      <w:r w:rsidR="00F5714D">
        <w:rPr>
          <w:rFonts w:ascii="Calibri" w:eastAsia="Calibri" w:hAnsi="Calibri"/>
          <w:sz w:val="22"/>
          <w:szCs w:val="22"/>
          <w:lang w:eastAsia="en-US"/>
        </w:rPr>
        <w:t>CPCC</w:t>
      </w:r>
      <w:r w:rsidR="00754325"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will be convened from time-to-time to enable the </w:t>
      </w:r>
      <w:r w:rsidR="002554A4">
        <w:rPr>
          <w:rFonts w:ascii="Calibri" w:eastAsia="Calibri" w:hAnsi="Calibri"/>
          <w:sz w:val="22"/>
          <w:szCs w:val="22"/>
          <w:lang w:eastAsia="en-US"/>
        </w:rPr>
        <w:t xml:space="preserve">Department and the Guild </w:t>
      </w:r>
      <w:r w:rsidRPr="00904677">
        <w:rPr>
          <w:rFonts w:ascii="Calibri" w:eastAsia="Calibri" w:hAnsi="Calibri"/>
          <w:sz w:val="22"/>
          <w:szCs w:val="22"/>
          <w:lang w:eastAsia="en-US"/>
        </w:rPr>
        <w:t xml:space="preserve">to consult </w:t>
      </w:r>
      <w:r w:rsidR="00A73E0A" w:rsidRPr="00A73E0A">
        <w:rPr>
          <w:rFonts w:ascii="Calibri" w:eastAsia="Calibri" w:hAnsi="Calibri"/>
          <w:sz w:val="22"/>
          <w:szCs w:val="22"/>
          <w:lang w:eastAsia="en-US"/>
        </w:rPr>
        <w:t xml:space="preserve">on matters between them in </w:t>
      </w:r>
      <w:r w:rsidRPr="00904677">
        <w:rPr>
          <w:rFonts w:ascii="Calibri" w:eastAsia="Calibri" w:hAnsi="Calibri"/>
          <w:sz w:val="22"/>
          <w:szCs w:val="22"/>
          <w:lang w:eastAsia="en-US"/>
        </w:rPr>
        <w:t xml:space="preserve">the 7CPA.  </w:t>
      </w:r>
      <w:r w:rsidR="002554A4">
        <w:rPr>
          <w:rFonts w:ascii="Calibri" w:eastAsia="Calibri" w:hAnsi="Calibri"/>
          <w:sz w:val="22"/>
          <w:szCs w:val="22"/>
          <w:lang w:eastAsia="en-US"/>
        </w:rPr>
        <w:t>The Department and the Guild</w:t>
      </w:r>
      <w:r w:rsidR="00754325"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will undertake such consultations and discussions to assist </w:t>
      </w:r>
      <w:r w:rsidR="002554A4">
        <w:rPr>
          <w:rFonts w:ascii="Calibri" w:eastAsia="Calibri" w:hAnsi="Calibri"/>
          <w:sz w:val="22"/>
          <w:szCs w:val="22"/>
          <w:lang w:eastAsia="en-US"/>
        </w:rPr>
        <w:t>them</w:t>
      </w:r>
      <w:r w:rsidR="00AE5FEF">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to fulfil their responsibilities under the 7CPA and to progress the achievement of the objectives of the 7CPA.  The </w:t>
      </w:r>
      <w:r w:rsidR="002554A4">
        <w:rPr>
          <w:rFonts w:ascii="Calibri" w:eastAsia="Calibri" w:hAnsi="Calibri"/>
          <w:sz w:val="22"/>
          <w:szCs w:val="22"/>
          <w:lang w:eastAsia="en-US"/>
        </w:rPr>
        <w:t>CPCC</w:t>
      </w:r>
      <w:r w:rsidR="00754325"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provides a mechanism for open dialogue, in good faith, to allow for consultation on matters </w:t>
      </w:r>
      <w:r w:rsidR="00A73E0A" w:rsidRPr="00A73E0A">
        <w:rPr>
          <w:rFonts w:ascii="Calibri" w:eastAsia="Calibri" w:hAnsi="Calibri"/>
          <w:sz w:val="22"/>
          <w:szCs w:val="22"/>
          <w:lang w:eastAsia="en-US"/>
        </w:rPr>
        <w:t xml:space="preserve">between them in </w:t>
      </w:r>
      <w:r w:rsidRPr="00904677">
        <w:rPr>
          <w:rFonts w:ascii="Calibri" w:eastAsia="Calibri" w:hAnsi="Calibri"/>
          <w:sz w:val="22"/>
          <w:szCs w:val="22"/>
          <w:lang w:eastAsia="en-US"/>
        </w:rPr>
        <w:t xml:space="preserve">the 7CPA.  The </w:t>
      </w:r>
      <w:r w:rsidR="002554A4">
        <w:rPr>
          <w:rFonts w:ascii="Calibri" w:eastAsia="Calibri" w:hAnsi="Calibri"/>
          <w:sz w:val="22"/>
          <w:szCs w:val="22"/>
          <w:lang w:eastAsia="en-US"/>
        </w:rPr>
        <w:t xml:space="preserve">CPCC </w:t>
      </w:r>
      <w:r w:rsidRPr="00904677">
        <w:rPr>
          <w:rFonts w:ascii="Calibri" w:eastAsia="Calibri" w:hAnsi="Calibri"/>
          <w:sz w:val="22"/>
          <w:szCs w:val="22"/>
          <w:lang w:eastAsia="en-US"/>
        </w:rPr>
        <w:t xml:space="preserve">does not supplant or limit the Department’s obligations under the </w:t>
      </w:r>
      <w:r w:rsidRPr="00904677">
        <w:rPr>
          <w:rFonts w:ascii="Calibri" w:eastAsia="Calibri" w:hAnsi="Calibri"/>
          <w:i/>
          <w:sz w:val="22"/>
          <w:szCs w:val="22"/>
          <w:lang w:eastAsia="en-US"/>
        </w:rPr>
        <w:t xml:space="preserve">Public Governance, Performance and Accountability Act 2013 </w:t>
      </w:r>
      <w:r w:rsidR="005B0279">
        <w:rPr>
          <w:rFonts w:ascii="Calibri" w:eastAsia="Calibri" w:hAnsi="Calibri"/>
          <w:sz w:val="22"/>
          <w:szCs w:val="22"/>
          <w:lang w:eastAsia="en-US"/>
        </w:rPr>
        <w:t xml:space="preserve">(Cth) </w:t>
      </w:r>
      <w:r w:rsidRPr="00904677">
        <w:rPr>
          <w:rFonts w:ascii="Calibri" w:eastAsia="Calibri" w:hAnsi="Calibri"/>
          <w:sz w:val="22"/>
          <w:szCs w:val="22"/>
          <w:lang w:eastAsia="en-US"/>
        </w:rPr>
        <w:t>(</w:t>
      </w:r>
      <w:r w:rsidRPr="00223700">
        <w:rPr>
          <w:rFonts w:ascii="Calibri" w:eastAsia="Calibri" w:hAnsi="Calibri"/>
          <w:b/>
          <w:sz w:val="22"/>
          <w:szCs w:val="22"/>
          <w:lang w:eastAsia="en-US"/>
        </w:rPr>
        <w:t>PGPA Act</w:t>
      </w:r>
      <w:r w:rsidRPr="00904677">
        <w:rPr>
          <w:rFonts w:ascii="Calibri" w:eastAsia="Calibri" w:hAnsi="Calibri"/>
          <w:sz w:val="22"/>
          <w:szCs w:val="22"/>
          <w:lang w:eastAsia="en-US"/>
        </w:rPr>
        <w:t xml:space="preserve">) to ensure the </w:t>
      </w:r>
      <w:r w:rsidR="00C86BE1" w:rsidRPr="00904677">
        <w:rPr>
          <w:rFonts w:ascii="Calibri" w:eastAsia="Calibri" w:hAnsi="Calibri"/>
          <w:sz w:val="22"/>
          <w:szCs w:val="22"/>
          <w:lang w:eastAsia="en-US"/>
        </w:rPr>
        <w:t>Proper</w:t>
      </w:r>
      <w:r w:rsidRPr="00904677">
        <w:rPr>
          <w:rFonts w:ascii="Calibri" w:eastAsia="Calibri" w:hAnsi="Calibri"/>
          <w:sz w:val="22"/>
          <w:szCs w:val="22"/>
          <w:lang w:eastAsia="en-US"/>
        </w:rPr>
        <w:t xml:space="preserve"> use of </w:t>
      </w:r>
      <w:r w:rsidR="00C86BE1" w:rsidRPr="00904677">
        <w:rPr>
          <w:rFonts w:ascii="Calibri" w:eastAsia="Calibri" w:hAnsi="Calibri"/>
          <w:sz w:val="22"/>
          <w:szCs w:val="22"/>
          <w:lang w:eastAsia="en-US"/>
        </w:rPr>
        <w:t>Public Resources</w:t>
      </w:r>
      <w:r w:rsidR="00CD7769" w:rsidRPr="00CD7769">
        <w:rPr>
          <w:rFonts w:ascii="Calibri" w:eastAsia="Calibri" w:hAnsi="Calibri"/>
          <w:sz w:val="22"/>
          <w:szCs w:val="22"/>
          <w:vertAlign w:val="superscript"/>
          <w:lang w:eastAsia="en-US"/>
        </w:rPr>
        <w:t>[</w:t>
      </w:r>
      <w:r w:rsidRPr="00CD7769">
        <w:rPr>
          <w:rFonts w:ascii="Calibri" w:eastAsia="Calibri" w:hAnsi="Calibri"/>
          <w:sz w:val="22"/>
          <w:szCs w:val="22"/>
          <w:vertAlign w:val="superscript"/>
          <w:lang w:eastAsia="en-US"/>
        </w:rPr>
        <w:footnoteReference w:id="10"/>
      </w:r>
      <w:r w:rsidR="00CD7769" w:rsidRPr="00CD7769">
        <w:rPr>
          <w:rFonts w:ascii="Calibri" w:eastAsia="Calibri" w:hAnsi="Calibri"/>
          <w:sz w:val="22"/>
          <w:szCs w:val="22"/>
          <w:vertAlign w:val="superscript"/>
          <w:lang w:eastAsia="en-US"/>
        </w:rPr>
        <w:t>]</w:t>
      </w:r>
      <w:r w:rsidRPr="00904677">
        <w:rPr>
          <w:rFonts w:ascii="Calibri" w:eastAsia="Calibri" w:hAnsi="Calibri"/>
          <w:sz w:val="22"/>
          <w:szCs w:val="22"/>
          <w:lang w:eastAsia="en-US"/>
        </w:rPr>
        <w:t>.</w:t>
      </w:r>
    </w:p>
    <w:p w14:paraId="7E2A3253" w14:textId="504FD12C" w:rsidR="00904677" w:rsidRPr="00904677" w:rsidRDefault="00904677" w:rsidP="00904677">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The responsibilities of the </w:t>
      </w:r>
      <w:r w:rsidR="002554A4">
        <w:rPr>
          <w:rFonts w:ascii="Calibri" w:eastAsia="Calibri" w:hAnsi="Calibri"/>
          <w:sz w:val="22"/>
          <w:szCs w:val="22"/>
          <w:lang w:eastAsia="en-US"/>
        </w:rPr>
        <w:t>CPCC</w:t>
      </w:r>
      <w:r w:rsidR="00754325"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are to:</w:t>
      </w:r>
    </w:p>
    <w:p w14:paraId="33D982D4" w14:textId="49223458" w:rsidR="00904677" w:rsidRPr="00904677" w:rsidRDefault="00904677" w:rsidP="00EB1651">
      <w:pPr>
        <w:numPr>
          <w:ilvl w:val="0"/>
          <w:numId w:val="19"/>
        </w:numPr>
        <w:spacing w:after="120" w:line="240" w:lineRule="atLeast"/>
        <w:ind w:hanging="357"/>
        <w:rPr>
          <w:rFonts w:ascii="Calibri" w:eastAsia="Calibri" w:hAnsi="Calibri"/>
          <w:sz w:val="22"/>
          <w:szCs w:val="22"/>
          <w:lang w:eastAsia="en-US"/>
        </w:rPr>
      </w:pPr>
      <w:r w:rsidRPr="00904677">
        <w:rPr>
          <w:rFonts w:ascii="Calibri" w:eastAsia="Calibri" w:hAnsi="Calibri"/>
          <w:sz w:val="22"/>
          <w:szCs w:val="22"/>
          <w:lang w:eastAsia="en-US"/>
        </w:rPr>
        <w:t>Formulate options for key performance measures aligned to 7CPA outcomes;</w:t>
      </w:r>
    </w:p>
    <w:p w14:paraId="3A7CCF6A" w14:textId="403EFD9E" w:rsidR="00904677" w:rsidRPr="00904677" w:rsidRDefault="00904677" w:rsidP="00EB1651">
      <w:pPr>
        <w:numPr>
          <w:ilvl w:val="0"/>
          <w:numId w:val="19"/>
        </w:numPr>
        <w:spacing w:after="120" w:line="240" w:lineRule="atLeast"/>
        <w:ind w:hanging="357"/>
        <w:rPr>
          <w:rFonts w:ascii="Calibri" w:eastAsia="Calibri" w:hAnsi="Calibri"/>
          <w:sz w:val="22"/>
          <w:szCs w:val="22"/>
          <w:lang w:eastAsia="en-US"/>
        </w:rPr>
      </w:pPr>
      <w:r w:rsidRPr="00904677">
        <w:rPr>
          <w:rFonts w:ascii="Calibri" w:eastAsia="Calibri" w:hAnsi="Calibri"/>
          <w:sz w:val="22"/>
          <w:szCs w:val="22"/>
          <w:lang w:eastAsia="en-US"/>
        </w:rPr>
        <w:t>Support achievement of key performance measures aligned to 7CPA outcomes, through contribution to monitoring, evaluation and performance frameworks;</w:t>
      </w:r>
    </w:p>
    <w:p w14:paraId="612DEB86" w14:textId="19495E55" w:rsidR="00904677" w:rsidRPr="00904677" w:rsidRDefault="00904677" w:rsidP="00EB1651">
      <w:pPr>
        <w:numPr>
          <w:ilvl w:val="0"/>
          <w:numId w:val="19"/>
        </w:numPr>
        <w:spacing w:after="120" w:line="240" w:lineRule="atLeast"/>
        <w:ind w:hanging="357"/>
        <w:rPr>
          <w:rFonts w:ascii="Calibri" w:eastAsia="Calibri" w:hAnsi="Calibri"/>
          <w:sz w:val="22"/>
          <w:szCs w:val="22"/>
          <w:lang w:eastAsia="en-US"/>
        </w:rPr>
      </w:pPr>
      <w:r w:rsidRPr="00904677">
        <w:rPr>
          <w:rFonts w:ascii="Calibri" w:eastAsia="Calibri" w:hAnsi="Calibri"/>
          <w:sz w:val="22"/>
          <w:szCs w:val="22"/>
          <w:lang w:eastAsia="en-US"/>
        </w:rPr>
        <w:t>Discuss options to respond to issues directly relating to the services and programs under the 7CPA, with a particular focus on where performance outcomes are not being achieved;</w:t>
      </w:r>
    </w:p>
    <w:p w14:paraId="39B1619A" w14:textId="2EB4B36E" w:rsidR="00904677" w:rsidRPr="00904677" w:rsidRDefault="00904677" w:rsidP="00EB1651">
      <w:pPr>
        <w:numPr>
          <w:ilvl w:val="0"/>
          <w:numId w:val="19"/>
        </w:numPr>
        <w:spacing w:after="120" w:line="240" w:lineRule="atLeast"/>
        <w:ind w:hanging="357"/>
        <w:rPr>
          <w:rFonts w:ascii="Calibri" w:eastAsia="Calibri" w:hAnsi="Calibri"/>
          <w:sz w:val="22"/>
          <w:szCs w:val="22"/>
          <w:lang w:eastAsia="en-US"/>
        </w:rPr>
      </w:pPr>
      <w:r w:rsidRPr="00904677">
        <w:rPr>
          <w:rFonts w:ascii="Calibri" w:eastAsia="Calibri" w:hAnsi="Calibri"/>
          <w:sz w:val="22"/>
          <w:szCs w:val="22"/>
          <w:lang w:eastAsia="en-US"/>
        </w:rPr>
        <w:t>Support adherence to the 7CPA and relevant legislative obligations, and discuss options to address issues if compliance is not being achieved;</w:t>
      </w:r>
    </w:p>
    <w:p w14:paraId="4EFD43A9" w14:textId="6E894F28" w:rsidR="00C42889" w:rsidRDefault="00904677" w:rsidP="00EB1651">
      <w:pPr>
        <w:numPr>
          <w:ilvl w:val="0"/>
          <w:numId w:val="19"/>
        </w:numPr>
        <w:spacing w:after="120" w:line="240" w:lineRule="atLeast"/>
        <w:ind w:hanging="357"/>
        <w:rPr>
          <w:rFonts w:ascii="Calibri" w:eastAsia="Calibri" w:hAnsi="Calibri"/>
          <w:sz w:val="22"/>
          <w:szCs w:val="22"/>
          <w:lang w:eastAsia="en-US"/>
        </w:rPr>
      </w:pPr>
      <w:r w:rsidRPr="00904677">
        <w:rPr>
          <w:rFonts w:ascii="Calibri" w:eastAsia="Calibri" w:hAnsi="Calibri"/>
          <w:sz w:val="22"/>
          <w:szCs w:val="22"/>
          <w:lang w:eastAsia="en-US"/>
        </w:rPr>
        <w:t>Discuss and support 7CPA programs’ intent, design and guidelines, including the facilitation of appropriate stakeholder feedback</w:t>
      </w:r>
      <w:r w:rsidR="00EA447C" w:rsidRPr="00280632">
        <w:rPr>
          <w:rFonts w:ascii="Calibri" w:eastAsia="Calibri" w:hAnsi="Calibri"/>
          <w:sz w:val="22"/>
          <w:szCs w:val="22"/>
          <w:lang w:eastAsia="en-US"/>
        </w:rPr>
        <w:t xml:space="preserve"> (including through the Pharmacy Stakeholder Consultation Committee)</w:t>
      </w:r>
      <w:r w:rsidRPr="00904677">
        <w:rPr>
          <w:rFonts w:ascii="Calibri" w:eastAsia="Calibri" w:hAnsi="Calibri"/>
          <w:sz w:val="22"/>
          <w:szCs w:val="22"/>
          <w:lang w:eastAsia="en-US"/>
        </w:rPr>
        <w:t>;</w:t>
      </w:r>
      <w:r w:rsidR="00C17F17">
        <w:rPr>
          <w:rFonts w:ascii="Calibri" w:eastAsia="Calibri" w:hAnsi="Calibri"/>
          <w:sz w:val="22"/>
          <w:szCs w:val="22"/>
          <w:lang w:eastAsia="en-US"/>
        </w:rPr>
        <w:t xml:space="preserve"> </w:t>
      </w:r>
    </w:p>
    <w:p w14:paraId="01B3344E" w14:textId="597602AD" w:rsidR="00C42889" w:rsidRDefault="00861D0C" w:rsidP="00EB1651">
      <w:pPr>
        <w:numPr>
          <w:ilvl w:val="0"/>
          <w:numId w:val="19"/>
        </w:numPr>
        <w:spacing w:after="120" w:line="240" w:lineRule="atLeast"/>
        <w:ind w:hanging="357"/>
        <w:rPr>
          <w:rFonts w:ascii="Calibri" w:eastAsia="Calibri" w:hAnsi="Calibri"/>
          <w:sz w:val="22"/>
          <w:szCs w:val="22"/>
          <w:lang w:eastAsia="en-US"/>
        </w:rPr>
      </w:pPr>
      <w:r w:rsidRPr="00280632">
        <w:rPr>
          <w:rFonts w:ascii="Calibri" w:eastAsia="Calibri" w:hAnsi="Calibri"/>
          <w:sz w:val="22"/>
          <w:szCs w:val="22"/>
          <w:lang w:eastAsia="en-US"/>
        </w:rPr>
        <w:t xml:space="preserve">Consider </w:t>
      </w:r>
      <w:r w:rsidR="00F105FA">
        <w:rPr>
          <w:rFonts w:ascii="Calibri" w:eastAsia="Calibri" w:hAnsi="Calibri"/>
          <w:sz w:val="22"/>
          <w:szCs w:val="22"/>
          <w:lang w:eastAsia="en-US"/>
        </w:rPr>
        <w:t xml:space="preserve">and comment on </w:t>
      </w:r>
      <w:r w:rsidRPr="00280632">
        <w:rPr>
          <w:rFonts w:ascii="Calibri" w:eastAsia="Calibri" w:hAnsi="Calibri"/>
          <w:sz w:val="22"/>
          <w:szCs w:val="22"/>
          <w:lang w:eastAsia="en-US"/>
        </w:rPr>
        <w:t xml:space="preserve">the outcomes of any assessments of Commonwealth funded services under Community Pharmacy Programs to support advice to </w:t>
      </w:r>
      <w:r w:rsidR="00777C6F" w:rsidRPr="00280632">
        <w:rPr>
          <w:rFonts w:ascii="Calibri" w:eastAsia="Calibri" w:hAnsi="Calibri"/>
          <w:sz w:val="22"/>
          <w:szCs w:val="22"/>
          <w:lang w:eastAsia="en-US"/>
        </w:rPr>
        <w:t xml:space="preserve">the Australian </w:t>
      </w:r>
      <w:r w:rsidRPr="00280632">
        <w:rPr>
          <w:rFonts w:ascii="Calibri" w:eastAsia="Calibri" w:hAnsi="Calibri"/>
          <w:sz w:val="22"/>
          <w:szCs w:val="22"/>
          <w:lang w:eastAsia="en-US"/>
        </w:rPr>
        <w:t>Government</w:t>
      </w:r>
      <w:r w:rsidR="00C42889">
        <w:rPr>
          <w:rFonts w:ascii="Calibri" w:eastAsia="Calibri" w:hAnsi="Calibri"/>
          <w:sz w:val="22"/>
          <w:szCs w:val="22"/>
          <w:lang w:eastAsia="en-US"/>
        </w:rPr>
        <w:t>;</w:t>
      </w:r>
    </w:p>
    <w:p w14:paraId="6727E9A8" w14:textId="0872EE3E" w:rsidR="00C42889" w:rsidRDefault="00C42889" w:rsidP="00305D38">
      <w:pPr>
        <w:numPr>
          <w:ilvl w:val="0"/>
          <w:numId w:val="19"/>
        </w:numPr>
        <w:spacing w:after="120" w:line="240" w:lineRule="atLeast"/>
        <w:ind w:hanging="357"/>
        <w:rPr>
          <w:rFonts w:ascii="Calibri" w:eastAsia="Calibri" w:hAnsi="Calibri"/>
          <w:sz w:val="22"/>
          <w:szCs w:val="22"/>
          <w:lang w:eastAsia="en-US"/>
        </w:rPr>
      </w:pPr>
      <w:r>
        <w:rPr>
          <w:rFonts w:ascii="Calibri" w:eastAsia="Calibri" w:hAnsi="Calibri"/>
          <w:sz w:val="22"/>
          <w:szCs w:val="22"/>
          <w:lang w:eastAsia="en-US"/>
        </w:rPr>
        <w:t xml:space="preserve">Consider and comment on any review </w:t>
      </w:r>
      <w:r w:rsidR="00280632">
        <w:rPr>
          <w:rFonts w:ascii="Calibri" w:eastAsia="Calibri" w:hAnsi="Calibri"/>
          <w:sz w:val="22"/>
          <w:szCs w:val="22"/>
          <w:lang w:eastAsia="en-US"/>
        </w:rPr>
        <w:t xml:space="preserve">by the Department </w:t>
      </w:r>
      <w:r w:rsidR="00B238B3">
        <w:rPr>
          <w:rFonts w:ascii="Calibri" w:eastAsia="Calibri" w:hAnsi="Calibri"/>
          <w:sz w:val="22"/>
          <w:szCs w:val="22"/>
          <w:lang w:eastAsia="en-US"/>
        </w:rPr>
        <w:t xml:space="preserve">(in accordance with clause </w:t>
      </w:r>
      <w:r w:rsidR="00B238B3">
        <w:rPr>
          <w:rFonts w:ascii="Calibri" w:eastAsia="Calibri" w:hAnsi="Calibri"/>
          <w:sz w:val="22"/>
          <w:szCs w:val="22"/>
          <w:lang w:eastAsia="en-US"/>
        </w:rPr>
        <w:fldChar w:fldCharType="begin"/>
      </w:r>
      <w:r w:rsidR="00B238B3">
        <w:rPr>
          <w:rFonts w:ascii="Calibri" w:eastAsia="Calibri" w:hAnsi="Calibri"/>
          <w:sz w:val="22"/>
          <w:szCs w:val="22"/>
          <w:lang w:eastAsia="en-US"/>
        </w:rPr>
        <w:instrText xml:space="preserve"> REF _Ref41334182 \r \h </w:instrText>
      </w:r>
      <w:r w:rsidR="00B238B3">
        <w:rPr>
          <w:rFonts w:ascii="Calibri" w:eastAsia="Calibri" w:hAnsi="Calibri"/>
          <w:sz w:val="22"/>
          <w:szCs w:val="22"/>
          <w:lang w:eastAsia="en-US"/>
        </w:rPr>
      </w:r>
      <w:r w:rsidR="00B238B3">
        <w:rPr>
          <w:rFonts w:ascii="Calibri" w:eastAsia="Calibri" w:hAnsi="Calibri"/>
          <w:sz w:val="22"/>
          <w:szCs w:val="22"/>
          <w:lang w:eastAsia="en-US"/>
        </w:rPr>
        <w:fldChar w:fldCharType="separate"/>
      </w:r>
      <w:r w:rsidR="00982D02">
        <w:rPr>
          <w:rFonts w:ascii="Calibri" w:eastAsia="Calibri" w:hAnsi="Calibri"/>
          <w:sz w:val="22"/>
          <w:szCs w:val="22"/>
          <w:lang w:eastAsia="en-US"/>
        </w:rPr>
        <w:t>16.4.2</w:t>
      </w:r>
      <w:r w:rsidR="00B238B3">
        <w:rPr>
          <w:rFonts w:ascii="Calibri" w:eastAsia="Calibri" w:hAnsi="Calibri"/>
          <w:sz w:val="22"/>
          <w:szCs w:val="22"/>
          <w:lang w:eastAsia="en-US"/>
        </w:rPr>
        <w:fldChar w:fldCharType="end"/>
      </w:r>
      <w:r w:rsidR="00B238B3">
        <w:rPr>
          <w:rFonts w:ascii="Calibri" w:eastAsia="Calibri" w:hAnsi="Calibri"/>
          <w:sz w:val="22"/>
          <w:szCs w:val="22"/>
          <w:lang w:eastAsia="en-US"/>
        </w:rPr>
        <w:t xml:space="preserve"> of the 7CPA) </w:t>
      </w:r>
      <w:r>
        <w:rPr>
          <w:rFonts w:ascii="Calibri" w:eastAsia="Calibri" w:hAnsi="Calibri"/>
          <w:sz w:val="22"/>
          <w:szCs w:val="22"/>
          <w:lang w:eastAsia="en-US"/>
        </w:rPr>
        <w:t xml:space="preserve">of the </w:t>
      </w:r>
      <w:r w:rsidRPr="00C42889">
        <w:rPr>
          <w:rFonts w:ascii="Calibri" w:eastAsia="Calibri" w:hAnsi="Calibri"/>
          <w:sz w:val="22"/>
          <w:szCs w:val="22"/>
          <w:lang w:eastAsia="en-US"/>
        </w:rPr>
        <w:t>arrangements under clause</w:t>
      </w:r>
      <w:r w:rsidR="00280632">
        <w:rPr>
          <w:rFonts w:ascii="Calibri" w:eastAsia="Calibri" w:hAnsi="Calibri"/>
          <w:sz w:val="22"/>
          <w:szCs w:val="22"/>
          <w:lang w:eastAsia="en-US"/>
        </w:rPr>
        <w:t> </w:t>
      </w:r>
      <w:r w:rsidRPr="00C42889">
        <w:rPr>
          <w:rFonts w:ascii="Calibri" w:eastAsia="Calibri" w:hAnsi="Calibri"/>
          <w:sz w:val="22"/>
          <w:szCs w:val="22"/>
          <w:lang w:eastAsia="en-US"/>
        </w:rPr>
        <w:fldChar w:fldCharType="begin"/>
      </w:r>
      <w:r w:rsidRPr="00C42889">
        <w:rPr>
          <w:rFonts w:ascii="Calibri" w:eastAsia="Calibri" w:hAnsi="Calibri"/>
          <w:sz w:val="22"/>
          <w:szCs w:val="22"/>
          <w:lang w:eastAsia="en-US"/>
        </w:rPr>
        <w:instrText xml:space="preserve"> REF _Ref41332371 \w \h </w:instrText>
      </w:r>
      <w:r>
        <w:rPr>
          <w:rFonts w:ascii="Calibri" w:eastAsia="Calibri" w:hAnsi="Calibri"/>
          <w:sz w:val="22"/>
          <w:szCs w:val="22"/>
          <w:lang w:eastAsia="en-US"/>
        </w:rPr>
        <w:instrText xml:space="preserve"> \* MERGEFORMAT </w:instrText>
      </w:r>
      <w:r w:rsidRPr="00C42889">
        <w:rPr>
          <w:rFonts w:ascii="Calibri" w:eastAsia="Calibri" w:hAnsi="Calibri"/>
          <w:sz w:val="22"/>
          <w:szCs w:val="22"/>
          <w:lang w:eastAsia="en-US"/>
        </w:rPr>
      </w:r>
      <w:r w:rsidRPr="00C42889">
        <w:rPr>
          <w:rFonts w:ascii="Calibri" w:eastAsia="Calibri" w:hAnsi="Calibri"/>
          <w:sz w:val="22"/>
          <w:szCs w:val="22"/>
          <w:lang w:eastAsia="en-US"/>
        </w:rPr>
        <w:fldChar w:fldCharType="separate"/>
      </w:r>
      <w:r w:rsidR="00982D02">
        <w:rPr>
          <w:rFonts w:ascii="Calibri" w:eastAsia="Calibri" w:hAnsi="Calibri"/>
          <w:sz w:val="22"/>
          <w:szCs w:val="22"/>
          <w:lang w:eastAsia="en-US"/>
        </w:rPr>
        <w:t>16.1</w:t>
      </w:r>
      <w:r w:rsidRPr="00C42889">
        <w:rPr>
          <w:rFonts w:ascii="Calibri" w:eastAsia="Calibri" w:hAnsi="Calibri"/>
          <w:sz w:val="22"/>
          <w:szCs w:val="22"/>
          <w:lang w:eastAsia="en-US"/>
        </w:rPr>
        <w:fldChar w:fldCharType="end"/>
      </w:r>
      <w:r w:rsidRPr="00C42889">
        <w:rPr>
          <w:rFonts w:ascii="Calibri" w:eastAsia="Calibri" w:hAnsi="Calibri"/>
          <w:sz w:val="22"/>
          <w:szCs w:val="22"/>
          <w:lang w:eastAsia="en-US"/>
        </w:rPr>
        <w:t xml:space="preserve"> </w:t>
      </w:r>
      <w:r>
        <w:rPr>
          <w:rFonts w:ascii="Calibri" w:eastAsia="Calibri" w:hAnsi="Calibri"/>
          <w:sz w:val="22"/>
          <w:szCs w:val="22"/>
          <w:lang w:eastAsia="en-US"/>
        </w:rPr>
        <w:t xml:space="preserve">of the 7CPA; </w:t>
      </w:r>
    </w:p>
    <w:p w14:paraId="24CCD179" w14:textId="565DCA54" w:rsidR="00C42889" w:rsidRPr="00904677" w:rsidRDefault="00C42889" w:rsidP="00C42889">
      <w:pPr>
        <w:keepNext/>
        <w:numPr>
          <w:ilvl w:val="0"/>
          <w:numId w:val="19"/>
        </w:numPr>
        <w:spacing w:after="120" w:line="240" w:lineRule="atLeast"/>
        <w:ind w:hanging="357"/>
        <w:rPr>
          <w:rFonts w:ascii="Calibri" w:eastAsia="Calibri" w:hAnsi="Calibri"/>
          <w:sz w:val="22"/>
          <w:szCs w:val="22"/>
          <w:lang w:eastAsia="en-US"/>
        </w:rPr>
      </w:pPr>
      <w:r w:rsidRPr="00904677">
        <w:rPr>
          <w:rFonts w:ascii="Calibri" w:eastAsia="Calibri" w:hAnsi="Calibri"/>
          <w:sz w:val="22"/>
          <w:szCs w:val="22"/>
          <w:lang w:eastAsia="en-US"/>
        </w:rPr>
        <w:t>Provide a mechanism for discussion and consultation where:</w:t>
      </w:r>
    </w:p>
    <w:p w14:paraId="608CCC3F" w14:textId="71CF7033" w:rsidR="00C42889" w:rsidRPr="00904677" w:rsidRDefault="00C42889" w:rsidP="00C42889">
      <w:pPr>
        <w:keepNext/>
        <w:numPr>
          <w:ilvl w:val="1"/>
          <w:numId w:val="19"/>
        </w:numPr>
        <w:spacing w:after="120" w:line="240" w:lineRule="atLeast"/>
        <w:ind w:hanging="357"/>
        <w:rPr>
          <w:rFonts w:ascii="Calibri" w:eastAsia="Calibri" w:hAnsi="Calibri"/>
          <w:sz w:val="22"/>
          <w:szCs w:val="22"/>
          <w:lang w:eastAsia="en-US"/>
        </w:rPr>
      </w:pPr>
      <w:r w:rsidRPr="00904677">
        <w:rPr>
          <w:rFonts w:ascii="Calibri" w:eastAsia="Calibri" w:hAnsi="Calibri"/>
          <w:sz w:val="22"/>
          <w:szCs w:val="22"/>
          <w:lang w:eastAsia="en-US"/>
        </w:rPr>
        <w:t>Changes may be required to implementation and administration arrangements relating to the 7CPA;</w:t>
      </w:r>
    </w:p>
    <w:p w14:paraId="14847D0F" w14:textId="77777777" w:rsidR="00C42889" w:rsidRPr="00904677" w:rsidRDefault="00C42889" w:rsidP="00C42889">
      <w:pPr>
        <w:numPr>
          <w:ilvl w:val="1"/>
          <w:numId w:val="19"/>
        </w:numPr>
        <w:spacing w:after="120" w:line="240" w:lineRule="atLeast"/>
        <w:ind w:hanging="357"/>
        <w:rPr>
          <w:rFonts w:ascii="Calibri" w:eastAsia="Calibri" w:hAnsi="Calibri"/>
          <w:sz w:val="22"/>
          <w:szCs w:val="22"/>
          <w:lang w:eastAsia="en-US"/>
        </w:rPr>
      </w:pPr>
      <w:r w:rsidRPr="00904677">
        <w:rPr>
          <w:rFonts w:ascii="Calibri" w:eastAsia="Calibri" w:hAnsi="Calibri"/>
          <w:sz w:val="22"/>
          <w:szCs w:val="22"/>
          <w:lang w:eastAsia="en-US"/>
        </w:rPr>
        <w:t>Other policy or interactions outside the 7CPA (which may have a material impact on the 7CPA) should be considered and discussed, including matters not defined in the 7CPA; and</w:t>
      </w:r>
    </w:p>
    <w:p w14:paraId="64FA1654" w14:textId="618599EC" w:rsidR="00904677" w:rsidRPr="00C42889" w:rsidRDefault="00280632" w:rsidP="00280632">
      <w:pPr>
        <w:keepNext/>
        <w:numPr>
          <w:ilvl w:val="1"/>
          <w:numId w:val="19"/>
        </w:numPr>
        <w:spacing w:after="120" w:line="240" w:lineRule="atLeast"/>
        <w:ind w:hanging="357"/>
        <w:rPr>
          <w:rFonts w:ascii="Calibri" w:eastAsia="Calibri" w:hAnsi="Calibri"/>
          <w:sz w:val="22"/>
          <w:szCs w:val="22"/>
          <w:lang w:eastAsia="en-US"/>
        </w:rPr>
      </w:pPr>
      <w:r>
        <w:rPr>
          <w:rFonts w:ascii="Calibri" w:eastAsia="Calibri" w:hAnsi="Calibri"/>
          <w:sz w:val="22"/>
          <w:szCs w:val="22"/>
          <w:lang w:eastAsia="en-US"/>
        </w:rPr>
        <w:t>C</w:t>
      </w:r>
      <w:r w:rsidR="00C42889" w:rsidRPr="00C42889">
        <w:rPr>
          <w:rFonts w:ascii="Calibri" w:eastAsia="Calibri" w:hAnsi="Calibri"/>
          <w:sz w:val="22"/>
          <w:szCs w:val="22"/>
          <w:lang w:eastAsia="en-US"/>
        </w:rPr>
        <w:t>hanges may be proposed to the 7CPA</w:t>
      </w:r>
      <w:r w:rsidR="00C42889">
        <w:rPr>
          <w:rFonts w:ascii="Calibri" w:eastAsia="Calibri" w:hAnsi="Calibri"/>
          <w:sz w:val="22"/>
          <w:szCs w:val="22"/>
          <w:lang w:eastAsia="en-US"/>
        </w:rPr>
        <w:t xml:space="preserve">; </w:t>
      </w:r>
      <w:r w:rsidR="00C17F17" w:rsidRPr="00C42889">
        <w:rPr>
          <w:rFonts w:ascii="Calibri" w:eastAsia="Calibri" w:hAnsi="Calibri"/>
          <w:sz w:val="22"/>
          <w:szCs w:val="22"/>
          <w:lang w:eastAsia="en-US"/>
        </w:rPr>
        <w:t>and</w:t>
      </w:r>
    </w:p>
    <w:p w14:paraId="78F1D3C6" w14:textId="777A1272" w:rsidR="00904677" w:rsidRPr="00904677" w:rsidRDefault="00904677" w:rsidP="00EB1651">
      <w:pPr>
        <w:numPr>
          <w:ilvl w:val="0"/>
          <w:numId w:val="19"/>
        </w:numPr>
        <w:spacing w:after="120" w:line="240" w:lineRule="atLeast"/>
        <w:ind w:hanging="357"/>
        <w:rPr>
          <w:rFonts w:ascii="Calibri" w:eastAsia="Calibri" w:hAnsi="Calibri"/>
          <w:sz w:val="22"/>
          <w:szCs w:val="22"/>
          <w:lang w:eastAsia="en-US"/>
        </w:rPr>
      </w:pPr>
      <w:r w:rsidRPr="00904677">
        <w:rPr>
          <w:rFonts w:ascii="Calibri" w:eastAsia="Calibri" w:hAnsi="Calibri"/>
          <w:sz w:val="22"/>
          <w:szCs w:val="22"/>
          <w:lang w:eastAsia="en-US"/>
        </w:rPr>
        <w:t xml:space="preserve">Support an ongoing, positive working relationship between the </w:t>
      </w:r>
      <w:r w:rsidR="00AE5FEF">
        <w:rPr>
          <w:rFonts w:ascii="Calibri" w:eastAsia="Calibri" w:hAnsi="Calibri"/>
          <w:sz w:val="22"/>
          <w:szCs w:val="22"/>
          <w:lang w:eastAsia="en-US"/>
        </w:rPr>
        <w:t>signatories</w:t>
      </w:r>
      <w:r w:rsidR="00AE5FEF"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to the 7CPA.</w:t>
      </w:r>
    </w:p>
    <w:p w14:paraId="70565B72" w14:textId="2122A9CF" w:rsidR="00904677" w:rsidRPr="00904677" w:rsidRDefault="00904677" w:rsidP="00C17F17">
      <w:pPr>
        <w:keepNext/>
        <w:numPr>
          <w:ilvl w:val="0"/>
          <w:numId w:val="18"/>
        </w:numPr>
        <w:spacing w:after="120" w:line="240" w:lineRule="atLeast"/>
        <w:ind w:left="426" w:hanging="426"/>
        <w:contextualSpacing/>
        <w:rPr>
          <w:rFonts w:ascii="Calibri" w:eastAsia="Calibri" w:hAnsi="Calibri"/>
          <w:b/>
          <w:sz w:val="22"/>
          <w:szCs w:val="22"/>
          <w:lang w:eastAsia="en-US"/>
        </w:rPr>
      </w:pPr>
      <w:r w:rsidRPr="00904677">
        <w:rPr>
          <w:rFonts w:ascii="Calibri" w:eastAsia="Calibri" w:hAnsi="Calibri"/>
          <w:b/>
          <w:sz w:val="22"/>
          <w:szCs w:val="22"/>
          <w:lang w:eastAsia="en-US"/>
        </w:rPr>
        <w:t>Composition</w:t>
      </w:r>
    </w:p>
    <w:p w14:paraId="10C77A5F" w14:textId="623A0F5D" w:rsidR="00904677" w:rsidRPr="00904677" w:rsidRDefault="00904677" w:rsidP="00C17F17">
      <w:pPr>
        <w:keepNext/>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The design of the </w:t>
      </w:r>
      <w:r w:rsidR="002554A4">
        <w:rPr>
          <w:rFonts w:ascii="Calibri" w:eastAsia="Calibri" w:hAnsi="Calibri"/>
          <w:sz w:val="22"/>
          <w:szCs w:val="22"/>
          <w:lang w:eastAsia="en-US"/>
        </w:rPr>
        <w:t>CPCC</w:t>
      </w:r>
      <w:r w:rsidR="00754325"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seeks to increase transparency over the management of the 7CPA and the investment of </w:t>
      </w:r>
      <w:r w:rsidR="00C86BE1" w:rsidRPr="00904677">
        <w:rPr>
          <w:rFonts w:ascii="Calibri" w:eastAsia="Calibri" w:hAnsi="Calibri"/>
          <w:sz w:val="22"/>
          <w:szCs w:val="22"/>
          <w:lang w:eastAsia="en-US"/>
        </w:rPr>
        <w:t>Public Resources</w:t>
      </w:r>
      <w:r w:rsidRPr="00904677">
        <w:rPr>
          <w:rFonts w:ascii="Calibri" w:eastAsia="Calibri" w:hAnsi="Calibri"/>
          <w:sz w:val="22"/>
          <w:szCs w:val="22"/>
          <w:lang w:eastAsia="en-US"/>
        </w:rPr>
        <w:t xml:space="preserve"> in relation to the 7CPA.  </w:t>
      </w:r>
    </w:p>
    <w:p w14:paraId="764F6B30" w14:textId="059134F7" w:rsidR="002554A4" w:rsidRDefault="00904677" w:rsidP="002554A4">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Each party will have discretion to determine their own representatives at the </w:t>
      </w:r>
      <w:r w:rsidR="008306BB">
        <w:rPr>
          <w:rFonts w:ascii="Calibri" w:eastAsia="Calibri" w:hAnsi="Calibri"/>
          <w:sz w:val="22"/>
          <w:szCs w:val="22"/>
          <w:lang w:eastAsia="en-US"/>
        </w:rPr>
        <w:t>CPCC</w:t>
      </w:r>
      <w:r w:rsidRPr="00904677">
        <w:rPr>
          <w:rFonts w:ascii="Calibri" w:eastAsia="Calibri" w:hAnsi="Calibri"/>
          <w:sz w:val="22"/>
          <w:szCs w:val="22"/>
          <w:lang w:eastAsia="en-US"/>
        </w:rPr>
        <w:t>, provided that representatives have suitable expertise and authority to participate effectively.</w:t>
      </w:r>
      <w:r w:rsidR="002554A4" w:rsidRPr="002554A4">
        <w:rPr>
          <w:rFonts w:ascii="Calibri" w:eastAsia="Calibri" w:hAnsi="Calibri"/>
          <w:sz w:val="22"/>
          <w:szCs w:val="22"/>
          <w:lang w:eastAsia="en-US"/>
        </w:rPr>
        <w:t xml:space="preserve"> </w:t>
      </w:r>
    </w:p>
    <w:p w14:paraId="7E8302F9" w14:textId="30C52ADB" w:rsidR="002554A4" w:rsidRDefault="002554A4" w:rsidP="002554A4">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The</w:t>
      </w:r>
      <w:r>
        <w:rPr>
          <w:rFonts w:ascii="Calibri" w:eastAsia="Calibri" w:hAnsi="Calibri"/>
          <w:sz w:val="22"/>
          <w:szCs w:val="22"/>
          <w:lang w:eastAsia="en-US"/>
        </w:rPr>
        <w:t xml:space="preserve"> Department or the </w:t>
      </w:r>
      <w:r w:rsidRPr="00904677">
        <w:rPr>
          <w:rFonts w:ascii="Calibri" w:eastAsia="Calibri" w:hAnsi="Calibri"/>
          <w:sz w:val="22"/>
          <w:szCs w:val="22"/>
          <w:lang w:eastAsia="en-US"/>
        </w:rPr>
        <w:t xml:space="preserve">Guild may also propose </w:t>
      </w:r>
      <w:r w:rsidR="003519B5">
        <w:rPr>
          <w:rFonts w:ascii="Calibri" w:eastAsia="Calibri" w:hAnsi="Calibri"/>
          <w:sz w:val="22"/>
          <w:szCs w:val="22"/>
          <w:lang w:eastAsia="en-US"/>
        </w:rPr>
        <w:t xml:space="preserve">additional </w:t>
      </w:r>
      <w:r>
        <w:rPr>
          <w:rFonts w:ascii="Calibri" w:eastAsia="Calibri" w:hAnsi="Calibri"/>
          <w:sz w:val="22"/>
          <w:szCs w:val="22"/>
          <w:lang w:eastAsia="en-US"/>
        </w:rPr>
        <w:t>CPCC</w:t>
      </w:r>
      <w:r w:rsidRPr="00904677">
        <w:rPr>
          <w:rFonts w:ascii="Calibri" w:eastAsia="Calibri" w:hAnsi="Calibri"/>
          <w:sz w:val="22"/>
          <w:szCs w:val="22"/>
          <w:lang w:eastAsia="en-US"/>
        </w:rPr>
        <w:t xml:space="preserve"> attendees where they consider that such attendees could add to consultations </w:t>
      </w:r>
      <w:r>
        <w:rPr>
          <w:rFonts w:ascii="Calibri" w:eastAsia="Calibri" w:hAnsi="Calibri"/>
          <w:sz w:val="22"/>
          <w:szCs w:val="22"/>
          <w:lang w:eastAsia="en-US"/>
        </w:rPr>
        <w:t>between the Department and the Guild</w:t>
      </w:r>
      <w:r w:rsidRPr="00904677">
        <w:rPr>
          <w:rFonts w:ascii="Calibri" w:eastAsia="Calibri" w:hAnsi="Calibri"/>
          <w:sz w:val="22"/>
          <w:szCs w:val="22"/>
          <w:lang w:eastAsia="en-US"/>
        </w:rPr>
        <w:t xml:space="preserve"> on one or more matters to be discussed at a </w:t>
      </w:r>
      <w:r>
        <w:rPr>
          <w:rFonts w:ascii="Calibri" w:eastAsia="Calibri" w:hAnsi="Calibri"/>
          <w:sz w:val="22"/>
          <w:szCs w:val="22"/>
          <w:lang w:eastAsia="en-US"/>
        </w:rPr>
        <w:t>committee meeting</w:t>
      </w:r>
      <w:r w:rsidRPr="00904677">
        <w:rPr>
          <w:rFonts w:ascii="Calibri" w:eastAsia="Calibri" w:hAnsi="Calibri"/>
          <w:sz w:val="22"/>
          <w:szCs w:val="22"/>
          <w:lang w:eastAsia="en-US"/>
        </w:rPr>
        <w:t xml:space="preserve">, and the </w:t>
      </w:r>
      <w:r>
        <w:rPr>
          <w:rFonts w:ascii="Calibri" w:eastAsia="Calibri" w:hAnsi="Calibri"/>
          <w:sz w:val="22"/>
          <w:szCs w:val="22"/>
          <w:lang w:eastAsia="en-US"/>
        </w:rPr>
        <w:t xml:space="preserve">Department and the Guild </w:t>
      </w:r>
      <w:r w:rsidRPr="00904677">
        <w:rPr>
          <w:rFonts w:ascii="Calibri" w:eastAsia="Calibri" w:hAnsi="Calibri"/>
          <w:sz w:val="22"/>
          <w:szCs w:val="22"/>
          <w:lang w:eastAsia="en-US"/>
        </w:rPr>
        <w:t>will not unreasonably decline any such proposal</w:t>
      </w:r>
      <w:r w:rsidR="008306BB">
        <w:rPr>
          <w:rFonts w:ascii="Calibri" w:eastAsia="Calibri" w:hAnsi="Calibri"/>
          <w:sz w:val="22"/>
          <w:szCs w:val="22"/>
          <w:lang w:eastAsia="en-US"/>
        </w:rPr>
        <w:t xml:space="preserve"> from the other</w:t>
      </w:r>
      <w:r w:rsidRPr="00904677">
        <w:rPr>
          <w:rFonts w:ascii="Calibri" w:eastAsia="Calibri" w:hAnsi="Calibri"/>
          <w:sz w:val="22"/>
          <w:szCs w:val="22"/>
          <w:lang w:eastAsia="en-US"/>
        </w:rPr>
        <w:t>.</w:t>
      </w:r>
    </w:p>
    <w:p w14:paraId="52593644" w14:textId="5B690ADE" w:rsidR="00904677" w:rsidRPr="00904677" w:rsidRDefault="00904677" w:rsidP="00EB1651">
      <w:pPr>
        <w:numPr>
          <w:ilvl w:val="0"/>
          <w:numId w:val="18"/>
        </w:numPr>
        <w:spacing w:after="120" w:line="240" w:lineRule="atLeast"/>
        <w:ind w:left="426" w:hanging="426"/>
        <w:contextualSpacing/>
        <w:rPr>
          <w:rFonts w:ascii="Calibri" w:eastAsia="Calibri" w:hAnsi="Calibri"/>
          <w:b/>
          <w:sz w:val="22"/>
          <w:szCs w:val="22"/>
          <w:lang w:eastAsia="en-US"/>
        </w:rPr>
      </w:pPr>
      <w:r w:rsidRPr="00904677">
        <w:rPr>
          <w:rFonts w:ascii="Calibri" w:eastAsia="Calibri" w:hAnsi="Calibri"/>
          <w:b/>
          <w:sz w:val="22"/>
          <w:szCs w:val="22"/>
          <w:lang w:eastAsia="en-US"/>
        </w:rPr>
        <w:t xml:space="preserve">Chair of the </w:t>
      </w:r>
      <w:r w:rsidR="002554A4">
        <w:rPr>
          <w:rFonts w:ascii="Calibri" w:eastAsia="Calibri" w:hAnsi="Calibri"/>
          <w:b/>
          <w:sz w:val="22"/>
          <w:szCs w:val="22"/>
          <w:lang w:eastAsia="en-US"/>
        </w:rPr>
        <w:t>CPCC</w:t>
      </w:r>
    </w:p>
    <w:p w14:paraId="4383AE03" w14:textId="3DCFA99B" w:rsidR="00904677" w:rsidRPr="00904677" w:rsidRDefault="00904677" w:rsidP="00904677">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The Chair will be a </w:t>
      </w:r>
      <w:r w:rsidR="0049233F">
        <w:rPr>
          <w:rFonts w:ascii="Calibri" w:eastAsia="Calibri" w:hAnsi="Calibri"/>
          <w:sz w:val="22"/>
          <w:szCs w:val="22"/>
          <w:lang w:eastAsia="en-US"/>
        </w:rPr>
        <w:t>senior representative of the Department or the Guild, in turn, on a revolving basis.</w:t>
      </w:r>
    </w:p>
    <w:p w14:paraId="2DB784BB" w14:textId="5A36E1CE" w:rsidR="00904677" w:rsidRPr="00904677" w:rsidRDefault="00904677" w:rsidP="00904677">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The role of the </w:t>
      </w:r>
      <w:r w:rsidR="00EF7AB9">
        <w:rPr>
          <w:rFonts w:ascii="Calibri" w:eastAsia="Calibri" w:hAnsi="Calibri"/>
          <w:sz w:val="22"/>
          <w:szCs w:val="22"/>
          <w:lang w:eastAsia="en-US"/>
        </w:rPr>
        <w:t>C</w:t>
      </w:r>
      <w:r w:rsidRPr="00904677">
        <w:rPr>
          <w:rFonts w:ascii="Calibri" w:eastAsia="Calibri" w:hAnsi="Calibri"/>
          <w:sz w:val="22"/>
          <w:szCs w:val="22"/>
          <w:lang w:eastAsia="en-US"/>
        </w:rPr>
        <w:t>hair will be to lead and facilitate discussion on any items nominated for discussion and perform any other functions provided for under these Terms of Reference or designated by the Minister for Health.  It will be the responsibility of the Chair to ensure any discussion and agreed outcomes are clearly communicated and agreed for inclusion in meeting minutes.</w:t>
      </w:r>
    </w:p>
    <w:p w14:paraId="62BFFD1D" w14:textId="1CF578A7" w:rsidR="00904677" w:rsidRPr="00904677" w:rsidRDefault="00904677" w:rsidP="00CD7769">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The </w:t>
      </w:r>
      <w:r w:rsidR="0049233F">
        <w:rPr>
          <w:rFonts w:ascii="Calibri" w:eastAsia="Calibri" w:hAnsi="Calibri"/>
          <w:sz w:val="22"/>
          <w:szCs w:val="22"/>
          <w:lang w:eastAsia="en-US"/>
        </w:rPr>
        <w:t>Department and the Guild</w:t>
      </w:r>
      <w:r w:rsidR="0049233F"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will </w:t>
      </w:r>
      <w:r w:rsidR="0049233F">
        <w:rPr>
          <w:rFonts w:ascii="Calibri" w:eastAsia="Calibri" w:hAnsi="Calibri"/>
          <w:sz w:val="22"/>
          <w:szCs w:val="22"/>
          <w:lang w:eastAsia="en-US"/>
        </w:rPr>
        <w:t xml:space="preserve">jointly </w:t>
      </w:r>
      <w:r w:rsidRPr="00904677">
        <w:rPr>
          <w:rFonts w:ascii="Calibri" w:eastAsia="Calibri" w:hAnsi="Calibri"/>
          <w:sz w:val="22"/>
          <w:szCs w:val="22"/>
          <w:lang w:eastAsia="en-US"/>
        </w:rPr>
        <w:t xml:space="preserve">make all decisions relating to the conduct, administration and management of </w:t>
      </w:r>
      <w:r w:rsidR="002554A4">
        <w:rPr>
          <w:rFonts w:ascii="Calibri" w:eastAsia="Calibri" w:hAnsi="Calibri"/>
          <w:sz w:val="22"/>
          <w:szCs w:val="22"/>
          <w:lang w:eastAsia="en-US"/>
        </w:rPr>
        <w:t>CPCC</w:t>
      </w:r>
      <w:r w:rsidR="0049233F">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meetings, except where </w:t>
      </w:r>
      <w:r w:rsidR="0049233F">
        <w:rPr>
          <w:rFonts w:ascii="Calibri" w:eastAsia="Calibri" w:hAnsi="Calibri"/>
          <w:sz w:val="22"/>
          <w:szCs w:val="22"/>
          <w:lang w:eastAsia="en-US"/>
        </w:rPr>
        <w:t>provided otherwise in the 7CPA or these Terms of Reference</w:t>
      </w:r>
      <w:r w:rsidR="008306BB">
        <w:rPr>
          <w:rFonts w:ascii="Calibri" w:eastAsia="Calibri" w:hAnsi="Calibri"/>
          <w:sz w:val="22"/>
          <w:szCs w:val="22"/>
          <w:lang w:eastAsia="en-US"/>
        </w:rPr>
        <w:t>,</w:t>
      </w:r>
      <w:r w:rsidR="0049233F">
        <w:rPr>
          <w:rFonts w:ascii="Calibri" w:eastAsia="Calibri" w:hAnsi="Calibri"/>
          <w:sz w:val="22"/>
          <w:szCs w:val="22"/>
          <w:lang w:eastAsia="en-US"/>
        </w:rPr>
        <w:t xml:space="preserve"> or where </w:t>
      </w:r>
      <w:r w:rsidRPr="00904677">
        <w:rPr>
          <w:rFonts w:ascii="Calibri" w:eastAsia="Calibri" w:hAnsi="Calibri"/>
          <w:sz w:val="22"/>
          <w:szCs w:val="22"/>
          <w:lang w:eastAsia="en-US"/>
        </w:rPr>
        <w:t>directed otherwise by the Minister for Health.</w:t>
      </w:r>
    </w:p>
    <w:p w14:paraId="7A5E3F30" w14:textId="178744FA" w:rsidR="00904677" w:rsidRPr="00904677" w:rsidRDefault="00904677" w:rsidP="00EB1651">
      <w:pPr>
        <w:keepNext/>
        <w:numPr>
          <w:ilvl w:val="0"/>
          <w:numId w:val="18"/>
        </w:numPr>
        <w:spacing w:after="120" w:line="240" w:lineRule="atLeast"/>
        <w:ind w:left="426" w:hanging="426"/>
        <w:contextualSpacing/>
        <w:rPr>
          <w:rFonts w:ascii="Calibri" w:eastAsia="Calibri" w:hAnsi="Calibri"/>
          <w:b/>
          <w:sz w:val="22"/>
          <w:szCs w:val="22"/>
          <w:lang w:eastAsia="en-US"/>
        </w:rPr>
      </w:pPr>
      <w:r w:rsidRPr="00904677">
        <w:rPr>
          <w:rFonts w:ascii="Calibri" w:eastAsia="Calibri" w:hAnsi="Calibri"/>
          <w:b/>
          <w:sz w:val="22"/>
          <w:szCs w:val="22"/>
          <w:lang w:eastAsia="en-US"/>
        </w:rPr>
        <w:t>Secretariat</w:t>
      </w:r>
    </w:p>
    <w:p w14:paraId="0CAB05BC" w14:textId="1F8A3520" w:rsidR="00904677" w:rsidRPr="00904677" w:rsidRDefault="00904677" w:rsidP="00802965">
      <w:pPr>
        <w:keepNext/>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The Department will provide secretariat support for the </w:t>
      </w:r>
      <w:r w:rsidR="002554A4">
        <w:rPr>
          <w:rFonts w:ascii="Calibri" w:eastAsia="Calibri" w:hAnsi="Calibri"/>
          <w:sz w:val="22"/>
          <w:szCs w:val="22"/>
          <w:lang w:eastAsia="en-US"/>
        </w:rPr>
        <w:t>CPCC</w:t>
      </w:r>
      <w:r w:rsidRPr="00904677">
        <w:rPr>
          <w:rFonts w:ascii="Calibri" w:eastAsia="Calibri" w:hAnsi="Calibri"/>
          <w:sz w:val="22"/>
          <w:szCs w:val="22"/>
          <w:lang w:eastAsia="en-US"/>
        </w:rPr>
        <w:t xml:space="preserve">.  The Secretariat will prepare agendas for meetings, keep minutes of all meetings, coordinate communications in a timely manner among </w:t>
      </w:r>
      <w:r w:rsidR="002554A4">
        <w:rPr>
          <w:rFonts w:ascii="Calibri" w:eastAsia="Calibri" w:hAnsi="Calibri"/>
          <w:sz w:val="22"/>
          <w:szCs w:val="22"/>
          <w:lang w:eastAsia="en-US"/>
        </w:rPr>
        <w:t xml:space="preserve">CPCC </w:t>
      </w:r>
      <w:r w:rsidRPr="00904677">
        <w:rPr>
          <w:rFonts w:ascii="Calibri" w:eastAsia="Calibri" w:hAnsi="Calibri"/>
          <w:sz w:val="22"/>
          <w:szCs w:val="22"/>
          <w:lang w:eastAsia="en-US"/>
        </w:rPr>
        <w:t xml:space="preserve">participants and organise associated public communique resulting from the </w:t>
      </w:r>
      <w:r w:rsidR="002554A4">
        <w:rPr>
          <w:rFonts w:ascii="Calibri" w:eastAsia="Calibri" w:hAnsi="Calibri"/>
          <w:sz w:val="22"/>
          <w:szCs w:val="22"/>
          <w:lang w:eastAsia="en-US"/>
        </w:rPr>
        <w:t>CPCC</w:t>
      </w:r>
      <w:r w:rsidRPr="00904677">
        <w:rPr>
          <w:rFonts w:ascii="Calibri" w:eastAsia="Calibri" w:hAnsi="Calibri"/>
          <w:sz w:val="22"/>
          <w:szCs w:val="22"/>
          <w:lang w:eastAsia="en-US"/>
        </w:rPr>
        <w:t>.</w:t>
      </w:r>
    </w:p>
    <w:p w14:paraId="1807A2FD" w14:textId="51C37151" w:rsidR="00904677" w:rsidRPr="00904677" w:rsidRDefault="00904677" w:rsidP="00EB1651">
      <w:pPr>
        <w:numPr>
          <w:ilvl w:val="0"/>
          <w:numId w:val="18"/>
        </w:numPr>
        <w:spacing w:after="120" w:line="240" w:lineRule="atLeast"/>
        <w:ind w:left="426" w:hanging="426"/>
        <w:contextualSpacing/>
        <w:rPr>
          <w:rFonts w:ascii="Calibri" w:eastAsia="Calibri" w:hAnsi="Calibri"/>
          <w:b/>
          <w:sz w:val="22"/>
          <w:szCs w:val="22"/>
          <w:lang w:eastAsia="en-US"/>
        </w:rPr>
      </w:pPr>
      <w:r w:rsidRPr="00904677">
        <w:rPr>
          <w:rFonts w:ascii="Calibri" w:eastAsia="Calibri" w:hAnsi="Calibri"/>
          <w:b/>
          <w:sz w:val="22"/>
          <w:szCs w:val="22"/>
          <w:lang w:eastAsia="en-US"/>
        </w:rPr>
        <w:t>Meetings</w:t>
      </w:r>
    </w:p>
    <w:p w14:paraId="78048565" w14:textId="6DB004DE" w:rsidR="00904677" w:rsidRPr="00904677" w:rsidRDefault="00904677" w:rsidP="00904677">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The </w:t>
      </w:r>
      <w:r w:rsidR="002554A4">
        <w:rPr>
          <w:rFonts w:ascii="Calibri" w:eastAsia="Calibri" w:hAnsi="Calibri"/>
          <w:sz w:val="22"/>
          <w:szCs w:val="22"/>
          <w:lang w:eastAsia="en-US"/>
        </w:rPr>
        <w:t>CPCC</w:t>
      </w:r>
      <w:r w:rsidR="0049233F">
        <w:rPr>
          <w:rFonts w:ascii="Calibri" w:eastAsia="Calibri" w:hAnsi="Calibri"/>
          <w:sz w:val="22"/>
          <w:szCs w:val="22"/>
          <w:lang w:eastAsia="en-US"/>
        </w:rPr>
        <w:t xml:space="preserve"> will be convened </w:t>
      </w:r>
      <w:r w:rsidRPr="00904677">
        <w:rPr>
          <w:rFonts w:ascii="Calibri" w:eastAsia="Calibri" w:hAnsi="Calibri"/>
          <w:sz w:val="22"/>
          <w:szCs w:val="22"/>
          <w:lang w:eastAsia="en-US"/>
        </w:rPr>
        <w:t>from time-to-time</w:t>
      </w:r>
      <w:r w:rsidR="0049233F">
        <w:rPr>
          <w:rFonts w:ascii="Calibri" w:eastAsia="Calibri" w:hAnsi="Calibri"/>
          <w:sz w:val="22"/>
          <w:szCs w:val="22"/>
          <w:lang w:eastAsia="en-US"/>
        </w:rPr>
        <w:t xml:space="preserve"> by agreement of the Department and the Guild</w:t>
      </w:r>
      <w:r w:rsidRPr="00904677">
        <w:rPr>
          <w:rFonts w:ascii="Calibri" w:eastAsia="Calibri" w:hAnsi="Calibri"/>
          <w:sz w:val="22"/>
          <w:szCs w:val="22"/>
          <w:lang w:eastAsia="en-US"/>
        </w:rPr>
        <w:t xml:space="preserve">, with an expectation of a minimum of two meetings per year, with additional meetings convened as </w:t>
      </w:r>
      <w:r w:rsidR="00682F2C">
        <w:rPr>
          <w:rFonts w:ascii="Calibri" w:eastAsia="Calibri" w:hAnsi="Calibri"/>
          <w:sz w:val="22"/>
          <w:szCs w:val="22"/>
          <w:lang w:eastAsia="en-US"/>
        </w:rPr>
        <w:t xml:space="preserve">agreed </w:t>
      </w:r>
      <w:r w:rsidRPr="00904677">
        <w:rPr>
          <w:rFonts w:ascii="Calibri" w:eastAsia="Calibri" w:hAnsi="Calibri"/>
          <w:sz w:val="22"/>
          <w:szCs w:val="22"/>
          <w:lang w:eastAsia="en-US"/>
        </w:rPr>
        <w:t>by the</w:t>
      </w:r>
      <w:r w:rsidR="00EF7AB9">
        <w:rPr>
          <w:rFonts w:ascii="Calibri" w:eastAsia="Calibri" w:hAnsi="Calibri"/>
          <w:sz w:val="22"/>
          <w:szCs w:val="22"/>
          <w:lang w:eastAsia="en-US"/>
        </w:rPr>
        <w:t xml:space="preserve"> </w:t>
      </w:r>
      <w:r w:rsidR="0049233F">
        <w:rPr>
          <w:rFonts w:ascii="Calibri" w:eastAsia="Calibri" w:hAnsi="Calibri"/>
          <w:sz w:val="22"/>
          <w:szCs w:val="22"/>
          <w:lang w:eastAsia="en-US"/>
        </w:rPr>
        <w:t>Department</w:t>
      </w:r>
      <w:r w:rsidR="00682F2C">
        <w:rPr>
          <w:rFonts w:ascii="Calibri" w:eastAsia="Calibri" w:hAnsi="Calibri"/>
          <w:sz w:val="22"/>
          <w:szCs w:val="22"/>
          <w:lang w:eastAsia="en-US"/>
        </w:rPr>
        <w:t xml:space="preserve"> and </w:t>
      </w:r>
      <w:r w:rsidR="0049233F">
        <w:rPr>
          <w:rFonts w:ascii="Calibri" w:eastAsia="Calibri" w:hAnsi="Calibri"/>
          <w:sz w:val="22"/>
          <w:szCs w:val="22"/>
          <w:lang w:eastAsia="en-US"/>
        </w:rPr>
        <w:t>the Guild</w:t>
      </w:r>
      <w:r w:rsidRPr="00904677">
        <w:rPr>
          <w:rFonts w:ascii="Calibri" w:eastAsia="Calibri" w:hAnsi="Calibri"/>
          <w:sz w:val="22"/>
          <w:szCs w:val="22"/>
          <w:lang w:eastAsia="en-US"/>
        </w:rPr>
        <w:t>.</w:t>
      </w:r>
    </w:p>
    <w:p w14:paraId="607E6A73" w14:textId="6860F1DE" w:rsidR="00904677" w:rsidRPr="00904677" w:rsidRDefault="00904677" w:rsidP="00904677">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Unless the </w:t>
      </w:r>
      <w:r w:rsidR="0049233F">
        <w:rPr>
          <w:rFonts w:ascii="Calibri" w:eastAsia="Calibri" w:hAnsi="Calibri"/>
          <w:sz w:val="22"/>
          <w:szCs w:val="22"/>
          <w:lang w:eastAsia="en-US"/>
        </w:rPr>
        <w:t>Department</w:t>
      </w:r>
      <w:r w:rsidR="0049233F"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determines the circumstances require an earlier meeting, a minimum of fourteen days’ notice must be given to all </w:t>
      </w:r>
      <w:r w:rsidR="002554A4">
        <w:rPr>
          <w:rFonts w:ascii="Calibri" w:eastAsia="Calibri" w:hAnsi="Calibri"/>
          <w:sz w:val="22"/>
          <w:szCs w:val="22"/>
          <w:lang w:eastAsia="en-US"/>
        </w:rPr>
        <w:t>CPCC</w:t>
      </w:r>
      <w:r w:rsidR="0049233F">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participants of meetings of the </w:t>
      </w:r>
      <w:r w:rsidR="002554A4">
        <w:rPr>
          <w:rFonts w:ascii="Calibri" w:eastAsia="Calibri" w:hAnsi="Calibri"/>
          <w:sz w:val="22"/>
          <w:szCs w:val="22"/>
          <w:lang w:eastAsia="en-US"/>
        </w:rPr>
        <w:t xml:space="preserve">CPCC </w:t>
      </w:r>
      <w:r w:rsidR="0049233F">
        <w:rPr>
          <w:rFonts w:ascii="Calibri" w:eastAsia="Calibri" w:hAnsi="Calibri"/>
          <w:sz w:val="22"/>
          <w:szCs w:val="22"/>
          <w:lang w:eastAsia="en-US"/>
        </w:rPr>
        <w:t>and subcommittees</w:t>
      </w:r>
      <w:r w:rsidRPr="00904677">
        <w:rPr>
          <w:rFonts w:ascii="Calibri" w:eastAsia="Calibri" w:hAnsi="Calibri"/>
          <w:sz w:val="22"/>
          <w:szCs w:val="22"/>
          <w:lang w:eastAsia="en-US"/>
        </w:rPr>
        <w:t xml:space="preserve">.  Each notice of meeting will include an agenda specifying in reasonable detail the matters to be discussed at the meeting and is to be accompanied by relevant papers for discussion at the meeting. The </w:t>
      </w:r>
      <w:r w:rsidR="0049233F">
        <w:rPr>
          <w:rFonts w:ascii="Calibri" w:eastAsia="Calibri" w:hAnsi="Calibri"/>
          <w:sz w:val="22"/>
          <w:szCs w:val="22"/>
          <w:lang w:eastAsia="en-US"/>
        </w:rPr>
        <w:t xml:space="preserve">Department </w:t>
      </w:r>
      <w:r w:rsidRPr="00904677">
        <w:rPr>
          <w:rFonts w:ascii="Calibri" w:eastAsia="Calibri" w:hAnsi="Calibri"/>
          <w:sz w:val="22"/>
          <w:szCs w:val="22"/>
          <w:lang w:eastAsia="en-US"/>
        </w:rPr>
        <w:t xml:space="preserve">will determine the information that is to be provided to </w:t>
      </w:r>
      <w:r w:rsidR="002554A4">
        <w:rPr>
          <w:rFonts w:ascii="Calibri" w:eastAsia="Calibri" w:hAnsi="Calibri"/>
          <w:sz w:val="22"/>
          <w:szCs w:val="22"/>
          <w:lang w:eastAsia="en-US"/>
        </w:rPr>
        <w:t>CPCC</w:t>
      </w:r>
      <w:r w:rsidR="0049233F"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participants prior to any meeting.</w:t>
      </w:r>
    </w:p>
    <w:p w14:paraId="6CC6BA3B" w14:textId="2B80A800" w:rsidR="00904677" w:rsidRPr="00904677" w:rsidRDefault="00904677" w:rsidP="00904677">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Meetings of the </w:t>
      </w:r>
      <w:r w:rsidR="002554A4">
        <w:rPr>
          <w:rFonts w:ascii="Calibri" w:eastAsia="Calibri" w:hAnsi="Calibri"/>
          <w:sz w:val="22"/>
          <w:szCs w:val="22"/>
          <w:lang w:eastAsia="en-US"/>
        </w:rPr>
        <w:t xml:space="preserve">CPCC </w:t>
      </w:r>
      <w:r w:rsidR="0049233F">
        <w:rPr>
          <w:rFonts w:ascii="Calibri" w:eastAsia="Calibri" w:hAnsi="Calibri"/>
          <w:sz w:val="22"/>
          <w:szCs w:val="22"/>
          <w:lang w:eastAsia="en-US"/>
        </w:rPr>
        <w:t xml:space="preserve">and subcommittees </w:t>
      </w:r>
      <w:r w:rsidRPr="00904677">
        <w:rPr>
          <w:rFonts w:ascii="Calibri" w:eastAsia="Calibri" w:hAnsi="Calibri"/>
          <w:sz w:val="22"/>
          <w:szCs w:val="22"/>
          <w:lang w:eastAsia="en-US"/>
        </w:rPr>
        <w:t>may be held in several locations using any technology that gives participants at those locations a reasonable opportunity to participate in the meeting.</w:t>
      </w:r>
    </w:p>
    <w:p w14:paraId="1EE35E53" w14:textId="5333A59D" w:rsidR="00904677" w:rsidRPr="00904677" w:rsidRDefault="00904677" w:rsidP="002554A4">
      <w:pPr>
        <w:keepNext/>
        <w:spacing w:after="120" w:line="240" w:lineRule="atLeast"/>
        <w:rPr>
          <w:rFonts w:ascii="Calibri" w:eastAsia="Calibri" w:hAnsi="Calibri"/>
          <w:i/>
          <w:sz w:val="22"/>
          <w:szCs w:val="22"/>
          <w:lang w:eastAsia="en-US"/>
        </w:rPr>
      </w:pPr>
      <w:r w:rsidRPr="00904677">
        <w:rPr>
          <w:rFonts w:ascii="Calibri" w:eastAsia="Calibri" w:hAnsi="Calibri"/>
          <w:i/>
          <w:sz w:val="22"/>
          <w:szCs w:val="22"/>
          <w:lang w:eastAsia="en-US"/>
        </w:rPr>
        <w:t>Minutes of</w:t>
      </w:r>
      <w:r w:rsidR="00EF7AB9">
        <w:rPr>
          <w:rFonts w:ascii="Calibri" w:eastAsia="Calibri" w:hAnsi="Calibri"/>
          <w:i/>
          <w:sz w:val="22"/>
          <w:szCs w:val="22"/>
          <w:lang w:eastAsia="en-US"/>
        </w:rPr>
        <w:t xml:space="preserve"> </w:t>
      </w:r>
      <w:r w:rsidR="002554A4">
        <w:rPr>
          <w:rFonts w:ascii="Calibri" w:eastAsia="Calibri" w:hAnsi="Calibri"/>
          <w:i/>
          <w:sz w:val="22"/>
          <w:szCs w:val="22"/>
          <w:lang w:eastAsia="en-US"/>
        </w:rPr>
        <w:t>CPCC</w:t>
      </w:r>
      <w:r w:rsidR="0049233F" w:rsidRPr="00904677">
        <w:rPr>
          <w:rFonts w:ascii="Calibri" w:eastAsia="Calibri" w:hAnsi="Calibri"/>
          <w:i/>
          <w:sz w:val="22"/>
          <w:szCs w:val="22"/>
          <w:lang w:eastAsia="en-US"/>
        </w:rPr>
        <w:t xml:space="preserve"> </w:t>
      </w:r>
      <w:r w:rsidRPr="00904677">
        <w:rPr>
          <w:rFonts w:ascii="Calibri" w:eastAsia="Calibri" w:hAnsi="Calibri"/>
          <w:i/>
          <w:sz w:val="22"/>
          <w:szCs w:val="22"/>
          <w:lang w:eastAsia="en-US"/>
        </w:rPr>
        <w:t>meetings</w:t>
      </w:r>
    </w:p>
    <w:p w14:paraId="13A6576B" w14:textId="0A8C4F41" w:rsidR="00904677" w:rsidRPr="00904677" w:rsidRDefault="00904677" w:rsidP="002554A4">
      <w:pPr>
        <w:keepNext/>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All proceedings of each meeting of the</w:t>
      </w:r>
      <w:r w:rsidR="00EF7AB9">
        <w:rPr>
          <w:rFonts w:ascii="Calibri" w:eastAsia="Calibri" w:hAnsi="Calibri"/>
          <w:sz w:val="22"/>
          <w:szCs w:val="22"/>
          <w:lang w:eastAsia="en-US"/>
        </w:rPr>
        <w:t xml:space="preserve"> </w:t>
      </w:r>
      <w:r w:rsidR="002554A4">
        <w:rPr>
          <w:rFonts w:ascii="Calibri" w:eastAsia="Calibri" w:hAnsi="Calibri"/>
          <w:sz w:val="22"/>
          <w:szCs w:val="22"/>
          <w:lang w:eastAsia="en-US"/>
        </w:rPr>
        <w:t>CPCC</w:t>
      </w:r>
      <w:r w:rsidR="0049233F">
        <w:rPr>
          <w:rFonts w:ascii="Calibri" w:eastAsia="Calibri" w:hAnsi="Calibri"/>
          <w:sz w:val="22"/>
          <w:szCs w:val="22"/>
          <w:lang w:eastAsia="en-US"/>
        </w:rPr>
        <w:t xml:space="preserve"> (and its subcommittees)</w:t>
      </w:r>
      <w:r w:rsidR="0049233F"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must be minuted, specifying in reasonable detail the matters discussed at the meeting, the outcomes of any discussion and any options to be provided to the </w:t>
      </w:r>
      <w:r w:rsidR="00CD7769">
        <w:rPr>
          <w:rFonts w:ascii="Calibri" w:eastAsia="Calibri" w:hAnsi="Calibri"/>
          <w:sz w:val="22"/>
          <w:szCs w:val="22"/>
          <w:lang w:eastAsia="en-US"/>
        </w:rPr>
        <w:t>s</w:t>
      </w:r>
      <w:r w:rsidR="00AE5FEF">
        <w:rPr>
          <w:rFonts w:ascii="Calibri" w:eastAsia="Calibri" w:hAnsi="Calibri"/>
          <w:sz w:val="22"/>
          <w:szCs w:val="22"/>
          <w:lang w:eastAsia="en-US"/>
        </w:rPr>
        <w:t>ignatories</w:t>
      </w:r>
      <w:r w:rsidR="00AE5FEF"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or to </w:t>
      </w:r>
      <w:r w:rsidRPr="00B238B3">
        <w:rPr>
          <w:rFonts w:ascii="Calibri" w:eastAsia="Calibri" w:hAnsi="Calibri"/>
          <w:sz w:val="22"/>
          <w:szCs w:val="22"/>
          <w:lang w:eastAsia="en-US"/>
        </w:rPr>
        <w:t>the Australian Government.  All minutes</w:t>
      </w:r>
      <w:r w:rsidRPr="00904677">
        <w:rPr>
          <w:rFonts w:ascii="Calibri" w:eastAsia="Calibri" w:hAnsi="Calibri"/>
          <w:sz w:val="22"/>
          <w:szCs w:val="22"/>
          <w:lang w:eastAsia="en-US"/>
        </w:rPr>
        <w:t xml:space="preserve"> will be endorsed by the Chair </w:t>
      </w:r>
      <w:r w:rsidR="0049233F">
        <w:rPr>
          <w:rFonts w:ascii="Calibri" w:eastAsia="Calibri" w:hAnsi="Calibri"/>
          <w:sz w:val="22"/>
          <w:szCs w:val="22"/>
          <w:lang w:eastAsia="en-US"/>
        </w:rPr>
        <w:t xml:space="preserve">of the committee </w:t>
      </w:r>
      <w:r w:rsidR="007921D6">
        <w:rPr>
          <w:rFonts w:ascii="Calibri" w:eastAsia="Calibri" w:hAnsi="Calibri"/>
          <w:sz w:val="22"/>
          <w:szCs w:val="22"/>
          <w:lang w:eastAsia="en-US"/>
        </w:rPr>
        <w:t xml:space="preserve">or subcommittee (as relevant) </w:t>
      </w:r>
      <w:r w:rsidRPr="00904677">
        <w:rPr>
          <w:rFonts w:ascii="Calibri" w:eastAsia="Calibri" w:hAnsi="Calibri"/>
          <w:sz w:val="22"/>
          <w:szCs w:val="22"/>
          <w:lang w:eastAsia="en-US"/>
        </w:rPr>
        <w:t>as a correct record of the proceedings upon confirmation from a majority of participants.</w:t>
      </w:r>
    </w:p>
    <w:p w14:paraId="6F745F5D" w14:textId="602D55B1" w:rsidR="00904677" w:rsidRPr="00904677" w:rsidRDefault="00904677" w:rsidP="00904677">
      <w:pPr>
        <w:spacing w:after="120" w:line="240" w:lineRule="atLeast"/>
        <w:rPr>
          <w:rFonts w:ascii="Calibri" w:eastAsia="Calibri" w:hAnsi="Calibri"/>
          <w:i/>
          <w:sz w:val="22"/>
          <w:szCs w:val="22"/>
          <w:lang w:eastAsia="en-US"/>
        </w:rPr>
      </w:pPr>
      <w:r w:rsidRPr="00904677">
        <w:rPr>
          <w:rFonts w:ascii="Calibri" w:eastAsia="Calibri" w:hAnsi="Calibri"/>
          <w:i/>
          <w:sz w:val="22"/>
          <w:szCs w:val="22"/>
          <w:lang w:eastAsia="en-US"/>
        </w:rPr>
        <w:t>Circulating reports and outcomes</w:t>
      </w:r>
    </w:p>
    <w:p w14:paraId="5E7B552A" w14:textId="4290640C" w:rsidR="00904677" w:rsidRPr="00904677" w:rsidRDefault="00904677" w:rsidP="00904677">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Following each meeting, a communique will be prepared and approved by the </w:t>
      </w:r>
      <w:r w:rsidR="007921D6">
        <w:rPr>
          <w:rFonts w:ascii="Calibri" w:eastAsia="Calibri" w:hAnsi="Calibri"/>
          <w:sz w:val="22"/>
          <w:szCs w:val="22"/>
          <w:lang w:eastAsia="en-US"/>
        </w:rPr>
        <w:t>Department</w:t>
      </w:r>
      <w:r w:rsidRPr="00904677">
        <w:rPr>
          <w:rFonts w:ascii="Calibri" w:eastAsia="Calibri" w:hAnsi="Calibri"/>
          <w:sz w:val="22"/>
          <w:szCs w:val="22"/>
          <w:lang w:eastAsia="en-US"/>
        </w:rPr>
        <w:t xml:space="preserve"> for publication to interested stakeholders of key outcomes from each meeting.  These will be published on the Department’s website.</w:t>
      </w:r>
    </w:p>
    <w:p w14:paraId="3C7F1921" w14:textId="4F6D95C0" w:rsidR="00904677" w:rsidRPr="00904677" w:rsidRDefault="00904677" w:rsidP="00EB1651">
      <w:pPr>
        <w:keepNext/>
        <w:numPr>
          <w:ilvl w:val="0"/>
          <w:numId w:val="18"/>
        </w:numPr>
        <w:spacing w:after="120" w:line="240" w:lineRule="atLeast"/>
        <w:ind w:left="426" w:hanging="426"/>
        <w:contextualSpacing/>
        <w:rPr>
          <w:rFonts w:ascii="Calibri" w:eastAsia="Calibri" w:hAnsi="Calibri"/>
          <w:b/>
          <w:sz w:val="22"/>
          <w:szCs w:val="22"/>
          <w:lang w:eastAsia="en-US"/>
        </w:rPr>
      </w:pPr>
      <w:r w:rsidRPr="00904677">
        <w:rPr>
          <w:rFonts w:ascii="Calibri" w:eastAsia="Calibri" w:hAnsi="Calibri"/>
          <w:b/>
          <w:sz w:val="22"/>
          <w:szCs w:val="22"/>
          <w:lang w:eastAsia="en-US"/>
        </w:rPr>
        <w:t xml:space="preserve">Limitations of the </w:t>
      </w:r>
      <w:r w:rsidR="002554A4">
        <w:rPr>
          <w:rFonts w:ascii="Calibri" w:eastAsia="Calibri" w:hAnsi="Calibri"/>
          <w:b/>
          <w:sz w:val="22"/>
          <w:szCs w:val="22"/>
          <w:lang w:eastAsia="en-US"/>
        </w:rPr>
        <w:t>CPCC</w:t>
      </w:r>
    </w:p>
    <w:p w14:paraId="72F3DDE7" w14:textId="1870D54D" w:rsidR="00904677" w:rsidRPr="00904677" w:rsidRDefault="00904677" w:rsidP="0049233F">
      <w:pPr>
        <w:keepNext/>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The </w:t>
      </w:r>
      <w:r w:rsidR="00D27E17">
        <w:rPr>
          <w:rFonts w:ascii="Calibri" w:eastAsia="Calibri" w:hAnsi="Calibri"/>
          <w:sz w:val="22"/>
          <w:szCs w:val="22"/>
          <w:lang w:eastAsia="en-US"/>
        </w:rPr>
        <w:t xml:space="preserve">CPCC </w:t>
      </w:r>
      <w:r w:rsidR="0049233F">
        <w:rPr>
          <w:rFonts w:ascii="Calibri" w:eastAsia="Calibri" w:hAnsi="Calibri"/>
          <w:sz w:val="22"/>
          <w:szCs w:val="22"/>
          <w:lang w:eastAsia="en-US"/>
        </w:rPr>
        <w:t>(and subcommittee)</w:t>
      </w:r>
      <w:r w:rsidR="0049233F"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participants must not:</w:t>
      </w:r>
    </w:p>
    <w:p w14:paraId="1094DBBC" w14:textId="78E8C45F" w:rsidR="00904677" w:rsidRPr="00904677" w:rsidRDefault="00904677" w:rsidP="00EB1651">
      <w:pPr>
        <w:keepNext/>
        <w:numPr>
          <w:ilvl w:val="0"/>
          <w:numId w:val="20"/>
        </w:num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Purport to make a change to the 7CPA.  Additionally, the </w:t>
      </w:r>
      <w:r w:rsidR="00D27E17">
        <w:rPr>
          <w:rFonts w:ascii="Calibri" w:eastAsia="Calibri" w:hAnsi="Calibri"/>
          <w:sz w:val="22"/>
          <w:szCs w:val="22"/>
          <w:lang w:eastAsia="en-US"/>
        </w:rPr>
        <w:t>CPCC</w:t>
      </w:r>
      <w:r w:rsidR="0049233F"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cannot cease to conduct, or change the nature or scope of, the 7CPA arrangements, except where expressly provided for in the 7CPA; or</w:t>
      </w:r>
    </w:p>
    <w:p w14:paraId="39BE75AB" w14:textId="01C435BB" w:rsidR="00904677" w:rsidRPr="00904677" w:rsidRDefault="00904677" w:rsidP="00EB1651">
      <w:pPr>
        <w:numPr>
          <w:ilvl w:val="0"/>
          <w:numId w:val="20"/>
        </w:num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Disclose confidential information</w:t>
      </w:r>
      <w:r w:rsidR="00CD7769" w:rsidRPr="00CD7769">
        <w:rPr>
          <w:rFonts w:ascii="Calibri" w:eastAsia="Calibri" w:hAnsi="Calibri"/>
          <w:sz w:val="22"/>
          <w:szCs w:val="22"/>
          <w:vertAlign w:val="superscript"/>
          <w:lang w:eastAsia="en-US"/>
        </w:rPr>
        <w:t>[</w:t>
      </w:r>
      <w:r w:rsidRPr="00CD7769">
        <w:rPr>
          <w:rFonts w:ascii="Calibri" w:eastAsia="Calibri" w:hAnsi="Calibri"/>
          <w:sz w:val="22"/>
          <w:szCs w:val="22"/>
          <w:vertAlign w:val="superscript"/>
          <w:lang w:eastAsia="en-US"/>
        </w:rPr>
        <w:footnoteReference w:id="11"/>
      </w:r>
      <w:r w:rsidR="00CD7769" w:rsidRPr="00CD7769">
        <w:rPr>
          <w:rFonts w:ascii="Calibri" w:eastAsia="Calibri" w:hAnsi="Calibri"/>
          <w:sz w:val="22"/>
          <w:szCs w:val="22"/>
          <w:vertAlign w:val="superscript"/>
          <w:lang w:eastAsia="en-US"/>
        </w:rPr>
        <w:t>]</w:t>
      </w:r>
      <w:r w:rsidRPr="00CD7769">
        <w:rPr>
          <w:rFonts w:ascii="Calibri" w:eastAsia="Calibri" w:hAnsi="Calibri"/>
          <w:sz w:val="22"/>
          <w:szCs w:val="22"/>
          <w:vertAlign w:val="superscript"/>
          <w:lang w:eastAsia="en-US"/>
        </w:rPr>
        <w:t xml:space="preserve"> </w:t>
      </w:r>
      <w:r w:rsidRPr="00904677">
        <w:rPr>
          <w:rFonts w:ascii="Calibri" w:eastAsia="Calibri" w:hAnsi="Calibri"/>
          <w:sz w:val="22"/>
          <w:szCs w:val="22"/>
          <w:lang w:eastAsia="en-US"/>
        </w:rPr>
        <w:t xml:space="preserve">shared or discussed at </w:t>
      </w:r>
      <w:r w:rsidR="00CD7769">
        <w:rPr>
          <w:rFonts w:ascii="Calibri" w:eastAsia="Calibri" w:hAnsi="Calibri"/>
          <w:sz w:val="22"/>
          <w:szCs w:val="22"/>
          <w:lang w:eastAsia="en-US"/>
        </w:rPr>
        <w:t>a meeting of the</w:t>
      </w:r>
      <w:r w:rsidR="00CD7769" w:rsidRPr="00904677">
        <w:rPr>
          <w:rFonts w:ascii="Calibri" w:eastAsia="Calibri" w:hAnsi="Calibri"/>
          <w:sz w:val="22"/>
          <w:szCs w:val="22"/>
          <w:lang w:eastAsia="en-US"/>
        </w:rPr>
        <w:t xml:space="preserve"> </w:t>
      </w:r>
      <w:r w:rsidR="00D27E17">
        <w:rPr>
          <w:rFonts w:ascii="Calibri" w:eastAsia="Calibri" w:hAnsi="Calibri"/>
          <w:sz w:val="22"/>
          <w:szCs w:val="22"/>
          <w:lang w:eastAsia="en-US"/>
        </w:rPr>
        <w:t>CPCC</w:t>
      </w:r>
      <w:r w:rsidR="0049233F">
        <w:rPr>
          <w:rFonts w:ascii="Calibri" w:eastAsia="Calibri" w:hAnsi="Calibri"/>
          <w:sz w:val="22"/>
          <w:szCs w:val="22"/>
          <w:lang w:eastAsia="en-US"/>
        </w:rPr>
        <w:t xml:space="preserve"> </w:t>
      </w:r>
      <w:r w:rsidRPr="00904677">
        <w:rPr>
          <w:rFonts w:ascii="Calibri" w:eastAsia="Calibri" w:hAnsi="Calibri"/>
          <w:sz w:val="22"/>
          <w:szCs w:val="22"/>
          <w:lang w:eastAsia="en-US"/>
        </w:rPr>
        <w:t>to any third party, except that such confidential information may be disclosed:</w:t>
      </w:r>
    </w:p>
    <w:p w14:paraId="5AB4E7B4" w14:textId="3F9D823C" w:rsidR="00904677" w:rsidRPr="00904677" w:rsidRDefault="00904677" w:rsidP="00EE47F5">
      <w:pPr>
        <w:numPr>
          <w:ilvl w:val="1"/>
          <w:numId w:val="20"/>
        </w:num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By </w:t>
      </w:r>
      <w:r w:rsidR="00D27E17">
        <w:rPr>
          <w:rFonts w:ascii="Calibri" w:eastAsia="Calibri" w:hAnsi="Calibri"/>
          <w:sz w:val="22"/>
          <w:szCs w:val="22"/>
          <w:lang w:eastAsia="en-US"/>
        </w:rPr>
        <w:t>CPCC</w:t>
      </w:r>
      <w:r w:rsidR="0049233F">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participants to other persons within their organisation, and to their professional advisers who have a need to know such information and who are subject to </w:t>
      </w:r>
      <w:r w:rsidRPr="00EE47F5">
        <w:rPr>
          <w:rFonts w:ascii="Calibri" w:eastAsia="Calibri" w:hAnsi="Calibri"/>
          <w:sz w:val="22"/>
          <w:szCs w:val="22"/>
          <w:lang w:eastAsia="en-US"/>
        </w:rPr>
        <w:t>an obligation</w:t>
      </w:r>
      <w:r w:rsidRPr="00904677">
        <w:rPr>
          <w:rFonts w:ascii="Calibri" w:eastAsia="Calibri" w:hAnsi="Calibri"/>
          <w:sz w:val="22"/>
          <w:szCs w:val="22"/>
          <w:lang w:eastAsia="en-US"/>
        </w:rPr>
        <w:t xml:space="preserve"> of confidence;</w:t>
      </w:r>
    </w:p>
    <w:p w14:paraId="78FE4A86" w14:textId="2B027168" w:rsidR="008D7DE9" w:rsidRDefault="00904677" w:rsidP="00EE47F5">
      <w:pPr>
        <w:numPr>
          <w:ilvl w:val="1"/>
          <w:numId w:val="20"/>
        </w:num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By the Department </w:t>
      </w:r>
      <w:r w:rsidR="00940D6D">
        <w:rPr>
          <w:rFonts w:ascii="Calibri" w:eastAsia="Calibri" w:hAnsi="Calibri"/>
          <w:sz w:val="22"/>
          <w:szCs w:val="22"/>
          <w:lang w:eastAsia="en-US"/>
        </w:rPr>
        <w:t>in response to a request by a Commonwealth Minister</w:t>
      </w:r>
      <w:r w:rsidRPr="00904677">
        <w:rPr>
          <w:rFonts w:ascii="Calibri" w:eastAsia="Calibri" w:hAnsi="Calibri"/>
          <w:sz w:val="22"/>
          <w:szCs w:val="22"/>
          <w:lang w:eastAsia="en-US"/>
        </w:rPr>
        <w:t xml:space="preserve">, </w:t>
      </w:r>
      <w:r w:rsidR="00940D6D">
        <w:rPr>
          <w:rFonts w:ascii="Calibri" w:eastAsia="Calibri" w:hAnsi="Calibri"/>
          <w:sz w:val="22"/>
          <w:szCs w:val="22"/>
          <w:lang w:eastAsia="en-US"/>
        </w:rPr>
        <w:t xml:space="preserve">by a House or </w:t>
      </w:r>
      <w:r w:rsidR="00E96937">
        <w:rPr>
          <w:rFonts w:ascii="Calibri" w:eastAsia="Calibri" w:hAnsi="Calibri"/>
          <w:sz w:val="22"/>
          <w:szCs w:val="22"/>
          <w:lang w:eastAsia="en-US"/>
        </w:rPr>
        <w:t xml:space="preserve">a </w:t>
      </w:r>
      <w:r w:rsidR="00940D6D">
        <w:rPr>
          <w:rFonts w:ascii="Calibri" w:eastAsia="Calibri" w:hAnsi="Calibri"/>
          <w:sz w:val="22"/>
          <w:szCs w:val="22"/>
          <w:lang w:eastAsia="en-US"/>
        </w:rPr>
        <w:t xml:space="preserve">Committee of </w:t>
      </w:r>
      <w:r w:rsidRPr="00904677">
        <w:rPr>
          <w:rFonts w:ascii="Calibri" w:eastAsia="Calibri" w:hAnsi="Calibri"/>
          <w:sz w:val="22"/>
          <w:szCs w:val="22"/>
          <w:lang w:eastAsia="en-US"/>
        </w:rPr>
        <w:t xml:space="preserve">Parliament </w:t>
      </w:r>
      <w:r w:rsidR="00940D6D">
        <w:rPr>
          <w:rFonts w:ascii="Calibri" w:eastAsia="Calibri" w:hAnsi="Calibri"/>
          <w:sz w:val="22"/>
          <w:szCs w:val="22"/>
          <w:lang w:eastAsia="en-US"/>
        </w:rPr>
        <w:t xml:space="preserve">or </w:t>
      </w:r>
      <w:r w:rsidR="008D7DE9">
        <w:rPr>
          <w:rFonts w:ascii="Calibri" w:eastAsia="Calibri" w:hAnsi="Calibri"/>
          <w:sz w:val="22"/>
          <w:szCs w:val="22"/>
          <w:lang w:eastAsia="en-US"/>
        </w:rPr>
        <w:t>by</w:t>
      </w:r>
      <w:r w:rsidR="00940D6D">
        <w:rPr>
          <w:rFonts w:ascii="Calibri" w:eastAsia="Calibri" w:hAnsi="Calibri"/>
          <w:sz w:val="22"/>
          <w:szCs w:val="22"/>
          <w:lang w:eastAsia="en-US"/>
        </w:rPr>
        <w:t xml:space="preserve"> a Secretary of another Department</w:t>
      </w:r>
      <w:r w:rsidRPr="00904677">
        <w:rPr>
          <w:rFonts w:ascii="Calibri" w:eastAsia="Calibri" w:hAnsi="Calibri"/>
          <w:sz w:val="22"/>
          <w:szCs w:val="22"/>
          <w:lang w:eastAsia="en-US"/>
        </w:rPr>
        <w:t xml:space="preserve">; </w:t>
      </w:r>
    </w:p>
    <w:p w14:paraId="6929C246" w14:textId="26F4B8A6" w:rsidR="00904677" w:rsidRPr="00904677" w:rsidRDefault="008D7DE9" w:rsidP="00EE47F5">
      <w:pPr>
        <w:numPr>
          <w:ilvl w:val="1"/>
          <w:numId w:val="20"/>
        </w:numPr>
        <w:spacing w:after="120" w:line="240" w:lineRule="atLeast"/>
        <w:rPr>
          <w:rFonts w:ascii="Calibri" w:eastAsia="Calibri" w:hAnsi="Calibri"/>
          <w:sz w:val="22"/>
          <w:szCs w:val="22"/>
          <w:lang w:eastAsia="en-US"/>
        </w:rPr>
      </w:pPr>
      <w:r>
        <w:rPr>
          <w:rFonts w:ascii="Calibri" w:eastAsia="Calibri" w:hAnsi="Calibri"/>
          <w:sz w:val="22"/>
          <w:szCs w:val="22"/>
          <w:lang w:eastAsia="en-US"/>
        </w:rPr>
        <w:t xml:space="preserve">By CPCC participants where authorised or required by law; </w:t>
      </w:r>
      <w:r w:rsidR="00904677" w:rsidRPr="00904677">
        <w:rPr>
          <w:rFonts w:ascii="Calibri" w:eastAsia="Calibri" w:hAnsi="Calibri"/>
          <w:sz w:val="22"/>
          <w:szCs w:val="22"/>
          <w:lang w:eastAsia="en-US"/>
        </w:rPr>
        <w:t>and</w:t>
      </w:r>
    </w:p>
    <w:p w14:paraId="020EE820" w14:textId="359B7080" w:rsidR="00904677" w:rsidRPr="00904677" w:rsidRDefault="00904677" w:rsidP="00EB1651">
      <w:pPr>
        <w:numPr>
          <w:ilvl w:val="1"/>
          <w:numId w:val="20"/>
        </w:num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By</w:t>
      </w:r>
      <w:r w:rsidR="00EF7AB9">
        <w:rPr>
          <w:rFonts w:ascii="Calibri" w:eastAsia="Calibri" w:hAnsi="Calibri"/>
          <w:sz w:val="22"/>
          <w:szCs w:val="22"/>
          <w:lang w:eastAsia="en-US"/>
        </w:rPr>
        <w:t xml:space="preserve"> </w:t>
      </w:r>
      <w:r w:rsidR="00D27E17">
        <w:rPr>
          <w:rFonts w:ascii="Calibri" w:eastAsia="Calibri" w:hAnsi="Calibri"/>
          <w:sz w:val="22"/>
          <w:szCs w:val="22"/>
          <w:lang w:eastAsia="en-US"/>
        </w:rPr>
        <w:t>CPCC</w:t>
      </w:r>
      <w:r w:rsidR="00C35ED3"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participants who have the prior written consent of the organisation who contributed the information to the </w:t>
      </w:r>
      <w:r w:rsidR="00EF7AB9">
        <w:rPr>
          <w:rFonts w:ascii="Calibri" w:eastAsia="Calibri" w:hAnsi="Calibri"/>
          <w:sz w:val="22"/>
          <w:szCs w:val="22"/>
          <w:lang w:eastAsia="en-US"/>
        </w:rPr>
        <w:t>meeting</w:t>
      </w:r>
      <w:r w:rsidRPr="00904677">
        <w:rPr>
          <w:rFonts w:ascii="Calibri" w:eastAsia="Calibri" w:hAnsi="Calibri"/>
          <w:sz w:val="22"/>
          <w:szCs w:val="22"/>
          <w:lang w:eastAsia="en-US"/>
        </w:rPr>
        <w:t>.</w:t>
      </w:r>
    </w:p>
    <w:p w14:paraId="4155F5B4" w14:textId="171D381A" w:rsidR="00904677" w:rsidRPr="00904677" w:rsidRDefault="00904677" w:rsidP="00EB1651">
      <w:pPr>
        <w:keepNext/>
        <w:numPr>
          <w:ilvl w:val="0"/>
          <w:numId w:val="18"/>
        </w:numPr>
        <w:spacing w:after="120" w:line="240" w:lineRule="atLeast"/>
        <w:ind w:left="426" w:hanging="426"/>
        <w:contextualSpacing/>
        <w:rPr>
          <w:rFonts w:ascii="Calibri" w:eastAsia="Calibri" w:hAnsi="Calibri"/>
          <w:b/>
          <w:sz w:val="22"/>
          <w:szCs w:val="22"/>
          <w:lang w:eastAsia="en-US"/>
        </w:rPr>
      </w:pPr>
      <w:r w:rsidRPr="00904677">
        <w:rPr>
          <w:rFonts w:ascii="Calibri" w:eastAsia="Calibri" w:hAnsi="Calibri"/>
          <w:b/>
          <w:sz w:val="22"/>
          <w:szCs w:val="22"/>
          <w:lang w:eastAsia="en-US"/>
        </w:rPr>
        <w:t xml:space="preserve">Establishment of working parties or </w:t>
      </w:r>
      <w:r w:rsidR="00EA6E05" w:rsidRPr="00CD2A73">
        <w:rPr>
          <w:b/>
        </w:rPr>
        <w:t>sub</w:t>
      </w:r>
      <w:r w:rsidR="00EA6E05">
        <w:rPr>
          <w:b/>
        </w:rPr>
        <w:t>committees</w:t>
      </w:r>
    </w:p>
    <w:p w14:paraId="19BFDECC" w14:textId="0B254C70" w:rsidR="00904677" w:rsidRPr="00904677" w:rsidRDefault="00904677" w:rsidP="00904677">
      <w:pPr>
        <w:keepNext/>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The </w:t>
      </w:r>
      <w:r w:rsidR="00D27E17">
        <w:rPr>
          <w:rFonts w:ascii="Calibri" w:eastAsia="Calibri" w:hAnsi="Calibri"/>
          <w:sz w:val="22"/>
          <w:szCs w:val="22"/>
          <w:lang w:eastAsia="en-US"/>
        </w:rPr>
        <w:t xml:space="preserve">CPCC </w:t>
      </w:r>
      <w:r w:rsidRPr="00904677">
        <w:rPr>
          <w:rFonts w:ascii="Calibri" w:eastAsia="Calibri" w:hAnsi="Calibri"/>
          <w:sz w:val="22"/>
          <w:szCs w:val="22"/>
          <w:lang w:eastAsia="en-US"/>
        </w:rPr>
        <w:t>may from time</w:t>
      </w:r>
      <w:r w:rsidRPr="00904677">
        <w:rPr>
          <w:rFonts w:ascii="Calibri" w:eastAsia="Calibri" w:hAnsi="Calibri"/>
          <w:sz w:val="22"/>
          <w:szCs w:val="22"/>
          <w:lang w:eastAsia="en-US"/>
        </w:rPr>
        <w:noBreakHyphen/>
        <w:t>to</w:t>
      </w:r>
      <w:r w:rsidRPr="00904677">
        <w:rPr>
          <w:rFonts w:ascii="Calibri" w:eastAsia="Calibri" w:hAnsi="Calibri"/>
          <w:sz w:val="22"/>
          <w:szCs w:val="22"/>
          <w:lang w:eastAsia="en-US"/>
        </w:rPr>
        <w:noBreakHyphen/>
        <w:t xml:space="preserve">time appoint working parties or </w:t>
      </w:r>
      <w:r w:rsidR="00CD2A73">
        <w:t>sub</w:t>
      </w:r>
      <w:r w:rsidR="00C35ED3">
        <w:t>committees</w:t>
      </w:r>
      <w:r w:rsidR="007E5565">
        <w:t xml:space="preserve"> </w:t>
      </w:r>
      <w:r w:rsidRPr="00904677">
        <w:rPr>
          <w:rFonts w:ascii="Calibri" w:eastAsia="Calibri" w:hAnsi="Calibri"/>
          <w:sz w:val="22"/>
          <w:szCs w:val="22"/>
          <w:lang w:eastAsia="en-US"/>
        </w:rPr>
        <w:t xml:space="preserve">as </w:t>
      </w:r>
      <w:r w:rsidR="00D27E17">
        <w:rPr>
          <w:rFonts w:ascii="Calibri" w:eastAsia="Calibri" w:hAnsi="Calibri"/>
          <w:sz w:val="22"/>
          <w:szCs w:val="22"/>
          <w:lang w:eastAsia="en-US"/>
        </w:rPr>
        <w:t xml:space="preserve">they </w:t>
      </w:r>
      <w:r w:rsidR="00C35ED3">
        <w:rPr>
          <w:rFonts w:ascii="Calibri" w:eastAsia="Calibri" w:hAnsi="Calibri"/>
          <w:sz w:val="22"/>
          <w:szCs w:val="22"/>
          <w:lang w:eastAsia="en-US"/>
        </w:rPr>
        <w:t>consider</w:t>
      </w:r>
      <w:r w:rsidR="00C35ED3"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necessary.  In this regard:</w:t>
      </w:r>
    </w:p>
    <w:p w14:paraId="70D2FADE" w14:textId="34235B13" w:rsidR="00904677" w:rsidRPr="00904677" w:rsidRDefault="00C35ED3" w:rsidP="00EB1651">
      <w:pPr>
        <w:keepNext/>
        <w:numPr>
          <w:ilvl w:val="0"/>
          <w:numId w:val="20"/>
        </w:numPr>
        <w:spacing w:after="120" w:line="240" w:lineRule="atLeast"/>
        <w:ind w:left="714" w:hanging="357"/>
        <w:rPr>
          <w:rFonts w:ascii="Calibri" w:eastAsia="Calibri" w:hAnsi="Calibri"/>
          <w:sz w:val="22"/>
          <w:szCs w:val="22"/>
          <w:lang w:eastAsia="en-US"/>
        </w:rPr>
      </w:pPr>
      <w:r>
        <w:rPr>
          <w:rFonts w:ascii="Calibri" w:eastAsia="Calibri" w:hAnsi="Calibri"/>
          <w:sz w:val="22"/>
          <w:szCs w:val="22"/>
          <w:lang w:eastAsia="en-US"/>
        </w:rPr>
        <w:t>Subject to the 7CPA, t</w:t>
      </w:r>
      <w:r w:rsidR="00904677" w:rsidRPr="00904677">
        <w:rPr>
          <w:rFonts w:ascii="Calibri" w:eastAsia="Calibri" w:hAnsi="Calibri"/>
          <w:sz w:val="22"/>
          <w:szCs w:val="22"/>
          <w:lang w:eastAsia="en-US"/>
        </w:rPr>
        <w:t xml:space="preserve">he </w:t>
      </w:r>
      <w:r w:rsidR="006A3552">
        <w:rPr>
          <w:rFonts w:ascii="Calibri" w:eastAsia="Calibri" w:hAnsi="Calibri"/>
          <w:sz w:val="22"/>
          <w:szCs w:val="22"/>
          <w:lang w:eastAsia="en-US"/>
        </w:rPr>
        <w:t>CPCC</w:t>
      </w:r>
      <w:r w:rsidR="00D27E17">
        <w:rPr>
          <w:rFonts w:ascii="Calibri" w:eastAsia="Calibri" w:hAnsi="Calibri"/>
          <w:sz w:val="22"/>
          <w:szCs w:val="22"/>
          <w:lang w:eastAsia="en-US"/>
        </w:rPr>
        <w:t xml:space="preserve"> </w:t>
      </w:r>
      <w:r w:rsidR="00904677" w:rsidRPr="00904677">
        <w:rPr>
          <w:rFonts w:ascii="Calibri" w:eastAsia="Calibri" w:hAnsi="Calibri"/>
          <w:sz w:val="22"/>
          <w:szCs w:val="22"/>
          <w:lang w:eastAsia="en-US"/>
        </w:rPr>
        <w:t xml:space="preserve">may </w:t>
      </w:r>
      <w:r w:rsidR="00D27E17">
        <w:rPr>
          <w:rFonts w:ascii="Calibri" w:eastAsia="Calibri" w:hAnsi="Calibri"/>
          <w:sz w:val="22"/>
          <w:szCs w:val="22"/>
          <w:lang w:eastAsia="en-US"/>
        </w:rPr>
        <w:t xml:space="preserve">agree </w:t>
      </w:r>
      <w:r w:rsidR="00904677" w:rsidRPr="00904677">
        <w:rPr>
          <w:rFonts w:ascii="Calibri" w:eastAsia="Calibri" w:hAnsi="Calibri"/>
          <w:sz w:val="22"/>
          <w:szCs w:val="22"/>
          <w:lang w:eastAsia="en-US"/>
        </w:rPr>
        <w:t xml:space="preserve">a person as </w:t>
      </w:r>
      <w:r w:rsidR="00CD7769">
        <w:rPr>
          <w:rFonts w:ascii="Calibri" w:eastAsia="Calibri" w:hAnsi="Calibri"/>
          <w:sz w:val="22"/>
          <w:szCs w:val="22"/>
          <w:lang w:eastAsia="en-US"/>
        </w:rPr>
        <w:t>c</w:t>
      </w:r>
      <w:r w:rsidR="00904677" w:rsidRPr="00904677">
        <w:rPr>
          <w:rFonts w:ascii="Calibri" w:eastAsia="Calibri" w:hAnsi="Calibri"/>
          <w:sz w:val="22"/>
          <w:szCs w:val="22"/>
          <w:lang w:eastAsia="en-US"/>
        </w:rPr>
        <w:t xml:space="preserve">hair of a working party or </w:t>
      </w:r>
      <w:r>
        <w:t>subcommittee</w:t>
      </w:r>
      <w:r w:rsidR="00904677" w:rsidRPr="00904677">
        <w:rPr>
          <w:rFonts w:ascii="Calibri" w:eastAsia="Calibri" w:hAnsi="Calibri"/>
          <w:sz w:val="22"/>
          <w:szCs w:val="22"/>
          <w:lang w:eastAsia="en-US"/>
        </w:rPr>
        <w:t>.</w:t>
      </w:r>
    </w:p>
    <w:p w14:paraId="68EF10C8" w14:textId="5AD39D9D" w:rsidR="00904677" w:rsidRPr="00904677" w:rsidRDefault="00904677" w:rsidP="00EB1651">
      <w:pPr>
        <w:numPr>
          <w:ilvl w:val="0"/>
          <w:numId w:val="20"/>
        </w:numPr>
        <w:spacing w:after="120" w:line="240" w:lineRule="atLeast"/>
        <w:ind w:left="714" w:hanging="357"/>
        <w:rPr>
          <w:rFonts w:ascii="Calibri" w:eastAsia="Calibri" w:hAnsi="Calibri"/>
          <w:sz w:val="22"/>
          <w:szCs w:val="22"/>
          <w:lang w:eastAsia="en-US"/>
        </w:rPr>
      </w:pPr>
      <w:r w:rsidRPr="00904677">
        <w:rPr>
          <w:rFonts w:ascii="Calibri" w:eastAsia="Calibri" w:hAnsi="Calibri"/>
          <w:sz w:val="22"/>
          <w:szCs w:val="22"/>
          <w:lang w:eastAsia="en-US"/>
        </w:rPr>
        <w:t xml:space="preserve">Each working party or </w:t>
      </w:r>
      <w:r w:rsidR="00C35ED3">
        <w:t>subcommittee</w:t>
      </w:r>
      <w:r w:rsidR="00C35ED3"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(via its </w:t>
      </w:r>
      <w:r w:rsidR="00CD7769">
        <w:rPr>
          <w:rFonts w:ascii="Calibri" w:eastAsia="Calibri" w:hAnsi="Calibri"/>
          <w:sz w:val="22"/>
          <w:szCs w:val="22"/>
          <w:lang w:eastAsia="en-US"/>
        </w:rPr>
        <w:t>c</w:t>
      </w:r>
      <w:r w:rsidRPr="00904677">
        <w:rPr>
          <w:rFonts w:ascii="Calibri" w:eastAsia="Calibri" w:hAnsi="Calibri"/>
          <w:sz w:val="22"/>
          <w:szCs w:val="22"/>
          <w:lang w:eastAsia="en-US"/>
        </w:rPr>
        <w:t xml:space="preserve">hair if one is appointed) must report its proceedings to the </w:t>
      </w:r>
      <w:r w:rsidR="00D27E17">
        <w:rPr>
          <w:rFonts w:ascii="Calibri" w:eastAsia="Calibri" w:hAnsi="Calibri"/>
          <w:sz w:val="22"/>
          <w:szCs w:val="22"/>
          <w:lang w:eastAsia="en-US"/>
        </w:rPr>
        <w:t xml:space="preserve">CPCC </w:t>
      </w:r>
      <w:r w:rsidRPr="00904677">
        <w:rPr>
          <w:rFonts w:ascii="Calibri" w:eastAsia="Calibri" w:hAnsi="Calibri"/>
          <w:sz w:val="22"/>
          <w:szCs w:val="22"/>
          <w:lang w:eastAsia="en-US"/>
        </w:rPr>
        <w:t xml:space="preserve">and must conduct its business in accordance with any rules or directions of the </w:t>
      </w:r>
      <w:r w:rsidR="00D27E17">
        <w:rPr>
          <w:rFonts w:ascii="Calibri" w:eastAsia="Calibri" w:hAnsi="Calibri"/>
          <w:sz w:val="22"/>
          <w:szCs w:val="22"/>
          <w:lang w:eastAsia="en-US"/>
        </w:rPr>
        <w:t>CPCC</w:t>
      </w:r>
      <w:r w:rsidRPr="00904677">
        <w:rPr>
          <w:rFonts w:ascii="Calibri" w:eastAsia="Calibri" w:hAnsi="Calibri"/>
          <w:sz w:val="22"/>
          <w:szCs w:val="22"/>
          <w:lang w:eastAsia="en-US"/>
        </w:rPr>
        <w:t>.</w:t>
      </w:r>
    </w:p>
    <w:p w14:paraId="3663A57E" w14:textId="7F4CA8A6" w:rsidR="00904677" w:rsidRPr="00904677" w:rsidRDefault="00904677" w:rsidP="00EB1651">
      <w:pPr>
        <w:numPr>
          <w:ilvl w:val="0"/>
          <w:numId w:val="20"/>
        </w:numPr>
        <w:spacing w:after="120" w:line="240" w:lineRule="atLeast"/>
        <w:ind w:left="714" w:hanging="357"/>
        <w:rPr>
          <w:rFonts w:ascii="Calibri" w:eastAsia="Calibri" w:hAnsi="Calibri"/>
          <w:sz w:val="22"/>
          <w:szCs w:val="22"/>
          <w:lang w:eastAsia="en-US"/>
        </w:rPr>
      </w:pPr>
      <w:r w:rsidRPr="00904677">
        <w:rPr>
          <w:rFonts w:ascii="Calibri" w:eastAsia="Calibri" w:hAnsi="Calibri"/>
          <w:sz w:val="22"/>
          <w:szCs w:val="22"/>
          <w:lang w:eastAsia="en-US"/>
        </w:rPr>
        <w:t xml:space="preserve">The existence of, or delegation to, a working party </w:t>
      </w:r>
      <w:r w:rsidR="00C35ED3">
        <w:t>or subcommittee</w:t>
      </w:r>
      <w:r w:rsidR="00C35ED3"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does not derogate from the powers to act in any manner consistent with this Terms of Reference.</w:t>
      </w:r>
    </w:p>
    <w:p w14:paraId="27D0AEA3" w14:textId="3F6FBC42" w:rsidR="00904677" w:rsidRPr="00904677" w:rsidRDefault="00904677" w:rsidP="00777134">
      <w:pPr>
        <w:keepNext/>
        <w:keepLines/>
        <w:numPr>
          <w:ilvl w:val="0"/>
          <w:numId w:val="18"/>
        </w:numPr>
        <w:spacing w:after="120" w:line="240" w:lineRule="atLeast"/>
        <w:ind w:left="426" w:hanging="426"/>
        <w:contextualSpacing/>
        <w:rPr>
          <w:rFonts w:ascii="Calibri" w:eastAsia="Calibri" w:hAnsi="Calibri"/>
          <w:b/>
          <w:sz w:val="22"/>
          <w:szCs w:val="22"/>
          <w:lang w:eastAsia="en-US"/>
        </w:rPr>
      </w:pPr>
      <w:r w:rsidRPr="00904677">
        <w:rPr>
          <w:rFonts w:ascii="Calibri" w:eastAsia="Calibri" w:hAnsi="Calibri"/>
          <w:b/>
          <w:sz w:val="22"/>
          <w:szCs w:val="22"/>
          <w:lang w:eastAsia="en-US"/>
        </w:rPr>
        <w:t>Conflict of Interest</w:t>
      </w:r>
    </w:p>
    <w:p w14:paraId="0BC87138" w14:textId="2F5A4976" w:rsidR="00904677" w:rsidRPr="00904677" w:rsidRDefault="00904677" w:rsidP="00777134">
      <w:pPr>
        <w:keepNext/>
        <w:keepLines/>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A conflict of interest is where a financial or other interest of an </w:t>
      </w:r>
      <w:r w:rsidR="00D27E17">
        <w:rPr>
          <w:rFonts w:ascii="Calibri" w:eastAsia="Calibri" w:hAnsi="Calibri"/>
          <w:sz w:val="22"/>
          <w:szCs w:val="22"/>
          <w:lang w:eastAsia="en-US"/>
        </w:rPr>
        <w:t>CPCC</w:t>
      </w:r>
      <w:r w:rsidR="00C35ED3">
        <w:rPr>
          <w:rFonts w:ascii="Calibri" w:eastAsia="Calibri" w:hAnsi="Calibri"/>
          <w:sz w:val="22"/>
          <w:szCs w:val="22"/>
          <w:lang w:eastAsia="en-US"/>
        </w:rPr>
        <w:t xml:space="preserve"> (or subcommittee)</w:t>
      </w:r>
      <w:r w:rsidR="00C35ED3"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 xml:space="preserve">participant may reasonably be seen to be in conflict with duties undertaken as a participant of </w:t>
      </w:r>
      <w:r w:rsidR="00EF7AB9">
        <w:rPr>
          <w:rFonts w:ascii="Calibri" w:eastAsia="Calibri" w:hAnsi="Calibri"/>
          <w:sz w:val="22"/>
          <w:szCs w:val="22"/>
          <w:lang w:eastAsia="en-US"/>
        </w:rPr>
        <w:t xml:space="preserve">the </w:t>
      </w:r>
      <w:r w:rsidR="00D27E17">
        <w:rPr>
          <w:rFonts w:ascii="Calibri" w:eastAsia="Calibri" w:hAnsi="Calibri"/>
          <w:sz w:val="22"/>
          <w:szCs w:val="22"/>
          <w:lang w:eastAsia="en-US"/>
        </w:rPr>
        <w:t>CPCC</w:t>
      </w:r>
      <w:r w:rsidRPr="00904677">
        <w:rPr>
          <w:rFonts w:ascii="Calibri" w:eastAsia="Calibri" w:hAnsi="Calibri"/>
          <w:sz w:val="22"/>
          <w:szCs w:val="22"/>
          <w:lang w:eastAsia="en-US"/>
        </w:rPr>
        <w:t xml:space="preserve">.  Each </w:t>
      </w:r>
      <w:r w:rsidR="00D27E17">
        <w:rPr>
          <w:rFonts w:ascii="Calibri" w:eastAsia="Calibri" w:hAnsi="Calibri"/>
          <w:sz w:val="22"/>
          <w:szCs w:val="22"/>
          <w:lang w:eastAsia="en-US"/>
        </w:rPr>
        <w:t>CPCC</w:t>
      </w:r>
      <w:r w:rsidR="00C35ED3">
        <w:rPr>
          <w:rFonts w:ascii="Calibri" w:eastAsia="Calibri" w:hAnsi="Calibri"/>
          <w:sz w:val="22"/>
          <w:szCs w:val="22"/>
          <w:lang w:eastAsia="en-US"/>
        </w:rPr>
        <w:t xml:space="preserve"> (or subcommittee)</w:t>
      </w:r>
      <w:r w:rsidR="00C35ED3" w:rsidRPr="00904677">
        <w:rPr>
          <w:rFonts w:ascii="Calibri" w:eastAsia="Calibri" w:hAnsi="Calibri"/>
          <w:sz w:val="22"/>
          <w:szCs w:val="22"/>
          <w:lang w:eastAsia="en-US"/>
        </w:rPr>
        <w:t xml:space="preserve"> </w:t>
      </w:r>
      <w:r w:rsidR="00204872" w:rsidRPr="00904677">
        <w:rPr>
          <w:rFonts w:ascii="Calibri" w:eastAsia="Calibri" w:hAnsi="Calibri"/>
          <w:sz w:val="22"/>
          <w:szCs w:val="22"/>
          <w:lang w:eastAsia="en-US"/>
        </w:rPr>
        <w:t>participant</w:t>
      </w:r>
      <w:r w:rsidRPr="00904677">
        <w:rPr>
          <w:rFonts w:ascii="Calibri" w:eastAsia="Calibri" w:hAnsi="Calibri"/>
          <w:sz w:val="22"/>
          <w:szCs w:val="22"/>
          <w:lang w:eastAsia="en-US"/>
        </w:rPr>
        <w:t xml:space="preserve"> should be alert to any potential, actual or perceived conflicts of interest, financial or otherwise, and disclose these to the </w:t>
      </w:r>
      <w:r w:rsidR="00C35ED3">
        <w:rPr>
          <w:rFonts w:ascii="Calibri" w:eastAsia="Calibri" w:hAnsi="Calibri"/>
          <w:sz w:val="22"/>
          <w:szCs w:val="22"/>
          <w:lang w:eastAsia="en-US"/>
        </w:rPr>
        <w:t>Department</w:t>
      </w:r>
      <w:r w:rsidRPr="00904677">
        <w:rPr>
          <w:rFonts w:ascii="Calibri" w:eastAsia="Calibri" w:hAnsi="Calibri"/>
          <w:sz w:val="22"/>
          <w:szCs w:val="22"/>
          <w:lang w:eastAsia="en-US"/>
        </w:rPr>
        <w:t>.  This includes conflicts of interest that may arise between members.</w:t>
      </w:r>
    </w:p>
    <w:p w14:paraId="23AC2831" w14:textId="46D95139" w:rsidR="00904677" w:rsidRPr="00904677" w:rsidRDefault="00904677" w:rsidP="00777134">
      <w:pPr>
        <w:keepNext/>
        <w:keepLines/>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A</w:t>
      </w:r>
      <w:r w:rsidR="00EF7AB9">
        <w:rPr>
          <w:rFonts w:ascii="Calibri" w:eastAsia="Calibri" w:hAnsi="Calibri"/>
          <w:sz w:val="22"/>
          <w:szCs w:val="22"/>
          <w:lang w:eastAsia="en-US"/>
        </w:rPr>
        <w:t xml:space="preserve"> </w:t>
      </w:r>
      <w:r w:rsidR="00D27E17">
        <w:rPr>
          <w:rFonts w:ascii="Calibri" w:eastAsia="Calibri" w:hAnsi="Calibri"/>
          <w:sz w:val="22"/>
          <w:szCs w:val="22"/>
          <w:lang w:eastAsia="en-US"/>
        </w:rPr>
        <w:t>CPCC</w:t>
      </w:r>
      <w:r w:rsidR="00C35ED3" w:rsidRPr="00904677">
        <w:rPr>
          <w:rFonts w:ascii="Calibri" w:eastAsia="Calibri" w:hAnsi="Calibri"/>
          <w:sz w:val="22"/>
          <w:szCs w:val="22"/>
          <w:lang w:eastAsia="en-US"/>
        </w:rPr>
        <w:t xml:space="preserve"> </w:t>
      </w:r>
      <w:r w:rsidRPr="00904677">
        <w:rPr>
          <w:rFonts w:ascii="Calibri" w:eastAsia="Calibri" w:hAnsi="Calibri"/>
          <w:sz w:val="22"/>
          <w:szCs w:val="22"/>
          <w:lang w:eastAsia="en-US"/>
        </w:rPr>
        <w:t>participant must disclose any potential, actual or perceived conflict of interest at the earliest possible time.</w:t>
      </w:r>
    </w:p>
    <w:p w14:paraId="1E8EB825" w14:textId="621FAC55" w:rsidR="00904677" w:rsidRPr="00904677" w:rsidRDefault="00904677" w:rsidP="00904677">
      <w:pPr>
        <w:spacing w:after="120" w:line="240" w:lineRule="atLeast"/>
        <w:rPr>
          <w:rFonts w:ascii="Calibri" w:eastAsia="Calibri" w:hAnsi="Calibri"/>
          <w:sz w:val="22"/>
          <w:szCs w:val="22"/>
          <w:lang w:eastAsia="en-US"/>
        </w:rPr>
      </w:pPr>
      <w:r w:rsidRPr="00904677">
        <w:rPr>
          <w:rFonts w:ascii="Calibri" w:eastAsia="Calibri" w:hAnsi="Calibri"/>
          <w:sz w:val="22"/>
          <w:szCs w:val="22"/>
          <w:lang w:eastAsia="en-US"/>
        </w:rPr>
        <w:t xml:space="preserve">The </w:t>
      </w:r>
      <w:r w:rsidR="00C35ED3">
        <w:rPr>
          <w:rFonts w:ascii="Calibri" w:eastAsia="Calibri" w:hAnsi="Calibri"/>
          <w:sz w:val="22"/>
          <w:szCs w:val="22"/>
          <w:lang w:eastAsia="en-US"/>
        </w:rPr>
        <w:t>Department</w:t>
      </w:r>
      <w:r w:rsidRPr="00904677">
        <w:rPr>
          <w:rFonts w:ascii="Calibri" w:eastAsia="Calibri" w:hAnsi="Calibri"/>
          <w:sz w:val="22"/>
          <w:szCs w:val="22"/>
          <w:lang w:eastAsia="en-US"/>
        </w:rPr>
        <w:t xml:space="preserve"> may take any steps to resolve or otherwise deal with any disclosed conflicts in their absolute discretion.</w:t>
      </w:r>
    </w:p>
    <w:p w14:paraId="643B1CD6" w14:textId="5E69E34C" w:rsidR="00904677" w:rsidRPr="00904677" w:rsidRDefault="00904677" w:rsidP="00EB1651">
      <w:pPr>
        <w:keepNext/>
        <w:numPr>
          <w:ilvl w:val="0"/>
          <w:numId w:val="18"/>
        </w:numPr>
        <w:spacing w:after="120" w:line="240" w:lineRule="atLeast"/>
        <w:ind w:left="426" w:hanging="426"/>
        <w:contextualSpacing/>
        <w:rPr>
          <w:rFonts w:ascii="Calibri" w:eastAsia="Calibri" w:hAnsi="Calibri"/>
          <w:b/>
          <w:sz w:val="22"/>
          <w:szCs w:val="22"/>
          <w:lang w:eastAsia="en-US"/>
        </w:rPr>
      </w:pPr>
      <w:r w:rsidRPr="00904677">
        <w:rPr>
          <w:rFonts w:ascii="Calibri" w:eastAsia="Calibri" w:hAnsi="Calibri"/>
          <w:b/>
          <w:sz w:val="22"/>
          <w:szCs w:val="22"/>
          <w:lang w:eastAsia="en-US"/>
        </w:rPr>
        <w:t>Amendment of these Terms of Reference</w:t>
      </w:r>
    </w:p>
    <w:p w14:paraId="4ACE1CD3" w14:textId="2CA0C9E8" w:rsidR="00904677" w:rsidRPr="00904677" w:rsidRDefault="004B7C05" w:rsidP="00C35ED3">
      <w:pPr>
        <w:keepNext/>
        <w:spacing w:after="120" w:line="240" w:lineRule="atLeast"/>
        <w:rPr>
          <w:rFonts w:ascii="Calibri" w:eastAsia="Calibri" w:hAnsi="Calibri"/>
          <w:sz w:val="22"/>
          <w:szCs w:val="22"/>
          <w:lang w:eastAsia="en-US"/>
        </w:rPr>
      </w:pPr>
      <w:r>
        <w:rPr>
          <w:rFonts w:ascii="Calibri" w:eastAsia="Calibri" w:hAnsi="Calibri"/>
          <w:sz w:val="22"/>
          <w:szCs w:val="22"/>
          <w:lang w:eastAsia="en-US"/>
        </w:rPr>
        <w:t>N</w:t>
      </w:r>
      <w:r w:rsidR="00904677" w:rsidRPr="00904677">
        <w:rPr>
          <w:rFonts w:ascii="Calibri" w:eastAsia="Calibri" w:hAnsi="Calibri"/>
          <w:sz w:val="22"/>
          <w:szCs w:val="22"/>
          <w:lang w:eastAsia="en-US"/>
        </w:rPr>
        <w:t xml:space="preserve">o variation of these Terms of Reference is permitted unless agreed by </w:t>
      </w:r>
      <w:r w:rsidR="00A73E0A">
        <w:rPr>
          <w:rFonts w:ascii="Calibri" w:eastAsia="Calibri" w:hAnsi="Calibri"/>
          <w:sz w:val="22"/>
          <w:szCs w:val="22"/>
          <w:lang w:eastAsia="en-US"/>
        </w:rPr>
        <w:t xml:space="preserve">the </w:t>
      </w:r>
      <w:r w:rsidR="00481702">
        <w:rPr>
          <w:rFonts w:ascii="Calibri" w:eastAsia="Calibri" w:hAnsi="Calibri"/>
          <w:sz w:val="22"/>
          <w:szCs w:val="22"/>
          <w:lang w:eastAsia="en-US"/>
        </w:rPr>
        <w:t xml:space="preserve">Commonwealth and the </w:t>
      </w:r>
      <w:r w:rsidR="00A73E0A">
        <w:rPr>
          <w:rFonts w:ascii="Calibri" w:eastAsia="Calibri" w:hAnsi="Calibri"/>
          <w:sz w:val="22"/>
          <w:szCs w:val="22"/>
          <w:lang w:eastAsia="en-US"/>
        </w:rPr>
        <w:t>Guild</w:t>
      </w:r>
      <w:r w:rsidR="00904677" w:rsidRPr="00904677">
        <w:rPr>
          <w:rFonts w:ascii="Calibri" w:eastAsia="Calibri" w:hAnsi="Calibri"/>
          <w:sz w:val="22"/>
          <w:szCs w:val="22"/>
          <w:lang w:eastAsia="en-US"/>
        </w:rPr>
        <w:t xml:space="preserve">, </w:t>
      </w:r>
      <w:bookmarkStart w:id="732" w:name="_Hlk42770133"/>
      <w:r w:rsidR="00904677" w:rsidRPr="00904677">
        <w:rPr>
          <w:rFonts w:ascii="Calibri" w:eastAsia="Calibri" w:hAnsi="Calibri"/>
          <w:sz w:val="22"/>
          <w:szCs w:val="22"/>
          <w:lang w:eastAsia="en-US"/>
        </w:rPr>
        <w:t xml:space="preserve">and endorsed by the Minister </w:t>
      </w:r>
      <w:bookmarkEnd w:id="732"/>
      <w:r w:rsidR="00904677" w:rsidRPr="00904677">
        <w:rPr>
          <w:rFonts w:ascii="Calibri" w:eastAsia="Calibri" w:hAnsi="Calibri"/>
          <w:sz w:val="22"/>
          <w:szCs w:val="22"/>
          <w:lang w:eastAsia="en-US"/>
        </w:rPr>
        <w:t>for Health.</w:t>
      </w:r>
    </w:p>
    <w:p w14:paraId="4AB307E1" w14:textId="4132D262" w:rsidR="000665DD" w:rsidRPr="00D66F53" w:rsidRDefault="00861D0C" w:rsidP="00D66F53">
      <w:pPr>
        <w:keepNext/>
        <w:spacing w:after="120" w:line="240" w:lineRule="atLeast"/>
        <w:rPr>
          <w:rFonts w:ascii="Calibri" w:eastAsia="Calibri" w:hAnsi="Calibri"/>
          <w:sz w:val="22"/>
          <w:szCs w:val="22"/>
          <w:lang w:eastAsia="en-US"/>
        </w:rPr>
      </w:pPr>
      <w:r w:rsidRPr="00D66F53">
        <w:rPr>
          <w:rFonts w:ascii="Calibri" w:eastAsia="Calibri" w:hAnsi="Calibri"/>
          <w:sz w:val="22"/>
          <w:szCs w:val="22"/>
          <w:lang w:eastAsia="en-US"/>
        </w:rPr>
        <w:t>A review of the operation of the CPCC</w:t>
      </w:r>
      <w:r w:rsidR="004B7C05" w:rsidRPr="00D66F53">
        <w:rPr>
          <w:rFonts w:ascii="Calibri" w:eastAsia="Calibri" w:hAnsi="Calibri"/>
          <w:sz w:val="22"/>
          <w:szCs w:val="22"/>
          <w:lang w:eastAsia="en-US"/>
        </w:rPr>
        <w:t xml:space="preserve"> may</w:t>
      </w:r>
      <w:r w:rsidR="000F6E07" w:rsidRPr="00D66F53">
        <w:rPr>
          <w:rFonts w:ascii="Calibri" w:eastAsia="Calibri" w:hAnsi="Calibri"/>
          <w:sz w:val="22"/>
          <w:szCs w:val="22"/>
          <w:lang w:eastAsia="en-US"/>
        </w:rPr>
        <w:t xml:space="preserve"> be conducted </w:t>
      </w:r>
      <w:r w:rsidR="00D66F53">
        <w:rPr>
          <w:rFonts w:ascii="Calibri" w:eastAsia="Calibri" w:hAnsi="Calibri"/>
          <w:sz w:val="22"/>
          <w:szCs w:val="22"/>
          <w:lang w:eastAsia="en-US"/>
        </w:rPr>
        <w:t xml:space="preserve">by the Department </w:t>
      </w:r>
      <w:r w:rsidRPr="00D66F53">
        <w:rPr>
          <w:rFonts w:ascii="Calibri" w:eastAsia="Calibri" w:hAnsi="Calibri"/>
          <w:sz w:val="22"/>
          <w:szCs w:val="22"/>
          <w:lang w:eastAsia="en-US"/>
        </w:rPr>
        <w:t xml:space="preserve">under clause </w:t>
      </w:r>
      <w:r w:rsidR="004B7C05" w:rsidRPr="00D66F53">
        <w:rPr>
          <w:rFonts w:ascii="Calibri" w:eastAsia="Calibri" w:hAnsi="Calibri"/>
          <w:sz w:val="22"/>
          <w:szCs w:val="22"/>
          <w:lang w:eastAsia="en-US"/>
        </w:rPr>
        <w:fldChar w:fldCharType="begin"/>
      </w:r>
      <w:r w:rsidR="004B7C05" w:rsidRPr="00D66F53">
        <w:rPr>
          <w:rFonts w:ascii="Calibri" w:eastAsia="Calibri" w:hAnsi="Calibri"/>
          <w:sz w:val="22"/>
          <w:szCs w:val="22"/>
          <w:lang w:eastAsia="en-US"/>
        </w:rPr>
        <w:instrText xml:space="preserve"> REF _Ref41334182 \r \h </w:instrText>
      </w:r>
      <w:r w:rsidR="00D66F53">
        <w:rPr>
          <w:rFonts w:ascii="Calibri" w:eastAsia="Calibri" w:hAnsi="Calibri"/>
          <w:sz w:val="22"/>
          <w:szCs w:val="22"/>
          <w:lang w:eastAsia="en-US"/>
        </w:rPr>
        <w:instrText xml:space="preserve"> \* MERGEFORMAT </w:instrText>
      </w:r>
      <w:r w:rsidR="004B7C05" w:rsidRPr="00D66F53">
        <w:rPr>
          <w:rFonts w:ascii="Calibri" w:eastAsia="Calibri" w:hAnsi="Calibri"/>
          <w:sz w:val="22"/>
          <w:szCs w:val="22"/>
          <w:lang w:eastAsia="en-US"/>
        </w:rPr>
      </w:r>
      <w:r w:rsidR="004B7C05" w:rsidRPr="00D66F53">
        <w:rPr>
          <w:rFonts w:ascii="Calibri" w:eastAsia="Calibri" w:hAnsi="Calibri"/>
          <w:sz w:val="22"/>
          <w:szCs w:val="22"/>
          <w:lang w:eastAsia="en-US"/>
        </w:rPr>
        <w:fldChar w:fldCharType="separate"/>
      </w:r>
      <w:r w:rsidR="00982D02">
        <w:rPr>
          <w:rFonts w:ascii="Calibri" w:eastAsia="Calibri" w:hAnsi="Calibri"/>
          <w:sz w:val="22"/>
          <w:szCs w:val="22"/>
          <w:lang w:eastAsia="en-US"/>
        </w:rPr>
        <w:t>16.4.2</w:t>
      </w:r>
      <w:r w:rsidR="004B7C05" w:rsidRPr="00D66F53">
        <w:rPr>
          <w:rFonts w:ascii="Calibri" w:eastAsia="Calibri" w:hAnsi="Calibri"/>
          <w:sz w:val="22"/>
          <w:szCs w:val="22"/>
          <w:lang w:eastAsia="en-US"/>
        </w:rPr>
        <w:fldChar w:fldCharType="end"/>
      </w:r>
      <w:r w:rsidRPr="00D66F53">
        <w:rPr>
          <w:rFonts w:ascii="Calibri" w:eastAsia="Calibri" w:hAnsi="Calibri"/>
          <w:sz w:val="22"/>
          <w:szCs w:val="22"/>
          <w:lang w:eastAsia="en-US"/>
        </w:rPr>
        <w:t xml:space="preserve"> of the 7CPA, </w:t>
      </w:r>
      <w:r w:rsidR="004B7C05" w:rsidRPr="00D66F53">
        <w:rPr>
          <w:rFonts w:ascii="Calibri" w:eastAsia="Calibri" w:hAnsi="Calibri"/>
          <w:sz w:val="22"/>
          <w:szCs w:val="22"/>
          <w:lang w:eastAsia="en-US"/>
        </w:rPr>
        <w:t xml:space="preserve">and </w:t>
      </w:r>
      <w:r w:rsidRPr="00D66F53">
        <w:rPr>
          <w:rFonts w:ascii="Calibri" w:eastAsia="Calibri" w:hAnsi="Calibri"/>
          <w:sz w:val="22"/>
          <w:szCs w:val="22"/>
          <w:lang w:eastAsia="en-US"/>
        </w:rPr>
        <w:t xml:space="preserve">the outcomes of </w:t>
      </w:r>
      <w:r w:rsidR="004B7C05" w:rsidRPr="00D66F53">
        <w:rPr>
          <w:rFonts w:ascii="Calibri" w:eastAsia="Calibri" w:hAnsi="Calibri"/>
          <w:sz w:val="22"/>
          <w:szCs w:val="22"/>
          <w:lang w:eastAsia="en-US"/>
        </w:rPr>
        <w:t>any such review</w:t>
      </w:r>
      <w:r w:rsidRPr="00D66F53">
        <w:rPr>
          <w:rFonts w:ascii="Calibri" w:eastAsia="Calibri" w:hAnsi="Calibri"/>
          <w:sz w:val="22"/>
          <w:szCs w:val="22"/>
          <w:lang w:eastAsia="en-US"/>
        </w:rPr>
        <w:t xml:space="preserve"> will be considered by the CPCC.</w:t>
      </w:r>
    </w:p>
    <w:p w14:paraId="325DD8EC" w14:textId="77777777" w:rsidR="00C26FAD" w:rsidRPr="000665DD" w:rsidRDefault="00C26FAD">
      <w:pPr>
        <w:rPr>
          <w:rFonts w:eastAsia="Calibri"/>
          <w:lang w:val="en-US" w:eastAsia="en-US"/>
        </w:rPr>
      </w:pPr>
    </w:p>
    <w:p w14:paraId="66DE9B2C" w14:textId="77777777" w:rsidR="00C26FAD" w:rsidRPr="000665DD" w:rsidRDefault="00C26FAD">
      <w:pPr>
        <w:rPr>
          <w:rFonts w:eastAsia="Calibri"/>
          <w:lang w:val="en-US" w:eastAsia="en-US"/>
        </w:rPr>
      </w:pPr>
    </w:p>
    <w:p w14:paraId="0D6F67CF" w14:textId="77777777" w:rsidR="00C26FAD" w:rsidRPr="000665DD" w:rsidRDefault="00C26FAD">
      <w:pPr>
        <w:rPr>
          <w:rFonts w:eastAsia="Calibri"/>
          <w:lang w:val="en-US" w:eastAsia="en-US"/>
        </w:rPr>
      </w:pPr>
    </w:p>
    <w:p w14:paraId="61C2EAFF" w14:textId="77777777" w:rsidR="00777134" w:rsidRPr="000665DD" w:rsidRDefault="00777134">
      <w:pPr>
        <w:rPr>
          <w:rFonts w:eastAsia="Calibri"/>
          <w:lang w:val="en-US" w:eastAsia="en-US"/>
        </w:rPr>
      </w:pPr>
    </w:p>
    <w:sectPr w:rsidR="00777134" w:rsidRPr="000665DD" w:rsidSect="00EA6E05">
      <w:pgSz w:w="11906" w:h="16838" w:code="9"/>
      <w:pgMar w:top="1560" w:right="1133" w:bottom="1418" w:left="1418" w:header="567" w:footer="6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6A91D" w14:textId="77777777" w:rsidR="00147E9C" w:rsidRDefault="00147E9C" w:rsidP="009F2818">
      <w:r>
        <w:separator/>
      </w:r>
    </w:p>
    <w:p w14:paraId="69E2BEA2" w14:textId="77777777" w:rsidR="00147E9C" w:rsidRDefault="00147E9C"/>
  </w:endnote>
  <w:endnote w:type="continuationSeparator" w:id="0">
    <w:p w14:paraId="4B42E5D4" w14:textId="77777777" w:rsidR="00147E9C" w:rsidRDefault="00147E9C" w:rsidP="009F2818">
      <w:r>
        <w:continuationSeparator/>
      </w:r>
    </w:p>
    <w:p w14:paraId="6077C49D" w14:textId="77777777" w:rsidR="00147E9C" w:rsidRDefault="00147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2E418" w14:textId="77777777" w:rsidR="0012656C" w:rsidRDefault="0012656C">
    <w:pPr>
      <w:pStyle w:val="Footer"/>
    </w:pPr>
  </w:p>
  <w:p w14:paraId="7C0557A3" w14:textId="405EAAB9" w:rsidR="0012656C" w:rsidRPr="007C39BC" w:rsidRDefault="0012656C">
    <w:pPr>
      <w:pStyle w:val="Footer"/>
      <w:rPr>
        <w:rFonts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AB52B" w14:textId="630BEA8C" w:rsidR="0012656C" w:rsidRDefault="0012656C" w:rsidP="005964A2">
    <w:pPr>
      <w:pStyle w:val="pageNumber"/>
    </w:pPr>
    <w:r>
      <w:tab/>
      <w:t xml:space="preserve">page </w:t>
    </w:r>
    <w:r>
      <w:fldChar w:fldCharType="begin"/>
    </w:r>
    <w:r>
      <w:instrText xml:space="preserve"> page </w:instrText>
    </w:r>
    <w:r>
      <w:fldChar w:fldCharType="separate"/>
    </w:r>
    <w:r w:rsidR="00A9390D">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F1FEA" w14:textId="00E54AAB" w:rsidR="0012656C" w:rsidRDefault="0012656C" w:rsidP="00266A91">
    <w:pPr>
      <w:pStyle w:val="Footer"/>
      <w:rPr>
        <w:rFonts w:cs="Arial"/>
        <w:b/>
      </w:rPr>
    </w:pPr>
    <w:r w:rsidRPr="008E72CC">
      <w:rPr>
        <w:sz w:val="18"/>
        <w:szCs w:val="18"/>
      </w:rPr>
      <w:t>Execution Version</w:t>
    </w:r>
  </w:p>
  <w:p w14:paraId="1E66F391" w14:textId="79DD7857" w:rsidR="0012656C" w:rsidRPr="004D58D0" w:rsidRDefault="0012656C" w:rsidP="00266A91">
    <w:pPr>
      <w:pStyle w:val="Footer"/>
      <w:rPr>
        <w:rFonts w:cs="Arial"/>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711D7" w14:textId="77777777" w:rsidR="00147E9C" w:rsidRDefault="00147E9C" w:rsidP="009F2818">
      <w:r>
        <w:separator/>
      </w:r>
    </w:p>
    <w:p w14:paraId="2DF45FEA" w14:textId="77777777" w:rsidR="00147E9C" w:rsidRDefault="00147E9C"/>
  </w:footnote>
  <w:footnote w:type="continuationSeparator" w:id="0">
    <w:p w14:paraId="76A982A4" w14:textId="77777777" w:rsidR="00147E9C" w:rsidRDefault="00147E9C" w:rsidP="009F2818">
      <w:r>
        <w:continuationSeparator/>
      </w:r>
    </w:p>
    <w:p w14:paraId="6005C96F" w14:textId="77777777" w:rsidR="00147E9C" w:rsidRDefault="00147E9C"/>
  </w:footnote>
  <w:footnote w:id="1">
    <w:p w14:paraId="059ED906" w14:textId="055CEAAB" w:rsidR="0012656C" w:rsidRDefault="0012656C" w:rsidP="00BB6095">
      <w:pPr>
        <w:pStyle w:val="FootnoteText"/>
      </w:pPr>
      <w:r w:rsidRPr="003521C1">
        <w:rPr>
          <w:vertAlign w:val="superscript"/>
        </w:rPr>
        <w:t>[</w:t>
      </w:r>
      <w:r w:rsidRPr="003521C1">
        <w:rPr>
          <w:rStyle w:val="FootnoteReference"/>
        </w:rPr>
        <w:footnoteRef/>
      </w:r>
      <w:r w:rsidRPr="003521C1">
        <w:rPr>
          <w:vertAlign w:val="superscript"/>
        </w:rPr>
        <w:t xml:space="preserve">] </w:t>
      </w:r>
      <w:r>
        <w:t xml:space="preserve">The total excludes remuneration when community pharmacies dispense medicines under section 100 special arrangements. </w:t>
      </w:r>
      <w:r w:rsidRPr="00682F2C">
        <w:t>Chemotherapy compounding fees will be paid directly to chemotherapy compounders, who may not be Approved Suppliers.</w:t>
      </w:r>
    </w:p>
  </w:footnote>
  <w:footnote w:id="2">
    <w:p w14:paraId="79118F4B" w14:textId="77777777" w:rsidR="0012656C" w:rsidRPr="00291EF1" w:rsidRDefault="0012656C" w:rsidP="004F282D">
      <w:pPr>
        <w:pStyle w:val="FootnoteText"/>
      </w:pPr>
    </w:p>
  </w:footnote>
  <w:footnote w:id="3">
    <w:p w14:paraId="31B316C0" w14:textId="378EE4CA" w:rsidR="0012656C" w:rsidRDefault="0012656C">
      <w:pPr>
        <w:pStyle w:val="FootnoteText"/>
      </w:pPr>
      <w:r>
        <w:rPr>
          <w:vertAlign w:val="superscript"/>
        </w:rPr>
        <w:t>[</w:t>
      </w:r>
      <w:r>
        <w:rPr>
          <w:rStyle w:val="FootnoteReference"/>
        </w:rPr>
        <w:footnoteRef/>
      </w:r>
      <w:r>
        <w:rPr>
          <w:vertAlign w:val="superscript"/>
        </w:rPr>
        <w:t>]</w:t>
      </w:r>
      <w:r>
        <w:t xml:space="preserve"> The wholesale mark-up for a Pack Quantity of a Listed Brand is calculated using the Relevant Quantity.</w:t>
      </w:r>
    </w:p>
  </w:footnote>
  <w:footnote w:id="4">
    <w:p w14:paraId="0EB2ADC3" w14:textId="11393C84" w:rsidR="0012656C" w:rsidRDefault="0012656C">
      <w:pPr>
        <w:pStyle w:val="FootnoteText"/>
      </w:pPr>
      <w:r w:rsidRPr="00196173">
        <w:rPr>
          <w:vertAlign w:val="superscript"/>
        </w:rPr>
        <w:t>[</w:t>
      </w:r>
      <w:r w:rsidRPr="00196173">
        <w:rPr>
          <w:rStyle w:val="FootnoteReference"/>
        </w:rPr>
        <w:footnoteRef/>
      </w:r>
      <w:r w:rsidRPr="00196173">
        <w:rPr>
          <w:vertAlign w:val="superscript"/>
        </w:rPr>
        <w:t>]</w:t>
      </w:r>
      <w:r>
        <w:t xml:space="preserve"> The wholesale mark-up applying for the period from 1 July 2020 to 31 December 2020 will be the wholesale mark-up applying in the last year of the Sixth Community Pharmacy Agreement. </w:t>
      </w:r>
      <w:r w:rsidRPr="00196173">
        <w:t>The wholesale mark-up arrangements set out in Table 2 will commence from 1 January 2021.</w:t>
      </w:r>
    </w:p>
  </w:footnote>
  <w:footnote w:id="5">
    <w:p w14:paraId="42CF1DF2" w14:textId="77777777" w:rsidR="0012656C" w:rsidRPr="00821A50" w:rsidRDefault="0012656C" w:rsidP="00821A50">
      <w:pPr>
        <w:pStyle w:val="FootnoteText"/>
      </w:pPr>
      <w:r w:rsidRPr="00821A50">
        <w:rPr>
          <w:vertAlign w:val="superscript"/>
        </w:rPr>
        <w:t>[</w:t>
      </w:r>
      <w:r w:rsidRPr="00821A50">
        <w:rPr>
          <w:rStyle w:val="FootnoteReference"/>
        </w:rPr>
        <w:footnoteRef/>
      </w:r>
      <w:r w:rsidRPr="00821A50">
        <w:rPr>
          <w:vertAlign w:val="superscript"/>
        </w:rPr>
        <w:t>]</w:t>
      </w:r>
      <w:r>
        <w:t xml:space="preserve"> The AHI Fee is calculated from the per pack price with the AHI Fee applied for the Maximum Quantity proportionate to the number of packs required for the Maximum Quantity, and will be adjusted if less or more than the Maximum Quantity is supplied.  Refer to the Determination for further details of the AHI Fee calculation.</w:t>
      </w:r>
    </w:p>
  </w:footnote>
  <w:footnote w:id="6">
    <w:p w14:paraId="4A54B5E6" w14:textId="7E31FD85" w:rsidR="0012656C" w:rsidRDefault="0012656C" w:rsidP="00AD3114">
      <w:pPr>
        <w:pStyle w:val="FootnoteText"/>
      </w:pPr>
      <w:r w:rsidRPr="00D86118">
        <w:rPr>
          <w:vertAlign w:val="superscript"/>
        </w:rPr>
        <w:t>[</w:t>
      </w:r>
      <w:r w:rsidRPr="00D86118">
        <w:rPr>
          <w:rStyle w:val="FootnoteReference"/>
        </w:rPr>
        <w:footnoteRef/>
      </w:r>
      <w:r w:rsidRPr="00D86118">
        <w:rPr>
          <w:vertAlign w:val="superscript"/>
        </w:rPr>
        <w:t>]</w:t>
      </w:r>
      <w:r>
        <w:rPr>
          <w:vertAlign w:val="superscript"/>
        </w:rPr>
        <w:t xml:space="preserve"> </w:t>
      </w:r>
      <w:r>
        <w:t>The Community Pharmacy Programs listed in Table 3 are not delivered exclusively by Approved Pharmacists.</w:t>
      </w:r>
    </w:p>
  </w:footnote>
  <w:footnote w:id="7">
    <w:p w14:paraId="47954162" w14:textId="77777777" w:rsidR="0012656C" w:rsidRDefault="0012656C" w:rsidP="00D86118">
      <w:pPr>
        <w:pStyle w:val="FootnoteText"/>
      </w:pPr>
      <w:r w:rsidRPr="00B02B98">
        <w:rPr>
          <w:vertAlign w:val="superscript"/>
        </w:rPr>
        <w:t>[</w:t>
      </w:r>
      <w:r w:rsidRPr="00B02B98">
        <w:rPr>
          <w:rStyle w:val="FootnoteReference"/>
        </w:rPr>
        <w:footnoteRef/>
      </w:r>
      <w:r w:rsidRPr="00B02B98">
        <w:rPr>
          <w:vertAlign w:val="superscript"/>
        </w:rPr>
        <w:t xml:space="preserve">] </w:t>
      </w:r>
      <w:r>
        <w:t>For example, and without limitation, it is intended that the Residential Medication Management Review Program and the Quality Use of Medicines in Residential Aged Care Facilities Program will be combined into a single more efficient and effective Community Pharmacy Program.  It is also intended that the MedsCheck and Diabetes MedsCheck Community Pharmacy Programs may be combined into a single Community Pharmacy Program.</w:t>
      </w:r>
    </w:p>
  </w:footnote>
  <w:footnote w:id="8">
    <w:p w14:paraId="1DE2654C" w14:textId="24B96D8E" w:rsidR="0012656C" w:rsidRPr="00770D75" w:rsidRDefault="0012656C">
      <w:pPr>
        <w:pStyle w:val="FootnoteText"/>
      </w:pPr>
      <w:r w:rsidRPr="00770D75">
        <w:rPr>
          <w:vertAlign w:val="superscript"/>
        </w:rPr>
        <w:t>[</w:t>
      </w:r>
      <w:r w:rsidRPr="00770D75">
        <w:rPr>
          <w:rStyle w:val="FootnoteReference"/>
        </w:rPr>
        <w:footnoteRef/>
      </w:r>
      <w:r w:rsidRPr="00770D75">
        <w:rPr>
          <w:vertAlign w:val="superscript"/>
        </w:rPr>
        <w:t>]</w:t>
      </w:r>
      <w:r>
        <w:t xml:space="preserve"> The Minister retains the discretion to vary these indicative amounts.</w:t>
      </w:r>
    </w:p>
  </w:footnote>
  <w:footnote w:id="9">
    <w:p w14:paraId="63A27881" w14:textId="1857612A" w:rsidR="0012656C" w:rsidRDefault="0012656C" w:rsidP="002571D2">
      <w:pPr>
        <w:pStyle w:val="FootnoteText"/>
        <w:rPr>
          <w:rFonts w:cstheme="minorBidi"/>
          <w:lang w:eastAsia="en-US"/>
        </w:rPr>
      </w:pPr>
      <w:r w:rsidRPr="002571D2">
        <w:rPr>
          <w:vertAlign w:val="superscript"/>
        </w:rPr>
        <w:t>[</w:t>
      </w:r>
      <w:r w:rsidRPr="002571D2">
        <w:rPr>
          <w:rStyle w:val="FootnoteReference"/>
        </w:rPr>
        <w:footnoteRef/>
      </w:r>
      <w:r w:rsidRPr="002571D2">
        <w:rPr>
          <w:vertAlign w:val="superscript"/>
        </w:rPr>
        <w:t>]</w:t>
      </w:r>
      <w:r>
        <w:t xml:space="preserve">Existing programs operating as at the commencement of the Agreement are contained in Table 3. </w:t>
      </w:r>
    </w:p>
  </w:footnote>
  <w:footnote w:id="10">
    <w:p w14:paraId="19E9196B" w14:textId="4EC363C6" w:rsidR="0012656C" w:rsidRPr="007A6B2D" w:rsidRDefault="0012656C" w:rsidP="00904677">
      <w:pPr>
        <w:pStyle w:val="FootnoteText"/>
      </w:pPr>
      <w:r w:rsidRPr="00CD7769">
        <w:rPr>
          <w:vertAlign w:val="superscript"/>
        </w:rPr>
        <w:t>[</w:t>
      </w:r>
      <w:r w:rsidRPr="00CD7769">
        <w:rPr>
          <w:rStyle w:val="FootnoteReference"/>
        </w:rPr>
        <w:footnoteRef/>
      </w:r>
      <w:r w:rsidRPr="00CD7769">
        <w:rPr>
          <w:vertAlign w:val="superscript"/>
        </w:rPr>
        <w:t>]</w:t>
      </w:r>
      <w:r>
        <w:t xml:space="preserve"> Section 8 of the PGPA Act defines ‘proper’ as follows: ‘proper, when used in relation to the use and management of public resources, means efficient, effective, economical and </w:t>
      </w:r>
      <w:r w:rsidRPr="007A6B2D">
        <w:t>ethical.’</w:t>
      </w:r>
    </w:p>
  </w:footnote>
  <w:footnote w:id="11">
    <w:p w14:paraId="4ABF9DAB" w14:textId="1461A389" w:rsidR="0012656C" w:rsidRDefault="0012656C" w:rsidP="00904677">
      <w:pPr>
        <w:pStyle w:val="FootnoteText"/>
      </w:pPr>
      <w:r w:rsidRPr="00CD7769">
        <w:rPr>
          <w:vertAlign w:val="superscript"/>
        </w:rPr>
        <w:t>[</w:t>
      </w:r>
      <w:r w:rsidRPr="00CD7769">
        <w:rPr>
          <w:rStyle w:val="FootnoteReference"/>
        </w:rPr>
        <w:footnoteRef/>
      </w:r>
      <w:r w:rsidRPr="00CD7769">
        <w:rPr>
          <w:vertAlign w:val="superscript"/>
        </w:rPr>
        <w:t>]</w:t>
      </w:r>
      <w:r>
        <w:t xml:space="preserve"> </w:t>
      </w:r>
      <w:r w:rsidRPr="008F7986">
        <w:t>For the purposes of these terms of reference, ‘confidential information’ means information that the discloser designates as confidential or provides on a confidential basis, or which the recipient ought reasonably expect to be confidential, but does not include information in the public domain (unless in the public domain due to a breach of confidentiality by any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BDC8A" w14:textId="6654C4BA" w:rsidR="0012656C" w:rsidRDefault="0012656C" w:rsidP="00326A88">
    <w:pPr>
      <w:jc w:val="center"/>
    </w:pPr>
    <w:r>
      <w:rPr>
        <w:noProof/>
      </w:rPr>
      <w:drawing>
        <wp:inline distT="0" distB="0" distL="0" distR="0" wp14:anchorId="39EF6476" wp14:editId="7404002D">
          <wp:extent cx="1688465" cy="1122045"/>
          <wp:effectExtent l="0" t="0" r="6985" b="1905"/>
          <wp:docPr id="2" name="Picture 2" descr="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1122045"/>
                  </a:xfrm>
                  <a:prstGeom prst="rect">
                    <a:avLst/>
                  </a:prstGeom>
                  <a:noFill/>
                </pic:spPr>
              </pic:pic>
            </a:graphicData>
          </a:graphic>
        </wp:inline>
      </w:drawing>
    </w:r>
  </w:p>
  <w:p w14:paraId="45887386" w14:textId="77777777" w:rsidR="0012656C" w:rsidRDefault="0012656C" w:rsidP="00326A88">
    <w:pPr>
      <w:jc w:val="center"/>
    </w:pPr>
  </w:p>
  <w:p w14:paraId="1EC4A9E8" w14:textId="77777777" w:rsidR="0012656C" w:rsidRPr="00EC26EC" w:rsidRDefault="0012656C" w:rsidP="00EC26EC">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7620566"/>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4764198"/>
    <w:multiLevelType w:val="multilevel"/>
    <w:tmpl w:val="28F6D512"/>
    <w:lvl w:ilvl="0">
      <w:start w:val="1"/>
      <w:numFmt w:val="decimal"/>
      <w:pStyle w:val="legalPart"/>
      <w:lvlText w:val="Part %1"/>
      <w:lvlJc w:val="left"/>
      <w:pPr>
        <w:tabs>
          <w:tab w:val="num" w:pos="3403"/>
        </w:tabs>
        <w:ind w:left="3403" w:hanging="1701"/>
      </w:pPr>
      <w:rPr>
        <w:rFonts w:ascii="Arial" w:hAnsi="Arial" w:cs="Times New Roman" w:hint="default"/>
        <w:b/>
        <w:i w:val="0"/>
        <w:color w:val="82002A"/>
        <w:sz w:val="36"/>
        <w:szCs w:val="36"/>
      </w:rPr>
    </w:lvl>
    <w:lvl w:ilvl="1">
      <w:start w:val="1"/>
      <w:numFmt w:val="none"/>
      <w:lvlText w:val=""/>
      <w:lvlJc w:val="left"/>
      <w:pPr>
        <w:ind w:left="2422" w:hanging="360"/>
      </w:pPr>
      <w:rPr>
        <w:rFonts w:cs="Times New Roman" w:hint="default"/>
      </w:rPr>
    </w:lvl>
    <w:lvl w:ilvl="2">
      <w:start w:val="1"/>
      <w:numFmt w:val="none"/>
      <w:lvlText w:val=""/>
      <w:lvlJc w:val="left"/>
      <w:pPr>
        <w:ind w:left="2782" w:hanging="360"/>
      </w:pPr>
      <w:rPr>
        <w:rFonts w:cs="Times New Roman" w:hint="default"/>
      </w:rPr>
    </w:lvl>
    <w:lvl w:ilvl="3">
      <w:start w:val="1"/>
      <w:numFmt w:val="none"/>
      <w:lvlText w:val=""/>
      <w:lvlJc w:val="left"/>
      <w:pPr>
        <w:ind w:left="3142" w:hanging="360"/>
      </w:pPr>
      <w:rPr>
        <w:rFonts w:cs="Times New Roman" w:hint="default"/>
      </w:rPr>
    </w:lvl>
    <w:lvl w:ilvl="4">
      <w:start w:val="1"/>
      <w:numFmt w:val="none"/>
      <w:lvlText w:val=""/>
      <w:lvlJc w:val="left"/>
      <w:pPr>
        <w:ind w:left="3502" w:hanging="360"/>
      </w:pPr>
      <w:rPr>
        <w:rFonts w:cs="Times New Roman" w:hint="default"/>
      </w:rPr>
    </w:lvl>
    <w:lvl w:ilvl="5">
      <w:start w:val="1"/>
      <w:numFmt w:val="none"/>
      <w:lvlText w:val=""/>
      <w:lvlJc w:val="left"/>
      <w:pPr>
        <w:ind w:left="3862" w:hanging="360"/>
      </w:pPr>
      <w:rPr>
        <w:rFonts w:cs="Times New Roman" w:hint="default"/>
      </w:rPr>
    </w:lvl>
    <w:lvl w:ilvl="6">
      <w:start w:val="1"/>
      <w:numFmt w:val="none"/>
      <w:lvlText w:val=""/>
      <w:lvlJc w:val="left"/>
      <w:pPr>
        <w:ind w:left="4222" w:hanging="360"/>
      </w:pPr>
      <w:rPr>
        <w:rFonts w:cs="Times New Roman" w:hint="default"/>
      </w:rPr>
    </w:lvl>
    <w:lvl w:ilvl="7">
      <w:start w:val="1"/>
      <w:numFmt w:val="none"/>
      <w:lvlText w:val=""/>
      <w:lvlJc w:val="left"/>
      <w:pPr>
        <w:ind w:left="4582" w:hanging="360"/>
      </w:pPr>
      <w:rPr>
        <w:rFonts w:cs="Times New Roman" w:hint="default"/>
      </w:rPr>
    </w:lvl>
    <w:lvl w:ilvl="8">
      <w:start w:val="1"/>
      <w:numFmt w:val="none"/>
      <w:lvlText w:val=""/>
      <w:lvlJc w:val="left"/>
      <w:pPr>
        <w:ind w:left="4942" w:hanging="360"/>
      </w:pPr>
      <w:rPr>
        <w:rFonts w:cs="Times New Roman" w:hint="default"/>
      </w:rPr>
    </w:lvl>
  </w:abstractNum>
  <w:abstractNum w:abstractNumId="3"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6"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BEE58AF"/>
    <w:multiLevelType w:val="hybridMultilevel"/>
    <w:tmpl w:val="6B22729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3062B1"/>
    <w:multiLevelType w:val="hybridMultilevel"/>
    <w:tmpl w:val="E07C99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0F27A4B"/>
    <w:multiLevelType w:val="hybridMultilevel"/>
    <w:tmpl w:val="601A37DA"/>
    <w:lvl w:ilvl="0" w:tplc="0B4E16E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12"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47265"/>
    <w:multiLevelType w:val="hybridMultilevel"/>
    <w:tmpl w:val="1966BD2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0"/>
  </w:num>
  <w:num w:numId="3">
    <w:abstractNumId w:val="5"/>
  </w:num>
  <w:num w:numId="4">
    <w:abstractNumId w:val="4"/>
  </w:num>
  <w:num w:numId="5">
    <w:abstractNumId w:val="3"/>
  </w:num>
  <w:num w:numId="6">
    <w:abstractNumId w:val="10"/>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7"/>
  </w:num>
  <w:num w:numId="21">
    <w:abstractNumId w:val="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
  </w:num>
  <w:num w:numId="28">
    <w:abstractNumId w:val="2"/>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0"/>
  </w:num>
  <w:num w:numId="33">
    <w:abstractNumId w:val="0"/>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formatting="1" w:enforcement="0"/>
  <w:defaultTabStop w:val="85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6D"/>
    <w:rsid w:val="000005B9"/>
    <w:rsid w:val="00000CB9"/>
    <w:rsid w:val="000010BA"/>
    <w:rsid w:val="0000161C"/>
    <w:rsid w:val="000026EC"/>
    <w:rsid w:val="00003AEC"/>
    <w:rsid w:val="00003BA5"/>
    <w:rsid w:val="00003E5F"/>
    <w:rsid w:val="00005638"/>
    <w:rsid w:val="0000663E"/>
    <w:rsid w:val="0000721E"/>
    <w:rsid w:val="00007395"/>
    <w:rsid w:val="00010FAC"/>
    <w:rsid w:val="00011331"/>
    <w:rsid w:val="000135C6"/>
    <w:rsid w:val="00014A7D"/>
    <w:rsid w:val="00014E81"/>
    <w:rsid w:val="000157D7"/>
    <w:rsid w:val="00015964"/>
    <w:rsid w:val="00015D11"/>
    <w:rsid w:val="000160E0"/>
    <w:rsid w:val="00016D61"/>
    <w:rsid w:val="000206B2"/>
    <w:rsid w:val="00024D48"/>
    <w:rsid w:val="000260CC"/>
    <w:rsid w:val="0002635E"/>
    <w:rsid w:val="0002636E"/>
    <w:rsid w:val="00027825"/>
    <w:rsid w:val="00027EAF"/>
    <w:rsid w:val="00030DC4"/>
    <w:rsid w:val="000343DD"/>
    <w:rsid w:val="000344EF"/>
    <w:rsid w:val="000353E0"/>
    <w:rsid w:val="0003616E"/>
    <w:rsid w:val="00036766"/>
    <w:rsid w:val="000367CE"/>
    <w:rsid w:val="000367F5"/>
    <w:rsid w:val="00036AB9"/>
    <w:rsid w:val="000378DA"/>
    <w:rsid w:val="000411D1"/>
    <w:rsid w:val="0004173E"/>
    <w:rsid w:val="00044987"/>
    <w:rsid w:val="0004533D"/>
    <w:rsid w:val="0005108B"/>
    <w:rsid w:val="00051A9B"/>
    <w:rsid w:val="00051E01"/>
    <w:rsid w:val="00052EC2"/>
    <w:rsid w:val="000530DA"/>
    <w:rsid w:val="00053803"/>
    <w:rsid w:val="00053CEE"/>
    <w:rsid w:val="00054CA7"/>
    <w:rsid w:val="0005577C"/>
    <w:rsid w:val="000558DA"/>
    <w:rsid w:val="00055F6A"/>
    <w:rsid w:val="00056E43"/>
    <w:rsid w:val="0006006D"/>
    <w:rsid w:val="00060555"/>
    <w:rsid w:val="000610CA"/>
    <w:rsid w:val="00062E7E"/>
    <w:rsid w:val="0006334C"/>
    <w:rsid w:val="00063AF5"/>
    <w:rsid w:val="00064E31"/>
    <w:rsid w:val="00065016"/>
    <w:rsid w:val="000657FB"/>
    <w:rsid w:val="000665DD"/>
    <w:rsid w:val="0006662F"/>
    <w:rsid w:val="0006729F"/>
    <w:rsid w:val="0006768F"/>
    <w:rsid w:val="000702A4"/>
    <w:rsid w:val="000708D8"/>
    <w:rsid w:val="00072C9B"/>
    <w:rsid w:val="00072CC8"/>
    <w:rsid w:val="00073DC6"/>
    <w:rsid w:val="0007603A"/>
    <w:rsid w:val="0007748F"/>
    <w:rsid w:val="00077524"/>
    <w:rsid w:val="000776D7"/>
    <w:rsid w:val="00077F25"/>
    <w:rsid w:val="000808E2"/>
    <w:rsid w:val="00081D11"/>
    <w:rsid w:val="0008233F"/>
    <w:rsid w:val="00082952"/>
    <w:rsid w:val="00084BB0"/>
    <w:rsid w:val="0008557F"/>
    <w:rsid w:val="00085A80"/>
    <w:rsid w:val="00086890"/>
    <w:rsid w:val="000877E7"/>
    <w:rsid w:val="000901EA"/>
    <w:rsid w:val="00090B2D"/>
    <w:rsid w:val="000927A0"/>
    <w:rsid w:val="00096ADD"/>
    <w:rsid w:val="000A2979"/>
    <w:rsid w:val="000A2A86"/>
    <w:rsid w:val="000A2E97"/>
    <w:rsid w:val="000A2FEB"/>
    <w:rsid w:val="000A3920"/>
    <w:rsid w:val="000A415A"/>
    <w:rsid w:val="000A442F"/>
    <w:rsid w:val="000A5D53"/>
    <w:rsid w:val="000A7353"/>
    <w:rsid w:val="000A784C"/>
    <w:rsid w:val="000A7CB0"/>
    <w:rsid w:val="000B0E7D"/>
    <w:rsid w:val="000B24E4"/>
    <w:rsid w:val="000B2540"/>
    <w:rsid w:val="000B2601"/>
    <w:rsid w:val="000B42FC"/>
    <w:rsid w:val="000B4A03"/>
    <w:rsid w:val="000B6408"/>
    <w:rsid w:val="000B6E76"/>
    <w:rsid w:val="000B73EE"/>
    <w:rsid w:val="000B7733"/>
    <w:rsid w:val="000B7AE2"/>
    <w:rsid w:val="000C234B"/>
    <w:rsid w:val="000C244F"/>
    <w:rsid w:val="000C33E7"/>
    <w:rsid w:val="000C38E2"/>
    <w:rsid w:val="000C4459"/>
    <w:rsid w:val="000C5D46"/>
    <w:rsid w:val="000C60FA"/>
    <w:rsid w:val="000C611C"/>
    <w:rsid w:val="000D0847"/>
    <w:rsid w:val="000D0D66"/>
    <w:rsid w:val="000D2010"/>
    <w:rsid w:val="000D2491"/>
    <w:rsid w:val="000D45F3"/>
    <w:rsid w:val="000D5083"/>
    <w:rsid w:val="000D549F"/>
    <w:rsid w:val="000D647B"/>
    <w:rsid w:val="000D6BB8"/>
    <w:rsid w:val="000E0CB3"/>
    <w:rsid w:val="000E1B6D"/>
    <w:rsid w:val="000E1FD3"/>
    <w:rsid w:val="000E25AC"/>
    <w:rsid w:val="000E25D6"/>
    <w:rsid w:val="000E3D91"/>
    <w:rsid w:val="000E4322"/>
    <w:rsid w:val="000E4453"/>
    <w:rsid w:val="000E534C"/>
    <w:rsid w:val="000E5C48"/>
    <w:rsid w:val="000E74EE"/>
    <w:rsid w:val="000E7C4A"/>
    <w:rsid w:val="000F2EC9"/>
    <w:rsid w:val="000F401B"/>
    <w:rsid w:val="000F41BE"/>
    <w:rsid w:val="000F5575"/>
    <w:rsid w:val="000F5A48"/>
    <w:rsid w:val="000F6628"/>
    <w:rsid w:val="000F6845"/>
    <w:rsid w:val="000F6E07"/>
    <w:rsid w:val="000F7848"/>
    <w:rsid w:val="000F7AE3"/>
    <w:rsid w:val="0010110F"/>
    <w:rsid w:val="00101E2A"/>
    <w:rsid w:val="001039ED"/>
    <w:rsid w:val="00105015"/>
    <w:rsid w:val="00105D30"/>
    <w:rsid w:val="0011241C"/>
    <w:rsid w:val="001139E2"/>
    <w:rsid w:val="001200CC"/>
    <w:rsid w:val="00120131"/>
    <w:rsid w:val="00120EBE"/>
    <w:rsid w:val="00121685"/>
    <w:rsid w:val="00122240"/>
    <w:rsid w:val="0012285B"/>
    <w:rsid w:val="0012308C"/>
    <w:rsid w:val="00123574"/>
    <w:rsid w:val="001243A3"/>
    <w:rsid w:val="00124ADA"/>
    <w:rsid w:val="0012595F"/>
    <w:rsid w:val="00125BE5"/>
    <w:rsid w:val="0012656C"/>
    <w:rsid w:val="001279DE"/>
    <w:rsid w:val="00127CF4"/>
    <w:rsid w:val="00131CCC"/>
    <w:rsid w:val="00132291"/>
    <w:rsid w:val="00132809"/>
    <w:rsid w:val="00133643"/>
    <w:rsid w:val="00134CFB"/>
    <w:rsid w:val="00135097"/>
    <w:rsid w:val="00136DC1"/>
    <w:rsid w:val="001372B2"/>
    <w:rsid w:val="00137927"/>
    <w:rsid w:val="00140D98"/>
    <w:rsid w:val="00142169"/>
    <w:rsid w:val="001426AA"/>
    <w:rsid w:val="001437F5"/>
    <w:rsid w:val="00144B02"/>
    <w:rsid w:val="0014583C"/>
    <w:rsid w:val="00147A5F"/>
    <w:rsid w:val="00147D26"/>
    <w:rsid w:val="00147E9C"/>
    <w:rsid w:val="001506B1"/>
    <w:rsid w:val="00151879"/>
    <w:rsid w:val="00151AAE"/>
    <w:rsid w:val="00152685"/>
    <w:rsid w:val="0015467C"/>
    <w:rsid w:val="00154806"/>
    <w:rsid w:val="00154CF7"/>
    <w:rsid w:val="001564A4"/>
    <w:rsid w:val="00156821"/>
    <w:rsid w:val="0016135C"/>
    <w:rsid w:val="00162547"/>
    <w:rsid w:val="00162717"/>
    <w:rsid w:val="0016310F"/>
    <w:rsid w:val="00164402"/>
    <w:rsid w:val="001645FF"/>
    <w:rsid w:val="00164B86"/>
    <w:rsid w:val="0016500D"/>
    <w:rsid w:val="0016523C"/>
    <w:rsid w:val="00165A65"/>
    <w:rsid w:val="001663CD"/>
    <w:rsid w:val="00166754"/>
    <w:rsid w:val="00166ED6"/>
    <w:rsid w:val="00167CBC"/>
    <w:rsid w:val="00172C25"/>
    <w:rsid w:val="00172F95"/>
    <w:rsid w:val="0017315D"/>
    <w:rsid w:val="00175193"/>
    <w:rsid w:val="001754D6"/>
    <w:rsid w:val="00176B8C"/>
    <w:rsid w:val="00176C56"/>
    <w:rsid w:val="00177396"/>
    <w:rsid w:val="00177F4E"/>
    <w:rsid w:val="001802E3"/>
    <w:rsid w:val="00181023"/>
    <w:rsid w:val="00181B18"/>
    <w:rsid w:val="00182F3A"/>
    <w:rsid w:val="001832BC"/>
    <w:rsid w:val="00184B12"/>
    <w:rsid w:val="00186312"/>
    <w:rsid w:val="00186602"/>
    <w:rsid w:val="00190035"/>
    <w:rsid w:val="0019216F"/>
    <w:rsid w:val="001924E9"/>
    <w:rsid w:val="00193184"/>
    <w:rsid w:val="001937D3"/>
    <w:rsid w:val="001938A9"/>
    <w:rsid w:val="00193A67"/>
    <w:rsid w:val="00194FF2"/>
    <w:rsid w:val="001956D6"/>
    <w:rsid w:val="00196173"/>
    <w:rsid w:val="0019704B"/>
    <w:rsid w:val="00197736"/>
    <w:rsid w:val="001A0062"/>
    <w:rsid w:val="001A138C"/>
    <w:rsid w:val="001A25C8"/>
    <w:rsid w:val="001A3380"/>
    <w:rsid w:val="001A3C5A"/>
    <w:rsid w:val="001A5BFD"/>
    <w:rsid w:val="001A6435"/>
    <w:rsid w:val="001A691B"/>
    <w:rsid w:val="001B0779"/>
    <w:rsid w:val="001B0959"/>
    <w:rsid w:val="001B146D"/>
    <w:rsid w:val="001B1C55"/>
    <w:rsid w:val="001B1DD8"/>
    <w:rsid w:val="001B4B44"/>
    <w:rsid w:val="001B5135"/>
    <w:rsid w:val="001B5257"/>
    <w:rsid w:val="001B5DCC"/>
    <w:rsid w:val="001C0E07"/>
    <w:rsid w:val="001C236A"/>
    <w:rsid w:val="001C2AA0"/>
    <w:rsid w:val="001C2BBA"/>
    <w:rsid w:val="001C375D"/>
    <w:rsid w:val="001C3B21"/>
    <w:rsid w:val="001C40CE"/>
    <w:rsid w:val="001C519C"/>
    <w:rsid w:val="001D16E5"/>
    <w:rsid w:val="001D232B"/>
    <w:rsid w:val="001D3FE3"/>
    <w:rsid w:val="001D4DC8"/>
    <w:rsid w:val="001D549E"/>
    <w:rsid w:val="001D5D32"/>
    <w:rsid w:val="001D60E7"/>
    <w:rsid w:val="001E0341"/>
    <w:rsid w:val="001E0AE5"/>
    <w:rsid w:val="001E0F5A"/>
    <w:rsid w:val="001E2E4D"/>
    <w:rsid w:val="001E3D37"/>
    <w:rsid w:val="001E48C6"/>
    <w:rsid w:val="001E4F1B"/>
    <w:rsid w:val="001E4FDD"/>
    <w:rsid w:val="001E50EA"/>
    <w:rsid w:val="001E6061"/>
    <w:rsid w:val="001E6CA6"/>
    <w:rsid w:val="001E7ED2"/>
    <w:rsid w:val="001F06F5"/>
    <w:rsid w:val="001F0A77"/>
    <w:rsid w:val="001F2288"/>
    <w:rsid w:val="001F341C"/>
    <w:rsid w:val="001F3A46"/>
    <w:rsid w:val="001F3EC2"/>
    <w:rsid w:val="001F4206"/>
    <w:rsid w:val="001F45C4"/>
    <w:rsid w:val="001F4C76"/>
    <w:rsid w:val="001F7D6F"/>
    <w:rsid w:val="0020073D"/>
    <w:rsid w:val="002013B2"/>
    <w:rsid w:val="002014EA"/>
    <w:rsid w:val="00201740"/>
    <w:rsid w:val="002018D2"/>
    <w:rsid w:val="00201F8E"/>
    <w:rsid w:val="00202333"/>
    <w:rsid w:val="00203282"/>
    <w:rsid w:val="0020390F"/>
    <w:rsid w:val="00204872"/>
    <w:rsid w:val="002076FE"/>
    <w:rsid w:val="0021019D"/>
    <w:rsid w:val="00211662"/>
    <w:rsid w:val="00212096"/>
    <w:rsid w:val="00212C19"/>
    <w:rsid w:val="00213008"/>
    <w:rsid w:val="00213071"/>
    <w:rsid w:val="00213449"/>
    <w:rsid w:val="0021393F"/>
    <w:rsid w:val="002167AC"/>
    <w:rsid w:val="002200CD"/>
    <w:rsid w:val="00220139"/>
    <w:rsid w:val="00222DA2"/>
    <w:rsid w:val="002236DB"/>
    <w:rsid w:val="00223700"/>
    <w:rsid w:val="00223A60"/>
    <w:rsid w:val="00224D35"/>
    <w:rsid w:val="0022541C"/>
    <w:rsid w:val="002260B4"/>
    <w:rsid w:val="00227F86"/>
    <w:rsid w:val="002315BE"/>
    <w:rsid w:val="00231722"/>
    <w:rsid w:val="00231957"/>
    <w:rsid w:val="002339FF"/>
    <w:rsid w:val="00234F7C"/>
    <w:rsid w:val="00235AAE"/>
    <w:rsid w:val="00236D9C"/>
    <w:rsid w:val="002371B7"/>
    <w:rsid w:val="0024047B"/>
    <w:rsid w:val="0024098C"/>
    <w:rsid w:val="00241426"/>
    <w:rsid w:val="002414D5"/>
    <w:rsid w:val="0024206B"/>
    <w:rsid w:val="002421EB"/>
    <w:rsid w:val="00243B52"/>
    <w:rsid w:val="0024444E"/>
    <w:rsid w:val="00244C40"/>
    <w:rsid w:val="00245DCC"/>
    <w:rsid w:val="00250544"/>
    <w:rsid w:val="00250B68"/>
    <w:rsid w:val="002510CD"/>
    <w:rsid w:val="0025146D"/>
    <w:rsid w:val="002538F2"/>
    <w:rsid w:val="002547CC"/>
    <w:rsid w:val="002549E2"/>
    <w:rsid w:val="002554A4"/>
    <w:rsid w:val="0025568A"/>
    <w:rsid w:val="002558D3"/>
    <w:rsid w:val="00255B9D"/>
    <w:rsid w:val="002571D2"/>
    <w:rsid w:val="00260FC2"/>
    <w:rsid w:val="00261A05"/>
    <w:rsid w:val="00261C9A"/>
    <w:rsid w:val="00262FDA"/>
    <w:rsid w:val="00266306"/>
    <w:rsid w:val="002663B4"/>
    <w:rsid w:val="00266A91"/>
    <w:rsid w:val="00267109"/>
    <w:rsid w:val="00267B49"/>
    <w:rsid w:val="002702A4"/>
    <w:rsid w:val="002714AE"/>
    <w:rsid w:val="00271633"/>
    <w:rsid w:val="00272D3E"/>
    <w:rsid w:val="002733B3"/>
    <w:rsid w:val="0027350E"/>
    <w:rsid w:val="002746F4"/>
    <w:rsid w:val="0027483A"/>
    <w:rsid w:val="00274FBC"/>
    <w:rsid w:val="00276817"/>
    <w:rsid w:val="00276D2D"/>
    <w:rsid w:val="00276E1D"/>
    <w:rsid w:val="002772FC"/>
    <w:rsid w:val="00280632"/>
    <w:rsid w:val="00280A57"/>
    <w:rsid w:val="0028172C"/>
    <w:rsid w:val="002823E0"/>
    <w:rsid w:val="00283CB1"/>
    <w:rsid w:val="002855DD"/>
    <w:rsid w:val="00285964"/>
    <w:rsid w:val="00286117"/>
    <w:rsid w:val="00286C01"/>
    <w:rsid w:val="002870B6"/>
    <w:rsid w:val="00287AFC"/>
    <w:rsid w:val="00287DB9"/>
    <w:rsid w:val="002914F2"/>
    <w:rsid w:val="00291A97"/>
    <w:rsid w:val="00291EF1"/>
    <w:rsid w:val="00293223"/>
    <w:rsid w:val="00293730"/>
    <w:rsid w:val="002938B8"/>
    <w:rsid w:val="00293904"/>
    <w:rsid w:val="002939F0"/>
    <w:rsid w:val="0029484E"/>
    <w:rsid w:val="0029525E"/>
    <w:rsid w:val="002967CD"/>
    <w:rsid w:val="0029680C"/>
    <w:rsid w:val="0029697B"/>
    <w:rsid w:val="002970F8"/>
    <w:rsid w:val="002973E4"/>
    <w:rsid w:val="002A015A"/>
    <w:rsid w:val="002A0889"/>
    <w:rsid w:val="002A1AF1"/>
    <w:rsid w:val="002A1EA1"/>
    <w:rsid w:val="002A2010"/>
    <w:rsid w:val="002A454B"/>
    <w:rsid w:val="002A4AB2"/>
    <w:rsid w:val="002A4C2A"/>
    <w:rsid w:val="002A5EA5"/>
    <w:rsid w:val="002A6A85"/>
    <w:rsid w:val="002A78FF"/>
    <w:rsid w:val="002A7FBE"/>
    <w:rsid w:val="002B022A"/>
    <w:rsid w:val="002B024C"/>
    <w:rsid w:val="002B04F2"/>
    <w:rsid w:val="002B09A8"/>
    <w:rsid w:val="002B10B3"/>
    <w:rsid w:val="002B1363"/>
    <w:rsid w:val="002B2CB9"/>
    <w:rsid w:val="002B325E"/>
    <w:rsid w:val="002B3B1D"/>
    <w:rsid w:val="002B3FC4"/>
    <w:rsid w:val="002B49DC"/>
    <w:rsid w:val="002B5318"/>
    <w:rsid w:val="002B55EC"/>
    <w:rsid w:val="002B6372"/>
    <w:rsid w:val="002B6EF6"/>
    <w:rsid w:val="002B77CD"/>
    <w:rsid w:val="002C0C12"/>
    <w:rsid w:val="002C1A3A"/>
    <w:rsid w:val="002C1CDE"/>
    <w:rsid w:val="002C2795"/>
    <w:rsid w:val="002C319B"/>
    <w:rsid w:val="002C4432"/>
    <w:rsid w:val="002C4A75"/>
    <w:rsid w:val="002C50C7"/>
    <w:rsid w:val="002C6907"/>
    <w:rsid w:val="002C7222"/>
    <w:rsid w:val="002D110F"/>
    <w:rsid w:val="002D140B"/>
    <w:rsid w:val="002D1D92"/>
    <w:rsid w:val="002D3387"/>
    <w:rsid w:val="002D400A"/>
    <w:rsid w:val="002D517F"/>
    <w:rsid w:val="002D5905"/>
    <w:rsid w:val="002D5A44"/>
    <w:rsid w:val="002D5CB7"/>
    <w:rsid w:val="002D6CEF"/>
    <w:rsid w:val="002D6D22"/>
    <w:rsid w:val="002D7897"/>
    <w:rsid w:val="002E0FA1"/>
    <w:rsid w:val="002E1133"/>
    <w:rsid w:val="002E1352"/>
    <w:rsid w:val="002E1D61"/>
    <w:rsid w:val="002E1F47"/>
    <w:rsid w:val="002E2B65"/>
    <w:rsid w:val="002E3143"/>
    <w:rsid w:val="002E3299"/>
    <w:rsid w:val="002E33E0"/>
    <w:rsid w:val="002E3AD0"/>
    <w:rsid w:val="002E4501"/>
    <w:rsid w:val="002E4918"/>
    <w:rsid w:val="002E5146"/>
    <w:rsid w:val="002E59D1"/>
    <w:rsid w:val="002E6081"/>
    <w:rsid w:val="002E7526"/>
    <w:rsid w:val="002E791E"/>
    <w:rsid w:val="002E7D0F"/>
    <w:rsid w:val="002F0527"/>
    <w:rsid w:val="002F0C6B"/>
    <w:rsid w:val="002F1460"/>
    <w:rsid w:val="002F23A2"/>
    <w:rsid w:val="002F287D"/>
    <w:rsid w:val="002F3B9E"/>
    <w:rsid w:val="002F4620"/>
    <w:rsid w:val="002F4E24"/>
    <w:rsid w:val="002F7D82"/>
    <w:rsid w:val="00301538"/>
    <w:rsid w:val="00301904"/>
    <w:rsid w:val="00301ED3"/>
    <w:rsid w:val="003025BC"/>
    <w:rsid w:val="00303D4E"/>
    <w:rsid w:val="00304877"/>
    <w:rsid w:val="00304E07"/>
    <w:rsid w:val="003052DA"/>
    <w:rsid w:val="00305A33"/>
    <w:rsid w:val="00305D38"/>
    <w:rsid w:val="003102E3"/>
    <w:rsid w:val="00310BD7"/>
    <w:rsid w:val="003111EA"/>
    <w:rsid w:val="003113E6"/>
    <w:rsid w:val="0031363A"/>
    <w:rsid w:val="0031490F"/>
    <w:rsid w:val="00314AFE"/>
    <w:rsid w:val="00314EA4"/>
    <w:rsid w:val="0031553E"/>
    <w:rsid w:val="00315885"/>
    <w:rsid w:val="00316736"/>
    <w:rsid w:val="00317369"/>
    <w:rsid w:val="003176A1"/>
    <w:rsid w:val="003178C6"/>
    <w:rsid w:val="00320975"/>
    <w:rsid w:val="003212EF"/>
    <w:rsid w:val="00321370"/>
    <w:rsid w:val="00321386"/>
    <w:rsid w:val="00322AEF"/>
    <w:rsid w:val="00323F94"/>
    <w:rsid w:val="00325429"/>
    <w:rsid w:val="00326000"/>
    <w:rsid w:val="00326A88"/>
    <w:rsid w:val="00330433"/>
    <w:rsid w:val="00331CDC"/>
    <w:rsid w:val="0033338B"/>
    <w:rsid w:val="003339D0"/>
    <w:rsid w:val="0033447D"/>
    <w:rsid w:val="003361D8"/>
    <w:rsid w:val="003367DF"/>
    <w:rsid w:val="00336B9D"/>
    <w:rsid w:val="00341808"/>
    <w:rsid w:val="003418AD"/>
    <w:rsid w:val="00341D39"/>
    <w:rsid w:val="00341E4A"/>
    <w:rsid w:val="003420DB"/>
    <w:rsid w:val="003423D6"/>
    <w:rsid w:val="00343C89"/>
    <w:rsid w:val="00344244"/>
    <w:rsid w:val="00344B12"/>
    <w:rsid w:val="00344B63"/>
    <w:rsid w:val="0034503A"/>
    <w:rsid w:val="0034521C"/>
    <w:rsid w:val="0034552C"/>
    <w:rsid w:val="00346A76"/>
    <w:rsid w:val="00346D22"/>
    <w:rsid w:val="00347082"/>
    <w:rsid w:val="00347D1D"/>
    <w:rsid w:val="00350B3C"/>
    <w:rsid w:val="003519B5"/>
    <w:rsid w:val="003521C1"/>
    <w:rsid w:val="00352A01"/>
    <w:rsid w:val="00352F67"/>
    <w:rsid w:val="003549A3"/>
    <w:rsid w:val="0035572C"/>
    <w:rsid w:val="00355F28"/>
    <w:rsid w:val="00356083"/>
    <w:rsid w:val="00357560"/>
    <w:rsid w:val="00357A58"/>
    <w:rsid w:val="00357A98"/>
    <w:rsid w:val="003610F8"/>
    <w:rsid w:val="0036161F"/>
    <w:rsid w:val="00362BAD"/>
    <w:rsid w:val="003631E7"/>
    <w:rsid w:val="00365026"/>
    <w:rsid w:val="003663F9"/>
    <w:rsid w:val="00366CD6"/>
    <w:rsid w:val="00366FA0"/>
    <w:rsid w:val="0036753C"/>
    <w:rsid w:val="00367D46"/>
    <w:rsid w:val="003704CA"/>
    <w:rsid w:val="00370EDE"/>
    <w:rsid w:val="00371DB1"/>
    <w:rsid w:val="00373F8D"/>
    <w:rsid w:val="0037421F"/>
    <w:rsid w:val="00374880"/>
    <w:rsid w:val="003751AF"/>
    <w:rsid w:val="0037546F"/>
    <w:rsid w:val="00377C2E"/>
    <w:rsid w:val="00377F53"/>
    <w:rsid w:val="00380B75"/>
    <w:rsid w:val="00381FB9"/>
    <w:rsid w:val="0038209F"/>
    <w:rsid w:val="003829C2"/>
    <w:rsid w:val="00382E72"/>
    <w:rsid w:val="00382FDE"/>
    <w:rsid w:val="0038312C"/>
    <w:rsid w:val="00383451"/>
    <w:rsid w:val="003849F7"/>
    <w:rsid w:val="00384C44"/>
    <w:rsid w:val="003875C7"/>
    <w:rsid w:val="0039069D"/>
    <w:rsid w:val="00390B9A"/>
    <w:rsid w:val="00390F0C"/>
    <w:rsid w:val="0039235E"/>
    <w:rsid w:val="003929AF"/>
    <w:rsid w:val="00394D54"/>
    <w:rsid w:val="00394D93"/>
    <w:rsid w:val="003A0A96"/>
    <w:rsid w:val="003A0F94"/>
    <w:rsid w:val="003A1616"/>
    <w:rsid w:val="003A1D92"/>
    <w:rsid w:val="003A244D"/>
    <w:rsid w:val="003A2F76"/>
    <w:rsid w:val="003A300A"/>
    <w:rsid w:val="003A3EBE"/>
    <w:rsid w:val="003A6788"/>
    <w:rsid w:val="003B05B1"/>
    <w:rsid w:val="003B2C70"/>
    <w:rsid w:val="003B3749"/>
    <w:rsid w:val="003B4641"/>
    <w:rsid w:val="003B4F4C"/>
    <w:rsid w:val="003B640F"/>
    <w:rsid w:val="003B6982"/>
    <w:rsid w:val="003B7067"/>
    <w:rsid w:val="003C0247"/>
    <w:rsid w:val="003C06D6"/>
    <w:rsid w:val="003C249A"/>
    <w:rsid w:val="003C3157"/>
    <w:rsid w:val="003C3B79"/>
    <w:rsid w:val="003C5D61"/>
    <w:rsid w:val="003C635C"/>
    <w:rsid w:val="003C6B21"/>
    <w:rsid w:val="003C6C3E"/>
    <w:rsid w:val="003C6D84"/>
    <w:rsid w:val="003C7389"/>
    <w:rsid w:val="003D2275"/>
    <w:rsid w:val="003D3D96"/>
    <w:rsid w:val="003D626D"/>
    <w:rsid w:val="003D7C15"/>
    <w:rsid w:val="003E0881"/>
    <w:rsid w:val="003E1D40"/>
    <w:rsid w:val="003E3EE5"/>
    <w:rsid w:val="003E4817"/>
    <w:rsid w:val="003E5899"/>
    <w:rsid w:val="003E5916"/>
    <w:rsid w:val="003E5BA5"/>
    <w:rsid w:val="003E6F66"/>
    <w:rsid w:val="003F17BB"/>
    <w:rsid w:val="003F2670"/>
    <w:rsid w:val="003F4296"/>
    <w:rsid w:val="003F4515"/>
    <w:rsid w:val="003F467B"/>
    <w:rsid w:val="003F482A"/>
    <w:rsid w:val="003F610A"/>
    <w:rsid w:val="003F67B6"/>
    <w:rsid w:val="003F69CE"/>
    <w:rsid w:val="003F7C52"/>
    <w:rsid w:val="003F7F09"/>
    <w:rsid w:val="00400908"/>
    <w:rsid w:val="00400917"/>
    <w:rsid w:val="00400E12"/>
    <w:rsid w:val="00401428"/>
    <w:rsid w:val="0040174F"/>
    <w:rsid w:val="004028F2"/>
    <w:rsid w:val="0040313A"/>
    <w:rsid w:val="004066C3"/>
    <w:rsid w:val="004077DA"/>
    <w:rsid w:val="00410049"/>
    <w:rsid w:val="0041139A"/>
    <w:rsid w:val="004122A4"/>
    <w:rsid w:val="00415511"/>
    <w:rsid w:val="004155C0"/>
    <w:rsid w:val="004162AA"/>
    <w:rsid w:val="00416F79"/>
    <w:rsid w:val="00417092"/>
    <w:rsid w:val="004176D5"/>
    <w:rsid w:val="00417B27"/>
    <w:rsid w:val="0042049B"/>
    <w:rsid w:val="0042049C"/>
    <w:rsid w:val="00420CDD"/>
    <w:rsid w:val="0042121D"/>
    <w:rsid w:val="004232A4"/>
    <w:rsid w:val="004247C0"/>
    <w:rsid w:val="00424FFA"/>
    <w:rsid w:val="004255F1"/>
    <w:rsid w:val="00426FB0"/>
    <w:rsid w:val="00427EE6"/>
    <w:rsid w:val="00430115"/>
    <w:rsid w:val="00431113"/>
    <w:rsid w:val="00431F4D"/>
    <w:rsid w:val="00432025"/>
    <w:rsid w:val="004325DB"/>
    <w:rsid w:val="00433CE1"/>
    <w:rsid w:val="0043473A"/>
    <w:rsid w:val="00434CB0"/>
    <w:rsid w:val="00434DF0"/>
    <w:rsid w:val="00435638"/>
    <w:rsid w:val="00435934"/>
    <w:rsid w:val="00437245"/>
    <w:rsid w:val="0043726C"/>
    <w:rsid w:val="00437456"/>
    <w:rsid w:val="00441D90"/>
    <w:rsid w:val="00442138"/>
    <w:rsid w:val="00443F1C"/>
    <w:rsid w:val="00444AD8"/>
    <w:rsid w:val="00445256"/>
    <w:rsid w:val="00445F23"/>
    <w:rsid w:val="004472B6"/>
    <w:rsid w:val="00447818"/>
    <w:rsid w:val="00450261"/>
    <w:rsid w:val="00451746"/>
    <w:rsid w:val="00451B75"/>
    <w:rsid w:val="0045296A"/>
    <w:rsid w:val="00452F2E"/>
    <w:rsid w:val="00454833"/>
    <w:rsid w:val="00455352"/>
    <w:rsid w:val="004558BB"/>
    <w:rsid w:val="00455BF2"/>
    <w:rsid w:val="004572F8"/>
    <w:rsid w:val="004578F4"/>
    <w:rsid w:val="00460193"/>
    <w:rsid w:val="00460593"/>
    <w:rsid w:val="004610A1"/>
    <w:rsid w:val="00461515"/>
    <w:rsid w:val="0046294F"/>
    <w:rsid w:val="00462D47"/>
    <w:rsid w:val="004634B9"/>
    <w:rsid w:val="004639A6"/>
    <w:rsid w:val="004660D2"/>
    <w:rsid w:val="004672DF"/>
    <w:rsid w:val="004675EA"/>
    <w:rsid w:val="00467F08"/>
    <w:rsid w:val="00471C29"/>
    <w:rsid w:val="004734D6"/>
    <w:rsid w:val="00474166"/>
    <w:rsid w:val="00475BBC"/>
    <w:rsid w:val="00475C57"/>
    <w:rsid w:val="00477214"/>
    <w:rsid w:val="00480357"/>
    <w:rsid w:val="00481702"/>
    <w:rsid w:val="004817F1"/>
    <w:rsid w:val="00482B37"/>
    <w:rsid w:val="00483C3F"/>
    <w:rsid w:val="0048406E"/>
    <w:rsid w:val="004841D2"/>
    <w:rsid w:val="004843BE"/>
    <w:rsid w:val="00485454"/>
    <w:rsid w:val="00485C3E"/>
    <w:rsid w:val="00490F06"/>
    <w:rsid w:val="0049233F"/>
    <w:rsid w:val="004927AD"/>
    <w:rsid w:val="00492C01"/>
    <w:rsid w:val="00494890"/>
    <w:rsid w:val="0049528C"/>
    <w:rsid w:val="00495C19"/>
    <w:rsid w:val="00495C46"/>
    <w:rsid w:val="00496CCA"/>
    <w:rsid w:val="0049717C"/>
    <w:rsid w:val="004A03AA"/>
    <w:rsid w:val="004A0AFF"/>
    <w:rsid w:val="004A0B5F"/>
    <w:rsid w:val="004A1905"/>
    <w:rsid w:val="004A19AC"/>
    <w:rsid w:val="004A2A45"/>
    <w:rsid w:val="004A2C62"/>
    <w:rsid w:val="004A44C1"/>
    <w:rsid w:val="004A500D"/>
    <w:rsid w:val="004A5743"/>
    <w:rsid w:val="004A7175"/>
    <w:rsid w:val="004B43D7"/>
    <w:rsid w:val="004B58EF"/>
    <w:rsid w:val="004B65A1"/>
    <w:rsid w:val="004B762B"/>
    <w:rsid w:val="004B7C05"/>
    <w:rsid w:val="004C0540"/>
    <w:rsid w:val="004C18E4"/>
    <w:rsid w:val="004C47DD"/>
    <w:rsid w:val="004C4B3D"/>
    <w:rsid w:val="004C55D2"/>
    <w:rsid w:val="004C5B2B"/>
    <w:rsid w:val="004C7C6E"/>
    <w:rsid w:val="004D09C2"/>
    <w:rsid w:val="004D0D4E"/>
    <w:rsid w:val="004D11DA"/>
    <w:rsid w:val="004D14FF"/>
    <w:rsid w:val="004D20D5"/>
    <w:rsid w:val="004D3D13"/>
    <w:rsid w:val="004D57FE"/>
    <w:rsid w:val="004D58D0"/>
    <w:rsid w:val="004D623A"/>
    <w:rsid w:val="004D6EEE"/>
    <w:rsid w:val="004E005F"/>
    <w:rsid w:val="004E01CF"/>
    <w:rsid w:val="004E0206"/>
    <w:rsid w:val="004E0C51"/>
    <w:rsid w:val="004E2127"/>
    <w:rsid w:val="004E4F71"/>
    <w:rsid w:val="004E6F96"/>
    <w:rsid w:val="004E703C"/>
    <w:rsid w:val="004E7219"/>
    <w:rsid w:val="004E7855"/>
    <w:rsid w:val="004F0342"/>
    <w:rsid w:val="004F1433"/>
    <w:rsid w:val="004F161C"/>
    <w:rsid w:val="004F282D"/>
    <w:rsid w:val="004F36A7"/>
    <w:rsid w:val="004F3AA5"/>
    <w:rsid w:val="004F5D8C"/>
    <w:rsid w:val="004F6D71"/>
    <w:rsid w:val="004F76D0"/>
    <w:rsid w:val="00500CDF"/>
    <w:rsid w:val="005024C8"/>
    <w:rsid w:val="00502A46"/>
    <w:rsid w:val="00502EE2"/>
    <w:rsid w:val="00503009"/>
    <w:rsid w:val="005053C9"/>
    <w:rsid w:val="00505566"/>
    <w:rsid w:val="00505959"/>
    <w:rsid w:val="005065B9"/>
    <w:rsid w:val="00506B32"/>
    <w:rsid w:val="0050715D"/>
    <w:rsid w:val="005103F8"/>
    <w:rsid w:val="00511941"/>
    <w:rsid w:val="005127FE"/>
    <w:rsid w:val="00512F6A"/>
    <w:rsid w:val="0051334D"/>
    <w:rsid w:val="005164B9"/>
    <w:rsid w:val="00517177"/>
    <w:rsid w:val="0051741A"/>
    <w:rsid w:val="00517AA8"/>
    <w:rsid w:val="00517C18"/>
    <w:rsid w:val="00523427"/>
    <w:rsid w:val="00523A6C"/>
    <w:rsid w:val="0052412A"/>
    <w:rsid w:val="00524D87"/>
    <w:rsid w:val="005252A6"/>
    <w:rsid w:val="00525DD6"/>
    <w:rsid w:val="00525DFD"/>
    <w:rsid w:val="00526AA4"/>
    <w:rsid w:val="00526EF8"/>
    <w:rsid w:val="00527361"/>
    <w:rsid w:val="005274D8"/>
    <w:rsid w:val="00527995"/>
    <w:rsid w:val="00527DE8"/>
    <w:rsid w:val="00530425"/>
    <w:rsid w:val="00533469"/>
    <w:rsid w:val="005339AA"/>
    <w:rsid w:val="00533EA3"/>
    <w:rsid w:val="0053499F"/>
    <w:rsid w:val="00535C74"/>
    <w:rsid w:val="00535FB7"/>
    <w:rsid w:val="0053621B"/>
    <w:rsid w:val="0053664D"/>
    <w:rsid w:val="00536AD3"/>
    <w:rsid w:val="00536E26"/>
    <w:rsid w:val="00540AA6"/>
    <w:rsid w:val="00540E0D"/>
    <w:rsid w:val="00542F4B"/>
    <w:rsid w:val="00542FA8"/>
    <w:rsid w:val="005440C1"/>
    <w:rsid w:val="005459DA"/>
    <w:rsid w:val="00546955"/>
    <w:rsid w:val="0054720E"/>
    <w:rsid w:val="00547A77"/>
    <w:rsid w:val="00547D10"/>
    <w:rsid w:val="00550072"/>
    <w:rsid w:val="005512D1"/>
    <w:rsid w:val="00553C33"/>
    <w:rsid w:val="00553DBE"/>
    <w:rsid w:val="00555A1C"/>
    <w:rsid w:val="0055606C"/>
    <w:rsid w:val="00560BC3"/>
    <w:rsid w:val="00560C0C"/>
    <w:rsid w:val="00560D89"/>
    <w:rsid w:val="00562A5E"/>
    <w:rsid w:val="005671E2"/>
    <w:rsid w:val="00567AC6"/>
    <w:rsid w:val="005706C2"/>
    <w:rsid w:val="00572403"/>
    <w:rsid w:val="005739EE"/>
    <w:rsid w:val="0057462F"/>
    <w:rsid w:val="00574C58"/>
    <w:rsid w:val="0057550C"/>
    <w:rsid w:val="00575820"/>
    <w:rsid w:val="00575E1D"/>
    <w:rsid w:val="00576976"/>
    <w:rsid w:val="00576E2E"/>
    <w:rsid w:val="00577569"/>
    <w:rsid w:val="005806BD"/>
    <w:rsid w:val="00580DC7"/>
    <w:rsid w:val="00581755"/>
    <w:rsid w:val="005822A5"/>
    <w:rsid w:val="00582B9C"/>
    <w:rsid w:val="005831B2"/>
    <w:rsid w:val="00584C76"/>
    <w:rsid w:val="005858B8"/>
    <w:rsid w:val="005866F2"/>
    <w:rsid w:val="00587299"/>
    <w:rsid w:val="005902AB"/>
    <w:rsid w:val="0059053D"/>
    <w:rsid w:val="005905E4"/>
    <w:rsid w:val="00591528"/>
    <w:rsid w:val="0059179D"/>
    <w:rsid w:val="00591D02"/>
    <w:rsid w:val="005922EC"/>
    <w:rsid w:val="0059260C"/>
    <w:rsid w:val="00593FAF"/>
    <w:rsid w:val="00594EDE"/>
    <w:rsid w:val="00595614"/>
    <w:rsid w:val="005964A2"/>
    <w:rsid w:val="0059695A"/>
    <w:rsid w:val="00597B93"/>
    <w:rsid w:val="005A1165"/>
    <w:rsid w:val="005A1FF5"/>
    <w:rsid w:val="005A3912"/>
    <w:rsid w:val="005A419B"/>
    <w:rsid w:val="005A4548"/>
    <w:rsid w:val="005A5FD0"/>
    <w:rsid w:val="005A79FE"/>
    <w:rsid w:val="005B0279"/>
    <w:rsid w:val="005B0A50"/>
    <w:rsid w:val="005B0A5E"/>
    <w:rsid w:val="005B1115"/>
    <w:rsid w:val="005B12AF"/>
    <w:rsid w:val="005B175D"/>
    <w:rsid w:val="005B19D4"/>
    <w:rsid w:val="005B270D"/>
    <w:rsid w:val="005B2D9E"/>
    <w:rsid w:val="005B32AD"/>
    <w:rsid w:val="005B360F"/>
    <w:rsid w:val="005B3DA5"/>
    <w:rsid w:val="005B55CF"/>
    <w:rsid w:val="005B7750"/>
    <w:rsid w:val="005C081D"/>
    <w:rsid w:val="005C10FA"/>
    <w:rsid w:val="005C1938"/>
    <w:rsid w:val="005C19B3"/>
    <w:rsid w:val="005C3B0A"/>
    <w:rsid w:val="005C3F5E"/>
    <w:rsid w:val="005C5711"/>
    <w:rsid w:val="005C5AE0"/>
    <w:rsid w:val="005C74F5"/>
    <w:rsid w:val="005C75FA"/>
    <w:rsid w:val="005C78BE"/>
    <w:rsid w:val="005C7BA1"/>
    <w:rsid w:val="005C7EB7"/>
    <w:rsid w:val="005D0E5F"/>
    <w:rsid w:val="005D1D1B"/>
    <w:rsid w:val="005D1F61"/>
    <w:rsid w:val="005D3D49"/>
    <w:rsid w:val="005D3EAC"/>
    <w:rsid w:val="005D4A86"/>
    <w:rsid w:val="005D514D"/>
    <w:rsid w:val="005D550D"/>
    <w:rsid w:val="005D595A"/>
    <w:rsid w:val="005D59B0"/>
    <w:rsid w:val="005D6117"/>
    <w:rsid w:val="005D6921"/>
    <w:rsid w:val="005D6C59"/>
    <w:rsid w:val="005D73CB"/>
    <w:rsid w:val="005D74C5"/>
    <w:rsid w:val="005D75D9"/>
    <w:rsid w:val="005E048B"/>
    <w:rsid w:val="005E279D"/>
    <w:rsid w:val="005E2AAC"/>
    <w:rsid w:val="005E34FD"/>
    <w:rsid w:val="005E4CFF"/>
    <w:rsid w:val="005E5742"/>
    <w:rsid w:val="005F0F7C"/>
    <w:rsid w:val="005F1458"/>
    <w:rsid w:val="005F1BD0"/>
    <w:rsid w:val="005F2227"/>
    <w:rsid w:val="005F2236"/>
    <w:rsid w:val="005F2FD9"/>
    <w:rsid w:val="005F33B1"/>
    <w:rsid w:val="005F5FE7"/>
    <w:rsid w:val="005F64C3"/>
    <w:rsid w:val="005F667E"/>
    <w:rsid w:val="005F71E7"/>
    <w:rsid w:val="005F792A"/>
    <w:rsid w:val="006019B6"/>
    <w:rsid w:val="006021AD"/>
    <w:rsid w:val="0060240F"/>
    <w:rsid w:val="00605D4D"/>
    <w:rsid w:val="00606C05"/>
    <w:rsid w:val="00610E2C"/>
    <w:rsid w:val="00612261"/>
    <w:rsid w:val="00613A92"/>
    <w:rsid w:val="00616F07"/>
    <w:rsid w:val="00617029"/>
    <w:rsid w:val="00617050"/>
    <w:rsid w:val="00620146"/>
    <w:rsid w:val="0062035B"/>
    <w:rsid w:val="00621F12"/>
    <w:rsid w:val="00622525"/>
    <w:rsid w:val="00622F56"/>
    <w:rsid w:val="0062385F"/>
    <w:rsid w:val="0062590A"/>
    <w:rsid w:val="00625B5E"/>
    <w:rsid w:val="006261CC"/>
    <w:rsid w:val="00627274"/>
    <w:rsid w:val="00627C4D"/>
    <w:rsid w:val="0063174D"/>
    <w:rsid w:val="00631822"/>
    <w:rsid w:val="00632F2B"/>
    <w:rsid w:val="00633764"/>
    <w:rsid w:val="00636F20"/>
    <w:rsid w:val="00642B4F"/>
    <w:rsid w:val="00643258"/>
    <w:rsid w:val="006446E3"/>
    <w:rsid w:val="00645189"/>
    <w:rsid w:val="0064532F"/>
    <w:rsid w:val="006457A1"/>
    <w:rsid w:val="006461D9"/>
    <w:rsid w:val="00646F38"/>
    <w:rsid w:val="0064719D"/>
    <w:rsid w:val="0064734C"/>
    <w:rsid w:val="006502E0"/>
    <w:rsid w:val="00650D9D"/>
    <w:rsid w:val="00651889"/>
    <w:rsid w:val="00652A8D"/>
    <w:rsid w:val="00652BE8"/>
    <w:rsid w:val="00653C48"/>
    <w:rsid w:val="0065468C"/>
    <w:rsid w:val="006562BA"/>
    <w:rsid w:val="0065797E"/>
    <w:rsid w:val="00660106"/>
    <w:rsid w:val="0066058D"/>
    <w:rsid w:val="00661BF2"/>
    <w:rsid w:val="00662401"/>
    <w:rsid w:val="0066552B"/>
    <w:rsid w:val="00665C06"/>
    <w:rsid w:val="00670DCB"/>
    <w:rsid w:val="0067397B"/>
    <w:rsid w:val="00674E13"/>
    <w:rsid w:val="00675541"/>
    <w:rsid w:val="00675856"/>
    <w:rsid w:val="00675B53"/>
    <w:rsid w:val="00677938"/>
    <w:rsid w:val="00681268"/>
    <w:rsid w:val="00682F2C"/>
    <w:rsid w:val="006831E5"/>
    <w:rsid w:val="00683320"/>
    <w:rsid w:val="00683DBB"/>
    <w:rsid w:val="00683EBD"/>
    <w:rsid w:val="00686F66"/>
    <w:rsid w:val="006877B9"/>
    <w:rsid w:val="00691434"/>
    <w:rsid w:val="0069168A"/>
    <w:rsid w:val="00692A7B"/>
    <w:rsid w:val="0069348E"/>
    <w:rsid w:val="00695698"/>
    <w:rsid w:val="00696447"/>
    <w:rsid w:val="006964C7"/>
    <w:rsid w:val="00696638"/>
    <w:rsid w:val="00696E15"/>
    <w:rsid w:val="006A0493"/>
    <w:rsid w:val="006A2103"/>
    <w:rsid w:val="006A22BC"/>
    <w:rsid w:val="006A3552"/>
    <w:rsid w:val="006A3AB5"/>
    <w:rsid w:val="006A601D"/>
    <w:rsid w:val="006A6124"/>
    <w:rsid w:val="006A624B"/>
    <w:rsid w:val="006A6387"/>
    <w:rsid w:val="006A7990"/>
    <w:rsid w:val="006B0EEB"/>
    <w:rsid w:val="006B1E14"/>
    <w:rsid w:val="006B2C65"/>
    <w:rsid w:val="006B3B21"/>
    <w:rsid w:val="006B5887"/>
    <w:rsid w:val="006B69BD"/>
    <w:rsid w:val="006B6AE4"/>
    <w:rsid w:val="006B7367"/>
    <w:rsid w:val="006B7572"/>
    <w:rsid w:val="006C015C"/>
    <w:rsid w:val="006C1140"/>
    <w:rsid w:val="006C155C"/>
    <w:rsid w:val="006C238A"/>
    <w:rsid w:val="006C2CA7"/>
    <w:rsid w:val="006C387C"/>
    <w:rsid w:val="006C4866"/>
    <w:rsid w:val="006C4A37"/>
    <w:rsid w:val="006C5956"/>
    <w:rsid w:val="006C7DB2"/>
    <w:rsid w:val="006D0426"/>
    <w:rsid w:val="006D0B94"/>
    <w:rsid w:val="006D0C57"/>
    <w:rsid w:val="006D11FB"/>
    <w:rsid w:val="006D15D1"/>
    <w:rsid w:val="006D1B90"/>
    <w:rsid w:val="006D263E"/>
    <w:rsid w:val="006D341B"/>
    <w:rsid w:val="006D355D"/>
    <w:rsid w:val="006D6837"/>
    <w:rsid w:val="006D6854"/>
    <w:rsid w:val="006D6F0B"/>
    <w:rsid w:val="006D6FFB"/>
    <w:rsid w:val="006D709A"/>
    <w:rsid w:val="006D7AAD"/>
    <w:rsid w:val="006E1693"/>
    <w:rsid w:val="006E256A"/>
    <w:rsid w:val="006E288A"/>
    <w:rsid w:val="006E3A25"/>
    <w:rsid w:val="006E502E"/>
    <w:rsid w:val="006E5986"/>
    <w:rsid w:val="006F108E"/>
    <w:rsid w:val="006F14F5"/>
    <w:rsid w:val="006F1A07"/>
    <w:rsid w:val="006F2ECF"/>
    <w:rsid w:val="006F31E2"/>
    <w:rsid w:val="006F36F5"/>
    <w:rsid w:val="006F3A2C"/>
    <w:rsid w:val="006F3E40"/>
    <w:rsid w:val="006F4936"/>
    <w:rsid w:val="006F494A"/>
    <w:rsid w:val="006F4E4C"/>
    <w:rsid w:val="006F5D33"/>
    <w:rsid w:val="006F6B9B"/>
    <w:rsid w:val="006F6C7A"/>
    <w:rsid w:val="007002B3"/>
    <w:rsid w:val="00701117"/>
    <w:rsid w:val="00701BB6"/>
    <w:rsid w:val="00702324"/>
    <w:rsid w:val="00702E52"/>
    <w:rsid w:val="00705249"/>
    <w:rsid w:val="007053F0"/>
    <w:rsid w:val="00707113"/>
    <w:rsid w:val="007137D0"/>
    <w:rsid w:val="00713B42"/>
    <w:rsid w:val="00716CBF"/>
    <w:rsid w:val="0071761C"/>
    <w:rsid w:val="00717767"/>
    <w:rsid w:val="00720799"/>
    <w:rsid w:val="00720A58"/>
    <w:rsid w:val="00721423"/>
    <w:rsid w:val="007214AF"/>
    <w:rsid w:val="00721B60"/>
    <w:rsid w:val="00722366"/>
    <w:rsid w:val="00723204"/>
    <w:rsid w:val="00723B45"/>
    <w:rsid w:val="00723E33"/>
    <w:rsid w:val="007240BF"/>
    <w:rsid w:val="007255D7"/>
    <w:rsid w:val="0072671F"/>
    <w:rsid w:val="0072791D"/>
    <w:rsid w:val="00730886"/>
    <w:rsid w:val="007316D8"/>
    <w:rsid w:val="00731F2B"/>
    <w:rsid w:val="0073330B"/>
    <w:rsid w:val="0073379F"/>
    <w:rsid w:val="00733C3E"/>
    <w:rsid w:val="00733D5E"/>
    <w:rsid w:val="0073531D"/>
    <w:rsid w:val="00735B34"/>
    <w:rsid w:val="007366EC"/>
    <w:rsid w:val="00736F50"/>
    <w:rsid w:val="00737BE4"/>
    <w:rsid w:val="00737C05"/>
    <w:rsid w:val="00740603"/>
    <w:rsid w:val="00743BA3"/>
    <w:rsid w:val="00743DCF"/>
    <w:rsid w:val="007440B1"/>
    <w:rsid w:val="00744632"/>
    <w:rsid w:val="007468E2"/>
    <w:rsid w:val="0074748B"/>
    <w:rsid w:val="00750E42"/>
    <w:rsid w:val="00751AD2"/>
    <w:rsid w:val="007530EB"/>
    <w:rsid w:val="00753509"/>
    <w:rsid w:val="00754325"/>
    <w:rsid w:val="007546B7"/>
    <w:rsid w:val="0075654F"/>
    <w:rsid w:val="00757C9F"/>
    <w:rsid w:val="00757EC7"/>
    <w:rsid w:val="00761115"/>
    <w:rsid w:val="0076298B"/>
    <w:rsid w:val="00762CF1"/>
    <w:rsid w:val="0076319B"/>
    <w:rsid w:val="00765E84"/>
    <w:rsid w:val="00765FD2"/>
    <w:rsid w:val="00766638"/>
    <w:rsid w:val="00766D2D"/>
    <w:rsid w:val="007677A0"/>
    <w:rsid w:val="00767896"/>
    <w:rsid w:val="007703D0"/>
    <w:rsid w:val="00770D75"/>
    <w:rsid w:val="007715DD"/>
    <w:rsid w:val="00771AEC"/>
    <w:rsid w:val="00772150"/>
    <w:rsid w:val="00773D06"/>
    <w:rsid w:val="00773FCE"/>
    <w:rsid w:val="0077422D"/>
    <w:rsid w:val="007747B6"/>
    <w:rsid w:val="00774DFB"/>
    <w:rsid w:val="00777134"/>
    <w:rsid w:val="007776C5"/>
    <w:rsid w:val="00777C6F"/>
    <w:rsid w:val="0078052E"/>
    <w:rsid w:val="00780F59"/>
    <w:rsid w:val="007817E1"/>
    <w:rsid w:val="007921D6"/>
    <w:rsid w:val="00792FEB"/>
    <w:rsid w:val="007935EE"/>
    <w:rsid w:val="00794702"/>
    <w:rsid w:val="00794AF4"/>
    <w:rsid w:val="00797DF0"/>
    <w:rsid w:val="007A0003"/>
    <w:rsid w:val="007A02BD"/>
    <w:rsid w:val="007A14DD"/>
    <w:rsid w:val="007A1666"/>
    <w:rsid w:val="007A3667"/>
    <w:rsid w:val="007A40E6"/>
    <w:rsid w:val="007A42D3"/>
    <w:rsid w:val="007A49A3"/>
    <w:rsid w:val="007A5CCE"/>
    <w:rsid w:val="007A5F79"/>
    <w:rsid w:val="007A6354"/>
    <w:rsid w:val="007A6B2D"/>
    <w:rsid w:val="007B0FF2"/>
    <w:rsid w:val="007B13D5"/>
    <w:rsid w:val="007B4267"/>
    <w:rsid w:val="007B5B81"/>
    <w:rsid w:val="007B5E83"/>
    <w:rsid w:val="007B6076"/>
    <w:rsid w:val="007B6C4A"/>
    <w:rsid w:val="007B6D6C"/>
    <w:rsid w:val="007B7596"/>
    <w:rsid w:val="007B763F"/>
    <w:rsid w:val="007C163A"/>
    <w:rsid w:val="007C2405"/>
    <w:rsid w:val="007C39BC"/>
    <w:rsid w:val="007C3D0A"/>
    <w:rsid w:val="007C44B2"/>
    <w:rsid w:val="007C6198"/>
    <w:rsid w:val="007C75AB"/>
    <w:rsid w:val="007C75F0"/>
    <w:rsid w:val="007C7825"/>
    <w:rsid w:val="007D26A0"/>
    <w:rsid w:val="007D2F5A"/>
    <w:rsid w:val="007D3747"/>
    <w:rsid w:val="007D3E14"/>
    <w:rsid w:val="007D48A7"/>
    <w:rsid w:val="007D5CA3"/>
    <w:rsid w:val="007D6FA8"/>
    <w:rsid w:val="007E01DE"/>
    <w:rsid w:val="007E0C90"/>
    <w:rsid w:val="007E1A2E"/>
    <w:rsid w:val="007E1D0A"/>
    <w:rsid w:val="007E2F4E"/>
    <w:rsid w:val="007E36AF"/>
    <w:rsid w:val="007E48C5"/>
    <w:rsid w:val="007E4F56"/>
    <w:rsid w:val="007E5565"/>
    <w:rsid w:val="007E59D2"/>
    <w:rsid w:val="007E5D55"/>
    <w:rsid w:val="007E6109"/>
    <w:rsid w:val="007E6EE3"/>
    <w:rsid w:val="007E7774"/>
    <w:rsid w:val="007E77E4"/>
    <w:rsid w:val="007E7E33"/>
    <w:rsid w:val="007F175F"/>
    <w:rsid w:val="007F17F5"/>
    <w:rsid w:val="007F19A0"/>
    <w:rsid w:val="007F3888"/>
    <w:rsid w:val="007F4083"/>
    <w:rsid w:val="007F4581"/>
    <w:rsid w:val="007F5097"/>
    <w:rsid w:val="007F52CA"/>
    <w:rsid w:val="007F57F1"/>
    <w:rsid w:val="007F5B06"/>
    <w:rsid w:val="007F5D49"/>
    <w:rsid w:val="007F6E59"/>
    <w:rsid w:val="00800635"/>
    <w:rsid w:val="00802965"/>
    <w:rsid w:val="00804817"/>
    <w:rsid w:val="008050FF"/>
    <w:rsid w:val="008070A1"/>
    <w:rsid w:val="00807D3F"/>
    <w:rsid w:val="008108C3"/>
    <w:rsid w:val="008121DA"/>
    <w:rsid w:val="00813C9D"/>
    <w:rsid w:val="00815630"/>
    <w:rsid w:val="00815AD0"/>
    <w:rsid w:val="00816B88"/>
    <w:rsid w:val="0082067B"/>
    <w:rsid w:val="008209B9"/>
    <w:rsid w:val="00820D21"/>
    <w:rsid w:val="00821A50"/>
    <w:rsid w:val="00821AF0"/>
    <w:rsid w:val="00821BA6"/>
    <w:rsid w:val="00821DD3"/>
    <w:rsid w:val="0082204A"/>
    <w:rsid w:val="008229E4"/>
    <w:rsid w:val="00822CA9"/>
    <w:rsid w:val="00822F3B"/>
    <w:rsid w:val="00822F7C"/>
    <w:rsid w:val="008236BB"/>
    <w:rsid w:val="00824193"/>
    <w:rsid w:val="0082431D"/>
    <w:rsid w:val="008250A8"/>
    <w:rsid w:val="0082577C"/>
    <w:rsid w:val="008257D6"/>
    <w:rsid w:val="008260C5"/>
    <w:rsid w:val="008306BB"/>
    <w:rsid w:val="00831C1D"/>
    <w:rsid w:val="00833106"/>
    <w:rsid w:val="00833246"/>
    <w:rsid w:val="00834FAB"/>
    <w:rsid w:val="008352A1"/>
    <w:rsid w:val="00835334"/>
    <w:rsid w:val="008355B7"/>
    <w:rsid w:val="00836104"/>
    <w:rsid w:val="00836B34"/>
    <w:rsid w:val="00841497"/>
    <w:rsid w:val="008424E3"/>
    <w:rsid w:val="00842603"/>
    <w:rsid w:val="0084288E"/>
    <w:rsid w:val="00842C10"/>
    <w:rsid w:val="008438F8"/>
    <w:rsid w:val="00843D16"/>
    <w:rsid w:val="00844C0F"/>
    <w:rsid w:val="00845EBB"/>
    <w:rsid w:val="008466F8"/>
    <w:rsid w:val="00847EDB"/>
    <w:rsid w:val="00850A89"/>
    <w:rsid w:val="00851133"/>
    <w:rsid w:val="0085242B"/>
    <w:rsid w:val="00852C53"/>
    <w:rsid w:val="00853699"/>
    <w:rsid w:val="00854393"/>
    <w:rsid w:val="0085674C"/>
    <w:rsid w:val="00856A4E"/>
    <w:rsid w:val="00856B8B"/>
    <w:rsid w:val="00856D0C"/>
    <w:rsid w:val="00860AC5"/>
    <w:rsid w:val="00861D0C"/>
    <w:rsid w:val="00861F5E"/>
    <w:rsid w:val="00863064"/>
    <w:rsid w:val="008632E5"/>
    <w:rsid w:val="008633E1"/>
    <w:rsid w:val="00865077"/>
    <w:rsid w:val="00865BCA"/>
    <w:rsid w:val="00866293"/>
    <w:rsid w:val="008662DD"/>
    <w:rsid w:val="008673AE"/>
    <w:rsid w:val="00867741"/>
    <w:rsid w:val="008700F2"/>
    <w:rsid w:val="00870370"/>
    <w:rsid w:val="00871413"/>
    <w:rsid w:val="00871AAD"/>
    <w:rsid w:val="008720F2"/>
    <w:rsid w:val="0087334B"/>
    <w:rsid w:val="0087522D"/>
    <w:rsid w:val="00875422"/>
    <w:rsid w:val="0087549B"/>
    <w:rsid w:val="00876024"/>
    <w:rsid w:val="0087649A"/>
    <w:rsid w:val="008766D3"/>
    <w:rsid w:val="00877B99"/>
    <w:rsid w:val="00877DAD"/>
    <w:rsid w:val="00877EE6"/>
    <w:rsid w:val="0088229B"/>
    <w:rsid w:val="00882BE6"/>
    <w:rsid w:val="00882D33"/>
    <w:rsid w:val="00883054"/>
    <w:rsid w:val="00883A9A"/>
    <w:rsid w:val="00883DC2"/>
    <w:rsid w:val="00883FFC"/>
    <w:rsid w:val="0088528D"/>
    <w:rsid w:val="00885502"/>
    <w:rsid w:val="00885AAB"/>
    <w:rsid w:val="00885D6F"/>
    <w:rsid w:val="0088719F"/>
    <w:rsid w:val="0088744D"/>
    <w:rsid w:val="00890E93"/>
    <w:rsid w:val="008913FF"/>
    <w:rsid w:val="0089206A"/>
    <w:rsid w:val="008926EC"/>
    <w:rsid w:val="00893F86"/>
    <w:rsid w:val="0089532E"/>
    <w:rsid w:val="0089601D"/>
    <w:rsid w:val="0089686B"/>
    <w:rsid w:val="008969F5"/>
    <w:rsid w:val="00897444"/>
    <w:rsid w:val="00897655"/>
    <w:rsid w:val="008A0BA1"/>
    <w:rsid w:val="008A0BAF"/>
    <w:rsid w:val="008A1833"/>
    <w:rsid w:val="008A398B"/>
    <w:rsid w:val="008A3F6B"/>
    <w:rsid w:val="008A4B26"/>
    <w:rsid w:val="008A6221"/>
    <w:rsid w:val="008A6549"/>
    <w:rsid w:val="008A6F26"/>
    <w:rsid w:val="008B096A"/>
    <w:rsid w:val="008B0E52"/>
    <w:rsid w:val="008B1C2C"/>
    <w:rsid w:val="008B27E1"/>
    <w:rsid w:val="008B3668"/>
    <w:rsid w:val="008B3A99"/>
    <w:rsid w:val="008B3C3F"/>
    <w:rsid w:val="008B43F0"/>
    <w:rsid w:val="008B568F"/>
    <w:rsid w:val="008C0306"/>
    <w:rsid w:val="008C032F"/>
    <w:rsid w:val="008C0AE4"/>
    <w:rsid w:val="008C0B96"/>
    <w:rsid w:val="008C1AAE"/>
    <w:rsid w:val="008C27A4"/>
    <w:rsid w:val="008C3D6E"/>
    <w:rsid w:val="008C49CF"/>
    <w:rsid w:val="008C5AAA"/>
    <w:rsid w:val="008C6247"/>
    <w:rsid w:val="008C631A"/>
    <w:rsid w:val="008C6E59"/>
    <w:rsid w:val="008C7AD3"/>
    <w:rsid w:val="008D22E1"/>
    <w:rsid w:val="008D4325"/>
    <w:rsid w:val="008D4EB2"/>
    <w:rsid w:val="008D5BD1"/>
    <w:rsid w:val="008D5CC2"/>
    <w:rsid w:val="008D6166"/>
    <w:rsid w:val="008D7DE9"/>
    <w:rsid w:val="008E010D"/>
    <w:rsid w:val="008E13CB"/>
    <w:rsid w:val="008E1A0D"/>
    <w:rsid w:val="008E1FF2"/>
    <w:rsid w:val="008E2CE4"/>
    <w:rsid w:val="008E3ED2"/>
    <w:rsid w:val="008E4ED7"/>
    <w:rsid w:val="008E655E"/>
    <w:rsid w:val="008E72CC"/>
    <w:rsid w:val="008F00AD"/>
    <w:rsid w:val="008F02AE"/>
    <w:rsid w:val="008F10C6"/>
    <w:rsid w:val="008F2A29"/>
    <w:rsid w:val="008F3A06"/>
    <w:rsid w:val="008F4C72"/>
    <w:rsid w:val="008F4F02"/>
    <w:rsid w:val="008F55BC"/>
    <w:rsid w:val="008F658D"/>
    <w:rsid w:val="008F6BA4"/>
    <w:rsid w:val="008F7D38"/>
    <w:rsid w:val="009015D3"/>
    <w:rsid w:val="0090247A"/>
    <w:rsid w:val="00902A8C"/>
    <w:rsid w:val="00903965"/>
    <w:rsid w:val="00903C17"/>
    <w:rsid w:val="00904677"/>
    <w:rsid w:val="009052B5"/>
    <w:rsid w:val="00905A17"/>
    <w:rsid w:val="00905DCE"/>
    <w:rsid w:val="00906447"/>
    <w:rsid w:val="00906718"/>
    <w:rsid w:val="00906B61"/>
    <w:rsid w:val="00907565"/>
    <w:rsid w:val="00907A40"/>
    <w:rsid w:val="00910B3F"/>
    <w:rsid w:val="00910DEC"/>
    <w:rsid w:val="00911097"/>
    <w:rsid w:val="00911D7C"/>
    <w:rsid w:val="009122FE"/>
    <w:rsid w:val="009125F5"/>
    <w:rsid w:val="00913938"/>
    <w:rsid w:val="009170A1"/>
    <w:rsid w:val="0091762B"/>
    <w:rsid w:val="00917F4F"/>
    <w:rsid w:val="00920A5F"/>
    <w:rsid w:val="00921188"/>
    <w:rsid w:val="009216B1"/>
    <w:rsid w:val="00921A14"/>
    <w:rsid w:val="0092252B"/>
    <w:rsid w:val="00922937"/>
    <w:rsid w:val="0092321E"/>
    <w:rsid w:val="00923540"/>
    <w:rsid w:val="00923CC7"/>
    <w:rsid w:val="0092475F"/>
    <w:rsid w:val="00924888"/>
    <w:rsid w:val="00925189"/>
    <w:rsid w:val="00925BD4"/>
    <w:rsid w:val="00926F3C"/>
    <w:rsid w:val="009271E6"/>
    <w:rsid w:val="009338EF"/>
    <w:rsid w:val="00934520"/>
    <w:rsid w:val="0093468D"/>
    <w:rsid w:val="009375C7"/>
    <w:rsid w:val="00937D03"/>
    <w:rsid w:val="00940D6D"/>
    <w:rsid w:val="00941F1F"/>
    <w:rsid w:val="00941F9A"/>
    <w:rsid w:val="00942675"/>
    <w:rsid w:val="00943882"/>
    <w:rsid w:val="00943F8E"/>
    <w:rsid w:val="00944137"/>
    <w:rsid w:val="00945180"/>
    <w:rsid w:val="009468AE"/>
    <w:rsid w:val="009519C0"/>
    <w:rsid w:val="009603FB"/>
    <w:rsid w:val="0096254A"/>
    <w:rsid w:val="00962635"/>
    <w:rsid w:val="00962A6F"/>
    <w:rsid w:val="00963824"/>
    <w:rsid w:val="009645AA"/>
    <w:rsid w:val="00964A41"/>
    <w:rsid w:val="00965028"/>
    <w:rsid w:val="0096543E"/>
    <w:rsid w:val="0096663F"/>
    <w:rsid w:val="00967077"/>
    <w:rsid w:val="0096763A"/>
    <w:rsid w:val="00967FCE"/>
    <w:rsid w:val="00972EC1"/>
    <w:rsid w:val="00973585"/>
    <w:rsid w:val="0097445B"/>
    <w:rsid w:val="00974D81"/>
    <w:rsid w:val="0097543D"/>
    <w:rsid w:val="00975513"/>
    <w:rsid w:val="0097646C"/>
    <w:rsid w:val="00980A4A"/>
    <w:rsid w:val="00982178"/>
    <w:rsid w:val="00982410"/>
    <w:rsid w:val="00982D02"/>
    <w:rsid w:val="00982EA2"/>
    <w:rsid w:val="009839BC"/>
    <w:rsid w:val="009849C5"/>
    <w:rsid w:val="009908CA"/>
    <w:rsid w:val="0099116A"/>
    <w:rsid w:val="00993B73"/>
    <w:rsid w:val="00996B91"/>
    <w:rsid w:val="009A034A"/>
    <w:rsid w:val="009A03E2"/>
    <w:rsid w:val="009A062F"/>
    <w:rsid w:val="009A0ADD"/>
    <w:rsid w:val="009A463F"/>
    <w:rsid w:val="009A4C27"/>
    <w:rsid w:val="009A531B"/>
    <w:rsid w:val="009A5440"/>
    <w:rsid w:val="009A54E3"/>
    <w:rsid w:val="009A55E5"/>
    <w:rsid w:val="009A578B"/>
    <w:rsid w:val="009A5D54"/>
    <w:rsid w:val="009A6883"/>
    <w:rsid w:val="009A6E7D"/>
    <w:rsid w:val="009B09AF"/>
    <w:rsid w:val="009B0F50"/>
    <w:rsid w:val="009B11AA"/>
    <w:rsid w:val="009B3486"/>
    <w:rsid w:val="009B3898"/>
    <w:rsid w:val="009B48AB"/>
    <w:rsid w:val="009B4DE1"/>
    <w:rsid w:val="009C41D1"/>
    <w:rsid w:val="009C4687"/>
    <w:rsid w:val="009C5923"/>
    <w:rsid w:val="009C60CF"/>
    <w:rsid w:val="009D025A"/>
    <w:rsid w:val="009D1972"/>
    <w:rsid w:val="009D3B53"/>
    <w:rsid w:val="009D454A"/>
    <w:rsid w:val="009D4564"/>
    <w:rsid w:val="009D701E"/>
    <w:rsid w:val="009D7ADD"/>
    <w:rsid w:val="009E0CF3"/>
    <w:rsid w:val="009E1BC9"/>
    <w:rsid w:val="009E206D"/>
    <w:rsid w:val="009E2566"/>
    <w:rsid w:val="009E27A0"/>
    <w:rsid w:val="009E3726"/>
    <w:rsid w:val="009E3FBE"/>
    <w:rsid w:val="009E6842"/>
    <w:rsid w:val="009E69A1"/>
    <w:rsid w:val="009E6C1A"/>
    <w:rsid w:val="009F2818"/>
    <w:rsid w:val="009F29DA"/>
    <w:rsid w:val="009F3613"/>
    <w:rsid w:val="009F4169"/>
    <w:rsid w:val="009F4582"/>
    <w:rsid w:val="009F4EE1"/>
    <w:rsid w:val="009F5855"/>
    <w:rsid w:val="009F7934"/>
    <w:rsid w:val="00A01077"/>
    <w:rsid w:val="00A01590"/>
    <w:rsid w:val="00A024D3"/>
    <w:rsid w:val="00A02592"/>
    <w:rsid w:val="00A02AD6"/>
    <w:rsid w:val="00A034B8"/>
    <w:rsid w:val="00A0383D"/>
    <w:rsid w:val="00A049A4"/>
    <w:rsid w:val="00A04DF1"/>
    <w:rsid w:val="00A0500F"/>
    <w:rsid w:val="00A06255"/>
    <w:rsid w:val="00A07306"/>
    <w:rsid w:val="00A07BBD"/>
    <w:rsid w:val="00A07D23"/>
    <w:rsid w:val="00A11043"/>
    <w:rsid w:val="00A11A14"/>
    <w:rsid w:val="00A136FC"/>
    <w:rsid w:val="00A13ADE"/>
    <w:rsid w:val="00A14514"/>
    <w:rsid w:val="00A14C09"/>
    <w:rsid w:val="00A14F8D"/>
    <w:rsid w:val="00A15617"/>
    <w:rsid w:val="00A169D2"/>
    <w:rsid w:val="00A16CF6"/>
    <w:rsid w:val="00A21158"/>
    <w:rsid w:val="00A215E4"/>
    <w:rsid w:val="00A235E0"/>
    <w:rsid w:val="00A26880"/>
    <w:rsid w:val="00A31685"/>
    <w:rsid w:val="00A3387A"/>
    <w:rsid w:val="00A347F8"/>
    <w:rsid w:val="00A36BB7"/>
    <w:rsid w:val="00A40159"/>
    <w:rsid w:val="00A403FD"/>
    <w:rsid w:val="00A405F7"/>
    <w:rsid w:val="00A41B45"/>
    <w:rsid w:val="00A42668"/>
    <w:rsid w:val="00A42E01"/>
    <w:rsid w:val="00A4339F"/>
    <w:rsid w:val="00A4365C"/>
    <w:rsid w:val="00A4395E"/>
    <w:rsid w:val="00A439D1"/>
    <w:rsid w:val="00A443EE"/>
    <w:rsid w:val="00A44C35"/>
    <w:rsid w:val="00A4501F"/>
    <w:rsid w:val="00A45C21"/>
    <w:rsid w:val="00A45C53"/>
    <w:rsid w:val="00A46D49"/>
    <w:rsid w:val="00A47BBB"/>
    <w:rsid w:val="00A47EDA"/>
    <w:rsid w:val="00A50537"/>
    <w:rsid w:val="00A51B8B"/>
    <w:rsid w:val="00A52307"/>
    <w:rsid w:val="00A53013"/>
    <w:rsid w:val="00A53E1F"/>
    <w:rsid w:val="00A56EDA"/>
    <w:rsid w:val="00A57030"/>
    <w:rsid w:val="00A57550"/>
    <w:rsid w:val="00A60428"/>
    <w:rsid w:val="00A60EBF"/>
    <w:rsid w:val="00A636EE"/>
    <w:rsid w:val="00A64478"/>
    <w:rsid w:val="00A64665"/>
    <w:rsid w:val="00A65660"/>
    <w:rsid w:val="00A65B06"/>
    <w:rsid w:val="00A65D3C"/>
    <w:rsid w:val="00A66171"/>
    <w:rsid w:val="00A667E6"/>
    <w:rsid w:val="00A67450"/>
    <w:rsid w:val="00A67E0A"/>
    <w:rsid w:val="00A71F11"/>
    <w:rsid w:val="00A72727"/>
    <w:rsid w:val="00A727FB"/>
    <w:rsid w:val="00A72DF7"/>
    <w:rsid w:val="00A7337C"/>
    <w:rsid w:val="00A73E0A"/>
    <w:rsid w:val="00A75449"/>
    <w:rsid w:val="00A77436"/>
    <w:rsid w:val="00A802DE"/>
    <w:rsid w:val="00A80E28"/>
    <w:rsid w:val="00A8157C"/>
    <w:rsid w:val="00A83F40"/>
    <w:rsid w:val="00A8497F"/>
    <w:rsid w:val="00A8503B"/>
    <w:rsid w:val="00A86E08"/>
    <w:rsid w:val="00A87043"/>
    <w:rsid w:val="00A870B5"/>
    <w:rsid w:val="00A87296"/>
    <w:rsid w:val="00A87809"/>
    <w:rsid w:val="00A879FC"/>
    <w:rsid w:val="00A90FE6"/>
    <w:rsid w:val="00A918F3"/>
    <w:rsid w:val="00A92A6B"/>
    <w:rsid w:val="00A92E16"/>
    <w:rsid w:val="00A9390D"/>
    <w:rsid w:val="00A95141"/>
    <w:rsid w:val="00A955D5"/>
    <w:rsid w:val="00A96653"/>
    <w:rsid w:val="00A96E36"/>
    <w:rsid w:val="00A9786F"/>
    <w:rsid w:val="00AA1C0E"/>
    <w:rsid w:val="00AA225D"/>
    <w:rsid w:val="00AA2D8F"/>
    <w:rsid w:val="00AA312F"/>
    <w:rsid w:val="00AA3984"/>
    <w:rsid w:val="00AA4603"/>
    <w:rsid w:val="00AA4F1C"/>
    <w:rsid w:val="00AA530C"/>
    <w:rsid w:val="00AB134D"/>
    <w:rsid w:val="00AB1B22"/>
    <w:rsid w:val="00AB2715"/>
    <w:rsid w:val="00AB2D24"/>
    <w:rsid w:val="00AB4979"/>
    <w:rsid w:val="00AB6947"/>
    <w:rsid w:val="00AB70D8"/>
    <w:rsid w:val="00AC1348"/>
    <w:rsid w:val="00AC1B48"/>
    <w:rsid w:val="00AC28D4"/>
    <w:rsid w:val="00AC42E1"/>
    <w:rsid w:val="00AC58DF"/>
    <w:rsid w:val="00AC5990"/>
    <w:rsid w:val="00AC6203"/>
    <w:rsid w:val="00AC78EC"/>
    <w:rsid w:val="00AD0465"/>
    <w:rsid w:val="00AD0A9B"/>
    <w:rsid w:val="00AD1085"/>
    <w:rsid w:val="00AD3114"/>
    <w:rsid w:val="00AD3442"/>
    <w:rsid w:val="00AD36CD"/>
    <w:rsid w:val="00AD3C26"/>
    <w:rsid w:val="00AD3DB6"/>
    <w:rsid w:val="00AD5050"/>
    <w:rsid w:val="00AD518A"/>
    <w:rsid w:val="00AE05CD"/>
    <w:rsid w:val="00AE085B"/>
    <w:rsid w:val="00AE0C4A"/>
    <w:rsid w:val="00AE0F35"/>
    <w:rsid w:val="00AE1003"/>
    <w:rsid w:val="00AE13D1"/>
    <w:rsid w:val="00AE16B2"/>
    <w:rsid w:val="00AE242E"/>
    <w:rsid w:val="00AE3AD8"/>
    <w:rsid w:val="00AE430C"/>
    <w:rsid w:val="00AE43CB"/>
    <w:rsid w:val="00AE4A1A"/>
    <w:rsid w:val="00AE569D"/>
    <w:rsid w:val="00AE57B6"/>
    <w:rsid w:val="00AE5FEF"/>
    <w:rsid w:val="00AE60E7"/>
    <w:rsid w:val="00AE65E1"/>
    <w:rsid w:val="00AF0191"/>
    <w:rsid w:val="00AF1033"/>
    <w:rsid w:val="00AF2C0B"/>
    <w:rsid w:val="00AF3ADC"/>
    <w:rsid w:val="00AF3EEC"/>
    <w:rsid w:val="00AF4DD2"/>
    <w:rsid w:val="00AF5068"/>
    <w:rsid w:val="00AF524D"/>
    <w:rsid w:val="00AF52F2"/>
    <w:rsid w:val="00AF58A4"/>
    <w:rsid w:val="00AF647C"/>
    <w:rsid w:val="00AF77E4"/>
    <w:rsid w:val="00AF79E0"/>
    <w:rsid w:val="00AF7D5E"/>
    <w:rsid w:val="00B00017"/>
    <w:rsid w:val="00B01B36"/>
    <w:rsid w:val="00B01BF9"/>
    <w:rsid w:val="00B023A7"/>
    <w:rsid w:val="00B02A44"/>
    <w:rsid w:val="00B02B98"/>
    <w:rsid w:val="00B02E6D"/>
    <w:rsid w:val="00B036B6"/>
    <w:rsid w:val="00B047CD"/>
    <w:rsid w:val="00B049B0"/>
    <w:rsid w:val="00B04C58"/>
    <w:rsid w:val="00B055C9"/>
    <w:rsid w:val="00B061B2"/>
    <w:rsid w:val="00B062EC"/>
    <w:rsid w:val="00B07537"/>
    <w:rsid w:val="00B079F9"/>
    <w:rsid w:val="00B07B8A"/>
    <w:rsid w:val="00B07E3B"/>
    <w:rsid w:val="00B13793"/>
    <w:rsid w:val="00B17013"/>
    <w:rsid w:val="00B17304"/>
    <w:rsid w:val="00B212CF"/>
    <w:rsid w:val="00B212E5"/>
    <w:rsid w:val="00B238B3"/>
    <w:rsid w:val="00B24081"/>
    <w:rsid w:val="00B25BBC"/>
    <w:rsid w:val="00B25FBF"/>
    <w:rsid w:val="00B26022"/>
    <w:rsid w:val="00B30692"/>
    <w:rsid w:val="00B31F58"/>
    <w:rsid w:val="00B329F2"/>
    <w:rsid w:val="00B32D4B"/>
    <w:rsid w:val="00B33147"/>
    <w:rsid w:val="00B336B7"/>
    <w:rsid w:val="00B34161"/>
    <w:rsid w:val="00B3443B"/>
    <w:rsid w:val="00B34AA5"/>
    <w:rsid w:val="00B34E7A"/>
    <w:rsid w:val="00B353A9"/>
    <w:rsid w:val="00B35914"/>
    <w:rsid w:val="00B35BBA"/>
    <w:rsid w:val="00B35C62"/>
    <w:rsid w:val="00B370A0"/>
    <w:rsid w:val="00B37810"/>
    <w:rsid w:val="00B4007A"/>
    <w:rsid w:val="00B417D8"/>
    <w:rsid w:val="00B41E27"/>
    <w:rsid w:val="00B41FE7"/>
    <w:rsid w:val="00B428B7"/>
    <w:rsid w:val="00B434C3"/>
    <w:rsid w:val="00B43B25"/>
    <w:rsid w:val="00B4519E"/>
    <w:rsid w:val="00B503AC"/>
    <w:rsid w:val="00B50FA5"/>
    <w:rsid w:val="00B513A1"/>
    <w:rsid w:val="00B51401"/>
    <w:rsid w:val="00B516F5"/>
    <w:rsid w:val="00B5189A"/>
    <w:rsid w:val="00B51C9C"/>
    <w:rsid w:val="00B5257C"/>
    <w:rsid w:val="00B561E1"/>
    <w:rsid w:val="00B56F46"/>
    <w:rsid w:val="00B57E9F"/>
    <w:rsid w:val="00B61046"/>
    <w:rsid w:val="00B61E7F"/>
    <w:rsid w:val="00B63718"/>
    <w:rsid w:val="00B637D0"/>
    <w:rsid w:val="00B663FB"/>
    <w:rsid w:val="00B6640C"/>
    <w:rsid w:val="00B66720"/>
    <w:rsid w:val="00B66F02"/>
    <w:rsid w:val="00B700A5"/>
    <w:rsid w:val="00B716E8"/>
    <w:rsid w:val="00B73020"/>
    <w:rsid w:val="00B737A5"/>
    <w:rsid w:val="00B737B0"/>
    <w:rsid w:val="00B73E6C"/>
    <w:rsid w:val="00B765CD"/>
    <w:rsid w:val="00B77033"/>
    <w:rsid w:val="00B811AF"/>
    <w:rsid w:val="00B8178D"/>
    <w:rsid w:val="00B82286"/>
    <w:rsid w:val="00B82469"/>
    <w:rsid w:val="00B82F2D"/>
    <w:rsid w:val="00B8323C"/>
    <w:rsid w:val="00B8323E"/>
    <w:rsid w:val="00B833A7"/>
    <w:rsid w:val="00B83D7F"/>
    <w:rsid w:val="00B84290"/>
    <w:rsid w:val="00B86422"/>
    <w:rsid w:val="00B86468"/>
    <w:rsid w:val="00B87A30"/>
    <w:rsid w:val="00B87C87"/>
    <w:rsid w:val="00B905E0"/>
    <w:rsid w:val="00B9112E"/>
    <w:rsid w:val="00B91155"/>
    <w:rsid w:val="00B92298"/>
    <w:rsid w:val="00B927D8"/>
    <w:rsid w:val="00B92983"/>
    <w:rsid w:val="00B92B20"/>
    <w:rsid w:val="00B93B19"/>
    <w:rsid w:val="00B9532B"/>
    <w:rsid w:val="00B958ED"/>
    <w:rsid w:val="00B96ADA"/>
    <w:rsid w:val="00B97001"/>
    <w:rsid w:val="00B97730"/>
    <w:rsid w:val="00BA20F5"/>
    <w:rsid w:val="00BA22BB"/>
    <w:rsid w:val="00BB0381"/>
    <w:rsid w:val="00BB17CC"/>
    <w:rsid w:val="00BB1B0A"/>
    <w:rsid w:val="00BB1E30"/>
    <w:rsid w:val="00BB2A6D"/>
    <w:rsid w:val="00BB483A"/>
    <w:rsid w:val="00BB6095"/>
    <w:rsid w:val="00BB6F9F"/>
    <w:rsid w:val="00BB7D19"/>
    <w:rsid w:val="00BC0894"/>
    <w:rsid w:val="00BC0BA7"/>
    <w:rsid w:val="00BC30C1"/>
    <w:rsid w:val="00BC6ABE"/>
    <w:rsid w:val="00BC7559"/>
    <w:rsid w:val="00BD0089"/>
    <w:rsid w:val="00BD0378"/>
    <w:rsid w:val="00BD0B92"/>
    <w:rsid w:val="00BD14CA"/>
    <w:rsid w:val="00BD1E10"/>
    <w:rsid w:val="00BD2B09"/>
    <w:rsid w:val="00BD53AC"/>
    <w:rsid w:val="00BD6B6C"/>
    <w:rsid w:val="00BD72A0"/>
    <w:rsid w:val="00BE1AC2"/>
    <w:rsid w:val="00BE1B93"/>
    <w:rsid w:val="00BE3266"/>
    <w:rsid w:val="00BE3C54"/>
    <w:rsid w:val="00BE5921"/>
    <w:rsid w:val="00BE6A40"/>
    <w:rsid w:val="00BE77CA"/>
    <w:rsid w:val="00BF05A0"/>
    <w:rsid w:val="00BF0A0E"/>
    <w:rsid w:val="00BF0B0E"/>
    <w:rsid w:val="00BF16D5"/>
    <w:rsid w:val="00BF28AA"/>
    <w:rsid w:val="00BF6803"/>
    <w:rsid w:val="00BF6D50"/>
    <w:rsid w:val="00BF7331"/>
    <w:rsid w:val="00BF7857"/>
    <w:rsid w:val="00BF7B6A"/>
    <w:rsid w:val="00C000D3"/>
    <w:rsid w:val="00C0216D"/>
    <w:rsid w:val="00C028C7"/>
    <w:rsid w:val="00C04E19"/>
    <w:rsid w:val="00C05AAC"/>
    <w:rsid w:val="00C066EF"/>
    <w:rsid w:val="00C07275"/>
    <w:rsid w:val="00C07378"/>
    <w:rsid w:val="00C10FCC"/>
    <w:rsid w:val="00C12B7B"/>
    <w:rsid w:val="00C1399D"/>
    <w:rsid w:val="00C13F00"/>
    <w:rsid w:val="00C145A7"/>
    <w:rsid w:val="00C1767D"/>
    <w:rsid w:val="00C17936"/>
    <w:rsid w:val="00C179CE"/>
    <w:rsid w:val="00C17E5D"/>
    <w:rsid w:val="00C17F17"/>
    <w:rsid w:val="00C20343"/>
    <w:rsid w:val="00C22085"/>
    <w:rsid w:val="00C22CD5"/>
    <w:rsid w:val="00C23441"/>
    <w:rsid w:val="00C245A8"/>
    <w:rsid w:val="00C26BF0"/>
    <w:rsid w:val="00C26FAD"/>
    <w:rsid w:val="00C27554"/>
    <w:rsid w:val="00C32EED"/>
    <w:rsid w:val="00C33447"/>
    <w:rsid w:val="00C33AE7"/>
    <w:rsid w:val="00C349D9"/>
    <w:rsid w:val="00C34D14"/>
    <w:rsid w:val="00C3545B"/>
    <w:rsid w:val="00C35ED3"/>
    <w:rsid w:val="00C3635B"/>
    <w:rsid w:val="00C36CB7"/>
    <w:rsid w:val="00C40EF2"/>
    <w:rsid w:val="00C42889"/>
    <w:rsid w:val="00C42DF9"/>
    <w:rsid w:val="00C43018"/>
    <w:rsid w:val="00C4468D"/>
    <w:rsid w:val="00C44A17"/>
    <w:rsid w:val="00C4608C"/>
    <w:rsid w:val="00C46F60"/>
    <w:rsid w:val="00C47411"/>
    <w:rsid w:val="00C4764B"/>
    <w:rsid w:val="00C50223"/>
    <w:rsid w:val="00C503A2"/>
    <w:rsid w:val="00C50619"/>
    <w:rsid w:val="00C50864"/>
    <w:rsid w:val="00C5134F"/>
    <w:rsid w:val="00C5194A"/>
    <w:rsid w:val="00C52931"/>
    <w:rsid w:val="00C53EC4"/>
    <w:rsid w:val="00C5407E"/>
    <w:rsid w:val="00C54E04"/>
    <w:rsid w:val="00C55204"/>
    <w:rsid w:val="00C5536D"/>
    <w:rsid w:val="00C576E1"/>
    <w:rsid w:val="00C602DD"/>
    <w:rsid w:val="00C60A6F"/>
    <w:rsid w:val="00C60FBF"/>
    <w:rsid w:val="00C6219F"/>
    <w:rsid w:val="00C63A13"/>
    <w:rsid w:val="00C652B9"/>
    <w:rsid w:val="00C65B30"/>
    <w:rsid w:val="00C6610E"/>
    <w:rsid w:val="00C67A5A"/>
    <w:rsid w:val="00C7015E"/>
    <w:rsid w:val="00C701FD"/>
    <w:rsid w:val="00C70BD2"/>
    <w:rsid w:val="00C70EBE"/>
    <w:rsid w:val="00C75858"/>
    <w:rsid w:val="00C7621B"/>
    <w:rsid w:val="00C76781"/>
    <w:rsid w:val="00C7697C"/>
    <w:rsid w:val="00C76E9B"/>
    <w:rsid w:val="00C771B5"/>
    <w:rsid w:val="00C801D9"/>
    <w:rsid w:val="00C80580"/>
    <w:rsid w:val="00C81624"/>
    <w:rsid w:val="00C81632"/>
    <w:rsid w:val="00C824A9"/>
    <w:rsid w:val="00C83796"/>
    <w:rsid w:val="00C86BE1"/>
    <w:rsid w:val="00C86BE7"/>
    <w:rsid w:val="00C87007"/>
    <w:rsid w:val="00C90006"/>
    <w:rsid w:val="00C91179"/>
    <w:rsid w:val="00C911F5"/>
    <w:rsid w:val="00C91402"/>
    <w:rsid w:val="00C91AF5"/>
    <w:rsid w:val="00C91BD7"/>
    <w:rsid w:val="00C91FD8"/>
    <w:rsid w:val="00C925D5"/>
    <w:rsid w:val="00C92648"/>
    <w:rsid w:val="00C9284A"/>
    <w:rsid w:val="00C929D8"/>
    <w:rsid w:val="00C92E1B"/>
    <w:rsid w:val="00C932F2"/>
    <w:rsid w:val="00C93937"/>
    <w:rsid w:val="00C93EF0"/>
    <w:rsid w:val="00C93FED"/>
    <w:rsid w:val="00C940C0"/>
    <w:rsid w:val="00C954DF"/>
    <w:rsid w:val="00C95B07"/>
    <w:rsid w:val="00C95FB8"/>
    <w:rsid w:val="00C96B57"/>
    <w:rsid w:val="00C96B6A"/>
    <w:rsid w:val="00C96F6E"/>
    <w:rsid w:val="00C9739B"/>
    <w:rsid w:val="00CA07B0"/>
    <w:rsid w:val="00CA1A8B"/>
    <w:rsid w:val="00CA392D"/>
    <w:rsid w:val="00CA3C94"/>
    <w:rsid w:val="00CA434D"/>
    <w:rsid w:val="00CA4813"/>
    <w:rsid w:val="00CA5A34"/>
    <w:rsid w:val="00CA6069"/>
    <w:rsid w:val="00CA7C8F"/>
    <w:rsid w:val="00CB0A41"/>
    <w:rsid w:val="00CB0D20"/>
    <w:rsid w:val="00CB156A"/>
    <w:rsid w:val="00CB3754"/>
    <w:rsid w:val="00CB3C73"/>
    <w:rsid w:val="00CB4D3D"/>
    <w:rsid w:val="00CB5710"/>
    <w:rsid w:val="00CB5C04"/>
    <w:rsid w:val="00CB65AC"/>
    <w:rsid w:val="00CC09E1"/>
    <w:rsid w:val="00CC103F"/>
    <w:rsid w:val="00CC5972"/>
    <w:rsid w:val="00CC5A11"/>
    <w:rsid w:val="00CC5D45"/>
    <w:rsid w:val="00CC7963"/>
    <w:rsid w:val="00CC7B6D"/>
    <w:rsid w:val="00CC7D1B"/>
    <w:rsid w:val="00CD052B"/>
    <w:rsid w:val="00CD0BA1"/>
    <w:rsid w:val="00CD0E7E"/>
    <w:rsid w:val="00CD124A"/>
    <w:rsid w:val="00CD2431"/>
    <w:rsid w:val="00CD263C"/>
    <w:rsid w:val="00CD2A73"/>
    <w:rsid w:val="00CD3501"/>
    <w:rsid w:val="00CD3965"/>
    <w:rsid w:val="00CD3CFD"/>
    <w:rsid w:val="00CD3E36"/>
    <w:rsid w:val="00CD4324"/>
    <w:rsid w:val="00CD43C0"/>
    <w:rsid w:val="00CD5301"/>
    <w:rsid w:val="00CD5A85"/>
    <w:rsid w:val="00CD6586"/>
    <w:rsid w:val="00CD6AD0"/>
    <w:rsid w:val="00CD7769"/>
    <w:rsid w:val="00CD7A04"/>
    <w:rsid w:val="00CD7A3A"/>
    <w:rsid w:val="00CD7C65"/>
    <w:rsid w:val="00CE0CB7"/>
    <w:rsid w:val="00CE2073"/>
    <w:rsid w:val="00CE2746"/>
    <w:rsid w:val="00CE5319"/>
    <w:rsid w:val="00CE599F"/>
    <w:rsid w:val="00CE709D"/>
    <w:rsid w:val="00CE73BC"/>
    <w:rsid w:val="00CE748E"/>
    <w:rsid w:val="00CE7DDF"/>
    <w:rsid w:val="00CE7FD5"/>
    <w:rsid w:val="00CF04B1"/>
    <w:rsid w:val="00CF142D"/>
    <w:rsid w:val="00CF181D"/>
    <w:rsid w:val="00CF1BDB"/>
    <w:rsid w:val="00CF1C65"/>
    <w:rsid w:val="00CF239A"/>
    <w:rsid w:val="00CF33CE"/>
    <w:rsid w:val="00CF405B"/>
    <w:rsid w:val="00CF48F4"/>
    <w:rsid w:val="00CF4D03"/>
    <w:rsid w:val="00CF598D"/>
    <w:rsid w:val="00CF5A5E"/>
    <w:rsid w:val="00CF5B8D"/>
    <w:rsid w:val="00CF7D9D"/>
    <w:rsid w:val="00D00473"/>
    <w:rsid w:val="00D00994"/>
    <w:rsid w:val="00D011A7"/>
    <w:rsid w:val="00D020F9"/>
    <w:rsid w:val="00D02DCB"/>
    <w:rsid w:val="00D0307E"/>
    <w:rsid w:val="00D03262"/>
    <w:rsid w:val="00D043C8"/>
    <w:rsid w:val="00D04D97"/>
    <w:rsid w:val="00D04FF2"/>
    <w:rsid w:val="00D061FF"/>
    <w:rsid w:val="00D06928"/>
    <w:rsid w:val="00D06FD5"/>
    <w:rsid w:val="00D07BEE"/>
    <w:rsid w:val="00D102F5"/>
    <w:rsid w:val="00D10791"/>
    <w:rsid w:val="00D10B24"/>
    <w:rsid w:val="00D11D3C"/>
    <w:rsid w:val="00D11EE7"/>
    <w:rsid w:val="00D12A2E"/>
    <w:rsid w:val="00D13DC8"/>
    <w:rsid w:val="00D15744"/>
    <w:rsid w:val="00D17B9C"/>
    <w:rsid w:val="00D21E91"/>
    <w:rsid w:val="00D23273"/>
    <w:rsid w:val="00D24B47"/>
    <w:rsid w:val="00D25F39"/>
    <w:rsid w:val="00D260F9"/>
    <w:rsid w:val="00D26EAA"/>
    <w:rsid w:val="00D27E17"/>
    <w:rsid w:val="00D308C6"/>
    <w:rsid w:val="00D30DE7"/>
    <w:rsid w:val="00D31A6A"/>
    <w:rsid w:val="00D3284C"/>
    <w:rsid w:val="00D33478"/>
    <w:rsid w:val="00D33893"/>
    <w:rsid w:val="00D338A6"/>
    <w:rsid w:val="00D34075"/>
    <w:rsid w:val="00D36A1E"/>
    <w:rsid w:val="00D36E72"/>
    <w:rsid w:val="00D36F64"/>
    <w:rsid w:val="00D37D13"/>
    <w:rsid w:val="00D41CC4"/>
    <w:rsid w:val="00D441EB"/>
    <w:rsid w:val="00D44567"/>
    <w:rsid w:val="00D44A00"/>
    <w:rsid w:val="00D45393"/>
    <w:rsid w:val="00D455A8"/>
    <w:rsid w:val="00D45865"/>
    <w:rsid w:val="00D4600A"/>
    <w:rsid w:val="00D461C6"/>
    <w:rsid w:val="00D463AA"/>
    <w:rsid w:val="00D469C4"/>
    <w:rsid w:val="00D47FAC"/>
    <w:rsid w:val="00D5058D"/>
    <w:rsid w:val="00D51099"/>
    <w:rsid w:val="00D5115A"/>
    <w:rsid w:val="00D53284"/>
    <w:rsid w:val="00D55C27"/>
    <w:rsid w:val="00D56543"/>
    <w:rsid w:val="00D57127"/>
    <w:rsid w:val="00D57816"/>
    <w:rsid w:val="00D609AE"/>
    <w:rsid w:val="00D61910"/>
    <w:rsid w:val="00D61B3A"/>
    <w:rsid w:val="00D64EE0"/>
    <w:rsid w:val="00D65206"/>
    <w:rsid w:val="00D66F53"/>
    <w:rsid w:val="00D670CB"/>
    <w:rsid w:val="00D67C9A"/>
    <w:rsid w:val="00D71160"/>
    <w:rsid w:val="00D71553"/>
    <w:rsid w:val="00D71F73"/>
    <w:rsid w:val="00D72D07"/>
    <w:rsid w:val="00D748F1"/>
    <w:rsid w:val="00D74BEF"/>
    <w:rsid w:val="00D779D5"/>
    <w:rsid w:val="00D801CB"/>
    <w:rsid w:val="00D80384"/>
    <w:rsid w:val="00D80D05"/>
    <w:rsid w:val="00D82295"/>
    <w:rsid w:val="00D8291F"/>
    <w:rsid w:val="00D82A6F"/>
    <w:rsid w:val="00D83356"/>
    <w:rsid w:val="00D83EA2"/>
    <w:rsid w:val="00D854D9"/>
    <w:rsid w:val="00D85903"/>
    <w:rsid w:val="00D86118"/>
    <w:rsid w:val="00D86162"/>
    <w:rsid w:val="00D871AC"/>
    <w:rsid w:val="00D90BD4"/>
    <w:rsid w:val="00D936A1"/>
    <w:rsid w:val="00D93820"/>
    <w:rsid w:val="00D94DAC"/>
    <w:rsid w:val="00D966D9"/>
    <w:rsid w:val="00D96DEE"/>
    <w:rsid w:val="00DA2DBC"/>
    <w:rsid w:val="00DA3C85"/>
    <w:rsid w:val="00DA4D60"/>
    <w:rsid w:val="00DA4EC0"/>
    <w:rsid w:val="00DA6116"/>
    <w:rsid w:val="00DA743F"/>
    <w:rsid w:val="00DB0564"/>
    <w:rsid w:val="00DB13F6"/>
    <w:rsid w:val="00DB16E4"/>
    <w:rsid w:val="00DB1997"/>
    <w:rsid w:val="00DB1C86"/>
    <w:rsid w:val="00DB1EB4"/>
    <w:rsid w:val="00DB20DD"/>
    <w:rsid w:val="00DB2810"/>
    <w:rsid w:val="00DB3A38"/>
    <w:rsid w:val="00DB3C7F"/>
    <w:rsid w:val="00DB522D"/>
    <w:rsid w:val="00DB6458"/>
    <w:rsid w:val="00DB6A7C"/>
    <w:rsid w:val="00DB79E0"/>
    <w:rsid w:val="00DC0637"/>
    <w:rsid w:val="00DC09AC"/>
    <w:rsid w:val="00DC14E0"/>
    <w:rsid w:val="00DC4353"/>
    <w:rsid w:val="00DD1E3B"/>
    <w:rsid w:val="00DD22D1"/>
    <w:rsid w:val="00DD2BCE"/>
    <w:rsid w:val="00DD5565"/>
    <w:rsid w:val="00DD6818"/>
    <w:rsid w:val="00DD75BE"/>
    <w:rsid w:val="00DD7C00"/>
    <w:rsid w:val="00DE12D0"/>
    <w:rsid w:val="00DE21BE"/>
    <w:rsid w:val="00DE2B44"/>
    <w:rsid w:val="00DE2CE4"/>
    <w:rsid w:val="00DE2D50"/>
    <w:rsid w:val="00DE372D"/>
    <w:rsid w:val="00DE4037"/>
    <w:rsid w:val="00DE4E0F"/>
    <w:rsid w:val="00DE5663"/>
    <w:rsid w:val="00DE6E81"/>
    <w:rsid w:val="00DE7582"/>
    <w:rsid w:val="00DF027D"/>
    <w:rsid w:val="00DF2054"/>
    <w:rsid w:val="00DF3D6E"/>
    <w:rsid w:val="00DF4E12"/>
    <w:rsid w:val="00DF4F11"/>
    <w:rsid w:val="00DF5CCF"/>
    <w:rsid w:val="00DF62F5"/>
    <w:rsid w:val="00DF694C"/>
    <w:rsid w:val="00DF6A65"/>
    <w:rsid w:val="00DF6EDD"/>
    <w:rsid w:val="00DF7FE0"/>
    <w:rsid w:val="00E01119"/>
    <w:rsid w:val="00E025CB"/>
    <w:rsid w:val="00E028FD"/>
    <w:rsid w:val="00E0290D"/>
    <w:rsid w:val="00E02C7C"/>
    <w:rsid w:val="00E0326E"/>
    <w:rsid w:val="00E04839"/>
    <w:rsid w:val="00E04F6D"/>
    <w:rsid w:val="00E050E3"/>
    <w:rsid w:val="00E05521"/>
    <w:rsid w:val="00E05B3C"/>
    <w:rsid w:val="00E05BF1"/>
    <w:rsid w:val="00E063B5"/>
    <w:rsid w:val="00E06459"/>
    <w:rsid w:val="00E119AD"/>
    <w:rsid w:val="00E11B83"/>
    <w:rsid w:val="00E12D09"/>
    <w:rsid w:val="00E14844"/>
    <w:rsid w:val="00E14AA8"/>
    <w:rsid w:val="00E152B5"/>
    <w:rsid w:val="00E15C54"/>
    <w:rsid w:val="00E169B7"/>
    <w:rsid w:val="00E20D25"/>
    <w:rsid w:val="00E215A7"/>
    <w:rsid w:val="00E21679"/>
    <w:rsid w:val="00E23762"/>
    <w:rsid w:val="00E24112"/>
    <w:rsid w:val="00E25158"/>
    <w:rsid w:val="00E253BF"/>
    <w:rsid w:val="00E3013C"/>
    <w:rsid w:val="00E30CCE"/>
    <w:rsid w:val="00E30EEB"/>
    <w:rsid w:val="00E33055"/>
    <w:rsid w:val="00E330B4"/>
    <w:rsid w:val="00E34398"/>
    <w:rsid w:val="00E35A04"/>
    <w:rsid w:val="00E35B7A"/>
    <w:rsid w:val="00E37313"/>
    <w:rsid w:val="00E40B07"/>
    <w:rsid w:val="00E41663"/>
    <w:rsid w:val="00E41780"/>
    <w:rsid w:val="00E423EB"/>
    <w:rsid w:val="00E42D8B"/>
    <w:rsid w:val="00E449B7"/>
    <w:rsid w:val="00E45207"/>
    <w:rsid w:val="00E45A0C"/>
    <w:rsid w:val="00E45A48"/>
    <w:rsid w:val="00E45D11"/>
    <w:rsid w:val="00E46467"/>
    <w:rsid w:val="00E472A3"/>
    <w:rsid w:val="00E47307"/>
    <w:rsid w:val="00E47A26"/>
    <w:rsid w:val="00E50BCA"/>
    <w:rsid w:val="00E52166"/>
    <w:rsid w:val="00E52315"/>
    <w:rsid w:val="00E53379"/>
    <w:rsid w:val="00E53D8F"/>
    <w:rsid w:val="00E5407B"/>
    <w:rsid w:val="00E553E8"/>
    <w:rsid w:val="00E55694"/>
    <w:rsid w:val="00E56669"/>
    <w:rsid w:val="00E56EBE"/>
    <w:rsid w:val="00E579A5"/>
    <w:rsid w:val="00E57A94"/>
    <w:rsid w:val="00E60249"/>
    <w:rsid w:val="00E618C9"/>
    <w:rsid w:val="00E61C69"/>
    <w:rsid w:val="00E627CE"/>
    <w:rsid w:val="00E63611"/>
    <w:rsid w:val="00E63FC2"/>
    <w:rsid w:val="00E64E5E"/>
    <w:rsid w:val="00E656D7"/>
    <w:rsid w:val="00E67F6D"/>
    <w:rsid w:val="00E7091A"/>
    <w:rsid w:val="00E70E57"/>
    <w:rsid w:val="00E71CF0"/>
    <w:rsid w:val="00E72502"/>
    <w:rsid w:val="00E74089"/>
    <w:rsid w:val="00E7443C"/>
    <w:rsid w:val="00E74985"/>
    <w:rsid w:val="00E75137"/>
    <w:rsid w:val="00E77025"/>
    <w:rsid w:val="00E771FE"/>
    <w:rsid w:val="00E80CA6"/>
    <w:rsid w:val="00E81A4E"/>
    <w:rsid w:val="00E81E3B"/>
    <w:rsid w:val="00E849AD"/>
    <w:rsid w:val="00E84FCE"/>
    <w:rsid w:val="00E850B4"/>
    <w:rsid w:val="00E85ED4"/>
    <w:rsid w:val="00E866A2"/>
    <w:rsid w:val="00E8786A"/>
    <w:rsid w:val="00E90180"/>
    <w:rsid w:val="00E9018C"/>
    <w:rsid w:val="00E9154B"/>
    <w:rsid w:val="00E9176D"/>
    <w:rsid w:val="00E91C80"/>
    <w:rsid w:val="00E93FC7"/>
    <w:rsid w:val="00E947F1"/>
    <w:rsid w:val="00E949E4"/>
    <w:rsid w:val="00E94DB1"/>
    <w:rsid w:val="00E9679B"/>
    <w:rsid w:val="00E96864"/>
    <w:rsid w:val="00E96937"/>
    <w:rsid w:val="00E9784A"/>
    <w:rsid w:val="00EA18A6"/>
    <w:rsid w:val="00EA1F5A"/>
    <w:rsid w:val="00EA3B42"/>
    <w:rsid w:val="00EA447C"/>
    <w:rsid w:val="00EA69DE"/>
    <w:rsid w:val="00EA6E05"/>
    <w:rsid w:val="00EB1033"/>
    <w:rsid w:val="00EB133E"/>
    <w:rsid w:val="00EB1442"/>
    <w:rsid w:val="00EB1651"/>
    <w:rsid w:val="00EB26D3"/>
    <w:rsid w:val="00EB2857"/>
    <w:rsid w:val="00EB29D0"/>
    <w:rsid w:val="00EB4B5D"/>
    <w:rsid w:val="00EB5ADE"/>
    <w:rsid w:val="00EB5B1A"/>
    <w:rsid w:val="00EB683D"/>
    <w:rsid w:val="00EB6C0F"/>
    <w:rsid w:val="00EB72F8"/>
    <w:rsid w:val="00EB74C6"/>
    <w:rsid w:val="00EC146B"/>
    <w:rsid w:val="00EC202E"/>
    <w:rsid w:val="00EC2687"/>
    <w:rsid w:val="00EC26EC"/>
    <w:rsid w:val="00EC289C"/>
    <w:rsid w:val="00EC2E64"/>
    <w:rsid w:val="00EC390D"/>
    <w:rsid w:val="00EC39C4"/>
    <w:rsid w:val="00EC4752"/>
    <w:rsid w:val="00EC495F"/>
    <w:rsid w:val="00EC53D4"/>
    <w:rsid w:val="00EC6213"/>
    <w:rsid w:val="00EC6C86"/>
    <w:rsid w:val="00ED007A"/>
    <w:rsid w:val="00ED0519"/>
    <w:rsid w:val="00ED1C82"/>
    <w:rsid w:val="00ED380E"/>
    <w:rsid w:val="00ED5D31"/>
    <w:rsid w:val="00ED5EB7"/>
    <w:rsid w:val="00ED6267"/>
    <w:rsid w:val="00ED67E5"/>
    <w:rsid w:val="00ED6F31"/>
    <w:rsid w:val="00ED6F87"/>
    <w:rsid w:val="00ED6FB8"/>
    <w:rsid w:val="00EE1197"/>
    <w:rsid w:val="00EE2585"/>
    <w:rsid w:val="00EE276C"/>
    <w:rsid w:val="00EE2827"/>
    <w:rsid w:val="00EE4212"/>
    <w:rsid w:val="00EE47F5"/>
    <w:rsid w:val="00EE5679"/>
    <w:rsid w:val="00EF01E5"/>
    <w:rsid w:val="00EF02ED"/>
    <w:rsid w:val="00EF2173"/>
    <w:rsid w:val="00EF2751"/>
    <w:rsid w:val="00EF2D3A"/>
    <w:rsid w:val="00EF5309"/>
    <w:rsid w:val="00EF55D0"/>
    <w:rsid w:val="00EF706F"/>
    <w:rsid w:val="00EF7AB9"/>
    <w:rsid w:val="00F0126D"/>
    <w:rsid w:val="00F0199D"/>
    <w:rsid w:val="00F02D97"/>
    <w:rsid w:val="00F050D8"/>
    <w:rsid w:val="00F05DFB"/>
    <w:rsid w:val="00F05EA5"/>
    <w:rsid w:val="00F06B30"/>
    <w:rsid w:val="00F06FCC"/>
    <w:rsid w:val="00F073E9"/>
    <w:rsid w:val="00F10270"/>
    <w:rsid w:val="00F105FA"/>
    <w:rsid w:val="00F1149F"/>
    <w:rsid w:val="00F15E1A"/>
    <w:rsid w:val="00F15EF2"/>
    <w:rsid w:val="00F16982"/>
    <w:rsid w:val="00F16F50"/>
    <w:rsid w:val="00F16FBC"/>
    <w:rsid w:val="00F171C1"/>
    <w:rsid w:val="00F20014"/>
    <w:rsid w:val="00F21D6D"/>
    <w:rsid w:val="00F21F8E"/>
    <w:rsid w:val="00F22082"/>
    <w:rsid w:val="00F224BF"/>
    <w:rsid w:val="00F22C5E"/>
    <w:rsid w:val="00F230B4"/>
    <w:rsid w:val="00F236FD"/>
    <w:rsid w:val="00F24378"/>
    <w:rsid w:val="00F24FD4"/>
    <w:rsid w:val="00F25150"/>
    <w:rsid w:val="00F25717"/>
    <w:rsid w:val="00F25A9D"/>
    <w:rsid w:val="00F25C24"/>
    <w:rsid w:val="00F26501"/>
    <w:rsid w:val="00F265E8"/>
    <w:rsid w:val="00F26DBC"/>
    <w:rsid w:val="00F30F37"/>
    <w:rsid w:val="00F31C4E"/>
    <w:rsid w:val="00F31DD6"/>
    <w:rsid w:val="00F32204"/>
    <w:rsid w:val="00F330B5"/>
    <w:rsid w:val="00F332FF"/>
    <w:rsid w:val="00F33A2C"/>
    <w:rsid w:val="00F33D92"/>
    <w:rsid w:val="00F34CA7"/>
    <w:rsid w:val="00F34F7F"/>
    <w:rsid w:val="00F35C1F"/>
    <w:rsid w:val="00F35D80"/>
    <w:rsid w:val="00F361F5"/>
    <w:rsid w:val="00F36E07"/>
    <w:rsid w:val="00F36E91"/>
    <w:rsid w:val="00F3725E"/>
    <w:rsid w:val="00F377D3"/>
    <w:rsid w:val="00F378B3"/>
    <w:rsid w:val="00F37F27"/>
    <w:rsid w:val="00F409CD"/>
    <w:rsid w:val="00F4212B"/>
    <w:rsid w:val="00F42572"/>
    <w:rsid w:val="00F42B88"/>
    <w:rsid w:val="00F44C3E"/>
    <w:rsid w:val="00F4594A"/>
    <w:rsid w:val="00F47254"/>
    <w:rsid w:val="00F476ED"/>
    <w:rsid w:val="00F500C1"/>
    <w:rsid w:val="00F5012B"/>
    <w:rsid w:val="00F5077E"/>
    <w:rsid w:val="00F50782"/>
    <w:rsid w:val="00F5080F"/>
    <w:rsid w:val="00F508E3"/>
    <w:rsid w:val="00F518A5"/>
    <w:rsid w:val="00F51C07"/>
    <w:rsid w:val="00F51D94"/>
    <w:rsid w:val="00F55B8B"/>
    <w:rsid w:val="00F55DC9"/>
    <w:rsid w:val="00F5627A"/>
    <w:rsid w:val="00F5714D"/>
    <w:rsid w:val="00F5715F"/>
    <w:rsid w:val="00F6018D"/>
    <w:rsid w:val="00F604DC"/>
    <w:rsid w:val="00F60E51"/>
    <w:rsid w:val="00F628D8"/>
    <w:rsid w:val="00F62E03"/>
    <w:rsid w:val="00F630BC"/>
    <w:rsid w:val="00F634AD"/>
    <w:rsid w:val="00F66191"/>
    <w:rsid w:val="00F71401"/>
    <w:rsid w:val="00F71460"/>
    <w:rsid w:val="00F7201A"/>
    <w:rsid w:val="00F7359B"/>
    <w:rsid w:val="00F744CC"/>
    <w:rsid w:val="00F74CB5"/>
    <w:rsid w:val="00F75CEC"/>
    <w:rsid w:val="00F75F64"/>
    <w:rsid w:val="00F760F5"/>
    <w:rsid w:val="00F76437"/>
    <w:rsid w:val="00F76861"/>
    <w:rsid w:val="00F801C6"/>
    <w:rsid w:val="00F8046F"/>
    <w:rsid w:val="00F80591"/>
    <w:rsid w:val="00F81526"/>
    <w:rsid w:val="00F8238C"/>
    <w:rsid w:val="00F836BE"/>
    <w:rsid w:val="00F845E1"/>
    <w:rsid w:val="00F85478"/>
    <w:rsid w:val="00F85E08"/>
    <w:rsid w:val="00F86845"/>
    <w:rsid w:val="00F87B3D"/>
    <w:rsid w:val="00F901F6"/>
    <w:rsid w:val="00F9045C"/>
    <w:rsid w:val="00F904E4"/>
    <w:rsid w:val="00F91D6B"/>
    <w:rsid w:val="00F9266B"/>
    <w:rsid w:val="00F93877"/>
    <w:rsid w:val="00F93BA5"/>
    <w:rsid w:val="00F94100"/>
    <w:rsid w:val="00F97C97"/>
    <w:rsid w:val="00FA0ADE"/>
    <w:rsid w:val="00FA0EED"/>
    <w:rsid w:val="00FA2B88"/>
    <w:rsid w:val="00FA2D46"/>
    <w:rsid w:val="00FA3074"/>
    <w:rsid w:val="00FA32A1"/>
    <w:rsid w:val="00FA3DB3"/>
    <w:rsid w:val="00FA5294"/>
    <w:rsid w:val="00FA64D5"/>
    <w:rsid w:val="00FA67EF"/>
    <w:rsid w:val="00FA69BF"/>
    <w:rsid w:val="00FA6D23"/>
    <w:rsid w:val="00FB5789"/>
    <w:rsid w:val="00FB578E"/>
    <w:rsid w:val="00FB5CA4"/>
    <w:rsid w:val="00FB6243"/>
    <w:rsid w:val="00FB707A"/>
    <w:rsid w:val="00FB7BEC"/>
    <w:rsid w:val="00FC0FF3"/>
    <w:rsid w:val="00FC18E4"/>
    <w:rsid w:val="00FC3BFA"/>
    <w:rsid w:val="00FC4C30"/>
    <w:rsid w:val="00FC5311"/>
    <w:rsid w:val="00FC587B"/>
    <w:rsid w:val="00FC60A3"/>
    <w:rsid w:val="00FC66E2"/>
    <w:rsid w:val="00FC6F20"/>
    <w:rsid w:val="00FC733C"/>
    <w:rsid w:val="00FD0300"/>
    <w:rsid w:val="00FD0F2D"/>
    <w:rsid w:val="00FD14EE"/>
    <w:rsid w:val="00FD25AA"/>
    <w:rsid w:val="00FD2FB2"/>
    <w:rsid w:val="00FD3A9A"/>
    <w:rsid w:val="00FD3D87"/>
    <w:rsid w:val="00FD3D8E"/>
    <w:rsid w:val="00FD58F5"/>
    <w:rsid w:val="00FE01BF"/>
    <w:rsid w:val="00FE0AAC"/>
    <w:rsid w:val="00FE0B83"/>
    <w:rsid w:val="00FE26FE"/>
    <w:rsid w:val="00FE4657"/>
    <w:rsid w:val="00FF0027"/>
    <w:rsid w:val="00FF0EE0"/>
    <w:rsid w:val="00FF13C7"/>
    <w:rsid w:val="00FF2C69"/>
    <w:rsid w:val="00FF32DB"/>
    <w:rsid w:val="00FF6B2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2C980E"/>
  <w15:docId w15:val="{27F24EC8-6A6E-43F9-AC6F-39A5CA1D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97F"/>
    <w:rPr>
      <w:rFonts w:cs="Times New Roman"/>
      <w:lang w:eastAsia="en-AU"/>
    </w:rPr>
  </w:style>
  <w:style w:type="paragraph" w:styleId="Heading1">
    <w:name w:val="heading 1"/>
    <w:basedOn w:val="Normal"/>
    <w:next w:val="BodyIndent1"/>
    <w:link w:val="Heading1Char"/>
    <w:qFormat/>
    <w:rsid w:val="00B84290"/>
    <w:pPr>
      <w:keepNext/>
      <w:numPr>
        <w:numId w:val="2"/>
      </w:numPr>
      <w:pBdr>
        <w:top w:val="single" w:sz="4" w:space="6" w:color="auto"/>
      </w:pBdr>
      <w:spacing w:before="480"/>
      <w:outlineLvl w:val="0"/>
    </w:pPr>
    <w:rPr>
      <w:b/>
      <w:kern w:val="28"/>
      <w:sz w:val="22"/>
    </w:rPr>
  </w:style>
  <w:style w:type="paragraph" w:styleId="Heading2">
    <w:name w:val="heading 2"/>
    <w:basedOn w:val="Normal"/>
    <w:next w:val="BodyIndent1"/>
    <w:link w:val="Heading2Char"/>
    <w:qFormat/>
    <w:rsid w:val="00B84290"/>
    <w:pPr>
      <w:keepNext/>
      <w:numPr>
        <w:ilvl w:val="1"/>
        <w:numId w:val="2"/>
      </w:numPr>
      <w:spacing w:before="240"/>
      <w:outlineLvl w:val="1"/>
    </w:pPr>
    <w:rPr>
      <w:b/>
    </w:rPr>
  </w:style>
  <w:style w:type="paragraph" w:styleId="Heading3">
    <w:name w:val="heading 3"/>
    <w:basedOn w:val="Normal"/>
    <w:link w:val="Heading3Char"/>
    <w:qFormat/>
    <w:rsid w:val="00B84290"/>
    <w:pPr>
      <w:numPr>
        <w:ilvl w:val="2"/>
        <w:numId w:val="2"/>
      </w:numPr>
      <w:spacing w:before="240"/>
      <w:outlineLvl w:val="2"/>
    </w:pPr>
  </w:style>
  <w:style w:type="paragraph" w:styleId="Heading4">
    <w:name w:val="heading 4"/>
    <w:basedOn w:val="Normal"/>
    <w:link w:val="Heading4Char"/>
    <w:qFormat/>
    <w:rsid w:val="00B84290"/>
    <w:pPr>
      <w:numPr>
        <w:ilvl w:val="3"/>
        <w:numId w:val="2"/>
      </w:numPr>
      <w:spacing w:before="240"/>
      <w:outlineLvl w:val="3"/>
    </w:pPr>
  </w:style>
  <w:style w:type="paragraph" w:styleId="Heading5">
    <w:name w:val="heading 5"/>
    <w:basedOn w:val="Normal"/>
    <w:link w:val="Heading5Char"/>
    <w:qFormat/>
    <w:rsid w:val="00B84290"/>
    <w:pPr>
      <w:numPr>
        <w:ilvl w:val="4"/>
        <w:numId w:val="2"/>
      </w:numPr>
      <w:spacing w:before="240"/>
      <w:outlineLvl w:val="4"/>
    </w:pPr>
  </w:style>
  <w:style w:type="paragraph" w:styleId="Heading6">
    <w:name w:val="heading 6"/>
    <w:basedOn w:val="Normal"/>
    <w:next w:val="Normal"/>
    <w:link w:val="Heading6Char"/>
    <w:rsid w:val="00B84290"/>
    <w:pPr>
      <w:outlineLvl w:val="5"/>
    </w:pPr>
  </w:style>
  <w:style w:type="paragraph" w:styleId="Heading7">
    <w:name w:val="heading 7"/>
    <w:basedOn w:val="Normal"/>
    <w:next w:val="Normal"/>
    <w:link w:val="Heading7Char"/>
    <w:rsid w:val="00B84290"/>
    <w:pPr>
      <w:outlineLvl w:val="6"/>
    </w:pPr>
  </w:style>
  <w:style w:type="paragraph" w:styleId="Heading8">
    <w:name w:val="heading 8"/>
    <w:basedOn w:val="Normal"/>
    <w:next w:val="Normal"/>
    <w:link w:val="Heading8Char"/>
    <w:rsid w:val="00B84290"/>
    <w:pPr>
      <w:outlineLvl w:val="7"/>
    </w:pPr>
  </w:style>
  <w:style w:type="paragraph" w:styleId="Heading9">
    <w:name w:val="heading 9"/>
    <w:basedOn w:val="Normal"/>
    <w:next w:val="Normal"/>
    <w:link w:val="Heading9Char"/>
    <w:rsid w:val="00B8429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link w:val="BodyIndent1Char"/>
    <w:qFormat/>
    <w:rsid w:val="00B84290"/>
    <w:pPr>
      <w:spacing w:before="240"/>
      <w:ind w:left="851"/>
    </w:pPr>
    <w:rPr>
      <w:rFonts w:cs="Arial"/>
    </w:rPr>
  </w:style>
  <w:style w:type="paragraph" w:customStyle="1" w:styleId="BodyIndent2">
    <w:name w:val="Body Indent 2"/>
    <w:basedOn w:val="Normal"/>
    <w:qFormat/>
    <w:rsid w:val="00B84290"/>
    <w:pPr>
      <w:spacing w:before="240"/>
      <w:ind w:left="1701"/>
    </w:pPr>
    <w:rPr>
      <w:rFonts w:cs="Arial"/>
    </w:rPr>
  </w:style>
  <w:style w:type="paragraph" w:customStyle="1" w:styleId="BodyIndent3">
    <w:name w:val="Body Indent 3"/>
    <w:basedOn w:val="Normal"/>
    <w:qFormat/>
    <w:rsid w:val="00B84290"/>
    <w:pPr>
      <w:spacing w:before="240"/>
      <w:ind w:left="2268"/>
    </w:pPr>
    <w:rPr>
      <w:rFonts w:cs="Arial"/>
    </w:rPr>
  </w:style>
  <w:style w:type="paragraph" w:customStyle="1" w:styleId="Bullet1">
    <w:name w:val="Bullet1"/>
    <w:basedOn w:val="Normal"/>
    <w:qFormat/>
    <w:rsid w:val="00B84290"/>
    <w:pPr>
      <w:numPr>
        <w:numId w:val="1"/>
      </w:numPr>
      <w:spacing w:before="240"/>
    </w:pPr>
    <w:rPr>
      <w:rFonts w:cs="Arial"/>
    </w:rPr>
  </w:style>
  <w:style w:type="paragraph" w:customStyle="1" w:styleId="Bullet2">
    <w:name w:val="Bullet2"/>
    <w:basedOn w:val="Normal"/>
    <w:qFormat/>
    <w:rsid w:val="00B84290"/>
    <w:pPr>
      <w:numPr>
        <w:numId w:val="5"/>
      </w:numPr>
      <w:spacing w:before="240"/>
    </w:pPr>
  </w:style>
  <w:style w:type="paragraph" w:customStyle="1" w:styleId="Bullet3">
    <w:name w:val="Bullet3"/>
    <w:basedOn w:val="Normal"/>
    <w:qFormat/>
    <w:rsid w:val="00B84290"/>
    <w:pPr>
      <w:numPr>
        <w:numId w:val="6"/>
      </w:numPr>
      <w:spacing w:before="240"/>
    </w:pPr>
  </w:style>
  <w:style w:type="paragraph" w:customStyle="1" w:styleId="correspQuote">
    <w:name w:val="correspQuote"/>
    <w:basedOn w:val="Normal"/>
    <w:qFormat/>
    <w:rsid w:val="00B84290"/>
    <w:pPr>
      <w:spacing w:before="240"/>
      <w:ind w:left="851" w:right="851"/>
    </w:pPr>
    <w:rPr>
      <w:rFonts w:cs="Arial"/>
      <w:sz w:val="18"/>
    </w:rPr>
  </w:style>
  <w:style w:type="paragraph" w:customStyle="1" w:styleId="covBodyText">
    <w:name w:val="covBodyText"/>
    <w:basedOn w:val="Normal"/>
    <w:qFormat/>
    <w:rsid w:val="00B84290"/>
    <w:pPr>
      <w:ind w:left="397"/>
    </w:pPr>
    <w:rPr>
      <w:sz w:val="22"/>
    </w:rPr>
  </w:style>
  <w:style w:type="paragraph" w:customStyle="1" w:styleId="covSubTitle">
    <w:name w:val="covSubTitle"/>
    <w:basedOn w:val="Normal"/>
    <w:next w:val="covBodyText"/>
    <w:rsid w:val="00B84290"/>
    <w:pPr>
      <w:ind w:left="397"/>
    </w:pPr>
    <w:rPr>
      <w:b/>
      <w:sz w:val="22"/>
    </w:rPr>
  </w:style>
  <w:style w:type="paragraph" w:customStyle="1" w:styleId="covTitle">
    <w:name w:val="covTitle"/>
    <w:basedOn w:val="Normal"/>
    <w:next w:val="covBodyText"/>
    <w:qFormat/>
    <w:rsid w:val="00B84290"/>
    <w:pPr>
      <w:spacing w:before="3600"/>
      <w:ind w:left="397"/>
    </w:pPr>
    <w:rPr>
      <w:b/>
      <w:sz w:val="34"/>
    </w:rPr>
  </w:style>
  <w:style w:type="character" w:customStyle="1" w:styleId="Heading1Char">
    <w:name w:val="Heading 1 Char"/>
    <w:basedOn w:val="DefaultParagraphFont"/>
    <w:link w:val="Heading1"/>
    <w:rsid w:val="00B84290"/>
    <w:rPr>
      <w:rFonts w:cs="Times New Roman"/>
      <w:b/>
      <w:kern w:val="28"/>
      <w:sz w:val="22"/>
      <w:lang w:eastAsia="en-AU"/>
    </w:rPr>
  </w:style>
  <w:style w:type="character" w:customStyle="1" w:styleId="Heading2Char">
    <w:name w:val="Heading 2 Char"/>
    <w:basedOn w:val="DefaultParagraphFont"/>
    <w:link w:val="Heading2"/>
    <w:rsid w:val="00B84290"/>
    <w:rPr>
      <w:rFonts w:cs="Times New Roman"/>
      <w:b/>
      <w:lang w:eastAsia="en-AU"/>
    </w:rPr>
  </w:style>
  <w:style w:type="character" w:customStyle="1" w:styleId="Heading3Char">
    <w:name w:val="Heading 3 Char"/>
    <w:basedOn w:val="DefaultParagraphFont"/>
    <w:link w:val="Heading3"/>
    <w:rsid w:val="00B84290"/>
    <w:rPr>
      <w:rFonts w:cs="Times New Roman"/>
      <w:lang w:eastAsia="en-AU"/>
    </w:rPr>
  </w:style>
  <w:style w:type="character" w:customStyle="1" w:styleId="Heading4Char">
    <w:name w:val="Heading 4 Char"/>
    <w:basedOn w:val="DefaultParagraphFont"/>
    <w:link w:val="Heading4"/>
    <w:rsid w:val="00B84290"/>
    <w:rPr>
      <w:rFonts w:cs="Times New Roman"/>
      <w:lang w:eastAsia="en-AU"/>
    </w:rPr>
  </w:style>
  <w:style w:type="character" w:customStyle="1" w:styleId="Heading5Char">
    <w:name w:val="Heading 5 Char"/>
    <w:basedOn w:val="DefaultParagraphFont"/>
    <w:link w:val="Heading5"/>
    <w:rsid w:val="00B84290"/>
    <w:rPr>
      <w:rFonts w:cs="Times New Roman"/>
      <w:lang w:eastAsia="en-AU"/>
    </w:rPr>
  </w:style>
  <w:style w:type="character" w:customStyle="1" w:styleId="Heading6Char">
    <w:name w:val="Heading 6 Char"/>
    <w:basedOn w:val="DefaultParagraphFont"/>
    <w:link w:val="Heading6"/>
    <w:rsid w:val="00B84290"/>
    <w:rPr>
      <w:rFonts w:cs="Times New Roman"/>
      <w:lang w:eastAsia="en-AU"/>
    </w:rPr>
  </w:style>
  <w:style w:type="character" w:customStyle="1" w:styleId="Heading7Char">
    <w:name w:val="Heading 7 Char"/>
    <w:basedOn w:val="DefaultParagraphFont"/>
    <w:link w:val="Heading7"/>
    <w:rsid w:val="00B84290"/>
    <w:rPr>
      <w:rFonts w:cs="Times New Roman"/>
      <w:lang w:eastAsia="en-AU"/>
    </w:rPr>
  </w:style>
  <w:style w:type="character" w:customStyle="1" w:styleId="Heading8Char">
    <w:name w:val="Heading 8 Char"/>
    <w:basedOn w:val="DefaultParagraphFont"/>
    <w:link w:val="Heading8"/>
    <w:rsid w:val="00B84290"/>
    <w:rPr>
      <w:rFonts w:cs="Times New Roman"/>
      <w:lang w:eastAsia="en-AU"/>
    </w:rPr>
  </w:style>
  <w:style w:type="character" w:customStyle="1" w:styleId="Heading9Char">
    <w:name w:val="Heading 9 Char"/>
    <w:basedOn w:val="DefaultParagraphFont"/>
    <w:link w:val="Heading9"/>
    <w:rsid w:val="00B84290"/>
    <w:rPr>
      <w:rFonts w:cs="Times New Roman"/>
      <w:lang w:eastAsia="en-AU"/>
    </w:rPr>
  </w:style>
  <w:style w:type="paragraph" w:customStyle="1" w:styleId="Headingpara2">
    <w:name w:val="Headingpara2"/>
    <w:basedOn w:val="Heading2"/>
    <w:qFormat/>
    <w:rsid w:val="00B84290"/>
    <w:pPr>
      <w:keepNext w:val="0"/>
    </w:pPr>
    <w:rPr>
      <w:b w:val="0"/>
    </w:rPr>
  </w:style>
  <w:style w:type="paragraph" w:customStyle="1" w:styleId="legalDefinition">
    <w:name w:val="legalDefinition"/>
    <w:basedOn w:val="Normal"/>
    <w:qFormat/>
    <w:rsid w:val="00B84290"/>
    <w:pPr>
      <w:numPr>
        <w:numId w:val="12"/>
      </w:numPr>
      <w:spacing w:before="240"/>
    </w:pPr>
    <w:rPr>
      <w:lang w:eastAsia="en-US"/>
    </w:rPr>
  </w:style>
  <w:style w:type="paragraph" w:customStyle="1" w:styleId="legalRecital1">
    <w:name w:val="legalRecital1"/>
    <w:basedOn w:val="Normal"/>
    <w:qFormat/>
    <w:rsid w:val="00B84290"/>
    <w:pPr>
      <w:numPr>
        <w:numId w:val="3"/>
      </w:numPr>
      <w:spacing w:before="240"/>
    </w:pPr>
  </w:style>
  <w:style w:type="paragraph" w:customStyle="1" w:styleId="legalSchedule">
    <w:name w:val="legalSchedule"/>
    <w:basedOn w:val="Normal"/>
    <w:next w:val="Normal"/>
    <w:qFormat/>
    <w:rsid w:val="00B84290"/>
    <w:pPr>
      <w:pageBreakBefore/>
      <w:numPr>
        <w:numId w:val="15"/>
      </w:numPr>
      <w:pBdr>
        <w:top w:val="single" w:sz="4" w:space="1" w:color="auto"/>
      </w:pBdr>
    </w:pPr>
    <w:rPr>
      <w:b/>
      <w:sz w:val="34"/>
    </w:rPr>
  </w:style>
  <w:style w:type="paragraph" w:customStyle="1" w:styleId="legalScheduleDesc">
    <w:name w:val="legalScheduleDesc"/>
    <w:basedOn w:val="Normal"/>
    <w:next w:val="Normal"/>
    <w:qFormat/>
    <w:rsid w:val="00B84290"/>
    <w:pPr>
      <w:keepNext/>
      <w:spacing w:before="240"/>
    </w:pPr>
    <w:rPr>
      <w:b/>
      <w:sz w:val="22"/>
    </w:rPr>
  </w:style>
  <w:style w:type="paragraph" w:customStyle="1" w:styleId="legalTitleDescription">
    <w:name w:val="legalTitleDescription"/>
    <w:basedOn w:val="Normal"/>
    <w:next w:val="Normal"/>
    <w:qFormat/>
    <w:rsid w:val="00B84290"/>
    <w:pPr>
      <w:spacing w:before="240"/>
    </w:pPr>
    <w:rPr>
      <w:b/>
      <w:sz w:val="22"/>
    </w:rPr>
  </w:style>
  <w:style w:type="paragraph" w:customStyle="1" w:styleId="mainTitle">
    <w:name w:val="mainTitle"/>
    <w:basedOn w:val="Normal"/>
    <w:next w:val="Normal"/>
    <w:qFormat/>
    <w:rsid w:val="00B84290"/>
    <w:pPr>
      <w:pBdr>
        <w:top w:val="single" w:sz="4" w:space="1" w:color="auto"/>
      </w:pBdr>
    </w:pPr>
    <w:rPr>
      <w:b/>
      <w:sz w:val="34"/>
    </w:rPr>
  </w:style>
  <w:style w:type="paragraph" w:customStyle="1" w:styleId="Numpara1">
    <w:name w:val="Numpara1"/>
    <w:basedOn w:val="Normal"/>
    <w:qFormat/>
    <w:rsid w:val="00B84290"/>
    <w:pPr>
      <w:numPr>
        <w:numId w:val="21"/>
      </w:numPr>
      <w:spacing w:before="240"/>
    </w:pPr>
    <w:rPr>
      <w:rFonts w:cs="Arial"/>
      <w:szCs w:val="22"/>
    </w:rPr>
  </w:style>
  <w:style w:type="paragraph" w:customStyle="1" w:styleId="Numpara2">
    <w:name w:val="Numpara2"/>
    <w:basedOn w:val="Normal"/>
    <w:qFormat/>
    <w:rsid w:val="00B84290"/>
    <w:pPr>
      <w:numPr>
        <w:ilvl w:val="1"/>
        <w:numId w:val="21"/>
      </w:numPr>
      <w:spacing w:before="240"/>
    </w:pPr>
    <w:rPr>
      <w:rFonts w:cs="Arial"/>
      <w:szCs w:val="22"/>
    </w:rPr>
  </w:style>
  <w:style w:type="paragraph" w:customStyle="1" w:styleId="Numpara3">
    <w:name w:val="Numpara3"/>
    <w:basedOn w:val="Normal"/>
    <w:qFormat/>
    <w:rsid w:val="00B84290"/>
    <w:pPr>
      <w:numPr>
        <w:ilvl w:val="2"/>
        <w:numId w:val="21"/>
      </w:numPr>
      <w:spacing w:before="240"/>
    </w:pPr>
    <w:rPr>
      <w:rFonts w:cs="Arial"/>
      <w:szCs w:val="22"/>
    </w:rPr>
  </w:style>
  <w:style w:type="paragraph" w:customStyle="1" w:styleId="Numpara4">
    <w:name w:val="Numpara4"/>
    <w:basedOn w:val="Normal"/>
    <w:qFormat/>
    <w:rsid w:val="00B84290"/>
    <w:pPr>
      <w:numPr>
        <w:ilvl w:val="3"/>
        <w:numId w:val="21"/>
      </w:numPr>
      <w:spacing w:before="240"/>
    </w:pPr>
    <w:rPr>
      <w:rFonts w:cs="Arial"/>
      <w:szCs w:val="22"/>
    </w:rPr>
  </w:style>
  <w:style w:type="paragraph" w:customStyle="1" w:styleId="pageNumber">
    <w:name w:val="pageNumber"/>
    <w:basedOn w:val="Normal"/>
    <w:qFormat/>
    <w:rsid w:val="00B84290"/>
    <w:pPr>
      <w:tabs>
        <w:tab w:val="right" w:pos="9072"/>
      </w:tabs>
    </w:pPr>
    <w:rPr>
      <w:sz w:val="14"/>
      <w:szCs w:val="14"/>
    </w:rPr>
  </w:style>
  <w:style w:type="paragraph" w:styleId="TOC1">
    <w:name w:val="toc 1"/>
    <w:next w:val="Normal"/>
    <w:autoRedefine/>
    <w:uiPriority w:val="39"/>
    <w:rsid w:val="00B84290"/>
    <w:pPr>
      <w:tabs>
        <w:tab w:val="left" w:pos="851"/>
        <w:tab w:val="right" w:leader="dot" w:pos="9072"/>
      </w:tabs>
      <w:spacing w:before="120" w:after="120"/>
      <w:ind w:left="851" w:hanging="851"/>
    </w:pPr>
    <w:rPr>
      <w:rFonts w:cs="Times New Roman"/>
      <w:b/>
    </w:rPr>
  </w:style>
  <w:style w:type="paragraph" w:styleId="TOC2">
    <w:name w:val="toc 2"/>
    <w:next w:val="Normal"/>
    <w:autoRedefine/>
    <w:uiPriority w:val="39"/>
    <w:rsid w:val="00B84290"/>
    <w:pPr>
      <w:tabs>
        <w:tab w:val="right" w:leader="dot" w:pos="9072"/>
      </w:tabs>
      <w:ind w:left="1702" w:hanging="851"/>
    </w:pPr>
    <w:rPr>
      <w:rFonts w:cs="Times New Roman"/>
    </w:rPr>
  </w:style>
  <w:style w:type="table" w:customStyle="1" w:styleId="MadTabPlumGrid">
    <w:name w:val="MadTabPlumGrid"/>
    <w:basedOn w:val="TableNormal"/>
    <w:uiPriority w:val="99"/>
    <w:rsid w:val="00B84290"/>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B84290"/>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semiHidden/>
    <w:rsid w:val="00B84290"/>
    <w:pPr>
      <w:tabs>
        <w:tab w:val="center" w:pos="4513"/>
        <w:tab w:val="right" w:pos="9026"/>
      </w:tabs>
    </w:pPr>
  </w:style>
  <w:style w:type="character" w:customStyle="1" w:styleId="FooterChar">
    <w:name w:val="Footer Char"/>
    <w:basedOn w:val="DefaultParagraphFont"/>
    <w:link w:val="Footer"/>
    <w:uiPriority w:val="99"/>
    <w:semiHidden/>
    <w:rsid w:val="00B84290"/>
    <w:rPr>
      <w:rFonts w:cs="Times New Roman"/>
      <w:lang w:eastAsia="en-AU"/>
    </w:rPr>
  </w:style>
  <w:style w:type="character" w:styleId="FootnoteReference">
    <w:name w:val="footnote reference"/>
    <w:basedOn w:val="DefaultParagraphFont"/>
    <w:uiPriority w:val="99"/>
    <w:rsid w:val="00B84290"/>
    <w:rPr>
      <w:vertAlign w:val="superscript"/>
    </w:rPr>
  </w:style>
  <w:style w:type="paragraph" w:styleId="FootnoteText">
    <w:name w:val="footnote text"/>
    <w:basedOn w:val="Normal"/>
    <w:link w:val="FootnoteTextChar"/>
    <w:uiPriority w:val="99"/>
    <w:rsid w:val="00B84290"/>
    <w:rPr>
      <w:sz w:val="18"/>
    </w:rPr>
  </w:style>
  <w:style w:type="character" w:customStyle="1" w:styleId="FootnoteTextChar">
    <w:name w:val="Footnote Text Char"/>
    <w:basedOn w:val="DefaultParagraphFont"/>
    <w:link w:val="FootnoteText"/>
    <w:uiPriority w:val="99"/>
    <w:rsid w:val="00B84290"/>
    <w:rPr>
      <w:rFonts w:cs="Times New Roman"/>
      <w:sz w:val="18"/>
      <w:lang w:eastAsia="en-AU"/>
    </w:rPr>
  </w:style>
  <w:style w:type="paragraph" w:customStyle="1" w:styleId="legalAttachment">
    <w:name w:val="legalAttachment"/>
    <w:basedOn w:val="Normal"/>
    <w:next w:val="Normal"/>
    <w:qFormat/>
    <w:rsid w:val="00B84290"/>
    <w:pPr>
      <w:pageBreakBefore/>
      <w:numPr>
        <w:numId w:val="4"/>
      </w:numPr>
      <w:pBdr>
        <w:top w:val="single" w:sz="4" w:space="1" w:color="auto"/>
      </w:pBdr>
    </w:pPr>
    <w:rPr>
      <w:b/>
      <w:sz w:val="34"/>
      <w:lang w:eastAsia="en-US"/>
    </w:rPr>
  </w:style>
  <w:style w:type="paragraph" w:customStyle="1" w:styleId="legalPart">
    <w:name w:val="legalPart"/>
    <w:basedOn w:val="Normal"/>
    <w:next w:val="Normal"/>
    <w:qFormat/>
    <w:rsid w:val="005A5FD0"/>
    <w:pPr>
      <w:keepNext/>
      <w:numPr>
        <w:numId w:val="7"/>
      </w:numPr>
      <w:pBdr>
        <w:top w:val="single" w:sz="4" w:space="6" w:color="82002A"/>
      </w:pBdr>
      <w:tabs>
        <w:tab w:val="clear" w:pos="3403"/>
        <w:tab w:val="num" w:pos="1701"/>
      </w:tabs>
      <w:spacing w:before="480" w:after="480"/>
      <w:ind w:left="1701"/>
    </w:pPr>
    <w:rPr>
      <w:rFonts w:cs="Arial"/>
      <w:b/>
      <w:color w:val="82002A"/>
      <w:sz w:val="36"/>
      <w:szCs w:val="36"/>
      <w:lang w:eastAsia="en-US"/>
    </w:rPr>
  </w:style>
  <w:style w:type="paragraph" w:styleId="TOC3">
    <w:name w:val="toc 3"/>
    <w:next w:val="Normal"/>
    <w:autoRedefine/>
    <w:uiPriority w:val="39"/>
    <w:unhideWhenUsed/>
    <w:rsid w:val="00B84290"/>
    <w:pPr>
      <w:tabs>
        <w:tab w:val="left" w:pos="851"/>
        <w:tab w:val="right" w:leader="dot" w:pos="9060"/>
      </w:tabs>
      <w:spacing w:before="240"/>
    </w:pPr>
    <w:rPr>
      <w:rFonts w:cs="Times New Roman"/>
      <w:b/>
      <w:color w:val="82002A"/>
      <w:sz w:val="22"/>
    </w:rPr>
  </w:style>
  <w:style w:type="paragraph" w:styleId="Header">
    <w:name w:val="header"/>
    <w:basedOn w:val="Normal"/>
    <w:link w:val="HeaderChar"/>
    <w:uiPriority w:val="99"/>
    <w:semiHidden/>
    <w:rsid w:val="00E9176D"/>
    <w:pPr>
      <w:tabs>
        <w:tab w:val="center" w:pos="4513"/>
        <w:tab w:val="right" w:pos="9026"/>
      </w:tabs>
    </w:pPr>
  </w:style>
  <w:style w:type="character" w:customStyle="1" w:styleId="HeaderChar">
    <w:name w:val="Header Char"/>
    <w:basedOn w:val="DefaultParagraphFont"/>
    <w:link w:val="Header"/>
    <w:uiPriority w:val="99"/>
    <w:semiHidden/>
    <w:rsid w:val="00E9176D"/>
  </w:style>
  <w:style w:type="character" w:styleId="Hyperlink">
    <w:name w:val="Hyperlink"/>
    <w:basedOn w:val="DefaultParagraphFont"/>
    <w:uiPriority w:val="99"/>
    <w:unhideWhenUsed/>
    <w:rsid w:val="007F5D49"/>
    <w:rPr>
      <w:color w:val="CD5C3D" w:themeColor="hyperlink"/>
      <w:u w:val="single"/>
    </w:rPr>
  </w:style>
  <w:style w:type="table" w:styleId="TableGrid">
    <w:name w:val="Table Grid"/>
    <w:basedOn w:val="TableNormal"/>
    <w:uiPriority w:val="59"/>
    <w:rsid w:val="00B84290"/>
    <w:rPr>
      <w:rFonts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736"/>
    <w:pPr>
      <w:ind w:left="720"/>
      <w:contextualSpacing/>
    </w:pPr>
  </w:style>
  <w:style w:type="paragraph" w:styleId="BalloonText">
    <w:name w:val="Balloon Text"/>
    <w:basedOn w:val="Normal"/>
    <w:link w:val="BalloonTextChar"/>
    <w:uiPriority w:val="99"/>
    <w:semiHidden/>
    <w:rsid w:val="004472B6"/>
    <w:rPr>
      <w:rFonts w:ascii="Tahoma" w:hAnsi="Tahoma" w:cs="Tahoma"/>
      <w:sz w:val="16"/>
      <w:szCs w:val="16"/>
    </w:rPr>
  </w:style>
  <w:style w:type="character" w:customStyle="1" w:styleId="BalloonTextChar">
    <w:name w:val="Balloon Text Char"/>
    <w:basedOn w:val="DefaultParagraphFont"/>
    <w:link w:val="BalloonText"/>
    <w:uiPriority w:val="99"/>
    <w:semiHidden/>
    <w:rsid w:val="004472B6"/>
    <w:rPr>
      <w:rFonts w:ascii="Tahoma" w:hAnsi="Tahoma" w:cs="Tahoma"/>
      <w:sz w:val="16"/>
      <w:szCs w:val="16"/>
    </w:rPr>
  </w:style>
  <w:style w:type="character" w:styleId="IntenseReference">
    <w:name w:val="Intense Reference"/>
    <w:basedOn w:val="DefaultParagraphFont"/>
    <w:uiPriority w:val="32"/>
    <w:qFormat/>
    <w:rsid w:val="00FC66E2"/>
    <w:rPr>
      <w:b/>
      <w:bCs/>
      <w:i/>
      <w:smallCaps/>
      <w:color w:val="960030" w:themeColor="accent2"/>
      <w:spacing w:val="5"/>
      <w:u w:val="none"/>
    </w:rPr>
  </w:style>
  <w:style w:type="table" w:customStyle="1" w:styleId="TableGrid1">
    <w:name w:val="Table Grid1"/>
    <w:basedOn w:val="TableNormal"/>
    <w:next w:val="TableGrid"/>
    <w:uiPriority w:val="59"/>
    <w:rsid w:val="00FC66E2"/>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Indent1Char">
    <w:name w:val="Body Indent 1 Char"/>
    <w:link w:val="BodyIndent1"/>
    <w:rsid w:val="00475BBC"/>
    <w:rPr>
      <w:rFonts w:cs="Arial"/>
      <w:lang w:eastAsia="en-AU"/>
    </w:rPr>
  </w:style>
  <w:style w:type="paragraph" w:styleId="TOC4">
    <w:name w:val="toc 4"/>
    <w:basedOn w:val="Normal"/>
    <w:next w:val="Normal"/>
    <w:autoRedefine/>
    <w:uiPriority w:val="39"/>
    <w:rsid w:val="00B84290"/>
    <w:pPr>
      <w:ind w:left="660"/>
    </w:pPr>
  </w:style>
  <w:style w:type="paragraph" w:styleId="TOC5">
    <w:name w:val="toc 5"/>
    <w:basedOn w:val="Normal"/>
    <w:next w:val="Normal"/>
    <w:autoRedefine/>
    <w:uiPriority w:val="39"/>
    <w:rsid w:val="00B84290"/>
    <w:pPr>
      <w:ind w:left="880"/>
    </w:pPr>
  </w:style>
  <w:style w:type="paragraph" w:styleId="TOC6">
    <w:name w:val="toc 6"/>
    <w:basedOn w:val="Normal"/>
    <w:next w:val="Normal"/>
    <w:autoRedefine/>
    <w:uiPriority w:val="39"/>
    <w:rsid w:val="00B84290"/>
    <w:pPr>
      <w:ind w:left="1100"/>
    </w:pPr>
  </w:style>
  <w:style w:type="paragraph" w:styleId="TOC7">
    <w:name w:val="toc 7"/>
    <w:basedOn w:val="Normal"/>
    <w:next w:val="Normal"/>
    <w:autoRedefine/>
    <w:uiPriority w:val="39"/>
    <w:rsid w:val="00B84290"/>
    <w:pPr>
      <w:ind w:left="1320"/>
    </w:pPr>
  </w:style>
  <w:style w:type="paragraph" w:styleId="TOC8">
    <w:name w:val="toc 8"/>
    <w:basedOn w:val="Normal"/>
    <w:next w:val="Normal"/>
    <w:autoRedefine/>
    <w:uiPriority w:val="39"/>
    <w:rsid w:val="00B84290"/>
    <w:pPr>
      <w:ind w:left="1540"/>
    </w:pPr>
  </w:style>
  <w:style w:type="paragraph" w:styleId="TOC9">
    <w:name w:val="toc 9"/>
    <w:basedOn w:val="Normal"/>
    <w:next w:val="Normal"/>
    <w:autoRedefine/>
    <w:uiPriority w:val="39"/>
    <w:rsid w:val="00B84290"/>
    <w:pPr>
      <w:ind w:left="1760"/>
    </w:pPr>
  </w:style>
  <w:style w:type="character" w:styleId="CommentReference">
    <w:name w:val="annotation reference"/>
    <w:basedOn w:val="DefaultParagraphFont"/>
    <w:uiPriority w:val="99"/>
    <w:semiHidden/>
    <w:unhideWhenUsed/>
    <w:rsid w:val="00905A17"/>
    <w:rPr>
      <w:sz w:val="16"/>
      <w:szCs w:val="16"/>
    </w:rPr>
  </w:style>
  <w:style w:type="paragraph" w:styleId="CommentText">
    <w:name w:val="annotation text"/>
    <w:basedOn w:val="Normal"/>
    <w:link w:val="CommentTextChar"/>
    <w:uiPriority w:val="99"/>
    <w:semiHidden/>
    <w:unhideWhenUsed/>
    <w:rsid w:val="00905A17"/>
  </w:style>
  <w:style w:type="character" w:customStyle="1" w:styleId="CommentTextChar">
    <w:name w:val="Comment Text Char"/>
    <w:basedOn w:val="DefaultParagraphFont"/>
    <w:link w:val="CommentText"/>
    <w:uiPriority w:val="99"/>
    <w:semiHidden/>
    <w:rsid w:val="00905A17"/>
    <w:rPr>
      <w:rFonts w:cs="Times New Roman"/>
      <w:lang w:eastAsia="en-AU"/>
    </w:rPr>
  </w:style>
  <w:style w:type="paragraph" w:styleId="CommentSubject">
    <w:name w:val="annotation subject"/>
    <w:basedOn w:val="CommentText"/>
    <w:next w:val="CommentText"/>
    <w:link w:val="CommentSubjectChar"/>
    <w:uiPriority w:val="99"/>
    <w:semiHidden/>
    <w:unhideWhenUsed/>
    <w:rsid w:val="00905A17"/>
    <w:rPr>
      <w:b/>
      <w:bCs/>
    </w:rPr>
  </w:style>
  <w:style w:type="character" w:customStyle="1" w:styleId="CommentSubjectChar">
    <w:name w:val="Comment Subject Char"/>
    <w:basedOn w:val="CommentTextChar"/>
    <w:link w:val="CommentSubject"/>
    <w:uiPriority w:val="99"/>
    <w:semiHidden/>
    <w:rsid w:val="00905A17"/>
    <w:rPr>
      <w:rFonts w:cs="Times New Roman"/>
      <w:b/>
      <w:bCs/>
      <w:lang w:eastAsia="en-AU"/>
    </w:rPr>
  </w:style>
  <w:style w:type="paragraph" w:customStyle="1" w:styleId="Default">
    <w:name w:val="Default"/>
    <w:rsid w:val="000B42FC"/>
    <w:pPr>
      <w:autoSpaceDE w:val="0"/>
      <w:autoSpaceDN w:val="0"/>
      <w:adjustRightInd w:val="0"/>
    </w:pPr>
    <w:rPr>
      <w:rFonts w:cs="Arial"/>
      <w:color w:val="000000"/>
      <w:sz w:val="24"/>
      <w:szCs w:val="24"/>
    </w:rPr>
  </w:style>
  <w:style w:type="paragraph" w:styleId="Revision">
    <w:name w:val="Revision"/>
    <w:hidden/>
    <w:uiPriority w:val="99"/>
    <w:semiHidden/>
    <w:rsid w:val="002200CD"/>
    <w:rPr>
      <w:rFonts w:cs="Times New Roman"/>
      <w:lang w:eastAsia="en-AU"/>
    </w:rPr>
  </w:style>
  <w:style w:type="paragraph" w:styleId="TOCHeading">
    <w:name w:val="TOC Heading"/>
    <w:basedOn w:val="Heading1"/>
    <w:next w:val="Normal"/>
    <w:uiPriority w:val="39"/>
    <w:unhideWhenUsed/>
    <w:qFormat/>
    <w:rsid w:val="0015467C"/>
    <w:pPr>
      <w:keepLines/>
      <w:numPr>
        <w:numId w:val="0"/>
      </w:numPr>
      <w:pBdr>
        <w:top w:val="none" w:sz="0" w:space="0" w:color="auto"/>
      </w:pBdr>
      <w:spacing w:before="240" w:line="259" w:lineRule="auto"/>
      <w:outlineLvl w:val="9"/>
    </w:pPr>
    <w:rPr>
      <w:rFonts w:asciiTheme="majorHAnsi" w:eastAsiaTheme="majorEastAsia" w:hAnsiTheme="majorHAnsi" w:cstheme="majorBidi"/>
      <w:b w:val="0"/>
      <w:color w:val="61001F" w:themeColor="accent1" w:themeShade="BF"/>
      <w:kern w:val="0"/>
      <w:sz w:val="32"/>
      <w:szCs w:val="32"/>
      <w:lang w:val="en-US" w:eastAsia="en-US"/>
    </w:rPr>
  </w:style>
  <w:style w:type="character" w:customStyle="1" w:styleId="UnresolvedMention1">
    <w:name w:val="Unresolved Mention1"/>
    <w:basedOn w:val="DefaultParagraphFont"/>
    <w:uiPriority w:val="99"/>
    <w:semiHidden/>
    <w:unhideWhenUsed/>
    <w:rsid w:val="0015467C"/>
    <w:rPr>
      <w:color w:val="605E5C"/>
      <w:shd w:val="clear" w:color="auto" w:fill="E1DFDD"/>
    </w:rPr>
  </w:style>
  <w:style w:type="character" w:customStyle="1" w:styleId="UnresolvedMention">
    <w:name w:val="Unresolved Mention"/>
    <w:basedOn w:val="DefaultParagraphFont"/>
    <w:uiPriority w:val="99"/>
    <w:semiHidden/>
    <w:unhideWhenUsed/>
    <w:rsid w:val="005A5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6367">
      <w:bodyDiv w:val="1"/>
      <w:marLeft w:val="0"/>
      <w:marRight w:val="0"/>
      <w:marTop w:val="0"/>
      <w:marBottom w:val="0"/>
      <w:divBdr>
        <w:top w:val="none" w:sz="0" w:space="0" w:color="auto"/>
        <w:left w:val="none" w:sz="0" w:space="0" w:color="auto"/>
        <w:bottom w:val="none" w:sz="0" w:space="0" w:color="auto"/>
        <w:right w:val="none" w:sz="0" w:space="0" w:color="auto"/>
      </w:divBdr>
    </w:div>
    <w:div w:id="215893626">
      <w:bodyDiv w:val="1"/>
      <w:marLeft w:val="0"/>
      <w:marRight w:val="0"/>
      <w:marTop w:val="0"/>
      <w:marBottom w:val="0"/>
      <w:divBdr>
        <w:top w:val="none" w:sz="0" w:space="0" w:color="auto"/>
        <w:left w:val="none" w:sz="0" w:space="0" w:color="auto"/>
        <w:bottom w:val="none" w:sz="0" w:space="0" w:color="auto"/>
        <w:right w:val="none" w:sz="0" w:space="0" w:color="auto"/>
      </w:divBdr>
    </w:div>
    <w:div w:id="296843756">
      <w:bodyDiv w:val="1"/>
      <w:marLeft w:val="0"/>
      <w:marRight w:val="0"/>
      <w:marTop w:val="0"/>
      <w:marBottom w:val="0"/>
      <w:divBdr>
        <w:top w:val="none" w:sz="0" w:space="0" w:color="auto"/>
        <w:left w:val="none" w:sz="0" w:space="0" w:color="auto"/>
        <w:bottom w:val="none" w:sz="0" w:space="0" w:color="auto"/>
        <w:right w:val="none" w:sz="0" w:space="0" w:color="auto"/>
      </w:divBdr>
    </w:div>
    <w:div w:id="821314456">
      <w:bodyDiv w:val="1"/>
      <w:marLeft w:val="0"/>
      <w:marRight w:val="0"/>
      <w:marTop w:val="0"/>
      <w:marBottom w:val="0"/>
      <w:divBdr>
        <w:top w:val="none" w:sz="0" w:space="0" w:color="auto"/>
        <w:left w:val="none" w:sz="0" w:space="0" w:color="auto"/>
        <w:bottom w:val="none" w:sz="0" w:space="0" w:color="auto"/>
        <w:right w:val="none" w:sz="0" w:space="0" w:color="auto"/>
      </w:divBdr>
    </w:div>
    <w:div w:id="834689147">
      <w:bodyDiv w:val="1"/>
      <w:marLeft w:val="0"/>
      <w:marRight w:val="0"/>
      <w:marTop w:val="0"/>
      <w:marBottom w:val="0"/>
      <w:divBdr>
        <w:top w:val="none" w:sz="0" w:space="0" w:color="auto"/>
        <w:left w:val="none" w:sz="0" w:space="0" w:color="auto"/>
        <w:bottom w:val="none" w:sz="0" w:space="0" w:color="auto"/>
        <w:right w:val="none" w:sz="0" w:space="0" w:color="auto"/>
      </w:divBdr>
    </w:div>
    <w:div w:id="1165509293">
      <w:bodyDiv w:val="1"/>
      <w:marLeft w:val="0"/>
      <w:marRight w:val="0"/>
      <w:marTop w:val="0"/>
      <w:marBottom w:val="0"/>
      <w:divBdr>
        <w:top w:val="none" w:sz="0" w:space="0" w:color="auto"/>
        <w:left w:val="none" w:sz="0" w:space="0" w:color="auto"/>
        <w:bottom w:val="none" w:sz="0" w:space="0" w:color="auto"/>
        <w:right w:val="none" w:sz="0" w:space="0" w:color="auto"/>
      </w:divBdr>
    </w:div>
    <w:div w:id="1722363985">
      <w:bodyDiv w:val="1"/>
      <w:marLeft w:val="0"/>
      <w:marRight w:val="0"/>
      <w:marTop w:val="0"/>
      <w:marBottom w:val="0"/>
      <w:divBdr>
        <w:top w:val="none" w:sz="0" w:space="0" w:color="auto"/>
        <w:left w:val="none" w:sz="0" w:space="0" w:color="auto"/>
        <w:bottom w:val="none" w:sz="0" w:space="0" w:color="auto"/>
        <w:right w:val="none" w:sz="0" w:space="0" w:color="auto"/>
      </w:divBdr>
    </w:div>
    <w:div w:id="1901015433">
      <w:bodyDiv w:val="1"/>
      <w:marLeft w:val="0"/>
      <w:marRight w:val="0"/>
      <w:marTop w:val="0"/>
      <w:marBottom w:val="0"/>
      <w:divBdr>
        <w:top w:val="none" w:sz="0" w:space="0" w:color="auto"/>
        <w:left w:val="none" w:sz="0" w:space="0" w:color="auto"/>
        <w:bottom w:val="none" w:sz="0" w:space="0" w:color="auto"/>
        <w:right w:val="none" w:sz="0" w:space="0" w:color="auto"/>
      </w:divBdr>
    </w:div>
    <w:div w:id="20203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E7727DB6EFE4C9EE0E28D309B0192" ma:contentTypeVersion="11" ma:contentTypeDescription="Create a new document." ma:contentTypeScope="" ma:versionID="9794e3fe3bc18b833831a2e752ae4341">
  <xsd:schema xmlns:xsd="http://www.w3.org/2001/XMLSchema" xmlns:xs="http://www.w3.org/2001/XMLSchema" xmlns:p="http://schemas.microsoft.com/office/2006/metadata/properties" xmlns:ns3="19fdd950-fe51-4780-af60-51d30b6a0d8c" xmlns:ns4="607369c4-9110-45a1-bb4d-19ee4a41c8a3" targetNamespace="http://schemas.microsoft.com/office/2006/metadata/properties" ma:root="true" ma:fieldsID="e633f0215b0aabb8bc892e460c3eb615" ns3:_="" ns4:_="">
    <xsd:import namespace="19fdd950-fe51-4780-af60-51d30b6a0d8c"/>
    <xsd:import namespace="607369c4-9110-45a1-bb4d-19ee4a41c8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dd950-fe51-4780-af60-51d30b6a0d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369c4-9110-45a1-bb4d-19ee4a41c8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FAD62-4C3B-47D7-93E9-58975D5FE7F8}">
  <ds:schemaRefs>
    <ds:schemaRef ds:uri="http://schemas.microsoft.com/sharepoint/v3/contenttype/forms"/>
  </ds:schemaRefs>
</ds:datastoreItem>
</file>

<file path=customXml/itemProps2.xml><?xml version="1.0" encoding="utf-8"?>
<ds:datastoreItem xmlns:ds="http://schemas.openxmlformats.org/officeDocument/2006/customXml" ds:itemID="{6D61C041-CDB2-49A8-B984-8DF189D30C52}">
  <ds:schemaRefs>
    <ds:schemaRef ds:uri="http://schemas.openxmlformats.org/package/2006/metadata/core-properties"/>
    <ds:schemaRef ds:uri="19fdd950-fe51-4780-af60-51d30b6a0d8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607369c4-9110-45a1-bb4d-19ee4a41c8a3"/>
    <ds:schemaRef ds:uri="http://www.w3.org/XML/1998/namespace"/>
  </ds:schemaRefs>
</ds:datastoreItem>
</file>

<file path=customXml/itemProps3.xml><?xml version="1.0" encoding="utf-8"?>
<ds:datastoreItem xmlns:ds="http://schemas.openxmlformats.org/officeDocument/2006/customXml" ds:itemID="{12DF7B89-7F21-4317-AD5D-AF2E0A74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dd950-fe51-4780-af60-51d30b6a0d8c"/>
    <ds:schemaRef ds:uri="607369c4-9110-45a1-bb4d-19ee4a41c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7E96E-2058-4CE8-8729-F2CCA36F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45</Pages>
  <Words>13015</Words>
  <Characters>74190</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Seventh Community Pharmacy Agreement</vt:lpstr>
    </vt:vector>
  </TitlesOfParts>
  <Company>Department of Health</Company>
  <LinksUpToDate>false</LinksUpToDate>
  <CharactersWithSpaces>87031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Seventh Community Pharmacy Agreement</dc:title>
  <dc:creator>Australian Government Department of Health</dc:creator>
  <cp:revision>3</cp:revision>
  <cp:lastPrinted>2020-06-09T22:16:00Z</cp:lastPrinted>
  <dcterms:created xsi:type="dcterms:W3CDTF">2020-06-11T04:53:00Z</dcterms:created>
  <dcterms:modified xsi:type="dcterms:W3CDTF">2021-09-14T01:54:00Z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0x010100A53E7727DB6EFE4C9EE0E28D309B0192</vt:lpwstr>
  </property>
</Properties>
</file>